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287DD">
      <w:pPr>
        <w:pStyle w:val="143"/>
        <w:jc w:val="center"/>
        <w:rPr>
          <w:rFonts w:hint="eastAsia" w:ascii="宋体" w:hAnsi="宋体" w:eastAsia="宋体" w:cs="Arial"/>
          <w:b/>
          <w:color w:val="auto"/>
          <w:kern w:val="0"/>
          <w:sz w:val="40"/>
          <w:szCs w:val="44"/>
          <w:highlight w:val="none"/>
          <w:lang w:eastAsia="zh-CN"/>
        </w:rPr>
      </w:pPr>
      <w:bookmarkStart w:id="0" w:name="_Toc45532478"/>
      <w:bookmarkStart w:id="1" w:name="_Toc24117376"/>
      <w:bookmarkStart w:id="2" w:name="_Hlk47596224"/>
      <w:bookmarkStart w:id="3" w:name="_Toc98035088"/>
      <w:bookmarkStart w:id="4" w:name="_Toc37569519"/>
      <w:bookmarkStart w:id="5" w:name="_Toc50276195"/>
      <w:bookmarkStart w:id="6" w:name="_Toc37331038"/>
      <w:bookmarkStart w:id="7" w:name="_Toc37245276"/>
      <w:bookmarkStart w:id="8" w:name="_Toc98579068"/>
      <w:bookmarkStart w:id="9" w:name="_Toc40762370"/>
      <w:bookmarkStart w:id="10" w:name="_Toc98579010"/>
      <w:bookmarkStart w:id="11" w:name="_Toc46308527"/>
      <w:bookmarkStart w:id="12" w:name="_Toc50276156"/>
      <w:bookmarkStart w:id="13" w:name="_Toc98579609"/>
      <w:bookmarkStart w:id="14" w:name="_Toc37663391"/>
      <w:bookmarkStart w:id="15" w:name="_Toc46308683"/>
      <w:bookmarkStart w:id="16" w:name="_Toc37331080"/>
      <w:bookmarkStart w:id="17" w:name="_Toc37581420"/>
      <w:bookmarkStart w:id="18" w:name="_Toc98580292"/>
      <w:r>
        <w:rPr>
          <w:rFonts w:hint="eastAsia" w:hAnsi="宋体" w:cs="Arial"/>
          <w:b/>
          <w:color w:val="auto"/>
          <w:kern w:val="0"/>
          <w:sz w:val="40"/>
          <w:szCs w:val="44"/>
          <w:highlight w:val="none"/>
          <w:lang w:eastAsia="zh-CN"/>
        </w:rPr>
        <w:t>广州市自来水有限公司南洲水厂排泥水处理系统建设工程污泥脱水集成设备采购公开招标项目</w:t>
      </w:r>
    </w:p>
    <w:p w14:paraId="4A9FAFC2">
      <w:pPr>
        <w:pStyle w:val="143"/>
        <w:tabs>
          <w:tab w:val="left" w:pos="5880"/>
        </w:tabs>
        <w:rPr>
          <w:rFonts w:hAnsi="宋体" w:cs="宋体"/>
          <w:b/>
          <w:color w:val="auto"/>
          <w:sz w:val="36"/>
          <w:szCs w:val="36"/>
          <w:highlight w:val="none"/>
        </w:rPr>
      </w:pPr>
    </w:p>
    <w:p w14:paraId="7D8040DE">
      <w:pPr>
        <w:pStyle w:val="143"/>
        <w:jc w:val="center"/>
        <w:rPr>
          <w:color w:val="auto"/>
          <w:sz w:val="28"/>
          <w:szCs w:val="28"/>
          <w:highlight w:val="none"/>
        </w:rPr>
      </w:pPr>
    </w:p>
    <w:p w14:paraId="6B6300D9">
      <w:pPr>
        <w:pStyle w:val="143"/>
        <w:jc w:val="center"/>
        <w:rPr>
          <w:color w:val="auto"/>
          <w:sz w:val="28"/>
          <w:szCs w:val="28"/>
          <w:highlight w:val="none"/>
        </w:rPr>
      </w:pPr>
      <w:r>
        <w:rPr>
          <w:rFonts w:hint="eastAsia"/>
          <w:color w:val="auto"/>
          <w:sz w:val="28"/>
          <w:szCs w:val="28"/>
          <w:highlight w:val="none"/>
        </w:rPr>
        <w:t xml:space="preserve">项目编号：    </w:t>
      </w:r>
    </w:p>
    <w:p w14:paraId="1EA2C53C">
      <w:pPr>
        <w:pStyle w:val="143"/>
        <w:jc w:val="center"/>
        <w:rPr>
          <w:color w:val="auto"/>
          <w:sz w:val="44"/>
          <w:szCs w:val="24"/>
          <w:highlight w:val="none"/>
        </w:rPr>
      </w:pPr>
    </w:p>
    <w:p w14:paraId="01B0865B">
      <w:pPr>
        <w:pStyle w:val="143"/>
        <w:jc w:val="center"/>
        <w:rPr>
          <w:color w:val="auto"/>
          <w:sz w:val="44"/>
          <w:highlight w:val="none"/>
        </w:rPr>
      </w:pPr>
    </w:p>
    <w:p w14:paraId="00960A4E">
      <w:pPr>
        <w:pStyle w:val="22"/>
        <w:rPr>
          <w:color w:val="auto"/>
          <w:highlight w:val="none"/>
        </w:rPr>
      </w:pPr>
    </w:p>
    <w:p w14:paraId="5DAC85F6">
      <w:pPr>
        <w:pStyle w:val="137"/>
        <w:rPr>
          <w:color w:val="auto"/>
          <w:highlight w:val="none"/>
        </w:rPr>
      </w:pPr>
    </w:p>
    <w:p w14:paraId="39118CBC">
      <w:pPr>
        <w:pStyle w:val="143"/>
        <w:jc w:val="center"/>
        <w:rPr>
          <w:b/>
          <w:color w:val="auto"/>
          <w:sz w:val="84"/>
          <w:highlight w:val="none"/>
        </w:rPr>
      </w:pPr>
      <w:r>
        <w:rPr>
          <w:rFonts w:hint="eastAsia"/>
          <w:b/>
          <w:color w:val="auto"/>
          <w:sz w:val="84"/>
          <w:highlight w:val="none"/>
        </w:rPr>
        <w:t>招标文件</w:t>
      </w:r>
    </w:p>
    <w:p w14:paraId="16BCE68A">
      <w:pPr>
        <w:pStyle w:val="143"/>
        <w:jc w:val="center"/>
        <w:rPr>
          <w:color w:val="auto"/>
          <w:highlight w:val="none"/>
        </w:rPr>
      </w:pPr>
    </w:p>
    <w:p w14:paraId="6EA01C1E">
      <w:pPr>
        <w:pStyle w:val="22"/>
        <w:rPr>
          <w:color w:val="auto"/>
          <w:highlight w:val="none"/>
        </w:rPr>
      </w:pPr>
    </w:p>
    <w:p w14:paraId="3DEF2863">
      <w:pPr>
        <w:pStyle w:val="137"/>
        <w:rPr>
          <w:color w:val="auto"/>
          <w:highlight w:val="none"/>
        </w:rPr>
      </w:pPr>
    </w:p>
    <w:p w14:paraId="71DB56C7">
      <w:pPr>
        <w:pStyle w:val="137"/>
        <w:rPr>
          <w:color w:val="auto"/>
          <w:highlight w:val="none"/>
        </w:rPr>
      </w:pPr>
    </w:p>
    <w:p w14:paraId="5F3D264B">
      <w:pPr>
        <w:pStyle w:val="143"/>
        <w:jc w:val="center"/>
        <w:rPr>
          <w:color w:val="auto"/>
          <w:highlight w:val="none"/>
        </w:rPr>
      </w:pPr>
    </w:p>
    <w:p w14:paraId="0BF4C17E">
      <w:pPr>
        <w:pStyle w:val="22"/>
        <w:rPr>
          <w:color w:val="auto"/>
          <w:highlight w:val="none"/>
        </w:rPr>
      </w:pPr>
    </w:p>
    <w:p w14:paraId="4C45492C">
      <w:pPr>
        <w:pStyle w:val="143"/>
        <w:jc w:val="center"/>
        <w:rPr>
          <w:color w:val="auto"/>
          <w:highlight w:val="none"/>
        </w:rPr>
      </w:pPr>
    </w:p>
    <w:p w14:paraId="726C74C9">
      <w:pPr>
        <w:pStyle w:val="143"/>
        <w:jc w:val="center"/>
        <w:rPr>
          <w:color w:val="auto"/>
          <w:highlight w:val="none"/>
        </w:rPr>
      </w:pPr>
    </w:p>
    <w:p w14:paraId="0DED0AEA">
      <w:pPr>
        <w:pStyle w:val="143"/>
        <w:jc w:val="center"/>
        <w:rPr>
          <w:color w:val="auto"/>
          <w:highlight w:val="none"/>
        </w:rPr>
      </w:pPr>
    </w:p>
    <w:p w14:paraId="7F55D0B6">
      <w:pPr>
        <w:pStyle w:val="143"/>
        <w:jc w:val="center"/>
        <w:rPr>
          <w:color w:val="auto"/>
          <w:sz w:val="32"/>
          <w:szCs w:val="32"/>
          <w:highlight w:val="none"/>
        </w:rPr>
      </w:pPr>
      <w:r>
        <w:rPr>
          <w:rFonts w:hint="eastAsia"/>
          <w:color w:val="auto"/>
          <w:sz w:val="32"/>
          <w:szCs w:val="32"/>
          <w:highlight w:val="none"/>
        </w:rPr>
        <w:t>项目类别：货物类</w:t>
      </w:r>
    </w:p>
    <w:p w14:paraId="3E86B825">
      <w:pPr>
        <w:pStyle w:val="143"/>
        <w:jc w:val="center"/>
        <w:rPr>
          <w:color w:val="auto"/>
          <w:sz w:val="32"/>
          <w:szCs w:val="32"/>
          <w:highlight w:val="none"/>
        </w:rPr>
      </w:pPr>
      <w:r>
        <w:rPr>
          <w:rFonts w:hint="eastAsia"/>
          <w:color w:val="auto"/>
          <w:sz w:val="32"/>
          <w:szCs w:val="32"/>
          <w:highlight w:val="none"/>
        </w:rPr>
        <w:t>招标方式：公开招标</w:t>
      </w:r>
    </w:p>
    <w:p w14:paraId="443E9381">
      <w:pPr>
        <w:pStyle w:val="143"/>
        <w:jc w:val="center"/>
        <w:rPr>
          <w:color w:val="auto"/>
          <w:sz w:val="32"/>
          <w:szCs w:val="32"/>
          <w:highlight w:val="none"/>
        </w:rPr>
      </w:pPr>
      <w:r>
        <w:rPr>
          <w:rFonts w:hint="eastAsia"/>
          <w:color w:val="auto"/>
          <w:sz w:val="32"/>
          <w:szCs w:val="32"/>
          <w:highlight w:val="none"/>
        </w:rPr>
        <w:t>招标人：广州市自来水有限公司</w:t>
      </w:r>
    </w:p>
    <w:p w14:paraId="391AEE29">
      <w:pPr>
        <w:pStyle w:val="143"/>
        <w:jc w:val="center"/>
        <w:rPr>
          <w:color w:val="auto"/>
          <w:sz w:val="32"/>
          <w:szCs w:val="32"/>
          <w:highlight w:val="none"/>
        </w:rPr>
      </w:pPr>
      <w:r>
        <w:rPr>
          <w:rFonts w:hint="eastAsia"/>
          <w:color w:val="auto"/>
          <w:sz w:val="32"/>
          <w:szCs w:val="32"/>
          <w:highlight w:val="none"/>
        </w:rPr>
        <w:t>招标代理机构：</w:t>
      </w:r>
      <w:r>
        <w:rPr>
          <w:rFonts w:hint="eastAsia"/>
          <w:color w:val="auto"/>
          <w:sz w:val="32"/>
          <w:szCs w:val="32"/>
          <w:highlight w:val="none"/>
          <w:lang w:eastAsia="zh-CN"/>
        </w:rPr>
        <w:t>广东重工建设监理有限公司</w:t>
      </w:r>
      <w:r>
        <w:rPr>
          <w:rFonts w:hint="eastAsia"/>
          <w:color w:val="auto"/>
          <w:sz w:val="32"/>
          <w:szCs w:val="32"/>
          <w:highlight w:val="none"/>
        </w:rPr>
        <w:t xml:space="preserve"> </w:t>
      </w:r>
    </w:p>
    <w:p w14:paraId="2DF1F966">
      <w:pPr>
        <w:pStyle w:val="143"/>
        <w:jc w:val="center"/>
        <w:rPr>
          <w:rFonts w:hAnsi="宋体" w:cs="Arial"/>
          <w:color w:val="auto"/>
          <w:sz w:val="24"/>
          <w:highlight w:val="none"/>
        </w:rPr>
      </w:pPr>
      <w:r>
        <w:rPr>
          <w:rFonts w:hint="eastAsia"/>
          <w:color w:val="auto"/>
          <w:sz w:val="32"/>
          <w:szCs w:val="32"/>
          <w:highlight w:val="none"/>
        </w:rPr>
        <w:t>二</w:t>
      </w:r>
      <w:r>
        <w:rPr>
          <w:rFonts w:hint="eastAsia" w:hAnsi="宋体" w:cs="宋体"/>
          <w:color w:val="auto"/>
          <w:sz w:val="32"/>
          <w:szCs w:val="32"/>
          <w:highlight w:val="none"/>
        </w:rPr>
        <w:t>〇</w:t>
      </w:r>
      <w:r>
        <w:rPr>
          <w:rFonts w:hint="eastAsia"/>
          <w:color w:val="auto"/>
          <w:sz w:val="32"/>
          <w:szCs w:val="32"/>
          <w:highlight w:val="none"/>
        </w:rPr>
        <w:t>二</w:t>
      </w:r>
      <w:r>
        <w:rPr>
          <w:rFonts w:hint="eastAsia" w:hAnsi="宋体" w:cs="宋体"/>
          <w:color w:val="auto"/>
          <w:sz w:val="32"/>
          <w:szCs w:val="32"/>
          <w:highlight w:val="none"/>
          <w:lang w:val="en-US" w:eastAsia="zh-CN"/>
        </w:rPr>
        <w:t>四</w:t>
      </w:r>
      <w:r>
        <w:rPr>
          <w:rFonts w:hint="eastAsia"/>
          <w:color w:val="auto"/>
          <w:sz w:val="32"/>
          <w:szCs w:val="32"/>
          <w:highlight w:val="none"/>
        </w:rPr>
        <w:t>年</w:t>
      </w:r>
      <w:r>
        <w:rPr>
          <w:rFonts w:hint="eastAsia"/>
          <w:color w:val="auto"/>
          <w:sz w:val="32"/>
          <w:szCs w:val="32"/>
          <w:highlight w:val="none"/>
          <w:lang w:eastAsia="zh-CN"/>
        </w:rPr>
        <w:t>十一</w:t>
      </w:r>
      <w:r>
        <w:rPr>
          <w:rFonts w:hint="eastAsia"/>
          <w:color w:val="auto"/>
          <w:sz w:val="32"/>
          <w:szCs w:val="32"/>
          <w:highlight w:val="none"/>
        </w:rPr>
        <w:t>月</w:t>
      </w:r>
    </w:p>
    <w:p w14:paraId="1386C3D2">
      <w:pPr>
        <w:rPr>
          <w:bCs/>
          <w:color w:val="auto"/>
          <w:sz w:val="32"/>
          <w:szCs w:val="32"/>
          <w:highlight w:val="none"/>
        </w:rPr>
      </w:pPr>
      <w:bookmarkStart w:id="19" w:name="_Toc45532477"/>
    </w:p>
    <w:p w14:paraId="6FB88D82">
      <w:pPr>
        <w:jc w:val="center"/>
        <w:rPr>
          <w:bCs/>
          <w:color w:val="auto"/>
          <w:sz w:val="32"/>
          <w:szCs w:val="32"/>
          <w:highlight w:val="none"/>
        </w:rPr>
      </w:pPr>
      <w:r>
        <w:rPr>
          <w:bCs/>
          <w:color w:val="auto"/>
          <w:sz w:val="32"/>
          <w:szCs w:val="32"/>
          <w:highlight w:val="none"/>
        </w:rPr>
        <w:br w:type="page"/>
      </w:r>
    </w:p>
    <w:p w14:paraId="09027FDD">
      <w:pPr>
        <w:jc w:val="center"/>
        <w:rPr>
          <w:bCs/>
          <w:color w:val="auto"/>
          <w:sz w:val="32"/>
          <w:szCs w:val="32"/>
          <w:highlight w:val="none"/>
        </w:rPr>
      </w:pPr>
      <w:r>
        <w:rPr>
          <w:rFonts w:hint="eastAsia"/>
          <w:bCs/>
          <w:color w:val="auto"/>
          <w:sz w:val="32"/>
          <w:szCs w:val="32"/>
          <w:highlight w:val="none"/>
        </w:rPr>
        <w:t>目录</w:t>
      </w:r>
    </w:p>
    <w:p w14:paraId="097411EF">
      <w:pPr>
        <w:pStyle w:val="29"/>
        <w:tabs>
          <w:tab w:val="right" w:leader="dot" w:pos="9070"/>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_Toc27161 </w:instrText>
      </w:r>
      <w:r>
        <w:rPr>
          <w:color w:val="auto"/>
          <w:highlight w:val="none"/>
        </w:rPr>
        <w:fldChar w:fldCharType="separate"/>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_Toc27161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692ADF5D">
      <w:pPr>
        <w:pStyle w:val="29"/>
        <w:tabs>
          <w:tab w:val="right" w:leader="dot" w:pos="9070"/>
        </w:tabs>
        <w:rPr>
          <w:color w:val="auto"/>
          <w:highlight w:val="none"/>
        </w:rPr>
      </w:pPr>
      <w:r>
        <w:rPr>
          <w:color w:val="auto"/>
          <w:highlight w:val="none"/>
        </w:rPr>
        <w:fldChar w:fldCharType="begin"/>
      </w:r>
      <w:r>
        <w:rPr>
          <w:color w:val="auto"/>
          <w:highlight w:val="none"/>
        </w:rPr>
        <w:instrText xml:space="preserve"> HYPERLINK \l _Toc7357 </w:instrText>
      </w:r>
      <w:r>
        <w:rPr>
          <w:color w:val="auto"/>
          <w:highlight w:val="none"/>
        </w:rPr>
        <w:fldChar w:fldCharType="separate"/>
      </w:r>
      <w:r>
        <w:rPr>
          <w:rFonts w:hint="eastAsia"/>
          <w:bCs/>
          <w:color w:val="auto"/>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_Toc7357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D94035C">
      <w:pPr>
        <w:pStyle w:val="29"/>
        <w:tabs>
          <w:tab w:val="right" w:leader="dot" w:pos="9070"/>
        </w:tabs>
        <w:rPr>
          <w:color w:val="auto"/>
          <w:highlight w:val="none"/>
        </w:rPr>
      </w:pPr>
      <w:r>
        <w:rPr>
          <w:color w:val="auto"/>
          <w:highlight w:val="none"/>
        </w:rPr>
        <w:fldChar w:fldCharType="begin"/>
      </w:r>
      <w:r>
        <w:rPr>
          <w:color w:val="auto"/>
          <w:highlight w:val="none"/>
        </w:rPr>
        <w:instrText xml:space="preserve"> HYPERLINK \l _Toc308 </w:instrText>
      </w:r>
      <w:r>
        <w:rPr>
          <w:color w:val="auto"/>
          <w:highlight w:val="none"/>
        </w:rPr>
        <w:fldChar w:fldCharType="separate"/>
      </w:r>
      <w:r>
        <w:rPr>
          <w:rFonts w:hint="eastAsia" w:ascii="Times New Roman" w:hAnsi="Times New Roman" w:eastAsia="宋体" w:cs="Times New Roman"/>
          <w:bCs/>
          <w:color w:val="auto"/>
          <w:kern w:val="44"/>
          <w:szCs w:val="44"/>
          <w:highlight w:val="none"/>
          <w:lang w:val="en-US" w:eastAsia="zh-CN" w:bidi="ar-SA"/>
        </w:rPr>
        <w:t>第二章</w:t>
      </w:r>
      <w:r>
        <w:rPr>
          <w:rFonts w:hint="eastAsia" w:cs="Times New Roman"/>
          <w:bCs/>
          <w:color w:val="auto"/>
          <w:kern w:val="44"/>
          <w:szCs w:val="44"/>
          <w:highlight w:val="none"/>
          <w:lang w:val="en-US" w:eastAsia="zh-CN" w:bidi="ar-SA"/>
        </w:rPr>
        <w:t xml:space="preserve"> </w:t>
      </w:r>
      <w:r>
        <w:rPr>
          <w:rFonts w:hint="eastAsia"/>
          <w:color w:val="auto"/>
          <w:highlight w:val="none"/>
          <w:lang w:val="en-US" w:eastAsia="zh-CN"/>
        </w:rPr>
        <w:t xml:space="preserve">用户需求书            </w:t>
      </w:r>
      <w:r>
        <w:rPr>
          <w:color w:val="auto"/>
          <w:highlight w:val="none"/>
        </w:rPr>
        <w:tab/>
      </w:r>
      <w:r>
        <w:rPr>
          <w:color w:val="auto"/>
          <w:highlight w:val="none"/>
        </w:rPr>
        <w:fldChar w:fldCharType="begin"/>
      </w:r>
      <w:r>
        <w:rPr>
          <w:color w:val="auto"/>
          <w:highlight w:val="none"/>
        </w:rPr>
        <w:instrText xml:space="preserve"> PAGEREF _Toc308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1165058C">
      <w:pPr>
        <w:pStyle w:val="29"/>
        <w:tabs>
          <w:tab w:val="right" w:leader="dot" w:pos="9070"/>
        </w:tabs>
        <w:rPr>
          <w:color w:val="auto"/>
          <w:highlight w:val="none"/>
        </w:rPr>
      </w:pPr>
      <w:r>
        <w:rPr>
          <w:color w:val="auto"/>
          <w:highlight w:val="none"/>
        </w:rPr>
        <w:fldChar w:fldCharType="begin"/>
      </w:r>
      <w:r>
        <w:rPr>
          <w:color w:val="auto"/>
          <w:highlight w:val="none"/>
        </w:rPr>
        <w:instrText xml:space="preserve"> HYPERLINK \l _Toc8919 </w:instrText>
      </w:r>
      <w:r>
        <w:rPr>
          <w:color w:val="auto"/>
          <w:highlight w:val="none"/>
        </w:rPr>
        <w:fldChar w:fldCharType="separate"/>
      </w:r>
      <w:r>
        <w:rPr>
          <w:rFonts w:hint="eastAsia"/>
          <w:color w:val="auto"/>
          <w:highlight w:val="none"/>
        </w:rPr>
        <w:t>第三章 合同格式</w:t>
      </w:r>
      <w:r>
        <w:rPr>
          <w:color w:val="auto"/>
          <w:highlight w:val="none"/>
        </w:rPr>
        <w:tab/>
      </w:r>
      <w:r>
        <w:rPr>
          <w:color w:val="auto"/>
          <w:highlight w:val="none"/>
        </w:rPr>
        <w:fldChar w:fldCharType="begin"/>
      </w:r>
      <w:r>
        <w:rPr>
          <w:color w:val="auto"/>
          <w:highlight w:val="none"/>
        </w:rPr>
        <w:instrText xml:space="preserve"> PAGEREF _Toc8919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0CA633C0">
      <w:pPr>
        <w:pStyle w:val="29"/>
        <w:tabs>
          <w:tab w:val="right" w:leader="dot" w:pos="9070"/>
        </w:tabs>
        <w:rPr>
          <w:color w:val="auto"/>
          <w:highlight w:val="none"/>
        </w:rPr>
      </w:pPr>
      <w:r>
        <w:rPr>
          <w:color w:val="auto"/>
          <w:highlight w:val="none"/>
        </w:rPr>
        <w:fldChar w:fldCharType="begin"/>
      </w:r>
      <w:r>
        <w:rPr>
          <w:color w:val="auto"/>
          <w:highlight w:val="none"/>
        </w:rPr>
        <w:instrText xml:space="preserve"> HYPERLINK \l _Toc17484 </w:instrText>
      </w:r>
      <w:r>
        <w:rPr>
          <w:color w:val="auto"/>
          <w:highlight w:val="none"/>
        </w:rPr>
        <w:fldChar w:fldCharType="separate"/>
      </w:r>
      <w:r>
        <w:rPr>
          <w:rFonts w:hint="eastAsia" w:ascii="Times New Roman" w:hAnsi="Times New Roman" w:eastAsia="宋体" w:cs="Times New Roman"/>
          <w:bCs/>
          <w:color w:val="auto"/>
          <w:kern w:val="44"/>
          <w:szCs w:val="44"/>
          <w:highlight w:val="none"/>
          <w:lang w:val="en-US" w:eastAsia="zh-CN" w:bidi="ar-SA"/>
        </w:rPr>
        <w:t>第四章</w:t>
      </w:r>
      <w:r>
        <w:rPr>
          <w:rFonts w:hint="eastAsia" w:cs="Times New Roman"/>
          <w:bCs/>
          <w:color w:val="auto"/>
          <w:kern w:val="44"/>
          <w:szCs w:val="44"/>
          <w:highlight w:val="none"/>
          <w:lang w:val="en-US" w:eastAsia="zh-CN" w:bidi="ar-SA"/>
        </w:rPr>
        <w:t xml:space="preserve">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_Toc17484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1448BDF7">
      <w:pPr>
        <w:pStyle w:val="29"/>
        <w:tabs>
          <w:tab w:val="right" w:leader="dot" w:pos="9070"/>
        </w:tabs>
        <w:rPr>
          <w:color w:val="auto"/>
          <w:highlight w:val="none"/>
        </w:rPr>
      </w:pPr>
      <w:r>
        <w:rPr>
          <w:color w:val="auto"/>
          <w:highlight w:val="none"/>
        </w:rPr>
        <w:fldChar w:fldCharType="begin"/>
      </w:r>
      <w:r>
        <w:rPr>
          <w:color w:val="auto"/>
          <w:highlight w:val="none"/>
        </w:rPr>
        <w:instrText xml:space="preserve"> HYPERLINK \l _Toc12931 </w:instrText>
      </w:r>
      <w:r>
        <w:rPr>
          <w:color w:val="auto"/>
          <w:highlight w:val="none"/>
        </w:rPr>
        <w:fldChar w:fldCharType="separate"/>
      </w:r>
      <w:r>
        <w:rPr>
          <w:rFonts w:hint="eastAsia"/>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_Toc12931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0F0C37EB">
      <w:pPr>
        <w:rPr>
          <w:color w:val="auto"/>
          <w:highlight w:val="none"/>
        </w:rPr>
      </w:pPr>
      <w:r>
        <w:rPr>
          <w:color w:val="auto"/>
          <w:highlight w:val="none"/>
        </w:rPr>
        <w:fldChar w:fldCharType="end"/>
      </w:r>
    </w:p>
    <w:p w14:paraId="4CF20775">
      <w:pPr>
        <w:rPr>
          <w:bCs/>
          <w:color w:val="auto"/>
          <w:sz w:val="32"/>
          <w:szCs w:val="32"/>
          <w:highlight w:val="none"/>
        </w:rPr>
      </w:pPr>
    </w:p>
    <w:p w14:paraId="70561C0B">
      <w:pPr>
        <w:rPr>
          <w:bCs/>
          <w:color w:val="auto"/>
          <w:sz w:val="32"/>
          <w:szCs w:val="32"/>
          <w:highlight w:val="none"/>
        </w:rPr>
      </w:pPr>
    </w:p>
    <w:p w14:paraId="71F25AEA">
      <w:pPr>
        <w:rPr>
          <w:bCs/>
          <w:color w:val="auto"/>
          <w:sz w:val="32"/>
          <w:szCs w:val="32"/>
          <w:highlight w:val="none"/>
        </w:rPr>
      </w:pPr>
    </w:p>
    <w:p w14:paraId="015971F7">
      <w:pPr>
        <w:rPr>
          <w:bCs/>
          <w:color w:val="auto"/>
          <w:sz w:val="32"/>
          <w:szCs w:val="32"/>
          <w:highlight w:val="none"/>
        </w:rPr>
      </w:pPr>
    </w:p>
    <w:p w14:paraId="7B7ACED5">
      <w:pPr>
        <w:rPr>
          <w:bCs/>
          <w:color w:val="auto"/>
          <w:sz w:val="32"/>
          <w:szCs w:val="32"/>
          <w:highlight w:val="none"/>
        </w:rPr>
      </w:pPr>
    </w:p>
    <w:p w14:paraId="58143AC5">
      <w:pPr>
        <w:rPr>
          <w:bCs/>
          <w:color w:val="auto"/>
          <w:sz w:val="32"/>
          <w:szCs w:val="32"/>
          <w:highlight w:val="none"/>
        </w:rPr>
      </w:pPr>
    </w:p>
    <w:p w14:paraId="5A922836">
      <w:pPr>
        <w:rPr>
          <w:bCs/>
          <w:color w:val="auto"/>
          <w:sz w:val="32"/>
          <w:szCs w:val="32"/>
          <w:highlight w:val="none"/>
        </w:rPr>
      </w:pPr>
    </w:p>
    <w:p w14:paraId="00F9FB36">
      <w:pPr>
        <w:rPr>
          <w:bCs/>
          <w:color w:val="auto"/>
          <w:sz w:val="32"/>
          <w:szCs w:val="32"/>
          <w:highlight w:val="none"/>
        </w:rPr>
      </w:pPr>
    </w:p>
    <w:p w14:paraId="7CA47468">
      <w:pPr>
        <w:rPr>
          <w:bCs/>
          <w:color w:val="auto"/>
          <w:sz w:val="32"/>
          <w:szCs w:val="32"/>
          <w:highlight w:val="none"/>
        </w:rPr>
      </w:pPr>
    </w:p>
    <w:p w14:paraId="0D66E4CA">
      <w:pPr>
        <w:rPr>
          <w:bCs/>
          <w:color w:val="auto"/>
          <w:sz w:val="32"/>
          <w:szCs w:val="32"/>
          <w:highlight w:val="none"/>
        </w:rPr>
      </w:pPr>
    </w:p>
    <w:p w14:paraId="75D69EAD">
      <w:pPr>
        <w:rPr>
          <w:bCs/>
          <w:color w:val="auto"/>
          <w:sz w:val="32"/>
          <w:szCs w:val="32"/>
          <w:highlight w:val="none"/>
        </w:rPr>
      </w:pPr>
    </w:p>
    <w:p w14:paraId="36177BFC">
      <w:pPr>
        <w:rPr>
          <w:bCs/>
          <w:color w:val="auto"/>
          <w:sz w:val="32"/>
          <w:szCs w:val="32"/>
          <w:highlight w:val="none"/>
        </w:rPr>
      </w:pPr>
    </w:p>
    <w:p w14:paraId="26D5A959">
      <w:pPr>
        <w:rPr>
          <w:bCs/>
          <w:color w:val="auto"/>
          <w:sz w:val="32"/>
          <w:szCs w:val="32"/>
          <w:highlight w:val="none"/>
        </w:rPr>
      </w:pPr>
    </w:p>
    <w:p w14:paraId="3D143BF7">
      <w:pPr>
        <w:rPr>
          <w:rFonts w:ascii="宋体" w:hAnsi="Courier New"/>
          <w:bCs/>
          <w:color w:val="auto"/>
          <w:kern w:val="2"/>
          <w:sz w:val="32"/>
          <w:szCs w:val="32"/>
          <w:highlight w:val="none"/>
        </w:rPr>
      </w:pPr>
    </w:p>
    <w:p w14:paraId="56C4C1A8">
      <w:pPr>
        <w:pStyle w:val="2"/>
        <w:rPr>
          <w:color w:val="auto"/>
          <w:highlight w:val="none"/>
        </w:rPr>
      </w:pPr>
    </w:p>
    <w:p w14:paraId="33F1631E">
      <w:pPr>
        <w:pStyle w:val="5"/>
        <w:rPr>
          <w:color w:val="auto"/>
          <w:highlight w:val="none"/>
        </w:rPr>
      </w:pPr>
      <w:bookmarkStart w:id="20" w:name="_Toc4106"/>
      <w:bookmarkStart w:id="21" w:name="_Toc27161"/>
      <w:bookmarkStart w:id="22" w:name="_Hlk50447402"/>
      <w:r>
        <w:rPr>
          <w:rFonts w:hint="eastAsia"/>
          <w:color w:val="auto"/>
          <w:highlight w:val="none"/>
        </w:rPr>
        <w:t>招标</w:t>
      </w:r>
      <w:bookmarkEnd w:id="19"/>
      <w:r>
        <w:rPr>
          <w:rFonts w:hint="eastAsia"/>
          <w:color w:val="auto"/>
          <w:highlight w:val="none"/>
        </w:rPr>
        <w:t>公告</w:t>
      </w:r>
      <w:bookmarkEnd w:id="20"/>
      <w:bookmarkEnd w:id="21"/>
    </w:p>
    <w:p w14:paraId="087AAE6C">
      <w:pPr>
        <w:pStyle w:val="22"/>
        <w:rPr>
          <w:color w:val="auto"/>
          <w:highlight w:val="none"/>
        </w:rPr>
      </w:pPr>
    </w:p>
    <w:bookmarkEnd w:id="22"/>
    <w:p w14:paraId="19C6B5F6">
      <w:pPr>
        <w:pStyle w:val="143"/>
        <w:spacing w:line="360" w:lineRule="auto"/>
        <w:ind w:firstLine="480" w:firstLineChars="200"/>
        <w:rPr>
          <w:rFonts w:hAnsi="宋体"/>
          <w:color w:val="auto"/>
          <w:sz w:val="24"/>
          <w:szCs w:val="24"/>
          <w:highlight w:val="none"/>
        </w:rPr>
      </w:pPr>
      <w:r>
        <w:rPr>
          <w:rFonts w:hint="eastAsia" w:hAnsi="宋体"/>
          <w:color w:val="auto"/>
          <w:sz w:val="24"/>
          <w:szCs w:val="24"/>
          <w:highlight w:val="none"/>
          <w:lang w:eastAsia="zh-CN"/>
        </w:rPr>
        <w:t>广东重工建设监理有限公司</w:t>
      </w:r>
      <w:r>
        <w:rPr>
          <w:rFonts w:hint="eastAsia" w:hAnsi="宋体"/>
          <w:color w:val="auto"/>
          <w:sz w:val="24"/>
          <w:szCs w:val="24"/>
          <w:highlight w:val="none"/>
        </w:rPr>
        <w:t>(以下简称“代理机构”)受广州市自来水有限公司（以下简称招标人)的委托，就以下采购项目进行公开招标，欢迎符合资格条件的投标人投标。</w:t>
      </w:r>
    </w:p>
    <w:p w14:paraId="3E98C4FE">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1.</w:t>
      </w:r>
      <w:r>
        <w:rPr>
          <w:rFonts w:hint="eastAsia" w:ascii="Calibri" w:hAnsi="宋体"/>
          <w:b/>
          <w:color w:val="auto"/>
          <w:sz w:val="30"/>
          <w:szCs w:val="30"/>
          <w:highlight w:val="none"/>
        </w:rPr>
        <w:t>招标项目简介</w:t>
      </w:r>
    </w:p>
    <w:p w14:paraId="0A665775">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u w:val="single"/>
        </w:rPr>
      </w:pPr>
      <w:r>
        <w:rPr>
          <w:rFonts w:hint="default" w:ascii="宋体" w:hAnsi="宋体" w:eastAsia="宋体" w:cs="宋体"/>
          <w:color w:val="auto"/>
          <w:kern w:val="2"/>
          <w:sz w:val="24"/>
          <w:szCs w:val="24"/>
          <w:highlight w:val="none"/>
          <w:lang w:val="en-US" w:eastAsia="zh-CN" w:bidi="ar-SA"/>
        </w:rPr>
        <w:t>1.1.</w:t>
      </w:r>
      <w:r>
        <w:rPr>
          <w:rFonts w:hint="eastAsia" w:hAnsi="宋体" w:cs="Arial"/>
          <w:color w:val="auto"/>
          <w:sz w:val="24"/>
          <w:szCs w:val="24"/>
          <w:highlight w:val="none"/>
        </w:rPr>
        <w:t>项目名称</w:t>
      </w:r>
    </w:p>
    <w:p w14:paraId="0F4EFE59">
      <w:pPr>
        <w:pStyle w:val="143"/>
        <w:keepNext w:val="0"/>
        <w:keepLines w:val="0"/>
        <w:pageBreakBefore w:val="0"/>
        <w:numPr>
          <w:ilvl w:val="2"/>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eastAsia="宋体" w:cs="Arial"/>
          <w:color w:val="auto"/>
          <w:sz w:val="24"/>
          <w:szCs w:val="24"/>
          <w:highlight w:val="none"/>
          <w:u w:val="single"/>
          <w:lang w:eastAsia="zh-CN"/>
        </w:rPr>
      </w:pPr>
      <w:r>
        <w:rPr>
          <w:rFonts w:hint="default" w:ascii="宋体" w:hAnsi="宋体" w:eastAsia="宋体" w:cs="Times New Roman"/>
          <w:color w:val="auto"/>
          <w:kern w:val="2"/>
          <w:sz w:val="24"/>
          <w:szCs w:val="24"/>
          <w:highlight w:val="none"/>
          <w:lang w:val="en-US" w:eastAsia="zh-CN" w:bidi="ar-SA"/>
        </w:rPr>
        <w:t>1.1.1.</w:t>
      </w:r>
      <w:r>
        <w:rPr>
          <w:rFonts w:hint="eastAsia" w:hAnsi="宋体" w:cs="Arial"/>
          <w:color w:val="auto"/>
          <w:sz w:val="24"/>
          <w:szCs w:val="24"/>
          <w:highlight w:val="none"/>
        </w:rPr>
        <w:t>招标项目名称：</w:t>
      </w:r>
      <w:r>
        <w:rPr>
          <w:rFonts w:hint="eastAsia" w:hAnsi="宋体" w:cs="Arial"/>
          <w:color w:val="auto"/>
          <w:sz w:val="24"/>
          <w:szCs w:val="24"/>
          <w:highlight w:val="none"/>
          <w:u w:val="single"/>
          <w:lang w:eastAsia="zh-CN"/>
        </w:rPr>
        <w:t>广州市自来水有限公司南洲水厂排泥水处理系统建设工程污泥脱水集成设备采购公开招标项目</w:t>
      </w:r>
    </w:p>
    <w:p w14:paraId="47D8B76C">
      <w:pPr>
        <w:pStyle w:val="143"/>
        <w:keepNext w:val="0"/>
        <w:keepLines w:val="0"/>
        <w:pageBreakBefore w:val="0"/>
        <w:numPr>
          <w:ilvl w:val="2"/>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u w:val="single"/>
        </w:rPr>
      </w:pPr>
      <w:r>
        <w:rPr>
          <w:rFonts w:hint="eastAsia" w:hAnsi="宋体" w:cs="Arial"/>
          <w:color w:val="auto"/>
          <w:sz w:val="24"/>
          <w:szCs w:val="24"/>
          <w:highlight w:val="none"/>
          <w:u w:val="single"/>
          <w:lang w:val="en-US" w:eastAsia="zh-CN"/>
        </w:rPr>
        <w:t>1.1.2.本招标项目共分1个标段。</w:t>
      </w:r>
    </w:p>
    <w:p w14:paraId="6E1880F8">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1.2.</w:t>
      </w:r>
      <w:r>
        <w:rPr>
          <w:rFonts w:hint="eastAsia" w:hAnsi="宋体" w:cs="Arial"/>
          <w:color w:val="auto"/>
          <w:sz w:val="24"/>
          <w:szCs w:val="24"/>
          <w:highlight w:val="none"/>
        </w:rPr>
        <w:t>项目编号：</w:t>
      </w:r>
      <w:r>
        <w:rPr>
          <w:rFonts w:hint="eastAsia" w:hAnsi="宋体" w:cs="Arial"/>
          <w:color w:val="auto"/>
          <w:sz w:val="24"/>
          <w:szCs w:val="24"/>
          <w:highlight w:val="none"/>
          <w:u w:val="single"/>
        </w:rPr>
        <w:t xml:space="preserve"> </w:t>
      </w:r>
      <w:r>
        <w:rPr>
          <w:rFonts w:hint="eastAsia" w:hAnsi="宋体" w:cs="Arial"/>
          <w:color w:val="auto"/>
          <w:sz w:val="24"/>
          <w:szCs w:val="24"/>
          <w:highlight w:val="none"/>
          <w:u w:val="single"/>
          <w:lang w:val="en-US" w:eastAsia="zh-CN"/>
        </w:rPr>
        <w:t xml:space="preserve">      </w:t>
      </w:r>
      <w:r>
        <w:rPr>
          <w:rFonts w:hint="eastAsia" w:hAnsi="宋体" w:cs="Arial"/>
          <w:color w:val="auto"/>
          <w:sz w:val="24"/>
          <w:szCs w:val="24"/>
          <w:highlight w:val="none"/>
          <w:u w:val="single"/>
        </w:rPr>
        <w:t xml:space="preserve"> </w:t>
      </w:r>
      <w:r>
        <w:rPr>
          <w:rFonts w:hint="eastAsia" w:hAnsi="宋体" w:cs="Arial"/>
          <w:color w:val="auto"/>
          <w:sz w:val="24"/>
          <w:szCs w:val="24"/>
          <w:highlight w:val="none"/>
        </w:rPr>
        <w:t xml:space="preserve">。 </w:t>
      </w:r>
    </w:p>
    <w:p w14:paraId="7BD34819">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1.3.</w:t>
      </w:r>
      <w:r>
        <w:rPr>
          <w:rFonts w:hint="eastAsia" w:hAnsi="宋体" w:cs="Arial"/>
          <w:color w:val="auto"/>
          <w:sz w:val="24"/>
          <w:szCs w:val="24"/>
          <w:highlight w:val="none"/>
        </w:rPr>
        <w:t>本招标项目采购预算（或最高投标限价）</w:t>
      </w:r>
      <w:r>
        <w:rPr>
          <w:rFonts w:hint="eastAsia" w:hAnsi="宋体" w:cs="Arial"/>
          <w:color w:val="auto"/>
          <w:sz w:val="24"/>
          <w:szCs w:val="24"/>
          <w:highlight w:val="none"/>
          <w:lang w:val="en-US" w:eastAsia="zh-CN"/>
        </w:rPr>
        <w:t>和设备清单</w:t>
      </w:r>
      <w:r>
        <w:rPr>
          <w:rFonts w:hint="eastAsia" w:hAnsi="宋体" w:cs="Arial"/>
          <w:color w:val="auto"/>
          <w:sz w:val="24"/>
          <w:szCs w:val="24"/>
          <w:highlight w:val="none"/>
        </w:rPr>
        <w:t>：</w:t>
      </w:r>
    </w:p>
    <w:p w14:paraId="4CFA3F8A">
      <w:pPr>
        <w:keepNext w:val="0"/>
        <w:keepLines w:val="0"/>
        <w:pageBreakBefore w:val="0"/>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本招标项目共分1个标段，</w:t>
      </w:r>
      <w:r>
        <w:rPr>
          <w:rFonts w:hint="eastAsia" w:ascii="宋体" w:hAnsi="宋体"/>
          <w:color w:val="auto"/>
          <w:sz w:val="24"/>
          <w:szCs w:val="24"/>
          <w:highlight w:val="none"/>
        </w:rPr>
        <w:t>最高投标总价限价：人民币</w:t>
      </w:r>
      <w:r>
        <w:rPr>
          <w:rFonts w:hint="eastAsia" w:ascii="宋体" w:hAnsi="宋体"/>
          <w:color w:val="auto"/>
          <w:sz w:val="24"/>
          <w:szCs w:val="24"/>
          <w:highlight w:val="none"/>
          <w:u w:val="single"/>
          <w:lang w:val="en-US" w:eastAsia="zh-CN"/>
        </w:rPr>
        <w:t>45451496.00</w:t>
      </w:r>
      <w:r>
        <w:rPr>
          <w:rFonts w:hint="eastAsia" w:ascii="宋体" w:hAnsi="宋体"/>
          <w:color w:val="auto"/>
          <w:sz w:val="24"/>
          <w:szCs w:val="24"/>
          <w:highlight w:val="none"/>
        </w:rPr>
        <w:t>元</w:t>
      </w:r>
      <w:r>
        <w:rPr>
          <w:rFonts w:hint="eastAsia" w:ascii="宋体" w:hAnsi="宋体"/>
          <w:color w:val="auto"/>
          <w:sz w:val="24"/>
          <w:szCs w:val="24"/>
          <w:highlight w:val="none"/>
          <w:lang w:val="en-US" w:eastAsia="zh-CN"/>
        </w:rPr>
        <w:t>，设备清单及内容具体如下：</w:t>
      </w:r>
    </w:p>
    <w:tbl>
      <w:tblPr>
        <w:tblStyle w:val="4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90"/>
        <w:gridCol w:w="4471"/>
        <w:gridCol w:w="897"/>
        <w:gridCol w:w="924"/>
      </w:tblGrid>
      <w:tr w14:paraId="3223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14:paraId="4B71FDE1">
            <w:pPr>
              <w:widowControl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790" w:type="dxa"/>
            <w:noWrap w:val="0"/>
            <w:vAlign w:val="center"/>
          </w:tcPr>
          <w:p w14:paraId="5D116C2A">
            <w:pPr>
              <w:widowControl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设备</w:t>
            </w:r>
            <w:r>
              <w:rPr>
                <w:rFonts w:hint="eastAsia" w:ascii="宋体" w:hAnsi="宋体" w:eastAsia="宋体" w:cs="宋体"/>
                <w:color w:val="auto"/>
                <w:kern w:val="2"/>
                <w:sz w:val="24"/>
                <w:szCs w:val="24"/>
                <w:highlight w:val="none"/>
              </w:rPr>
              <w:t>名称</w:t>
            </w:r>
          </w:p>
        </w:tc>
        <w:tc>
          <w:tcPr>
            <w:tcW w:w="4471" w:type="dxa"/>
            <w:noWrap w:val="0"/>
            <w:vAlign w:val="center"/>
          </w:tcPr>
          <w:p w14:paraId="15C5A436">
            <w:pPr>
              <w:widowControl w:val="0"/>
              <w:spacing w:line="360" w:lineRule="auto"/>
              <w:jc w:val="center"/>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rPr>
              <w:t>型号规格</w:t>
            </w:r>
          </w:p>
        </w:tc>
        <w:tc>
          <w:tcPr>
            <w:tcW w:w="897" w:type="dxa"/>
            <w:noWrap w:val="0"/>
            <w:vAlign w:val="center"/>
          </w:tcPr>
          <w:p w14:paraId="691A5D61">
            <w:pPr>
              <w:widowControl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924" w:type="dxa"/>
            <w:noWrap w:val="0"/>
            <w:vAlign w:val="center"/>
          </w:tcPr>
          <w:p w14:paraId="7C6D94FB">
            <w:pPr>
              <w:widowControl w:val="0"/>
              <w:spacing w:line="360" w:lineRule="auto"/>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单位</w:t>
            </w:r>
          </w:p>
        </w:tc>
      </w:tr>
      <w:tr w14:paraId="6557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333F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790" w:type="dxa"/>
            <w:noWrap w:val="0"/>
            <w:vAlign w:val="center"/>
          </w:tcPr>
          <w:p w14:paraId="4DC3E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滤布行走式板框压滤机</w:t>
            </w:r>
          </w:p>
        </w:tc>
        <w:tc>
          <w:tcPr>
            <w:tcW w:w="4471" w:type="dxa"/>
            <w:noWrap w:val="0"/>
            <w:vAlign w:val="center"/>
          </w:tcPr>
          <w:p w14:paraId="128F83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滤板尺寸1500X1500mm，进料压力0.5MPa，挤压压力≥1.5MPa，不高于1.6MPa。N≥13.2KW。（包含液压站等）</w:t>
            </w:r>
          </w:p>
        </w:tc>
        <w:tc>
          <w:tcPr>
            <w:tcW w:w="897" w:type="dxa"/>
            <w:noWrap w:val="0"/>
            <w:vAlign w:val="center"/>
          </w:tcPr>
          <w:p w14:paraId="76F692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1FCAA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0A8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4D37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790" w:type="dxa"/>
            <w:noWrap w:val="0"/>
            <w:vAlign w:val="center"/>
          </w:tcPr>
          <w:p w14:paraId="1E664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离心泵（高压冲洗水）</w:t>
            </w:r>
          </w:p>
        </w:tc>
        <w:tc>
          <w:tcPr>
            <w:tcW w:w="4471" w:type="dxa"/>
            <w:noWrap w:val="0"/>
            <w:vAlign w:val="center"/>
          </w:tcPr>
          <w:p w14:paraId="3188A0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Q=80m³/h；H=100m；N=18.5kw</w:t>
            </w:r>
          </w:p>
        </w:tc>
        <w:tc>
          <w:tcPr>
            <w:tcW w:w="897" w:type="dxa"/>
            <w:noWrap w:val="0"/>
            <w:vAlign w:val="center"/>
          </w:tcPr>
          <w:p w14:paraId="5D2E9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2ADD42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B47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5EEEC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790" w:type="dxa"/>
            <w:noWrap w:val="0"/>
            <w:vAlign w:val="center"/>
          </w:tcPr>
          <w:p w14:paraId="249A6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离心泵（压榨）</w:t>
            </w:r>
          </w:p>
        </w:tc>
        <w:tc>
          <w:tcPr>
            <w:tcW w:w="4471" w:type="dxa"/>
            <w:noWrap w:val="0"/>
            <w:vAlign w:val="center"/>
          </w:tcPr>
          <w:p w14:paraId="25A49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Q=16m³/h；H=160m；N=11kw</w:t>
            </w:r>
          </w:p>
        </w:tc>
        <w:tc>
          <w:tcPr>
            <w:tcW w:w="897" w:type="dxa"/>
            <w:noWrap w:val="0"/>
            <w:vAlign w:val="center"/>
          </w:tcPr>
          <w:p w14:paraId="7360E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304C9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033F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BC63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790" w:type="dxa"/>
            <w:noWrap w:val="0"/>
            <w:vAlign w:val="center"/>
          </w:tcPr>
          <w:p w14:paraId="537DB5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螺杆式空气压缩机</w:t>
            </w:r>
          </w:p>
        </w:tc>
        <w:tc>
          <w:tcPr>
            <w:tcW w:w="4471" w:type="dxa"/>
            <w:noWrap w:val="0"/>
            <w:vAlign w:val="center"/>
          </w:tcPr>
          <w:p w14:paraId="5A82EF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Q=3.0m³/min，P=0.1MPa，N=22kW</w:t>
            </w:r>
          </w:p>
        </w:tc>
        <w:tc>
          <w:tcPr>
            <w:tcW w:w="897" w:type="dxa"/>
            <w:noWrap w:val="0"/>
            <w:vAlign w:val="center"/>
          </w:tcPr>
          <w:p w14:paraId="36DBBD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7A7FAD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DEF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42F76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790" w:type="dxa"/>
            <w:noWrap w:val="0"/>
            <w:vAlign w:val="center"/>
          </w:tcPr>
          <w:p w14:paraId="4A752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冷干机</w:t>
            </w:r>
          </w:p>
        </w:tc>
        <w:tc>
          <w:tcPr>
            <w:tcW w:w="4471" w:type="dxa"/>
            <w:noWrap w:val="0"/>
            <w:vAlign w:val="center"/>
          </w:tcPr>
          <w:p w14:paraId="0C689B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Q=1.0m³/min，P=0.1MPa，N=0.75kW</w:t>
            </w:r>
          </w:p>
        </w:tc>
        <w:tc>
          <w:tcPr>
            <w:tcW w:w="897" w:type="dxa"/>
            <w:noWrap w:val="0"/>
            <w:vAlign w:val="center"/>
          </w:tcPr>
          <w:p w14:paraId="1DDFB6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687406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37C8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FB5F8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790" w:type="dxa"/>
            <w:noWrap w:val="0"/>
            <w:vAlign w:val="center"/>
          </w:tcPr>
          <w:p w14:paraId="782EEA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储气罐</w:t>
            </w:r>
          </w:p>
        </w:tc>
        <w:tc>
          <w:tcPr>
            <w:tcW w:w="4471" w:type="dxa"/>
            <w:noWrap w:val="0"/>
            <w:vAlign w:val="center"/>
          </w:tcPr>
          <w:p w14:paraId="4D3F7B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V=8m³，P=0.1MPa</w:t>
            </w:r>
          </w:p>
        </w:tc>
        <w:tc>
          <w:tcPr>
            <w:tcW w:w="897" w:type="dxa"/>
            <w:noWrap w:val="0"/>
            <w:vAlign w:val="center"/>
          </w:tcPr>
          <w:p w14:paraId="1ED4D8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62D28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2E16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D6644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790" w:type="dxa"/>
            <w:noWrap w:val="0"/>
            <w:vAlign w:val="center"/>
          </w:tcPr>
          <w:p w14:paraId="20236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储气罐</w:t>
            </w:r>
          </w:p>
        </w:tc>
        <w:tc>
          <w:tcPr>
            <w:tcW w:w="4471" w:type="dxa"/>
            <w:noWrap w:val="0"/>
            <w:vAlign w:val="center"/>
          </w:tcPr>
          <w:p w14:paraId="4BD889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V=1m³，P=0.1MPa</w:t>
            </w:r>
          </w:p>
        </w:tc>
        <w:tc>
          <w:tcPr>
            <w:tcW w:w="897" w:type="dxa"/>
            <w:noWrap w:val="0"/>
            <w:vAlign w:val="center"/>
          </w:tcPr>
          <w:p w14:paraId="4EEB86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24" w:type="dxa"/>
            <w:noWrap w:val="0"/>
            <w:vAlign w:val="center"/>
          </w:tcPr>
          <w:p w14:paraId="0780CB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1E0E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401EF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790" w:type="dxa"/>
            <w:noWrap w:val="0"/>
            <w:vAlign w:val="center"/>
          </w:tcPr>
          <w:p w14:paraId="4A5A3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螺杆泵</w:t>
            </w:r>
          </w:p>
        </w:tc>
        <w:tc>
          <w:tcPr>
            <w:tcW w:w="4471" w:type="dxa"/>
            <w:noWrap w:val="0"/>
            <w:vAlign w:val="center"/>
          </w:tcPr>
          <w:p w14:paraId="3C300F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Q=130m³/h，H=60m，N=30kW</w:t>
            </w:r>
          </w:p>
        </w:tc>
        <w:tc>
          <w:tcPr>
            <w:tcW w:w="897" w:type="dxa"/>
            <w:noWrap w:val="0"/>
            <w:vAlign w:val="center"/>
          </w:tcPr>
          <w:p w14:paraId="6BD01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36F31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A7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D9F21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790" w:type="dxa"/>
            <w:noWrap w:val="0"/>
            <w:vAlign w:val="center"/>
          </w:tcPr>
          <w:p w14:paraId="5386FC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真空泵</w:t>
            </w:r>
          </w:p>
        </w:tc>
        <w:tc>
          <w:tcPr>
            <w:tcW w:w="4471" w:type="dxa"/>
            <w:noWrap w:val="0"/>
            <w:vAlign w:val="center"/>
          </w:tcPr>
          <w:p w14:paraId="3C4B4E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Q=3.5m³/h；P=-93.3KPa；N=7.5kw</w:t>
            </w:r>
          </w:p>
        </w:tc>
        <w:tc>
          <w:tcPr>
            <w:tcW w:w="897" w:type="dxa"/>
            <w:noWrap w:val="0"/>
            <w:vAlign w:val="center"/>
          </w:tcPr>
          <w:p w14:paraId="04BB8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188EA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65B6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5B863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1790" w:type="dxa"/>
            <w:noWrap w:val="0"/>
            <w:vAlign w:val="center"/>
          </w:tcPr>
          <w:p w14:paraId="02196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储水箱</w:t>
            </w:r>
          </w:p>
        </w:tc>
        <w:tc>
          <w:tcPr>
            <w:tcW w:w="4471" w:type="dxa"/>
            <w:noWrap w:val="0"/>
            <w:vAlign w:val="center"/>
          </w:tcPr>
          <w:p w14:paraId="02713F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10m³，带自动进水装置,罐体为不锈钢材质</w:t>
            </w:r>
          </w:p>
        </w:tc>
        <w:tc>
          <w:tcPr>
            <w:tcW w:w="897" w:type="dxa"/>
            <w:noWrap w:val="0"/>
            <w:vAlign w:val="center"/>
          </w:tcPr>
          <w:p w14:paraId="5D9FC0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6B3875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4756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0F51D2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1790" w:type="dxa"/>
            <w:noWrap w:val="0"/>
            <w:vAlign w:val="center"/>
          </w:tcPr>
          <w:p w14:paraId="54C62E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导料斗</w:t>
            </w:r>
          </w:p>
        </w:tc>
        <w:tc>
          <w:tcPr>
            <w:tcW w:w="4471" w:type="dxa"/>
            <w:noWrap w:val="0"/>
            <w:vAlign w:val="center"/>
          </w:tcPr>
          <w:p w14:paraId="283369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板框机配套</w:t>
            </w:r>
          </w:p>
        </w:tc>
        <w:tc>
          <w:tcPr>
            <w:tcW w:w="897" w:type="dxa"/>
            <w:noWrap w:val="0"/>
            <w:vAlign w:val="center"/>
          </w:tcPr>
          <w:p w14:paraId="79647C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27994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27CD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4830A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790" w:type="dxa"/>
            <w:noWrap w:val="0"/>
            <w:vAlign w:val="center"/>
          </w:tcPr>
          <w:p w14:paraId="5165E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PAM一体制备装置</w:t>
            </w:r>
          </w:p>
        </w:tc>
        <w:tc>
          <w:tcPr>
            <w:tcW w:w="4471" w:type="dxa"/>
            <w:noWrap w:val="0"/>
            <w:vAlign w:val="center"/>
          </w:tcPr>
          <w:p w14:paraId="7A7F2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制备能力6000L/h，制备浓度0.1~0.3% ，P=5kw</w:t>
            </w:r>
          </w:p>
        </w:tc>
        <w:tc>
          <w:tcPr>
            <w:tcW w:w="897" w:type="dxa"/>
            <w:noWrap w:val="0"/>
            <w:vAlign w:val="center"/>
          </w:tcPr>
          <w:p w14:paraId="6CEB54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24" w:type="dxa"/>
            <w:noWrap w:val="0"/>
            <w:vAlign w:val="center"/>
          </w:tcPr>
          <w:p w14:paraId="35365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4746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2C85A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790" w:type="dxa"/>
            <w:noWrap w:val="0"/>
            <w:vAlign w:val="center"/>
          </w:tcPr>
          <w:p w14:paraId="257EBC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螺杆泵（PAM投加）</w:t>
            </w:r>
          </w:p>
        </w:tc>
        <w:tc>
          <w:tcPr>
            <w:tcW w:w="4471" w:type="dxa"/>
            <w:noWrap w:val="0"/>
            <w:vAlign w:val="center"/>
          </w:tcPr>
          <w:p w14:paraId="03C37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Q=8m³/h，H=60m，N=2.2kW</w:t>
            </w:r>
          </w:p>
        </w:tc>
        <w:tc>
          <w:tcPr>
            <w:tcW w:w="897" w:type="dxa"/>
            <w:noWrap w:val="0"/>
            <w:vAlign w:val="center"/>
          </w:tcPr>
          <w:p w14:paraId="19138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6AB305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573E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A075F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790" w:type="dxa"/>
            <w:noWrap w:val="0"/>
            <w:vAlign w:val="center"/>
          </w:tcPr>
          <w:p w14:paraId="61D071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螺杆泵（PAM投加）</w:t>
            </w:r>
          </w:p>
        </w:tc>
        <w:tc>
          <w:tcPr>
            <w:tcW w:w="4471" w:type="dxa"/>
            <w:noWrap w:val="0"/>
            <w:vAlign w:val="center"/>
          </w:tcPr>
          <w:p w14:paraId="03D8B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Q=0.27m³/h，H=40m，N=0.55kW</w:t>
            </w:r>
          </w:p>
        </w:tc>
        <w:tc>
          <w:tcPr>
            <w:tcW w:w="897" w:type="dxa"/>
            <w:noWrap w:val="0"/>
            <w:vAlign w:val="center"/>
          </w:tcPr>
          <w:p w14:paraId="1961C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924" w:type="dxa"/>
            <w:noWrap w:val="0"/>
            <w:vAlign w:val="center"/>
          </w:tcPr>
          <w:p w14:paraId="14795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r>
      <w:tr w14:paraId="17A5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4EAC3B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1790" w:type="dxa"/>
            <w:noWrap w:val="0"/>
            <w:vAlign w:val="center"/>
          </w:tcPr>
          <w:p w14:paraId="3DC459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导料斗螺旋输送机</w:t>
            </w:r>
          </w:p>
        </w:tc>
        <w:tc>
          <w:tcPr>
            <w:tcW w:w="4471" w:type="dxa"/>
            <w:noWrap w:val="0"/>
            <w:vAlign w:val="center"/>
          </w:tcPr>
          <w:p w14:paraId="66F9AB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Q=20m³/h，L=12m，P=7.5kw</w:t>
            </w:r>
          </w:p>
        </w:tc>
        <w:tc>
          <w:tcPr>
            <w:tcW w:w="897" w:type="dxa"/>
            <w:noWrap w:val="0"/>
            <w:vAlign w:val="center"/>
          </w:tcPr>
          <w:p w14:paraId="5FF9CF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72B998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7137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86B12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790" w:type="dxa"/>
            <w:noWrap w:val="0"/>
            <w:vAlign w:val="center"/>
          </w:tcPr>
          <w:p w14:paraId="65E4AA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料仓进料螺旋输送机</w:t>
            </w:r>
          </w:p>
        </w:tc>
        <w:tc>
          <w:tcPr>
            <w:tcW w:w="4471" w:type="dxa"/>
            <w:noWrap w:val="0"/>
            <w:vAlign w:val="center"/>
          </w:tcPr>
          <w:p w14:paraId="168F3A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Q=20m³/h，L=14m，P=7.5kw</w:t>
            </w:r>
          </w:p>
        </w:tc>
        <w:tc>
          <w:tcPr>
            <w:tcW w:w="897" w:type="dxa"/>
            <w:noWrap w:val="0"/>
            <w:vAlign w:val="center"/>
          </w:tcPr>
          <w:p w14:paraId="7E76C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4EAAEA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0D20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78BBC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1790" w:type="dxa"/>
            <w:noWrap w:val="0"/>
            <w:vAlign w:val="center"/>
          </w:tcPr>
          <w:p w14:paraId="45641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料仓</w:t>
            </w:r>
          </w:p>
        </w:tc>
        <w:tc>
          <w:tcPr>
            <w:tcW w:w="4471" w:type="dxa"/>
            <w:noWrap w:val="0"/>
            <w:vAlign w:val="center"/>
          </w:tcPr>
          <w:p w14:paraId="7A3F30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100方， 5.5kw*4</w:t>
            </w:r>
          </w:p>
        </w:tc>
        <w:tc>
          <w:tcPr>
            <w:tcW w:w="897" w:type="dxa"/>
            <w:noWrap w:val="0"/>
            <w:vAlign w:val="center"/>
          </w:tcPr>
          <w:p w14:paraId="484DD2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13201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2BB1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65942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1790" w:type="dxa"/>
            <w:noWrap w:val="0"/>
            <w:vAlign w:val="center"/>
          </w:tcPr>
          <w:p w14:paraId="6C93AA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配套管道、管件</w:t>
            </w:r>
          </w:p>
        </w:tc>
        <w:tc>
          <w:tcPr>
            <w:tcW w:w="4471" w:type="dxa"/>
            <w:noWrap w:val="0"/>
            <w:vAlign w:val="center"/>
          </w:tcPr>
          <w:p w14:paraId="49F813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配套管道、管件</w:t>
            </w:r>
          </w:p>
        </w:tc>
        <w:tc>
          <w:tcPr>
            <w:tcW w:w="897" w:type="dxa"/>
            <w:noWrap w:val="0"/>
            <w:vAlign w:val="center"/>
          </w:tcPr>
          <w:p w14:paraId="6CC25F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0D92D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554D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20556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1790" w:type="dxa"/>
            <w:noWrap w:val="0"/>
            <w:vAlign w:val="center"/>
          </w:tcPr>
          <w:p w14:paraId="0945E5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配套阀门</w:t>
            </w:r>
          </w:p>
        </w:tc>
        <w:tc>
          <w:tcPr>
            <w:tcW w:w="4471" w:type="dxa"/>
            <w:noWrap w:val="0"/>
            <w:vAlign w:val="center"/>
          </w:tcPr>
          <w:p w14:paraId="16EDFC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配套阀门</w:t>
            </w:r>
          </w:p>
        </w:tc>
        <w:tc>
          <w:tcPr>
            <w:tcW w:w="897" w:type="dxa"/>
            <w:noWrap w:val="0"/>
            <w:vAlign w:val="center"/>
          </w:tcPr>
          <w:p w14:paraId="491F6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3B7F7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795B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F00A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1790" w:type="dxa"/>
            <w:noWrap w:val="0"/>
            <w:vAlign w:val="center"/>
          </w:tcPr>
          <w:p w14:paraId="78232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电气自控、仪表</w:t>
            </w:r>
          </w:p>
        </w:tc>
        <w:tc>
          <w:tcPr>
            <w:tcW w:w="4471" w:type="dxa"/>
            <w:noWrap w:val="0"/>
            <w:vAlign w:val="center"/>
          </w:tcPr>
          <w:p w14:paraId="60D38A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电气自控、仪表</w:t>
            </w:r>
          </w:p>
        </w:tc>
        <w:tc>
          <w:tcPr>
            <w:tcW w:w="897" w:type="dxa"/>
            <w:noWrap w:val="0"/>
            <w:vAlign w:val="center"/>
          </w:tcPr>
          <w:p w14:paraId="2CEF35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141DFD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3575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61F7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790" w:type="dxa"/>
            <w:noWrap w:val="0"/>
            <w:vAlign w:val="center"/>
          </w:tcPr>
          <w:p w14:paraId="092F9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低压配电柜</w:t>
            </w:r>
          </w:p>
        </w:tc>
        <w:tc>
          <w:tcPr>
            <w:tcW w:w="4471" w:type="dxa"/>
            <w:noWrap w:val="0"/>
            <w:vAlign w:val="center"/>
          </w:tcPr>
          <w:p w14:paraId="6C330B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800X1000X2000(宽 X 深 X 高)</w:t>
            </w:r>
          </w:p>
        </w:tc>
        <w:tc>
          <w:tcPr>
            <w:tcW w:w="897" w:type="dxa"/>
            <w:noWrap w:val="0"/>
            <w:vAlign w:val="center"/>
          </w:tcPr>
          <w:p w14:paraId="24E1C0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5A9D89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4CEC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9DDC4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1790" w:type="dxa"/>
            <w:noWrap w:val="0"/>
            <w:vAlign w:val="center"/>
          </w:tcPr>
          <w:p w14:paraId="3D137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污泥脱水 PLC 站</w:t>
            </w:r>
          </w:p>
        </w:tc>
        <w:tc>
          <w:tcPr>
            <w:tcW w:w="4471" w:type="dxa"/>
            <w:noWrap w:val="0"/>
            <w:vAlign w:val="center"/>
          </w:tcPr>
          <w:p w14:paraId="6A9915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可编程控制器系统(含 CPU、电源、通讯、本地 I/O 模块等)支持工业以太网、远程 I/O 连接及不少于 4 种各 2 通道现场总线接口；(Modbus，Profibus-DP，DeviceNet，RS485 等按实需组合)控制机柜 2200Hx800Wx800D(mm)IP5412 寸汉化彩色触摸屏(IP54)，USB，以太网。机架式，支持冗余</w:t>
            </w:r>
          </w:p>
        </w:tc>
        <w:tc>
          <w:tcPr>
            <w:tcW w:w="897" w:type="dxa"/>
            <w:noWrap w:val="0"/>
            <w:vAlign w:val="center"/>
          </w:tcPr>
          <w:p w14:paraId="598F2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42C59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53A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1A849E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1790" w:type="dxa"/>
            <w:noWrap w:val="0"/>
            <w:vAlign w:val="center"/>
          </w:tcPr>
          <w:p w14:paraId="0E5DDE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中控室</w:t>
            </w:r>
          </w:p>
        </w:tc>
        <w:tc>
          <w:tcPr>
            <w:tcW w:w="4471" w:type="dxa"/>
            <w:noWrap w:val="0"/>
            <w:vAlign w:val="center"/>
          </w:tcPr>
          <w:p w14:paraId="3B51F4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1、显示器;27 寸；2、操作站：CPU 酷睿 i7，内存 DDR416G，硬盘 1T+256G，独立显卡 4G 显存；3、交换机：导轨式，24 电口（不少于 4 个 PoE口），4 光口千兆工业以太网 POE 交换机（支持光纤环网，网管型）；</w:t>
            </w:r>
          </w:p>
        </w:tc>
        <w:tc>
          <w:tcPr>
            <w:tcW w:w="897" w:type="dxa"/>
            <w:noWrap w:val="0"/>
            <w:vAlign w:val="center"/>
          </w:tcPr>
          <w:p w14:paraId="599CCB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7B8088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397D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0CBD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1790" w:type="dxa"/>
            <w:noWrap w:val="0"/>
            <w:vAlign w:val="center"/>
          </w:tcPr>
          <w:p w14:paraId="290A0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不间断电源(含后备电池组)</w:t>
            </w:r>
          </w:p>
        </w:tc>
        <w:tc>
          <w:tcPr>
            <w:tcW w:w="4471" w:type="dxa"/>
            <w:noWrap w:val="0"/>
            <w:vAlign w:val="center"/>
          </w:tcPr>
          <w:p w14:paraId="071B02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在线式，3KVA，60min 备电，RS48通讯</w:t>
            </w:r>
          </w:p>
        </w:tc>
        <w:tc>
          <w:tcPr>
            <w:tcW w:w="897" w:type="dxa"/>
            <w:noWrap w:val="0"/>
            <w:vAlign w:val="center"/>
          </w:tcPr>
          <w:p w14:paraId="13C294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30B515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3A4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CA2A8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1790" w:type="dxa"/>
            <w:noWrap w:val="0"/>
            <w:vAlign w:val="center"/>
          </w:tcPr>
          <w:p w14:paraId="35719B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有害气体检测系统</w:t>
            </w:r>
          </w:p>
        </w:tc>
        <w:tc>
          <w:tcPr>
            <w:tcW w:w="4471" w:type="dxa"/>
            <w:noWrap w:val="0"/>
            <w:vAlign w:val="center"/>
          </w:tcPr>
          <w:p w14:paraId="694C05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氧气、氨气、甲烷、硫化氢</w:t>
            </w:r>
          </w:p>
        </w:tc>
        <w:tc>
          <w:tcPr>
            <w:tcW w:w="897" w:type="dxa"/>
            <w:noWrap w:val="0"/>
            <w:vAlign w:val="center"/>
          </w:tcPr>
          <w:p w14:paraId="0ACB24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2A1264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3026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C392D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1790" w:type="dxa"/>
            <w:noWrap w:val="0"/>
            <w:vAlign w:val="center"/>
          </w:tcPr>
          <w:p w14:paraId="44686C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配套电缆、电缆桥架、安装辅材</w:t>
            </w:r>
          </w:p>
        </w:tc>
        <w:tc>
          <w:tcPr>
            <w:tcW w:w="4471" w:type="dxa"/>
            <w:noWrap w:val="0"/>
            <w:vAlign w:val="center"/>
          </w:tcPr>
          <w:p w14:paraId="7139B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w:t>
            </w:r>
          </w:p>
        </w:tc>
        <w:tc>
          <w:tcPr>
            <w:tcW w:w="897" w:type="dxa"/>
            <w:noWrap w:val="0"/>
            <w:vAlign w:val="center"/>
          </w:tcPr>
          <w:p w14:paraId="495E0D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03640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r w14:paraId="4C31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2340E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1790" w:type="dxa"/>
            <w:noWrap w:val="0"/>
            <w:vAlign w:val="center"/>
          </w:tcPr>
          <w:p w14:paraId="2A740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电磁流量计</w:t>
            </w:r>
          </w:p>
        </w:tc>
        <w:tc>
          <w:tcPr>
            <w:tcW w:w="4471" w:type="dxa"/>
            <w:noWrap w:val="0"/>
            <w:vAlign w:val="center"/>
          </w:tcPr>
          <w:p w14:paraId="0BB913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DN150，Q=0~150m³/h</w:t>
            </w:r>
          </w:p>
        </w:tc>
        <w:tc>
          <w:tcPr>
            <w:tcW w:w="897" w:type="dxa"/>
            <w:noWrap w:val="0"/>
            <w:vAlign w:val="center"/>
          </w:tcPr>
          <w:p w14:paraId="76F27A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36860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1317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60D2D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1790" w:type="dxa"/>
            <w:noWrap w:val="0"/>
            <w:vAlign w:val="center"/>
          </w:tcPr>
          <w:p w14:paraId="6EB679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电磁流量计</w:t>
            </w:r>
          </w:p>
        </w:tc>
        <w:tc>
          <w:tcPr>
            <w:tcW w:w="4471" w:type="dxa"/>
            <w:noWrap w:val="0"/>
            <w:vAlign w:val="center"/>
          </w:tcPr>
          <w:p w14:paraId="700058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DN65，Q=0~15m³/h</w:t>
            </w:r>
          </w:p>
        </w:tc>
        <w:tc>
          <w:tcPr>
            <w:tcW w:w="897" w:type="dxa"/>
            <w:noWrap w:val="0"/>
            <w:vAlign w:val="center"/>
          </w:tcPr>
          <w:p w14:paraId="6A211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924" w:type="dxa"/>
            <w:noWrap w:val="0"/>
            <w:vAlign w:val="center"/>
          </w:tcPr>
          <w:p w14:paraId="07445B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2C0F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726AC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1790" w:type="dxa"/>
            <w:noWrap w:val="0"/>
            <w:vAlign w:val="center"/>
          </w:tcPr>
          <w:p w14:paraId="04E1E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电磁流量计</w:t>
            </w:r>
          </w:p>
        </w:tc>
        <w:tc>
          <w:tcPr>
            <w:tcW w:w="4471" w:type="dxa"/>
            <w:noWrap w:val="0"/>
            <w:vAlign w:val="center"/>
          </w:tcPr>
          <w:p w14:paraId="665645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DN50，Q=0~1m³/h</w:t>
            </w:r>
          </w:p>
        </w:tc>
        <w:tc>
          <w:tcPr>
            <w:tcW w:w="897" w:type="dxa"/>
            <w:noWrap w:val="0"/>
            <w:vAlign w:val="center"/>
          </w:tcPr>
          <w:p w14:paraId="6DBAE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64F79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w:t>
            </w:r>
          </w:p>
        </w:tc>
      </w:tr>
      <w:tr w14:paraId="4AF8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395EAF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1790" w:type="dxa"/>
            <w:noWrap w:val="0"/>
            <w:vAlign w:val="center"/>
          </w:tcPr>
          <w:p w14:paraId="0BF52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应急洗涤设施</w:t>
            </w:r>
          </w:p>
        </w:tc>
        <w:tc>
          <w:tcPr>
            <w:tcW w:w="4471" w:type="dxa"/>
            <w:noWrap w:val="0"/>
            <w:vAlign w:val="center"/>
          </w:tcPr>
          <w:p w14:paraId="4DE64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材质：SUS304</w:t>
            </w:r>
          </w:p>
        </w:tc>
        <w:tc>
          <w:tcPr>
            <w:tcW w:w="897" w:type="dxa"/>
            <w:noWrap w:val="0"/>
            <w:vAlign w:val="center"/>
          </w:tcPr>
          <w:p w14:paraId="07C821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924" w:type="dxa"/>
            <w:noWrap w:val="0"/>
            <w:vAlign w:val="center"/>
          </w:tcPr>
          <w:p w14:paraId="56836E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r>
      <w:tr w14:paraId="2606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7555C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1790" w:type="dxa"/>
            <w:noWrap w:val="0"/>
            <w:vAlign w:val="center"/>
          </w:tcPr>
          <w:p w14:paraId="4D6CA3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热浸钢格栅盖板</w:t>
            </w:r>
          </w:p>
        </w:tc>
        <w:tc>
          <w:tcPr>
            <w:tcW w:w="4471" w:type="dxa"/>
            <w:noWrap w:val="0"/>
            <w:vAlign w:val="center"/>
          </w:tcPr>
          <w:p w14:paraId="662D28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材质：热镀锌，规格G505/30/100，实际尺寸按现场制作为准</w:t>
            </w:r>
          </w:p>
        </w:tc>
        <w:tc>
          <w:tcPr>
            <w:tcW w:w="897" w:type="dxa"/>
            <w:noWrap w:val="0"/>
            <w:vAlign w:val="center"/>
          </w:tcPr>
          <w:p w14:paraId="74EA96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17.3</w:t>
            </w:r>
          </w:p>
        </w:tc>
        <w:tc>
          <w:tcPr>
            <w:tcW w:w="924" w:type="dxa"/>
            <w:noWrap w:val="0"/>
            <w:vAlign w:val="center"/>
          </w:tcPr>
          <w:p w14:paraId="53A95D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1593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1" w:type="dxa"/>
            <w:noWrap w:val="0"/>
            <w:vAlign w:val="center"/>
          </w:tcPr>
          <w:p w14:paraId="5C49C9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1790" w:type="dxa"/>
            <w:noWrap w:val="0"/>
            <w:vAlign w:val="center"/>
          </w:tcPr>
          <w:p w14:paraId="05FFE0A3">
            <w:pPr>
              <w:keepNext w:val="0"/>
              <w:keepLines w:val="0"/>
              <w:widowControl/>
              <w:suppressLineNumbers w:val="0"/>
              <w:adjustRightIn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组装费</w:t>
            </w:r>
          </w:p>
        </w:tc>
        <w:tc>
          <w:tcPr>
            <w:tcW w:w="4471" w:type="dxa"/>
            <w:noWrap w:val="0"/>
            <w:vAlign w:val="center"/>
          </w:tcPr>
          <w:p w14:paraId="63C19ED4">
            <w:pPr>
              <w:keepNext w:val="0"/>
              <w:keepLines w:val="0"/>
              <w:widowControl/>
              <w:suppressLineNumbers w:val="0"/>
              <w:adjustRightInd/>
              <w:spacing w:line="240" w:lineRule="auto"/>
              <w:ind w:left="0" w:leftChars="0" w:firstLine="0" w:firstLineChars="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配套组装费</w:t>
            </w:r>
          </w:p>
        </w:tc>
        <w:tc>
          <w:tcPr>
            <w:tcW w:w="897" w:type="dxa"/>
            <w:noWrap w:val="0"/>
            <w:vAlign w:val="center"/>
          </w:tcPr>
          <w:p w14:paraId="7C143F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924" w:type="dxa"/>
            <w:noWrap w:val="0"/>
            <w:vAlign w:val="center"/>
          </w:tcPr>
          <w:p w14:paraId="65CE06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w:t>
            </w:r>
          </w:p>
        </w:tc>
      </w:tr>
    </w:tbl>
    <w:p w14:paraId="62A11D26">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注：本项目招标包括污泥脱水集成设备的生产前准备、设计、生产、防腐、产品检验、运输（含转运）、包装、装卸（含卸车费用）、安装及调试（具体按“第二章用户需求书 技术要求”）、验收（含出厂前及到货后的验收）、质量抽检、培训、常规维修工具、备品备件、相关税费、保险费、物货伴随服务（包括安装使用说明书、图纸的提供、质保期服务）等全部费用。投标人需对紧急供货、运输、批量供货等相关的风险因素作充分的考虑。</w:t>
      </w:r>
    </w:p>
    <w:p w14:paraId="2886516E">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u w:val="single"/>
        </w:rPr>
      </w:pPr>
      <w:r>
        <w:rPr>
          <w:rFonts w:hint="default" w:ascii="宋体" w:hAnsi="宋体" w:eastAsia="宋体" w:cs="宋体"/>
          <w:color w:val="auto"/>
          <w:kern w:val="2"/>
          <w:sz w:val="24"/>
          <w:szCs w:val="24"/>
          <w:highlight w:val="none"/>
          <w:lang w:val="en-US" w:eastAsia="zh-CN" w:bidi="ar-SA"/>
        </w:rPr>
        <w:t>1.4.</w:t>
      </w:r>
      <w:r>
        <w:rPr>
          <w:rFonts w:hint="eastAsia" w:hAnsi="宋体" w:cs="宋体"/>
          <w:color w:val="auto"/>
          <w:kern w:val="2"/>
          <w:sz w:val="24"/>
          <w:szCs w:val="24"/>
          <w:highlight w:val="none"/>
          <w:lang w:val="en-US" w:eastAsia="zh-CN" w:bidi="ar-SA"/>
        </w:rPr>
        <w:t>合同</w:t>
      </w:r>
      <w:r>
        <w:rPr>
          <w:rFonts w:hint="eastAsia" w:hAnsi="宋体" w:cs="宋体"/>
          <w:color w:val="auto"/>
          <w:sz w:val="24"/>
          <w:szCs w:val="24"/>
          <w:highlight w:val="none"/>
        </w:rPr>
        <w:t>供货期：</w:t>
      </w:r>
      <w:r>
        <w:rPr>
          <w:rFonts w:hint="eastAsia" w:hAnsi="宋体" w:cs="宋体"/>
          <w:color w:val="auto"/>
          <w:kern w:val="2"/>
          <w:sz w:val="24"/>
          <w:szCs w:val="24"/>
          <w:highlight w:val="none"/>
          <w:lang w:val="en-US" w:eastAsia="zh-CN"/>
        </w:rPr>
        <w:t>供货期暂定自合同生效之日起至本项目各工程完工验收为止。本项目的交货期根据工程施工进度，最迟交货时间不得超过业主提出供货要求后2个月。</w:t>
      </w:r>
      <w:r>
        <w:rPr>
          <w:rFonts w:hint="eastAsia" w:hAnsi="宋体" w:cs="宋体"/>
          <w:color w:val="auto"/>
          <w:sz w:val="24"/>
          <w:szCs w:val="24"/>
          <w:highlight w:val="none"/>
          <w:u w:val="none"/>
        </w:rPr>
        <w:t xml:space="preserve"> </w:t>
      </w:r>
    </w:p>
    <w:p w14:paraId="7AF2F6F6">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u w:val="single"/>
        </w:rPr>
      </w:pPr>
      <w:r>
        <w:rPr>
          <w:rFonts w:hint="default" w:ascii="宋体" w:hAnsi="宋体" w:eastAsia="宋体" w:cs="宋体"/>
          <w:color w:val="auto"/>
          <w:kern w:val="2"/>
          <w:sz w:val="24"/>
          <w:szCs w:val="24"/>
          <w:highlight w:val="none"/>
          <w:lang w:val="en-US" w:eastAsia="zh-CN" w:bidi="ar-SA"/>
        </w:rPr>
        <w:t>1.5.</w:t>
      </w:r>
      <w:r>
        <w:rPr>
          <w:rFonts w:hint="eastAsia" w:hAnsi="宋体" w:cs="Arial"/>
          <w:color w:val="auto"/>
          <w:sz w:val="24"/>
          <w:szCs w:val="24"/>
          <w:highlight w:val="none"/>
        </w:rPr>
        <w:t>项目类别：</w:t>
      </w:r>
      <w:r>
        <w:rPr>
          <w:rFonts w:hint="eastAsia" w:hAnsi="宋体" w:cs="Arial"/>
          <w:color w:val="auto"/>
          <w:sz w:val="24"/>
          <w:szCs w:val="24"/>
          <w:highlight w:val="none"/>
          <w:u w:val="single"/>
        </w:rPr>
        <w:t>货物类。</w:t>
      </w:r>
    </w:p>
    <w:p w14:paraId="7C881285">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1.6.</w:t>
      </w:r>
      <w:r>
        <w:rPr>
          <w:rFonts w:hint="eastAsia" w:hAnsi="宋体" w:cs="Arial"/>
          <w:color w:val="auto"/>
          <w:sz w:val="24"/>
          <w:szCs w:val="24"/>
          <w:highlight w:val="none"/>
        </w:rPr>
        <w:t>资金来源：</w:t>
      </w:r>
      <w:r>
        <w:rPr>
          <w:rFonts w:hint="eastAsia" w:hAnsi="宋体" w:cs="Arial"/>
          <w:color w:val="auto"/>
          <w:sz w:val="24"/>
          <w:szCs w:val="24"/>
          <w:highlight w:val="none"/>
          <w:u w:val="single"/>
        </w:rPr>
        <w:t>自筹资金。</w:t>
      </w:r>
    </w:p>
    <w:p w14:paraId="5455DE09">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1.7.</w:t>
      </w:r>
      <w:r>
        <w:rPr>
          <w:rFonts w:hint="eastAsia" w:hAnsi="宋体" w:cs="Arial"/>
          <w:color w:val="auto"/>
          <w:sz w:val="24"/>
          <w:szCs w:val="24"/>
          <w:highlight w:val="none"/>
        </w:rPr>
        <w:t>项目内容：</w:t>
      </w:r>
      <w:r>
        <w:rPr>
          <w:rFonts w:hint="eastAsia" w:hAnsi="宋体" w:cs="Arial"/>
          <w:color w:val="auto"/>
          <w:sz w:val="24"/>
          <w:szCs w:val="24"/>
          <w:highlight w:val="none"/>
          <w:u w:val="single"/>
          <w:lang w:val="en-US" w:eastAsia="zh-CN"/>
        </w:rPr>
        <w:t>广州市自来水有限公司南洲水厂排泥水处理系统建设工程污泥脱水成套设备一套采购工作。</w:t>
      </w:r>
    </w:p>
    <w:p w14:paraId="231C49B3">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1.8.</w:t>
      </w:r>
      <w:r>
        <w:rPr>
          <w:rFonts w:hint="eastAsia" w:hAnsi="宋体" w:cs="Arial"/>
          <w:color w:val="auto"/>
          <w:sz w:val="24"/>
          <w:szCs w:val="24"/>
          <w:highlight w:val="none"/>
          <w:lang w:val="en-US" w:eastAsia="zh-CN"/>
        </w:rPr>
        <w:t>采购</w:t>
      </w:r>
      <w:r>
        <w:rPr>
          <w:rFonts w:hint="eastAsia" w:hAnsi="宋体" w:cs="Arial"/>
          <w:color w:val="auto"/>
          <w:sz w:val="24"/>
          <w:szCs w:val="24"/>
          <w:highlight w:val="none"/>
        </w:rPr>
        <w:t>要求：</w:t>
      </w:r>
      <w:r>
        <w:rPr>
          <w:rFonts w:hint="eastAsia" w:hAnsi="宋体" w:cs="Arial"/>
          <w:color w:val="auto"/>
          <w:sz w:val="24"/>
          <w:szCs w:val="24"/>
          <w:highlight w:val="none"/>
          <w:u w:val="single"/>
        </w:rPr>
        <w:t>详见招标文件《</w:t>
      </w:r>
      <w:r>
        <w:rPr>
          <w:rFonts w:hint="eastAsia" w:hAnsi="宋体" w:cs="Arial"/>
          <w:color w:val="auto"/>
          <w:sz w:val="24"/>
          <w:szCs w:val="24"/>
          <w:highlight w:val="none"/>
          <w:u w:val="single"/>
          <w:lang w:val="en-US" w:eastAsia="zh-CN"/>
        </w:rPr>
        <w:t>第二章 用户需求书中技术要求</w:t>
      </w:r>
      <w:r>
        <w:rPr>
          <w:rFonts w:hint="eastAsia" w:hAnsi="宋体" w:cs="Arial"/>
          <w:color w:val="auto"/>
          <w:sz w:val="24"/>
          <w:szCs w:val="24"/>
          <w:highlight w:val="none"/>
          <w:u w:val="single"/>
        </w:rPr>
        <w:t>》</w:t>
      </w:r>
    </w:p>
    <w:p w14:paraId="4C321FE2">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1.9.</w:t>
      </w:r>
      <w:r>
        <w:rPr>
          <w:rFonts w:hAnsi="宋体" w:cs="Arial"/>
          <w:color w:val="auto"/>
          <w:sz w:val="24"/>
          <w:szCs w:val="24"/>
          <w:highlight w:val="none"/>
        </w:rPr>
        <w:t>标段划分：</w:t>
      </w:r>
      <w:r>
        <w:rPr>
          <w:rFonts w:hint="eastAsia" w:hAnsi="宋体" w:cs="宋体"/>
          <w:color w:val="auto"/>
          <w:sz w:val="24"/>
          <w:szCs w:val="24"/>
          <w:highlight w:val="none"/>
        </w:rPr>
        <w:t>本项目划分</w:t>
      </w:r>
      <w:r>
        <w:rPr>
          <w:rFonts w:hint="eastAsia" w:hAnsi="宋体" w:cs="宋体"/>
          <w:color w:val="auto"/>
          <w:sz w:val="24"/>
          <w:szCs w:val="24"/>
          <w:highlight w:val="none"/>
          <w:lang w:val="en-US" w:eastAsia="zh-CN"/>
        </w:rPr>
        <w:t>1个</w:t>
      </w:r>
      <w:r>
        <w:rPr>
          <w:rFonts w:hint="eastAsia" w:hAnsi="宋体" w:cs="宋体"/>
          <w:color w:val="auto"/>
          <w:sz w:val="24"/>
          <w:szCs w:val="24"/>
          <w:highlight w:val="none"/>
        </w:rPr>
        <w:t>标段</w:t>
      </w:r>
      <w:r>
        <w:rPr>
          <w:rFonts w:hAnsi="宋体" w:cs="Arial"/>
          <w:color w:val="auto"/>
          <w:sz w:val="24"/>
          <w:szCs w:val="24"/>
          <w:highlight w:val="none"/>
        </w:rPr>
        <w:t>。</w:t>
      </w:r>
    </w:p>
    <w:p w14:paraId="48D3EC8D">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1.10.</w:t>
      </w:r>
      <w:r>
        <w:rPr>
          <w:rFonts w:hint="eastAsia" w:hAnsi="宋体" w:cs="Arial"/>
          <w:color w:val="auto"/>
          <w:sz w:val="24"/>
          <w:szCs w:val="24"/>
          <w:highlight w:val="none"/>
        </w:rPr>
        <w:t>招标范围：</w:t>
      </w:r>
      <w:r>
        <w:rPr>
          <w:rFonts w:hint="eastAsia" w:hAnsi="宋体" w:cs="Arial"/>
          <w:color w:val="auto"/>
          <w:sz w:val="24"/>
          <w:szCs w:val="24"/>
          <w:highlight w:val="none"/>
          <w:lang w:val="en-US" w:eastAsia="zh-CN"/>
        </w:rPr>
        <w:t>本项目范围为本项目范围为南洲水厂排泥水处理系统建设工程污泥脱水成套设备一套，包括但不仅限于</w:t>
      </w:r>
      <w:r>
        <w:rPr>
          <w:rFonts w:hint="eastAsia" w:ascii="宋体" w:hAnsi="宋体" w:eastAsia="宋体" w:cs="Arial"/>
          <w:color w:val="auto"/>
          <w:sz w:val="24"/>
          <w:szCs w:val="24"/>
          <w:highlight w:val="none"/>
        </w:rPr>
        <w:t>压滤机主机、进泥系统设备、液压系统成套装置、PAM及投加系统（包括管道混合器）、压榨成套装置、自动卸泥成套装置、滤布冲洗成套装置、抽真空成套装置、压缩空气成套装置、污泥输送成套装置（双螺旋输送机/链板输送机）、滤布再生系统装置</w:t>
      </w:r>
      <w:r>
        <w:rPr>
          <w:rFonts w:hint="eastAsia" w:hAnsi="宋体" w:eastAsia="宋体" w:cs="Arial"/>
          <w:color w:val="auto"/>
          <w:sz w:val="24"/>
          <w:szCs w:val="24"/>
          <w:highlight w:val="none"/>
          <w:lang w:eastAsia="zh-CN"/>
        </w:rPr>
        <w:t>（根据需要配置）</w:t>
      </w:r>
      <w:r>
        <w:rPr>
          <w:rFonts w:hint="eastAsia" w:hAnsi="宋体" w:eastAsia="宋体" w:cs="Arial"/>
          <w:color w:val="auto"/>
          <w:sz w:val="24"/>
          <w:szCs w:val="24"/>
          <w:highlight w:val="none"/>
        </w:rPr>
        <w:t>、</w:t>
      </w:r>
      <w:r>
        <w:rPr>
          <w:rFonts w:hint="eastAsia" w:ascii="宋体" w:hAnsi="宋体" w:eastAsia="宋体" w:cs="Arial"/>
          <w:color w:val="auto"/>
          <w:sz w:val="24"/>
          <w:szCs w:val="24"/>
          <w:highlight w:val="none"/>
        </w:rPr>
        <w:t>所需的附属设备以及配套的管道阀门；仪表、电气控制（柜）系统、脱水机房PLC自动控制（柜）系统、所有供电低压柜和专用工具等有效和安全运行所必需的附件</w:t>
      </w:r>
      <w:r>
        <w:rPr>
          <w:rFonts w:hint="eastAsia" w:hAnsi="宋体" w:cs="Arial"/>
          <w:color w:val="auto"/>
          <w:sz w:val="24"/>
          <w:szCs w:val="24"/>
          <w:highlight w:val="none"/>
          <w:lang w:val="en-US" w:eastAsia="zh-CN"/>
        </w:rPr>
        <w:t>。</w:t>
      </w:r>
    </w:p>
    <w:p w14:paraId="7654040E">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hAnsi="宋体" w:eastAsia="宋体" w:cs="Arial"/>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1.11.</w:t>
      </w:r>
      <w:r>
        <w:rPr>
          <w:rFonts w:hint="eastAsia" w:hAnsi="宋体" w:cs="Arial"/>
          <w:color w:val="auto"/>
          <w:sz w:val="24"/>
          <w:szCs w:val="24"/>
          <w:highlight w:val="none"/>
        </w:rPr>
        <w:t>交货地点：</w:t>
      </w:r>
      <w:r>
        <w:rPr>
          <w:rFonts w:hint="eastAsia" w:hAnsi="宋体" w:cs="Arial"/>
          <w:color w:val="auto"/>
          <w:sz w:val="24"/>
          <w:szCs w:val="24"/>
          <w:highlight w:val="none"/>
          <w:lang w:val="en-US" w:eastAsia="zh-CN"/>
        </w:rPr>
        <w:t>广州市</w:t>
      </w:r>
      <w:r>
        <w:rPr>
          <w:rFonts w:hint="eastAsia" w:hAnsi="宋体" w:cs="Arial"/>
          <w:color w:val="auto"/>
          <w:sz w:val="24"/>
          <w:szCs w:val="24"/>
          <w:highlight w:val="none"/>
        </w:rPr>
        <w:t>（具体由招标人指定供货地点）。</w:t>
      </w:r>
    </w:p>
    <w:p w14:paraId="5C3BC01B">
      <w:pPr>
        <w:widowControl w:val="0"/>
        <w:numPr>
          <w:ilvl w:val="0"/>
          <w:numId w:val="0"/>
        </w:numPr>
        <w:spacing w:before="156" w:beforeLines="50" w:after="156" w:afterLines="50" w:line="360" w:lineRule="auto"/>
        <w:ind w:left="0" w:firstLine="0"/>
        <w:rPr>
          <w:rFonts w:hint="eastAsia" w:ascii="Calibri" w:hAnsi="宋体" w:eastAsia="宋体"/>
          <w:b/>
          <w:color w:val="auto"/>
          <w:sz w:val="30"/>
          <w:szCs w:val="30"/>
          <w:highlight w:val="none"/>
          <w:lang w:eastAsia="zh-CN"/>
        </w:rPr>
      </w:pPr>
      <w:r>
        <w:rPr>
          <w:rFonts w:hint="default" w:ascii="Calibri" w:hAnsi="宋体" w:eastAsia="宋体" w:cs="Times New Roman"/>
          <w:b/>
          <w:color w:val="auto"/>
          <w:sz w:val="30"/>
          <w:szCs w:val="30"/>
          <w:highlight w:val="none"/>
          <w:lang w:val="en-US" w:eastAsia="zh-CN" w:bidi="ar-SA"/>
        </w:rPr>
        <w:t>2.</w:t>
      </w:r>
      <w:r>
        <w:rPr>
          <w:rFonts w:hint="eastAsia" w:ascii="Calibri" w:hAnsi="宋体"/>
          <w:b/>
          <w:color w:val="auto"/>
          <w:sz w:val="30"/>
          <w:szCs w:val="30"/>
          <w:highlight w:val="none"/>
        </w:rPr>
        <w:t>投标人资格要求</w:t>
      </w:r>
    </w:p>
    <w:p w14:paraId="18C8CA1B">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2.1.</w:t>
      </w:r>
      <w:r>
        <w:rPr>
          <w:rFonts w:hint="eastAsia" w:hAnsi="宋体" w:cs="Arial"/>
          <w:color w:val="auto"/>
          <w:sz w:val="24"/>
          <w:szCs w:val="24"/>
          <w:highlight w:val="none"/>
        </w:rPr>
        <w:t>投标人</w:t>
      </w:r>
      <w:r>
        <w:rPr>
          <w:rFonts w:hint="eastAsia" w:hAnsi="宋体" w:cs="Arial"/>
          <w:color w:val="auto"/>
          <w:sz w:val="24"/>
          <w:szCs w:val="24"/>
          <w:highlight w:val="none"/>
          <w:lang w:val="en-US" w:eastAsia="zh-CN"/>
        </w:rPr>
        <w:t>须</w:t>
      </w:r>
      <w:r>
        <w:rPr>
          <w:rFonts w:hint="eastAsia" w:hAnsi="宋体" w:cs="Arial"/>
          <w:color w:val="auto"/>
          <w:sz w:val="24"/>
          <w:szCs w:val="24"/>
          <w:highlight w:val="none"/>
        </w:rPr>
        <w:t>为符合《中华人民共和国招标投标法》规定的独立法人或其他组织，</w:t>
      </w:r>
      <w:r>
        <w:rPr>
          <w:rFonts w:hint="eastAsia" w:hAnsi="宋体" w:cs="Arial"/>
          <w:color w:val="auto"/>
          <w:sz w:val="24"/>
          <w:szCs w:val="24"/>
          <w:highlight w:val="none"/>
          <w:lang w:val="en-US" w:eastAsia="zh-CN"/>
        </w:rPr>
        <w:t>按国家法律经营；</w:t>
      </w:r>
      <w:r>
        <w:rPr>
          <w:rFonts w:hint="eastAsia" w:hAnsi="宋体" w:cs="Arial"/>
          <w:color w:val="auto"/>
          <w:sz w:val="24"/>
          <w:szCs w:val="24"/>
          <w:highlight w:val="none"/>
        </w:rPr>
        <w:t>具备有效的营业执照。</w:t>
      </w:r>
    </w:p>
    <w:p w14:paraId="33F4E50E">
      <w:pPr>
        <w:adjustRightInd w:val="0"/>
        <w:snapToGrid w:val="0"/>
        <w:spacing w:line="360" w:lineRule="auto"/>
        <w:ind w:firstLine="480" w:firstLineChars="200"/>
        <w:jc w:val="left"/>
        <w:rPr>
          <w:rFonts w:hint="eastAsia" w:ascii="宋体" w:hAnsi="宋体" w:eastAsia="宋体" w:cs="Arial"/>
          <w:color w:val="auto"/>
          <w:kern w:val="2"/>
          <w:sz w:val="24"/>
          <w:szCs w:val="24"/>
          <w:highlight w:val="none"/>
        </w:rPr>
      </w:pPr>
      <w:r>
        <w:rPr>
          <w:rFonts w:hint="default" w:ascii="宋体" w:hAnsi="宋体" w:eastAsia="宋体" w:cs="宋体"/>
          <w:color w:val="auto"/>
          <w:kern w:val="2"/>
          <w:sz w:val="24"/>
          <w:szCs w:val="24"/>
          <w:highlight w:val="none"/>
          <w:lang w:val="en-US" w:eastAsia="zh-CN" w:bidi="ar-SA"/>
        </w:rPr>
        <w:t>2.2</w:t>
      </w:r>
      <w:r>
        <w:rPr>
          <w:rFonts w:hint="eastAsia" w:hAnsi="宋体" w:cs="宋体"/>
          <w:color w:val="auto"/>
          <w:kern w:val="2"/>
          <w:sz w:val="24"/>
          <w:szCs w:val="24"/>
          <w:highlight w:val="none"/>
          <w:lang w:val="en-US" w:eastAsia="zh-CN" w:bidi="ar-SA"/>
        </w:rPr>
        <w:t>.</w:t>
      </w:r>
      <w:r>
        <w:rPr>
          <w:rFonts w:hint="eastAsia" w:ascii="宋体" w:hAnsi="宋体" w:eastAsia="宋体" w:cs="Arial"/>
          <w:color w:val="auto"/>
          <w:kern w:val="2"/>
          <w:sz w:val="24"/>
          <w:szCs w:val="24"/>
          <w:highlight w:val="none"/>
        </w:rPr>
        <w:t>投标人须是主要投标货物（滤布行走</w:t>
      </w:r>
      <w:r>
        <w:rPr>
          <w:rFonts w:hint="eastAsia" w:ascii="宋体" w:hAnsi="宋体" w:eastAsia="宋体" w:cs="Arial"/>
          <w:color w:val="auto"/>
          <w:kern w:val="2"/>
          <w:sz w:val="24"/>
          <w:szCs w:val="24"/>
          <w:highlight w:val="none"/>
          <w:lang w:val="en-US" w:eastAsia="zh-CN"/>
        </w:rPr>
        <w:t>板框</w:t>
      </w:r>
      <w:r>
        <w:rPr>
          <w:rFonts w:hint="eastAsia" w:ascii="宋体" w:hAnsi="宋体" w:eastAsia="宋体" w:cs="Arial"/>
          <w:color w:val="auto"/>
          <w:kern w:val="2"/>
          <w:sz w:val="24"/>
          <w:szCs w:val="24"/>
          <w:highlight w:val="none"/>
        </w:rPr>
        <w:t>压滤机）的制造商，或主要投标货物（滤布行走</w:t>
      </w:r>
      <w:r>
        <w:rPr>
          <w:rFonts w:hint="eastAsia" w:ascii="宋体" w:hAnsi="宋体" w:eastAsia="宋体" w:cs="Arial"/>
          <w:color w:val="auto"/>
          <w:kern w:val="2"/>
          <w:sz w:val="24"/>
          <w:szCs w:val="24"/>
          <w:highlight w:val="none"/>
          <w:lang w:val="en-US" w:eastAsia="zh-CN"/>
        </w:rPr>
        <w:t>板框</w:t>
      </w:r>
      <w:r>
        <w:rPr>
          <w:rFonts w:hint="eastAsia" w:ascii="宋体" w:hAnsi="宋体" w:eastAsia="宋体" w:cs="Arial"/>
          <w:color w:val="auto"/>
          <w:kern w:val="2"/>
          <w:sz w:val="24"/>
          <w:szCs w:val="24"/>
          <w:highlight w:val="none"/>
        </w:rPr>
        <w:t>压滤机）制造商委托的代理商。</w:t>
      </w:r>
    </w:p>
    <w:p w14:paraId="4CEE1347">
      <w:pPr>
        <w:adjustRightInd w:val="0"/>
        <w:snapToGrid w:val="0"/>
        <w:spacing w:line="360" w:lineRule="auto"/>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rPr>
        <w:t>注：</w:t>
      </w:r>
    </w:p>
    <w:p w14:paraId="2BF24BC1">
      <w:pPr>
        <w:adjustRightInd w:val="0"/>
        <w:snapToGrid w:val="0"/>
        <w:spacing w:line="360" w:lineRule="auto"/>
        <w:ind w:firstLine="480" w:firstLineChars="20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rPr>
        <w:t>1、如投标人为主要投标货物的制造商，则需要出具主要投标货物的制造商声明；如投标人为主要投标货物的代理商，则须同时提供由主要投标货物制造商出具的制造商声明以及承诺对主要投标货物的质量、售后服务等负连带责任的委托书（委托书需清晰反映委托主要投标货物的品牌和型号，有效期应延续到本次招标货物的质保期满为止）。</w:t>
      </w:r>
    </w:p>
    <w:p w14:paraId="0E987534">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kern w:val="2"/>
          <w:sz w:val="24"/>
          <w:szCs w:val="24"/>
          <w:highlight w:val="none"/>
          <w:lang w:val="en-US" w:eastAsia="zh-CN" w:bidi="ar-SA"/>
        </w:rPr>
      </w:pPr>
      <w:r>
        <w:rPr>
          <w:rFonts w:hint="eastAsia" w:ascii="宋体" w:hAnsi="宋体" w:eastAsia="宋体" w:cs="Arial"/>
          <w:color w:val="auto"/>
          <w:sz w:val="24"/>
          <w:szCs w:val="24"/>
          <w:highlight w:val="none"/>
        </w:rPr>
        <w:t>2、一个制造商对同一品牌同一型号的主要投标货物（滤布行走</w:t>
      </w:r>
      <w:r>
        <w:rPr>
          <w:rFonts w:hint="eastAsia" w:ascii="宋体" w:hAnsi="宋体" w:eastAsia="宋体" w:cs="Arial"/>
          <w:color w:val="auto"/>
          <w:sz w:val="24"/>
          <w:szCs w:val="24"/>
          <w:highlight w:val="none"/>
          <w:lang w:val="en-US" w:eastAsia="zh-CN"/>
        </w:rPr>
        <w:t>板框</w:t>
      </w:r>
      <w:r>
        <w:rPr>
          <w:rFonts w:hint="eastAsia" w:ascii="宋体" w:hAnsi="宋体" w:eastAsia="宋体" w:cs="Arial"/>
          <w:color w:val="auto"/>
          <w:sz w:val="24"/>
          <w:szCs w:val="24"/>
          <w:highlight w:val="none"/>
        </w:rPr>
        <w:t>压滤机），仅能委托一个代理商参加投标。</w:t>
      </w:r>
    </w:p>
    <w:p w14:paraId="3B1D3D89">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eastAsia" w:hAnsi="宋体" w:cs="宋体"/>
          <w:color w:val="auto"/>
          <w:kern w:val="2"/>
          <w:sz w:val="24"/>
          <w:szCs w:val="24"/>
          <w:highlight w:val="none"/>
          <w:lang w:val="en-US" w:eastAsia="zh-CN" w:bidi="ar-SA"/>
        </w:rPr>
        <w:t>2.3.</w:t>
      </w:r>
      <w:r>
        <w:rPr>
          <w:rFonts w:hint="eastAsia" w:hAnsi="宋体" w:cs="Arial"/>
          <w:color w:val="auto"/>
          <w:sz w:val="24"/>
          <w:szCs w:val="24"/>
          <w:highlight w:val="none"/>
          <w:lang w:val="en-US" w:eastAsia="zh-CN"/>
        </w:rPr>
        <w:t>投标人</w:t>
      </w:r>
      <w:r>
        <w:rPr>
          <w:rFonts w:hint="eastAsia" w:ascii="宋体" w:hAnsi="宋体" w:eastAsia="宋体" w:cs="Arial"/>
          <w:color w:val="auto"/>
          <w:sz w:val="24"/>
          <w:szCs w:val="24"/>
          <w:highlight w:val="none"/>
          <w:lang w:val="en-US" w:eastAsia="zh-CN"/>
        </w:rPr>
        <w:t>或</w:t>
      </w:r>
      <w:r>
        <w:rPr>
          <w:rFonts w:hint="eastAsia" w:ascii="宋体" w:hAnsi="宋体" w:eastAsia="宋体" w:cs="Arial"/>
          <w:color w:val="auto"/>
          <w:sz w:val="24"/>
          <w:szCs w:val="24"/>
          <w:highlight w:val="none"/>
        </w:rPr>
        <w:t>主要投标货物（滤布行走</w:t>
      </w:r>
      <w:r>
        <w:rPr>
          <w:rFonts w:hint="eastAsia" w:ascii="宋体" w:hAnsi="宋体" w:eastAsia="宋体" w:cs="Arial"/>
          <w:color w:val="auto"/>
          <w:sz w:val="24"/>
          <w:szCs w:val="24"/>
          <w:highlight w:val="none"/>
          <w:lang w:val="en-US" w:eastAsia="zh-CN"/>
        </w:rPr>
        <w:t>板框</w:t>
      </w:r>
      <w:r>
        <w:rPr>
          <w:rFonts w:hint="eastAsia" w:ascii="宋体" w:hAnsi="宋体" w:eastAsia="宋体" w:cs="Arial"/>
          <w:color w:val="auto"/>
          <w:sz w:val="24"/>
          <w:szCs w:val="24"/>
          <w:highlight w:val="none"/>
        </w:rPr>
        <w:t>压滤机）的制造商</w:t>
      </w:r>
      <w:r>
        <w:rPr>
          <w:rFonts w:hint="eastAsia" w:hAnsi="宋体" w:cs="Arial"/>
          <w:color w:val="auto"/>
          <w:sz w:val="24"/>
          <w:szCs w:val="24"/>
          <w:highlight w:val="none"/>
          <w:lang w:val="en-US" w:eastAsia="zh-CN"/>
        </w:rPr>
        <w:t>具有自2021年1月1日（含2021年1月1日）至本项目招标公告发布之日止完成过</w:t>
      </w:r>
      <w:r>
        <w:rPr>
          <w:rFonts w:hint="eastAsia" w:hAnsi="宋体" w:cs="Arial"/>
          <w:color w:val="auto"/>
          <w:sz w:val="24"/>
          <w:szCs w:val="24"/>
          <w:highlight w:val="none"/>
        </w:rPr>
        <w:t>单份类似项目业绩</w:t>
      </w:r>
      <w:r>
        <w:rPr>
          <w:rFonts w:hint="eastAsia" w:hAnsi="宋体" w:cs="Arial"/>
          <w:color w:val="auto"/>
          <w:sz w:val="24"/>
          <w:szCs w:val="24"/>
          <w:highlight w:val="none"/>
          <w:lang w:val="en-US" w:eastAsia="zh-CN"/>
        </w:rPr>
        <w:t>。</w:t>
      </w:r>
    </w:p>
    <w:p w14:paraId="19A1431A">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lang w:eastAsia="zh-CN"/>
        </w:rPr>
      </w:pPr>
      <w:r>
        <w:rPr>
          <w:rFonts w:hint="eastAsia" w:hAnsi="宋体" w:cs="Arial"/>
          <w:color w:val="auto"/>
          <w:sz w:val="24"/>
          <w:szCs w:val="24"/>
          <w:highlight w:val="none"/>
        </w:rPr>
        <w:t>注：</w:t>
      </w:r>
      <w:r>
        <w:rPr>
          <w:rFonts w:hint="eastAsia" w:hAnsi="宋体" w:cs="Arial"/>
          <w:color w:val="auto"/>
          <w:sz w:val="24"/>
          <w:szCs w:val="24"/>
          <w:highlight w:val="none"/>
          <w:lang w:eastAsia="zh-CN"/>
        </w:rPr>
        <w:t>1、类似项目业绩是指供货内容包含本次拟投标品牌滤布行走板框压滤机的供应合同业绩。</w:t>
      </w:r>
    </w:p>
    <w:p w14:paraId="050C3D4C">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lang w:val="en-US" w:eastAsia="zh-CN"/>
        </w:rPr>
      </w:pPr>
      <w:r>
        <w:rPr>
          <w:rFonts w:hint="eastAsia" w:hAnsi="宋体" w:cs="Arial"/>
          <w:color w:val="auto"/>
          <w:sz w:val="24"/>
          <w:szCs w:val="24"/>
          <w:highlight w:val="none"/>
          <w:lang w:eastAsia="zh-CN"/>
        </w:rPr>
        <w:t>2、供货业绩需同时提供合同、对应发票及设备使用质量合格证明材料（如验收报告、用户出具的证明等）的扫描件，业绩时间以供货发票开具时间为准。合同必须能反映滤布行走板框压滤机的供货内容</w:t>
      </w:r>
      <w:r>
        <w:rPr>
          <w:rFonts w:hint="eastAsia" w:ascii="宋体" w:hAnsi="宋体" w:eastAsia="宋体" w:cs="Arial"/>
          <w:color w:val="auto"/>
          <w:sz w:val="24"/>
          <w:szCs w:val="24"/>
          <w:highlight w:val="none"/>
          <w:lang w:eastAsia="zh-CN" w:bidi="ar"/>
        </w:rPr>
        <w:t>、</w:t>
      </w:r>
      <w:r>
        <w:rPr>
          <w:rFonts w:hint="eastAsia" w:ascii="宋体" w:hAnsi="宋体" w:eastAsia="宋体" w:cs="Arial"/>
          <w:color w:val="auto"/>
          <w:sz w:val="24"/>
          <w:szCs w:val="24"/>
          <w:highlight w:val="none"/>
        </w:rPr>
        <w:t>滤布行走全自动压滤机</w:t>
      </w:r>
      <w:r>
        <w:rPr>
          <w:rFonts w:hint="eastAsia" w:ascii="宋体" w:hAnsi="宋体" w:eastAsia="宋体" w:cs="Arial"/>
          <w:color w:val="auto"/>
          <w:sz w:val="24"/>
          <w:szCs w:val="24"/>
          <w:highlight w:val="none"/>
          <w:lang w:bidi="ar"/>
        </w:rPr>
        <w:t>的品牌</w:t>
      </w:r>
      <w:r>
        <w:rPr>
          <w:rFonts w:hint="eastAsia" w:hAnsi="宋体" w:cs="Arial"/>
          <w:color w:val="auto"/>
          <w:sz w:val="24"/>
          <w:szCs w:val="24"/>
          <w:highlight w:val="none"/>
          <w:lang w:eastAsia="zh-CN"/>
        </w:rPr>
        <w:t>及合同签订时间，如合同不能完全反映业绩要求的全部信息，需同时提供其他证明材料扫描件，所提供的扫描件须加盖投标人公章。若投标人在投标文件中提交虚假证明材料，评标委员会将否决其投标。</w:t>
      </w:r>
    </w:p>
    <w:p w14:paraId="18EF95D8">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w:t>
      </w:r>
      <w:r>
        <w:rPr>
          <w:rFonts w:hint="eastAsia" w:hAnsi="宋体" w:cs="Arial"/>
          <w:color w:val="auto"/>
          <w:sz w:val="24"/>
          <w:szCs w:val="24"/>
          <w:highlight w:val="none"/>
        </w:rPr>
        <w:t>投标人须按招标人规定格式提交《投标人声明》。</w:t>
      </w:r>
    </w:p>
    <w:p w14:paraId="59FB0CAC">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w:t>
      </w:r>
      <w:r>
        <w:rPr>
          <w:rFonts w:hint="eastAsia" w:hAnsi="宋体" w:cs="Arial"/>
          <w:color w:val="auto"/>
          <w:sz w:val="24"/>
          <w:szCs w:val="24"/>
          <w:highlight w:val="none"/>
        </w:rPr>
        <w:t>投标人须按招标人规定格式提交《投标人廉洁承诺书》。</w:t>
      </w:r>
    </w:p>
    <w:p w14:paraId="566C3858">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w:t>
      </w:r>
      <w:r>
        <w:rPr>
          <w:rFonts w:hint="eastAsia" w:hAnsi="宋体" w:cs="Arial"/>
          <w:color w:val="auto"/>
          <w:sz w:val="24"/>
          <w:szCs w:val="24"/>
          <w:highlight w:val="none"/>
        </w:rPr>
        <w:t>投标人未被纳入“失信联合惩戒名单”，“失信联合惩戒名单”以“信用广州”网站公布的“黑名单”为准。</w:t>
      </w:r>
    </w:p>
    <w:p w14:paraId="1D29D6EF">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rPr>
        <w:t>注：①以投标人提供自本项目招标公告发布之日起至本项目投标截止日期止任一天在“信用广州”网站查询的截图为准。</w:t>
      </w:r>
    </w:p>
    <w:p w14:paraId="71A0791C">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Arial"/>
          <w:color w:val="auto"/>
          <w:sz w:val="24"/>
          <w:szCs w:val="24"/>
          <w:highlight w:val="none"/>
        </w:rPr>
      </w:pPr>
      <w:r>
        <w:rPr>
          <w:rFonts w:hint="eastAsia" w:hAnsi="宋体" w:cs="Arial"/>
          <w:color w:val="auto"/>
          <w:sz w:val="24"/>
          <w:szCs w:val="24"/>
          <w:highlight w:val="none"/>
        </w:rPr>
        <w:t>②查询截图的路径如下：查询网址https://credit1.gz.gov.cn/publicity/honourFuzzyList?type=2→黑名单）。</w:t>
      </w:r>
    </w:p>
    <w:p w14:paraId="1230317A">
      <w:pPr>
        <w:pStyle w:val="14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rPr>
        <w:t>③如网站查询结果显示“找不到和您的查询相符的记录”或类似意思的表述，则视为没有上述不良信用记录。</w:t>
      </w:r>
    </w:p>
    <w:p w14:paraId="02141F4F">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hAnsi="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Arial"/>
          <w:color w:val="auto"/>
          <w:sz w:val="24"/>
          <w:szCs w:val="24"/>
          <w:highlight w:val="none"/>
        </w:rPr>
        <w:t>本次招标不接受联合体投标。</w:t>
      </w:r>
    </w:p>
    <w:p w14:paraId="2CD26E5D">
      <w:pPr>
        <w:widowControl w:val="0"/>
        <w:numPr>
          <w:ilvl w:val="0"/>
          <w:numId w:val="0"/>
        </w:numPr>
        <w:spacing w:before="156" w:beforeLines="50" w:after="156" w:afterLines="50" w:line="360" w:lineRule="auto"/>
        <w:ind w:left="425" w:hanging="425"/>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3.</w:t>
      </w:r>
      <w:r>
        <w:rPr>
          <w:rFonts w:hint="eastAsia" w:ascii="Calibri" w:hAnsi="宋体"/>
          <w:b/>
          <w:color w:val="auto"/>
          <w:sz w:val="30"/>
          <w:szCs w:val="30"/>
          <w:highlight w:val="none"/>
        </w:rPr>
        <w:t>公告发布日期、递交投标文件时间</w:t>
      </w:r>
      <w:r>
        <w:rPr>
          <w:rFonts w:hint="eastAsia" w:ascii="Calibri" w:hAnsi="宋体"/>
          <w:b/>
          <w:color w:val="auto"/>
          <w:sz w:val="30"/>
          <w:szCs w:val="30"/>
          <w:highlight w:val="none"/>
          <w:lang w:eastAsia="zh-CN"/>
        </w:rPr>
        <w:t>、</w:t>
      </w:r>
      <w:r>
        <w:rPr>
          <w:rFonts w:hint="eastAsia" w:ascii="Calibri" w:hAnsi="宋体"/>
          <w:b/>
          <w:color w:val="auto"/>
          <w:sz w:val="30"/>
          <w:szCs w:val="30"/>
          <w:highlight w:val="none"/>
        </w:rPr>
        <w:t>开标时间</w:t>
      </w:r>
      <w:r>
        <w:rPr>
          <w:rFonts w:hint="eastAsia" w:ascii="Calibri" w:hAnsi="宋体"/>
          <w:b/>
          <w:color w:val="auto"/>
          <w:sz w:val="30"/>
          <w:szCs w:val="30"/>
          <w:highlight w:val="none"/>
          <w:lang w:val="en-US" w:eastAsia="zh-CN"/>
        </w:rPr>
        <w:t>、解密时间与开标地点</w:t>
      </w:r>
      <w:r>
        <w:rPr>
          <w:rFonts w:hint="eastAsia" w:ascii="Calibri" w:hAnsi="宋体"/>
          <w:b/>
          <w:color w:val="auto"/>
          <w:sz w:val="30"/>
          <w:szCs w:val="30"/>
          <w:highlight w:val="none"/>
        </w:rPr>
        <w:t>：</w:t>
      </w:r>
    </w:p>
    <w:p w14:paraId="49FD07A0">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w:t>
      </w:r>
      <w:r>
        <w:rPr>
          <w:rFonts w:hint="eastAsia" w:hAnsi="宋体"/>
          <w:color w:val="auto"/>
          <w:sz w:val="24"/>
          <w:highlight w:val="none"/>
        </w:rPr>
        <w:t>公告发布日期（含本日）：</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10</w:t>
      </w:r>
      <w:r>
        <w:rPr>
          <w:rFonts w:hint="eastAsia" w:hAnsi="宋体"/>
          <w:color w:val="auto"/>
          <w:sz w:val="24"/>
          <w:highlight w:val="none"/>
        </w:rPr>
        <w:t>月</w:t>
      </w:r>
      <w:r>
        <w:rPr>
          <w:rFonts w:hint="eastAsia" w:hAnsi="宋体"/>
          <w:color w:val="auto"/>
          <w:sz w:val="24"/>
          <w:highlight w:val="none"/>
          <w:u w:val="single"/>
          <w:lang w:val="en-US" w:eastAsia="zh-CN"/>
        </w:rPr>
        <w:t>31</w:t>
      </w:r>
      <w:r>
        <w:rPr>
          <w:rFonts w:hint="eastAsia" w:hAnsi="宋体"/>
          <w:color w:val="auto"/>
          <w:sz w:val="24"/>
          <w:highlight w:val="none"/>
        </w:rPr>
        <w:t>日</w:t>
      </w:r>
      <w:r>
        <w:rPr>
          <w:rFonts w:hint="eastAsia" w:hAnsi="宋体"/>
          <w:color w:val="auto"/>
          <w:sz w:val="24"/>
          <w:highlight w:val="none"/>
          <w:u w:val="single"/>
          <w:lang w:val="en-US" w:eastAsia="zh-CN"/>
        </w:rPr>
        <w:t>00</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分至</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分，凡有意参加投标者，请登录</w:t>
      </w:r>
      <w:r>
        <w:rPr>
          <w:rFonts w:hint="eastAsia" w:hAnsi="宋体"/>
          <w:color w:val="auto"/>
          <w:sz w:val="24"/>
          <w:highlight w:val="none"/>
          <w:u w:val="single"/>
          <w:lang w:eastAsia="zh-CN"/>
        </w:rPr>
        <w:t>广州交易集团有限公司（广州公共资源交易中心）</w:t>
      </w:r>
      <w:r>
        <w:rPr>
          <w:rFonts w:hint="eastAsia" w:hAnsi="宋体"/>
          <w:color w:val="auto"/>
          <w:sz w:val="24"/>
          <w:highlight w:val="none"/>
        </w:rPr>
        <w:t>下载电子招标文件。</w:t>
      </w:r>
    </w:p>
    <w:p w14:paraId="21B75EC5">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color w:val="auto"/>
          <w:highlight w:val="none"/>
        </w:rPr>
      </w:pPr>
      <w:r>
        <w:rPr>
          <w:rFonts w:hint="eastAsia" w:hAnsi="宋体" w:cs="宋体"/>
          <w:color w:val="auto"/>
          <w:sz w:val="24"/>
          <w:highlight w:val="none"/>
        </w:rPr>
        <w:t>注：发布招标公告的时间为招标公告发出之日起至投标截止时间止。</w:t>
      </w:r>
    </w:p>
    <w:p w14:paraId="5C840CDA">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3.2.</w:t>
      </w:r>
      <w:r>
        <w:rPr>
          <w:rFonts w:hint="eastAsia" w:hAnsi="宋体" w:cs="宋体"/>
          <w:color w:val="auto"/>
          <w:sz w:val="24"/>
          <w:highlight w:val="none"/>
        </w:rPr>
        <w:t>递交投标文件起始时间：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10</w:t>
      </w:r>
      <w:r>
        <w:rPr>
          <w:rFonts w:hint="eastAsia" w:hAnsi="宋体"/>
          <w:color w:val="auto"/>
          <w:sz w:val="24"/>
          <w:highlight w:val="none"/>
        </w:rPr>
        <w:t>月</w:t>
      </w:r>
      <w:r>
        <w:rPr>
          <w:rFonts w:hint="eastAsia" w:hAnsi="宋体"/>
          <w:color w:val="auto"/>
          <w:sz w:val="24"/>
          <w:highlight w:val="none"/>
          <w:u w:val="single"/>
          <w:lang w:val="en-US" w:eastAsia="zh-CN"/>
        </w:rPr>
        <w:t>31</w:t>
      </w:r>
      <w:r>
        <w:rPr>
          <w:rFonts w:hint="eastAsia" w:hAnsi="宋体"/>
          <w:color w:val="auto"/>
          <w:sz w:val="24"/>
          <w:highlight w:val="none"/>
        </w:rPr>
        <w:t>日</w:t>
      </w:r>
      <w:r>
        <w:rPr>
          <w:rFonts w:hint="eastAsia" w:hAnsi="宋体"/>
          <w:color w:val="auto"/>
          <w:sz w:val="24"/>
          <w:highlight w:val="none"/>
          <w:u w:val="single"/>
          <w:lang w:val="en-US" w:eastAsia="zh-CN"/>
        </w:rPr>
        <w:t>00</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宋体"/>
          <w:color w:val="auto"/>
          <w:sz w:val="24"/>
          <w:highlight w:val="none"/>
        </w:rPr>
        <w:t>；</w:t>
      </w:r>
    </w:p>
    <w:p w14:paraId="396FABB6">
      <w:pPr>
        <w:pStyle w:val="143"/>
        <w:keepNext w:val="0"/>
        <w:keepLines w:val="0"/>
        <w:pageBreakBefore w:val="0"/>
        <w:kinsoku/>
        <w:wordWrap/>
        <w:overflowPunct/>
        <w:topLinePunct w:val="0"/>
        <w:autoSpaceDE/>
        <w:autoSpaceDN/>
        <w:bidi w:val="0"/>
        <w:adjustRightInd/>
        <w:snapToGrid/>
        <w:spacing w:line="360" w:lineRule="auto"/>
        <w:ind w:left="0" w:leftChars="0" w:firstLine="2318" w:firstLineChars="966"/>
        <w:textAlignment w:val="auto"/>
        <w:rPr>
          <w:rFonts w:hAnsi="宋体" w:cs="宋体"/>
          <w:color w:val="auto"/>
          <w:sz w:val="24"/>
          <w:highlight w:val="none"/>
        </w:rPr>
      </w:pPr>
      <w:r>
        <w:rPr>
          <w:rFonts w:hint="eastAsia" w:hAnsi="宋体" w:cs="宋体"/>
          <w:color w:val="auto"/>
          <w:sz w:val="24"/>
          <w:highlight w:val="none"/>
        </w:rPr>
        <w:t>截止时间：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宋体"/>
          <w:color w:val="auto"/>
          <w:sz w:val="24"/>
          <w:highlight w:val="none"/>
        </w:rPr>
        <w:t>。</w:t>
      </w:r>
    </w:p>
    <w:p w14:paraId="17079989">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2" w:firstLineChars="200"/>
        <w:textAlignment w:val="auto"/>
        <w:rPr>
          <w:b/>
          <w:color w:val="auto"/>
          <w:highlight w:val="none"/>
        </w:rPr>
      </w:pPr>
      <w:r>
        <w:rPr>
          <w:rFonts w:hint="default" w:ascii="宋体" w:hAnsi="宋体" w:eastAsia="宋体" w:cs="宋体"/>
          <w:b/>
          <w:color w:val="auto"/>
          <w:kern w:val="2"/>
          <w:sz w:val="24"/>
          <w:szCs w:val="24"/>
          <w:highlight w:val="none"/>
          <w:lang w:val="en-US" w:eastAsia="zh-CN" w:bidi="ar-SA"/>
        </w:rPr>
        <w:t>3.3.</w:t>
      </w:r>
      <w:r>
        <w:rPr>
          <w:rFonts w:hint="eastAsia" w:hAnsi="宋体" w:cs="宋体"/>
          <w:color w:val="auto"/>
          <w:sz w:val="24"/>
          <w:highlight w:val="none"/>
        </w:rPr>
        <w:t>开标开始时间：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宋体"/>
          <w:color w:val="auto"/>
          <w:sz w:val="24"/>
          <w:highlight w:val="none"/>
        </w:rPr>
        <w:t>。</w:t>
      </w:r>
      <w:r>
        <w:rPr>
          <w:rFonts w:hint="eastAsia" w:hAnsi="宋体" w:cs="宋体"/>
          <w:b/>
          <w:color w:val="auto"/>
          <w:sz w:val="24"/>
          <w:highlight w:val="none"/>
        </w:rPr>
        <w:t>投标人也可选择参加在线开标，具体按照交易平台相关指南进行操作。详见：</w:t>
      </w:r>
      <w:r>
        <w:rPr>
          <w:rFonts w:hint="eastAsia" w:hAnsi="宋体" w:cs="宋体"/>
          <w:b/>
          <w:color w:val="auto"/>
          <w:sz w:val="24"/>
          <w:highlight w:val="none"/>
          <w:u w:val="single"/>
          <w:lang w:eastAsia="zh-CN"/>
        </w:rPr>
        <w:t>广州交易集团有限公司（广州公共资源交易中心）</w:t>
      </w:r>
      <w:r>
        <w:rPr>
          <w:rFonts w:hint="eastAsia" w:hAnsi="宋体" w:cs="宋体"/>
          <w:b/>
          <w:color w:val="auto"/>
          <w:sz w:val="24"/>
          <w:highlight w:val="none"/>
          <w:u w:val="single"/>
        </w:rPr>
        <w:t>网站</w:t>
      </w:r>
      <w:r>
        <w:rPr>
          <w:rFonts w:hint="eastAsia" w:hAnsi="宋体" w:cs="宋体"/>
          <w:b/>
          <w:color w:val="auto"/>
          <w:sz w:val="24"/>
          <w:highlight w:val="none"/>
        </w:rPr>
        <w:t>。</w:t>
      </w:r>
    </w:p>
    <w:p w14:paraId="33F6A662">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3.4.</w:t>
      </w:r>
      <w:r>
        <w:rPr>
          <w:rFonts w:hint="eastAsia" w:hAnsi="宋体" w:cs="宋体"/>
          <w:color w:val="auto"/>
          <w:sz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402E63B3">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仿宋_GB2312"/>
          <w:color w:val="auto"/>
          <w:sz w:val="24"/>
          <w:highlight w:val="none"/>
        </w:rPr>
      </w:pPr>
      <w:r>
        <w:rPr>
          <w:rFonts w:hint="default" w:ascii="宋体" w:hAnsi="宋体" w:eastAsia="宋体" w:cs="宋体"/>
          <w:color w:val="auto"/>
          <w:kern w:val="2"/>
          <w:sz w:val="24"/>
          <w:szCs w:val="24"/>
          <w:highlight w:val="none"/>
          <w:lang w:val="en-US" w:eastAsia="zh-CN" w:bidi="ar-SA"/>
        </w:rPr>
        <w:t>3.5.</w:t>
      </w:r>
      <w:r>
        <w:rPr>
          <w:rFonts w:hint="eastAsia" w:hAnsi="宋体" w:cs="宋体"/>
          <w:color w:val="auto"/>
          <w:sz w:val="24"/>
          <w:highlight w:val="none"/>
        </w:rPr>
        <w:t>投标人</w:t>
      </w:r>
      <w:r>
        <w:rPr>
          <w:rFonts w:hint="eastAsia" w:hAnsi="宋体"/>
          <w:bCs/>
          <w:color w:val="auto"/>
          <w:sz w:val="24"/>
          <w:highlight w:val="none"/>
        </w:rPr>
        <w:t>通过</w:t>
      </w:r>
      <w:r>
        <w:rPr>
          <w:rFonts w:hint="eastAsia" w:hAnsi="宋体"/>
          <w:color w:val="auto"/>
          <w:sz w:val="24"/>
          <w:highlight w:val="none"/>
          <w:u w:val="single"/>
          <w:lang w:eastAsia="zh-CN"/>
        </w:rPr>
        <w:t>广州交易集团有限公司（广州公共资源交易中心）</w:t>
      </w:r>
      <w:r>
        <w:rPr>
          <w:rFonts w:hint="eastAsia" w:hAnsi="宋体"/>
          <w:color w:val="auto"/>
          <w:sz w:val="24"/>
          <w:highlight w:val="none"/>
        </w:rPr>
        <w:t>交易平台递交电子投标文件。</w:t>
      </w:r>
      <w:r>
        <w:rPr>
          <w:rFonts w:hint="eastAsia" w:hAnsi="宋体" w:cs="仿宋_GB2312"/>
          <w:color w:val="auto"/>
          <w:sz w:val="24"/>
          <w:highlight w:val="none"/>
        </w:rPr>
        <w:t>投标人应在递交投标文件截止时间前，登录</w:t>
      </w:r>
      <w:r>
        <w:rPr>
          <w:rFonts w:hint="eastAsia" w:hAnsi="宋体"/>
          <w:color w:val="auto"/>
          <w:sz w:val="24"/>
          <w:highlight w:val="none"/>
          <w:u w:val="single"/>
          <w:lang w:eastAsia="zh-CN"/>
        </w:rPr>
        <w:t>广州交易集团有限公司（广州公共资源交易中心）</w:t>
      </w:r>
      <w:r>
        <w:rPr>
          <w:rFonts w:hint="eastAsia" w:hAnsi="宋体" w:cs="仿宋_GB2312"/>
          <w:color w:val="auto"/>
          <w:sz w:val="24"/>
          <w:highlight w:val="none"/>
        </w:rPr>
        <w:t>办理网上投标登记手续。按照交易平台关于全流程电子化项目的相关指南进行操作。详见：</w:t>
      </w:r>
      <w:r>
        <w:rPr>
          <w:rFonts w:hint="eastAsia" w:hAnsi="宋体" w:cs="仿宋_GB2312"/>
          <w:color w:val="auto"/>
          <w:sz w:val="24"/>
          <w:highlight w:val="none"/>
          <w:u w:val="single"/>
          <w:lang w:eastAsia="zh-CN"/>
        </w:rPr>
        <w:t>广州交易集团有限公司（广州公共资源交易中心）</w:t>
      </w:r>
      <w:r>
        <w:rPr>
          <w:rFonts w:hint="eastAsia" w:hAnsi="宋体" w:cs="仿宋_GB2312"/>
          <w:color w:val="auto"/>
          <w:sz w:val="24"/>
          <w:highlight w:val="none"/>
          <w:u w:val="single"/>
        </w:rPr>
        <w:t>网站</w:t>
      </w:r>
      <w:r>
        <w:rPr>
          <w:rFonts w:hint="eastAsia" w:hAnsi="宋体" w:cs="仿宋_GB2312"/>
          <w:color w:val="auto"/>
          <w:sz w:val="24"/>
          <w:highlight w:val="none"/>
        </w:rPr>
        <w:t>。</w:t>
      </w:r>
    </w:p>
    <w:p w14:paraId="07FFE09F">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hAnsi="宋体" w:cs="仿宋_GB2312"/>
          <w:color w:val="auto"/>
          <w:sz w:val="24"/>
          <w:highlight w:val="none"/>
          <w:lang w:val="en-US" w:eastAsia="zh-CN"/>
        </w:rPr>
      </w:pPr>
      <w:r>
        <w:rPr>
          <w:rFonts w:hint="eastAsia" w:hAnsi="宋体" w:cs="仿宋_GB2312"/>
          <w:color w:val="auto"/>
          <w:sz w:val="24"/>
          <w:highlight w:val="none"/>
          <w:lang w:val="en-US" w:eastAsia="zh-CN"/>
        </w:rPr>
        <w:t>3.6.投标文件解密时间：</w:t>
      </w:r>
      <w:r>
        <w:rPr>
          <w:rFonts w:hint="eastAsia" w:hAnsi="宋体" w:cs="仿宋_GB2312"/>
          <w:color w:val="auto"/>
          <w:sz w:val="24"/>
          <w:highlight w:val="none"/>
          <w:u w:val="single"/>
          <w:lang w:val="en-US" w:eastAsia="zh-CN"/>
        </w:rPr>
        <w:t>2024</w:t>
      </w:r>
      <w:r>
        <w:rPr>
          <w:rFonts w:hint="eastAsia" w:hAnsi="宋体" w:cs="仿宋_GB2312"/>
          <w:color w:val="auto"/>
          <w:sz w:val="24"/>
          <w:highlight w:val="none"/>
          <w:lang w:val="en-US" w:eastAsia="zh-CN"/>
        </w:rPr>
        <w:t>年</w:t>
      </w:r>
      <w:r>
        <w:rPr>
          <w:rFonts w:hint="eastAsia" w:hAnsi="宋体" w:cs="仿宋_GB2312"/>
          <w:color w:val="auto"/>
          <w:sz w:val="24"/>
          <w:highlight w:val="none"/>
          <w:u w:val="single"/>
          <w:lang w:val="en-US" w:eastAsia="zh-CN"/>
        </w:rPr>
        <w:t>11</w:t>
      </w:r>
      <w:r>
        <w:rPr>
          <w:rFonts w:hint="eastAsia" w:hAnsi="宋体" w:cs="仿宋_GB2312"/>
          <w:color w:val="auto"/>
          <w:sz w:val="24"/>
          <w:highlight w:val="none"/>
          <w:lang w:val="en-US" w:eastAsia="zh-CN"/>
        </w:rPr>
        <w:t>月</w:t>
      </w:r>
      <w:r>
        <w:rPr>
          <w:rFonts w:hint="eastAsia" w:hAnsi="宋体" w:cs="仿宋_GB2312"/>
          <w:color w:val="auto"/>
          <w:sz w:val="24"/>
          <w:highlight w:val="none"/>
          <w:u w:val="single"/>
          <w:lang w:val="en-US" w:eastAsia="zh-CN"/>
        </w:rPr>
        <w:t>21</w:t>
      </w:r>
      <w:r>
        <w:rPr>
          <w:rFonts w:hint="eastAsia" w:hAnsi="宋体" w:cs="仿宋_GB2312"/>
          <w:color w:val="auto"/>
          <w:sz w:val="24"/>
          <w:highlight w:val="none"/>
          <w:lang w:val="en-US" w:eastAsia="zh-CN"/>
        </w:rPr>
        <w:t>日</w:t>
      </w:r>
      <w:r>
        <w:rPr>
          <w:rFonts w:hint="eastAsia" w:hAnsi="宋体" w:cs="仿宋_GB2312"/>
          <w:color w:val="auto"/>
          <w:sz w:val="24"/>
          <w:highlight w:val="none"/>
          <w:u w:val="single"/>
          <w:lang w:val="en-US" w:eastAsia="zh-CN"/>
        </w:rPr>
        <w:t>9</w:t>
      </w:r>
      <w:r>
        <w:rPr>
          <w:rFonts w:hint="eastAsia" w:hAnsi="宋体" w:cs="仿宋_GB2312"/>
          <w:color w:val="auto"/>
          <w:sz w:val="24"/>
          <w:highlight w:val="none"/>
          <w:lang w:val="en-US" w:eastAsia="zh-CN"/>
        </w:rPr>
        <w:t>时</w:t>
      </w:r>
      <w:r>
        <w:rPr>
          <w:rFonts w:hint="eastAsia" w:hAnsi="宋体" w:cs="仿宋_GB2312"/>
          <w:color w:val="auto"/>
          <w:sz w:val="24"/>
          <w:highlight w:val="none"/>
          <w:u w:val="single"/>
          <w:lang w:val="en-US" w:eastAsia="zh-CN"/>
        </w:rPr>
        <w:t>00</w:t>
      </w:r>
      <w:r>
        <w:rPr>
          <w:rFonts w:hint="eastAsia" w:hAnsi="宋体" w:cs="仿宋_GB2312"/>
          <w:color w:val="auto"/>
          <w:sz w:val="24"/>
          <w:highlight w:val="none"/>
          <w:lang w:val="en-US" w:eastAsia="zh-CN"/>
        </w:rPr>
        <w:t>分至</w:t>
      </w:r>
      <w:r>
        <w:rPr>
          <w:rFonts w:hint="eastAsia" w:hAnsi="宋体" w:cs="仿宋_GB2312"/>
          <w:color w:val="auto"/>
          <w:sz w:val="24"/>
          <w:highlight w:val="none"/>
          <w:u w:val="single"/>
          <w:lang w:val="en-US" w:eastAsia="zh-CN"/>
        </w:rPr>
        <w:t>9</w:t>
      </w:r>
      <w:r>
        <w:rPr>
          <w:rFonts w:hint="eastAsia" w:hAnsi="宋体" w:cs="仿宋_GB2312"/>
          <w:color w:val="auto"/>
          <w:sz w:val="24"/>
          <w:highlight w:val="none"/>
          <w:lang w:val="en-US" w:eastAsia="zh-CN"/>
        </w:rPr>
        <w:t>时</w:t>
      </w:r>
      <w:r>
        <w:rPr>
          <w:rFonts w:hint="eastAsia" w:hAnsi="宋体" w:cs="仿宋_GB2312"/>
          <w:color w:val="auto"/>
          <w:sz w:val="24"/>
          <w:highlight w:val="none"/>
          <w:u w:val="single"/>
          <w:lang w:val="en-US" w:eastAsia="zh-CN"/>
        </w:rPr>
        <w:t>30</w:t>
      </w:r>
      <w:r>
        <w:rPr>
          <w:rFonts w:hint="eastAsia" w:hAnsi="宋体" w:cs="仿宋_GB2312"/>
          <w:color w:val="auto"/>
          <w:sz w:val="24"/>
          <w:highlight w:val="none"/>
          <w:lang w:val="en-US" w:eastAsia="zh-CN"/>
        </w:rPr>
        <w:t>分，逾时解密的投标文件将被确认为无效投标，不参与后续评标。</w:t>
      </w:r>
    </w:p>
    <w:p w14:paraId="4B965F4F">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Ansi="宋体"/>
          <w:color w:val="auto"/>
          <w:highlight w:val="none"/>
        </w:rPr>
      </w:pPr>
      <w:r>
        <w:rPr>
          <w:rFonts w:hint="eastAsia" w:hAnsi="宋体"/>
          <w:color w:val="auto"/>
          <w:sz w:val="24"/>
          <w:szCs w:val="24"/>
          <w:highlight w:val="none"/>
          <w:lang w:val="en-US" w:eastAsia="zh-CN"/>
        </w:rPr>
        <w:t>3.7.</w:t>
      </w:r>
      <w:r>
        <w:rPr>
          <w:rFonts w:hint="eastAsia" w:hAnsi="宋体"/>
          <w:color w:val="auto"/>
          <w:sz w:val="24"/>
          <w:szCs w:val="24"/>
          <w:highlight w:val="none"/>
        </w:rPr>
        <w:t>开标室地址：广州交易所集团有限公司（广州市</w:t>
      </w:r>
      <w:r>
        <w:rPr>
          <w:rFonts w:hint="eastAsia" w:hAnsi="宋体"/>
          <w:color w:val="auto"/>
          <w:sz w:val="24"/>
          <w:szCs w:val="24"/>
          <w:highlight w:val="none"/>
          <w:lang w:val="en-US" w:eastAsia="zh-CN"/>
        </w:rPr>
        <w:t>天河区天润路333号第</w:t>
      </w:r>
      <w:r>
        <w:rPr>
          <w:rFonts w:hint="eastAsia" w:hAnsi="宋体"/>
          <w:color w:val="auto"/>
          <w:sz w:val="24"/>
          <w:szCs w:val="24"/>
          <w:highlight w:val="none"/>
          <w:u w:val="none"/>
          <w:lang w:val="en-US" w:eastAsia="zh-CN"/>
        </w:rPr>
        <w:t>16开标室</w:t>
      </w:r>
      <w:r>
        <w:rPr>
          <w:rFonts w:hint="eastAsia" w:hAnsi="宋体" w:cs="仿宋_GB2312"/>
          <w:color w:val="auto"/>
          <w:sz w:val="24"/>
          <w:highlight w:val="none"/>
          <w:lang w:val="en-US" w:eastAsia="zh-CN"/>
        </w:rPr>
        <w:t>。</w:t>
      </w:r>
    </w:p>
    <w:p w14:paraId="2C9CD693">
      <w:pPr>
        <w:keepNext w:val="0"/>
        <w:keepLines w:val="0"/>
        <w:pageBreakBefore w:val="0"/>
        <w:widowControl w:val="0"/>
        <w:numPr>
          <w:ilvl w:val="0"/>
          <w:numId w:val="0"/>
        </w:numPr>
        <w:kinsoku/>
        <w:overflowPunct/>
        <w:topLinePunct w:val="0"/>
        <w:bidi w:val="0"/>
        <w:spacing w:before="156" w:beforeLines="50" w:after="156" w:afterLines="50" w:line="360" w:lineRule="auto"/>
        <w:ind w:left="0" w:firstLine="0"/>
        <w:rPr>
          <w:rFonts w:hint="eastAsia" w:ascii="Calibri" w:hAnsi="宋体" w:eastAsia="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4.</w:t>
      </w:r>
      <w:r>
        <w:rPr>
          <w:rFonts w:hint="eastAsia" w:ascii="Calibri" w:hAnsi="宋体" w:eastAsia="宋体"/>
          <w:b/>
          <w:color w:val="auto"/>
          <w:sz w:val="30"/>
          <w:szCs w:val="30"/>
          <w:highlight w:val="none"/>
        </w:rPr>
        <w:t>投标登记及招标文件的获取时间、获取方式、保证金缴纳</w:t>
      </w:r>
    </w:p>
    <w:p w14:paraId="6A7193A5">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kern w:val="2"/>
          <w:sz w:val="24"/>
          <w:szCs w:val="24"/>
          <w:highlight w:val="none"/>
          <w:lang w:val="en-US" w:eastAsia="zh-CN" w:bidi="ar-SA"/>
        </w:rPr>
        <w:t>4.1.</w:t>
      </w:r>
      <w:r>
        <w:rPr>
          <w:rFonts w:hint="eastAsia" w:hAnsi="宋体" w:cs="Arial"/>
          <w:color w:val="auto"/>
          <w:sz w:val="24"/>
          <w:szCs w:val="24"/>
          <w:highlight w:val="none"/>
        </w:rPr>
        <w:t>投标登记及获取招标文件时间：</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10</w:t>
      </w:r>
      <w:r>
        <w:rPr>
          <w:rFonts w:hint="eastAsia" w:hAnsi="宋体"/>
          <w:color w:val="auto"/>
          <w:sz w:val="24"/>
          <w:highlight w:val="none"/>
        </w:rPr>
        <w:t>月</w:t>
      </w:r>
      <w:r>
        <w:rPr>
          <w:rFonts w:hint="eastAsia" w:hAnsi="宋体"/>
          <w:color w:val="auto"/>
          <w:sz w:val="24"/>
          <w:highlight w:val="none"/>
          <w:u w:val="single"/>
          <w:lang w:val="en-US" w:eastAsia="zh-CN"/>
        </w:rPr>
        <w:t>31</w:t>
      </w:r>
      <w:r>
        <w:rPr>
          <w:rFonts w:hint="eastAsia" w:hAnsi="宋体"/>
          <w:color w:val="auto"/>
          <w:sz w:val="24"/>
          <w:highlight w:val="none"/>
        </w:rPr>
        <w:t>日</w:t>
      </w:r>
      <w:r>
        <w:rPr>
          <w:rFonts w:hint="eastAsia" w:hAnsi="宋体"/>
          <w:color w:val="auto"/>
          <w:sz w:val="24"/>
          <w:highlight w:val="none"/>
          <w:u w:val="single"/>
          <w:lang w:val="en-US" w:eastAsia="zh-CN"/>
        </w:rPr>
        <w:t>00</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分至</w:t>
      </w:r>
      <w:r>
        <w:rPr>
          <w:rFonts w:hint="eastAsia" w:hAnsi="宋体"/>
          <w:color w:val="auto"/>
          <w:sz w:val="24"/>
          <w:highlight w:val="none"/>
          <w:u w:val="single"/>
          <w:lang w:val="en-US" w:eastAsia="zh-CN"/>
        </w:rPr>
        <w:t>2024</w:t>
      </w:r>
      <w:r>
        <w:rPr>
          <w:rFonts w:hint="eastAsia" w:hAnsi="宋体"/>
          <w:color w:val="auto"/>
          <w:sz w:val="24"/>
          <w:highlight w:val="none"/>
        </w:rPr>
        <w:t>年</w:t>
      </w:r>
      <w:r>
        <w:rPr>
          <w:rFonts w:hint="eastAsia" w:hAnsi="宋体"/>
          <w:color w:val="auto"/>
          <w:sz w:val="24"/>
          <w:highlight w:val="none"/>
          <w:u w:val="single"/>
          <w:lang w:val="en-US" w:eastAsia="zh-CN"/>
        </w:rPr>
        <w:t>11</w:t>
      </w:r>
      <w:r>
        <w:rPr>
          <w:rFonts w:hint="eastAsia" w:hAnsi="宋体"/>
          <w:color w:val="auto"/>
          <w:sz w:val="24"/>
          <w:highlight w:val="none"/>
        </w:rPr>
        <w:t>月</w:t>
      </w:r>
      <w:r>
        <w:rPr>
          <w:rFonts w:hint="eastAsia" w:hAnsi="宋体"/>
          <w:color w:val="auto"/>
          <w:sz w:val="24"/>
          <w:highlight w:val="none"/>
          <w:u w:val="single"/>
          <w:lang w:val="en-US" w:eastAsia="zh-CN"/>
        </w:rPr>
        <w:t>21</w:t>
      </w:r>
      <w:r>
        <w:rPr>
          <w:rFonts w:hint="eastAsia" w:hAnsi="宋体"/>
          <w:color w:val="auto"/>
          <w:sz w:val="24"/>
          <w:highlight w:val="none"/>
        </w:rPr>
        <w:t>日</w:t>
      </w:r>
      <w:r>
        <w:rPr>
          <w:rFonts w:hint="eastAsia" w:hAnsi="宋体"/>
          <w:color w:val="auto"/>
          <w:sz w:val="24"/>
          <w:highlight w:val="none"/>
          <w:u w:val="single"/>
          <w:lang w:val="en-US" w:eastAsia="zh-CN"/>
        </w:rPr>
        <w:t>9</w:t>
      </w:r>
      <w:r>
        <w:rPr>
          <w:rFonts w:hint="eastAsia" w:hAnsi="宋体"/>
          <w:color w:val="auto"/>
          <w:sz w:val="24"/>
          <w:highlight w:val="none"/>
        </w:rPr>
        <w:t>时</w:t>
      </w:r>
      <w:r>
        <w:rPr>
          <w:rFonts w:hint="eastAsia" w:hAnsi="宋体"/>
          <w:color w:val="auto"/>
          <w:sz w:val="24"/>
          <w:highlight w:val="none"/>
          <w:u w:val="single"/>
          <w:lang w:val="en-US" w:eastAsia="zh-CN"/>
        </w:rPr>
        <w:t>00</w:t>
      </w:r>
      <w:r>
        <w:rPr>
          <w:rFonts w:hint="eastAsia" w:hAnsi="宋体"/>
          <w:color w:val="auto"/>
          <w:sz w:val="24"/>
          <w:highlight w:val="none"/>
        </w:rPr>
        <w:t>分</w:t>
      </w:r>
      <w:r>
        <w:rPr>
          <w:rFonts w:hint="eastAsia" w:hAnsi="宋体" w:cs="Arial"/>
          <w:color w:val="auto"/>
          <w:sz w:val="24"/>
          <w:szCs w:val="24"/>
          <w:highlight w:val="none"/>
        </w:rPr>
        <w:t>。</w:t>
      </w:r>
    </w:p>
    <w:p w14:paraId="60F86147">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spacing w:line="360" w:lineRule="auto"/>
        <w:ind w:left="0" w:firstLine="480" w:firstLineChars="200"/>
        <w:textAlignment w:val="auto"/>
        <w:rPr>
          <w:rFonts w:ascii="宋体" w:hAnsi="宋体"/>
          <w:color w:val="auto"/>
          <w:sz w:val="24"/>
          <w:szCs w:val="24"/>
          <w:highlight w:val="none"/>
        </w:rPr>
      </w:pPr>
      <w:r>
        <w:rPr>
          <w:rFonts w:hint="default" w:ascii="宋体" w:hAnsi="宋体" w:eastAsia="宋体" w:cs="宋体"/>
          <w:color w:val="auto"/>
          <w:sz w:val="24"/>
          <w:szCs w:val="24"/>
          <w:highlight w:val="none"/>
          <w:lang w:val="en-US" w:eastAsia="zh-CN" w:bidi="ar-SA"/>
        </w:rPr>
        <w:t>4.2.</w:t>
      </w:r>
      <w:r>
        <w:rPr>
          <w:rFonts w:hint="eastAsia" w:hAnsi="宋体" w:cs="Arial"/>
          <w:color w:val="auto"/>
          <w:sz w:val="24"/>
          <w:szCs w:val="24"/>
          <w:highlight w:val="none"/>
        </w:rPr>
        <w:t>投标登记及获取招标文件方式：</w:t>
      </w:r>
      <w:r>
        <w:rPr>
          <w:rFonts w:hint="eastAsia" w:ascii="宋体" w:hAnsi="宋体"/>
          <w:color w:val="auto"/>
          <w:sz w:val="24"/>
          <w:szCs w:val="24"/>
          <w:highlight w:val="none"/>
        </w:rPr>
        <w:t>凡有意参加投标者，请在招标公告发布时间内登录</w:t>
      </w:r>
      <w:r>
        <w:rPr>
          <w:rFonts w:hint="eastAsia" w:ascii="宋体" w:hAnsi="宋体"/>
          <w:color w:val="auto"/>
          <w:sz w:val="24"/>
          <w:szCs w:val="24"/>
          <w:highlight w:val="none"/>
          <w:lang w:eastAsia="zh-CN"/>
        </w:rPr>
        <w:t>在广州交易集团有限公司（广州公共资源交易中心）</w:t>
      </w:r>
      <w:r>
        <w:rPr>
          <w:rFonts w:hint="eastAsia" w:ascii="宋体" w:hAnsi="宋体"/>
          <w:color w:val="auto"/>
          <w:sz w:val="24"/>
          <w:szCs w:val="24"/>
          <w:highlight w:val="none"/>
        </w:rPr>
        <w:t>网站（网址：</w:t>
      </w:r>
      <w:r>
        <w:rPr>
          <w:rFonts w:hint="eastAsia" w:ascii="宋体" w:hAnsi="宋体" w:eastAsia="宋体" w:cs="Times New Roman"/>
          <w:color w:val="auto"/>
          <w:sz w:val="24"/>
          <w:szCs w:val="24"/>
          <w:highlight w:val="none"/>
          <w:shd w:val="clear" w:color="auto" w:fill="auto"/>
        </w:rPr>
        <w:t>http://www.gzggzy.cn/</w:t>
      </w:r>
      <w:r>
        <w:rPr>
          <w:rFonts w:hint="eastAsia" w:ascii="宋体" w:hAnsi="宋体"/>
          <w:color w:val="auto"/>
          <w:sz w:val="24"/>
          <w:szCs w:val="24"/>
          <w:highlight w:val="none"/>
        </w:rPr>
        <w:t>）下载电子招标文件。</w:t>
      </w:r>
    </w:p>
    <w:p w14:paraId="37F9D231">
      <w:pPr>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投标保证金：</w:t>
      </w:r>
      <w:bookmarkStart w:id="23" w:name="_Hlk22820096"/>
      <w:r>
        <w:rPr>
          <w:rFonts w:hint="eastAsia" w:ascii="宋体" w:hAnsi="宋体"/>
          <w:color w:val="auto"/>
          <w:sz w:val="24"/>
          <w:szCs w:val="24"/>
          <w:highlight w:val="none"/>
        </w:rPr>
        <w:t>￥</w:t>
      </w:r>
      <w:r>
        <w:rPr>
          <w:rFonts w:hint="eastAsia" w:ascii="宋体" w:hAnsi="宋体"/>
          <w:color w:val="auto"/>
          <w:sz w:val="24"/>
          <w:highlight w:val="none"/>
          <w:lang w:val="en-US" w:eastAsia="zh-CN"/>
        </w:rPr>
        <w:t>50</w:t>
      </w:r>
      <w:r>
        <w:rPr>
          <w:rFonts w:ascii="宋体" w:hAnsi="宋体"/>
          <w:color w:val="auto"/>
          <w:sz w:val="24"/>
          <w:highlight w:val="none"/>
        </w:rPr>
        <w:t>0000</w:t>
      </w:r>
      <w:r>
        <w:rPr>
          <w:rFonts w:hint="eastAsia" w:ascii="宋体" w:hAnsi="宋体"/>
          <w:color w:val="auto"/>
          <w:sz w:val="24"/>
          <w:szCs w:val="24"/>
          <w:highlight w:val="none"/>
        </w:rPr>
        <w:t>元（人民币</w:t>
      </w:r>
      <w:r>
        <w:rPr>
          <w:rFonts w:hint="eastAsia" w:ascii="宋体" w:hAnsi="宋体"/>
          <w:color w:val="auto"/>
          <w:sz w:val="24"/>
          <w:szCs w:val="24"/>
          <w:highlight w:val="none"/>
          <w:lang w:val="en-US" w:eastAsia="zh-CN"/>
        </w:rPr>
        <w:t>伍拾</w:t>
      </w:r>
      <w:r>
        <w:rPr>
          <w:rFonts w:hint="eastAsia" w:ascii="宋体" w:hAnsi="宋体"/>
          <w:color w:val="auto"/>
          <w:sz w:val="24"/>
          <w:szCs w:val="24"/>
          <w:highlight w:val="none"/>
        </w:rPr>
        <w:t>万元整）</w:t>
      </w:r>
      <w:bookmarkEnd w:id="23"/>
      <w:r>
        <w:rPr>
          <w:rFonts w:hint="eastAsia" w:ascii="宋体" w:hAnsi="宋体"/>
          <w:color w:val="auto"/>
          <w:sz w:val="24"/>
          <w:szCs w:val="24"/>
          <w:highlight w:val="none"/>
        </w:rPr>
        <w:t>，缴纳时间在投标截止时间之前。</w:t>
      </w:r>
    </w:p>
    <w:p w14:paraId="7350669E">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5.</w:t>
      </w:r>
      <w:r>
        <w:rPr>
          <w:rFonts w:hint="eastAsia" w:ascii="Calibri" w:hAnsi="宋体"/>
          <w:b/>
          <w:color w:val="auto"/>
          <w:sz w:val="30"/>
          <w:szCs w:val="30"/>
          <w:highlight w:val="none"/>
        </w:rPr>
        <w:t>资格审查方式</w:t>
      </w:r>
    </w:p>
    <w:p w14:paraId="7D784ECB">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5.1.</w:t>
      </w:r>
      <w:r>
        <w:rPr>
          <w:rFonts w:hint="eastAsia" w:hAnsi="宋体" w:cs="宋体"/>
          <w:color w:val="auto"/>
          <w:sz w:val="24"/>
          <w:szCs w:val="24"/>
          <w:highlight w:val="none"/>
        </w:rPr>
        <w:t>资格审查方式：本项目采用资格后审。</w:t>
      </w:r>
    </w:p>
    <w:p w14:paraId="6AADE19C">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5.2.</w:t>
      </w:r>
      <w:r>
        <w:rPr>
          <w:rFonts w:hint="eastAsia" w:hAnsi="宋体" w:cs="宋体"/>
          <w:color w:val="auto"/>
          <w:sz w:val="24"/>
          <w:szCs w:val="24"/>
          <w:highlight w:val="none"/>
        </w:rPr>
        <w:t>本次招标资格审查实行合格制法，即只要投标人的资格条件满足投标人资格要求，则该投标人的资格审查结果为合格。</w:t>
      </w:r>
      <w:r>
        <w:rPr>
          <w:rFonts w:hint="default" w:ascii="宋体" w:hAnsi="宋体" w:eastAsia="宋体" w:cs="宋体"/>
          <w:color w:val="auto"/>
          <w:kern w:val="2"/>
          <w:sz w:val="24"/>
          <w:szCs w:val="24"/>
          <w:highlight w:val="none"/>
          <w:lang w:val="en-US" w:eastAsia="zh-CN" w:bidi="ar-SA"/>
        </w:rPr>
        <w:t>当通过资格审查的正式投标人不足3名时，则该</w:t>
      </w:r>
      <w:r>
        <w:rPr>
          <w:rFonts w:hint="eastAsia" w:hAnsi="宋体" w:cs="宋体"/>
          <w:color w:val="auto"/>
          <w:kern w:val="2"/>
          <w:sz w:val="24"/>
          <w:szCs w:val="24"/>
          <w:highlight w:val="none"/>
          <w:lang w:val="en-US" w:eastAsia="zh-CN" w:bidi="ar-SA"/>
        </w:rPr>
        <w:t>项目</w:t>
      </w:r>
      <w:r>
        <w:rPr>
          <w:rFonts w:hint="default" w:ascii="宋体" w:hAnsi="宋体" w:eastAsia="宋体" w:cs="宋体"/>
          <w:color w:val="auto"/>
          <w:kern w:val="2"/>
          <w:sz w:val="24"/>
          <w:szCs w:val="24"/>
          <w:highlight w:val="none"/>
          <w:lang w:val="en-US" w:eastAsia="zh-CN" w:bidi="ar-SA"/>
        </w:rPr>
        <w:t>招标失败。</w:t>
      </w:r>
    </w:p>
    <w:p w14:paraId="2CD728C0">
      <w:pPr>
        <w:pStyle w:val="143"/>
        <w:keepNext w:val="0"/>
        <w:keepLines w:val="0"/>
        <w:pageBreakBefore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5.3.</w:t>
      </w:r>
      <w:r>
        <w:rPr>
          <w:rFonts w:hint="eastAsia" w:hAnsi="宋体" w:cs="宋体"/>
          <w:color w:val="auto"/>
          <w:sz w:val="24"/>
          <w:szCs w:val="24"/>
          <w:highlight w:val="none"/>
        </w:rPr>
        <w:t>招标失败时，招标人分析招标失败原因，修正招标方案，报有关管理部门核准后，重新组织招标。</w:t>
      </w:r>
    </w:p>
    <w:p w14:paraId="149D0BC3">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hAnsi="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5.4.</w:t>
      </w:r>
      <w:r>
        <w:rPr>
          <w:rFonts w:hint="eastAsia" w:hAnsi="宋体"/>
          <w:color w:val="auto"/>
          <w:sz w:val="24"/>
          <w:szCs w:val="24"/>
          <w:highlight w:val="none"/>
        </w:rPr>
        <w:t>其他说明</w:t>
      </w:r>
    </w:p>
    <w:p w14:paraId="2E0CDDF1">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hAnsi="宋体"/>
          <w:color w:val="auto"/>
          <w:sz w:val="24"/>
          <w:szCs w:val="24"/>
          <w:highlight w:val="none"/>
          <w:lang w:val="en-US" w:eastAsia="zh-CN"/>
        </w:rPr>
      </w:pPr>
      <w:r>
        <w:rPr>
          <w:rFonts w:hint="eastAsia" w:hAnsi="宋体"/>
          <w:color w:val="auto"/>
          <w:sz w:val="24"/>
          <w:szCs w:val="24"/>
          <w:highlight w:val="none"/>
          <w:lang w:val="en-US" w:eastAsia="zh-CN"/>
        </w:rPr>
        <w:t>5.4.1本项目的采购量均为暂定量，最终供货量以实际供货数量为准。</w:t>
      </w:r>
    </w:p>
    <w:p w14:paraId="12544E84">
      <w:pPr>
        <w:pStyle w:val="143"/>
        <w:keepNext w:val="0"/>
        <w:keepLines w:val="0"/>
        <w:pageBreakBefore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eastAsia" w:hAnsi="宋体"/>
          <w:color w:val="auto"/>
          <w:sz w:val="24"/>
          <w:szCs w:val="24"/>
          <w:highlight w:val="none"/>
          <w:lang w:val="en-US" w:eastAsia="zh-CN"/>
        </w:rPr>
        <w:t>5.4.2</w:t>
      </w:r>
      <w:r>
        <w:rPr>
          <w:rFonts w:hint="eastAsia" w:hAnsi="宋体"/>
          <w:color w:val="auto"/>
          <w:sz w:val="24"/>
          <w:szCs w:val="24"/>
          <w:highlight w:val="none"/>
        </w:rPr>
        <w:t>中标人将与招标人按中标单价签订固定单价合同，在合同期内合同综合单价保持不变。</w:t>
      </w:r>
    </w:p>
    <w:p w14:paraId="2286940E">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6.</w:t>
      </w:r>
      <w:r>
        <w:rPr>
          <w:rFonts w:hint="eastAsia" w:ascii="Calibri" w:hAnsi="宋体"/>
          <w:b/>
          <w:color w:val="auto"/>
          <w:sz w:val="30"/>
          <w:szCs w:val="30"/>
          <w:highlight w:val="none"/>
        </w:rPr>
        <w:t>投标人注意事项</w:t>
      </w:r>
    </w:p>
    <w:p w14:paraId="63907C92">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Arial"/>
          <w:color w:val="auto"/>
          <w:sz w:val="24"/>
          <w:szCs w:val="24"/>
          <w:highlight w:val="none"/>
        </w:rPr>
      </w:pPr>
      <w:r>
        <w:rPr>
          <w:rFonts w:hint="default" w:ascii="宋体" w:hAnsi="宋体" w:eastAsia="宋体" w:cs="宋体"/>
          <w:color w:val="auto"/>
          <w:sz w:val="24"/>
          <w:szCs w:val="24"/>
          <w:highlight w:val="none"/>
          <w:lang w:val="en-US" w:eastAsia="zh-CN" w:bidi="ar-SA"/>
        </w:rPr>
        <w:t>6.</w:t>
      </w:r>
      <w:r>
        <w:rPr>
          <w:rFonts w:hint="eastAsia" w:ascii="宋体" w:hAnsi="宋体" w:cs="宋体"/>
          <w:color w:val="auto"/>
          <w:sz w:val="24"/>
          <w:szCs w:val="24"/>
          <w:highlight w:val="none"/>
          <w:lang w:val="en-US" w:eastAsia="zh-CN" w:bidi="ar-SA"/>
        </w:rPr>
        <w:t>1</w:t>
      </w:r>
      <w:r>
        <w:rPr>
          <w:rFonts w:hint="default" w:ascii="宋体" w:hAnsi="宋体" w:eastAsia="宋体" w:cs="宋体"/>
          <w:color w:val="auto"/>
          <w:sz w:val="24"/>
          <w:szCs w:val="24"/>
          <w:highlight w:val="none"/>
          <w:lang w:val="en-US" w:eastAsia="zh-CN" w:bidi="ar-SA"/>
        </w:rPr>
        <w:t>.</w:t>
      </w:r>
      <w:r>
        <w:rPr>
          <w:rFonts w:hint="eastAsia" w:ascii="宋体" w:hAnsi="宋体" w:cs="Arial"/>
          <w:color w:val="auto"/>
          <w:sz w:val="24"/>
          <w:szCs w:val="24"/>
          <w:highlight w:val="none"/>
        </w:rPr>
        <w:t>投标人应遵循以下程序完成网上投标登记手续：</w:t>
      </w:r>
    </w:p>
    <w:p w14:paraId="4851EA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（1）登录</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网站投标人服务专区完成投标人的相关信息录入。</w:t>
      </w:r>
    </w:p>
    <w:p w14:paraId="15A8DE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（2）核对并确认投标信息无误后，上传带有电子签名及电子签章的加密投标文件。在递交投标文件截止时间前，投标人可以替换投标文件。投标文件须于递交投标文件截止时间前完整上传并保存到</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的电子评标系统。如果投标文件于递交投标文件截止时间未能上传完毕，该投标文件将视为无效投标文件。</w:t>
      </w:r>
    </w:p>
    <w:p w14:paraId="7798E77F">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Arial"/>
          <w:color w:val="auto"/>
          <w:sz w:val="24"/>
          <w:szCs w:val="24"/>
          <w:highlight w:val="none"/>
        </w:rPr>
      </w:pPr>
      <w:r>
        <w:rPr>
          <w:rFonts w:hint="default" w:ascii="宋体" w:hAnsi="宋体" w:eastAsia="宋体" w:cs="宋体"/>
          <w:color w:val="auto"/>
          <w:sz w:val="24"/>
          <w:szCs w:val="24"/>
          <w:highlight w:val="none"/>
          <w:lang w:val="en-US" w:eastAsia="zh-CN" w:bidi="ar-SA"/>
        </w:rPr>
        <w:t>6.</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Arial"/>
          <w:color w:val="auto"/>
          <w:sz w:val="24"/>
          <w:szCs w:val="24"/>
          <w:highlight w:val="none"/>
        </w:rPr>
        <w:t>投标人投标登记前需</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完成企业信息登记。未完成企业信息登记的单位，请在本项目投标登记前，到</w:t>
      </w:r>
      <w:r>
        <w:rPr>
          <w:rFonts w:hint="eastAsia" w:ascii="宋体" w:hAnsi="宋体" w:cs="Arial"/>
          <w:color w:val="auto"/>
          <w:sz w:val="24"/>
          <w:szCs w:val="24"/>
          <w:highlight w:val="none"/>
          <w:lang w:eastAsia="zh-CN"/>
        </w:rPr>
        <w:t>在广州交易集团有限公司（广州公共资源交易中心）</w:t>
      </w:r>
      <w:r>
        <w:rPr>
          <w:rFonts w:hint="eastAsia" w:ascii="宋体" w:hAnsi="宋体" w:cs="Arial"/>
          <w:color w:val="auto"/>
          <w:sz w:val="24"/>
          <w:szCs w:val="24"/>
          <w:highlight w:val="none"/>
        </w:rPr>
        <w:t>完成企业信息登记，详细说明见</w:t>
      </w:r>
      <w:r>
        <w:rPr>
          <w:rFonts w:hint="eastAsia" w:ascii="宋体" w:hAnsi="宋体" w:cs="Arial"/>
          <w:color w:val="auto"/>
          <w:sz w:val="24"/>
          <w:szCs w:val="24"/>
          <w:highlight w:val="none"/>
          <w:lang w:eastAsia="zh-CN"/>
        </w:rPr>
        <w:t>广州交易集团有限公司（广州公共资源交易中心）</w:t>
      </w:r>
      <w:r>
        <w:rPr>
          <w:rFonts w:hint="eastAsia" w:ascii="宋体" w:hAnsi="宋体" w:cs="Arial"/>
          <w:color w:val="auto"/>
          <w:sz w:val="24"/>
          <w:szCs w:val="24"/>
          <w:highlight w:val="none"/>
        </w:rPr>
        <w:t>网（www.gzggzy.cn）公告，否则由此造成的投标登记延误，由投标人自行承担。</w:t>
      </w:r>
    </w:p>
    <w:p w14:paraId="521A0B0F">
      <w:pPr>
        <w:keepNext w:val="0"/>
        <w:keepLines w:val="0"/>
        <w:pageBreakBefore w:val="0"/>
        <w:widowControl w:val="0"/>
        <w:numPr>
          <w:ilvl w:val="1"/>
          <w:numId w:val="0"/>
        </w:numPr>
        <w:tabs>
          <w:tab w:val="left" w:pos="426"/>
          <w:tab w:val="left" w:pos="993"/>
        </w:tabs>
        <w:kinsoku/>
        <w:wordWrap/>
        <w:overflowPunct/>
        <w:topLinePunct w:val="0"/>
        <w:autoSpaceDE/>
        <w:autoSpaceDN/>
        <w:bidi w:val="0"/>
        <w:adjustRightInd w:val="0"/>
        <w:snapToGrid w:val="0"/>
        <w:spacing w:line="360" w:lineRule="auto"/>
        <w:ind w:left="0" w:firstLine="480" w:firstLineChars="200"/>
        <w:textAlignment w:val="auto"/>
        <w:rPr>
          <w:rFonts w:hAnsi="宋体" w:cs="Arial"/>
          <w:color w:val="auto"/>
          <w:sz w:val="24"/>
          <w:szCs w:val="24"/>
          <w:highlight w:val="none"/>
        </w:rPr>
      </w:pPr>
      <w:r>
        <w:rPr>
          <w:rFonts w:hint="default" w:ascii="宋体" w:hAnsi="宋体" w:eastAsia="宋体" w:cs="宋体"/>
          <w:color w:val="auto"/>
          <w:sz w:val="24"/>
          <w:szCs w:val="24"/>
          <w:highlight w:val="none"/>
          <w:lang w:val="en-US" w:eastAsia="zh-CN" w:bidi="ar-SA"/>
        </w:rPr>
        <w:t>6.</w:t>
      </w:r>
      <w:r>
        <w:rPr>
          <w:rFonts w:hint="eastAsia" w:ascii="宋体" w:hAnsi="宋体" w:cs="宋体"/>
          <w:color w:val="auto"/>
          <w:sz w:val="24"/>
          <w:szCs w:val="24"/>
          <w:highlight w:val="none"/>
          <w:lang w:val="en-US" w:eastAsia="zh-CN" w:bidi="ar-SA"/>
        </w:rPr>
        <w:t>3</w:t>
      </w:r>
      <w:r>
        <w:rPr>
          <w:rFonts w:hint="default" w:ascii="宋体" w:hAnsi="宋体" w:eastAsia="宋体" w:cs="宋体"/>
          <w:color w:val="auto"/>
          <w:sz w:val="24"/>
          <w:szCs w:val="24"/>
          <w:highlight w:val="none"/>
          <w:lang w:val="en-US" w:eastAsia="zh-CN" w:bidi="ar-SA"/>
        </w:rPr>
        <w:t>.</w:t>
      </w:r>
      <w:r>
        <w:rPr>
          <w:rFonts w:hint="eastAsia" w:hAnsi="宋体"/>
          <w:color w:val="auto"/>
          <w:sz w:val="24"/>
          <w:szCs w:val="24"/>
          <w:highlight w:val="none"/>
          <w:lang w:eastAsia="zh-CN"/>
        </w:rPr>
        <w:t>广东重工建设监理有限公司</w:t>
      </w:r>
      <w:r>
        <w:rPr>
          <w:rFonts w:hint="eastAsia" w:ascii="宋体" w:hAnsi="宋体" w:cs="Arial"/>
          <w:color w:val="auto"/>
          <w:sz w:val="24"/>
          <w:szCs w:val="24"/>
          <w:highlight w:val="none"/>
        </w:rPr>
        <w:t>为招标代理机构，不对投标人进行项目投标登记时提交的相关资料的真实性负责，如投标人发现相关资料被盗用或复制，应遵循法律途径解决，追究侵权者责任。</w:t>
      </w:r>
    </w:p>
    <w:p w14:paraId="187DD9E2">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7.</w:t>
      </w:r>
      <w:r>
        <w:rPr>
          <w:rFonts w:hint="eastAsia" w:ascii="Calibri" w:hAnsi="宋体"/>
          <w:b/>
          <w:color w:val="auto"/>
          <w:sz w:val="30"/>
          <w:szCs w:val="30"/>
          <w:highlight w:val="none"/>
        </w:rPr>
        <w:t>现场考察及招标答疑会</w:t>
      </w:r>
    </w:p>
    <w:p w14:paraId="7D7A2A76">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7.1.</w:t>
      </w:r>
      <w:r>
        <w:rPr>
          <w:rFonts w:hint="eastAsia" w:hAnsi="宋体"/>
          <w:color w:val="auto"/>
          <w:sz w:val="24"/>
          <w:szCs w:val="24"/>
          <w:highlight w:val="none"/>
        </w:rPr>
        <w:t>本项目不举行现场考察活动。</w:t>
      </w:r>
    </w:p>
    <w:p w14:paraId="18C00233">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color w:val="auto"/>
          <w:highlight w:val="none"/>
        </w:rPr>
      </w:pPr>
      <w:r>
        <w:rPr>
          <w:rFonts w:hint="default" w:ascii="宋体" w:hAnsi="宋体" w:eastAsia="宋体" w:cs="宋体"/>
          <w:color w:val="auto"/>
          <w:kern w:val="2"/>
          <w:sz w:val="24"/>
          <w:szCs w:val="24"/>
          <w:highlight w:val="none"/>
          <w:lang w:val="en-US" w:eastAsia="zh-CN" w:bidi="ar-SA"/>
        </w:rPr>
        <w:t>7.2.</w:t>
      </w:r>
      <w:r>
        <w:rPr>
          <w:rFonts w:hint="eastAsia" w:hAnsi="宋体"/>
          <w:color w:val="auto"/>
          <w:sz w:val="24"/>
          <w:szCs w:val="24"/>
          <w:highlight w:val="none"/>
        </w:rPr>
        <w:t>本项目不需要现场招标答疑会。</w:t>
      </w:r>
    </w:p>
    <w:p w14:paraId="41545C57">
      <w:pPr>
        <w:pStyle w:val="143"/>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7.3.</w:t>
      </w:r>
      <w:r>
        <w:rPr>
          <w:rFonts w:hint="eastAsia" w:hAnsi="宋体"/>
          <w:color w:val="auto"/>
          <w:sz w:val="24"/>
          <w:szCs w:val="24"/>
          <w:highlight w:val="none"/>
        </w:rPr>
        <w:t>本项目举行网上答疑会：如有疑问，应在20</w:t>
      </w:r>
      <w:r>
        <w:rPr>
          <w:rFonts w:hint="eastAsia" w:hAnsi="宋体"/>
          <w:color w:val="auto"/>
          <w:sz w:val="24"/>
          <w:szCs w:val="24"/>
          <w:highlight w:val="none"/>
          <w:lang w:val="en-US" w:eastAsia="zh-CN"/>
        </w:rPr>
        <w:t>24</w:t>
      </w:r>
      <w:r>
        <w:rPr>
          <w:rFonts w:hint="eastAsia" w:hAnsi="宋体"/>
          <w:color w:val="auto"/>
          <w:sz w:val="24"/>
          <w:szCs w:val="24"/>
          <w:highlight w:val="none"/>
        </w:rPr>
        <w:t>年</w:t>
      </w:r>
      <w:r>
        <w:rPr>
          <w:rFonts w:hint="eastAsia" w:hAnsi="宋体"/>
          <w:color w:val="auto"/>
          <w:sz w:val="24"/>
          <w:szCs w:val="24"/>
          <w:highlight w:val="none"/>
          <w:u w:val="single"/>
          <w:lang w:val="en-US" w:eastAsia="zh-CN"/>
        </w:rPr>
        <w:t>11</w:t>
      </w:r>
      <w:r>
        <w:rPr>
          <w:rFonts w:hint="eastAsia" w:hAnsi="宋体"/>
          <w:color w:val="auto"/>
          <w:sz w:val="24"/>
          <w:szCs w:val="24"/>
          <w:highlight w:val="none"/>
        </w:rPr>
        <w:t>月</w:t>
      </w:r>
      <w:r>
        <w:rPr>
          <w:rFonts w:hint="eastAsia" w:hAnsi="宋体"/>
          <w:color w:val="auto"/>
          <w:sz w:val="24"/>
          <w:szCs w:val="24"/>
          <w:highlight w:val="none"/>
          <w:u w:val="single"/>
          <w:lang w:val="en-US" w:eastAsia="zh-CN"/>
        </w:rPr>
        <w:t>4</w:t>
      </w:r>
      <w:r>
        <w:rPr>
          <w:rFonts w:hint="eastAsia" w:hAnsi="宋体"/>
          <w:color w:val="auto"/>
          <w:sz w:val="24"/>
          <w:szCs w:val="24"/>
          <w:highlight w:val="none"/>
        </w:rPr>
        <w:t>日</w:t>
      </w:r>
      <w:r>
        <w:rPr>
          <w:rFonts w:hint="eastAsia" w:hAnsi="宋体"/>
          <w:color w:val="auto"/>
          <w:sz w:val="24"/>
          <w:szCs w:val="24"/>
          <w:highlight w:val="none"/>
          <w:u w:val="single"/>
          <w:lang w:val="en-US" w:eastAsia="zh-CN"/>
        </w:rPr>
        <w:t>9</w:t>
      </w:r>
      <w:r>
        <w:rPr>
          <w:rFonts w:hint="eastAsia" w:hAnsi="宋体"/>
          <w:color w:val="auto"/>
          <w:sz w:val="24"/>
          <w:szCs w:val="24"/>
          <w:highlight w:val="none"/>
        </w:rPr>
        <w:t>时</w:t>
      </w:r>
      <w:r>
        <w:rPr>
          <w:rFonts w:hint="eastAsia" w:hAnsi="宋体"/>
          <w:color w:val="auto"/>
          <w:sz w:val="24"/>
          <w:szCs w:val="24"/>
          <w:highlight w:val="none"/>
          <w:u w:val="single"/>
          <w:lang w:val="en-US" w:eastAsia="zh-CN"/>
        </w:rPr>
        <w:t>00</w:t>
      </w:r>
      <w:r>
        <w:rPr>
          <w:rFonts w:hint="eastAsia" w:hAnsi="宋体"/>
          <w:color w:val="auto"/>
          <w:sz w:val="24"/>
          <w:szCs w:val="24"/>
          <w:highlight w:val="none"/>
          <w:lang w:val="en-US" w:eastAsia="zh-CN"/>
        </w:rPr>
        <w:t>分</w:t>
      </w:r>
      <w:r>
        <w:rPr>
          <w:rFonts w:hint="eastAsia" w:hAnsi="宋体"/>
          <w:color w:val="auto"/>
          <w:sz w:val="24"/>
          <w:szCs w:val="24"/>
          <w:highlight w:val="none"/>
        </w:rPr>
        <w:t>前以不记名的方式将提出的问题在</w:t>
      </w:r>
      <w:r>
        <w:rPr>
          <w:rFonts w:hint="eastAsia" w:hAnsi="宋体"/>
          <w:color w:val="auto"/>
          <w:sz w:val="24"/>
          <w:szCs w:val="24"/>
          <w:highlight w:val="none"/>
          <w:lang w:val="en-US" w:eastAsia="zh-CN"/>
        </w:rPr>
        <w:t>广州交易集团有限公司（广州公共资源交易中心）</w:t>
      </w:r>
      <w:r>
        <w:rPr>
          <w:rFonts w:hint="eastAsia" w:hAnsi="宋体"/>
          <w:color w:val="auto"/>
          <w:sz w:val="24"/>
          <w:szCs w:val="24"/>
          <w:highlight w:val="none"/>
        </w:rPr>
        <w:t>中提出。具体操作详见招标文件第一章投标人须知3.1.1.。</w:t>
      </w:r>
    </w:p>
    <w:p w14:paraId="4C87C703">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8.</w:t>
      </w:r>
      <w:r>
        <w:rPr>
          <w:rFonts w:hint="eastAsia" w:ascii="Calibri" w:hAnsi="宋体"/>
          <w:b/>
          <w:color w:val="auto"/>
          <w:sz w:val="30"/>
          <w:szCs w:val="30"/>
          <w:highlight w:val="none"/>
        </w:rPr>
        <w:t>招标文件的异议</w:t>
      </w:r>
      <w:r>
        <w:rPr>
          <w:rFonts w:hint="eastAsia" w:ascii="Calibri" w:hAnsi="宋体"/>
          <w:b/>
          <w:color w:val="auto"/>
          <w:sz w:val="30"/>
          <w:szCs w:val="30"/>
          <w:highlight w:val="none"/>
          <w:lang w:val="en-US" w:eastAsia="zh-CN"/>
        </w:rPr>
        <w:t>及投诉</w:t>
      </w:r>
    </w:p>
    <w:p w14:paraId="646993B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8.1.关于异议、投诉的基本概念和处理程序详见《广州市水务局关于进一步加强水务工程项目招标投标活动监督管理工作的通知》（穗水建管〔2023〕78 号），以下简称《通知》）。《通知》可通过广州市水务局门户网站获取。</w:t>
      </w:r>
    </w:p>
    <w:p w14:paraId="5A9462C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ascii="宋体" w:hAnsi="宋体" w:cs="宋体"/>
          <w:color w:val="auto"/>
          <w:sz w:val="24"/>
          <w:highlight w:val="none"/>
        </w:rPr>
      </w:pPr>
      <w:r>
        <w:rPr>
          <w:rFonts w:hint="eastAsia" w:ascii="宋体" w:hAnsi="宋体" w:cs="宋体"/>
          <w:color w:val="auto"/>
          <w:sz w:val="24"/>
          <w:szCs w:val="24"/>
          <w:highlight w:val="none"/>
          <w:lang w:val="en-US" w:eastAsia="zh-CN" w:bidi="ar-SA"/>
        </w:rPr>
        <w:t>8.2</w:t>
      </w:r>
      <w:r>
        <w:rPr>
          <w:rFonts w:ascii="宋体" w:hAnsi="宋体" w:cs="宋体"/>
          <w:color w:val="auto"/>
          <w:sz w:val="24"/>
          <w:highlight w:val="none"/>
        </w:rPr>
        <w:t>潜在投标人或利害关系人对本招标公告及招标文件中任何违法及不公平内容有异议的，</w:t>
      </w:r>
      <w:r>
        <w:rPr>
          <w:rFonts w:hint="default" w:ascii="宋体" w:hAnsi="宋体" w:cs="宋体"/>
          <w:color w:val="auto"/>
          <w:sz w:val="24"/>
          <w:highlight w:val="none"/>
        </w:rPr>
        <w:t>可以通过线下或线上的形式提出异议。线上提出异议的，应通过交易平台提交，招标人也应通过交易平台答复线上提出的异议。具体按照交易平台相关指南进行操作。作出答复前，应当暂停招标投标活动。</w:t>
      </w:r>
      <w:r>
        <w:rPr>
          <w:rFonts w:ascii="宋体" w:hAnsi="宋体" w:cs="宋体"/>
          <w:color w:val="auto"/>
          <w:sz w:val="24"/>
          <w:highlight w:val="none"/>
        </w:rPr>
        <w:t>如潜在投标人或其他利害关系人对招标人答复仍持有异议的，可按相关规定进行投诉。</w:t>
      </w:r>
    </w:p>
    <w:p w14:paraId="271830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异议受理部门：广州市自来水有限公司</w:t>
      </w:r>
    </w:p>
    <w:p w14:paraId="61B9D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联系人：</w:t>
      </w:r>
      <w:r>
        <w:rPr>
          <w:rFonts w:hint="eastAsia" w:hAnsi="宋体"/>
          <w:color w:val="auto"/>
          <w:sz w:val="24"/>
          <w:szCs w:val="24"/>
          <w:highlight w:val="none"/>
          <w:lang w:val="en-US" w:eastAsia="zh-CN"/>
        </w:rPr>
        <w:t>梁</w:t>
      </w:r>
      <w:r>
        <w:rPr>
          <w:rFonts w:hint="eastAsia" w:hAnsi="宋体"/>
          <w:color w:val="auto"/>
          <w:sz w:val="24"/>
          <w:szCs w:val="24"/>
          <w:highlight w:val="none"/>
        </w:rPr>
        <w:t>工</w:t>
      </w:r>
    </w:p>
    <w:p w14:paraId="3F62E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电话：020-87159059</w:t>
      </w:r>
    </w:p>
    <w:p w14:paraId="70E785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地址：广州市越秀区中山一路12号</w:t>
      </w:r>
    </w:p>
    <w:p w14:paraId="7004F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投诉受理部门：广州市水务工程招标投标管理中心</w:t>
      </w:r>
    </w:p>
    <w:p w14:paraId="757EB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联系电话：020-88521061</w:t>
      </w:r>
    </w:p>
    <w:p w14:paraId="04367425">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9.</w:t>
      </w:r>
      <w:r>
        <w:rPr>
          <w:rFonts w:hint="eastAsia" w:ascii="Calibri" w:hAnsi="宋体"/>
          <w:b/>
          <w:color w:val="auto"/>
          <w:sz w:val="30"/>
          <w:szCs w:val="30"/>
          <w:highlight w:val="none"/>
        </w:rPr>
        <w:t>采购信息发布网站</w:t>
      </w:r>
    </w:p>
    <w:p w14:paraId="24D58869">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lang w:eastAsia="zh-CN"/>
        </w:rPr>
        <w:t>广州交易集团有限公司（广州公共资源交易中心）</w:t>
      </w:r>
      <w:r>
        <w:rPr>
          <w:rFonts w:hint="eastAsia" w:hAnsi="宋体"/>
          <w:color w:val="auto"/>
          <w:sz w:val="24"/>
          <w:highlight w:val="none"/>
        </w:rPr>
        <w:t>网（网址：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Style w:val="49"/>
          <w:rFonts w:hint="eastAsia" w:hAnsi="宋体"/>
          <w:color w:val="auto"/>
          <w:sz w:val="24"/>
          <w:highlight w:val="none"/>
          <w:u w:val="none"/>
        </w:rPr>
        <w:t>http://www.gzggzy.cn</w:t>
      </w:r>
      <w:r>
        <w:rPr>
          <w:rFonts w:hint="eastAsia" w:hAnsi="宋体"/>
          <w:color w:val="auto"/>
          <w:sz w:val="24"/>
          <w:highlight w:val="none"/>
          <w:u w:val="none"/>
        </w:rPr>
        <w:fldChar w:fldCharType="end"/>
      </w:r>
      <w:r>
        <w:rPr>
          <w:rFonts w:hint="eastAsia" w:hAnsi="宋体"/>
          <w:color w:val="auto"/>
          <w:sz w:val="24"/>
          <w:highlight w:val="none"/>
        </w:rPr>
        <w:t>）</w:t>
      </w:r>
    </w:p>
    <w:p w14:paraId="69D988A5">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广东省招标投标监管网（网址：</w:t>
      </w:r>
      <w:r>
        <w:rPr>
          <w:rFonts w:hAnsi="宋体"/>
          <w:color w:val="auto"/>
          <w:sz w:val="24"/>
          <w:szCs w:val="24"/>
          <w:highlight w:val="none"/>
        </w:rPr>
        <w:t>http://zbtb.gd.gov.cn/</w:t>
      </w:r>
      <w:r>
        <w:rPr>
          <w:rFonts w:hint="eastAsia" w:hAnsi="宋体"/>
          <w:color w:val="auto"/>
          <w:sz w:val="24"/>
          <w:szCs w:val="24"/>
          <w:highlight w:val="none"/>
        </w:rPr>
        <w:t>）</w:t>
      </w:r>
    </w:p>
    <w:p w14:paraId="2353C12B">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中国招标投标公共服务平台（网址：http://www.cebpubservice.com/）</w:t>
      </w:r>
    </w:p>
    <w:p w14:paraId="1AB555DD">
      <w:pPr>
        <w:pStyle w:val="14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本公告在各媒体发布的文本如有不同之处，以在</w:t>
      </w:r>
      <w:r>
        <w:rPr>
          <w:rFonts w:hint="eastAsia" w:hAnsi="宋体"/>
          <w:color w:val="auto"/>
          <w:sz w:val="24"/>
          <w:highlight w:val="none"/>
          <w:lang w:eastAsia="zh-CN"/>
        </w:rPr>
        <w:t>广州交易集团有限公司（广州公共资源交易中心）</w:t>
      </w:r>
      <w:r>
        <w:rPr>
          <w:rFonts w:hint="eastAsia" w:hAnsi="宋体"/>
          <w:color w:val="auto"/>
          <w:sz w:val="24"/>
          <w:highlight w:val="none"/>
        </w:rPr>
        <w:t>网</w:t>
      </w:r>
      <w:r>
        <w:rPr>
          <w:rFonts w:hint="eastAsia" w:hAnsi="宋体"/>
          <w:color w:val="auto"/>
          <w:sz w:val="24"/>
          <w:szCs w:val="24"/>
          <w:highlight w:val="none"/>
        </w:rPr>
        <w:t>发布的文本为准。</w:t>
      </w:r>
    </w:p>
    <w:p w14:paraId="7605C73A">
      <w:pPr>
        <w:widowControl w:val="0"/>
        <w:numPr>
          <w:ilvl w:val="0"/>
          <w:numId w:val="0"/>
        </w:numPr>
        <w:spacing w:before="156" w:beforeLines="50" w:after="156" w:afterLines="50" w:line="360" w:lineRule="auto"/>
        <w:ind w:left="0" w:firstLine="0"/>
        <w:rPr>
          <w:rFonts w:ascii="Calibri" w:hAnsi="宋体"/>
          <w:b/>
          <w:color w:val="auto"/>
          <w:sz w:val="30"/>
          <w:szCs w:val="30"/>
          <w:highlight w:val="none"/>
        </w:rPr>
      </w:pPr>
      <w:r>
        <w:rPr>
          <w:rFonts w:hint="default" w:ascii="Calibri" w:hAnsi="宋体" w:eastAsia="宋体" w:cs="Times New Roman"/>
          <w:b/>
          <w:color w:val="auto"/>
          <w:sz w:val="30"/>
          <w:szCs w:val="30"/>
          <w:highlight w:val="none"/>
          <w:lang w:val="en-US" w:eastAsia="zh-CN" w:bidi="ar-SA"/>
        </w:rPr>
        <w:t>10.</w:t>
      </w:r>
      <w:r>
        <w:rPr>
          <w:rFonts w:hint="eastAsia" w:ascii="Calibri" w:hAnsi="宋体"/>
          <w:b/>
          <w:color w:val="auto"/>
          <w:sz w:val="30"/>
          <w:szCs w:val="30"/>
          <w:highlight w:val="none"/>
        </w:rPr>
        <w:t>招标人名称、地址和联系方式：</w:t>
      </w:r>
    </w:p>
    <w:p w14:paraId="3B6A2DB9">
      <w:pPr>
        <w:pStyle w:val="14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10.1.</w:t>
      </w:r>
      <w:r>
        <w:rPr>
          <w:rFonts w:hint="eastAsia" w:hAnsi="宋体"/>
          <w:color w:val="auto"/>
          <w:sz w:val="24"/>
          <w:szCs w:val="24"/>
          <w:highlight w:val="none"/>
        </w:rPr>
        <w:t>招标人</w:t>
      </w:r>
    </w:p>
    <w:p w14:paraId="52990707">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招标人名称：广州市自来水有限公司</w:t>
      </w:r>
    </w:p>
    <w:p w14:paraId="5DED67D8">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招标人地址：</w:t>
      </w:r>
      <w:r>
        <w:rPr>
          <w:rFonts w:hint="eastAsia" w:hAnsi="宋体" w:cs="宋体"/>
          <w:color w:val="auto"/>
          <w:sz w:val="24"/>
          <w:szCs w:val="24"/>
          <w:highlight w:val="none"/>
        </w:rPr>
        <w:t>广州市越秀区中山一路12号</w:t>
      </w:r>
    </w:p>
    <w:p w14:paraId="4D0C93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联 系 人：</w:t>
      </w:r>
      <w:r>
        <w:rPr>
          <w:rFonts w:hint="eastAsia" w:ascii="宋体" w:hAnsi="宋体" w:cs="宋体"/>
          <w:color w:val="auto"/>
          <w:kern w:val="2"/>
          <w:sz w:val="24"/>
          <w:szCs w:val="24"/>
          <w:highlight w:val="none"/>
          <w:lang w:val="en-US" w:eastAsia="zh-CN"/>
        </w:rPr>
        <w:t>梁</w:t>
      </w:r>
      <w:r>
        <w:rPr>
          <w:rFonts w:hint="eastAsia" w:ascii="宋体" w:hAnsi="宋体" w:cs="宋体"/>
          <w:color w:val="auto"/>
          <w:kern w:val="2"/>
          <w:sz w:val="24"/>
          <w:szCs w:val="24"/>
          <w:highlight w:val="none"/>
        </w:rPr>
        <w:t>工</w:t>
      </w:r>
    </w:p>
    <w:p w14:paraId="75C0531B">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联系电话：</w:t>
      </w:r>
      <w:r>
        <w:rPr>
          <w:rFonts w:hAnsi="宋体"/>
          <w:color w:val="auto"/>
          <w:sz w:val="24"/>
          <w:szCs w:val="24"/>
          <w:highlight w:val="none"/>
        </w:rPr>
        <w:t>020-87159059</w:t>
      </w:r>
      <w:r>
        <w:rPr>
          <w:rFonts w:hint="eastAsia" w:hAnsi="宋体"/>
          <w:color w:val="auto"/>
          <w:sz w:val="24"/>
          <w:szCs w:val="24"/>
          <w:highlight w:val="none"/>
        </w:rPr>
        <w:t xml:space="preserve">  </w:t>
      </w:r>
    </w:p>
    <w:p w14:paraId="69737229">
      <w:pPr>
        <w:pStyle w:val="143"/>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480" w:firstLineChars="200"/>
        <w:textAlignment w:val="auto"/>
        <w:rPr>
          <w:rFonts w:hAnsi="宋体"/>
          <w:color w:val="auto"/>
          <w:sz w:val="24"/>
          <w:szCs w:val="24"/>
          <w:highlight w:val="none"/>
        </w:rPr>
      </w:pPr>
      <w:r>
        <w:rPr>
          <w:rFonts w:hint="default" w:ascii="宋体" w:hAnsi="宋体" w:eastAsia="宋体" w:cs="宋体"/>
          <w:color w:val="auto"/>
          <w:kern w:val="2"/>
          <w:sz w:val="24"/>
          <w:szCs w:val="24"/>
          <w:highlight w:val="none"/>
          <w:lang w:val="en-US" w:eastAsia="zh-CN" w:bidi="ar-SA"/>
        </w:rPr>
        <w:t>10.2.</w:t>
      </w:r>
      <w:r>
        <w:rPr>
          <w:rFonts w:hint="eastAsia" w:hAnsi="宋体"/>
          <w:color w:val="auto"/>
          <w:sz w:val="24"/>
          <w:szCs w:val="24"/>
          <w:highlight w:val="none"/>
        </w:rPr>
        <w:t>招标代理机构</w:t>
      </w:r>
    </w:p>
    <w:p w14:paraId="0113EFD8">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eastAsia="宋体"/>
          <w:color w:val="auto"/>
          <w:sz w:val="24"/>
          <w:szCs w:val="24"/>
          <w:highlight w:val="none"/>
          <w:lang w:eastAsia="zh-CN"/>
        </w:rPr>
      </w:pPr>
      <w:r>
        <w:rPr>
          <w:rFonts w:hint="eastAsia" w:hAnsi="宋体"/>
          <w:color w:val="auto"/>
          <w:sz w:val="24"/>
          <w:szCs w:val="24"/>
          <w:highlight w:val="none"/>
        </w:rPr>
        <w:t>招标代理机构名称：</w:t>
      </w:r>
      <w:r>
        <w:rPr>
          <w:rFonts w:hint="eastAsia" w:hAnsi="宋体"/>
          <w:color w:val="auto"/>
          <w:sz w:val="24"/>
          <w:szCs w:val="24"/>
          <w:highlight w:val="none"/>
          <w:lang w:eastAsia="zh-CN"/>
        </w:rPr>
        <w:t>广东重工建设监理有限公司</w:t>
      </w:r>
    </w:p>
    <w:p w14:paraId="25A532D7">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eastAsia="宋体"/>
          <w:color w:val="auto"/>
          <w:sz w:val="24"/>
          <w:szCs w:val="24"/>
          <w:highlight w:val="none"/>
          <w:lang w:val="en-US" w:eastAsia="zh-CN"/>
        </w:rPr>
      </w:pPr>
      <w:r>
        <w:rPr>
          <w:rFonts w:hint="eastAsia" w:hAnsi="宋体"/>
          <w:color w:val="auto"/>
          <w:sz w:val="24"/>
          <w:szCs w:val="24"/>
          <w:highlight w:val="none"/>
        </w:rPr>
        <w:t>招标代理机构地址：</w:t>
      </w:r>
      <w:r>
        <w:rPr>
          <w:rFonts w:hint="eastAsia" w:hAnsi="宋体"/>
          <w:color w:val="auto"/>
          <w:sz w:val="24"/>
          <w:szCs w:val="24"/>
          <w:highlight w:val="none"/>
          <w:lang w:eastAsia="zh-CN"/>
        </w:rPr>
        <w:t>广州市黄埔区揽月路101号保利中科广场A座7层</w:t>
      </w:r>
    </w:p>
    <w:p w14:paraId="43B2B394">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招标代理机构联系人：</w:t>
      </w:r>
      <w:r>
        <w:rPr>
          <w:rFonts w:hint="eastAsia" w:hAnsi="宋体"/>
          <w:color w:val="auto"/>
          <w:sz w:val="24"/>
          <w:szCs w:val="24"/>
          <w:highlight w:val="none"/>
          <w:lang w:val="en-US" w:eastAsia="zh-CN"/>
        </w:rPr>
        <w:t>杨工</w:t>
      </w:r>
    </w:p>
    <w:p w14:paraId="5BC7267A">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eastAsia="宋体"/>
          <w:color w:val="auto"/>
          <w:sz w:val="24"/>
          <w:szCs w:val="24"/>
          <w:highlight w:val="none"/>
          <w:lang w:val="en-US" w:eastAsia="zh-CN"/>
        </w:rPr>
      </w:pPr>
      <w:r>
        <w:rPr>
          <w:rFonts w:hint="eastAsia" w:hAnsi="宋体"/>
          <w:color w:val="auto"/>
          <w:sz w:val="24"/>
          <w:szCs w:val="24"/>
          <w:highlight w:val="none"/>
        </w:rPr>
        <w:t>招标代理机构联系电话：</w:t>
      </w:r>
      <w:r>
        <w:rPr>
          <w:rFonts w:hint="eastAsia" w:hAnsi="宋体"/>
          <w:color w:val="auto"/>
          <w:sz w:val="24"/>
          <w:szCs w:val="24"/>
          <w:highlight w:val="none"/>
          <w:lang w:eastAsia="zh-CN"/>
        </w:rPr>
        <w:t>15920884831</w:t>
      </w:r>
    </w:p>
    <w:p w14:paraId="2FB46A99">
      <w:pPr>
        <w:pStyle w:val="14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E-mail：</w:t>
      </w:r>
      <w:r>
        <w:rPr>
          <w:rFonts w:hint="eastAsia" w:hAnsi="宋体"/>
          <w:color w:val="auto"/>
          <w:sz w:val="24"/>
          <w:szCs w:val="24"/>
          <w:highlight w:val="none"/>
          <w:lang w:val="en-US" w:eastAsia="zh-CN"/>
        </w:rPr>
        <w:t>/</w:t>
      </w:r>
      <w:r>
        <w:rPr>
          <w:rFonts w:hint="eastAsia" w:hAnsi="宋体"/>
          <w:color w:val="auto"/>
          <w:sz w:val="24"/>
          <w:szCs w:val="24"/>
          <w:highlight w:val="none"/>
        </w:rPr>
        <w:t xml:space="preserve"> </w:t>
      </w:r>
    </w:p>
    <w:p w14:paraId="3B95F6FB">
      <w:pPr>
        <w:pStyle w:val="143"/>
        <w:spacing w:line="360" w:lineRule="auto"/>
        <w:ind w:firstLine="638" w:firstLineChars="266"/>
        <w:jc w:val="right"/>
        <w:rPr>
          <w:rFonts w:hAnsi="宋体"/>
          <w:color w:val="auto"/>
          <w:sz w:val="24"/>
          <w:szCs w:val="24"/>
          <w:highlight w:val="none"/>
        </w:rPr>
      </w:pPr>
      <w:r>
        <w:rPr>
          <w:rFonts w:hint="eastAsia" w:hAnsi="宋体"/>
          <w:color w:val="auto"/>
          <w:sz w:val="24"/>
          <w:szCs w:val="24"/>
          <w:highlight w:val="none"/>
        </w:rPr>
        <w:t>招标人：广州市自来水有限公司</w:t>
      </w:r>
    </w:p>
    <w:p w14:paraId="60BB0CE9">
      <w:pPr>
        <w:pStyle w:val="143"/>
        <w:spacing w:line="360" w:lineRule="auto"/>
        <w:ind w:firstLine="638" w:firstLineChars="266"/>
        <w:jc w:val="right"/>
        <w:rPr>
          <w:rFonts w:hint="eastAsia" w:hAnsi="宋体" w:eastAsia="宋体"/>
          <w:color w:val="auto"/>
          <w:sz w:val="24"/>
          <w:szCs w:val="24"/>
          <w:highlight w:val="none"/>
          <w:lang w:eastAsia="zh-CN"/>
        </w:rPr>
      </w:pPr>
      <w:r>
        <w:rPr>
          <w:rFonts w:hint="eastAsia" w:hAnsi="宋体"/>
          <w:color w:val="auto"/>
          <w:sz w:val="24"/>
          <w:szCs w:val="24"/>
          <w:highlight w:val="none"/>
        </w:rPr>
        <w:t>招标代理机构：</w:t>
      </w:r>
      <w:r>
        <w:rPr>
          <w:rFonts w:hint="eastAsia" w:hAnsi="宋体"/>
          <w:color w:val="auto"/>
          <w:sz w:val="24"/>
          <w:szCs w:val="24"/>
          <w:highlight w:val="none"/>
          <w:lang w:eastAsia="zh-CN"/>
        </w:rPr>
        <w:t>广东重工建设监理有限公司</w:t>
      </w:r>
    </w:p>
    <w:p w14:paraId="67CE731D">
      <w:pPr>
        <w:pStyle w:val="143"/>
        <w:spacing w:line="360" w:lineRule="auto"/>
        <w:ind w:firstLine="638" w:firstLineChars="266"/>
        <w:jc w:val="right"/>
        <w:rPr>
          <w:rFonts w:hint="eastAsia"/>
          <w:color w:val="auto"/>
          <w:highlight w:val="none"/>
        </w:rPr>
      </w:pPr>
      <w:r>
        <w:rPr>
          <w:rFonts w:hint="eastAsia" w:hAnsi="宋体"/>
          <w:color w:val="auto"/>
          <w:sz w:val="24"/>
          <w:szCs w:val="24"/>
          <w:highlight w:val="none"/>
        </w:rPr>
        <w:t>日期：</w:t>
      </w:r>
      <w:r>
        <w:rPr>
          <w:rFonts w:hint="eastAsia" w:hAnsi="宋体"/>
          <w:color w:val="auto"/>
          <w:sz w:val="24"/>
          <w:szCs w:val="24"/>
          <w:highlight w:val="none"/>
          <w:lang w:val="en-US" w:eastAsia="zh-CN"/>
        </w:rPr>
        <w:t>2024</w:t>
      </w:r>
      <w:r>
        <w:rPr>
          <w:rFonts w:hint="eastAsia" w:hAnsi="宋体"/>
          <w:color w:val="auto"/>
          <w:sz w:val="24"/>
          <w:szCs w:val="24"/>
          <w:highlight w:val="none"/>
        </w:rPr>
        <w:t xml:space="preserve">年 </w:t>
      </w:r>
      <w:r>
        <w:rPr>
          <w:rFonts w:hint="eastAsia" w:hAnsi="宋体"/>
          <w:color w:val="auto"/>
          <w:sz w:val="24"/>
          <w:szCs w:val="24"/>
          <w:highlight w:val="none"/>
          <w:lang w:val="en-US" w:eastAsia="zh-CN"/>
        </w:rPr>
        <w:t>10</w:t>
      </w:r>
      <w:r>
        <w:rPr>
          <w:rFonts w:hint="eastAsia" w:hAnsi="宋体"/>
          <w:color w:val="auto"/>
          <w:sz w:val="24"/>
          <w:szCs w:val="24"/>
          <w:highlight w:val="none"/>
        </w:rPr>
        <w:t xml:space="preserve">月 </w:t>
      </w:r>
      <w:r>
        <w:rPr>
          <w:rFonts w:hint="eastAsia" w:hAnsi="宋体"/>
          <w:color w:val="auto"/>
          <w:sz w:val="24"/>
          <w:szCs w:val="24"/>
          <w:highlight w:val="none"/>
          <w:lang w:val="en-US" w:eastAsia="zh-CN"/>
        </w:rPr>
        <w:t>31</w:t>
      </w:r>
      <w:r>
        <w:rPr>
          <w:rFonts w:hint="eastAsia" w:hAnsi="宋体"/>
          <w:color w:val="auto"/>
          <w:sz w:val="24"/>
          <w:szCs w:val="24"/>
          <w:highlight w:val="none"/>
        </w:rPr>
        <w:t>日</w:t>
      </w:r>
    </w:p>
    <w:p w14:paraId="000C99AC">
      <w:pPr>
        <w:pStyle w:val="22"/>
        <w:rPr>
          <w:rFonts w:hAnsi="宋体" w:cs="宋体"/>
          <w:color w:val="auto"/>
          <w:highlight w:val="none"/>
        </w:rPr>
      </w:pPr>
    </w:p>
    <w:p w14:paraId="453ADF5F">
      <w:pPr>
        <w:rPr>
          <w:rStyle w:val="55"/>
          <w:rFonts w:hint="eastAsia"/>
          <w:b/>
          <w:bCs/>
          <w:color w:val="auto"/>
          <w:highlight w:val="none"/>
        </w:rPr>
      </w:pPr>
      <w:bookmarkStart w:id="24" w:name="_Toc16589"/>
      <w:r>
        <w:rPr>
          <w:rStyle w:val="55"/>
          <w:rFonts w:hint="eastAsia"/>
          <w:b/>
          <w:bCs/>
          <w:color w:val="auto"/>
          <w:highlight w:val="none"/>
        </w:rPr>
        <w:br w:type="page"/>
      </w:r>
      <w:bookmarkStart w:id="250" w:name="_GoBack"/>
      <w:bookmarkEnd w:id="250"/>
    </w:p>
    <w:p w14:paraId="00D68E2C">
      <w:pPr>
        <w:pStyle w:val="5"/>
        <w:rPr>
          <w:rFonts w:ascii="宋体" w:hAnsi="宋体" w:cs="宋体"/>
          <w:color w:val="auto"/>
          <w:sz w:val="32"/>
          <w:szCs w:val="32"/>
          <w:highlight w:val="none"/>
        </w:rPr>
      </w:pPr>
      <w:bookmarkStart w:id="25" w:name="_Toc7357"/>
      <w:r>
        <w:rPr>
          <w:rStyle w:val="55"/>
          <w:rFonts w:hint="eastAsia"/>
          <w:b/>
          <w:bCs/>
          <w:color w:val="auto"/>
          <w:highlight w:val="none"/>
        </w:rPr>
        <w:t>第一章 投标人须知</w:t>
      </w:r>
      <w:bookmarkEnd w:id="0"/>
      <w:bookmarkEnd w:id="1"/>
      <w:bookmarkEnd w:id="24"/>
      <w:bookmarkEnd w:id="25"/>
    </w:p>
    <w:bookmarkEnd w:id="2"/>
    <w:p w14:paraId="1273E28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必须认真阅读招标文件中所有的事项、格式、条款和技术要求等。投标人没有按照招标文件要求提交全部资料，或者投标文件没有对招标文件在各方面都做出实质性响应，是投标人的风险，并可能导致其投标无效或被拒绝。</w:t>
      </w:r>
    </w:p>
    <w:p w14:paraId="049ABDD8">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26" w:name="_Toc45532479"/>
      <w:bookmarkStart w:id="27" w:name="_Toc24117377"/>
      <w:bookmarkStart w:id="28" w:name="_Toc175644386"/>
      <w:r>
        <w:rPr>
          <w:rFonts w:hint="default" w:ascii="宋体" w:hAnsi="宋体" w:eastAsia="宋体" w:cs="宋体"/>
          <w:b/>
          <w:bCs/>
          <w:color w:val="auto"/>
          <w:kern w:val="2"/>
          <w:sz w:val="30"/>
          <w:szCs w:val="30"/>
          <w:highlight w:val="none"/>
          <w:lang w:val="en-US" w:eastAsia="zh-CN" w:bidi="ar-SA"/>
        </w:rPr>
        <w:t>1.</w:t>
      </w:r>
      <w:r>
        <w:rPr>
          <w:rFonts w:hint="eastAsia" w:ascii="宋体" w:hAnsi="宋体" w:cs="宋体"/>
          <w:b/>
          <w:bCs/>
          <w:color w:val="auto"/>
          <w:sz w:val="30"/>
          <w:szCs w:val="30"/>
          <w:highlight w:val="none"/>
        </w:rPr>
        <w:t>总则</w:t>
      </w:r>
    </w:p>
    <w:p w14:paraId="59C7A3C6">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1.1.</w:t>
      </w:r>
      <w:r>
        <w:rPr>
          <w:rFonts w:hint="eastAsia" w:ascii="宋体" w:hAnsi="宋体" w:cs="宋体"/>
          <w:b/>
          <w:bCs/>
          <w:color w:val="auto"/>
          <w:sz w:val="30"/>
          <w:szCs w:val="30"/>
          <w:highlight w:val="none"/>
        </w:rPr>
        <w:t>说明</w:t>
      </w:r>
      <w:bookmarkEnd w:id="26"/>
      <w:bookmarkEnd w:id="27"/>
    </w:p>
    <w:p w14:paraId="2D015D12">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1.1.1.</w:t>
      </w:r>
      <w:r>
        <w:rPr>
          <w:rFonts w:hint="eastAsia" w:ascii="宋体" w:hAnsi="宋体" w:cs="宋体"/>
          <w:color w:val="auto"/>
          <w:sz w:val="24"/>
          <w:szCs w:val="24"/>
          <w:highlight w:val="none"/>
        </w:rPr>
        <w:t>依据《中华人民共和国招标投标法》《电子招标投标办法》有关规定制定本须知。</w:t>
      </w:r>
    </w:p>
    <w:p w14:paraId="5E9A0670">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1.1.2.</w:t>
      </w:r>
      <w:r>
        <w:rPr>
          <w:rFonts w:hint="eastAsia" w:ascii="宋体" w:hAnsi="宋体" w:cs="宋体"/>
          <w:color w:val="auto"/>
          <w:sz w:val="24"/>
          <w:szCs w:val="24"/>
          <w:highlight w:val="none"/>
        </w:rPr>
        <w:t>本项目的招标人、招标代理机构、投标人及各方当事人适用本须知。</w:t>
      </w:r>
    </w:p>
    <w:p w14:paraId="1CC75A22">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bookmarkStart w:id="29" w:name="_Toc24117378"/>
      <w:bookmarkStart w:id="30" w:name="_Toc45532480"/>
      <w:r>
        <w:rPr>
          <w:rFonts w:hint="default" w:ascii="宋体" w:hAnsi="宋体" w:eastAsia="宋体" w:cs="宋体"/>
          <w:b/>
          <w:bCs/>
          <w:color w:val="auto"/>
          <w:kern w:val="2"/>
          <w:sz w:val="30"/>
          <w:szCs w:val="30"/>
          <w:highlight w:val="none"/>
          <w:lang w:val="en-US" w:eastAsia="zh-CN" w:bidi="ar-SA"/>
        </w:rPr>
        <w:t>1.2.</w:t>
      </w:r>
      <w:r>
        <w:rPr>
          <w:rFonts w:hint="eastAsia" w:ascii="宋体" w:hAnsi="宋体" w:cs="宋体"/>
          <w:b/>
          <w:bCs/>
          <w:color w:val="auto"/>
          <w:sz w:val="30"/>
          <w:szCs w:val="30"/>
          <w:highlight w:val="none"/>
        </w:rPr>
        <w:t>定义</w:t>
      </w:r>
      <w:bookmarkEnd w:id="29"/>
      <w:bookmarkEnd w:id="30"/>
    </w:p>
    <w:p w14:paraId="3C528A10">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1</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“招标人”是指：本次招标项目的最终服务对象。</w:t>
      </w:r>
    </w:p>
    <w:p w14:paraId="2E331D8D">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“招标代理机构”是指：</w:t>
      </w:r>
      <w:r>
        <w:rPr>
          <w:rFonts w:hint="eastAsia" w:ascii="宋体" w:hAnsi="宋体" w:cs="宋体"/>
          <w:color w:val="auto"/>
          <w:sz w:val="24"/>
          <w:szCs w:val="24"/>
          <w:highlight w:val="none"/>
          <w:lang w:eastAsia="zh-CN"/>
        </w:rPr>
        <w:t>广东重工建设监理有限公司</w:t>
      </w:r>
      <w:r>
        <w:rPr>
          <w:rFonts w:hint="eastAsia" w:ascii="宋体" w:hAnsi="宋体" w:cs="宋体"/>
          <w:color w:val="auto"/>
          <w:sz w:val="24"/>
          <w:szCs w:val="24"/>
          <w:highlight w:val="none"/>
        </w:rPr>
        <w:t>，负责整个招标活动的组织，依法负责编制和发布招标文件，对招标文件拥有最终的解释权，不以任何身份出任评标委员会成员。</w:t>
      </w:r>
    </w:p>
    <w:p w14:paraId="7F9F5638">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“招标单位”是指：广州市自来水有限公司。</w:t>
      </w:r>
    </w:p>
    <w:p w14:paraId="08628C35">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合格的投标人：符合招标文件规定的资格要求及特殊条件要求的投标人。</w:t>
      </w:r>
    </w:p>
    <w:p w14:paraId="752F8CB7">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5</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“中标人”是指经法定程序确定并授予合同的投标人。</w:t>
      </w:r>
    </w:p>
    <w:p w14:paraId="69F3A5A3">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6</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“采购合同”：是指由招标人和中标人签订的规定双方权利和义务的协议。</w:t>
      </w:r>
    </w:p>
    <w:p w14:paraId="2330ED8A">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7</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“日”、“天”系指公历日。</w:t>
      </w:r>
    </w:p>
    <w:p w14:paraId="4ECDD0FA">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8</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招标文件：是指包括招标公告和招标文件及其补充、变更和澄清等一系列文件。</w:t>
      </w:r>
    </w:p>
    <w:p w14:paraId="0C291C26">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9</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电子投标文件：是指投标人应招标文件要求使用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提供的投标文件管理软件制作的响应性文件，由商务文件、技术文件等部分组成。</w:t>
      </w:r>
    </w:p>
    <w:p w14:paraId="4D026CDF">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0</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电子签名和电子签章：是指广东省内依法设立的电子认证服务机构签发的电子签名认证证书和电子签章，投标人应当到上述服务机构办理。电子签名及电子签章具有与手写签名或者盖章同等的法律效力。</w:t>
      </w:r>
    </w:p>
    <w:p w14:paraId="21FAD83F">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1</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合格的服务：“服务”是指除货物和工程以外的其他采购对象,其中包括：投标人须承担的运输、</w:t>
      </w:r>
      <w:r>
        <w:rPr>
          <w:rFonts w:hint="eastAsia" w:ascii="宋体" w:hAnsi="宋体" w:cs="宋体"/>
          <w:color w:val="auto"/>
          <w:sz w:val="24"/>
          <w:szCs w:val="24"/>
          <w:highlight w:val="none"/>
          <w:lang w:val="en-US" w:eastAsia="zh-CN"/>
        </w:rPr>
        <w:t>指导安装、现场调试、</w:t>
      </w:r>
      <w:r>
        <w:rPr>
          <w:rFonts w:hint="eastAsia" w:ascii="宋体" w:hAnsi="宋体" w:cs="宋体"/>
          <w:color w:val="auto"/>
          <w:sz w:val="24"/>
          <w:szCs w:val="24"/>
          <w:highlight w:val="none"/>
        </w:rPr>
        <w:t>技术支持、培训以及招标文件规定的其它服务。</w:t>
      </w:r>
    </w:p>
    <w:p w14:paraId="2A3E2493">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1.1.1</w:t>
      </w:r>
      <w:r>
        <w:rPr>
          <w:rFonts w:hint="eastAsia" w:ascii="宋体" w:hAnsi="宋体" w:cs="宋体"/>
          <w:color w:val="auto"/>
          <w:sz w:val="24"/>
          <w:szCs w:val="24"/>
          <w:highlight w:val="none"/>
          <w:lang w:val="en-US" w:eastAsia="zh-CN" w:bidi="ar-SA"/>
        </w:rPr>
        <w:t>2</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资金来源及比例：自筹资金、100%。</w:t>
      </w:r>
    </w:p>
    <w:p w14:paraId="5970ABDC">
      <w:pPr>
        <w:pStyle w:val="117"/>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1.1.1</w:t>
      </w:r>
      <w:r>
        <w:rPr>
          <w:rFonts w:hint="eastAsia" w:ascii="宋体" w:hAnsi="宋体" w:cs="宋体"/>
          <w:color w:val="auto"/>
          <w:sz w:val="24"/>
          <w:szCs w:val="24"/>
          <w:highlight w:val="none"/>
          <w:lang w:val="en-US" w:eastAsia="zh-CN" w:bidi="ar-SA"/>
        </w:rPr>
        <w:t>3</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资金落实情况：已落实</w:t>
      </w:r>
    </w:p>
    <w:p w14:paraId="21FAE44F">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1.3.</w:t>
      </w:r>
      <w:r>
        <w:rPr>
          <w:rFonts w:hint="eastAsia" w:ascii="宋体" w:hAnsi="宋体" w:cs="宋体"/>
          <w:b/>
          <w:bCs/>
          <w:color w:val="auto"/>
          <w:sz w:val="30"/>
          <w:szCs w:val="30"/>
          <w:highlight w:val="none"/>
        </w:rPr>
        <w:t>投标人资格要求</w:t>
      </w:r>
    </w:p>
    <w:p w14:paraId="4188B533">
      <w:pPr>
        <w:numPr>
          <w:ilvl w:val="2"/>
          <w:numId w:val="0"/>
        </w:numPr>
        <w:tabs>
          <w:tab w:val="left" w:pos="7560"/>
        </w:tabs>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1.3.1.</w:t>
      </w:r>
      <w:r>
        <w:rPr>
          <w:rFonts w:hint="eastAsia" w:ascii="宋体" w:hAnsi="宋体"/>
          <w:color w:val="auto"/>
          <w:sz w:val="24"/>
          <w:szCs w:val="24"/>
          <w:highlight w:val="none"/>
        </w:rPr>
        <w:t>本招标项目</w:t>
      </w:r>
      <w:r>
        <w:rPr>
          <w:rFonts w:hint="eastAsia" w:ascii="宋体" w:hAnsi="宋体"/>
          <w:color w:val="auto"/>
          <w:sz w:val="28"/>
          <w:szCs w:val="28"/>
          <w:highlight w:val="none"/>
          <w:lang w:eastAsia="zh-CN"/>
        </w:rPr>
        <w:t>☑</w:t>
      </w:r>
      <w:r>
        <w:rPr>
          <w:rFonts w:hint="eastAsia" w:ascii="宋体" w:hAnsi="宋体"/>
          <w:color w:val="auto"/>
          <w:sz w:val="24"/>
          <w:szCs w:val="24"/>
          <w:highlight w:val="none"/>
        </w:rPr>
        <w:t>接受、</w:t>
      </w:r>
      <w:r>
        <w:rPr>
          <w:rFonts w:hint="eastAsia" w:ascii="宋体" w:hAnsi="宋体"/>
          <w:color w:val="auto"/>
          <w:sz w:val="28"/>
          <w:szCs w:val="28"/>
          <w:highlight w:val="none"/>
          <w:lang w:eastAsia="zh-CN"/>
        </w:rPr>
        <w:t>□</w:t>
      </w:r>
      <w:r>
        <w:rPr>
          <w:rFonts w:hint="eastAsia" w:ascii="宋体" w:hAnsi="宋体"/>
          <w:color w:val="auto"/>
          <w:sz w:val="24"/>
          <w:szCs w:val="24"/>
          <w:highlight w:val="none"/>
        </w:rPr>
        <w:t>不接受代理经销商。如接受代理经销商且投标人为代理经销商的，对投标人的资质要求包含对制造商的资质要求，对投标人的业绩要求包含对投标材料业绩要求。</w:t>
      </w:r>
    </w:p>
    <w:p w14:paraId="6265E4FD">
      <w:pPr>
        <w:numPr>
          <w:ilvl w:val="2"/>
          <w:numId w:val="0"/>
        </w:numPr>
        <w:adjustRightInd w:val="0"/>
        <w:snapToGrid w:val="0"/>
        <w:spacing w:line="360" w:lineRule="auto"/>
        <w:ind w:left="0" w:firstLine="640"/>
        <w:rPr>
          <w:rFonts w:hint="default" w:ascii="宋体" w:hAnsi="宋体" w:eastAsia="宋体" w:cs="Times New Roman"/>
          <w:color w:val="auto"/>
          <w:sz w:val="24"/>
          <w:szCs w:val="24"/>
          <w:highlight w:val="none"/>
          <w:lang w:val="en-US" w:eastAsia="zh-CN" w:bidi="ar-SA"/>
        </w:rPr>
      </w:pPr>
      <w:r>
        <w:rPr>
          <w:rFonts w:hint="default" w:ascii="宋体" w:hAnsi="宋体" w:eastAsia="宋体" w:cs="Times New Roman"/>
          <w:color w:val="auto"/>
          <w:sz w:val="24"/>
          <w:szCs w:val="24"/>
          <w:highlight w:val="none"/>
          <w:lang w:val="en-US" w:eastAsia="zh-CN" w:bidi="ar-SA"/>
        </w:rPr>
        <w:t>1.3.2.</w:t>
      </w:r>
      <w:r>
        <w:rPr>
          <w:rFonts w:hint="eastAsia" w:ascii="宋体" w:hAnsi="宋体"/>
          <w:color w:val="auto"/>
          <w:sz w:val="24"/>
          <w:szCs w:val="24"/>
          <w:highlight w:val="none"/>
        </w:rPr>
        <w:t>需要提交的相关证明材料见本章第 4.6 款的规定。</w:t>
      </w:r>
    </w:p>
    <w:p w14:paraId="6DFAADD0">
      <w:pPr>
        <w:numPr>
          <w:ilvl w:val="2"/>
          <w:numId w:val="0"/>
        </w:numPr>
        <w:adjustRightInd w:val="0"/>
        <w:snapToGrid w:val="0"/>
        <w:spacing w:line="360" w:lineRule="auto"/>
        <w:ind w:firstLine="640" w:firstLineChars="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1.3.3.</w:t>
      </w:r>
      <w:r>
        <w:rPr>
          <w:rFonts w:hint="eastAsia" w:ascii="宋体" w:hAnsi="宋体"/>
          <w:color w:val="auto"/>
          <w:sz w:val="24"/>
          <w:szCs w:val="24"/>
          <w:highlight w:val="none"/>
        </w:rPr>
        <w:t>本招标项目</w:t>
      </w:r>
      <w:r>
        <w:rPr>
          <w:rFonts w:hint="eastAsia" w:ascii="宋体" w:hAnsi="宋体"/>
          <w:color w:val="auto"/>
          <w:sz w:val="28"/>
          <w:szCs w:val="28"/>
          <w:highlight w:val="none"/>
        </w:rPr>
        <w:t>□</w:t>
      </w:r>
      <w:r>
        <w:rPr>
          <w:rFonts w:hint="eastAsia" w:ascii="宋体" w:hAnsi="宋体"/>
          <w:color w:val="auto"/>
          <w:sz w:val="24"/>
          <w:szCs w:val="24"/>
          <w:highlight w:val="none"/>
        </w:rPr>
        <w:t>接受、</w:t>
      </w:r>
      <w:r>
        <w:rPr>
          <w:rFonts w:hint="eastAsia" w:ascii="宋体" w:hAnsi="宋体"/>
          <w:color w:val="auto"/>
          <w:sz w:val="28"/>
          <w:szCs w:val="28"/>
          <w:highlight w:val="none"/>
        </w:rPr>
        <w:t>☑</w:t>
      </w:r>
      <w:r>
        <w:rPr>
          <w:rFonts w:hint="eastAsia" w:ascii="宋体" w:hAnsi="宋体"/>
          <w:color w:val="auto"/>
          <w:sz w:val="24"/>
          <w:szCs w:val="24"/>
          <w:highlight w:val="none"/>
        </w:rPr>
        <w:t>不接受联合体投标。</w:t>
      </w:r>
    </w:p>
    <w:p w14:paraId="1F44512D">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1.3.4.</w:t>
      </w:r>
      <w:r>
        <w:rPr>
          <w:rFonts w:hint="eastAsia" w:ascii="宋体" w:hAnsi="宋体"/>
          <w:color w:val="auto"/>
          <w:sz w:val="24"/>
          <w:szCs w:val="24"/>
          <w:highlight w:val="none"/>
        </w:rPr>
        <w:t>投标人不得存在下列情形之一：</w:t>
      </w:r>
    </w:p>
    <w:p w14:paraId="08F35C72">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（1）与招标人存在利害关系且可能影响招标公正性；</w:t>
      </w:r>
    </w:p>
    <w:p w14:paraId="394F3689">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（2）与本招标项目的其他投标人为同一个单位负责人；</w:t>
      </w:r>
    </w:p>
    <w:p w14:paraId="5227FEC2">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（3）与本招标项目的其他投标人存在控股、管理关系；</w:t>
      </w:r>
    </w:p>
    <w:p w14:paraId="74836FFB">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（4）与本招标项目其他投标人代理同一个制造商同一品牌同一型号的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投标；</w:t>
      </w:r>
    </w:p>
    <w:p w14:paraId="3FAD413D">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（5）为本招标项目提供过设计、编制技术规范和其他文件的咨询服务；</w:t>
      </w:r>
    </w:p>
    <w:p w14:paraId="5696559E">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（6）为本工程项目的相关监理人，或者与本工程项目的相关监理人存在隶属关系或者其他利害关系；</w:t>
      </w:r>
    </w:p>
    <w:p w14:paraId="0034AC20">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（7）为本招标项目的代建人；</w:t>
      </w:r>
    </w:p>
    <w:p w14:paraId="20E9F570">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（8）为本招标项目的招标代理机构；</w:t>
      </w:r>
    </w:p>
    <w:p w14:paraId="632A89EC">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（9）与本招标项目的监理人或代建人或招标代理机构同为一个法定代表人；</w:t>
      </w:r>
    </w:p>
    <w:p w14:paraId="587F32AB">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（10）与本招标项目的监理人或代建人或招标代理机构存在控股或参股关系；</w:t>
      </w:r>
    </w:p>
    <w:p w14:paraId="3381FA61">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（11）被依法暂停或者取消投标资格；</w:t>
      </w:r>
    </w:p>
    <w:p w14:paraId="52BE5078">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（12）被责令停产停业、暂扣或者吊销许可证、暂扣或者吊销执照；</w:t>
      </w:r>
    </w:p>
    <w:p w14:paraId="1F85A958">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（13）进入清算程序，或被宣告破产，或其他丧失履约能力的情形；</w:t>
      </w:r>
    </w:p>
    <w:p w14:paraId="790C795A">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（14）在最近三年内发生重大产品质量问题（以相关行业主管部门的行政处罚决定或司法机关出具的有关法律文书为准）；</w:t>
      </w:r>
    </w:p>
    <w:p w14:paraId="3EB201EC">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（15）被工商行政管理机关在全国企业信用信息公示系统中列入严重违法失信企业名单；</w:t>
      </w:r>
    </w:p>
    <w:p w14:paraId="37CEB703">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（16）被最高人民法院在“信用中国”网站（www.creditchina.gov.cn）或各级信用信息共享平台中列入失信被执行人名单；</w:t>
      </w:r>
    </w:p>
    <w:p w14:paraId="2BB3211B">
      <w:pPr>
        <w:adjustRightInd w:val="0"/>
        <w:snapToGrid w:val="0"/>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（17）被“信用广州”网站纳入失信被执行人名单（黑名单）；</w:t>
      </w:r>
    </w:p>
    <w:p w14:paraId="5D71D9E1">
      <w:pPr>
        <w:adjustRightInd w:val="0"/>
        <w:snapToGrid w:val="0"/>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（18）法律法规或招标公告规定的其他情形。</w:t>
      </w:r>
    </w:p>
    <w:p w14:paraId="4E365293">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1.4.</w:t>
      </w:r>
      <w:r>
        <w:rPr>
          <w:rFonts w:hint="eastAsia" w:ascii="宋体" w:hAnsi="宋体" w:cs="宋体"/>
          <w:b/>
          <w:bCs/>
          <w:color w:val="auto"/>
          <w:sz w:val="30"/>
          <w:szCs w:val="30"/>
          <w:highlight w:val="none"/>
        </w:rPr>
        <w:t>费用承担</w:t>
      </w:r>
    </w:p>
    <w:p w14:paraId="5044A78F">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1.4.1.</w:t>
      </w:r>
      <w:r>
        <w:rPr>
          <w:rFonts w:hint="eastAsia" w:ascii="宋体" w:hAnsi="宋体"/>
          <w:color w:val="auto"/>
          <w:sz w:val="24"/>
          <w:szCs w:val="24"/>
          <w:highlight w:val="none"/>
        </w:rPr>
        <w:t>投标人准备和参加投标活动发生的费用自理。</w:t>
      </w:r>
    </w:p>
    <w:p w14:paraId="147F3AFB">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1.4.2.</w:t>
      </w:r>
      <w:r>
        <w:rPr>
          <w:rFonts w:hint="eastAsia" w:ascii="宋体" w:hAnsi="宋体"/>
          <w:color w:val="auto"/>
          <w:sz w:val="24"/>
          <w:szCs w:val="24"/>
          <w:highlight w:val="none"/>
        </w:rPr>
        <w:t>中标候选人公示后，由招标人向</w:t>
      </w:r>
      <w:r>
        <w:rPr>
          <w:rFonts w:hint="eastAsia" w:hAnsi="宋体"/>
          <w:bCs/>
          <w:color w:val="auto"/>
          <w:sz w:val="24"/>
          <w:highlight w:val="none"/>
        </w:rPr>
        <w:t>广州交易集团有限公司（广州公共资源交易中心）</w:t>
      </w:r>
      <w:r>
        <w:rPr>
          <w:rFonts w:hint="eastAsia" w:ascii="宋体" w:hAnsi="宋体"/>
          <w:color w:val="auto"/>
          <w:sz w:val="24"/>
          <w:szCs w:val="24"/>
          <w:highlight w:val="none"/>
        </w:rPr>
        <w:t>缴纳交易服务费、向</w:t>
      </w:r>
      <w:r>
        <w:rPr>
          <w:rFonts w:hint="eastAsia" w:hAnsi="宋体"/>
          <w:bCs/>
          <w:color w:val="auto"/>
          <w:sz w:val="24"/>
          <w:highlight w:val="none"/>
        </w:rPr>
        <w:t>广州交易集团有限公司（广州公共资源交易中心）</w:t>
      </w:r>
      <w:r>
        <w:rPr>
          <w:rFonts w:hint="eastAsia" w:ascii="宋体" w:hAnsi="宋体"/>
          <w:color w:val="auto"/>
          <w:sz w:val="24"/>
          <w:szCs w:val="24"/>
          <w:highlight w:val="none"/>
        </w:rPr>
        <w:t>索取发票，并在取得发票后及时告知招标代理。（该交易服务费为中标金额的0.9‰，具体收费标准招标人可以在</w:t>
      </w:r>
      <w:r>
        <w:rPr>
          <w:rFonts w:hint="eastAsia" w:hAnsi="宋体"/>
          <w:bCs/>
          <w:color w:val="auto"/>
          <w:sz w:val="24"/>
          <w:highlight w:val="none"/>
        </w:rPr>
        <w:t>广州交易集团有限公司（广州公共资源交易中心）</w:t>
      </w:r>
      <w:r>
        <w:rPr>
          <w:rFonts w:hint="eastAsia" w:ascii="宋体" w:hAnsi="宋体"/>
          <w:color w:val="auto"/>
          <w:sz w:val="24"/>
          <w:szCs w:val="24"/>
          <w:highlight w:val="none"/>
        </w:rPr>
        <w:t>网站查阅，如有变更以</w:t>
      </w:r>
      <w:r>
        <w:rPr>
          <w:rFonts w:hint="eastAsia" w:hAnsi="宋体"/>
          <w:bCs/>
          <w:color w:val="auto"/>
          <w:sz w:val="24"/>
          <w:highlight w:val="none"/>
        </w:rPr>
        <w:t>广州交易集团有限公司（广州公共资源交易中心）</w:t>
      </w:r>
      <w:r>
        <w:rPr>
          <w:rFonts w:hint="eastAsia" w:ascii="宋体" w:hAnsi="宋体"/>
          <w:color w:val="auto"/>
          <w:sz w:val="24"/>
          <w:szCs w:val="24"/>
          <w:highlight w:val="none"/>
        </w:rPr>
        <w:t>最新发布的标准为准）。</w:t>
      </w:r>
    </w:p>
    <w:p w14:paraId="4982ECAD">
      <w:pPr>
        <w:widowControl w:val="0"/>
        <w:adjustRightInd w:val="0"/>
        <w:snapToGrid w:val="0"/>
        <w:spacing w:line="360" w:lineRule="auto"/>
        <w:ind w:left="640"/>
        <w:rPr>
          <w:rFonts w:ascii="宋体" w:hAnsi="宋体"/>
          <w:color w:val="auto"/>
          <w:sz w:val="24"/>
          <w:szCs w:val="24"/>
          <w:highlight w:val="none"/>
        </w:rPr>
      </w:pPr>
      <w:r>
        <w:rPr>
          <w:rFonts w:hint="eastAsia" w:ascii="宋体" w:hAnsi="宋体"/>
          <w:color w:val="auto"/>
          <w:sz w:val="24"/>
          <w:szCs w:val="24"/>
          <w:highlight w:val="none"/>
        </w:rPr>
        <w:t>平台服务费缴交账户信息如下:</w:t>
      </w:r>
    </w:p>
    <w:p w14:paraId="687FC7CD">
      <w:pPr>
        <w:widowControl w:val="0"/>
        <w:adjustRightInd w:val="0"/>
        <w:snapToGrid w:val="0"/>
        <w:spacing w:line="360" w:lineRule="auto"/>
        <w:ind w:left="640"/>
        <w:rPr>
          <w:rFonts w:ascii="宋体" w:hAnsi="宋体"/>
          <w:color w:val="auto"/>
          <w:sz w:val="24"/>
          <w:szCs w:val="24"/>
          <w:highlight w:val="none"/>
        </w:rPr>
      </w:pPr>
      <w:r>
        <w:rPr>
          <w:rFonts w:hint="eastAsia" w:ascii="宋体" w:hAnsi="宋体"/>
          <w:color w:val="auto"/>
          <w:sz w:val="24"/>
          <w:szCs w:val="24"/>
          <w:highlight w:val="none"/>
        </w:rPr>
        <w:t>户  名：广州交易集团有限公司</w:t>
      </w:r>
    </w:p>
    <w:p w14:paraId="68EB978F">
      <w:pPr>
        <w:widowControl w:val="0"/>
        <w:adjustRightInd w:val="0"/>
        <w:snapToGrid w:val="0"/>
        <w:spacing w:line="360" w:lineRule="auto"/>
        <w:ind w:left="640"/>
        <w:rPr>
          <w:rFonts w:ascii="宋体" w:hAnsi="宋体"/>
          <w:color w:val="auto"/>
          <w:sz w:val="24"/>
          <w:szCs w:val="24"/>
          <w:highlight w:val="none"/>
        </w:rPr>
      </w:pPr>
      <w:r>
        <w:rPr>
          <w:rFonts w:hint="eastAsia" w:ascii="宋体" w:hAnsi="宋体"/>
          <w:color w:val="auto"/>
          <w:sz w:val="24"/>
          <w:szCs w:val="24"/>
          <w:highlight w:val="none"/>
        </w:rPr>
        <w:t>开户行：中国建设银行广州天润路支行</w:t>
      </w:r>
    </w:p>
    <w:p w14:paraId="10F42FFB">
      <w:pPr>
        <w:widowControl w:val="0"/>
        <w:adjustRightInd w:val="0"/>
        <w:snapToGrid w:val="0"/>
        <w:spacing w:line="360" w:lineRule="auto"/>
        <w:ind w:left="640"/>
        <w:rPr>
          <w:rFonts w:ascii="宋体" w:hAnsi="宋体"/>
          <w:color w:val="auto"/>
          <w:sz w:val="24"/>
          <w:szCs w:val="24"/>
          <w:highlight w:val="none"/>
        </w:rPr>
      </w:pPr>
      <w:r>
        <w:rPr>
          <w:rFonts w:hint="eastAsia" w:ascii="宋体" w:hAnsi="宋体"/>
          <w:color w:val="auto"/>
          <w:sz w:val="24"/>
          <w:szCs w:val="24"/>
          <w:highlight w:val="none"/>
        </w:rPr>
        <w:t>账  号：</w:t>
      </w:r>
      <w:r>
        <w:rPr>
          <w:rFonts w:ascii="宋体" w:hAnsi="宋体" w:cs="宋体"/>
          <w:color w:val="auto"/>
          <w:sz w:val="24"/>
          <w:szCs w:val="24"/>
          <w:highlight w:val="none"/>
        </w:rPr>
        <w:t>44001583404059333333</w:t>
      </w:r>
    </w:p>
    <w:p w14:paraId="31B31412">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1.5.</w:t>
      </w:r>
      <w:r>
        <w:rPr>
          <w:rFonts w:hint="eastAsia" w:ascii="宋体" w:hAnsi="宋体" w:cs="宋体"/>
          <w:b/>
          <w:bCs/>
          <w:color w:val="auto"/>
          <w:sz w:val="30"/>
          <w:szCs w:val="30"/>
          <w:highlight w:val="none"/>
        </w:rPr>
        <w:t>保密</w:t>
      </w:r>
    </w:p>
    <w:p w14:paraId="5808C08C">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参与招标投标活动的各方应对招标文件和投标文件中的商业和技术等秘密保密，否则应承担相应的法律责任。</w:t>
      </w:r>
    </w:p>
    <w:p w14:paraId="73447B39">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1.6.</w:t>
      </w:r>
      <w:r>
        <w:rPr>
          <w:rFonts w:hint="eastAsia" w:ascii="宋体" w:hAnsi="宋体" w:cs="宋体"/>
          <w:b/>
          <w:bCs/>
          <w:color w:val="auto"/>
          <w:sz w:val="30"/>
          <w:szCs w:val="30"/>
          <w:highlight w:val="none"/>
        </w:rPr>
        <w:t>语言文字</w:t>
      </w:r>
    </w:p>
    <w:p w14:paraId="71CB663D">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招标投标文件使用的语言文字为中文。专用术语使用外文的，应附有中文注释。</w:t>
      </w:r>
    </w:p>
    <w:p w14:paraId="7CCE4D9B">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1.7.</w:t>
      </w:r>
      <w:r>
        <w:rPr>
          <w:rFonts w:hint="eastAsia" w:ascii="宋体" w:hAnsi="宋体" w:cs="宋体"/>
          <w:b/>
          <w:bCs/>
          <w:color w:val="auto"/>
          <w:sz w:val="30"/>
          <w:szCs w:val="30"/>
          <w:highlight w:val="none"/>
        </w:rPr>
        <w:t>计量单位</w:t>
      </w:r>
    </w:p>
    <w:p w14:paraId="5644E5D5">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所有计量均采用中华人民共和国法定计量单位。</w:t>
      </w:r>
    </w:p>
    <w:p w14:paraId="74B99823">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1.8.</w:t>
      </w:r>
      <w:r>
        <w:rPr>
          <w:rFonts w:hint="eastAsia" w:ascii="宋体" w:hAnsi="宋体" w:cs="宋体"/>
          <w:b/>
          <w:bCs/>
          <w:color w:val="auto"/>
          <w:sz w:val="30"/>
          <w:szCs w:val="30"/>
          <w:highlight w:val="none"/>
        </w:rPr>
        <w:t>分包</w:t>
      </w:r>
    </w:p>
    <w:p w14:paraId="4C7FC9A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1.8.1.</w:t>
      </w:r>
      <w:r>
        <w:rPr>
          <w:rFonts w:hint="eastAsia" w:ascii="宋体" w:hAnsi="宋体"/>
          <w:color w:val="auto"/>
          <w:sz w:val="24"/>
          <w:szCs w:val="24"/>
          <w:highlight w:val="none"/>
        </w:rPr>
        <w:t>本项目不允许分包。</w:t>
      </w:r>
    </w:p>
    <w:p w14:paraId="3940C3D5">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1.8.2.</w:t>
      </w:r>
      <w:r>
        <w:rPr>
          <w:rFonts w:hint="eastAsia" w:ascii="宋体" w:hAnsi="宋体"/>
          <w:color w:val="auto"/>
          <w:sz w:val="24"/>
          <w:szCs w:val="24"/>
          <w:highlight w:val="none"/>
        </w:rPr>
        <w:t>中标人不得向他人转让中标项目，接受分包的人不得再次分包。中标人应当就分包项目向招标人负责，接受分包的人就分包项目承担连带责任。</w:t>
      </w:r>
    </w:p>
    <w:p w14:paraId="7673A13F">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1.9.</w:t>
      </w:r>
      <w:r>
        <w:rPr>
          <w:rFonts w:hint="eastAsia" w:ascii="宋体" w:hAnsi="宋体" w:cs="宋体"/>
          <w:b/>
          <w:bCs/>
          <w:color w:val="auto"/>
          <w:sz w:val="30"/>
          <w:szCs w:val="30"/>
          <w:highlight w:val="none"/>
        </w:rPr>
        <w:t>关于关联企业</w:t>
      </w:r>
    </w:p>
    <w:p w14:paraId="30E4FE02">
      <w:pPr>
        <w:adjustRightInd w:val="0"/>
        <w:snapToGrid w:val="0"/>
        <w:spacing w:line="360" w:lineRule="auto"/>
        <w:ind w:firstLine="638" w:firstLineChars="266"/>
        <w:rPr>
          <w:rFonts w:ascii="宋体" w:hAnsi="宋体"/>
          <w:color w:val="auto"/>
          <w:sz w:val="24"/>
          <w:szCs w:val="24"/>
          <w:highlight w:val="none"/>
        </w:rPr>
      </w:pPr>
      <w:bookmarkStart w:id="31" w:name="_Toc134955409"/>
      <w:bookmarkStart w:id="32" w:name="_Toc127930780"/>
      <w:r>
        <w:rPr>
          <w:rFonts w:hint="eastAsia" w:ascii="宋体" w:hAnsi="宋体"/>
          <w:color w:val="auto"/>
          <w:sz w:val="24"/>
          <w:szCs w:val="24"/>
          <w:highlight w:val="none"/>
        </w:rPr>
        <w:t>本项目不接受关联企业。</w:t>
      </w:r>
    </w:p>
    <w:p w14:paraId="1F776120">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1.10.</w:t>
      </w:r>
      <w:r>
        <w:rPr>
          <w:rFonts w:hint="eastAsia" w:ascii="宋体" w:hAnsi="宋体" w:cs="宋体"/>
          <w:b/>
          <w:bCs/>
          <w:color w:val="auto"/>
          <w:sz w:val="30"/>
          <w:szCs w:val="30"/>
          <w:highlight w:val="none"/>
        </w:rPr>
        <w:t>合同</w:t>
      </w:r>
      <w:r>
        <w:rPr>
          <w:rFonts w:hint="eastAsia" w:ascii="宋体" w:hAnsi="宋体" w:cs="宋体"/>
          <w:b/>
          <w:bCs/>
          <w:color w:val="auto"/>
          <w:sz w:val="30"/>
          <w:szCs w:val="30"/>
          <w:highlight w:val="none"/>
          <w:lang w:val="en-US" w:eastAsia="zh-CN"/>
        </w:rPr>
        <w:t>供货期</w:t>
      </w:r>
    </w:p>
    <w:p w14:paraId="2B1BAC25">
      <w:pPr>
        <w:adjustRightInd w:val="0"/>
        <w:snapToGrid w:val="0"/>
        <w:spacing w:line="360" w:lineRule="auto"/>
        <w:ind w:firstLine="638" w:firstLineChars="266"/>
        <w:rPr>
          <w:rFonts w:hint="eastAsia" w:ascii="宋体" w:hAnsi="宋体" w:eastAsia="宋体" w:cs="Times New Roman"/>
          <w:b w:val="0"/>
          <w:bCs w:val="0"/>
          <w:color w:val="auto"/>
          <w:sz w:val="24"/>
          <w:szCs w:val="24"/>
          <w:highlight w:val="none"/>
        </w:rPr>
      </w:pPr>
      <w:r>
        <w:rPr>
          <w:rFonts w:hint="eastAsia" w:ascii="宋体" w:hAnsi="宋体" w:cs="Times New Roman"/>
          <w:color w:val="auto"/>
          <w:sz w:val="24"/>
          <w:szCs w:val="24"/>
          <w:highlight w:val="none"/>
          <w:lang w:val="en-US" w:eastAsia="zh-CN"/>
        </w:rPr>
        <w:t>供货期暂定自合同生效之日起至本项目各工程完工验收为止。本项目的交货期根据工程施工进度，最迟交货时间不得超过业主提出供货要求后2个月。</w:t>
      </w:r>
    </w:p>
    <w:p w14:paraId="5D45E148">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1.11.</w:t>
      </w:r>
      <w:r>
        <w:rPr>
          <w:rFonts w:hint="eastAsia" w:ascii="宋体" w:hAnsi="宋体" w:cs="宋体"/>
          <w:b/>
          <w:bCs/>
          <w:color w:val="auto"/>
          <w:sz w:val="30"/>
          <w:szCs w:val="30"/>
          <w:highlight w:val="none"/>
        </w:rPr>
        <w:t>交货地点</w:t>
      </w:r>
    </w:p>
    <w:p w14:paraId="04C609C9">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lang w:val="en-US" w:eastAsia="zh-CN"/>
        </w:rPr>
        <w:t>广州市</w:t>
      </w:r>
      <w:r>
        <w:rPr>
          <w:rFonts w:hint="eastAsia" w:ascii="宋体" w:hAnsi="宋体"/>
          <w:color w:val="auto"/>
          <w:sz w:val="24"/>
          <w:szCs w:val="24"/>
          <w:highlight w:val="none"/>
        </w:rPr>
        <w:t>（具体由招标人指定供货地点）</w:t>
      </w:r>
    </w:p>
    <w:p w14:paraId="6109BA3D">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1.12.</w:t>
      </w:r>
      <w:r>
        <w:rPr>
          <w:rFonts w:hint="eastAsia" w:ascii="宋体" w:hAnsi="宋体" w:cs="宋体"/>
          <w:b/>
          <w:bCs/>
          <w:color w:val="auto"/>
          <w:sz w:val="30"/>
          <w:szCs w:val="30"/>
          <w:highlight w:val="none"/>
        </w:rPr>
        <w:t>质量标准及质保期</w:t>
      </w:r>
    </w:p>
    <w:p w14:paraId="5239271A">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1.12.1.</w:t>
      </w:r>
      <w:r>
        <w:rPr>
          <w:rFonts w:hint="eastAsia" w:ascii="宋体" w:hAnsi="宋体"/>
          <w:color w:val="auto"/>
          <w:sz w:val="24"/>
          <w:szCs w:val="24"/>
          <w:highlight w:val="none"/>
        </w:rPr>
        <w:t>质量标准详见第二章</w:t>
      </w:r>
      <w:r>
        <w:rPr>
          <w:rFonts w:hint="eastAsia" w:ascii="宋体" w:hAnsi="宋体"/>
          <w:color w:val="auto"/>
          <w:sz w:val="24"/>
          <w:szCs w:val="24"/>
          <w:highlight w:val="none"/>
          <w:lang w:val="en-US" w:eastAsia="zh-CN"/>
        </w:rPr>
        <w:t>用户需求书技术要求</w:t>
      </w:r>
      <w:r>
        <w:rPr>
          <w:rFonts w:hint="eastAsia" w:ascii="宋体" w:hAnsi="宋体"/>
          <w:color w:val="auto"/>
          <w:sz w:val="24"/>
          <w:szCs w:val="24"/>
          <w:highlight w:val="none"/>
        </w:rPr>
        <w:t>部分</w:t>
      </w:r>
    </w:p>
    <w:p w14:paraId="02C6D269">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1.12.2.</w:t>
      </w:r>
      <w:r>
        <w:rPr>
          <w:rFonts w:hint="eastAsia" w:ascii="宋体" w:hAnsi="宋体"/>
          <w:color w:val="auto"/>
          <w:sz w:val="24"/>
          <w:szCs w:val="24"/>
          <w:highlight w:val="none"/>
        </w:rPr>
        <w:t>合同材料的质量保证期按招标文件第二章用户需求书中技术要求</w:t>
      </w:r>
      <w:r>
        <w:rPr>
          <w:rFonts w:hint="eastAsia" w:ascii="宋体" w:hAnsi="宋体"/>
          <w:color w:val="auto"/>
          <w:sz w:val="24"/>
          <w:szCs w:val="24"/>
          <w:highlight w:val="none"/>
          <w:lang w:val="en-US" w:eastAsia="zh-CN"/>
        </w:rPr>
        <w:t>执行</w:t>
      </w:r>
      <w:r>
        <w:rPr>
          <w:rFonts w:hint="eastAsia" w:ascii="宋体" w:hAnsi="宋体"/>
          <w:color w:val="auto"/>
          <w:sz w:val="24"/>
          <w:szCs w:val="24"/>
          <w:highlight w:val="none"/>
        </w:rPr>
        <w:t>，卖方向买方承诺按招标文件第二章用户需求书中技术要求部分的规定承担货物的质量保证责任。</w:t>
      </w:r>
    </w:p>
    <w:p w14:paraId="2E1E0067">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1.13.</w:t>
      </w:r>
      <w:r>
        <w:rPr>
          <w:rFonts w:hint="eastAsia" w:ascii="宋体" w:hAnsi="宋体" w:cs="宋体"/>
          <w:b/>
          <w:bCs/>
          <w:color w:val="auto"/>
          <w:sz w:val="30"/>
          <w:szCs w:val="30"/>
          <w:highlight w:val="none"/>
        </w:rPr>
        <w:t>投标人资质条件、能力、信誉</w:t>
      </w:r>
    </w:p>
    <w:p w14:paraId="61706E3F">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详见招标公告。</w:t>
      </w:r>
    </w:p>
    <w:p w14:paraId="2C0F8371">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1.14.</w:t>
      </w:r>
      <w:r>
        <w:rPr>
          <w:rFonts w:hint="eastAsia" w:ascii="宋体" w:hAnsi="宋体" w:cs="宋体"/>
          <w:b/>
          <w:bCs/>
          <w:color w:val="auto"/>
          <w:sz w:val="30"/>
          <w:szCs w:val="30"/>
          <w:highlight w:val="none"/>
        </w:rPr>
        <w:t>资格审查资料的特殊要求</w:t>
      </w:r>
    </w:p>
    <w:p w14:paraId="63635DFF">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详见招标公告。</w:t>
      </w:r>
    </w:p>
    <w:p w14:paraId="385BF817">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1.15.</w:t>
      </w:r>
      <w:r>
        <w:rPr>
          <w:rFonts w:hint="eastAsia" w:ascii="宋体" w:hAnsi="宋体" w:cs="宋体"/>
          <w:b/>
          <w:bCs/>
          <w:color w:val="auto"/>
          <w:sz w:val="30"/>
          <w:szCs w:val="30"/>
          <w:highlight w:val="none"/>
        </w:rPr>
        <w:t>近年完成的类似项目情况的时间要求</w:t>
      </w:r>
    </w:p>
    <w:p w14:paraId="2B9E053E">
      <w:pPr>
        <w:adjustRightInd w:val="0"/>
        <w:snapToGrid w:val="0"/>
        <w:spacing w:line="360" w:lineRule="auto"/>
        <w:ind w:firstLine="638" w:firstLineChars="266"/>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详见招标公告。 </w:t>
      </w:r>
    </w:p>
    <w:bookmarkEnd w:id="31"/>
    <w:bookmarkEnd w:id="32"/>
    <w:p w14:paraId="763CEE87">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bookmarkStart w:id="33" w:name="_Toc134956121"/>
      <w:r>
        <w:rPr>
          <w:rFonts w:hint="default" w:ascii="宋体" w:hAnsi="宋体" w:eastAsia="宋体" w:cs="宋体"/>
          <w:b/>
          <w:bCs/>
          <w:color w:val="auto"/>
          <w:kern w:val="2"/>
          <w:sz w:val="30"/>
          <w:szCs w:val="30"/>
          <w:highlight w:val="none"/>
          <w:lang w:val="en-US" w:eastAsia="zh-CN" w:bidi="ar-SA"/>
        </w:rPr>
        <w:t>1.16.</w:t>
      </w:r>
      <w:r>
        <w:rPr>
          <w:rFonts w:hint="eastAsia" w:ascii="宋体" w:hAnsi="宋体" w:cs="宋体"/>
          <w:b/>
          <w:bCs/>
          <w:color w:val="auto"/>
          <w:sz w:val="30"/>
          <w:szCs w:val="30"/>
          <w:highlight w:val="none"/>
        </w:rPr>
        <w:t>知识产权</w:t>
      </w:r>
      <w:bookmarkEnd w:id="33"/>
    </w:p>
    <w:p w14:paraId="5B9B76A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1.16.1.</w:t>
      </w:r>
      <w:r>
        <w:rPr>
          <w:rFonts w:hint="eastAsia" w:ascii="宋体" w:hAnsi="宋体"/>
          <w:color w:val="auto"/>
          <w:sz w:val="24"/>
          <w:szCs w:val="24"/>
          <w:highlight w:val="none"/>
        </w:rPr>
        <w:t>投标人必须保证，招标人在中华人民共和国境内使用投标货物、资料、技术、服务或其任何一部分时，享有不受限制的无偿使用权，如有第三方向招标人提出侵犯其专利权、商标权或其它知识产权的主张，该责任应由投标人承担。</w:t>
      </w:r>
    </w:p>
    <w:p w14:paraId="7A3907E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1.16.2.</w:t>
      </w:r>
      <w:r>
        <w:rPr>
          <w:rFonts w:hint="eastAsia" w:ascii="宋体" w:hAnsi="宋体"/>
          <w:color w:val="auto"/>
          <w:sz w:val="24"/>
          <w:szCs w:val="24"/>
          <w:highlight w:val="none"/>
        </w:rPr>
        <w:t>投标报价应包含所有应向所有权人支付的专利权、商标权或其它知识产权的一切相关费用。</w:t>
      </w:r>
    </w:p>
    <w:p w14:paraId="02D3D883">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1.16.3.</w:t>
      </w:r>
      <w:r>
        <w:rPr>
          <w:rFonts w:hint="eastAsia" w:ascii="宋体" w:hAnsi="宋体"/>
          <w:color w:val="auto"/>
          <w:sz w:val="24"/>
          <w:szCs w:val="24"/>
          <w:highlight w:val="none"/>
        </w:rPr>
        <w:t>系统软件、通用软件必须是具有在中国境内的合法使用权或版权的正版软件，涉及到第三方提出侵权或知识产权的起诉及支付版税等由投标人承担所有责任及费用。</w:t>
      </w:r>
    </w:p>
    <w:p w14:paraId="41142E4B">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1.16.4.</w:t>
      </w:r>
      <w:r>
        <w:rPr>
          <w:rFonts w:hint="eastAsia" w:ascii="宋体" w:hAnsi="宋体"/>
          <w:color w:val="auto"/>
          <w:sz w:val="24"/>
          <w:szCs w:val="24"/>
          <w:highlight w:val="none"/>
        </w:rPr>
        <w:t>中标人需对所有成果、产品的知识产权负有瑕疵担保责任，因使用未被授权使用的技术、组件、系统软件、通用软件等知识产权问题引起的纠纷所产生的所有责任及费用由中标人自行承担。</w:t>
      </w:r>
    </w:p>
    <w:p w14:paraId="03FA914B">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1.16.5.</w:t>
      </w:r>
      <w:r>
        <w:rPr>
          <w:rFonts w:hint="eastAsia" w:ascii="宋体" w:hAnsi="宋体"/>
          <w:color w:val="auto"/>
          <w:sz w:val="24"/>
          <w:szCs w:val="24"/>
          <w:highlight w:val="none"/>
        </w:rPr>
        <w:t>本项目研究成果及其技术文档等所有权由招标人享有，技术文档资料包括完备的系统设计文档、功能模块说明、程序源代码、执行代码、使用手册等，招标人对本项目的所有成果具有所有权。项目所交付的应用系统软件环境包括生产环境（正式环境）、测试环境、开发环境，所有环境均要求能正常使用，未经招标人许可，中标人不得将相关招标人资料提供给第三方。</w:t>
      </w:r>
    </w:p>
    <w:p w14:paraId="6B73005F">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34" w:name="_Toc45532481"/>
      <w:bookmarkStart w:id="35" w:name="_Toc24117379"/>
      <w:r>
        <w:rPr>
          <w:rFonts w:hint="default" w:ascii="宋体" w:hAnsi="宋体" w:eastAsia="宋体" w:cs="宋体"/>
          <w:b/>
          <w:bCs/>
          <w:color w:val="auto"/>
          <w:kern w:val="2"/>
          <w:sz w:val="30"/>
          <w:szCs w:val="30"/>
          <w:highlight w:val="none"/>
          <w:lang w:val="en-US" w:eastAsia="zh-CN" w:bidi="ar-SA"/>
        </w:rPr>
        <w:t>2.</w:t>
      </w:r>
      <w:r>
        <w:rPr>
          <w:rFonts w:hint="eastAsia" w:ascii="宋体" w:hAnsi="宋体" w:cs="宋体"/>
          <w:b/>
          <w:bCs/>
          <w:color w:val="auto"/>
          <w:sz w:val="30"/>
          <w:szCs w:val="30"/>
          <w:highlight w:val="none"/>
        </w:rPr>
        <w:t>招标文件</w:t>
      </w:r>
      <w:bookmarkEnd w:id="34"/>
      <w:bookmarkEnd w:id="35"/>
    </w:p>
    <w:p w14:paraId="5D779C31">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2.1.</w:t>
      </w:r>
      <w:r>
        <w:rPr>
          <w:rFonts w:hint="eastAsia" w:ascii="宋体" w:hAnsi="宋体" w:cs="宋体"/>
          <w:b/>
          <w:bCs/>
          <w:color w:val="auto"/>
          <w:sz w:val="30"/>
          <w:szCs w:val="30"/>
          <w:highlight w:val="none"/>
        </w:rPr>
        <w:t>招标文件的构成</w:t>
      </w:r>
    </w:p>
    <w:p w14:paraId="7D60120F">
      <w:pPr>
        <w:pStyle w:val="117"/>
        <w:numPr>
          <w:ilvl w:val="2"/>
          <w:numId w:val="0"/>
        </w:numPr>
        <w:spacing w:line="360" w:lineRule="auto"/>
        <w:ind w:left="0" w:firstLine="6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2.1.1.</w:t>
      </w:r>
      <w:r>
        <w:rPr>
          <w:rFonts w:hint="eastAsia" w:ascii="宋体" w:hAnsi="宋体" w:cs="宋体"/>
          <w:color w:val="auto"/>
          <w:sz w:val="24"/>
          <w:szCs w:val="24"/>
          <w:highlight w:val="none"/>
        </w:rPr>
        <w:t>招标文件由下列文件以及在招标过程中发出的修正和补充文件组成：</w:t>
      </w:r>
    </w:p>
    <w:p w14:paraId="621EDFB0">
      <w:pPr>
        <w:pStyle w:val="117"/>
        <w:numPr>
          <w:ilvl w:val="0"/>
          <w:numId w:val="4"/>
        </w:numPr>
        <w:spacing w:line="360" w:lineRule="auto"/>
        <w:ind w:left="0" w:firstLine="840" w:firstLineChars="0"/>
        <w:rPr>
          <w:rFonts w:ascii="宋体" w:hAnsi="宋体" w:cs="宋体"/>
          <w:color w:val="auto"/>
          <w:sz w:val="24"/>
          <w:szCs w:val="24"/>
          <w:highlight w:val="none"/>
        </w:rPr>
      </w:pPr>
      <w:r>
        <w:rPr>
          <w:rFonts w:hint="eastAsia" w:ascii="宋体" w:hAnsi="宋体" w:cs="宋体"/>
          <w:color w:val="auto"/>
          <w:sz w:val="24"/>
          <w:szCs w:val="24"/>
          <w:highlight w:val="none"/>
        </w:rPr>
        <w:t>招标公告</w:t>
      </w:r>
    </w:p>
    <w:p w14:paraId="1DC3616A">
      <w:pPr>
        <w:pStyle w:val="117"/>
        <w:numPr>
          <w:ilvl w:val="0"/>
          <w:numId w:val="4"/>
        </w:numPr>
        <w:spacing w:line="360" w:lineRule="auto"/>
        <w:ind w:left="0" w:firstLine="840" w:firstLineChars="0"/>
        <w:rPr>
          <w:rFonts w:ascii="宋体" w:hAnsi="宋体" w:cs="宋体"/>
          <w:color w:val="auto"/>
          <w:sz w:val="24"/>
          <w:szCs w:val="24"/>
          <w:highlight w:val="none"/>
        </w:rPr>
      </w:pPr>
      <w:r>
        <w:rPr>
          <w:rFonts w:hint="eastAsia" w:ascii="宋体" w:hAnsi="宋体" w:cs="宋体"/>
          <w:color w:val="auto"/>
          <w:sz w:val="24"/>
          <w:szCs w:val="24"/>
          <w:highlight w:val="none"/>
        </w:rPr>
        <w:t>投标人须知</w:t>
      </w:r>
    </w:p>
    <w:p w14:paraId="3BD7263D">
      <w:pPr>
        <w:pStyle w:val="117"/>
        <w:numPr>
          <w:ilvl w:val="0"/>
          <w:numId w:val="4"/>
        </w:numPr>
        <w:spacing w:line="360" w:lineRule="auto"/>
        <w:ind w:left="0" w:firstLine="84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用户需求书</w:t>
      </w:r>
    </w:p>
    <w:p w14:paraId="414E34B6">
      <w:pPr>
        <w:pStyle w:val="117"/>
        <w:numPr>
          <w:ilvl w:val="0"/>
          <w:numId w:val="4"/>
        </w:numPr>
        <w:spacing w:line="360" w:lineRule="auto"/>
        <w:ind w:left="0" w:firstLine="840" w:firstLineChars="0"/>
        <w:rPr>
          <w:rFonts w:ascii="宋体" w:hAnsi="宋体" w:cs="宋体"/>
          <w:color w:val="auto"/>
          <w:sz w:val="24"/>
          <w:szCs w:val="24"/>
          <w:highlight w:val="none"/>
        </w:rPr>
      </w:pPr>
      <w:r>
        <w:rPr>
          <w:rFonts w:hint="eastAsia" w:ascii="宋体" w:hAnsi="宋体" w:cs="宋体"/>
          <w:color w:val="auto"/>
          <w:sz w:val="24"/>
          <w:szCs w:val="24"/>
          <w:highlight w:val="none"/>
        </w:rPr>
        <w:t>合同格式</w:t>
      </w:r>
    </w:p>
    <w:p w14:paraId="39E00EFB">
      <w:pPr>
        <w:pStyle w:val="117"/>
        <w:numPr>
          <w:ilvl w:val="0"/>
          <w:numId w:val="4"/>
        </w:numPr>
        <w:spacing w:line="360" w:lineRule="auto"/>
        <w:ind w:left="0" w:firstLine="840" w:firstLineChars="0"/>
        <w:rPr>
          <w:rFonts w:ascii="宋体" w:hAnsi="宋体" w:cs="宋体"/>
          <w:color w:val="auto"/>
          <w:sz w:val="24"/>
          <w:szCs w:val="24"/>
          <w:highlight w:val="none"/>
        </w:rPr>
      </w:pPr>
      <w:r>
        <w:rPr>
          <w:rFonts w:hint="eastAsia" w:ascii="宋体" w:hAnsi="Courier New"/>
          <w:bCs/>
          <w:color w:val="auto"/>
          <w:kern w:val="2"/>
          <w:sz w:val="24"/>
          <w:szCs w:val="24"/>
          <w:highlight w:val="none"/>
        </w:rPr>
        <w:t>开标、评标、定标</w:t>
      </w:r>
    </w:p>
    <w:p w14:paraId="6291341D">
      <w:pPr>
        <w:pStyle w:val="117"/>
        <w:numPr>
          <w:ilvl w:val="0"/>
          <w:numId w:val="4"/>
        </w:numPr>
        <w:spacing w:line="360" w:lineRule="auto"/>
        <w:ind w:left="0" w:firstLine="840" w:firstLineChars="0"/>
        <w:rPr>
          <w:rFonts w:ascii="宋体" w:hAnsi="宋体" w:cs="宋体"/>
          <w:color w:val="auto"/>
          <w:sz w:val="24"/>
          <w:szCs w:val="24"/>
          <w:highlight w:val="none"/>
        </w:rPr>
      </w:pPr>
      <w:r>
        <w:rPr>
          <w:rFonts w:hint="eastAsia" w:ascii="宋体" w:hAnsi="Courier New"/>
          <w:bCs/>
          <w:color w:val="auto"/>
          <w:kern w:val="2"/>
          <w:sz w:val="24"/>
          <w:szCs w:val="24"/>
          <w:highlight w:val="none"/>
        </w:rPr>
        <w:t>投标文件格式</w:t>
      </w:r>
    </w:p>
    <w:p w14:paraId="0403F01C">
      <w:pPr>
        <w:pStyle w:val="117"/>
        <w:numPr>
          <w:ilvl w:val="2"/>
          <w:numId w:val="0"/>
        </w:numPr>
        <w:spacing w:line="360" w:lineRule="auto"/>
        <w:ind w:left="0" w:firstLine="6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2.1.2.</w:t>
      </w:r>
      <w:r>
        <w:rPr>
          <w:rFonts w:hint="eastAsia" w:ascii="宋体" w:hAnsi="宋体" w:cs="宋体"/>
          <w:color w:val="auto"/>
          <w:sz w:val="24"/>
          <w:szCs w:val="24"/>
          <w:highlight w:val="none"/>
        </w:rPr>
        <w:t>投标人应认真阅读、并充分理解招标文件的全部内容（包括所有的补充、修改内容、重要事项、格式、条款和技术规范及要求等）。投标人没有按照招标文件要求提交全部资料，或者投标文件没有对招标文件在各方面都做出实质性响应是投标人的风险，有可能导致其投标被拒绝、被认定为无效投标或被确定为投标无效。</w:t>
      </w:r>
    </w:p>
    <w:p w14:paraId="518FFF61">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2.2.</w:t>
      </w:r>
      <w:r>
        <w:rPr>
          <w:rFonts w:hint="eastAsia" w:ascii="宋体" w:hAnsi="宋体" w:cs="宋体"/>
          <w:b/>
          <w:bCs/>
          <w:color w:val="auto"/>
          <w:sz w:val="30"/>
          <w:szCs w:val="30"/>
          <w:highlight w:val="none"/>
        </w:rPr>
        <w:t>实质性要求和条件</w:t>
      </w:r>
    </w:p>
    <w:p w14:paraId="69D4568D">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2.2.1.</w:t>
      </w:r>
      <w:r>
        <w:rPr>
          <w:rFonts w:hint="eastAsia" w:ascii="宋体" w:hAnsi="宋体"/>
          <w:color w:val="auto"/>
          <w:sz w:val="24"/>
          <w:szCs w:val="24"/>
          <w:highlight w:val="none"/>
        </w:rPr>
        <w:t>须完全满足招标文件“第三章合同条款及格式”和“第二章</w:t>
      </w:r>
      <w:r>
        <w:rPr>
          <w:rFonts w:hint="eastAsia" w:ascii="宋体" w:hAnsi="宋体"/>
          <w:color w:val="auto"/>
          <w:sz w:val="24"/>
          <w:szCs w:val="24"/>
          <w:highlight w:val="none"/>
          <w:lang w:val="en-US" w:eastAsia="zh-CN"/>
        </w:rPr>
        <w:t>用户需求书技术要求</w:t>
      </w:r>
      <w:r>
        <w:rPr>
          <w:rFonts w:hint="eastAsia" w:ascii="宋体" w:hAnsi="宋体"/>
          <w:color w:val="auto"/>
          <w:sz w:val="24"/>
          <w:szCs w:val="24"/>
          <w:highlight w:val="none"/>
        </w:rPr>
        <w:t>”的全部条款。</w:t>
      </w:r>
    </w:p>
    <w:p w14:paraId="7159492A">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2.2.2.</w:t>
      </w:r>
      <w:r>
        <w:rPr>
          <w:rFonts w:hint="eastAsia" w:ascii="宋体" w:hAnsi="宋体"/>
          <w:color w:val="auto"/>
          <w:sz w:val="24"/>
          <w:szCs w:val="24"/>
          <w:highlight w:val="none"/>
        </w:rPr>
        <w:t>本招标项目评标办法否决性条款中规定的其他内容。</w:t>
      </w:r>
    </w:p>
    <w:p w14:paraId="60368081">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2.3.</w:t>
      </w:r>
      <w:r>
        <w:rPr>
          <w:rFonts w:hint="eastAsia" w:ascii="宋体" w:hAnsi="宋体" w:cs="宋体"/>
          <w:b/>
          <w:bCs/>
          <w:color w:val="auto"/>
          <w:sz w:val="30"/>
          <w:szCs w:val="30"/>
          <w:highlight w:val="none"/>
        </w:rPr>
        <w:t>踏勘现场</w:t>
      </w:r>
    </w:p>
    <w:p w14:paraId="27F0586F">
      <w:pPr>
        <w:pStyle w:val="117"/>
        <w:widowControl w:val="0"/>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2.3.1.</w:t>
      </w:r>
      <w:r>
        <w:rPr>
          <w:rFonts w:hint="eastAsia" w:ascii="宋体" w:hAnsi="宋体" w:cs="宋体"/>
          <w:color w:val="auto"/>
          <w:sz w:val="24"/>
          <w:szCs w:val="24"/>
          <w:highlight w:val="none"/>
        </w:rPr>
        <w:t>投标人应按招标文件所述时间和要求对现场及周围环境进行踏勘，投标人应充分重视和仔细地进行这种考察，以便获取那些须投标人自己负责的有关编制投标文件和签署合同所涉及现场所有的资料。</w:t>
      </w:r>
    </w:p>
    <w:p w14:paraId="1A69313B">
      <w:pPr>
        <w:pStyle w:val="117"/>
        <w:widowControl w:val="0"/>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2.3.2.</w:t>
      </w:r>
      <w:r>
        <w:rPr>
          <w:rFonts w:hint="eastAsia" w:ascii="宋体" w:hAnsi="宋体" w:cs="宋体"/>
          <w:color w:val="auto"/>
          <w:sz w:val="24"/>
          <w:szCs w:val="24"/>
          <w:highlight w:val="none"/>
        </w:rPr>
        <w:t>招标人向投标人提供的有关现场的数据和资料，是招标人现有的能被投标人利用的资料，招标人对投标人做出的任何推论、理解和结论均不负责任。</w:t>
      </w:r>
    </w:p>
    <w:p w14:paraId="4FAA911A">
      <w:pPr>
        <w:pStyle w:val="117"/>
        <w:widowControl w:val="0"/>
        <w:numPr>
          <w:ilvl w:val="2"/>
          <w:numId w:val="0"/>
        </w:numPr>
        <w:spacing w:line="360" w:lineRule="auto"/>
        <w:ind w:left="0" w:firstLine="641"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2.3.3.</w:t>
      </w:r>
      <w:r>
        <w:rPr>
          <w:rFonts w:hint="eastAsia" w:ascii="宋体" w:hAnsi="宋体" w:cs="宋体"/>
          <w:color w:val="auto"/>
          <w:sz w:val="24"/>
          <w:szCs w:val="24"/>
          <w:highlight w:val="none"/>
        </w:rPr>
        <w:t>本项目不组织踏勘现场。</w:t>
      </w:r>
    </w:p>
    <w:p w14:paraId="1906C809">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2.4.</w:t>
      </w:r>
      <w:r>
        <w:rPr>
          <w:rFonts w:hint="eastAsia" w:ascii="宋体" w:hAnsi="宋体" w:cs="宋体"/>
          <w:b/>
          <w:bCs/>
          <w:color w:val="auto"/>
          <w:sz w:val="30"/>
          <w:szCs w:val="30"/>
          <w:highlight w:val="none"/>
        </w:rPr>
        <w:t>招标文件的解释权</w:t>
      </w:r>
    </w:p>
    <w:p w14:paraId="3C4F7C08">
      <w:pPr>
        <w:pStyle w:val="143"/>
        <w:spacing w:line="360" w:lineRule="auto"/>
        <w:ind w:firstLine="638" w:firstLineChars="266"/>
        <w:rPr>
          <w:rFonts w:hAnsi="宋体" w:cs="宋体"/>
          <w:color w:val="auto"/>
          <w:sz w:val="24"/>
          <w:szCs w:val="24"/>
          <w:highlight w:val="none"/>
        </w:rPr>
      </w:pPr>
      <w:r>
        <w:rPr>
          <w:rFonts w:hint="eastAsia" w:hAnsi="宋体" w:cs="宋体"/>
          <w:color w:val="auto"/>
          <w:sz w:val="24"/>
          <w:szCs w:val="24"/>
          <w:highlight w:val="none"/>
        </w:rPr>
        <w:t>本招标文件由</w:t>
      </w:r>
      <w:r>
        <w:rPr>
          <w:rFonts w:hint="eastAsia" w:hAnsi="宋体" w:cs="宋体"/>
          <w:color w:val="auto"/>
          <w:sz w:val="24"/>
          <w:szCs w:val="24"/>
          <w:highlight w:val="none"/>
          <w:lang w:eastAsia="zh-CN"/>
        </w:rPr>
        <w:t>广东重工建设监理有限公司</w:t>
      </w:r>
      <w:r>
        <w:rPr>
          <w:rFonts w:hint="eastAsia" w:hAnsi="宋体" w:cs="宋体"/>
          <w:color w:val="auto"/>
          <w:sz w:val="24"/>
          <w:szCs w:val="24"/>
          <w:highlight w:val="none"/>
        </w:rPr>
        <w:t>负责解释。</w:t>
      </w:r>
    </w:p>
    <w:bookmarkEnd w:id="28"/>
    <w:p w14:paraId="3480B9C9">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36" w:name="_Toc101775115"/>
      <w:bookmarkStart w:id="37" w:name="_Toc101771362"/>
      <w:bookmarkStart w:id="38" w:name="_Toc101951248"/>
      <w:bookmarkStart w:id="39" w:name="_Toc101843115"/>
      <w:r>
        <w:rPr>
          <w:rFonts w:hint="default" w:ascii="宋体" w:hAnsi="宋体" w:eastAsia="宋体" w:cs="宋体"/>
          <w:b/>
          <w:bCs/>
          <w:color w:val="auto"/>
          <w:kern w:val="2"/>
          <w:sz w:val="30"/>
          <w:szCs w:val="30"/>
          <w:highlight w:val="none"/>
          <w:lang w:val="en-US" w:eastAsia="zh-CN" w:bidi="ar-SA"/>
        </w:rPr>
        <w:t>3.</w:t>
      </w:r>
      <w:r>
        <w:rPr>
          <w:rFonts w:hint="eastAsia" w:ascii="宋体" w:hAnsi="宋体" w:cs="宋体"/>
          <w:b/>
          <w:bCs/>
          <w:color w:val="auto"/>
          <w:sz w:val="30"/>
          <w:szCs w:val="30"/>
          <w:highlight w:val="none"/>
        </w:rPr>
        <w:t>招标文件的澄清和异议</w:t>
      </w:r>
    </w:p>
    <w:p w14:paraId="245E249E">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3.1.</w:t>
      </w:r>
      <w:r>
        <w:rPr>
          <w:rFonts w:hint="eastAsia" w:ascii="宋体" w:hAnsi="宋体" w:cs="宋体"/>
          <w:b/>
          <w:bCs/>
          <w:color w:val="auto"/>
          <w:sz w:val="30"/>
          <w:szCs w:val="30"/>
          <w:highlight w:val="none"/>
        </w:rPr>
        <w:t>招标文件的澄清</w:t>
      </w:r>
    </w:p>
    <w:p w14:paraId="518AE1A1">
      <w:pPr>
        <w:pStyle w:val="215"/>
        <w:numPr>
          <w:ilvl w:val="2"/>
          <w:numId w:val="0"/>
        </w:numPr>
        <w:spacing w:line="360" w:lineRule="auto"/>
        <w:ind w:left="0" w:firstLine="6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3.1.1.</w:t>
      </w:r>
      <w:r>
        <w:rPr>
          <w:rFonts w:hint="eastAsia" w:ascii="宋体" w:hAnsi="宋体" w:cs="宋体"/>
          <w:color w:val="auto"/>
          <w:sz w:val="24"/>
          <w:highlight w:val="none"/>
        </w:rPr>
        <w:t>投标人应仔细阅读和检查招标文件的全部内容。如发现缺页或附件不全，应及时向招标人提出，以便补齐。如有疑问，应在招标公告规定的时间内以</w:t>
      </w:r>
      <w:r>
        <w:rPr>
          <w:rFonts w:hint="eastAsia" w:ascii="宋体" w:hAnsi="宋体" w:cs="宋体"/>
          <w:b/>
          <w:bCs/>
          <w:color w:val="auto"/>
          <w:sz w:val="24"/>
          <w:highlight w:val="none"/>
        </w:rPr>
        <w:t>不记名的方式</w:t>
      </w:r>
      <w:r>
        <w:rPr>
          <w:rFonts w:hint="eastAsia" w:ascii="宋体" w:hAnsi="宋体" w:cs="宋体"/>
          <w:color w:val="auto"/>
          <w:sz w:val="24"/>
          <w:highlight w:val="none"/>
        </w:rPr>
        <w:t>将提出的问题在</w:t>
      </w:r>
      <w:r>
        <w:rPr>
          <w:rFonts w:hint="eastAsia" w:ascii="宋体" w:hAnsi="宋体" w:cs="宋体"/>
          <w:color w:val="auto"/>
          <w:sz w:val="24"/>
          <w:highlight w:val="none"/>
          <w:lang w:val="en-US" w:eastAsia="zh-CN"/>
        </w:rPr>
        <w:t>广州交易集团有限公司（广州公共资源交易中心）网</w:t>
      </w:r>
      <w:r>
        <w:rPr>
          <w:rFonts w:hint="eastAsia" w:ascii="宋体" w:hAnsi="宋体" w:cs="宋体"/>
          <w:color w:val="auto"/>
          <w:sz w:val="24"/>
          <w:highlight w:val="none"/>
        </w:rPr>
        <w:t>中提出，具体操作如下：</w:t>
      </w:r>
    </w:p>
    <w:p w14:paraId="18A26C01">
      <w:pPr>
        <w:pStyle w:val="215"/>
        <w:numPr>
          <w:ilvl w:val="3"/>
          <w:numId w:val="0"/>
        </w:numPr>
        <w:spacing w:line="360" w:lineRule="auto"/>
        <w:ind w:left="0" w:firstLine="8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3.1.1.1.</w:t>
      </w:r>
      <w:r>
        <w:rPr>
          <w:rFonts w:ascii="宋体" w:hAnsi="宋体" w:eastAsia="宋体" w:cs="宋体"/>
          <w:color w:val="auto"/>
          <w:sz w:val="24"/>
          <w:szCs w:val="24"/>
          <w:highlight w:val="none"/>
        </w:rPr>
        <w:t>在平台网站内部系统上“投标管理”的“网上答疑”专区进行提问</w:t>
      </w:r>
      <w:r>
        <w:rPr>
          <w:rFonts w:hint="eastAsia" w:ascii="宋体" w:hAnsi="宋体" w:eastAsia="宋体" w:cs="宋体"/>
          <w:color w:val="auto"/>
          <w:sz w:val="24"/>
          <w:szCs w:val="24"/>
          <w:highlight w:val="none"/>
          <w:lang w:eastAsia="zh-CN"/>
        </w:rPr>
        <w:t>。</w:t>
      </w:r>
    </w:p>
    <w:p w14:paraId="65B92C0B">
      <w:pPr>
        <w:pStyle w:val="215"/>
        <w:numPr>
          <w:ilvl w:val="3"/>
          <w:numId w:val="0"/>
        </w:numPr>
        <w:spacing w:line="360" w:lineRule="auto"/>
        <w:ind w:left="0" w:firstLine="8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3.1.1.2.</w:t>
      </w:r>
      <w:r>
        <w:rPr>
          <w:rFonts w:ascii="宋体" w:hAnsi="宋体" w:eastAsia="宋体" w:cs="宋体"/>
          <w:color w:val="auto"/>
          <w:sz w:val="24"/>
          <w:szCs w:val="24"/>
          <w:highlight w:val="none"/>
        </w:rPr>
        <w:t>网上答疑的操作指南为：</w:t>
      </w:r>
      <w:r>
        <w:rPr>
          <w:rFonts w:hint="eastAsia" w:ascii="宋体" w:hAnsi="宋体" w:eastAsia="宋体" w:cs="宋体"/>
          <w:color w:val="auto"/>
          <w:sz w:val="24"/>
          <w:szCs w:val="24"/>
          <w:highlight w:val="none"/>
          <w:lang w:val="en-US" w:eastAsia="zh-CN"/>
        </w:rPr>
        <w:t>投标人登录</w:t>
      </w:r>
      <w:r>
        <w:rPr>
          <w:rFonts w:ascii="宋体" w:hAnsi="宋体" w:eastAsia="宋体" w:cs="宋体"/>
          <w:color w:val="auto"/>
          <w:sz w:val="24"/>
          <w:szCs w:val="24"/>
          <w:highlight w:val="none"/>
        </w:rPr>
        <w:t>广州交易集团有限公司（广州公共资源交易中心）</w:t>
      </w:r>
      <w:r>
        <w:rPr>
          <w:rFonts w:hint="eastAsia" w:ascii="宋体" w:hAnsi="宋体" w:eastAsia="宋体" w:cs="宋体"/>
          <w:color w:val="auto"/>
          <w:sz w:val="24"/>
          <w:szCs w:val="24"/>
          <w:highlight w:val="none"/>
          <w:lang w:val="en-US" w:eastAsia="zh-CN"/>
        </w:rPr>
        <w:t>数字交易平台</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进入</w:t>
      </w:r>
      <w:r>
        <w:rPr>
          <w:rFonts w:ascii="宋体" w:hAnsi="宋体" w:eastAsia="宋体" w:cs="宋体"/>
          <w:color w:val="auto"/>
          <w:sz w:val="24"/>
          <w:szCs w:val="24"/>
          <w:highlight w:val="none"/>
        </w:rPr>
        <w:t>“我是投标人”</w:t>
      </w:r>
      <w:r>
        <w:rPr>
          <w:rFonts w:hint="eastAsia" w:ascii="宋体" w:hAnsi="宋体" w:eastAsia="宋体" w:cs="宋体"/>
          <w:color w:val="auto"/>
          <w:sz w:val="24"/>
          <w:szCs w:val="24"/>
          <w:highlight w:val="none"/>
          <w:lang w:val="en-US" w:eastAsia="zh-CN"/>
        </w:rPr>
        <w:t>页面</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进入“招标答疑”页面</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通过项目编号或名称找到所需的项目</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在上述答疑时间内点击“答疑提问”</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无记名或匿名提出问题</w:t>
      </w:r>
      <w:r>
        <w:rPr>
          <w:rFonts w:hint="eastAsia" w:ascii="宋体" w:hAnsi="宋体" w:cs="宋体"/>
          <w:color w:val="auto"/>
          <w:sz w:val="24"/>
          <w:highlight w:val="none"/>
        </w:rPr>
        <w:t>。</w:t>
      </w:r>
    </w:p>
    <w:p w14:paraId="7957D555">
      <w:pPr>
        <w:pStyle w:val="215"/>
        <w:numPr>
          <w:ilvl w:val="2"/>
          <w:numId w:val="0"/>
        </w:numPr>
        <w:spacing w:line="360" w:lineRule="auto"/>
        <w:ind w:left="0" w:firstLine="6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3.1.2.</w:t>
      </w:r>
      <w:r>
        <w:rPr>
          <w:rFonts w:hint="eastAsia" w:ascii="宋体" w:hAnsi="宋体" w:cs="宋体"/>
          <w:color w:val="auto"/>
          <w:sz w:val="24"/>
          <w:highlight w:val="none"/>
        </w:rPr>
        <w:t>招标人对招标文件进行必要的澄清或者修改的，在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网上发布公告</w:t>
      </w:r>
      <w:r>
        <w:rPr>
          <w:rFonts w:ascii="宋体" w:hAnsi="宋体" w:cs="宋体"/>
          <w:color w:val="auto"/>
          <w:sz w:val="24"/>
          <w:highlight w:val="none"/>
        </w:rPr>
        <w:t>或答疑版块发布</w:t>
      </w:r>
      <w:r>
        <w:rPr>
          <w:rFonts w:hint="eastAsia" w:ascii="宋体" w:hAnsi="宋体" w:cs="宋体"/>
          <w:color w:val="auto"/>
          <w:sz w:val="24"/>
          <w:highlight w:val="none"/>
        </w:rPr>
        <w:t>。答疑文件的发布时间在投标截止时间至少7日前发出，澄清或者修改的内容可能影响投标文件编制的，更正公告在投标截止时间至少15日前发出；不足15日的，顺延提交投标文件截止时间。</w:t>
      </w:r>
    </w:p>
    <w:p w14:paraId="64031BBA">
      <w:pPr>
        <w:pStyle w:val="215"/>
        <w:numPr>
          <w:ilvl w:val="2"/>
          <w:numId w:val="0"/>
        </w:numPr>
        <w:spacing w:line="360" w:lineRule="auto"/>
        <w:ind w:left="0" w:firstLine="6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3.1.3.</w:t>
      </w:r>
      <w:r>
        <w:rPr>
          <w:rFonts w:hint="eastAsia" w:ascii="宋体" w:hAnsi="宋体" w:cs="宋体"/>
          <w:color w:val="auto"/>
          <w:sz w:val="24"/>
          <w:highlight w:val="none"/>
        </w:rPr>
        <w:t>招标文件的澄清或修改将在交易平台“项目答疑纪要”专区公开发布。答疑纪要一经在广州交易集团有限公司（广州公共资源交易中心）网站发布，视作已发放给所有投标人，以广州交易集团有限公司（广州公共资源交易中心）网站发布时间作为送达时间。</w:t>
      </w:r>
    </w:p>
    <w:p w14:paraId="64B94962">
      <w:pPr>
        <w:pStyle w:val="215"/>
        <w:numPr>
          <w:ilvl w:val="2"/>
          <w:numId w:val="0"/>
        </w:numPr>
        <w:spacing w:line="360" w:lineRule="auto"/>
        <w:ind w:left="0" w:firstLine="6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3.1.4.</w:t>
      </w:r>
      <w:r>
        <w:rPr>
          <w:rFonts w:hint="eastAsia" w:ascii="宋体" w:hAnsi="宋体" w:cs="宋体"/>
          <w:color w:val="auto"/>
          <w:sz w:val="24"/>
          <w:highlight w:val="none"/>
        </w:rPr>
        <w:t>更正公告为招标文件的组成部分，一经在招标信息发布网站发布</w:t>
      </w:r>
      <w:r>
        <w:rPr>
          <w:rFonts w:hint="eastAsia" w:ascii="宋体" w:hAnsi="宋体" w:cs="宋体"/>
          <w:color w:val="auto"/>
          <w:sz w:val="24"/>
          <w:szCs w:val="24"/>
          <w:highlight w:val="none"/>
        </w:rPr>
        <w:t>，系统将自动通过短信提示以及系统后台消息提示方式发送给已在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szCs w:val="24"/>
          <w:highlight w:val="none"/>
        </w:rPr>
        <w:t>进行项目投标登记的投标人</w:t>
      </w:r>
      <w:r>
        <w:rPr>
          <w:rFonts w:hint="eastAsia" w:ascii="宋体" w:hAnsi="宋体" w:cs="宋体"/>
          <w:color w:val="auto"/>
          <w:sz w:val="24"/>
          <w:highlight w:val="none"/>
        </w:rPr>
        <w:t>，视同已通知所有招标文件的收受人。</w:t>
      </w:r>
    </w:p>
    <w:p w14:paraId="2E857D36">
      <w:pPr>
        <w:pStyle w:val="215"/>
        <w:numPr>
          <w:ilvl w:val="2"/>
          <w:numId w:val="0"/>
        </w:numPr>
        <w:spacing w:line="360" w:lineRule="auto"/>
        <w:ind w:left="0" w:firstLine="6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3.1.5.</w:t>
      </w:r>
      <w:r>
        <w:rPr>
          <w:rFonts w:hint="eastAsia" w:ascii="宋体" w:hAnsi="宋体" w:cs="宋体"/>
          <w:color w:val="auto"/>
          <w:sz w:val="24"/>
          <w:highlight w:val="none"/>
        </w:rPr>
        <w:t>除非招标人认为确有必要答复，否则，招标人有权拒绝回复投标人在本章3.1.1规定的时间后的任何澄清要求。</w:t>
      </w:r>
    </w:p>
    <w:p w14:paraId="3A2B2EF6">
      <w:pPr>
        <w:pStyle w:val="215"/>
        <w:numPr>
          <w:ilvl w:val="2"/>
          <w:numId w:val="0"/>
        </w:numPr>
        <w:spacing w:line="360" w:lineRule="auto"/>
        <w:ind w:left="0" w:firstLine="640"/>
        <w:outlineLvl w:val="9"/>
        <w:rPr>
          <w:rFonts w:ascii="宋体" w:hAnsi="宋体" w:cs="宋体"/>
          <w:color w:val="auto"/>
          <w:sz w:val="24"/>
          <w:highlight w:val="none"/>
        </w:rPr>
      </w:pPr>
      <w:r>
        <w:rPr>
          <w:rFonts w:hint="default" w:ascii="宋体" w:hAnsi="宋体" w:eastAsia="宋体" w:cs="宋体"/>
          <w:color w:val="auto"/>
          <w:kern w:val="2"/>
          <w:sz w:val="24"/>
          <w:szCs w:val="24"/>
          <w:highlight w:val="none"/>
          <w:lang w:val="en-US" w:eastAsia="zh-CN" w:bidi="ar-SA"/>
        </w:rPr>
        <w:t>3.1.6.</w:t>
      </w:r>
      <w:r>
        <w:rPr>
          <w:rFonts w:hint="eastAsia" w:ascii="宋体" w:hAnsi="宋体" w:cs="宋体"/>
          <w:color w:val="auto"/>
          <w:sz w:val="24"/>
          <w:highlight w:val="none"/>
        </w:rPr>
        <w:t>投标人在规定的时间内未对招标文件提出疑问、质疑或要求澄清的，将视其为无异议。对招标文件中描述有歧义或前后不一致的地方，评标委员会或招标人有权进行评判或解释，但对同一条款的评判应适用于每个投标人。</w:t>
      </w:r>
    </w:p>
    <w:p w14:paraId="0481871A">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3.2.</w:t>
      </w:r>
      <w:r>
        <w:rPr>
          <w:rFonts w:hint="eastAsia" w:ascii="宋体" w:hAnsi="宋体" w:cs="宋体"/>
          <w:b/>
          <w:bCs/>
          <w:color w:val="auto"/>
          <w:sz w:val="30"/>
          <w:szCs w:val="30"/>
          <w:highlight w:val="none"/>
        </w:rPr>
        <w:t>招标文件的异议</w:t>
      </w:r>
    </w:p>
    <w:p w14:paraId="156FEFCC">
      <w:pPr>
        <w:widowControl w:val="0"/>
        <w:adjustRightInd w:val="0"/>
        <w:snapToGrid w:val="0"/>
        <w:spacing w:line="360" w:lineRule="auto"/>
        <w:ind w:firstLine="638" w:firstLineChars="266"/>
        <w:outlineLvl w:val="9"/>
        <w:rPr>
          <w:rFonts w:ascii="宋体" w:hAnsi="宋体"/>
          <w:color w:val="auto"/>
          <w:sz w:val="24"/>
          <w:szCs w:val="24"/>
          <w:highlight w:val="none"/>
        </w:rPr>
      </w:pPr>
      <w:r>
        <w:rPr>
          <w:rFonts w:hint="eastAsia" w:ascii="宋体" w:hAnsi="宋体"/>
          <w:color w:val="auto"/>
          <w:sz w:val="24"/>
          <w:szCs w:val="24"/>
          <w:highlight w:val="none"/>
        </w:rPr>
        <w:t>投标人或者其他利害关系人对招标文件有异议的，应当在招标公告规定的时间内以书面形式提出。异议函必须由法人代表或法人代表的授权委托人书面提交。授权委托人提交时，应当将授权委托书连同异议书一并提交。授权委托书应当明确有关委托代理权限和事项。招标人将在收到异议之日起 3 日内作出答复；作出答复前，将暂停招标投标活动。具体流程按8.2.疑问、异议和投诉处理进行处理。</w:t>
      </w:r>
    </w:p>
    <w:bookmarkEnd w:id="36"/>
    <w:bookmarkEnd w:id="37"/>
    <w:bookmarkEnd w:id="38"/>
    <w:bookmarkEnd w:id="39"/>
    <w:p w14:paraId="64273F28">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40" w:name="_Toc46308681"/>
      <w:bookmarkStart w:id="41" w:name="_Toc42394504"/>
      <w:bookmarkStart w:id="42" w:name="_Toc98579057"/>
      <w:bookmarkStart w:id="43" w:name="_Toc41884693"/>
      <w:bookmarkStart w:id="44" w:name="_Toc50276193"/>
      <w:bookmarkStart w:id="45" w:name="_Toc98580281"/>
      <w:bookmarkStart w:id="46" w:name="_Toc101951249"/>
      <w:bookmarkStart w:id="47" w:name="_Toc98579598"/>
      <w:bookmarkStart w:id="48" w:name="_Toc46308525"/>
      <w:bookmarkStart w:id="49" w:name="_Toc98035086"/>
      <w:bookmarkStart w:id="50" w:name="_Toc42313159"/>
      <w:bookmarkStart w:id="51" w:name="_Toc45532484"/>
      <w:bookmarkStart w:id="52" w:name="_Toc101771363"/>
      <w:bookmarkStart w:id="53" w:name="_Toc41723923"/>
      <w:bookmarkStart w:id="54" w:name="_Toc98578999"/>
      <w:bookmarkStart w:id="55" w:name="_Toc101843116"/>
      <w:bookmarkStart w:id="56" w:name="_Toc50276145"/>
      <w:bookmarkStart w:id="57" w:name="_Toc24117382"/>
      <w:bookmarkStart w:id="58" w:name="_Toc101775116"/>
      <w:bookmarkStart w:id="59" w:name="_Toc175644387"/>
      <w:bookmarkStart w:id="60" w:name="_Toc42394661"/>
      <w:r>
        <w:rPr>
          <w:rFonts w:hint="default" w:ascii="宋体" w:hAnsi="宋体" w:eastAsia="宋体" w:cs="宋体"/>
          <w:b/>
          <w:bCs/>
          <w:color w:val="auto"/>
          <w:kern w:val="2"/>
          <w:sz w:val="30"/>
          <w:szCs w:val="30"/>
          <w:highlight w:val="none"/>
          <w:lang w:val="en-US" w:eastAsia="zh-CN" w:bidi="ar-SA"/>
        </w:rPr>
        <w:t>4.</w:t>
      </w:r>
      <w:r>
        <w:rPr>
          <w:rFonts w:hint="eastAsia" w:ascii="宋体" w:hAnsi="宋体" w:cs="宋体"/>
          <w:b/>
          <w:bCs/>
          <w:color w:val="auto"/>
          <w:sz w:val="30"/>
          <w:szCs w:val="30"/>
          <w:highlight w:val="none"/>
        </w:rPr>
        <w:t>投标文件</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FE61F5B">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4.1.</w:t>
      </w:r>
      <w:r>
        <w:rPr>
          <w:rFonts w:hint="eastAsia" w:ascii="宋体" w:hAnsi="宋体" w:cs="宋体"/>
          <w:b/>
          <w:bCs/>
          <w:color w:val="auto"/>
          <w:sz w:val="30"/>
          <w:szCs w:val="30"/>
          <w:highlight w:val="none"/>
        </w:rPr>
        <w:t>投标文件的组成</w:t>
      </w:r>
    </w:p>
    <w:p w14:paraId="254E23F1">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4.1.1.</w:t>
      </w:r>
      <w:r>
        <w:rPr>
          <w:rFonts w:hint="eastAsia" w:ascii="宋体" w:hAnsi="宋体"/>
          <w:color w:val="auto"/>
          <w:sz w:val="24"/>
          <w:szCs w:val="24"/>
          <w:highlight w:val="none"/>
        </w:rPr>
        <w:t>投标文件应包括下列内容：</w:t>
      </w:r>
    </w:p>
    <w:p w14:paraId="725690A8">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）投标函；</w:t>
      </w:r>
    </w:p>
    <w:p w14:paraId="4EA28DEF">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）法定代表人（单位负责人）身份证明；</w:t>
      </w:r>
    </w:p>
    <w:p w14:paraId="2F8DF12C">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）授权委托书（</w:t>
      </w:r>
      <w:r>
        <w:rPr>
          <w:rFonts w:hint="eastAsia" w:ascii="宋体" w:hAnsi="宋体" w:eastAsia="宋体" w:cs="宋体"/>
          <w:color w:val="auto"/>
          <w:sz w:val="24"/>
          <w:szCs w:val="24"/>
          <w:highlight w:val="none"/>
          <w:u w:val="single"/>
          <w:lang w:val="en-US" w:eastAsia="zh-CN"/>
        </w:rPr>
        <w:t>适用于委托代理人的情况</w:t>
      </w:r>
      <w:r>
        <w:rPr>
          <w:rFonts w:hint="eastAsia" w:ascii="宋体" w:hAnsi="宋体" w:eastAsia="宋体" w:cs="宋体"/>
          <w:color w:val="auto"/>
          <w:sz w:val="24"/>
          <w:szCs w:val="24"/>
          <w:highlight w:val="none"/>
          <w:u w:val="single"/>
        </w:rPr>
        <w:t>）；</w:t>
      </w:r>
    </w:p>
    <w:p w14:paraId="5CD97CB4">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投标保证金；</w:t>
      </w:r>
    </w:p>
    <w:p w14:paraId="4953E504">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）商务和技术偏差表；</w:t>
      </w:r>
    </w:p>
    <w:p w14:paraId="1666D4F9">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6）投标人基本情况表；</w:t>
      </w:r>
    </w:p>
    <w:p w14:paraId="03EDADD2">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）投标货物报价表及分项报价表；</w:t>
      </w:r>
    </w:p>
    <w:p w14:paraId="4B1F3466">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）资格审查资料；</w:t>
      </w:r>
    </w:p>
    <w:p w14:paraId="0DE364BA">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）投标货物质量标准的详细描述；</w:t>
      </w:r>
    </w:p>
    <w:p w14:paraId="6D62399B">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）技术支持资料；</w:t>
      </w:r>
    </w:p>
    <w:p w14:paraId="342CD5D2">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rPr>
        <w:t>）量化标准评审资料；</w:t>
      </w:r>
    </w:p>
    <w:p w14:paraId="7271F39F">
      <w:pPr>
        <w:widowControl w:val="0"/>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）相关服务计划；</w:t>
      </w:r>
    </w:p>
    <w:p w14:paraId="38A2119A">
      <w:pPr>
        <w:widowControl w:val="0"/>
        <w:numPr>
          <w:ilvl w:val="0"/>
          <w:numId w:val="0"/>
        </w:numPr>
        <w:adjustRightInd w:val="0"/>
        <w:snapToGrid w:val="0"/>
        <w:spacing w:line="360" w:lineRule="auto"/>
        <w:ind w:left="0" w:leftChars="0" w:firstLine="480" w:firstLineChars="200"/>
        <w:rPr>
          <w:rFonts w:hint="eastAsia" w:ascii="宋体" w:hAnsi="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其他资料。</w:t>
      </w:r>
    </w:p>
    <w:p w14:paraId="7D81FF1B">
      <w:pPr>
        <w:numPr>
          <w:ilvl w:val="0"/>
          <w:numId w:val="0"/>
        </w:numPr>
        <w:adjustRightInd w:val="0"/>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投标人在评标过程中作出的符合法律法规和招标文件规定的澄清确认，构成投标文件的组成部分。</w:t>
      </w:r>
    </w:p>
    <w:p w14:paraId="154F19F1">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4.2.</w:t>
      </w:r>
      <w:r>
        <w:rPr>
          <w:rFonts w:hint="eastAsia" w:ascii="宋体" w:hAnsi="宋体" w:cs="宋体"/>
          <w:b/>
          <w:bCs/>
          <w:color w:val="auto"/>
          <w:sz w:val="30"/>
          <w:szCs w:val="30"/>
          <w:highlight w:val="none"/>
        </w:rPr>
        <w:t>投标报价</w:t>
      </w:r>
    </w:p>
    <w:p w14:paraId="29238E0E">
      <w:pPr>
        <w:numPr>
          <w:ilvl w:val="2"/>
          <w:numId w:val="0"/>
        </w:numPr>
        <w:adjustRightInd w:val="0"/>
        <w:snapToGrid w:val="0"/>
        <w:spacing w:line="360" w:lineRule="auto"/>
        <w:ind w:left="0" w:firstLine="640"/>
        <w:rPr>
          <w:rFonts w:hint="eastAsia"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4.2.1.</w:t>
      </w:r>
      <w:r>
        <w:rPr>
          <w:rFonts w:hint="eastAsia" w:ascii="宋体" w:hAnsi="宋体"/>
          <w:color w:val="auto"/>
          <w:sz w:val="24"/>
          <w:szCs w:val="24"/>
          <w:highlight w:val="none"/>
        </w:rPr>
        <w:t>最高投标限价</w:t>
      </w:r>
    </w:p>
    <w:p w14:paraId="2488665C">
      <w:pPr>
        <w:numPr>
          <w:ilvl w:val="2"/>
          <w:numId w:val="0"/>
        </w:numPr>
        <w:adjustRightInd w:val="0"/>
        <w:snapToGrid w:val="0"/>
        <w:spacing w:line="360" w:lineRule="auto"/>
        <w:ind w:left="0" w:firstLine="64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本招标项目设置总价最高投标限价和每项</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投标综合单价</w:t>
      </w:r>
      <w:r>
        <w:rPr>
          <w:rFonts w:hint="eastAsia" w:ascii="宋体" w:hAnsi="宋体"/>
          <w:color w:val="auto"/>
          <w:sz w:val="24"/>
          <w:szCs w:val="24"/>
          <w:highlight w:val="none"/>
          <w:lang w:eastAsia="zh-CN"/>
        </w:rPr>
        <w:t>；</w:t>
      </w:r>
    </w:p>
    <w:p w14:paraId="35EC25CC">
      <w:pPr>
        <w:numPr>
          <w:ilvl w:val="2"/>
          <w:numId w:val="0"/>
        </w:numPr>
        <w:adjustRightInd w:val="0"/>
        <w:snapToGrid w:val="0"/>
        <w:spacing w:line="360" w:lineRule="auto"/>
        <w:ind w:left="0" w:firstLine="640"/>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投标人的总投标报价不得超过总价最高投标限价；</w:t>
      </w:r>
    </w:p>
    <w:p w14:paraId="100D5B33">
      <w:pPr>
        <w:numPr>
          <w:ilvl w:val="2"/>
          <w:numId w:val="0"/>
        </w:numPr>
        <w:adjustRightInd w:val="0"/>
        <w:snapToGrid w:val="0"/>
        <w:spacing w:line="360" w:lineRule="auto"/>
        <w:ind w:left="0" w:firstLine="64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总价最高投标限价和每项</w:t>
      </w:r>
      <w:r>
        <w:rPr>
          <w:rFonts w:hint="eastAsia" w:ascii="宋体" w:hAnsi="宋体"/>
          <w:color w:val="auto"/>
          <w:sz w:val="24"/>
          <w:szCs w:val="24"/>
          <w:highlight w:val="none"/>
          <w:lang w:val="en-US" w:eastAsia="zh-CN"/>
        </w:rPr>
        <w:t>设备综合</w:t>
      </w:r>
      <w:r>
        <w:rPr>
          <w:rFonts w:hint="eastAsia" w:ascii="宋体" w:hAnsi="宋体"/>
          <w:color w:val="auto"/>
          <w:sz w:val="24"/>
          <w:szCs w:val="24"/>
          <w:highlight w:val="none"/>
        </w:rPr>
        <w:t>单价详见本章附件四：最高投标限价公布函；</w:t>
      </w:r>
    </w:p>
    <w:p w14:paraId="3E99234B">
      <w:pPr>
        <w:numPr>
          <w:ilvl w:val="2"/>
          <w:numId w:val="0"/>
        </w:numPr>
        <w:adjustRightInd w:val="0"/>
        <w:snapToGrid w:val="0"/>
        <w:spacing w:line="360" w:lineRule="auto"/>
        <w:ind w:left="0" w:firstLine="640" w:firstLineChars="0"/>
        <w:rPr>
          <w:color w:val="auto"/>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最高限价包括了服务费、差旅费、误餐费、保险、税费及其他费用等一切支出，招标人不再支付任何费用。投标人的报价，是各项费用和含税综合计算的结果</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且所报价格为闭口价</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中标结果有效期内价格不再允许变化。</w:t>
      </w:r>
    </w:p>
    <w:p w14:paraId="21BA662F">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4.2.2.</w:t>
      </w:r>
      <w:r>
        <w:rPr>
          <w:rFonts w:hint="eastAsia" w:ascii="宋体" w:hAnsi="宋体"/>
          <w:color w:val="auto"/>
          <w:sz w:val="24"/>
          <w:szCs w:val="24"/>
          <w:highlight w:val="none"/>
        </w:rPr>
        <w:t>投标报价</w:t>
      </w:r>
    </w:p>
    <w:p w14:paraId="418CFC9E">
      <w:pPr>
        <w:numPr>
          <w:ilvl w:val="0"/>
          <w:numId w:val="0"/>
        </w:numPr>
        <w:adjustRightInd w:val="0"/>
        <w:snapToGrid w:val="0"/>
        <w:spacing w:line="360" w:lineRule="auto"/>
        <w:ind w:left="0" w:firstLine="840" w:firstLineChars="350"/>
        <w:rPr>
          <w:rFonts w:ascii="宋体" w:hAnsi="宋体"/>
          <w:color w:val="auto"/>
          <w:sz w:val="24"/>
          <w:szCs w:val="24"/>
          <w:highlight w:val="none"/>
        </w:rPr>
      </w:pPr>
      <w:r>
        <w:rPr>
          <w:rFonts w:hint="eastAsia" w:ascii="宋体" w:hAnsi="宋体" w:cs="Times New Roman"/>
          <w:color w:val="auto"/>
          <w:sz w:val="24"/>
          <w:szCs w:val="24"/>
          <w:highlight w:val="none"/>
          <w:lang w:val="en-US" w:eastAsia="zh-CN" w:bidi="ar-SA"/>
        </w:rPr>
        <w:t>（1）</w:t>
      </w:r>
      <w:r>
        <w:rPr>
          <w:rFonts w:hint="eastAsia" w:ascii="宋体" w:hAnsi="宋体"/>
          <w:b/>
          <w:color w:val="auto"/>
          <w:sz w:val="24"/>
          <w:szCs w:val="24"/>
          <w:highlight w:val="none"/>
          <w:lang w:val="en-US" w:eastAsia="zh-CN"/>
        </w:rPr>
        <w:t>每项设备单价的投标报价为综合单价</w:t>
      </w:r>
      <w:r>
        <w:rPr>
          <w:rFonts w:hint="eastAsia" w:ascii="宋体" w:hAnsi="宋体"/>
          <w:color w:val="auto"/>
          <w:sz w:val="24"/>
          <w:szCs w:val="24"/>
          <w:highlight w:val="none"/>
        </w:rPr>
        <w:t>包括但不限于</w:t>
      </w:r>
      <w:r>
        <w:rPr>
          <w:rFonts w:hint="eastAsia" w:ascii="宋体" w:hAnsi="宋体"/>
          <w:color w:val="auto"/>
          <w:sz w:val="24"/>
          <w:szCs w:val="24"/>
          <w:highlight w:val="none"/>
          <w:lang w:val="en-US" w:eastAsia="zh-CN"/>
        </w:rPr>
        <w:t>设备的生产前准备、设计、生产、防腐、产品检验、运输（含转运）、包装、装卸（含卸车费用）、安装及调试（具体按“第二章用户需求书 技术要求”）、验收（含出厂前及到货后的验收）、质量抽检、培训、常规维修工具、备品备件、相关税费、保险费、物货伴随服务（包括安装使用说明书、图纸的提供、质保期服务）等全部费用。投标人需对紧急供货、运输、批量供货等相关的风险因素作充分的考虑。</w:t>
      </w:r>
    </w:p>
    <w:p w14:paraId="65E72A29">
      <w:pPr>
        <w:numPr>
          <w:ilvl w:val="0"/>
          <w:numId w:val="0"/>
        </w:numPr>
        <w:adjustRightInd w:val="0"/>
        <w:snapToGrid w:val="0"/>
        <w:spacing w:line="360" w:lineRule="auto"/>
        <w:ind w:left="0" w:firstLine="840" w:firstLineChars="350"/>
        <w:rPr>
          <w:rFonts w:ascii="宋体" w:hAnsi="宋体"/>
          <w:color w:val="auto"/>
          <w:sz w:val="24"/>
          <w:szCs w:val="24"/>
          <w:highlight w:val="none"/>
        </w:rPr>
      </w:pPr>
      <w:r>
        <w:rPr>
          <w:rFonts w:hint="eastAsia" w:ascii="宋体" w:hAnsi="宋体" w:cs="Times New Roman"/>
          <w:color w:val="auto"/>
          <w:sz w:val="24"/>
          <w:szCs w:val="24"/>
          <w:highlight w:val="none"/>
          <w:lang w:val="en-US" w:eastAsia="zh-CN" w:bidi="ar-SA"/>
        </w:rPr>
        <w:t>（2）</w:t>
      </w:r>
      <w:r>
        <w:rPr>
          <w:rFonts w:hint="eastAsia" w:ascii="宋体" w:hAnsi="宋体"/>
          <w:color w:val="auto"/>
          <w:sz w:val="24"/>
          <w:szCs w:val="24"/>
          <w:highlight w:val="none"/>
        </w:rPr>
        <w:t>投标报价应包括国家规定的增值税税金，另有规定外的除外，增值税税金按一般计税方法计算。投标人应按第五章“投标文件格式”的要求在投标函中进行报价并填写分项报价表。</w:t>
      </w:r>
    </w:p>
    <w:p w14:paraId="26930922">
      <w:pPr>
        <w:numPr>
          <w:ilvl w:val="0"/>
          <w:numId w:val="0"/>
        </w:numPr>
        <w:adjustRightInd w:val="0"/>
        <w:snapToGrid w:val="0"/>
        <w:spacing w:line="360" w:lineRule="auto"/>
        <w:ind w:left="0" w:firstLine="840" w:firstLineChars="350"/>
        <w:rPr>
          <w:rFonts w:ascii="宋体" w:hAnsi="宋体"/>
          <w:color w:val="auto"/>
          <w:sz w:val="24"/>
          <w:szCs w:val="24"/>
          <w:highlight w:val="none"/>
        </w:rPr>
      </w:pPr>
      <w:r>
        <w:rPr>
          <w:rFonts w:hint="eastAsia" w:ascii="宋体" w:hAnsi="宋体" w:cs="Times New Roman"/>
          <w:color w:val="auto"/>
          <w:sz w:val="24"/>
          <w:szCs w:val="24"/>
          <w:highlight w:val="none"/>
          <w:lang w:val="en-US" w:eastAsia="zh-CN" w:bidi="ar-SA"/>
        </w:rPr>
        <w:t>（3）</w:t>
      </w:r>
      <w:r>
        <w:rPr>
          <w:rFonts w:hint="eastAsia" w:ascii="宋体" w:hAnsi="宋体"/>
          <w:color w:val="auto"/>
          <w:sz w:val="24"/>
          <w:szCs w:val="24"/>
          <w:highlight w:val="none"/>
        </w:rPr>
        <w:t>投标人应充分了解该项目的总体情况以及影响投标报价的其他要素。</w:t>
      </w:r>
    </w:p>
    <w:p w14:paraId="2EF9C33A">
      <w:pPr>
        <w:numPr>
          <w:ilvl w:val="0"/>
          <w:numId w:val="0"/>
        </w:numPr>
        <w:adjustRightInd w:val="0"/>
        <w:snapToGrid w:val="0"/>
        <w:spacing w:line="360" w:lineRule="auto"/>
        <w:ind w:left="0" w:firstLine="840" w:firstLineChars="350"/>
        <w:rPr>
          <w:rFonts w:ascii="宋体" w:hAnsi="宋体"/>
          <w:color w:val="auto"/>
          <w:sz w:val="24"/>
          <w:szCs w:val="24"/>
          <w:highlight w:val="none"/>
        </w:rPr>
      </w:pPr>
      <w:r>
        <w:rPr>
          <w:rFonts w:hint="eastAsia" w:ascii="宋体" w:hAnsi="宋体" w:cs="Times New Roman"/>
          <w:color w:val="auto"/>
          <w:sz w:val="24"/>
          <w:szCs w:val="24"/>
          <w:highlight w:val="none"/>
          <w:lang w:val="en-US" w:eastAsia="zh-CN" w:bidi="ar-SA"/>
        </w:rPr>
        <w:t>（4）</w:t>
      </w:r>
      <w:r>
        <w:rPr>
          <w:rFonts w:hint="eastAsia" w:ascii="宋体" w:hAnsi="宋体"/>
          <w:color w:val="auto"/>
          <w:sz w:val="24"/>
          <w:szCs w:val="24"/>
          <w:highlight w:val="none"/>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投标</w:t>
      </w:r>
      <w:r>
        <w:rPr>
          <w:rFonts w:hint="eastAsia" w:ascii="宋体" w:hAnsi="宋体"/>
          <w:color w:val="auto"/>
          <w:sz w:val="24"/>
          <w:szCs w:val="24"/>
          <w:highlight w:val="none"/>
          <w:lang w:val="en-US" w:eastAsia="zh-CN"/>
        </w:rPr>
        <w:t>货物</w:t>
      </w:r>
      <w:r>
        <w:rPr>
          <w:rFonts w:hint="eastAsia" w:ascii="宋体" w:hAnsi="宋体"/>
          <w:color w:val="auto"/>
          <w:sz w:val="24"/>
          <w:szCs w:val="24"/>
          <w:highlight w:val="none"/>
        </w:rPr>
        <w:t>报价表及分项报价表”中的相应报价，此修改须符合本章第 5.2 款的有关要求。</w:t>
      </w:r>
    </w:p>
    <w:p w14:paraId="3F21EAD9">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4.2.3.</w:t>
      </w:r>
      <w:r>
        <w:rPr>
          <w:rFonts w:hint="eastAsia" w:ascii="宋体" w:hAnsi="宋体"/>
          <w:color w:val="auto"/>
          <w:sz w:val="24"/>
          <w:szCs w:val="24"/>
          <w:highlight w:val="none"/>
        </w:rPr>
        <w:t>投标报价的其他要求</w:t>
      </w:r>
    </w:p>
    <w:p w14:paraId="6191B3A4">
      <w:pPr>
        <w:numPr>
          <w:ilvl w:val="0"/>
          <w:numId w:val="0"/>
        </w:numPr>
        <w:adjustRightInd w:val="0"/>
        <w:snapToGrid w:val="0"/>
        <w:spacing w:line="360" w:lineRule="auto"/>
        <w:ind w:left="0" w:firstLine="843" w:firstLineChars="350"/>
        <w:rPr>
          <w:rFonts w:ascii="宋体" w:hAnsi="宋体"/>
          <w:b/>
          <w:bCs/>
          <w:color w:val="auto"/>
          <w:sz w:val="24"/>
          <w:szCs w:val="24"/>
          <w:highlight w:val="none"/>
        </w:rPr>
      </w:pPr>
      <w:r>
        <w:rPr>
          <w:rFonts w:hint="eastAsia" w:ascii="宋体" w:hAnsi="宋体" w:cs="Times New Roman"/>
          <w:b/>
          <w:bCs/>
          <w:color w:val="auto"/>
          <w:sz w:val="24"/>
          <w:szCs w:val="24"/>
          <w:highlight w:val="none"/>
          <w:lang w:val="en-US" w:eastAsia="zh-CN" w:bidi="ar-SA"/>
        </w:rPr>
        <w:t>（1）</w:t>
      </w:r>
      <w:r>
        <w:rPr>
          <w:rFonts w:hint="eastAsia" w:ascii="宋体" w:hAnsi="宋体"/>
          <w:b/>
          <w:bCs/>
          <w:color w:val="auto"/>
          <w:sz w:val="24"/>
          <w:szCs w:val="24"/>
          <w:highlight w:val="none"/>
        </w:rPr>
        <w:t>招标人将与中标人按中标单价签订固定单价合同，合同期内合同单价固定不变。</w:t>
      </w:r>
    </w:p>
    <w:p w14:paraId="4FEC9571">
      <w:pPr>
        <w:numPr>
          <w:ilvl w:val="0"/>
          <w:numId w:val="0"/>
        </w:numPr>
        <w:adjustRightInd w:val="0"/>
        <w:snapToGrid w:val="0"/>
        <w:spacing w:line="360" w:lineRule="auto"/>
        <w:ind w:left="0" w:firstLine="843" w:firstLineChars="350"/>
        <w:rPr>
          <w:rFonts w:ascii="宋体" w:hAnsi="宋体"/>
          <w:b/>
          <w:bCs/>
          <w:color w:val="auto"/>
          <w:sz w:val="24"/>
          <w:szCs w:val="24"/>
          <w:highlight w:val="none"/>
        </w:rPr>
      </w:pPr>
      <w:r>
        <w:rPr>
          <w:rFonts w:hint="eastAsia" w:ascii="宋体" w:hAnsi="宋体" w:cs="Times New Roman"/>
          <w:b/>
          <w:bCs/>
          <w:color w:val="auto"/>
          <w:sz w:val="24"/>
          <w:szCs w:val="24"/>
          <w:highlight w:val="none"/>
          <w:lang w:val="en-US" w:eastAsia="zh-CN" w:bidi="ar-SA"/>
        </w:rPr>
        <w:t>（2）</w:t>
      </w:r>
      <w:r>
        <w:rPr>
          <w:rFonts w:hint="eastAsia" w:ascii="宋体" w:hAnsi="宋体"/>
          <w:b/>
          <w:bCs/>
          <w:color w:val="auto"/>
          <w:sz w:val="24"/>
          <w:szCs w:val="24"/>
          <w:highlight w:val="none"/>
        </w:rPr>
        <w:t>投标人对相同</w:t>
      </w:r>
      <w:r>
        <w:rPr>
          <w:rFonts w:hint="eastAsia" w:ascii="宋体" w:hAnsi="宋体"/>
          <w:b/>
          <w:bCs/>
          <w:color w:val="auto"/>
          <w:sz w:val="24"/>
          <w:szCs w:val="24"/>
          <w:highlight w:val="none"/>
          <w:lang w:val="en-US" w:eastAsia="zh-CN"/>
        </w:rPr>
        <w:t>设备</w:t>
      </w:r>
      <w:r>
        <w:rPr>
          <w:rFonts w:hint="eastAsia" w:ascii="宋体" w:hAnsi="宋体"/>
          <w:b/>
          <w:bCs/>
          <w:color w:val="auto"/>
          <w:sz w:val="24"/>
          <w:szCs w:val="24"/>
          <w:highlight w:val="none"/>
        </w:rPr>
        <w:t>只能提交唯一报价，不得提供两个或以上的报价，否则响应性评审做不合格处理。</w:t>
      </w:r>
    </w:p>
    <w:p w14:paraId="7B172246">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4.3.</w:t>
      </w:r>
      <w:r>
        <w:rPr>
          <w:rFonts w:hint="eastAsia" w:ascii="宋体" w:hAnsi="宋体" w:cs="宋体"/>
          <w:b/>
          <w:bCs/>
          <w:color w:val="auto"/>
          <w:sz w:val="30"/>
          <w:szCs w:val="30"/>
          <w:highlight w:val="none"/>
        </w:rPr>
        <w:t>响应和偏差</w:t>
      </w:r>
    </w:p>
    <w:p w14:paraId="26F4A6DA">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4.3.1.</w:t>
      </w:r>
      <w:r>
        <w:rPr>
          <w:rFonts w:hint="eastAsia" w:ascii="宋体" w:hAnsi="宋体"/>
          <w:color w:val="auto"/>
          <w:sz w:val="24"/>
          <w:szCs w:val="24"/>
          <w:highlight w:val="none"/>
        </w:rPr>
        <w:t>投标文件应当对招标文件的实质性要求和条件作出满足性或更有利于招标人的响应，否则，投标人的投标将被否决。实质性要求和条件见本章第2.2款。</w:t>
      </w:r>
    </w:p>
    <w:p w14:paraId="68251C05">
      <w:pPr>
        <w:widowControl w:val="0"/>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4.3.2.</w:t>
      </w:r>
      <w:r>
        <w:rPr>
          <w:rFonts w:hint="eastAsia" w:ascii="宋体" w:hAnsi="宋体"/>
          <w:color w:val="auto"/>
          <w:sz w:val="24"/>
          <w:szCs w:val="24"/>
          <w:highlight w:val="none"/>
        </w:rPr>
        <w:t>投标人应根据招标文件的要求提供</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质量标准的详细描述、技术支持资料及相关服务计划等内容以对招标文件作出响应。</w:t>
      </w:r>
    </w:p>
    <w:p w14:paraId="6057F617">
      <w:pPr>
        <w:widowControl w:val="0"/>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4.3.3.</w:t>
      </w:r>
      <w:r>
        <w:rPr>
          <w:rFonts w:hint="eastAsia" w:ascii="宋体" w:hAnsi="宋体"/>
          <w:color w:val="auto"/>
          <w:sz w:val="24"/>
          <w:szCs w:val="24"/>
          <w:highlight w:val="none"/>
        </w:rPr>
        <w:t>投标文件中应针对实质性要求和条件中列明的技术要求提供技术支持资料。技术支持资料以制造商公开发布的印刷资料，或检测机构出具的检测报告为准，不符合前述要求的，视为无技术支持资料，其投标将被否决。</w:t>
      </w:r>
    </w:p>
    <w:p w14:paraId="7B64D3CF">
      <w:pPr>
        <w:widowControl w:val="0"/>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4.3.4.</w:t>
      </w:r>
      <w:r>
        <w:rPr>
          <w:rFonts w:hint="eastAsia" w:ascii="宋体" w:hAnsi="宋体"/>
          <w:color w:val="auto"/>
          <w:sz w:val="24"/>
          <w:szCs w:val="24"/>
          <w:highlight w:val="none"/>
        </w:rPr>
        <w:t>本章第2.2款规定了可以偏差的范围和最高偏差项数的，偏差应不超过该条款规定的偏差范围和最高项数，超出偏差范围和最高偏差项数的投标将被否决。</w:t>
      </w:r>
    </w:p>
    <w:p w14:paraId="58225911">
      <w:pPr>
        <w:widowControl w:val="0"/>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4.3.5.</w:t>
      </w:r>
      <w:r>
        <w:rPr>
          <w:rFonts w:hint="eastAsia" w:ascii="宋体" w:hAnsi="宋体"/>
          <w:color w:val="auto"/>
          <w:sz w:val="24"/>
          <w:szCs w:val="24"/>
          <w:highlight w:val="none"/>
        </w:rPr>
        <w:t>投标文件对招标文件的全部偏差，均应在投标文件的商务和技术偏差表中列明，除列明的内容外，视为投标人响应招标文件的全部要求。</w:t>
      </w:r>
    </w:p>
    <w:p w14:paraId="6EB583EF">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4.4.</w:t>
      </w:r>
      <w:r>
        <w:rPr>
          <w:rFonts w:hint="eastAsia" w:ascii="宋体" w:hAnsi="宋体" w:cs="宋体"/>
          <w:b/>
          <w:bCs/>
          <w:color w:val="auto"/>
          <w:sz w:val="30"/>
          <w:szCs w:val="30"/>
          <w:highlight w:val="none"/>
        </w:rPr>
        <w:t>投标有效期</w:t>
      </w:r>
    </w:p>
    <w:p w14:paraId="4962645C">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4.4.1.</w:t>
      </w:r>
      <w:r>
        <w:rPr>
          <w:rFonts w:hint="eastAsia" w:ascii="宋体" w:hAnsi="宋体"/>
          <w:color w:val="auto"/>
          <w:sz w:val="24"/>
          <w:szCs w:val="24"/>
          <w:highlight w:val="none"/>
        </w:rPr>
        <w:t>本招标项目投标有效期为90天。</w:t>
      </w:r>
    </w:p>
    <w:p w14:paraId="719E7EA0">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4.4.2.</w:t>
      </w:r>
      <w:r>
        <w:rPr>
          <w:rFonts w:hint="eastAsia" w:ascii="宋体" w:hAnsi="宋体"/>
          <w:color w:val="auto"/>
          <w:sz w:val="24"/>
          <w:szCs w:val="24"/>
          <w:highlight w:val="none"/>
        </w:rPr>
        <w:t>在投标有效期内，投标人撤销投标文件的，应承担招标文件和法律规定的责任。</w:t>
      </w:r>
    </w:p>
    <w:p w14:paraId="6E91D29F">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4.4.3.</w:t>
      </w:r>
      <w:r>
        <w:rPr>
          <w:rFonts w:hint="eastAsia" w:ascii="宋体" w:hAnsi="宋体"/>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15A01B8A">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bookmarkStart w:id="61" w:name="_Toc41723928"/>
      <w:bookmarkStart w:id="62" w:name="_Toc50276150"/>
      <w:bookmarkStart w:id="63" w:name="_Toc42394509"/>
      <w:bookmarkStart w:id="64" w:name="_Toc41884698"/>
      <w:bookmarkStart w:id="65" w:name="_Toc42394666"/>
      <w:bookmarkStart w:id="66" w:name="_Toc98579603"/>
      <w:bookmarkStart w:id="67" w:name="_Toc98580286"/>
      <w:bookmarkStart w:id="68" w:name="_Toc101775123"/>
      <w:bookmarkStart w:id="69" w:name="_Toc101951256"/>
      <w:bookmarkStart w:id="70" w:name="_Toc101843123"/>
      <w:bookmarkStart w:id="71" w:name="_Toc101771370"/>
      <w:bookmarkStart w:id="72" w:name="_Toc98579062"/>
      <w:bookmarkStart w:id="73" w:name="_Toc98579004"/>
      <w:bookmarkStart w:id="74" w:name="_Toc42313164"/>
      <w:bookmarkStart w:id="75" w:name="_Toc134956132"/>
      <w:r>
        <w:rPr>
          <w:rFonts w:hint="default" w:ascii="宋体" w:hAnsi="宋体" w:eastAsia="宋体" w:cs="宋体"/>
          <w:b/>
          <w:bCs/>
          <w:color w:val="auto"/>
          <w:kern w:val="2"/>
          <w:sz w:val="30"/>
          <w:szCs w:val="30"/>
          <w:highlight w:val="none"/>
          <w:lang w:val="en-US" w:eastAsia="zh-CN" w:bidi="ar-SA"/>
        </w:rPr>
        <w:t>4.5.</w:t>
      </w:r>
      <w:r>
        <w:rPr>
          <w:rFonts w:hint="eastAsia" w:ascii="宋体" w:hAnsi="宋体" w:cs="宋体"/>
          <w:b/>
          <w:bCs/>
          <w:color w:val="auto"/>
          <w:sz w:val="30"/>
          <w:szCs w:val="30"/>
          <w:highlight w:val="none"/>
        </w:rPr>
        <w:t>投标保证金</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68BF3155">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4.5.1.</w:t>
      </w:r>
      <w:r>
        <w:rPr>
          <w:rFonts w:hint="eastAsia" w:ascii="宋体" w:hAnsi="宋体"/>
          <w:color w:val="auto"/>
          <w:sz w:val="24"/>
          <w:szCs w:val="24"/>
          <w:highlight w:val="none"/>
        </w:rPr>
        <w:t>投标人应交纳投标保证金：￥</w:t>
      </w:r>
      <w:r>
        <w:rPr>
          <w:rFonts w:hint="eastAsia" w:ascii="宋体" w:hAnsi="宋体"/>
          <w:color w:val="auto"/>
          <w:sz w:val="24"/>
          <w:szCs w:val="24"/>
          <w:highlight w:val="none"/>
          <w:lang w:val="en-US" w:eastAsia="zh-CN"/>
        </w:rPr>
        <w:t>500000</w:t>
      </w:r>
      <w:r>
        <w:rPr>
          <w:rFonts w:hint="eastAsia" w:ascii="宋体" w:hAnsi="宋体"/>
          <w:color w:val="auto"/>
          <w:sz w:val="24"/>
          <w:szCs w:val="24"/>
          <w:highlight w:val="none"/>
        </w:rPr>
        <w:t>.00元（人民币</w:t>
      </w:r>
      <w:r>
        <w:rPr>
          <w:rFonts w:hint="eastAsia" w:ascii="宋体" w:hAnsi="宋体"/>
          <w:color w:val="auto"/>
          <w:sz w:val="24"/>
          <w:szCs w:val="24"/>
          <w:highlight w:val="none"/>
          <w:lang w:val="en-US" w:eastAsia="zh-CN"/>
        </w:rPr>
        <w:t>伍拾万元</w:t>
      </w:r>
      <w:r>
        <w:rPr>
          <w:rFonts w:hint="eastAsia" w:ascii="宋体" w:hAnsi="宋体"/>
          <w:color w:val="auto"/>
          <w:sz w:val="24"/>
          <w:szCs w:val="24"/>
          <w:highlight w:val="none"/>
        </w:rPr>
        <w:t>整）；</w:t>
      </w:r>
    </w:p>
    <w:p w14:paraId="7341B7BA">
      <w:pPr>
        <w:numPr>
          <w:ilvl w:val="2"/>
          <w:numId w:val="0"/>
        </w:numPr>
        <w:adjustRightInd w:val="0"/>
        <w:snapToGrid w:val="0"/>
        <w:spacing w:line="360" w:lineRule="auto"/>
        <w:ind w:left="0" w:firstLine="640"/>
        <w:rPr>
          <w:rFonts w:hint="eastAsia" w:ascii="宋体" w:hAnsi="宋体" w:cs="Times New Roman"/>
          <w:color w:val="auto"/>
          <w:sz w:val="24"/>
          <w:szCs w:val="24"/>
          <w:highlight w:val="none"/>
          <w:lang w:val="en-US" w:eastAsia="zh-CN" w:bidi="ar-SA"/>
        </w:rPr>
      </w:pPr>
      <w:r>
        <w:rPr>
          <w:rFonts w:hint="default" w:ascii="宋体" w:hAnsi="宋体" w:eastAsia="宋体" w:cs="Times New Roman"/>
          <w:color w:val="auto"/>
          <w:sz w:val="24"/>
          <w:szCs w:val="24"/>
          <w:highlight w:val="none"/>
          <w:lang w:val="en-US" w:eastAsia="zh-CN" w:bidi="ar-SA"/>
        </w:rPr>
        <w:t>4.5.2.</w:t>
      </w:r>
      <w:r>
        <w:rPr>
          <w:rFonts w:hint="eastAsia" w:ascii="宋体" w:hAnsi="宋体" w:cs="Times New Roman"/>
          <w:color w:val="auto"/>
          <w:sz w:val="24"/>
          <w:szCs w:val="24"/>
          <w:highlight w:val="none"/>
          <w:lang w:val="en-US" w:eastAsia="zh-CN" w:bidi="ar-SA"/>
        </w:rPr>
        <w:t>缴纳时间：在投标截止时间前。投标人如采用投标保函、投标保证保险或担保保函的形式递交的，须在投标截止时间前单独密封递交至开标室。</w:t>
      </w:r>
    </w:p>
    <w:p w14:paraId="6C07525B">
      <w:pPr>
        <w:numPr>
          <w:ilvl w:val="2"/>
          <w:numId w:val="0"/>
        </w:numPr>
        <w:adjustRightInd w:val="0"/>
        <w:snapToGrid w:val="0"/>
        <w:spacing w:line="360" w:lineRule="auto"/>
        <w:ind w:left="0" w:firstLine="640"/>
        <w:rPr>
          <w:rFonts w:hint="eastAsia" w:ascii="宋体" w:hAnsi="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bidi="ar-SA"/>
        </w:rPr>
        <w:t>日程安排中的“递交投标保证金凭证”时间为招标人接收投标人递交的银行投标保函、投标保证保险或担保保函原件的时间，以便评委在评标时对投标文件中的扫描件进行核对。</w:t>
      </w:r>
    </w:p>
    <w:p w14:paraId="3901A216">
      <w:pPr>
        <w:numPr>
          <w:ilvl w:val="2"/>
          <w:numId w:val="0"/>
        </w:numPr>
        <w:adjustRightInd w:val="0"/>
        <w:snapToGrid w:val="0"/>
        <w:spacing w:line="360" w:lineRule="auto"/>
        <w:ind w:left="0" w:firstLine="640"/>
        <w:rPr>
          <w:rFonts w:hint="default" w:ascii="宋体" w:hAnsi="宋体" w:eastAsia="宋体" w:cs="Times New Roman"/>
          <w:color w:val="auto"/>
          <w:sz w:val="24"/>
          <w:szCs w:val="24"/>
          <w:highlight w:val="none"/>
          <w:lang w:val="en-US" w:eastAsia="zh-CN" w:bidi="ar-SA"/>
        </w:rPr>
      </w:pPr>
      <w:r>
        <w:rPr>
          <w:rFonts w:hint="eastAsia" w:ascii="宋体" w:hAnsi="宋体" w:cs="Times New Roman"/>
          <w:color w:val="auto"/>
          <w:sz w:val="24"/>
          <w:szCs w:val="24"/>
          <w:highlight w:val="none"/>
          <w:lang w:val="en-US" w:eastAsia="zh-CN" w:bidi="ar-SA"/>
        </w:rPr>
        <w:t>当出现招标文件规定的不予退还投标担保的情形，招标人要求索赔时，不得要求招标人提供除了招标人出具书面索赔通知和保函（保险）原件外的其他资料作为索赔资料。</w:t>
      </w:r>
    </w:p>
    <w:p w14:paraId="066AE442">
      <w:pPr>
        <w:numPr>
          <w:ilvl w:val="2"/>
          <w:numId w:val="0"/>
        </w:numPr>
        <w:adjustRightInd w:val="0"/>
        <w:snapToGrid w:val="0"/>
        <w:spacing w:line="360" w:lineRule="auto"/>
        <w:ind w:left="0" w:firstLine="640"/>
        <w:rPr>
          <w:rFonts w:hint="eastAsia" w:ascii="宋体" w:hAnsi="宋体"/>
          <w:color w:val="auto"/>
          <w:sz w:val="24"/>
          <w:szCs w:val="24"/>
          <w:highlight w:val="none"/>
        </w:rPr>
      </w:pPr>
      <w:r>
        <w:rPr>
          <w:rFonts w:hint="eastAsia" w:ascii="宋体" w:hAnsi="宋体"/>
          <w:color w:val="auto"/>
          <w:sz w:val="24"/>
          <w:szCs w:val="24"/>
          <w:highlight w:val="none"/>
          <w:lang w:val="en-US" w:eastAsia="zh-CN"/>
        </w:rPr>
        <w:t>4.5.3.</w:t>
      </w:r>
      <w:r>
        <w:rPr>
          <w:rFonts w:hint="eastAsia" w:ascii="宋体" w:hAnsi="宋体"/>
          <w:color w:val="auto"/>
          <w:sz w:val="24"/>
          <w:szCs w:val="24"/>
          <w:highlight w:val="none"/>
        </w:rPr>
        <w:t>收取方式：现金、支票形式、提交投标保函（银行保函或担保保函）或提交投标保证保险。</w:t>
      </w:r>
    </w:p>
    <w:p w14:paraId="1B4C398C">
      <w:pPr>
        <w:numPr>
          <w:ilvl w:val="0"/>
          <w:numId w:val="0"/>
        </w:numPr>
        <w:adjustRightInd w:val="0"/>
        <w:snapToGrid w:val="0"/>
        <w:spacing w:line="360" w:lineRule="auto"/>
        <w:ind w:left="0"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①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款项到账后，投标人在完成投标登记后至投标截止时间前，可登陆交易中心网站，在基本户投标保证金栏目内将上述到账资金转到对应的投标项目，完成保证金缴纳。保证金到账情况以开标时广州公共资源交易中心数据库查询的信息为准。</w:t>
      </w:r>
      <w:r>
        <w:rPr>
          <w:rFonts w:hint="eastAsia" w:ascii="宋体" w:hAnsi="宋体"/>
          <w:color w:val="auto"/>
          <w:sz w:val="24"/>
          <w:szCs w:val="24"/>
          <w:highlight w:val="none"/>
          <w:lang w:val="en-US" w:eastAsia="zh-CN"/>
        </w:rPr>
        <w:t xml:space="preserve">  </w:t>
      </w:r>
    </w:p>
    <w:p w14:paraId="431CA0ED">
      <w:pPr>
        <w:numPr>
          <w:ilvl w:val="0"/>
          <w:numId w:val="0"/>
        </w:numPr>
        <w:adjustRightInd w:val="0"/>
        <w:snapToGrid w:val="0"/>
        <w:spacing w:line="360" w:lineRule="auto"/>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收款单位：广州交易集团有限公司</w:t>
      </w:r>
    </w:p>
    <w:p w14:paraId="362C3301">
      <w:pPr>
        <w:numPr>
          <w:ilvl w:val="0"/>
          <w:numId w:val="0"/>
        </w:numPr>
        <w:adjustRightInd w:val="0"/>
        <w:snapToGrid w:val="0"/>
        <w:spacing w:line="360" w:lineRule="auto"/>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开户银行：中国建设银行广州天润路支行</w:t>
      </w:r>
    </w:p>
    <w:p w14:paraId="3A3BD6C6">
      <w:pPr>
        <w:numPr>
          <w:ilvl w:val="0"/>
          <w:numId w:val="0"/>
        </w:numPr>
        <w:adjustRightInd w:val="0"/>
        <w:snapToGrid w:val="0"/>
        <w:spacing w:line="360" w:lineRule="auto"/>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银行账号：44001583404059333333</w:t>
      </w:r>
    </w:p>
    <w:p w14:paraId="5BF3FDDF">
      <w:pPr>
        <w:numPr>
          <w:ilvl w:val="0"/>
          <w:numId w:val="0"/>
        </w:numPr>
        <w:adjustRightInd w:val="0"/>
        <w:snapToGrid w:val="0"/>
        <w:spacing w:line="360" w:lineRule="auto"/>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如采用电子形式的投标保函（银行保函或担保保函）或保证保险提交投标保证金的，开具及递交以广州公共资源交易中心的相关操作指引为准，详见广州公共资源交易中心网站的“广州公共资源交易中心关于进一步完善电子保函服务功能的通知”。开标前不强制要求投标人提交纸质原件，由中标候选人在中标候选人公示前提交并在网上公示，但投标人应在投标文件中提交投标保函或投标保证保险扫描件并加盖投标人印章。银行保函或担保保函需开具给招标人，银行保函或担保保函有效期不少于投标有效期。保证保险需开具给招标人（受益人也必须是招标人），保证保险有效期不少于投标有效期。 </w:t>
      </w:r>
    </w:p>
    <w:p w14:paraId="35A8FDFC">
      <w:pPr>
        <w:numPr>
          <w:ilvl w:val="0"/>
          <w:numId w:val="0"/>
        </w:numPr>
        <w:adjustRightInd w:val="0"/>
        <w:snapToGrid w:val="0"/>
        <w:spacing w:line="360" w:lineRule="auto"/>
        <w:ind w:left="0" w:firstLine="480" w:firstLineChars="200"/>
        <w:rPr>
          <w:rFonts w:ascii="宋体" w:hAnsi="宋体"/>
          <w:color w:val="auto"/>
          <w:sz w:val="24"/>
          <w:szCs w:val="24"/>
          <w:highlight w:val="none"/>
        </w:rPr>
      </w:pPr>
      <w:r>
        <w:rPr>
          <w:rFonts w:hint="eastAsia" w:ascii="宋体" w:hAnsi="宋体"/>
          <w:color w:val="auto"/>
          <w:sz w:val="24"/>
          <w:szCs w:val="24"/>
          <w:highlight w:val="none"/>
        </w:rPr>
        <w:t>③</w:t>
      </w:r>
      <w:r>
        <w:rPr>
          <w:rFonts w:hint="eastAsia" w:ascii="宋体" w:hAnsi="宋体"/>
          <w:b/>
          <w:bCs/>
          <w:color w:val="auto"/>
          <w:sz w:val="24"/>
          <w:szCs w:val="24"/>
          <w:highlight w:val="none"/>
          <w:u w:val="single"/>
        </w:rPr>
        <w:t>如采用非电子形式的投标保函（银行保函或担保保函）或保证保险提交投标保证金的，由</w:t>
      </w:r>
      <w:r>
        <w:rPr>
          <w:rFonts w:hint="eastAsia" w:ascii="宋体" w:hAnsi="宋体"/>
          <w:b/>
          <w:bCs/>
          <w:color w:val="auto"/>
          <w:sz w:val="24"/>
          <w:szCs w:val="24"/>
          <w:highlight w:val="none"/>
          <w:u w:val="single"/>
          <w:lang w:val="en-US" w:eastAsia="zh-CN"/>
        </w:rPr>
        <w:t>广东重工建设监理有限公司</w:t>
      </w:r>
      <w:r>
        <w:rPr>
          <w:rFonts w:hint="eastAsia" w:ascii="宋体" w:hAnsi="宋体"/>
          <w:b/>
          <w:bCs/>
          <w:color w:val="auto"/>
          <w:sz w:val="24"/>
          <w:szCs w:val="24"/>
          <w:highlight w:val="none"/>
          <w:u w:val="single"/>
        </w:rPr>
        <w:t>代收，须在投标截止时间前半小时内单独密封递交至开标室。</w:t>
      </w:r>
      <w:r>
        <w:rPr>
          <w:rFonts w:hint="eastAsia" w:ascii="宋体" w:hAnsi="宋体"/>
          <w:color w:val="auto"/>
          <w:sz w:val="24"/>
          <w:szCs w:val="24"/>
          <w:highlight w:val="none"/>
        </w:rPr>
        <w:t>提交的投标保函（银行保函或担保保函）需为无条件、不可撤销投标保函形式。银行保函或担保保函需开具给招标人，银行保函或担保保函有效期不少于投标有效期。保证保险需开具给招标人（受益人也必须是招标人），保证保险有效期不少于投标有效期。</w:t>
      </w:r>
    </w:p>
    <w:p w14:paraId="0E0E8D70">
      <w:pPr>
        <w:numPr>
          <w:ilvl w:val="2"/>
          <w:numId w:val="0"/>
        </w:numPr>
        <w:adjustRightInd w:val="0"/>
        <w:snapToGrid w:val="0"/>
        <w:spacing w:line="360" w:lineRule="auto"/>
        <w:ind w:left="0" w:firstLine="640"/>
        <w:rPr>
          <w:rFonts w:hint="eastAsia" w:ascii="宋体" w:hAnsi="宋体"/>
          <w:color w:val="auto"/>
          <w:sz w:val="24"/>
          <w:szCs w:val="24"/>
          <w:highlight w:val="none"/>
        </w:rPr>
      </w:pPr>
      <w:r>
        <w:rPr>
          <w:rFonts w:hint="eastAsia" w:ascii="宋体" w:hAnsi="宋体"/>
          <w:color w:val="auto"/>
          <w:sz w:val="24"/>
          <w:szCs w:val="24"/>
          <w:highlight w:val="none"/>
          <w:lang w:val="en-US" w:eastAsia="zh-CN"/>
        </w:rPr>
        <w:t>4.5.4.</w:t>
      </w:r>
      <w:r>
        <w:rPr>
          <w:rFonts w:hint="eastAsia" w:ascii="宋体" w:hAnsi="宋体"/>
          <w:color w:val="auto"/>
          <w:sz w:val="24"/>
          <w:szCs w:val="24"/>
          <w:highlight w:val="none"/>
        </w:rPr>
        <w:t>缴款人名称须与投标人名称一致。</w:t>
      </w:r>
    </w:p>
    <w:p w14:paraId="7782E3B9">
      <w:pPr>
        <w:numPr>
          <w:ilvl w:val="2"/>
          <w:numId w:val="0"/>
        </w:numPr>
        <w:adjustRightInd w:val="0"/>
        <w:snapToGrid w:val="0"/>
        <w:spacing w:line="360" w:lineRule="auto"/>
        <w:ind w:left="0" w:firstLine="640"/>
        <w:rPr>
          <w:rFonts w:ascii="宋体" w:hAnsi="宋体"/>
          <w:color w:val="auto"/>
          <w:sz w:val="24"/>
          <w:szCs w:val="24"/>
          <w:highlight w:val="none"/>
        </w:rPr>
      </w:pPr>
      <w:r>
        <w:rPr>
          <w:rFonts w:hint="eastAsia" w:ascii="宋体" w:hAnsi="宋体"/>
          <w:color w:val="auto"/>
          <w:sz w:val="24"/>
          <w:szCs w:val="24"/>
          <w:highlight w:val="none"/>
          <w:lang w:val="en-US" w:eastAsia="zh-CN"/>
        </w:rPr>
        <w:t>4.5.5.</w:t>
      </w:r>
      <w:r>
        <w:rPr>
          <w:rFonts w:hint="eastAsia" w:ascii="宋体" w:hAnsi="宋体"/>
          <w:color w:val="auto"/>
          <w:sz w:val="24"/>
          <w:szCs w:val="24"/>
          <w:highlight w:val="none"/>
        </w:rPr>
        <w:t>如需开具保证金收据的，须现场签收票据。</w:t>
      </w:r>
    </w:p>
    <w:p w14:paraId="5B3FA8F2">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4.5.</w:t>
      </w:r>
      <w:r>
        <w:rPr>
          <w:rFonts w:hint="eastAsia" w:ascii="宋体" w:hAnsi="宋体" w:cs="Times New Roman"/>
          <w:color w:val="auto"/>
          <w:sz w:val="24"/>
          <w:szCs w:val="24"/>
          <w:highlight w:val="none"/>
          <w:lang w:val="en-US" w:eastAsia="zh-CN" w:bidi="ar-SA"/>
        </w:rPr>
        <w:t>6</w:t>
      </w:r>
      <w:r>
        <w:rPr>
          <w:rFonts w:hint="default" w:ascii="宋体" w:hAnsi="宋体" w:eastAsia="宋体" w:cs="Times New Roman"/>
          <w:color w:val="auto"/>
          <w:sz w:val="24"/>
          <w:szCs w:val="24"/>
          <w:highlight w:val="none"/>
          <w:lang w:val="en-US" w:eastAsia="zh-CN" w:bidi="ar-SA"/>
        </w:rPr>
        <w:t>.</w:t>
      </w:r>
      <w:r>
        <w:rPr>
          <w:rFonts w:hint="eastAsia" w:ascii="宋体" w:hAnsi="宋体"/>
          <w:color w:val="auto"/>
          <w:sz w:val="24"/>
          <w:szCs w:val="24"/>
          <w:highlight w:val="none"/>
        </w:rPr>
        <w:t>投标人未按招标文件要求递交投标保证金的，在评标时作否决投标资格处理。</w:t>
      </w:r>
    </w:p>
    <w:p w14:paraId="67818AB7">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4.5.</w:t>
      </w:r>
      <w:r>
        <w:rPr>
          <w:rFonts w:hint="eastAsia" w:ascii="宋体" w:hAnsi="宋体" w:cs="Times New Roman"/>
          <w:color w:val="auto"/>
          <w:sz w:val="24"/>
          <w:szCs w:val="24"/>
          <w:highlight w:val="none"/>
          <w:lang w:val="en-US" w:eastAsia="zh-CN" w:bidi="ar-SA"/>
        </w:rPr>
        <w:t>7</w:t>
      </w:r>
      <w:r>
        <w:rPr>
          <w:rFonts w:hint="default" w:ascii="宋体" w:hAnsi="宋体" w:eastAsia="宋体" w:cs="Times New Roman"/>
          <w:color w:val="auto"/>
          <w:sz w:val="24"/>
          <w:szCs w:val="24"/>
          <w:highlight w:val="none"/>
          <w:lang w:val="en-US" w:eastAsia="zh-CN" w:bidi="ar-SA"/>
        </w:rPr>
        <w:t>.</w:t>
      </w:r>
      <w:r>
        <w:rPr>
          <w:rFonts w:hint="eastAsia" w:ascii="宋体" w:hAnsi="宋体"/>
          <w:color w:val="auto"/>
          <w:sz w:val="24"/>
          <w:szCs w:val="24"/>
          <w:highlight w:val="none"/>
        </w:rPr>
        <w:t>在中标结果公告发出之日起5个工作日内，广州交易集团有限公司采用银行主动划账方式退还未中标人的投标保证金；在招标人与中标人签订合同后5个工作日内，退还中标人的投标保证金；在投标有效期内不能确定中标人的，在投标有效期满后5个工作日内，退还所有投标人的投标保证金。</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失败的项目，在</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结果公告后5个工作日内，退还所有投标人的投标保证金。投标保证金自动划回到投标人银行账号。投标人采用银行投标保函或投标保证保险提交投标保证金的，按照</w:t>
      </w:r>
      <w:r>
        <w:rPr>
          <w:rFonts w:hint="eastAsia" w:ascii="宋体" w:hAnsi="宋体" w:cs="宋体"/>
          <w:color w:val="auto"/>
          <w:sz w:val="24"/>
          <w:highlight w:val="none"/>
          <w:u w:val="single"/>
          <w:lang w:eastAsia="zh-CN"/>
        </w:rPr>
        <w:t>广东重工建设监理有限公司</w:t>
      </w:r>
      <w:r>
        <w:rPr>
          <w:rFonts w:hint="eastAsia" w:ascii="宋体" w:hAnsi="宋体"/>
          <w:color w:val="auto"/>
          <w:sz w:val="24"/>
          <w:szCs w:val="24"/>
          <w:highlight w:val="none"/>
        </w:rPr>
        <w:t>保证金退回流程退回。</w:t>
      </w:r>
    </w:p>
    <w:p w14:paraId="33795A5A">
      <w:pPr>
        <w:widowControl w:val="0"/>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4.5.</w:t>
      </w:r>
      <w:r>
        <w:rPr>
          <w:rFonts w:hint="eastAsia" w:ascii="宋体" w:hAnsi="宋体" w:cs="Times New Roman"/>
          <w:color w:val="auto"/>
          <w:sz w:val="24"/>
          <w:szCs w:val="24"/>
          <w:highlight w:val="none"/>
          <w:lang w:val="en-US" w:eastAsia="zh-CN" w:bidi="ar-SA"/>
        </w:rPr>
        <w:t>8</w:t>
      </w:r>
      <w:r>
        <w:rPr>
          <w:rFonts w:hint="default" w:ascii="宋体" w:hAnsi="宋体" w:eastAsia="宋体" w:cs="Times New Roman"/>
          <w:color w:val="auto"/>
          <w:sz w:val="24"/>
          <w:szCs w:val="24"/>
          <w:highlight w:val="none"/>
          <w:lang w:val="en-US" w:eastAsia="zh-CN" w:bidi="ar-SA"/>
        </w:rPr>
        <w:t>.</w:t>
      </w:r>
      <w:r>
        <w:rPr>
          <w:rFonts w:hint="eastAsia" w:ascii="宋体" w:hAnsi="宋体"/>
          <w:color w:val="auto"/>
          <w:sz w:val="24"/>
          <w:szCs w:val="24"/>
          <w:highlight w:val="none"/>
        </w:rPr>
        <w:t>下列任何一种情况发生时，投标保证金将不予退回：</w:t>
      </w:r>
    </w:p>
    <w:p w14:paraId="6E298B60">
      <w:pPr>
        <w:pStyle w:val="117"/>
        <w:widowControl w:val="0"/>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rPr>
        <w:t>中标人在收到中标通知书后，无正当理由不与招标人订立合同，在签订合同时向招标人提出附加条件，或者不按照招标文件要求提交履约保证金；</w:t>
      </w:r>
    </w:p>
    <w:p w14:paraId="71CA1877">
      <w:pPr>
        <w:pStyle w:val="117"/>
        <w:widowControl w:val="0"/>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w:t>
      </w:r>
      <w:r>
        <w:rPr>
          <w:rFonts w:hint="eastAsia" w:ascii="宋体" w:hAnsi="宋体" w:cs="宋体"/>
          <w:color w:val="auto"/>
          <w:sz w:val="24"/>
          <w:szCs w:val="24"/>
          <w:highlight w:val="none"/>
        </w:rPr>
        <w:t>投标保证金退还前，投标人递交的投标文件中被证实存在弄虚作假情形（包括但不限于：提交资料不真实、虚假承诺、虚假声明；</w:t>
      </w:r>
    </w:p>
    <w:p w14:paraId="004C85AF">
      <w:pPr>
        <w:pStyle w:val="117"/>
        <w:widowControl w:val="0"/>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(3)</w:t>
      </w:r>
      <w:r>
        <w:rPr>
          <w:rFonts w:hint="eastAsia" w:ascii="宋体" w:hAnsi="宋体" w:cs="宋体"/>
          <w:color w:val="auto"/>
          <w:sz w:val="24"/>
          <w:szCs w:val="24"/>
          <w:highlight w:val="none"/>
        </w:rPr>
        <w:t>投标人有串通投标或行贿等违法行为；</w:t>
      </w:r>
    </w:p>
    <w:p w14:paraId="3AEEACFE">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投标人在招标文件中规定的投标截止日起的投标有效期内撤回其投标的；</w:t>
      </w:r>
    </w:p>
    <w:p w14:paraId="3C652D57">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5</w:t>
      </w:r>
      <w:r>
        <w:rPr>
          <w:rFonts w:hint="default"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rPr>
        <w:t>国家规定的其他情况。</w:t>
      </w:r>
    </w:p>
    <w:p w14:paraId="2D58B51E">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4.6.</w:t>
      </w:r>
      <w:r>
        <w:rPr>
          <w:rFonts w:hint="eastAsia" w:ascii="宋体" w:hAnsi="宋体" w:cs="宋体"/>
          <w:b/>
          <w:bCs/>
          <w:color w:val="auto"/>
          <w:sz w:val="30"/>
          <w:szCs w:val="30"/>
          <w:highlight w:val="none"/>
        </w:rPr>
        <w:t>资格审查资料（适用于未进行资格预审的）</w:t>
      </w:r>
    </w:p>
    <w:p w14:paraId="4F50AD8E">
      <w:pPr>
        <w:adjustRightInd w:val="0"/>
        <w:snapToGrid/>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除另有规定外，投标人应按下列规定提供资格审查资料，以证明其满足招标公告及本章第 1.3 款规定的资质、财务、业绩、信誉等要求。</w:t>
      </w:r>
    </w:p>
    <w:p w14:paraId="600804A2">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4.6.1.</w:t>
      </w:r>
      <w:r>
        <w:rPr>
          <w:rFonts w:hint="eastAsia" w:ascii="宋体" w:hAnsi="宋体"/>
          <w:color w:val="auto"/>
          <w:sz w:val="24"/>
          <w:szCs w:val="24"/>
          <w:highlight w:val="none"/>
        </w:rPr>
        <w:t>“投标人基本情况表”应附投标人及其制造商（适用于代理经销商投标的情形）资格或者资质证书副本和投标材料检验或认证等材料的复印件以及：</w:t>
      </w:r>
    </w:p>
    <w:p w14:paraId="15C62D3E">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rPr>
        <w:t>投标人为企业的，应提交营业执照和组织机构代码证的复印件（按照“三证合一”或“五证合一”登记制度进行登记的，可仅提供营业执照复印件）；</w:t>
      </w:r>
    </w:p>
    <w:p w14:paraId="2A3F899B">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w:t>
      </w:r>
      <w:r>
        <w:rPr>
          <w:rFonts w:hint="eastAsia" w:ascii="宋体" w:hAnsi="宋体" w:cs="宋体"/>
          <w:color w:val="auto"/>
          <w:sz w:val="24"/>
          <w:szCs w:val="24"/>
          <w:highlight w:val="none"/>
        </w:rPr>
        <w:t>投标人为依法允许经营的事业单位的，应提交事业单位法人证书和组织机构代码证的复印件。</w:t>
      </w:r>
    </w:p>
    <w:p w14:paraId="20730A67">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4.6.2.</w:t>
      </w:r>
      <w:r>
        <w:rPr>
          <w:rFonts w:hint="eastAsia" w:ascii="宋体" w:hAnsi="宋体"/>
          <w:color w:val="auto"/>
          <w:sz w:val="24"/>
          <w:szCs w:val="24"/>
          <w:highlight w:val="none"/>
        </w:rPr>
        <w:t xml:space="preserve">“近年完成的类似项目情况表”应附合同协议书、发票等的复印件，具体时间要求见第四章评标办法前附表中资格要求。每张表格只填写一个项目，并标明序号。 </w:t>
      </w:r>
    </w:p>
    <w:p w14:paraId="7B4AD5CE">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4.6.3.</w:t>
      </w:r>
      <w:r>
        <w:rPr>
          <w:rFonts w:hint="eastAsia" w:ascii="宋体" w:hAnsi="宋体"/>
          <w:color w:val="auto"/>
          <w:sz w:val="24"/>
          <w:szCs w:val="24"/>
          <w:highlight w:val="none"/>
        </w:rPr>
        <w:t>如本招标项目接受联合体投标的，本章第4.6.1 项至第 4.6.</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项规定的表格和资料应包括联合体</w:t>
      </w:r>
      <w:r>
        <w:rPr>
          <w:rFonts w:hint="eastAsia" w:ascii="宋体" w:hAnsi="宋体" w:cs="Arial"/>
          <w:color w:val="auto"/>
          <w:kern w:val="2"/>
          <w:sz w:val="24"/>
          <w:szCs w:val="24"/>
          <w:highlight w:val="none"/>
        </w:rPr>
        <w:t>各方</w:t>
      </w:r>
      <w:r>
        <w:rPr>
          <w:rFonts w:hint="eastAsia" w:ascii="宋体" w:hAnsi="宋体"/>
          <w:color w:val="auto"/>
          <w:sz w:val="24"/>
          <w:szCs w:val="24"/>
          <w:highlight w:val="none"/>
        </w:rPr>
        <w:t>相关情况。</w:t>
      </w:r>
    </w:p>
    <w:p w14:paraId="2DCCCE3B">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4.7.</w:t>
      </w:r>
      <w:r>
        <w:rPr>
          <w:rFonts w:hint="eastAsia" w:ascii="宋体" w:hAnsi="宋体" w:cs="宋体"/>
          <w:b/>
          <w:bCs/>
          <w:color w:val="auto"/>
          <w:sz w:val="30"/>
          <w:szCs w:val="30"/>
          <w:highlight w:val="none"/>
        </w:rPr>
        <w:t>备选投标方案</w:t>
      </w:r>
    </w:p>
    <w:p w14:paraId="3D8C2C3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4.7.1.</w:t>
      </w:r>
      <w:r>
        <w:rPr>
          <w:rFonts w:hint="eastAsia" w:ascii="宋体" w:hAnsi="宋体"/>
          <w:color w:val="auto"/>
          <w:sz w:val="24"/>
          <w:szCs w:val="24"/>
          <w:highlight w:val="none"/>
        </w:rPr>
        <w:t>除另有规定允许外，投标人不得递交备选投标方案，否则其投标将被否决。</w:t>
      </w:r>
    </w:p>
    <w:p w14:paraId="5C195375">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4.7.2.</w:t>
      </w:r>
      <w:r>
        <w:rPr>
          <w:rFonts w:hint="eastAsia" w:ascii="宋体" w:hAnsi="宋体"/>
          <w:color w:val="auto"/>
          <w:sz w:val="24"/>
          <w:szCs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37667C90">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4.7.3.</w:t>
      </w:r>
      <w:r>
        <w:rPr>
          <w:rFonts w:hint="eastAsia" w:ascii="宋体" w:hAnsi="宋体"/>
          <w:color w:val="auto"/>
          <w:sz w:val="24"/>
          <w:szCs w:val="24"/>
          <w:highlight w:val="none"/>
        </w:rPr>
        <w:t>投标人提供两个或两个以上投标报价，或者在投标文件中提供一个报价，但同时提供两个或两个以上供货方案的，视为提供备选方案。</w:t>
      </w:r>
    </w:p>
    <w:p w14:paraId="28F5FDBD">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bookmarkStart w:id="76" w:name="_Toc98579059"/>
      <w:bookmarkStart w:id="77" w:name="_Toc42394506"/>
      <w:bookmarkStart w:id="78" w:name="_Toc101771365"/>
      <w:bookmarkStart w:id="79" w:name="_Toc98579600"/>
      <w:bookmarkStart w:id="80" w:name="_Toc50276147"/>
      <w:bookmarkStart w:id="81" w:name="_Toc41884695"/>
      <w:bookmarkStart w:id="82" w:name="_Toc41723925"/>
      <w:bookmarkStart w:id="83" w:name="_Toc101843118"/>
      <w:bookmarkStart w:id="84" w:name="_Toc42394663"/>
      <w:bookmarkStart w:id="85" w:name="_Toc42313161"/>
      <w:bookmarkStart w:id="86" w:name="_Toc101775118"/>
      <w:bookmarkStart w:id="87" w:name="_Toc134956127"/>
      <w:bookmarkStart w:id="88" w:name="_Toc101951251"/>
      <w:bookmarkStart w:id="89" w:name="_Toc98580283"/>
      <w:bookmarkStart w:id="90" w:name="_Toc98579001"/>
      <w:r>
        <w:rPr>
          <w:rFonts w:hint="default" w:ascii="宋体" w:hAnsi="宋体" w:eastAsia="宋体" w:cs="宋体"/>
          <w:b/>
          <w:bCs/>
          <w:color w:val="auto"/>
          <w:kern w:val="2"/>
          <w:sz w:val="30"/>
          <w:szCs w:val="30"/>
          <w:highlight w:val="none"/>
          <w:lang w:val="en-US" w:eastAsia="zh-CN" w:bidi="ar-SA"/>
        </w:rPr>
        <w:t>4.8.</w:t>
      </w:r>
      <w:r>
        <w:rPr>
          <w:rFonts w:hint="eastAsia" w:ascii="宋体" w:hAnsi="宋体" w:cs="宋体"/>
          <w:b/>
          <w:bCs/>
          <w:color w:val="auto"/>
          <w:sz w:val="30"/>
          <w:szCs w:val="30"/>
          <w:highlight w:val="none"/>
        </w:rPr>
        <w:t>投标文件的</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宋体" w:hAnsi="宋体" w:cs="宋体"/>
          <w:b/>
          <w:bCs/>
          <w:color w:val="auto"/>
          <w:sz w:val="30"/>
          <w:szCs w:val="30"/>
          <w:highlight w:val="none"/>
        </w:rPr>
        <w:t>制作</w:t>
      </w:r>
    </w:p>
    <w:p w14:paraId="310AA2FB">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4.8.1.</w:t>
      </w:r>
      <w:r>
        <w:rPr>
          <w:rFonts w:hint="eastAsia" w:ascii="宋体" w:hAnsi="宋体"/>
          <w:color w:val="auto"/>
          <w:sz w:val="24"/>
          <w:szCs w:val="24"/>
          <w:highlight w:val="none"/>
        </w:rPr>
        <w:t>投标人应使用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网提供的投标文件管理软件格式进行编写，如有必要，可以增加附页，作为投标文件的组成部分。</w:t>
      </w:r>
    </w:p>
    <w:p w14:paraId="2EBC891A">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4.8.2.</w:t>
      </w:r>
      <w:r>
        <w:rPr>
          <w:rFonts w:hint="eastAsia" w:ascii="宋体" w:hAnsi="宋体"/>
          <w:color w:val="auto"/>
          <w:sz w:val="24"/>
          <w:szCs w:val="24"/>
          <w:highlight w:val="none"/>
        </w:rPr>
        <w:t>投标人应使用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网提供的投标文件管理软件对投标文件进行合成、电子签名、电子签章及加密打包。如因不按要求编制而所引起系统无法检索、读取相关信息时，其后果由投标人承担。</w:t>
      </w:r>
    </w:p>
    <w:p w14:paraId="506A8FE1">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4.8.3.</w:t>
      </w:r>
      <w:r>
        <w:rPr>
          <w:rFonts w:hint="eastAsia" w:ascii="宋体" w:hAnsi="宋体"/>
          <w:color w:val="auto"/>
          <w:sz w:val="24"/>
          <w:szCs w:val="24"/>
          <w:highlight w:val="none"/>
        </w:rPr>
        <w:t>投标文件应当对招标文件有关交货期、投标有效期、供货要求、招标范围等实质性内容作出响应。投标文件在满足招标文件实质性要求的基础上，可以提出比招标文件要求更有利于招标人的承诺。</w:t>
      </w:r>
    </w:p>
    <w:p w14:paraId="5B44C85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4.8.4.</w:t>
      </w:r>
      <w:r>
        <w:rPr>
          <w:rFonts w:hint="eastAsia" w:ascii="宋体" w:hAnsi="宋体"/>
          <w:color w:val="auto"/>
          <w:sz w:val="24"/>
          <w:szCs w:val="24"/>
          <w:highlight w:val="none"/>
        </w:rPr>
        <w:t>投标人不得将项目内容拆开投标，否则其报价将被视为非实质性响应。</w:t>
      </w:r>
    </w:p>
    <w:p w14:paraId="18146529">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4.8.5.</w:t>
      </w:r>
      <w:r>
        <w:rPr>
          <w:rFonts w:hint="eastAsia" w:ascii="宋体" w:hAnsi="宋体"/>
          <w:color w:val="auto"/>
          <w:sz w:val="24"/>
          <w:szCs w:val="24"/>
          <w:highlight w:val="none"/>
        </w:rPr>
        <w:t>投标人应按招标文件的规定及附件要求的内容和格式完整地填写和提供资料。投标人必须对投标文件所提供的全部资料的真实性承担法律责任，并无条件接受招标人对其中任何资料进行核实（核对原件）的要求。招标人核对发现有不一致或投标人无正当理由不按时提供原件的，按中标无效处理。</w:t>
      </w:r>
    </w:p>
    <w:p w14:paraId="352ED021">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4.8.6.</w:t>
      </w:r>
      <w:r>
        <w:rPr>
          <w:rFonts w:hint="eastAsia" w:ascii="宋体" w:hAnsi="宋体"/>
          <w:color w:val="auto"/>
          <w:sz w:val="24"/>
          <w:szCs w:val="24"/>
          <w:highlight w:val="none"/>
        </w:rPr>
        <w:t>招标文件中，所有合同条款为实质性响应条款，投标人若有一项合同条款未响应或不满足，将按无效投标处理。</w:t>
      </w:r>
    </w:p>
    <w:p w14:paraId="63AF2A6D">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4.8.7.</w:t>
      </w:r>
      <w:r>
        <w:rPr>
          <w:rFonts w:hint="eastAsia" w:ascii="宋体" w:hAnsi="宋体"/>
          <w:color w:val="auto"/>
          <w:sz w:val="24"/>
          <w:szCs w:val="24"/>
          <w:highlight w:val="none"/>
        </w:rPr>
        <w:t>投标人须对招标文件的对应要求给予唯一的实质性响应，否则将视为不响应。</w:t>
      </w:r>
    </w:p>
    <w:p w14:paraId="56420233">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4.8.8.</w:t>
      </w:r>
      <w:r>
        <w:rPr>
          <w:rFonts w:hint="eastAsia" w:ascii="宋体" w:hAnsi="宋体"/>
          <w:color w:val="auto"/>
          <w:sz w:val="24"/>
          <w:szCs w:val="24"/>
          <w:highlight w:val="none"/>
        </w:rPr>
        <w:t>除在招标文件另有规定外，计量单位应使用中华人民共和国法定计量单位，以人民币填报所有报价。</w:t>
      </w:r>
    </w:p>
    <w:p w14:paraId="2FE16EAB">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4.8.9.</w:t>
      </w:r>
      <w:r>
        <w:rPr>
          <w:rFonts w:hint="eastAsia" w:ascii="宋体" w:hAnsi="宋体"/>
          <w:color w:val="auto"/>
          <w:sz w:val="24"/>
          <w:szCs w:val="24"/>
          <w:highlight w:val="none"/>
        </w:rPr>
        <w:t>投标人必须按招标文件指定的格式填写各种报价，各报价应计算正确。</w:t>
      </w:r>
    </w:p>
    <w:p w14:paraId="6EC0E36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4.8.10.</w:t>
      </w:r>
      <w:r>
        <w:rPr>
          <w:rFonts w:hint="eastAsia" w:ascii="宋体" w:hAnsi="宋体"/>
          <w:color w:val="auto"/>
          <w:sz w:val="24"/>
          <w:szCs w:val="24"/>
          <w:highlight w:val="none"/>
        </w:rPr>
        <w:t>投标文件以及投标人与招标人就有关投标的往来函电均应使用中文。投标人提交的支持性文件和印制的文件可以用另一种语言，但相应内容应翻译成中文，在解释投标文件时以中文文本为准。</w:t>
      </w:r>
    </w:p>
    <w:p w14:paraId="45AFE516">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4.8.11.</w:t>
      </w:r>
      <w:r>
        <w:rPr>
          <w:rFonts w:hint="eastAsia" w:ascii="宋体" w:hAnsi="宋体"/>
          <w:color w:val="auto"/>
          <w:sz w:val="24"/>
          <w:szCs w:val="24"/>
          <w:highlight w:val="none"/>
        </w:rPr>
        <w:t>投标文件如有编页码，页码必须连续。</w:t>
      </w:r>
    </w:p>
    <w:p w14:paraId="799A4F46">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4.8.12.</w:t>
      </w:r>
      <w:r>
        <w:rPr>
          <w:rFonts w:hint="eastAsia" w:ascii="宋体" w:hAnsi="宋体"/>
          <w:color w:val="auto"/>
          <w:sz w:val="24"/>
          <w:szCs w:val="24"/>
          <w:highlight w:val="none"/>
        </w:rPr>
        <w:t>对完整的电子投标文件首页及投标文件格式目录要求盖章处进行电子签章，视为具有有效、完整电子签章的投标文件，具有同等的法律效力。</w:t>
      </w:r>
    </w:p>
    <w:p w14:paraId="14CA5700">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5.</w:t>
      </w:r>
      <w:r>
        <w:rPr>
          <w:rFonts w:hint="eastAsia" w:ascii="宋体" w:hAnsi="宋体" w:cs="宋体"/>
          <w:b/>
          <w:bCs/>
          <w:color w:val="auto"/>
          <w:sz w:val="30"/>
          <w:szCs w:val="30"/>
          <w:highlight w:val="none"/>
        </w:rPr>
        <w:t>投标</w:t>
      </w:r>
    </w:p>
    <w:p w14:paraId="27F06759">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bookmarkStart w:id="91" w:name="_Toc101843121"/>
      <w:bookmarkStart w:id="92" w:name="_Toc101771368"/>
      <w:bookmarkStart w:id="93" w:name="_Toc134956130"/>
      <w:bookmarkStart w:id="94" w:name="_Toc101775121"/>
      <w:bookmarkStart w:id="95" w:name="_Toc101951254"/>
      <w:r>
        <w:rPr>
          <w:rFonts w:hint="default" w:ascii="宋体" w:hAnsi="宋体" w:eastAsia="宋体" w:cs="宋体"/>
          <w:b/>
          <w:bCs/>
          <w:color w:val="auto"/>
          <w:kern w:val="2"/>
          <w:sz w:val="30"/>
          <w:szCs w:val="30"/>
          <w:highlight w:val="none"/>
          <w:lang w:val="en-US" w:eastAsia="zh-CN" w:bidi="ar-SA"/>
        </w:rPr>
        <w:t>5.1.</w:t>
      </w:r>
      <w:r>
        <w:rPr>
          <w:rFonts w:hint="eastAsia" w:ascii="宋体" w:hAnsi="宋体" w:cs="宋体"/>
          <w:b/>
          <w:bCs/>
          <w:color w:val="auto"/>
          <w:sz w:val="30"/>
          <w:szCs w:val="30"/>
          <w:highlight w:val="none"/>
        </w:rPr>
        <w:t>投标文件的递交</w:t>
      </w:r>
    </w:p>
    <w:p w14:paraId="6F568713">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5.1.1.</w:t>
      </w:r>
      <w:r>
        <w:rPr>
          <w:rFonts w:hint="eastAsia" w:ascii="宋体" w:hAnsi="宋体"/>
          <w:color w:val="auto"/>
          <w:sz w:val="24"/>
          <w:szCs w:val="24"/>
          <w:highlight w:val="none"/>
        </w:rPr>
        <w:t>投标人应在招标公告规定的提交投标文件截止时间前，将投标文件完整上传并保存在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系统中。投标截止时间结束后，系统将不允许投标人上传投标文件。</w:t>
      </w:r>
    </w:p>
    <w:p w14:paraId="0620C38E">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5.1.2.</w:t>
      </w:r>
      <w:r>
        <w:rPr>
          <w:rFonts w:hint="eastAsia" w:ascii="宋体" w:hAnsi="宋体"/>
          <w:color w:val="auto"/>
          <w:sz w:val="24"/>
          <w:szCs w:val="24"/>
          <w:highlight w:val="none"/>
        </w:rPr>
        <w:t>投标人完成电子投标文件上传后，电子招标投标交易平台即时向投标人发出递交回执通知。递交时间以递交回执通知载明的传输完成时间为准。</w:t>
      </w:r>
    </w:p>
    <w:p w14:paraId="703E2722">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5.1.3.</w:t>
      </w:r>
      <w:r>
        <w:rPr>
          <w:rFonts w:hint="eastAsia" w:ascii="宋体" w:hAnsi="宋体"/>
          <w:color w:val="auto"/>
          <w:sz w:val="24"/>
          <w:szCs w:val="24"/>
          <w:highlight w:val="none"/>
        </w:rPr>
        <w:t>本项目不接受现场纸质、邮寄纸质、电报、电话、传真方式投标。</w:t>
      </w:r>
    </w:p>
    <w:p w14:paraId="2AA234B1">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5.1.4.</w:t>
      </w:r>
      <w:r>
        <w:rPr>
          <w:rFonts w:hint="eastAsia" w:hAnsi="宋体"/>
          <w:bCs/>
          <w:color w:val="auto"/>
          <w:sz w:val="24"/>
          <w:highlight w:val="none"/>
        </w:rPr>
        <w:t>广州交易集团有限公司（广州公共资源交易中心）</w:t>
      </w:r>
      <w:r>
        <w:rPr>
          <w:rFonts w:hint="eastAsia" w:ascii="宋体" w:hAnsi="宋体"/>
          <w:color w:val="auto"/>
          <w:sz w:val="24"/>
          <w:szCs w:val="24"/>
          <w:highlight w:val="none"/>
        </w:rPr>
        <w:t>对因不可抗力事件造成的投标文件的损坏、丢失的，不承担责任。</w:t>
      </w:r>
    </w:p>
    <w:p w14:paraId="598BDC61">
      <w:pPr>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5.1.5.</w:t>
      </w:r>
      <w:r>
        <w:rPr>
          <w:rFonts w:hint="eastAsia" w:ascii="宋体" w:hAnsi="宋体"/>
          <w:color w:val="auto"/>
          <w:sz w:val="24"/>
          <w:szCs w:val="24"/>
          <w:highlight w:val="none"/>
        </w:rPr>
        <w:t>出现下述情形之一，属于未成功提交投标文件：</w:t>
      </w:r>
    </w:p>
    <w:p w14:paraId="23DE248A">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rPr>
        <w:t>至提交投标文件截止时，投标文件未完整上传并保存的。</w:t>
      </w:r>
    </w:p>
    <w:p w14:paraId="683CEFDA">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w:t>
      </w:r>
      <w:r>
        <w:rPr>
          <w:rFonts w:hint="eastAsia" w:ascii="宋体" w:hAnsi="宋体" w:cs="宋体"/>
          <w:color w:val="auto"/>
          <w:sz w:val="24"/>
          <w:szCs w:val="24"/>
          <w:highlight w:val="none"/>
        </w:rPr>
        <w:t>投标文件未按要求进行电子签名和电子签章，或电子签名或电子签章不完整的。</w:t>
      </w:r>
    </w:p>
    <w:p w14:paraId="6D8903BF">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(3)</w:t>
      </w:r>
      <w:r>
        <w:rPr>
          <w:rFonts w:hint="eastAsia" w:ascii="宋体" w:hAnsi="宋体" w:cs="宋体"/>
          <w:color w:val="auto"/>
          <w:sz w:val="24"/>
          <w:szCs w:val="24"/>
          <w:highlight w:val="none"/>
        </w:rPr>
        <w:t>投标文件损坏或格式不正确的。</w:t>
      </w:r>
    </w:p>
    <w:p w14:paraId="6F13F457">
      <w:pPr>
        <w:pStyle w:val="117"/>
        <w:numPr>
          <w:ilvl w:val="0"/>
          <w:numId w:val="0"/>
        </w:numPr>
        <w:spacing w:line="360" w:lineRule="auto"/>
        <w:ind w:left="0" w:firstLine="840"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(4)</w:t>
      </w:r>
      <w:r>
        <w:rPr>
          <w:rFonts w:hint="eastAsia" w:ascii="宋体" w:hAnsi="宋体" w:cs="宋体"/>
          <w:color w:val="auto"/>
          <w:sz w:val="24"/>
          <w:szCs w:val="24"/>
          <w:highlight w:val="none"/>
        </w:rPr>
        <w:t>未使用最新发布的招标文件制作投标文件的。</w:t>
      </w:r>
    </w:p>
    <w:p w14:paraId="256C7EC0">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5.2.</w:t>
      </w:r>
      <w:r>
        <w:rPr>
          <w:rFonts w:hint="eastAsia" w:ascii="宋体" w:hAnsi="宋体" w:cs="宋体"/>
          <w:b/>
          <w:bCs/>
          <w:color w:val="auto"/>
          <w:sz w:val="30"/>
          <w:szCs w:val="30"/>
          <w:highlight w:val="none"/>
        </w:rPr>
        <w:t>投标文件的修改与撤回</w:t>
      </w:r>
      <w:bookmarkEnd w:id="91"/>
      <w:bookmarkEnd w:id="92"/>
      <w:bookmarkEnd w:id="93"/>
      <w:bookmarkEnd w:id="94"/>
      <w:bookmarkEnd w:id="95"/>
    </w:p>
    <w:p w14:paraId="5BE6D170">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5.2.1.</w:t>
      </w:r>
      <w:r>
        <w:rPr>
          <w:rFonts w:hint="eastAsia" w:ascii="宋体" w:hAnsi="宋体"/>
          <w:color w:val="auto"/>
          <w:sz w:val="24"/>
          <w:szCs w:val="24"/>
          <w:highlight w:val="none"/>
        </w:rPr>
        <w:t>在提交投标文件截止时间前，投标人可以修改或撤回未解密的投标文件，投标文件一经解密，将不允许修改或撤回。</w:t>
      </w:r>
    </w:p>
    <w:p w14:paraId="6D22B6BB">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5.2.2.</w:t>
      </w:r>
      <w:r>
        <w:rPr>
          <w:rFonts w:hint="eastAsia" w:ascii="宋体" w:hAnsi="宋体"/>
          <w:color w:val="auto"/>
          <w:sz w:val="24"/>
          <w:szCs w:val="24"/>
          <w:highlight w:val="none"/>
        </w:rPr>
        <w:t>在提交投标文件截止时间后，投标人不得补充、修改和更换投标文件。</w:t>
      </w:r>
    </w:p>
    <w:p w14:paraId="1CC4A894">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5.3.</w:t>
      </w:r>
      <w:r>
        <w:rPr>
          <w:rFonts w:hint="eastAsia" w:ascii="宋体" w:hAnsi="宋体" w:cs="宋体"/>
          <w:b/>
          <w:bCs/>
          <w:color w:val="auto"/>
          <w:sz w:val="30"/>
          <w:szCs w:val="30"/>
          <w:highlight w:val="none"/>
        </w:rPr>
        <w:t>投标文件的解密</w:t>
      </w:r>
    </w:p>
    <w:p w14:paraId="05308D99">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5.3.1.</w:t>
      </w:r>
      <w:r>
        <w:rPr>
          <w:rFonts w:hint="eastAsia" w:ascii="宋体" w:hAnsi="宋体"/>
          <w:color w:val="auto"/>
          <w:sz w:val="24"/>
          <w:szCs w:val="24"/>
          <w:highlight w:val="none"/>
        </w:rPr>
        <w:t>投标文件解密时间详见招标公告</w:t>
      </w:r>
      <w:r>
        <w:rPr>
          <w:rFonts w:hint="eastAsia" w:ascii="宋体" w:hAnsi="宋体"/>
          <w:color w:val="auto"/>
          <w:sz w:val="24"/>
          <w:szCs w:val="24"/>
          <w:highlight w:val="none"/>
          <w:lang w:eastAsia="zh-CN"/>
        </w:rPr>
        <w:t>。</w:t>
      </w:r>
      <w:r>
        <w:rPr>
          <w:rFonts w:hint="eastAsia" w:ascii="宋体" w:hAnsi="宋体"/>
          <w:color w:val="auto"/>
          <w:sz w:val="24"/>
          <w:szCs w:val="24"/>
          <w:highlight w:val="none"/>
        </w:rPr>
        <w:t>逾时解密的投标文件将被确认为无效投标。开标完成后投标人可登录</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网查看开标情况。</w:t>
      </w:r>
    </w:p>
    <w:p w14:paraId="61DE871D">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5.3.2.</w:t>
      </w:r>
      <w:r>
        <w:rPr>
          <w:rFonts w:hint="eastAsia" w:ascii="宋体" w:hAnsi="宋体"/>
          <w:color w:val="auto"/>
          <w:sz w:val="24"/>
          <w:szCs w:val="24"/>
          <w:highlight w:val="none"/>
        </w:rPr>
        <w:t>投标人须在规定的投标解密时间内，使用制作该投标文件的同一业务数字证书对投标文件进行解密，逾期未解密的投标文件作无效投标处理。</w:t>
      </w:r>
    </w:p>
    <w:p w14:paraId="241937B4">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5.4.</w:t>
      </w:r>
      <w:r>
        <w:rPr>
          <w:rFonts w:hint="eastAsia" w:ascii="宋体" w:hAnsi="宋体" w:cs="宋体"/>
          <w:b/>
          <w:bCs/>
          <w:color w:val="auto"/>
          <w:sz w:val="30"/>
          <w:szCs w:val="30"/>
          <w:highlight w:val="none"/>
        </w:rPr>
        <w:t>投标无效的情形</w:t>
      </w:r>
    </w:p>
    <w:p w14:paraId="35E620D2">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5.4.1.</w:t>
      </w:r>
      <w:r>
        <w:rPr>
          <w:rFonts w:hint="eastAsia" w:ascii="宋体" w:hAnsi="宋体"/>
          <w:color w:val="auto"/>
          <w:sz w:val="24"/>
          <w:szCs w:val="24"/>
          <w:highlight w:val="none"/>
        </w:rPr>
        <w:t>投标人不满足“投标人资格要求”所列的条件。</w:t>
      </w:r>
    </w:p>
    <w:p w14:paraId="59646AB5">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5.4.2.</w:t>
      </w:r>
      <w:r>
        <w:rPr>
          <w:rFonts w:hint="eastAsia" w:ascii="宋体" w:hAnsi="宋体"/>
          <w:color w:val="auto"/>
          <w:sz w:val="24"/>
          <w:szCs w:val="24"/>
          <w:highlight w:val="none"/>
        </w:rPr>
        <w:t>投标文件(或投标报价)未按招标文件规定的要求提供。</w:t>
      </w:r>
    </w:p>
    <w:p w14:paraId="1A10D3A7">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5.4.3.</w:t>
      </w:r>
      <w:r>
        <w:rPr>
          <w:rFonts w:hint="eastAsia" w:ascii="宋体" w:hAnsi="宋体"/>
          <w:color w:val="auto"/>
          <w:sz w:val="24"/>
          <w:szCs w:val="24"/>
          <w:highlight w:val="none"/>
        </w:rPr>
        <w:t>投标文件(或投标报价)未按招标文件规定加盖公章。</w:t>
      </w:r>
    </w:p>
    <w:p w14:paraId="60209B2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5.4.4.</w:t>
      </w:r>
      <w:r>
        <w:rPr>
          <w:rFonts w:hint="eastAsia" w:ascii="宋体" w:hAnsi="宋体"/>
          <w:color w:val="auto"/>
          <w:sz w:val="24"/>
          <w:szCs w:val="24"/>
          <w:highlight w:val="none"/>
        </w:rPr>
        <w:t>投标文件(或投标报价)未按招标文件规定签署及盖章。</w:t>
      </w:r>
    </w:p>
    <w:p w14:paraId="37368C0B">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5.4.5.</w:t>
      </w:r>
      <w:r>
        <w:rPr>
          <w:rFonts w:hint="eastAsia" w:ascii="宋体" w:hAnsi="宋体"/>
          <w:color w:val="auto"/>
          <w:sz w:val="24"/>
          <w:szCs w:val="24"/>
          <w:highlight w:val="none"/>
        </w:rPr>
        <w:t>投标文件(或投标报价)的内容或所投标的与招标文件有严重背离。</w:t>
      </w:r>
    </w:p>
    <w:p w14:paraId="3DF23DA9">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5.4.6.</w:t>
      </w:r>
      <w:r>
        <w:rPr>
          <w:rFonts w:hint="eastAsia" w:ascii="宋体" w:hAnsi="宋体"/>
          <w:color w:val="auto"/>
          <w:sz w:val="24"/>
          <w:szCs w:val="24"/>
          <w:highlight w:val="none"/>
        </w:rPr>
        <w:t>投标报价严重偏离行业合理价格，经评标委员会审议为恶性报价，或者投标价格高于招标文件设定的最高限价的（如有）。</w:t>
      </w:r>
    </w:p>
    <w:p w14:paraId="7DE82E7C">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5.4.7.</w:t>
      </w:r>
      <w:r>
        <w:rPr>
          <w:rFonts w:hint="eastAsia" w:ascii="宋体" w:hAnsi="宋体"/>
          <w:color w:val="auto"/>
          <w:sz w:val="24"/>
          <w:szCs w:val="24"/>
          <w:highlight w:val="none"/>
        </w:rPr>
        <w:t>对合同范本提出差异性条款的。</w:t>
      </w:r>
    </w:p>
    <w:p w14:paraId="11BA2E52">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5.4.8.</w:t>
      </w:r>
      <w:r>
        <w:rPr>
          <w:rFonts w:hint="eastAsia" w:ascii="宋体" w:hAnsi="宋体"/>
          <w:color w:val="auto"/>
          <w:sz w:val="24"/>
          <w:szCs w:val="24"/>
          <w:highlight w:val="none"/>
        </w:rPr>
        <w:t>投标有效期不满足招标文件要求的。</w:t>
      </w:r>
    </w:p>
    <w:p w14:paraId="28754616">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5.4.9.</w:t>
      </w:r>
      <w:r>
        <w:rPr>
          <w:rFonts w:hint="eastAsia" w:ascii="宋体" w:hAnsi="宋体"/>
          <w:color w:val="auto"/>
          <w:sz w:val="24"/>
          <w:szCs w:val="24"/>
          <w:highlight w:val="none"/>
        </w:rPr>
        <w:t>未按招标文件要求提供授权证明文件的。</w:t>
      </w:r>
    </w:p>
    <w:p w14:paraId="66585574">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5.4.10.</w:t>
      </w:r>
      <w:r>
        <w:rPr>
          <w:rFonts w:hint="eastAsia" w:ascii="宋体" w:hAnsi="宋体"/>
          <w:color w:val="auto"/>
          <w:sz w:val="24"/>
          <w:szCs w:val="24"/>
          <w:highlight w:val="none"/>
        </w:rPr>
        <w:t>国家法律法规和招标文件规定的其他无效情形。</w:t>
      </w:r>
    </w:p>
    <w:p w14:paraId="71E5C415">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5.4.11.</w:t>
      </w:r>
      <w:r>
        <w:rPr>
          <w:rFonts w:hint="eastAsia" w:ascii="宋体" w:hAnsi="宋体"/>
          <w:color w:val="auto"/>
          <w:sz w:val="24"/>
          <w:szCs w:val="24"/>
          <w:highlight w:val="none"/>
        </w:rPr>
        <w:t>本招标项目第四章评标办法否决性条款中规定的其他内容。</w:t>
      </w:r>
    </w:p>
    <w:p w14:paraId="67384D9C">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96" w:name="_Toc52371652"/>
      <w:bookmarkStart w:id="97" w:name="_Toc19241"/>
      <w:r>
        <w:rPr>
          <w:rFonts w:hint="default" w:ascii="宋体" w:hAnsi="宋体" w:eastAsia="宋体" w:cs="宋体"/>
          <w:b/>
          <w:bCs/>
          <w:color w:val="auto"/>
          <w:kern w:val="2"/>
          <w:sz w:val="30"/>
          <w:szCs w:val="30"/>
          <w:highlight w:val="none"/>
          <w:lang w:val="en-US" w:eastAsia="zh-CN" w:bidi="ar-SA"/>
        </w:rPr>
        <w:t>6.</w:t>
      </w:r>
      <w:r>
        <w:rPr>
          <w:rFonts w:hint="eastAsia" w:ascii="宋体" w:hAnsi="宋体" w:cs="宋体"/>
          <w:b/>
          <w:bCs/>
          <w:color w:val="auto"/>
          <w:sz w:val="30"/>
          <w:szCs w:val="30"/>
          <w:highlight w:val="none"/>
        </w:rPr>
        <w:t>开标</w:t>
      </w:r>
      <w:bookmarkEnd w:id="96"/>
      <w:bookmarkEnd w:id="97"/>
    </w:p>
    <w:p w14:paraId="7E093D6A">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6.1.</w:t>
      </w:r>
      <w:r>
        <w:rPr>
          <w:rFonts w:hint="eastAsia" w:ascii="宋体" w:hAnsi="宋体" w:cs="宋体"/>
          <w:b/>
          <w:bCs/>
          <w:color w:val="auto"/>
          <w:sz w:val="30"/>
          <w:szCs w:val="30"/>
          <w:highlight w:val="none"/>
        </w:rPr>
        <w:t>开标时间和地点</w:t>
      </w:r>
    </w:p>
    <w:p w14:paraId="4C16359C">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6.1.1.</w:t>
      </w:r>
      <w:r>
        <w:rPr>
          <w:rFonts w:hint="eastAsia" w:ascii="宋体" w:hAnsi="宋体"/>
          <w:color w:val="auto"/>
          <w:sz w:val="24"/>
          <w:szCs w:val="24"/>
          <w:highlight w:val="none"/>
        </w:rPr>
        <w:t>开标时间：见招标公告。</w:t>
      </w:r>
    </w:p>
    <w:p w14:paraId="71F50CAC">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6.1.2.</w:t>
      </w:r>
      <w:r>
        <w:rPr>
          <w:rFonts w:hint="eastAsia" w:ascii="宋体" w:hAnsi="宋体"/>
          <w:color w:val="auto"/>
          <w:sz w:val="24"/>
          <w:szCs w:val="24"/>
          <w:highlight w:val="none"/>
        </w:rPr>
        <w:t>开标地点：见招标公告。</w:t>
      </w:r>
    </w:p>
    <w:p w14:paraId="11CED8EE">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6.1.3.</w:t>
      </w:r>
      <w:r>
        <w:rPr>
          <w:rFonts w:hint="eastAsia" w:ascii="宋体" w:hAnsi="宋体"/>
          <w:color w:val="auto"/>
          <w:sz w:val="24"/>
          <w:szCs w:val="24"/>
          <w:highlight w:val="none"/>
        </w:rPr>
        <w:t>招标人在规定的投标截止时间（开标时间）通过电子招标投标交易平台公开开标，所有投标人的法定代表人（单位负责人）或其委托代理人可参与本次开标会。</w:t>
      </w:r>
    </w:p>
    <w:p w14:paraId="32D9D21C">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6.2.</w:t>
      </w:r>
      <w:r>
        <w:rPr>
          <w:rFonts w:hint="eastAsia" w:ascii="宋体" w:hAnsi="宋体" w:cs="宋体"/>
          <w:b/>
          <w:bCs/>
          <w:color w:val="auto"/>
          <w:sz w:val="30"/>
          <w:szCs w:val="30"/>
          <w:highlight w:val="none"/>
        </w:rPr>
        <w:t>开标程序</w:t>
      </w:r>
    </w:p>
    <w:p w14:paraId="1A982EC6">
      <w:pPr>
        <w:pStyle w:val="117"/>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6.2.1.开标</w:t>
      </w:r>
    </w:p>
    <w:p w14:paraId="7F91BD51">
      <w:pPr>
        <w:pStyle w:val="117"/>
        <w:keepNext w:val="0"/>
        <w:keepLines w:val="0"/>
        <w:pageBreakBefore w:val="0"/>
        <w:widowControl/>
        <w:kinsoku/>
        <w:wordWrap/>
        <w:overflowPunct/>
        <w:topLinePunct w:val="0"/>
        <w:autoSpaceDE/>
        <w:autoSpaceDN/>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次招标采用一次开标形式。招标代理机构按招标公告规定的时间进行线上开标，评标委员会专家成员不参与开标过程。开标时，开启唱标文件，由招标代理机构工作人员唱出《开标一览表》中的投标报价。具体流程如下：</w:t>
      </w:r>
    </w:p>
    <w:p w14:paraId="0DB0FA9B">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rPr>
        <w:t>投标人由相关授权人员上传投标文件并在招标公告规定的时间内进行解密。</w:t>
      </w:r>
    </w:p>
    <w:p w14:paraId="0D63C50B">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w:t>
      </w:r>
      <w:r>
        <w:rPr>
          <w:rFonts w:hint="eastAsia" w:ascii="宋体" w:hAnsi="宋体" w:cs="宋体"/>
          <w:color w:val="auto"/>
          <w:sz w:val="24"/>
          <w:szCs w:val="24"/>
          <w:highlight w:val="none"/>
        </w:rPr>
        <w:t>由招标代理机构工作人员检查投标人对投标文件的解密情况。经确认无误后，招标代理机构工作人员将各投标文件按顺序进行解密，逾时提交或撤回的投标文件将不予以解密。</w:t>
      </w:r>
    </w:p>
    <w:p w14:paraId="2E5FEE55">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(3)</w:t>
      </w:r>
      <w:r>
        <w:rPr>
          <w:rFonts w:hint="eastAsia" w:ascii="宋体" w:hAnsi="宋体" w:cs="宋体"/>
          <w:color w:val="auto"/>
          <w:sz w:val="24"/>
          <w:szCs w:val="24"/>
          <w:highlight w:val="none"/>
        </w:rPr>
        <w:t>解密完成后，由招标代理机构工作人员宣读投标人名称和《开标一览表》内容。未宣读的投标价格、价格折扣和招标文件允许提供的备选投标方案等实质内容，评标时不予承认。</w:t>
      </w:r>
    </w:p>
    <w:p w14:paraId="242D327C">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(4)</w:t>
      </w:r>
      <w:r>
        <w:rPr>
          <w:rFonts w:hint="eastAsia" w:ascii="宋体" w:hAnsi="宋体" w:cs="宋体"/>
          <w:color w:val="auto"/>
          <w:sz w:val="24"/>
          <w:szCs w:val="24"/>
          <w:highlight w:val="none"/>
        </w:rPr>
        <w:t>招标代理机构将记录开标的有关内容，存档备查。</w:t>
      </w:r>
    </w:p>
    <w:p w14:paraId="3B7F1B85">
      <w:pPr>
        <w:pStyle w:val="117"/>
        <w:keepNext w:val="0"/>
        <w:keepLines w:val="0"/>
        <w:pageBreakBefore w:val="0"/>
        <w:widowControl/>
        <w:numPr>
          <w:ilvl w:val="0"/>
          <w:numId w:val="0"/>
        </w:numPr>
        <w:kinsoku/>
        <w:wordWrap/>
        <w:overflowPunct/>
        <w:topLinePunct w:val="0"/>
        <w:autoSpaceDE/>
        <w:autoSpaceDN/>
        <w:bidi w:val="0"/>
        <w:spacing w:line="360" w:lineRule="auto"/>
        <w:ind w:left="0" w:firstLine="480" w:firstLineChars="200"/>
        <w:textAlignment w:val="auto"/>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(5)</w:t>
      </w:r>
      <w:r>
        <w:rPr>
          <w:rFonts w:hint="eastAsia" w:ascii="宋体" w:hAnsi="宋体" w:cs="宋体"/>
          <w:color w:val="auto"/>
          <w:sz w:val="24"/>
          <w:szCs w:val="24"/>
          <w:highlight w:val="none"/>
        </w:rPr>
        <w:t>开标结束。</w:t>
      </w:r>
    </w:p>
    <w:p w14:paraId="6471BF1B">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具体以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lang w:val="en-US" w:eastAsia="zh-CN"/>
        </w:rPr>
        <w:t>平台现场电子</w:t>
      </w:r>
      <w:r>
        <w:rPr>
          <w:rFonts w:hint="eastAsia" w:ascii="宋体" w:hAnsi="宋体"/>
          <w:color w:val="auto"/>
          <w:sz w:val="24"/>
          <w:szCs w:val="24"/>
          <w:highlight w:val="none"/>
        </w:rPr>
        <w:t>开标流程为准。</w:t>
      </w:r>
    </w:p>
    <w:p w14:paraId="4BA111A3">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6.2.2.开标时，投标文件出现下列情形之一的，招标人或招标代理机构应拒收或否决其投标，不允许其参与后续评标：</w:t>
      </w:r>
    </w:p>
    <w:p w14:paraId="67C5EEFB">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1、电子投标文件未在投标截止时间前成功上传并保存在广州交易集团有限公司（广州公共资源交易中心）电子评标系统且取得回执的；</w:t>
      </w:r>
    </w:p>
    <w:p w14:paraId="3AF9D277">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2、因投标人原因造成电子投标文件未解密或逾期解密的；</w:t>
      </w:r>
    </w:p>
    <w:p w14:paraId="42BFAFBD">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3、电子投标文件未按招标文件要求进行加密的。</w:t>
      </w:r>
    </w:p>
    <w:p w14:paraId="03979428">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6.3.</w:t>
      </w:r>
      <w:r>
        <w:rPr>
          <w:rFonts w:hint="eastAsia" w:ascii="宋体" w:hAnsi="宋体" w:cs="宋体"/>
          <w:b/>
          <w:bCs/>
          <w:color w:val="auto"/>
          <w:sz w:val="30"/>
          <w:szCs w:val="30"/>
          <w:highlight w:val="none"/>
        </w:rPr>
        <w:t>开标异议</w:t>
      </w:r>
    </w:p>
    <w:p w14:paraId="43EA179D">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6.3.1.</w:t>
      </w:r>
      <w:r>
        <w:rPr>
          <w:rFonts w:hint="eastAsia" w:ascii="宋体" w:hAnsi="宋体"/>
          <w:color w:val="auto"/>
          <w:sz w:val="24"/>
          <w:szCs w:val="24"/>
          <w:highlight w:val="none"/>
          <w:lang w:eastAsia="zh-CN"/>
        </w:rPr>
        <w:t>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1CFEC83">
      <w:pPr>
        <w:numPr>
          <w:ilvl w:val="2"/>
          <w:numId w:val="0"/>
        </w:numPr>
        <w:adjustRightInd w:val="0"/>
        <w:snapToGrid w:val="0"/>
        <w:spacing w:line="360" w:lineRule="auto"/>
        <w:ind w:left="0" w:firstLine="641"/>
        <w:rPr>
          <w:rFonts w:hint="eastAsia"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6.3.2.</w:t>
      </w:r>
      <w:r>
        <w:rPr>
          <w:rFonts w:hint="eastAsia" w:ascii="宋体" w:hAnsi="宋体"/>
          <w:color w:val="auto"/>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p>
    <w:p w14:paraId="3D055FD0">
      <w:pPr>
        <w:numPr>
          <w:ilvl w:val="2"/>
          <w:numId w:val="0"/>
        </w:numPr>
        <w:adjustRightInd w:val="0"/>
        <w:snapToGrid w:val="0"/>
        <w:spacing w:line="360" w:lineRule="auto"/>
        <w:ind w:left="0" w:firstLine="64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6.3.3.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39308750">
      <w:pPr>
        <w:numPr>
          <w:ilvl w:val="2"/>
          <w:numId w:val="0"/>
        </w:numPr>
        <w:adjustRightInd w:val="0"/>
        <w:snapToGrid w:val="0"/>
        <w:spacing w:line="360" w:lineRule="auto"/>
        <w:ind w:left="0" w:firstLine="64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6.3.4.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125FB9A0">
      <w:pPr>
        <w:numPr>
          <w:ilvl w:val="2"/>
          <w:numId w:val="0"/>
        </w:numPr>
        <w:adjustRightInd w:val="0"/>
        <w:snapToGrid w:val="0"/>
        <w:spacing w:line="360" w:lineRule="auto"/>
        <w:ind w:left="0" w:firstLine="64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6.3.5.投标人未参加开标或在规定的时间内未提出异议的，视为对开标无异议。</w:t>
      </w:r>
    </w:p>
    <w:p w14:paraId="6CE44080">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98" w:name="_Toc15782"/>
      <w:bookmarkStart w:id="99" w:name="_Toc52371653"/>
      <w:r>
        <w:rPr>
          <w:rFonts w:hint="default" w:ascii="宋体" w:hAnsi="宋体" w:eastAsia="宋体" w:cs="宋体"/>
          <w:b/>
          <w:bCs/>
          <w:color w:val="auto"/>
          <w:kern w:val="2"/>
          <w:sz w:val="30"/>
          <w:szCs w:val="30"/>
          <w:highlight w:val="none"/>
          <w:lang w:val="en-US" w:eastAsia="zh-CN" w:bidi="ar-SA"/>
        </w:rPr>
        <w:t>7.</w:t>
      </w:r>
      <w:r>
        <w:rPr>
          <w:rFonts w:hint="eastAsia" w:ascii="宋体" w:hAnsi="宋体" w:cs="宋体"/>
          <w:b/>
          <w:bCs/>
          <w:color w:val="auto"/>
          <w:sz w:val="30"/>
          <w:szCs w:val="30"/>
          <w:highlight w:val="none"/>
        </w:rPr>
        <w:t>评标</w:t>
      </w:r>
      <w:bookmarkEnd w:id="98"/>
      <w:bookmarkEnd w:id="99"/>
    </w:p>
    <w:p w14:paraId="23D947F0">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7.1.</w:t>
      </w:r>
      <w:r>
        <w:rPr>
          <w:rFonts w:hint="eastAsia" w:ascii="宋体" w:hAnsi="宋体" w:cs="宋体"/>
          <w:b/>
          <w:bCs/>
          <w:color w:val="auto"/>
          <w:sz w:val="30"/>
          <w:szCs w:val="30"/>
          <w:highlight w:val="none"/>
        </w:rPr>
        <w:t>评标委员会</w:t>
      </w:r>
    </w:p>
    <w:p w14:paraId="704D9BEB">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7.1.1.</w:t>
      </w:r>
      <w:r>
        <w:rPr>
          <w:rFonts w:hint="eastAsia" w:ascii="宋体" w:hAnsi="宋体"/>
          <w:color w:val="auto"/>
          <w:sz w:val="24"/>
          <w:szCs w:val="24"/>
          <w:highlight w:val="none"/>
        </w:rPr>
        <w:t>本招标项目由招标人依法组建评标委员会。</w:t>
      </w:r>
    </w:p>
    <w:p w14:paraId="1BAA3215">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7.1.2.</w:t>
      </w:r>
      <w:r>
        <w:rPr>
          <w:rFonts w:hint="eastAsia" w:ascii="宋体" w:hAnsi="宋体"/>
          <w:color w:val="auto"/>
          <w:sz w:val="24"/>
          <w:szCs w:val="24"/>
          <w:highlight w:val="none"/>
        </w:rPr>
        <w:t>评标委员会构成：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人，其中招标人代表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人，专家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w:t>
      </w:r>
    </w:p>
    <w:p w14:paraId="224CEA4B">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7.1.3.</w:t>
      </w:r>
      <w:r>
        <w:rPr>
          <w:rFonts w:hint="eastAsia" w:ascii="宋体" w:hAnsi="宋体"/>
          <w:color w:val="auto"/>
          <w:sz w:val="24"/>
          <w:szCs w:val="24"/>
          <w:highlight w:val="none"/>
        </w:rPr>
        <w:t>评标专家确定方式：从广东省综合评标评审专家库中随机抽取产生。评标委员会由招标人的代表和从广东省综合评标评审专家库随机抽取的专家组成，如招标人不派代表参加评审，则评标委员会全部由从广东省综合评标评审专家库随机抽取的专家组成。评委会将本着公平、公正、科学、择优的原则，严格按照法律法规和招标文件设定的程序和规则推荐评审结果，任何单位和个人不得非法干预或者影响评标过程和结果。</w:t>
      </w:r>
    </w:p>
    <w:p w14:paraId="7675399B">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7.1.4.</w:t>
      </w:r>
      <w:r>
        <w:rPr>
          <w:rFonts w:hint="eastAsia" w:ascii="宋体" w:hAnsi="宋体"/>
          <w:color w:val="auto"/>
          <w:sz w:val="24"/>
          <w:szCs w:val="24"/>
          <w:highlight w:val="none"/>
        </w:rPr>
        <w:t>评标委员会成员有下列情形之一的，应当回避：</w:t>
      </w:r>
    </w:p>
    <w:p w14:paraId="38682003">
      <w:pPr>
        <w:pStyle w:val="117"/>
        <w:numPr>
          <w:ilvl w:val="0"/>
          <w:numId w:val="0"/>
        </w:numPr>
        <w:snapToGrid w:val="0"/>
        <w:spacing w:line="360" w:lineRule="auto"/>
        <w:ind w:left="0" w:firstLine="480" w:firstLineChars="200"/>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（1）招标人或投标人的主要负责人的近亲属；</w:t>
      </w:r>
    </w:p>
    <w:p w14:paraId="65687EEE">
      <w:pPr>
        <w:pStyle w:val="117"/>
        <w:numPr>
          <w:ilvl w:val="0"/>
          <w:numId w:val="0"/>
        </w:numPr>
        <w:snapToGrid w:val="0"/>
        <w:spacing w:line="360" w:lineRule="auto"/>
        <w:ind w:left="0" w:firstLine="480" w:firstLineChars="200"/>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（2）项目主管部门或者行政监督部门的人员；</w:t>
      </w:r>
    </w:p>
    <w:p w14:paraId="34045802">
      <w:pPr>
        <w:pStyle w:val="117"/>
        <w:numPr>
          <w:ilvl w:val="0"/>
          <w:numId w:val="0"/>
        </w:numPr>
        <w:snapToGrid w:val="0"/>
        <w:spacing w:line="360" w:lineRule="auto"/>
        <w:ind w:left="0" w:firstLine="480" w:firstLineChars="200"/>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（3）与投标人有经济利益关系，可能影响对投标公正评审的；</w:t>
      </w:r>
    </w:p>
    <w:p w14:paraId="4B2EC80D">
      <w:pPr>
        <w:pStyle w:val="117"/>
        <w:numPr>
          <w:ilvl w:val="0"/>
          <w:numId w:val="0"/>
        </w:numPr>
        <w:snapToGrid w:val="0"/>
        <w:spacing w:line="360" w:lineRule="auto"/>
        <w:ind w:left="0" w:firstLine="480" w:firstLineChars="200"/>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（4）曾因在招标、评标以及其他与招标投标有关活动中从事违法行为而受过行政处罚或刑事处罚的。</w:t>
      </w:r>
    </w:p>
    <w:p w14:paraId="164AF7EB">
      <w:pPr>
        <w:pStyle w:val="117"/>
        <w:numPr>
          <w:ilvl w:val="0"/>
          <w:numId w:val="0"/>
        </w:numPr>
        <w:snapToGrid w:val="0"/>
        <w:spacing w:line="360" w:lineRule="auto"/>
        <w:ind w:left="0" w:firstLine="480" w:firstLineChars="20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（5）与投标人有其他利害关系。</w:t>
      </w:r>
    </w:p>
    <w:p w14:paraId="43E47F51">
      <w:pPr>
        <w:pStyle w:val="117"/>
        <w:numPr>
          <w:ilvl w:val="0"/>
          <w:numId w:val="0"/>
        </w:numPr>
        <w:snapToGrid w:val="0"/>
        <w:spacing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bidi="ar-SA"/>
        </w:rPr>
        <w:t>（6）</w:t>
      </w:r>
      <w:r>
        <w:rPr>
          <w:rFonts w:hint="eastAsia" w:ascii="宋体" w:hAnsi="宋体" w:cs="宋体"/>
          <w:color w:val="auto"/>
          <w:sz w:val="24"/>
          <w:szCs w:val="24"/>
          <w:highlight w:val="none"/>
        </w:rPr>
        <w:t>法律、法规、规章规定应当回避以及其他可能影响公正评审的。</w:t>
      </w:r>
    </w:p>
    <w:p w14:paraId="346D7F91">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7.1.5.</w:t>
      </w:r>
      <w:r>
        <w:rPr>
          <w:rFonts w:hint="eastAsia" w:ascii="宋体" w:hAnsi="宋体"/>
          <w:color w:val="auto"/>
          <w:sz w:val="24"/>
          <w:szCs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2D163781">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7.2.</w:t>
      </w:r>
      <w:r>
        <w:rPr>
          <w:rFonts w:hint="eastAsia" w:ascii="宋体" w:hAnsi="宋体" w:cs="宋体"/>
          <w:b/>
          <w:bCs/>
          <w:color w:val="auto"/>
          <w:sz w:val="30"/>
          <w:szCs w:val="30"/>
          <w:highlight w:val="none"/>
        </w:rPr>
        <w:t>评标原则</w:t>
      </w:r>
    </w:p>
    <w:p w14:paraId="7A9285EE">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依据《中华人民共和国招标投标法》以及国家和地方政府有关招标投标法规的有关规定，遵循“公开、公平、公正、择优、信用”的原则进行评标。</w:t>
      </w:r>
    </w:p>
    <w:p w14:paraId="6FEBB191">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7.3.</w:t>
      </w:r>
      <w:r>
        <w:rPr>
          <w:rFonts w:hint="eastAsia" w:ascii="宋体" w:hAnsi="宋体" w:cs="宋体"/>
          <w:b/>
          <w:bCs/>
          <w:color w:val="auto"/>
          <w:sz w:val="30"/>
          <w:szCs w:val="30"/>
          <w:highlight w:val="none"/>
        </w:rPr>
        <w:t>评标方法</w:t>
      </w:r>
    </w:p>
    <w:p w14:paraId="20CE19AE">
      <w:pPr>
        <w:widowControl w:val="0"/>
        <w:numPr>
          <w:ilvl w:val="2"/>
          <w:numId w:val="0"/>
        </w:numPr>
        <w:adjustRightInd w:val="0"/>
        <w:snapToGrid w:val="0"/>
        <w:spacing w:line="360" w:lineRule="auto"/>
        <w:ind w:left="0" w:firstLine="64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7.3.1.</w:t>
      </w:r>
      <w:r>
        <w:rPr>
          <w:rFonts w:hint="eastAsia" w:ascii="宋体" w:hAnsi="宋体" w:cs="宋体"/>
          <w:color w:val="auto"/>
          <w:sz w:val="24"/>
          <w:szCs w:val="24"/>
          <w:highlight w:val="none"/>
        </w:rPr>
        <w:t>本次评标采用经评审</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最低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价法。</w:t>
      </w:r>
    </w:p>
    <w:p w14:paraId="7D4DBA02">
      <w:pPr>
        <w:widowControl w:val="0"/>
        <w:numPr>
          <w:ilvl w:val="2"/>
          <w:numId w:val="0"/>
        </w:numPr>
        <w:adjustRightInd w:val="0"/>
        <w:snapToGrid w:val="0"/>
        <w:spacing w:line="360" w:lineRule="auto"/>
        <w:ind w:left="0" w:firstLine="64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7.3.2.</w:t>
      </w:r>
      <w:r>
        <w:rPr>
          <w:rFonts w:hint="eastAsia" w:ascii="宋体" w:hAnsi="宋体" w:cs="宋体"/>
          <w:color w:val="auto"/>
          <w:sz w:val="24"/>
          <w:szCs w:val="24"/>
          <w:highlight w:val="none"/>
        </w:rPr>
        <w:t>中标人的投标应当能满足招标文件的实质性要求，并且经评审的投标价格最低，但是投标价格低于成本的除外。</w:t>
      </w:r>
    </w:p>
    <w:p w14:paraId="5AFC5EDB">
      <w:pPr>
        <w:widowControl w:val="0"/>
        <w:numPr>
          <w:ilvl w:val="2"/>
          <w:numId w:val="0"/>
        </w:numPr>
        <w:adjustRightInd w:val="0"/>
        <w:snapToGrid w:val="0"/>
        <w:spacing w:line="360" w:lineRule="auto"/>
        <w:ind w:left="0" w:firstLine="64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7.3.3.</w:t>
      </w:r>
      <w:r>
        <w:rPr>
          <w:rFonts w:hint="eastAsia" w:ascii="宋体" w:hAnsi="宋体" w:cs="宋体"/>
          <w:color w:val="auto"/>
          <w:sz w:val="24"/>
          <w:szCs w:val="24"/>
          <w:highlight w:val="none"/>
        </w:rPr>
        <w:t>本项目评审程序如下：</w:t>
      </w:r>
    </w:p>
    <w:p w14:paraId="084CF9A4">
      <w:pPr>
        <w:adjustRightInd w:val="0"/>
        <w:snapToGrid w:val="0"/>
        <w:spacing w:line="360" w:lineRule="auto"/>
        <w:ind w:firstLine="638" w:firstLineChars="266"/>
        <w:rPr>
          <w:rFonts w:hint="eastAsia" w:ascii="宋体" w:hAnsi="宋体"/>
          <w:color w:val="auto"/>
          <w:sz w:val="24"/>
          <w:szCs w:val="24"/>
          <w:highlight w:val="none"/>
        </w:rPr>
      </w:pPr>
      <w:r>
        <w:rPr>
          <w:rFonts w:hint="eastAsia" w:ascii="宋体" w:hAnsi="宋体"/>
          <w:color w:val="auto"/>
          <w:sz w:val="24"/>
          <w:szCs w:val="24"/>
          <w:highlight w:val="none"/>
        </w:rPr>
        <w:t>评标委员会对满足招标文件实质性要求的投标文件，按照第四章的评标办法规定的价格调整方法对投标价格进行调整，并按调整后的投标价格（即经评审的最终投标价格）从低到高的顺序推荐中标候选人，但投标报价低于其成本的除外。即推荐经评审的最终投标价格由低到高排序第一的投标人为第一中标候选人，推荐经评审的最终投标价格由低到高排序第二的投标人为第二中标候选人，推荐经评审的最终投标价格由低到高排序第三的投标人为第三中标候选人。经评审的最终投标价格相同的，实际投标报价低的排先；经评审的最终投标价格和实际投标报价均相同的，则由评标委员会根据评审情况自行确定推荐中标候选人顺序，并将推荐理由写入评标报告中。</w:t>
      </w:r>
    </w:p>
    <w:p w14:paraId="0A24CC32">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7.4.</w:t>
      </w:r>
      <w:r>
        <w:rPr>
          <w:rFonts w:hint="eastAsia" w:ascii="宋体" w:hAnsi="宋体" w:cs="宋体"/>
          <w:b/>
          <w:bCs/>
          <w:color w:val="auto"/>
          <w:sz w:val="30"/>
          <w:szCs w:val="30"/>
          <w:highlight w:val="none"/>
        </w:rPr>
        <w:t>评标</w:t>
      </w:r>
    </w:p>
    <w:p w14:paraId="2EF13149">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7.4.1.</w:t>
      </w:r>
      <w:r>
        <w:rPr>
          <w:rFonts w:hint="eastAsia" w:ascii="宋体" w:hAnsi="宋体"/>
          <w:color w:val="auto"/>
          <w:sz w:val="24"/>
          <w:szCs w:val="24"/>
          <w:highlight w:val="none"/>
        </w:rPr>
        <w:t>评标委员会按照第四章“评标办法前附表”规定的方法、评审因素、标准和程序对投标文件进行评审。第四章“评标办法前附表”没有规定的方法、评审因素和标准，不作为评标依据。</w:t>
      </w:r>
    </w:p>
    <w:p w14:paraId="35008EB3">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7.4.2.</w:t>
      </w:r>
      <w:r>
        <w:rPr>
          <w:rFonts w:hint="eastAsia" w:ascii="宋体" w:hAnsi="宋体"/>
          <w:color w:val="auto"/>
          <w:sz w:val="24"/>
          <w:szCs w:val="24"/>
          <w:highlight w:val="none"/>
        </w:rPr>
        <w:t>评标完成后，评标委员会应当向招标人提交书面评标报告和中标候选人名单，应推荐3名中标候选人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当中标候选人不足3名时，</w:t>
      </w:r>
      <w:r>
        <w:rPr>
          <w:rFonts w:hint="eastAsia" w:ascii="宋体" w:hAnsi="宋体" w:eastAsia="宋体" w:cs="Times New Roman"/>
          <w:color w:val="auto"/>
          <w:sz w:val="24"/>
          <w:szCs w:val="24"/>
          <w:highlight w:val="none"/>
        </w:rPr>
        <w:t>则</w:t>
      </w:r>
      <w:r>
        <w:rPr>
          <w:rFonts w:hint="eastAsia" w:ascii="宋体" w:hAnsi="宋体" w:eastAsia="宋体" w:cs="Times New Roman"/>
          <w:color w:val="auto"/>
          <w:sz w:val="24"/>
          <w:szCs w:val="24"/>
          <w:highlight w:val="none"/>
          <w:lang w:val="en-US" w:eastAsia="zh-CN"/>
        </w:rPr>
        <w:t>该项目</w:t>
      </w:r>
      <w:r>
        <w:rPr>
          <w:rFonts w:hint="eastAsia" w:ascii="宋体" w:hAnsi="宋体" w:eastAsia="宋体" w:cs="Times New Roman"/>
          <w:color w:val="auto"/>
          <w:sz w:val="24"/>
          <w:szCs w:val="24"/>
          <w:highlight w:val="none"/>
        </w:rPr>
        <w:t>招标失败</w:t>
      </w:r>
      <w:r>
        <w:rPr>
          <w:rFonts w:hint="eastAsia" w:ascii="宋体" w:hAnsi="宋体"/>
          <w:color w:val="auto"/>
          <w:sz w:val="24"/>
          <w:szCs w:val="24"/>
          <w:highlight w:val="none"/>
        </w:rPr>
        <w:t>。</w:t>
      </w:r>
    </w:p>
    <w:p w14:paraId="2AC4AF46">
      <w:pPr>
        <w:numPr>
          <w:ilvl w:val="2"/>
          <w:numId w:val="0"/>
        </w:numPr>
        <w:adjustRightInd w:val="0"/>
        <w:snapToGrid w:val="0"/>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7.4.3.</w:t>
      </w:r>
      <w:r>
        <w:rPr>
          <w:rFonts w:hint="eastAsia" w:ascii="宋体" w:hAnsi="宋体"/>
          <w:color w:val="auto"/>
          <w:sz w:val="24"/>
          <w:szCs w:val="24"/>
          <w:highlight w:val="none"/>
        </w:rPr>
        <w:t>评标过程应急预案</w:t>
      </w:r>
    </w:p>
    <w:p w14:paraId="3FABE5A7">
      <w:pPr>
        <w:pStyle w:val="117"/>
        <w:numPr>
          <w:ilvl w:val="0"/>
          <w:numId w:val="0"/>
        </w:numPr>
        <w:spacing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bidi="ar-SA"/>
        </w:rPr>
        <w:t>（1）</w:t>
      </w:r>
      <w:r>
        <w:rPr>
          <w:rFonts w:hint="eastAsia" w:ascii="宋体" w:hAnsi="宋体" w:cs="宋体"/>
          <w:color w:val="auto"/>
          <w:sz w:val="24"/>
          <w:szCs w:val="24"/>
          <w:highlight w:val="none"/>
        </w:rPr>
        <w:t>在评标过程中，当采用电子评标系统评标发生评审故障时，若平台当天可解除评审故障，则继续采用电子评标系统评标；若平台当天无法解除评审故障，则评标委员会依据电子投标文件对未完成的评标活动采用手动评审，提交包含已完成电子评审成果在内的纸质评标报告。评审故障以</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平台的认定为准。当</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平台的系统维护人员在评标室告知评标委员会当天无法解除评审故障后，评标委员会即可对未完成的评标活动启动手动评审。</w:t>
      </w:r>
    </w:p>
    <w:p w14:paraId="173B845D">
      <w:pPr>
        <w:pStyle w:val="117"/>
        <w:numPr>
          <w:ilvl w:val="0"/>
          <w:numId w:val="0"/>
        </w:numPr>
        <w:spacing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bidi="ar-SA"/>
        </w:rPr>
        <w:t>（2）</w:t>
      </w:r>
      <w:r>
        <w:rPr>
          <w:rFonts w:hint="eastAsia" w:ascii="宋体" w:hAnsi="宋体" w:cs="宋体"/>
          <w:color w:val="auto"/>
          <w:sz w:val="24"/>
          <w:szCs w:val="24"/>
          <w:highlight w:val="none"/>
        </w:rPr>
        <w:t>在电子评标过程中，无论遇到任何系统异常或故障，评标委员会均应出具评标报告。</w:t>
      </w:r>
    </w:p>
    <w:p w14:paraId="3809A977">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100" w:name="_Toc4162"/>
      <w:bookmarkStart w:id="101" w:name="_Toc52371654"/>
      <w:r>
        <w:rPr>
          <w:rFonts w:hint="default" w:ascii="宋体" w:hAnsi="宋体" w:eastAsia="宋体" w:cs="宋体"/>
          <w:b/>
          <w:bCs/>
          <w:color w:val="auto"/>
          <w:kern w:val="2"/>
          <w:sz w:val="30"/>
          <w:szCs w:val="30"/>
          <w:highlight w:val="none"/>
          <w:lang w:val="en-US" w:eastAsia="zh-CN" w:bidi="ar-SA"/>
        </w:rPr>
        <w:t>8.</w:t>
      </w:r>
      <w:r>
        <w:rPr>
          <w:rFonts w:hint="eastAsia" w:ascii="宋体" w:hAnsi="宋体" w:cs="宋体"/>
          <w:b/>
          <w:bCs/>
          <w:color w:val="auto"/>
          <w:sz w:val="30"/>
          <w:szCs w:val="30"/>
          <w:highlight w:val="none"/>
        </w:rPr>
        <w:t>合同授予</w:t>
      </w:r>
      <w:bookmarkEnd w:id="100"/>
      <w:bookmarkEnd w:id="101"/>
    </w:p>
    <w:p w14:paraId="349E3BA3">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8.1.</w:t>
      </w:r>
      <w:r>
        <w:rPr>
          <w:rFonts w:hint="eastAsia" w:ascii="宋体" w:hAnsi="宋体" w:cs="宋体"/>
          <w:b/>
          <w:bCs/>
          <w:color w:val="auto"/>
          <w:sz w:val="30"/>
          <w:szCs w:val="30"/>
          <w:highlight w:val="none"/>
        </w:rPr>
        <w:t>中标候选人公示</w:t>
      </w:r>
    </w:p>
    <w:p w14:paraId="3393AA3C">
      <w:pPr>
        <w:widowControl w:val="0"/>
        <w:adjustRightInd w:val="0"/>
        <w:snapToGrid/>
        <w:spacing w:line="360" w:lineRule="auto"/>
        <w:ind w:firstLine="638" w:firstLineChars="266"/>
        <w:outlineLvl w:val="9"/>
        <w:rPr>
          <w:rFonts w:ascii="宋体" w:hAnsi="宋体"/>
          <w:color w:val="auto"/>
          <w:sz w:val="24"/>
          <w:szCs w:val="24"/>
          <w:highlight w:val="none"/>
        </w:rPr>
      </w:pPr>
      <w:r>
        <w:rPr>
          <w:rFonts w:hint="eastAsia" w:ascii="宋体" w:hAnsi="宋体"/>
          <w:color w:val="auto"/>
          <w:sz w:val="24"/>
          <w:szCs w:val="24"/>
          <w:highlight w:val="none"/>
        </w:rPr>
        <w:t>招标人在收到评标报告之日起3日内，在以下公示媒介公示中标候选人，公示期不得少于 3 天：</w:t>
      </w:r>
    </w:p>
    <w:p w14:paraId="07AAAE0B">
      <w:pPr>
        <w:pStyle w:val="215"/>
        <w:numPr>
          <w:ilvl w:val="0"/>
          <w:numId w:val="0"/>
        </w:numPr>
        <w:spacing w:line="360" w:lineRule="auto"/>
        <w:ind w:left="0" w:leftChars="0" w:firstLine="840" w:firstLineChars="0"/>
        <w:rPr>
          <w:rFonts w:ascii="宋体" w:hAnsi="宋体" w:cs="宋体"/>
          <w:color w:val="auto"/>
          <w:sz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w:t>
      </w:r>
      <w:r>
        <w:rPr>
          <w:rFonts w:ascii="宋体" w:hAnsi="宋体" w:cs="宋体"/>
          <w:color w:val="auto"/>
          <w:sz w:val="24"/>
          <w:highlight w:val="none"/>
        </w:rPr>
        <w:t>http://www.gzggzy.cn/</w:t>
      </w:r>
      <w:r>
        <w:rPr>
          <w:rFonts w:hint="eastAsia" w:ascii="宋体" w:hAnsi="宋体" w:cs="宋体"/>
          <w:color w:val="auto"/>
          <w:sz w:val="24"/>
          <w:highlight w:val="none"/>
        </w:rPr>
        <w:t>）</w:t>
      </w:r>
    </w:p>
    <w:p w14:paraId="2EE8FB90">
      <w:pPr>
        <w:pStyle w:val="215"/>
        <w:numPr>
          <w:ilvl w:val="0"/>
          <w:numId w:val="0"/>
        </w:numPr>
        <w:spacing w:line="360" w:lineRule="auto"/>
        <w:ind w:left="0" w:leftChars="0" w:firstLine="840" w:firstLineChars="0"/>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cs="宋体"/>
          <w:color w:val="auto"/>
          <w:sz w:val="24"/>
          <w:highlight w:val="none"/>
        </w:rPr>
        <w:t>中国招标投标公共服务平台（http://www.cebpubservice.com/）</w:t>
      </w:r>
    </w:p>
    <w:p w14:paraId="11CF4072">
      <w:pPr>
        <w:pStyle w:val="215"/>
        <w:numPr>
          <w:ilvl w:val="0"/>
          <w:numId w:val="0"/>
        </w:numPr>
        <w:spacing w:before="0" w:beforeLines="0" w:after="0" w:afterLines="0" w:line="360" w:lineRule="auto"/>
        <w:ind w:left="0" w:firstLine="840"/>
        <w:rPr>
          <w:rFonts w:hint="default" w:ascii="宋体" w:hAnsi="宋体" w:eastAsia="宋体" w:cs="宋体"/>
          <w:b/>
          <w:bCs/>
          <w:color w:val="auto"/>
          <w:kern w:val="2"/>
          <w:sz w:val="30"/>
          <w:szCs w:val="30"/>
          <w:highlight w:val="none"/>
          <w:lang w:val="en-US" w:eastAsia="zh-CN" w:bidi="ar-SA"/>
        </w:rPr>
      </w:pPr>
      <w:r>
        <w:rPr>
          <w:rFonts w:hint="eastAsia" w:ascii="宋体" w:hAnsi="宋体" w:cs="宋体"/>
          <w:color w:val="auto"/>
          <w:kern w:val="2"/>
          <w:sz w:val="24"/>
          <w:szCs w:val="24"/>
          <w:highlight w:val="none"/>
          <w:lang w:val="en-US" w:eastAsia="zh-CN" w:bidi="ar-SA"/>
        </w:rPr>
        <w:t>（3）</w:t>
      </w:r>
      <w:r>
        <w:rPr>
          <w:rFonts w:ascii="宋体" w:hAnsi="宋体"/>
          <w:color w:val="auto"/>
          <w:sz w:val="24"/>
          <w:highlight w:val="none"/>
        </w:rPr>
        <w:t>广东省招标投标监管网（</w:t>
      </w:r>
      <w:r>
        <w:rPr>
          <w:rFonts w:hint="eastAsia" w:ascii="宋体" w:hAnsi="宋体"/>
          <w:color w:val="auto"/>
          <w:sz w:val="24"/>
          <w:highlight w:val="none"/>
        </w:rPr>
        <w:t>http://zbtb.gd.gov.cn/</w:t>
      </w:r>
      <w:r>
        <w:rPr>
          <w:rFonts w:ascii="宋体" w:hAnsi="宋体"/>
          <w:color w:val="auto"/>
          <w:sz w:val="24"/>
          <w:highlight w:val="none"/>
        </w:rPr>
        <w:t>）</w:t>
      </w:r>
    </w:p>
    <w:p w14:paraId="4BDB49BB">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8.2.</w:t>
      </w:r>
      <w:r>
        <w:rPr>
          <w:rFonts w:hint="eastAsia" w:ascii="宋体" w:hAnsi="宋体" w:cs="宋体"/>
          <w:b/>
          <w:bCs/>
          <w:color w:val="auto"/>
          <w:sz w:val="30"/>
          <w:szCs w:val="30"/>
          <w:highlight w:val="none"/>
        </w:rPr>
        <w:t>评标结果异议</w:t>
      </w:r>
    </w:p>
    <w:p w14:paraId="1F5F5D87">
      <w:pPr>
        <w:widowControl w:val="0"/>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8.2.1.</w:t>
      </w:r>
      <w:r>
        <w:rPr>
          <w:rFonts w:hint="eastAsia" w:ascii="宋体" w:hAnsi="宋体"/>
          <w:color w:val="auto"/>
          <w:sz w:val="24"/>
          <w:szCs w:val="24"/>
          <w:highlight w:val="none"/>
        </w:rPr>
        <w:t>关于异议、投诉的</w:t>
      </w:r>
      <w:r>
        <w:rPr>
          <w:rFonts w:hint="eastAsia" w:ascii="宋体" w:hAnsi="宋体"/>
          <w:color w:val="auto"/>
          <w:sz w:val="24"/>
          <w:szCs w:val="24"/>
          <w:highlight w:val="none"/>
          <w:lang w:val="en-US" w:eastAsia="zh-CN"/>
        </w:rPr>
        <w:t>基本概念和处理程序详见《广州市水务局关于进一步加强水务工程项目招标投标活动监督管理工作的通知》（穗水建管〔2023〕78 号），以下简称《通知》）。《通知》可通过广州市水务局门户网站获取</w:t>
      </w:r>
      <w:r>
        <w:rPr>
          <w:rFonts w:hint="eastAsia" w:ascii="宋体" w:hAnsi="宋体"/>
          <w:color w:val="auto"/>
          <w:sz w:val="24"/>
          <w:szCs w:val="24"/>
          <w:highlight w:val="none"/>
        </w:rPr>
        <w:t>。</w:t>
      </w:r>
    </w:p>
    <w:p w14:paraId="1377B096">
      <w:pPr>
        <w:widowControl w:val="0"/>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8.2.2.</w:t>
      </w:r>
      <w:r>
        <w:rPr>
          <w:rFonts w:hint="eastAsia" w:ascii="宋体" w:hAnsi="宋体"/>
          <w:color w:val="auto"/>
          <w:sz w:val="24"/>
          <w:szCs w:val="24"/>
          <w:highlight w:val="none"/>
        </w:rPr>
        <w:t>依据《中华人民共和国招标投标法实施条例》第五十五条，对于中标公示期间的投诉处理的原则为：除第一中标候选人或中标人以外的其他投标人存在串通投标、骗取中标、弄虚作假、行贿情形且在评标过程中未被发现的，视为对中标结果没有造成实质性影响，可依法继续开展招标活动。投标人的违法行为由招标监管部门依法处理。</w:t>
      </w:r>
    </w:p>
    <w:p w14:paraId="3C80B2DA">
      <w:pPr>
        <w:widowControl w:val="0"/>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8.2.3.</w:t>
      </w:r>
      <w:r>
        <w:rPr>
          <w:rFonts w:hint="eastAsia" w:ascii="宋体" w:hAnsi="宋体"/>
          <w:color w:val="auto"/>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w:t>
      </w:r>
    </w:p>
    <w:p w14:paraId="3BB92F93">
      <w:pPr>
        <w:widowControl w:val="0"/>
        <w:numPr>
          <w:ilvl w:val="2"/>
          <w:numId w:val="0"/>
        </w:numPr>
        <w:adjustRightInd w:val="0"/>
        <w:snapToGrid/>
        <w:spacing w:line="360" w:lineRule="auto"/>
        <w:ind w:left="0" w:firstLine="640"/>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8.2.4.</w:t>
      </w:r>
      <w:r>
        <w:rPr>
          <w:rFonts w:hint="eastAsia" w:ascii="宋体" w:hAnsi="宋体"/>
          <w:color w:val="auto"/>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w:t>
      </w:r>
    </w:p>
    <w:p w14:paraId="21BBD4E6">
      <w:pPr>
        <w:widowControl w:val="0"/>
        <w:numPr>
          <w:ilvl w:val="2"/>
          <w:numId w:val="0"/>
        </w:numPr>
        <w:adjustRightInd w:val="0"/>
        <w:snapToGrid/>
        <w:spacing w:line="360" w:lineRule="auto"/>
        <w:ind w:left="0" w:firstLine="640"/>
        <w:rPr>
          <w:rFonts w:hint="eastAsia"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bidi="ar-SA"/>
        </w:rPr>
        <w:t>8.2.5.</w:t>
      </w:r>
      <w:r>
        <w:rPr>
          <w:rFonts w:hint="eastAsia" w:ascii="宋体" w:hAnsi="宋体" w:eastAsia="宋体" w:cs="Times New Roman"/>
          <w:color w:val="auto"/>
          <w:sz w:val="24"/>
          <w:szCs w:val="24"/>
          <w:highlight w:val="none"/>
          <w:lang w:val="en-US" w:eastAsia="zh-CN"/>
        </w:rPr>
        <w:t>异议提出的方式</w:t>
      </w:r>
    </w:p>
    <w:p w14:paraId="44E5D5C6">
      <w:pPr>
        <w:widowControl w:val="0"/>
        <w:numPr>
          <w:ilvl w:val="0"/>
          <w:numId w:val="0"/>
        </w:numPr>
        <w:adjustRightInd w:val="0"/>
        <w:snapToGrid/>
        <w:spacing w:line="360" w:lineRule="auto"/>
        <w:ind w:firstLine="480" w:firstLineChars="200"/>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86BBE98">
      <w:pPr>
        <w:widowControl w:val="0"/>
        <w:numPr>
          <w:ilvl w:val="0"/>
          <w:numId w:val="0"/>
        </w:numPr>
        <w:adjustRightInd w:val="0"/>
        <w:snapToGrid/>
        <w:spacing w:line="360" w:lineRule="auto"/>
        <w:ind w:firstLine="480" w:firstLineChars="200"/>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线下提出异议的，</w:t>
      </w:r>
      <w:r>
        <w:rPr>
          <w:rFonts w:hint="eastAsia" w:ascii="宋体" w:hAnsi="宋体" w:eastAsia="宋体" w:cs="Times New Roman"/>
          <w:color w:val="auto"/>
          <w:sz w:val="24"/>
          <w:szCs w:val="24"/>
          <w:highlight w:val="none"/>
        </w:rPr>
        <w:t>异议函必须由法人代表或法人代表的授权委托人提交。授权委托人提交时，应当将授权委托书连同异议书一并提交。授权委托书应当明确有关委托代理权限和事项。</w:t>
      </w:r>
    </w:p>
    <w:p w14:paraId="7467DA5F">
      <w:pPr>
        <w:widowControl w:val="0"/>
        <w:numPr>
          <w:ilvl w:val="0"/>
          <w:numId w:val="0"/>
        </w:numPr>
        <w:adjustRightInd w:val="0"/>
        <w:snapToGrid/>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提交异议函的时候需携带的异议材料：</w:t>
      </w:r>
    </w:p>
    <w:p w14:paraId="1C6D3AC5">
      <w:pPr>
        <w:widowControl w:val="0"/>
        <w:adjustRightInd w:val="0"/>
        <w:snapToGrid/>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1、异议单位法人证明书；</w:t>
      </w:r>
    </w:p>
    <w:p w14:paraId="4644F870">
      <w:pPr>
        <w:widowControl w:val="0"/>
        <w:adjustRightInd w:val="0"/>
        <w:snapToGrid/>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2、异议单位法人代表开具的授权委托书；（如异议单位法人代表亲自送达则不需要提供）</w:t>
      </w:r>
    </w:p>
    <w:p w14:paraId="2AB3187A">
      <w:pPr>
        <w:widowControl w:val="0"/>
        <w:adjustRightInd w:val="0"/>
        <w:snapToGrid/>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3、授权委托人身份证原件及相应的复印件；</w:t>
      </w:r>
    </w:p>
    <w:p w14:paraId="3371987C">
      <w:pPr>
        <w:widowControl w:val="0"/>
        <w:adjustRightInd w:val="0"/>
        <w:snapToGrid/>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4、异议函。</w:t>
      </w:r>
    </w:p>
    <w:p w14:paraId="085BB70A">
      <w:pPr>
        <w:pStyle w:val="2"/>
        <w:spacing w:after="0"/>
        <w:ind w:left="0" w:leftChars="0" w:firstLine="480" w:firstLineChars="200"/>
        <w:rPr>
          <w:color w:val="auto"/>
          <w:highlight w:val="none"/>
        </w:rPr>
      </w:pPr>
      <w:r>
        <w:rPr>
          <w:rFonts w:hint="eastAsia" w:ascii="宋体" w:hAnsi="宋体" w:eastAsia="宋体" w:cs="Times New Roman"/>
          <w:color w:val="auto"/>
          <w:sz w:val="24"/>
          <w:szCs w:val="24"/>
          <w:highlight w:val="none"/>
        </w:rPr>
        <w:t>送达形式：</w:t>
      </w:r>
      <w:r>
        <w:rPr>
          <w:rFonts w:hint="eastAsia" w:ascii="宋体" w:hAnsi="宋体" w:eastAsia="宋体" w:cs="Times New Roman"/>
          <w:b/>
          <w:bCs/>
          <w:color w:val="auto"/>
          <w:sz w:val="24"/>
          <w:szCs w:val="24"/>
          <w:highlight w:val="none"/>
          <w:u w:val="single"/>
        </w:rPr>
        <w:t>需在规定时间内以书面形式送达</w:t>
      </w:r>
      <w:r>
        <w:rPr>
          <w:rFonts w:hint="eastAsia" w:ascii="宋体" w:hAnsi="宋体" w:eastAsia="宋体" w:cs="Times New Roman"/>
          <w:color w:val="auto"/>
          <w:sz w:val="24"/>
          <w:szCs w:val="24"/>
          <w:highlight w:val="none"/>
        </w:rPr>
        <w:t>。地点：广州市越秀区中山一路12号</w:t>
      </w:r>
      <w:r>
        <w:rPr>
          <w:rFonts w:hint="default" w:ascii="宋体" w:hAnsi="宋体" w:eastAsia="宋体" w:cs="Times New Roman"/>
          <w:color w:val="auto"/>
          <w:sz w:val="24"/>
          <w:szCs w:val="24"/>
          <w:highlight w:val="none"/>
        </w:rPr>
        <w:t>。</w:t>
      </w:r>
    </w:p>
    <w:p w14:paraId="6B39A25A">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8.3.</w:t>
      </w:r>
      <w:r>
        <w:rPr>
          <w:rFonts w:hint="eastAsia" w:ascii="宋体" w:hAnsi="宋体" w:cs="宋体"/>
          <w:b/>
          <w:bCs/>
          <w:color w:val="auto"/>
          <w:sz w:val="30"/>
          <w:szCs w:val="30"/>
          <w:highlight w:val="none"/>
        </w:rPr>
        <w:t>中标候选人履约能力审查</w:t>
      </w:r>
    </w:p>
    <w:p w14:paraId="4B2C0863">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604606FE">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8.4.</w:t>
      </w:r>
      <w:r>
        <w:rPr>
          <w:rFonts w:hint="eastAsia" w:ascii="宋体" w:hAnsi="宋体" w:cs="宋体"/>
          <w:b/>
          <w:bCs/>
          <w:color w:val="auto"/>
          <w:sz w:val="30"/>
          <w:szCs w:val="30"/>
          <w:highlight w:val="none"/>
        </w:rPr>
        <w:t>定标</w:t>
      </w:r>
    </w:p>
    <w:p w14:paraId="0A0780EB">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招标人或招标人授权的评标委员会依法确定中标人。</w:t>
      </w:r>
    </w:p>
    <w:p w14:paraId="3A041175">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8.5.</w:t>
      </w:r>
      <w:r>
        <w:rPr>
          <w:rFonts w:hint="eastAsia" w:ascii="宋体" w:hAnsi="宋体" w:cs="宋体"/>
          <w:b/>
          <w:bCs/>
          <w:color w:val="auto"/>
          <w:sz w:val="30"/>
          <w:szCs w:val="30"/>
          <w:highlight w:val="none"/>
        </w:rPr>
        <w:t>中标通知</w:t>
      </w:r>
    </w:p>
    <w:p w14:paraId="1B8EEC08">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在法规规定的时间内，中标通知书在广州交易集团有限公司（广州公共资源交易中心）平台以电子形式向中标人发出。中标信息在</w:t>
      </w:r>
      <w:r>
        <w:rPr>
          <w:rFonts w:hint="eastAsia" w:hAnsi="宋体"/>
          <w:bCs/>
          <w:color w:val="auto"/>
          <w:sz w:val="24"/>
          <w:highlight w:val="none"/>
          <w:lang w:eastAsia="zh-CN"/>
        </w:rPr>
        <w:t>广州交易集团有限公司（广州公共资源交易中心）</w:t>
      </w:r>
      <w:r>
        <w:rPr>
          <w:rFonts w:hint="eastAsia" w:ascii="宋体" w:hAnsi="宋体"/>
          <w:color w:val="auto"/>
          <w:sz w:val="24"/>
          <w:szCs w:val="24"/>
          <w:highlight w:val="none"/>
        </w:rPr>
        <w:t>发布，视同将中标结果通知未中标的投标人。</w:t>
      </w:r>
    </w:p>
    <w:p w14:paraId="0B77D417">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8.6.</w:t>
      </w:r>
      <w:r>
        <w:rPr>
          <w:rFonts w:hint="eastAsia" w:ascii="宋体" w:hAnsi="宋体" w:cs="宋体"/>
          <w:b/>
          <w:bCs/>
          <w:color w:val="auto"/>
          <w:sz w:val="30"/>
          <w:szCs w:val="30"/>
          <w:highlight w:val="none"/>
        </w:rPr>
        <w:t>履约保证金</w:t>
      </w:r>
    </w:p>
    <w:p w14:paraId="224A69B8">
      <w:pPr>
        <w:widowControl w:val="0"/>
        <w:numPr>
          <w:ilvl w:val="2"/>
          <w:numId w:val="0"/>
        </w:numPr>
        <w:tabs>
          <w:tab w:val="left" w:pos="4620"/>
        </w:tabs>
        <w:adjustRightInd w:val="0"/>
        <w:snapToGrid w:val="0"/>
        <w:spacing w:beforeLines="0" w:afterLines="0"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8.6.1.</w:t>
      </w:r>
      <w:r>
        <w:rPr>
          <w:rFonts w:hint="eastAsia" w:ascii="宋体" w:hAnsi="宋体"/>
          <w:color w:val="auto"/>
          <w:sz w:val="24"/>
          <w:szCs w:val="24"/>
          <w:highlight w:val="none"/>
        </w:rPr>
        <w:t>中标人应在合同签订后30日内，以招标人可以接受的方式向招标人提交履约保证金</w:t>
      </w:r>
      <w:r>
        <w:rPr>
          <w:rFonts w:hint="eastAsia" w:ascii="宋体" w:hAnsi="宋体" w:cs="宋体"/>
          <w:color w:val="auto"/>
          <w:sz w:val="24"/>
          <w:highlight w:val="none"/>
        </w:rPr>
        <w:t>、担保保函</w:t>
      </w:r>
      <w:r>
        <w:rPr>
          <w:rFonts w:hint="eastAsia" w:ascii="宋体" w:hAnsi="宋体"/>
          <w:color w:val="auto"/>
          <w:sz w:val="24"/>
          <w:szCs w:val="24"/>
          <w:highlight w:val="none"/>
        </w:rPr>
        <w:t>或履约保函，履约保证金为：</w:t>
      </w:r>
      <w:r>
        <w:rPr>
          <w:rFonts w:hint="eastAsia" w:ascii="宋体" w:hAnsi="宋体"/>
          <w:color w:val="auto"/>
          <w:sz w:val="24"/>
          <w:szCs w:val="24"/>
          <w:highlight w:val="none"/>
          <w:u w:val="single"/>
        </w:rPr>
        <w:t>10%。</w:t>
      </w:r>
    </w:p>
    <w:p w14:paraId="77DAE281">
      <w:pPr>
        <w:widowControl w:val="0"/>
        <w:numPr>
          <w:ilvl w:val="2"/>
          <w:numId w:val="0"/>
        </w:numPr>
        <w:tabs>
          <w:tab w:val="left" w:pos="4620"/>
        </w:tabs>
        <w:adjustRightInd w:val="0"/>
        <w:snapToGrid w:val="0"/>
        <w:spacing w:beforeLines="0" w:afterLines="0"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8.6.2.</w:t>
      </w:r>
      <w:r>
        <w:rPr>
          <w:rFonts w:hint="eastAsia" w:ascii="宋体" w:hAnsi="宋体"/>
          <w:color w:val="auto"/>
          <w:sz w:val="24"/>
          <w:szCs w:val="24"/>
          <w:highlight w:val="none"/>
        </w:rPr>
        <w:t>履约保证金以银行保函</w:t>
      </w:r>
      <w:r>
        <w:rPr>
          <w:rFonts w:hint="eastAsia" w:ascii="宋体" w:hAnsi="宋体" w:cs="宋体"/>
          <w:color w:val="auto"/>
          <w:sz w:val="24"/>
          <w:highlight w:val="none"/>
        </w:rPr>
        <w:t>、担保保函</w:t>
      </w:r>
      <w:r>
        <w:rPr>
          <w:rFonts w:hint="eastAsia" w:ascii="宋体" w:hAnsi="宋体"/>
          <w:color w:val="auto"/>
          <w:sz w:val="24"/>
          <w:szCs w:val="24"/>
          <w:highlight w:val="none"/>
        </w:rPr>
        <w:t>形式提交的，需为无条件、不可撤销履约（担保）保函形式。</w:t>
      </w:r>
    </w:p>
    <w:p w14:paraId="5C80F94B">
      <w:pPr>
        <w:widowControl w:val="0"/>
        <w:numPr>
          <w:ilvl w:val="2"/>
          <w:numId w:val="0"/>
        </w:numPr>
        <w:tabs>
          <w:tab w:val="left" w:pos="4620"/>
        </w:tabs>
        <w:adjustRightInd w:val="0"/>
        <w:snapToGrid w:val="0"/>
        <w:spacing w:before="0" w:beforeLines="0" w:after="0" w:afterLines="0"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8.6.3.</w:t>
      </w:r>
      <w:r>
        <w:rPr>
          <w:rFonts w:hint="eastAsia" w:ascii="宋体" w:hAnsi="宋体"/>
          <w:color w:val="auto"/>
          <w:sz w:val="24"/>
          <w:szCs w:val="24"/>
          <w:highlight w:val="none"/>
        </w:rPr>
        <w:t>在中标人不能履行其在合同项下任何一项义务的情况下，造成违约责任的，招标人有权用履约保证金的资金补偿任何直接损失。</w:t>
      </w:r>
    </w:p>
    <w:p w14:paraId="5FEE683D">
      <w:pPr>
        <w:widowControl w:val="0"/>
        <w:numPr>
          <w:ilvl w:val="2"/>
          <w:numId w:val="0"/>
        </w:numPr>
        <w:tabs>
          <w:tab w:val="left" w:pos="4620"/>
        </w:tabs>
        <w:adjustRightInd w:val="0"/>
        <w:snapToGrid w:val="0"/>
        <w:spacing w:before="0" w:beforeLines="0" w:after="0" w:afterLines="0"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8.6.4.</w:t>
      </w:r>
      <w:r>
        <w:rPr>
          <w:rFonts w:hint="eastAsia" w:ascii="宋体" w:hAnsi="宋体"/>
          <w:color w:val="auto"/>
          <w:sz w:val="24"/>
          <w:szCs w:val="24"/>
          <w:highlight w:val="none"/>
        </w:rPr>
        <w:t>签订合同后的30日内，中标人未按上款的规定提交履约担保，招标人将解除中标通知书，原中标人的投标担保不予退还，且依法承担相应法律责任。原中标人给招标人造成的损失超过投标担保数额的，还应当对超过部分予以赔偿。原中标人有异议的，可以向招标人所在地的人民法院起诉。</w:t>
      </w:r>
    </w:p>
    <w:p w14:paraId="675EEC8E">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8.7.</w:t>
      </w:r>
      <w:r>
        <w:rPr>
          <w:rFonts w:hint="eastAsia" w:ascii="宋体" w:hAnsi="宋体" w:cs="宋体"/>
          <w:b/>
          <w:bCs/>
          <w:color w:val="auto"/>
          <w:sz w:val="30"/>
          <w:szCs w:val="30"/>
          <w:highlight w:val="none"/>
        </w:rPr>
        <w:t>签订合同</w:t>
      </w:r>
    </w:p>
    <w:p w14:paraId="5E75C717">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8.7.1.</w:t>
      </w:r>
      <w:r>
        <w:rPr>
          <w:rFonts w:hint="eastAsia" w:ascii="宋体" w:hAnsi="宋体"/>
          <w:color w:val="auto"/>
          <w:sz w:val="24"/>
          <w:szCs w:val="24"/>
          <w:highlight w:val="none"/>
        </w:rPr>
        <w:t>招标人和中标人应当在中标通知书发出之日起 30 日内，根据招标文件和中标人的投标文件订立书面合同。</w:t>
      </w:r>
    </w:p>
    <w:p w14:paraId="12349E95">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8.7.2.</w:t>
      </w:r>
      <w:r>
        <w:rPr>
          <w:rFonts w:hint="eastAsia" w:ascii="宋体" w:hAnsi="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C3321BA">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8.7.3.</w:t>
      </w:r>
      <w:r>
        <w:rPr>
          <w:rFonts w:hint="eastAsia" w:ascii="宋体" w:hAnsi="宋体"/>
          <w:color w:val="auto"/>
          <w:sz w:val="24"/>
          <w:szCs w:val="24"/>
          <w:highlight w:val="none"/>
        </w:rPr>
        <w:t>发出中标通知书后，招标人无正当理由拒签合同，或者在签订合同时向中标人提出附加条件的，招标人向中标人退还投标保证金；给中标人造成损失的，还应当赔偿损失。</w:t>
      </w:r>
    </w:p>
    <w:p w14:paraId="6F387D80">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8.7.4.</w:t>
      </w:r>
      <w:r>
        <w:rPr>
          <w:rFonts w:hint="eastAsia" w:ascii="宋体" w:hAnsi="宋体"/>
          <w:color w:val="auto"/>
          <w:sz w:val="24"/>
          <w:szCs w:val="24"/>
          <w:highlight w:val="none"/>
        </w:rPr>
        <w:t>联合体中标的，联合体各方应当共同与招标人签订合同，就中标项目向招标人承担连带责任。</w:t>
      </w:r>
    </w:p>
    <w:p w14:paraId="172DBBFC">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bookmarkStart w:id="102" w:name="_Toc9766"/>
      <w:bookmarkStart w:id="103" w:name="_Toc52371655"/>
      <w:r>
        <w:rPr>
          <w:rFonts w:hint="default" w:ascii="宋体" w:hAnsi="宋体" w:eastAsia="宋体" w:cs="宋体"/>
          <w:b/>
          <w:bCs/>
          <w:color w:val="auto"/>
          <w:kern w:val="2"/>
          <w:sz w:val="30"/>
          <w:szCs w:val="30"/>
          <w:highlight w:val="none"/>
          <w:lang w:val="en-US" w:eastAsia="zh-CN" w:bidi="ar-SA"/>
        </w:rPr>
        <w:t>9.</w:t>
      </w:r>
      <w:r>
        <w:rPr>
          <w:rFonts w:hint="eastAsia" w:ascii="宋体" w:hAnsi="宋体" w:cs="宋体"/>
          <w:b/>
          <w:bCs/>
          <w:color w:val="auto"/>
          <w:sz w:val="30"/>
          <w:szCs w:val="30"/>
          <w:highlight w:val="none"/>
        </w:rPr>
        <w:t>纪律和监督</w:t>
      </w:r>
      <w:bookmarkEnd w:id="102"/>
      <w:bookmarkEnd w:id="103"/>
    </w:p>
    <w:p w14:paraId="289847AC">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9.1.</w:t>
      </w:r>
      <w:r>
        <w:rPr>
          <w:rFonts w:hint="eastAsia" w:ascii="宋体" w:hAnsi="宋体" w:cs="宋体"/>
          <w:b/>
          <w:bCs/>
          <w:color w:val="auto"/>
          <w:sz w:val="30"/>
          <w:szCs w:val="30"/>
          <w:highlight w:val="none"/>
        </w:rPr>
        <w:t>对招标人的纪律要求</w:t>
      </w:r>
    </w:p>
    <w:p w14:paraId="24F15D30">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招标人不得泄露招标投标活动中应当保密的情况和资料，不得与投标人串通损害国家利益、社会公共利益或者他人合法权益。</w:t>
      </w:r>
    </w:p>
    <w:p w14:paraId="7D0EF236">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9.2.</w:t>
      </w:r>
      <w:r>
        <w:rPr>
          <w:rFonts w:hint="eastAsia" w:ascii="宋体" w:hAnsi="宋体" w:cs="宋体"/>
          <w:b/>
          <w:bCs/>
          <w:color w:val="auto"/>
          <w:sz w:val="30"/>
          <w:szCs w:val="30"/>
          <w:highlight w:val="none"/>
        </w:rPr>
        <w:t>对投标人的纪律要求</w:t>
      </w:r>
    </w:p>
    <w:p w14:paraId="337623D5">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64160FC">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9.3.</w:t>
      </w:r>
      <w:r>
        <w:rPr>
          <w:rFonts w:hint="eastAsia" w:ascii="宋体" w:hAnsi="宋体" w:cs="宋体"/>
          <w:b/>
          <w:bCs/>
          <w:color w:val="auto"/>
          <w:sz w:val="30"/>
          <w:szCs w:val="30"/>
          <w:highlight w:val="none"/>
        </w:rPr>
        <w:t>对评标委员会成员的纪律要求</w:t>
      </w:r>
    </w:p>
    <w:p w14:paraId="015CDA69">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前附表”没有规定的评审因素和标准进行评标。</w:t>
      </w:r>
    </w:p>
    <w:p w14:paraId="037470BB">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9.4.</w:t>
      </w:r>
      <w:r>
        <w:rPr>
          <w:rFonts w:hint="eastAsia" w:ascii="宋体" w:hAnsi="宋体" w:cs="宋体"/>
          <w:b/>
          <w:bCs/>
          <w:color w:val="auto"/>
          <w:sz w:val="30"/>
          <w:szCs w:val="30"/>
          <w:highlight w:val="none"/>
        </w:rPr>
        <w:t>对与评标活动有关的工作人员的纪律要求</w:t>
      </w:r>
    </w:p>
    <w:p w14:paraId="049584C6">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AA5F650">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9.5.</w:t>
      </w:r>
      <w:r>
        <w:rPr>
          <w:rFonts w:hint="eastAsia" w:ascii="宋体" w:hAnsi="宋体" w:cs="宋体"/>
          <w:b/>
          <w:bCs/>
          <w:color w:val="auto"/>
          <w:sz w:val="30"/>
          <w:szCs w:val="30"/>
          <w:highlight w:val="none"/>
        </w:rPr>
        <w:t>投诉</w:t>
      </w:r>
    </w:p>
    <w:p w14:paraId="18A10B64">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9.5.1.</w:t>
      </w:r>
      <w:r>
        <w:rPr>
          <w:rFonts w:hint="eastAsia" w:ascii="宋体" w:hAnsi="宋体"/>
          <w:color w:val="auto"/>
          <w:sz w:val="24"/>
          <w:szCs w:val="24"/>
          <w:highlight w:val="none"/>
        </w:rPr>
        <w:t>投标人或者其他利害关系人认为招标投标活动不符合法律、行政法规规定的，可以自知道或者应当知道之日起 10 日内向有关行政监督部门投诉。投诉应当有明确的请求和必要的证明材料。</w:t>
      </w:r>
    </w:p>
    <w:p w14:paraId="3CBB3229">
      <w:pPr>
        <w:numPr>
          <w:ilvl w:val="2"/>
          <w:numId w:val="0"/>
        </w:numPr>
        <w:adjustRightInd w:val="0"/>
        <w:snapToGrid w:val="0"/>
        <w:spacing w:line="360" w:lineRule="auto"/>
        <w:ind w:left="0" w:firstLine="641"/>
        <w:rPr>
          <w:rFonts w:ascii="宋体" w:hAnsi="宋体"/>
          <w:color w:val="auto"/>
          <w:sz w:val="24"/>
          <w:szCs w:val="24"/>
          <w:highlight w:val="none"/>
        </w:rPr>
      </w:pPr>
      <w:r>
        <w:rPr>
          <w:rFonts w:hint="default" w:ascii="宋体" w:hAnsi="宋体" w:eastAsia="宋体" w:cs="Times New Roman"/>
          <w:color w:val="auto"/>
          <w:sz w:val="24"/>
          <w:szCs w:val="24"/>
          <w:highlight w:val="none"/>
          <w:lang w:val="en-US" w:eastAsia="zh-CN" w:bidi="ar-SA"/>
        </w:rPr>
        <w:t>9.5.2.</w:t>
      </w:r>
      <w:r>
        <w:rPr>
          <w:rFonts w:hint="eastAsia" w:ascii="宋体" w:hAnsi="宋体"/>
          <w:color w:val="auto"/>
          <w:sz w:val="24"/>
          <w:szCs w:val="24"/>
          <w:highlight w:val="none"/>
        </w:rPr>
        <w:t>投标人或者其他利害关系人对招标文件、开标和评标结果提出投诉的，应当按照本章第3.2款、第6.3款、第8.2款规定先向招标人提出异议。异议答复期间不计算在第 9.5.1项规定的期限内。</w:t>
      </w:r>
    </w:p>
    <w:p w14:paraId="1B6D1711">
      <w:pPr>
        <w:pStyle w:val="215"/>
        <w:numPr>
          <w:ilvl w:val="0"/>
          <w:numId w:val="0"/>
        </w:numPr>
        <w:spacing w:before="156" w:beforeLines="50" w:after="156" w:afterLines="50" w:line="360" w:lineRule="auto"/>
        <w:ind w:left="425" w:hanging="425"/>
        <w:outlineLvl w:val="1"/>
        <w:rPr>
          <w:rFonts w:ascii="宋体" w:hAnsi="宋体" w:cs="宋体"/>
          <w:b/>
          <w:bCs/>
          <w:color w:val="auto"/>
          <w:sz w:val="30"/>
          <w:szCs w:val="30"/>
          <w:highlight w:val="none"/>
        </w:rPr>
      </w:pPr>
      <w:r>
        <w:rPr>
          <w:rFonts w:hint="default" w:ascii="宋体" w:hAnsi="宋体" w:eastAsia="宋体" w:cs="宋体"/>
          <w:b/>
          <w:bCs/>
          <w:color w:val="auto"/>
          <w:kern w:val="2"/>
          <w:sz w:val="30"/>
          <w:szCs w:val="30"/>
          <w:highlight w:val="none"/>
          <w:lang w:val="en-US" w:eastAsia="zh-CN" w:bidi="ar-SA"/>
        </w:rPr>
        <w:t>10.</w:t>
      </w:r>
      <w:r>
        <w:rPr>
          <w:rFonts w:hint="eastAsia" w:ascii="宋体" w:hAnsi="宋体" w:cs="宋体"/>
          <w:b/>
          <w:bCs/>
          <w:color w:val="auto"/>
          <w:sz w:val="30"/>
          <w:szCs w:val="30"/>
          <w:highlight w:val="none"/>
        </w:rPr>
        <w:t>需要补充的其他问题</w:t>
      </w:r>
      <w:r>
        <w:rPr>
          <w:rFonts w:hint="eastAsia" w:ascii="宋体" w:hAnsi="宋体" w:cs="宋体"/>
          <w:b/>
          <w:bCs/>
          <w:color w:val="auto"/>
          <w:sz w:val="30"/>
          <w:szCs w:val="30"/>
          <w:highlight w:val="none"/>
          <w:lang w:val="en-US" w:eastAsia="zh-CN"/>
        </w:rPr>
        <w:tab/>
      </w:r>
      <w:r>
        <w:rPr>
          <w:rFonts w:hint="eastAsia" w:ascii="宋体" w:hAnsi="宋体" w:cs="宋体"/>
          <w:b/>
          <w:bCs/>
          <w:color w:val="auto"/>
          <w:sz w:val="30"/>
          <w:szCs w:val="30"/>
          <w:highlight w:val="none"/>
          <w:lang w:val="en-US" w:eastAsia="zh-CN"/>
        </w:rPr>
        <w:tab/>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ABF5586">
      <w:pPr>
        <w:pStyle w:val="215"/>
        <w:numPr>
          <w:ilvl w:val="1"/>
          <w:numId w:val="0"/>
        </w:numPr>
        <w:spacing w:before="156" w:beforeLines="50" w:after="156" w:afterLines="50" w:line="360" w:lineRule="auto"/>
        <w:ind w:left="567" w:hanging="567"/>
        <w:rPr>
          <w:rFonts w:ascii="宋体" w:hAnsi="宋体" w:cs="宋体"/>
          <w:b/>
          <w:bCs/>
          <w:color w:val="auto"/>
          <w:sz w:val="30"/>
          <w:szCs w:val="30"/>
          <w:highlight w:val="none"/>
        </w:rPr>
      </w:pPr>
      <w:bookmarkStart w:id="104" w:name="_Toc45532485"/>
      <w:bookmarkStart w:id="105" w:name="_Toc40762371"/>
      <w:bookmarkStart w:id="106" w:name="_Toc37581421"/>
      <w:bookmarkStart w:id="107" w:name="_Toc37331081"/>
      <w:bookmarkStart w:id="108" w:name="_Toc46308684"/>
      <w:bookmarkStart w:id="109" w:name="_Toc46308528"/>
      <w:bookmarkStart w:id="110" w:name="_Toc37331039"/>
      <w:bookmarkStart w:id="111" w:name="_Toc37245277"/>
      <w:bookmarkStart w:id="112" w:name="_Toc37569520"/>
      <w:bookmarkStart w:id="113" w:name="_Toc37663392"/>
      <w:bookmarkStart w:id="114" w:name="_Toc41884706"/>
      <w:bookmarkStart w:id="115" w:name="_Toc50276165"/>
      <w:bookmarkStart w:id="116" w:name="_Toc41723936"/>
      <w:bookmarkStart w:id="117" w:name="_Toc46308531"/>
      <w:bookmarkStart w:id="118" w:name="_Toc42313172"/>
      <w:bookmarkStart w:id="119" w:name="_Toc98579011"/>
      <w:bookmarkStart w:id="120" w:name="_Toc98579610"/>
      <w:bookmarkStart w:id="121" w:name="_Toc46308687"/>
      <w:bookmarkStart w:id="122" w:name="_Toc42394517"/>
      <w:bookmarkStart w:id="123" w:name="_Toc42394673"/>
      <w:bookmarkStart w:id="124" w:name="_Toc50276204"/>
      <w:bookmarkStart w:id="125" w:name="_Toc98579069"/>
      <w:bookmarkStart w:id="126" w:name="_Toc98035089"/>
      <w:bookmarkStart w:id="127" w:name="_Toc98580293"/>
      <w:r>
        <w:rPr>
          <w:rFonts w:hint="default" w:ascii="宋体" w:hAnsi="宋体" w:eastAsia="宋体" w:cs="宋体"/>
          <w:b/>
          <w:bCs/>
          <w:color w:val="auto"/>
          <w:kern w:val="2"/>
          <w:sz w:val="30"/>
          <w:szCs w:val="30"/>
          <w:highlight w:val="none"/>
          <w:lang w:val="en-US" w:eastAsia="zh-CN" w:bidi="ar-SA"/>
        </w:rPr>
        <w:t>10.1.</w:t>
      </w:r>
      <w:r>
        <w:rPr>
          <w:rFonts w:hint="eastAsia" w:ascii="宋体" w:hAnsi="宋体" w:cs="宋体"/>
          <w:b/>
          <w:bCs/>
          <w:color w:val="auto"/>
          <w:sz w:val="30"/>
          <w:szCs w:val="30"/>
          <w:highlight w:val="none"/>
        </w:rPr>
        <w:t>失信联合惩戒的处理</w:t>
      </w:r>
    </w:p>
    <w:p w14:paraId="59B9BE3B">
      <w:pPr>
        <w:adjustRightInd w:val="0"/>
        <w:snapToGrid w:val="0"/>
        <w:spacing w:line="360"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在发出中标通知书前，中标人应未被纳入失信联合惩戒名单，否则招标人将取消其中标资格。失信联合惩戒名单以“信用广州”网站公布的“黑名单”为准。</w:t>
      </w:r>
    </w:p>
    <w:p w14:paraId="38C7F7C3">
      <w:pPr>
        <w:widowControl/>
        <w:adjustRightInd w:val="0"/>
        <w:snapToGrid w:val="0"/>
        <w:spacing w:line="360" w:lineRule="auto"/>
        <w:ind w:firstLine="0" w:firstLineChars="0"/>
        <w:rPr>
          <w:rFonts w:hint="eastAsia" w:ascii="宋体" w:hAnsi="宋体" w:eastAsia="宋体" w:cs="宋体"/>
          <w:b/>
          <w:bCs/>
          <w:color w:val="auto"/>
          <w:kern w:val="2"/>
          <w:sz w:val="30"/>
          <w:szCs w:val="30"/>
          <w:highlight w:val="none"/>
          <w:lang w:val="en-US" w:eastAsia="zh-CN"/>
        </w:rPr>
      </w:pPr>
      <w:r>
        <w:rPr>
          <w:rFonts w:hint="eastAsia" w:ascii="宋体" w:hAnsi="宋体" w:cs="宋体"/>
          <w:b/>
          <w:bCs/>
          <w:color w:val="auto"/>
          <w:kern w:val="2"/>
          <w:sz w:val="30"/>
          <w:szCs w:val="30"/>
          <w:highlight w:val="none"/>
          <w:lang w:val="en-US" w:eastAsia="zh-CN"/>
        </w:rPr>
        <w:t>10.2</w:t>
      </w:r>
      <w:r>
        <w:rPr>
          <w:rFonts w:hint="eastAsia" w:ascii="宋体" w:hAnsi="宋体" w:eastAsia="宋体" w:cs="宋体"/>
          <w:b/>
          <w:bCs/>
          <w:color w:val="auto"/>
          <w:kern w:val="2"/>
          <w:sz w:val="30"/>
          <w:szCs w:val="30"/>
          <w:highlight w:val="none"/>
          <w:lang w:val="en-US" w:eastAsia="zh-CN"/>
        </w:rPr>
        <w:t xml:space="preserve"> 其它要求</w:t>
      </w:r>
    </w:p>
    <w:p w14:paraId="57DA046A">
      <w:pPr>
        <w:widowControl/>
        <w:adjustRightInd w:val="0"/>
        <w:snapToGrid w:val="0"/>
        <w:spacing w:line="360" w:lineRule="auto"/>
        <w:ind w:firstLine="638" w:firstLineChars="266"/>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在招投标活动过程中，评标委员会或招标人或监督管理机构需要核查投标人投标时所提供的资料扫描件的原件时，投标人应在接到通知的三日内提供原件进行核查。如该投标人不能按要求提供原件或提供的某些原件经评标委员会，或招标人，或招标代理机构共同核查后确认与原件不一致，则招标人有权取消其投标资格或中标候选人资格。</w:t>
      </w:r>
    </w:p>
    <w:p w14:paraId="143727DA">
      <w:pPr>
        <w:pStyle w:val="6"/>
        <w:tabs>
          <w:tab w:val="left" w:pos="851"/>
        </w:tabs>
        <w:outlineLvl w:val="1"/>
        <w:rPr>
          <w:color w:val="auto"/>
          <w:highlight w:val="none"/>
        </w:rPr>
      </w:pPr>
      <w:r>
        <w:rPr>
          <w:rFonts w:hint="eastAsia" w:cs="宋体"/>
          <w:color w:val="auto"/>
          <w:sz w:val="32"/>
          <w:szCs w:val="32"/>
          <w:highlight w:val="none"/>
        </w:rPr>
        <w:br w:type="page"/>
      </w:r>
      <w:r>
        <w:rPr>
          <w:rFonts w:hint="eastAsia"/>
          <w:color w:val="auto"/>
          <w:highlight w:val="none"/>
        </w:rPr>
        <w:t>附件一：问题澄清通知</w:t>
      </w:r>
    </w:p>
    <w:p w14:paraId="772696DC">
      <w:pPr>
        <w:adjustRightInd w:val="0"/>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（以广州交易集团有限公司（广州公共资源交易中心）格式为准）</w:t>
      </w:r>
    </w:p>
    <w:p w14:paraId="361F3F0D">
      <w:pPr>
        <w:rPr>
          <w:rFonts w:ascii="宋体" w:hAnsi="宋体"/>
          <w:color w:val="auto"/>
          <w:sz w:val="24"/>
          <w:szCs w:val="24"/>
          <w:highlight w:val="none"/>
        </w:rPr>
      </w:pPr>
      <w:r>
        <w:rPr>
          <w:rFonts w:ascii="宋体" w:hAnsi="宋体"/>
          <w:color w:val="auto"/>
          <w:sz w:val="24"/>
          <w:szCs w:val="24"/>
          <w:highlight w:val="none"/>
        </w:rPr>
        <w:br w:type="page"/>
      </w:r>
    </w:p>
    <w:p w14:paraId="39F61347">
      <w:pPr>
        <w:pStyle w:val="6"/>
        <w:tabs>
          <w:tab w:val="left" w:pos="851"/>
        </w:tabs>
        <w:outlineLvl w:val="1"/>
        <w:rPr>
          <w:color w:val="auto"/>
          <w:highlight w:val="none"/>
        </w:rPr>
      </w:pPr>
      <w:r>
        <w:rPr>
          <w:rFonts w:hint="eastAsia"/>
          <w:color w:val="auto"/>
          <w:highlight w:val="none"/>
        </w:rPr>
        <w:t>附件二：问题的澄清</w:t>
      </w:r>
    </w:p>
    <w:p w14:paraId="06F28757">
      <w:pPr>
        <w:adjustRightInd w:val="0"/>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（以广州交易集团有限公司（广州公共资源交易中心）格式为准）</w:t>
      </w:r>
    </w:p>
    <w:p w14:paraId="05016A5F">
      <w:pPr>
        <w:rPr>
          <w:rFonts w:ascii="宋体" w:hAnsi="宋体"/>
          <w:color w:val="auto"/>
          <w:sz w:val="24"/>
          <w:szCs w:val="24"/>
          <w:highlight w:val="none"/>
        </w:rPr>
      </w:pPr>
    </w:p>
    <w:p w14:paraId="69AF3C45">
      <w:pPr>
        <w:rPr>
          <w:color w:val="auto"/>
          <w:highlight w:val="none"/>
        </w:rPr>
      </w:pPr>
    </w:p>
    <w:p w14:paraId="33C5A177">
      <w:pPr>
        <w:rPr>
          <w:color w:val="auto"/>
          <w:highlight w:val="none"/>
        </w:rPr>
      </w:pPr>
    </w:p>
    <w:p w14:paraId="2A9F9448">
      <w:pPr>
        <w:rPr>
          <w:color w:val="auto"/>
          <w:highlight w:val="none"/>
        </w:rPr>
      </w:pPr>
    </w:p>
    <w:p w14:paraId="61A44BB8">
      <w:pPr>
        <w:rPr>
          <w:color w:val="auto"/>
          <w:highlight w:val="none"/>
        </w:rPr>
      </w:pPr>
    </w:p>
    <w:p w14:paraId="0382C4FF">
      <w:pPr>
        <w:rPr>
          <w:color w:val="auto"/>
          <w:highlight w:val="none"/>
        </w:rPr>
      </w:pPr>
    </w:p>
    <w:p w14:paraId="3EB72510">
      <w:pPr>
        <w:rPr>
          <w:color w:val="auto"/>
          <w:highlight w:val="none"/>
        </w:rPr>
      </w:pPr>
    </w:p>
    <w:p w14:paraId="1D70F7A2">
      <w:pPr>
        <w:rPr>
          <w:color w:val="auto"/>
          <w:highlight w:val="none"/>
        </w:rPr>
      </w:pPr>
    </w:p>
    <w:p w14:paraId="12C6332D">
      <w:pPr>
        <w:rPr>
          <w:color w:val="auto"/>
          <w:highlight w:val="none"/>
        </w:rPr>
      </w:pPr>
    </w:p>
    <w:p w14:paraId="3B087D83">
      <w:pPr>
        <w:rPr>
          <w:color w:val="auto"/>
          <w:highlight w:val="none"/>
        </w:rPr>
      </w:pPr>
    </w:p>
    <w:p w14:paraId="1E7E680E">
      <w:pPr>
        <w:rPr>
          <w:color w:val="auto"/>
          <w:highlight w:val="none"/>
        </w:rPr>
      </w:pPr>
    </w:p>
    <w:p w14:paraId="6965938E">
      <w:pPr>
        <w:rPr>
          <w:color w:val="auto"/>
          <w:highlight w:val="none"/>
        </w:rPr>
      </w:pPr>
    </w:p>
    <w:p w14:paraId="678BA07E">
      <w:pPr>
        <w:rPr>
          <w:color w:val="auto"/>
          <w:highlight w:val="none"/>
        </w:rPr>
      </w:pPr>
    </w:p>
    <w:p w14:paraId="7B52C030">
      <w:pPr>
        <w:rPr>
          <w:color w:val="auto"/>
          <w:highlight w:val="none"/>
        </w:rPr>
      </w:pPr>
    </w:p>
    <w:p w14:paraId="1D53C419">
      <w:pPr>
        <w:rPr>
          <w:color w:val="auto"/>
          <w:highlight w:val="none"/>
        </w:rPr>
      </w:pPr>
    </w:p>
    <w:p w14:paraId="1039D3BB">
      <w:pPr>
        <w:rPr>
          <w:color w:val="auto"/>
          <w:highlight w:val="none"/>
        </w:rPr>
      </w:pPr>
    </w:p>
    <w:p w14:paraId="11F1D52E">
      <w:pPr>
        <w:rPr>
          <w:color w:val="auto"/>
          <w:highlight w:val="none"/>
        </w:rPr>
      </w:pPr>
    </w:p>
    <w:p w14:paraId="60A97958">
      <w:pPr>
        <w:rPr>
          <w:color w:val="auto"/>
          <w:highlight w:val="none"/>
        </w:rPr>
      </w:pPr>
    </w:p>
    <w:p w14:paraId="09208F83">
      <w:pPr>
        <w:rPr>
          <w:rFonts w:ascii="宋体" w:hAnsi="宋体"/>
          <w:b/>
          <w:color w:val="auto"/>
          <w:sz w:val="32"/>
          <w:szCs w:val="32"/>
          <w:highlight w:val="none"/>
        </w:rPr>
      </w:pPr>
      <w:r>
        <w:rPr>
          <w:rFonts w:hint="eastAsia" w:ascii="宋体" w:hAnsi="宋体"/>
          <w:b/>
          <w:color w:val="auto"/>
          <w:sz w:val="32"/>
          <w:szCs w:val="32"/>
          <w:highlight w:val="none"/>
        </w:rPr>
        <w:br w:type="page"/>
      </w:r>
    </w:p>
    <w:p w14:paraId="00CCB94A">
      <w:pPr>
        <w:pStyle w:val="6"/>
        <w:tabs>
          <w:tab w:val="left" w:pos="851"/>
        </w:tabs>
        <w:outlineLvl w:val="1"/>
        <w:rPr>
          <w:color w:val="auto"/>
          <w:highlight w:val="none"/>
        </w:rPr>
      </w:pPr>
      <w:r>
        <w:rPr>
          <w:rFonts w:hint="eastAsia"/>
          <w:color w:val="auto"/>
          <w:highlight w:val="none"/>
        </w:rPr>
        <w:t>附件三：中标通知书</w:t>
      </w:r>
    </w:p>
    <w:p w14:paraId="57DD4610">
      <w:pPr>
        <w:adjustRightInd w:val="0"/>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中标通知书</w:t>
      </w:r>
    </w:p>
    <w:p w14:paraId="7C36B421">
      <w:pPr>
        <w:adjustRightInd w:val="0"/>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（以广州交易集团有限公司（广州公共资源交易中心）格式为准）</w:t>
      </w:r>
    </w:p>
    <w:p w14:paraId="21F9CD8D">
      <w:pPr>
        <w:pStyle w:val="6"/>
        <w:tabs>
          <w:tab w:val="left" w:pos="851"/>
        </w:tabs>
        <w:outlineLvl w:val="1"/>
        <w:rPr>
          <w:rFonts w:cs="宋体"/>
          <w:color w:val="auto"/>
          <w:highlight w:val="none"/>
        </w:rPr>
      </w:pPr>
      <w:r>
        <w:rPr>
          <w:rFonts w:hint="eastAsia" w:cs="宋体"/>
          <w:bCs/>
          <w:color w:val="auto"/>
          <w:szCs w:val="28"/>
          <w:highlight w:val="none"/>
        </w:rPr>
        <w:br w:type="page"/>
      </w:r>
      <w:r>
        <w:rPr>
          <w:rStyle w:val="89"/>
          <w:rFonts w:hint="eastAsia"/>
          <w:b/>
          <w:color w:val="auto"/>
          <w:highlight w:val="none"/>
        </w:rPr>
        <w:t>附件四：最高投标限价公布函</w:t>
      </w:r>
    </w:p>
    <w:p w14:paraId="7ED8E9CD">
      <w:pPr>
        <w:adjustRightInd w:val="0"/>
        <w:spacing w:line="360" w:lineRule="auto"/>
        <w:ind w:firstLine="480" w:firstLineChars="200"/>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本次招标项目总价最高投标限价为：人民币</w:t>
      </w:r>
      <w:r>
        <w:rPr>
          <w:rFonts w:hint="eastAsia" w:ascii="宋体" w:hAnsi="宋体" w:cs="宋体"/>
          <w:color w:val="auto"/>
          <w:sz w:val="24"/>
          <w:szCs w:val="24"/>
          <w:highlight w:val="none"/>
          <w:lang w:val="en-US" w:eastAsia="zh-CN"/>
        </w:rPr>
        <w:t>45451496.00</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lang w:val="en-US" w:eastAsia="zh-CN"/>
        </w:rPr>
        <w:t>肆仟伍佰肆拾伍万壹仟肆佰玖拾陆元整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14:paraId="485B040C">
      <w:pPr>
        <w:pStyle w:val="5"/>
        <w:numPr>
          <w:ilvl w:val="0"/>
          <w:numId w:val="0"/>
        </w:numPr>
        <w:rPr>
          <w:rFonts w:hint="eastAsia" w:eastAsia="宋体"/>
          <w:color w:val="auto"/>
          <w:highlight w:val="none"/>
          <w:lang w:eastAsia="zh-CN"/>
        </w:rPr>
      </w:pPr>
      <w:bookmarkStart w:id="128" w:name="_Toc12031"/>
      <w:bookmarkStart w:id="129" w:name="_Toc308"/>
      <w:r>
        <w:rPr>
          <w:rFonts w:hint="eastAsia" w:ascii="Times New Roman" w:hAnsi="Times New Roman" w:eastAsia="宋体" w:cs="Times New Roman"/>
          <w:b/>
          <w:bCs/>
          <w:color w:val="auto"/>
          <w:kern w:val="44"/>
          <w:sz w:val="36"/>
          <w:szCs w:val="44"/>
          <w:highlight w:val="none"/>
          <w:lang w:val="en-US" w:eastAsia="zh-CN" w:bidi="ar-SA"/>
        </w:rPr>
        <w:br w:type="page"/>
      </w:r>
      <w:r>
        <w:rPr>
          <w:rFonts w:hint="eastAsia" w:ascii="Times New Roman" w:hAnsi="Times New Roman" w:eastAsia="宋体" w:cs="Times New Roman"/>
          <w:b/>
          <w:bCs/>
          <w:color w:val="auto"/>
          <w:kern w:val="44"/>
          <w:sz w:val="36"/>
          <w:szCs w:val="44"/>
          <w:highlight w:val="none"/>
          <w:lang w:val="en-US" w:eastAsia="zh-CN" w:bidi="ar-SA"/>
        </w:rPr>
        <w:t>第二章</w:t>
      </w:r>
      <w:r>
        <w:rPr>
          <w:rFonts w:hint="eastAsia" w:cs="Times New Roman"/>
          <w:b/>
          <w:bCs/>
          <w:color w:val="auto"/>
          <w:kern w:val="44"/>
          <w:sz w:val="36"/>
          <w:szCs w:val="44"/>
          <w:highlight w:val="none"/>
          <w:lang w:val="en-US" w:eastAsia="zh-CN" w:bidi="ar-SA"/>
        </w:rPr>
        <w:t xml:space="preserve"> </w:t>
      </w:r>
      <w:bookmarkEnd w:id="104"/>
      <w:bookmarkEnd w:id="128"/>
      <w:r>
        <w:rPr>
          <w:rFonts w:hint="eastAsia"/>
          <w:color w:val="auto"/>
          <w:highlight w:val="none"/>
          <w:lang w:val="en-US" w:eastAsia="zh-CN"/>
        </w:rPr>
        <w:t xml:space="preserve">用户需求书            </w:t>
      </w:r>
      <w:bookmarkEnd w:id="129"/>
      <w:r>
        <w:rPr>
          <w:rFonts w:hint="eastAsia"/>
          <w:color w:val="auto"/>
          <w:highlight w:val="none"/>
          <w:lang w:val="en-US" w:eastAsia="zh-CN"/>
        </w:rPr>
        <w:t xml:space="preserve"> </w:t>
      </w:r>
    </w:p>
    <w:bookmarkEnd w:id="105"/>
    <w:bookmarkEnd w:id="106"/>
    <w:bookmarkEnd w:id="107"/>
    <w:bookmarkEnd w:id="108"/>
    <w:bookmarkEnd w:id="109"/>
    <w:bookmarkEnd w:id="110"/>
    <w:bookmarkEnd w:id="111"/>
    <w:bookmarkEnd w:id="112"/>
    <w:bookmarkEnd w:id="113"/>
    <w:p w14:paraId="06F9516B">
      <w:pPr>
        <w:pStyle w:val="5"/>
        <w:rPr>
          <w:rFonts w:hint="eastAsia" w:ascii="方正小标宋简体" w:hAnsi="方正小标宋简体" w:eastAsia="方正小标宋简体" w:cs="方正小标宋简体"/>
          <w:b w:val="0"/>
          <w:bCs/>
          <w:color w:val="auto"/>
          <w:kern w:val="2"/>
          <w:sz w:val="44"/>
          <w:szCs w:val="44"/>
          <w:highlight w:val="none"/>
          <w:lang w:val="en-US" w:eastAsia="zh-CN"/>
        </w:rPr>
      </w:pPr>
      <w:bookmarkStart w:id="130" w:name="_Toc101775125"/>
      <w:bookmarkStart w:id="131" w:name="_Toc8919"/>
      <w:bookmarkStart w:id="132" w:name="_Toc14508"/>
      <w:bookmarkStart w:id="133" w:name="_Toc101771372"/>
      <w:bookmarkStart w:id="134" w:name="_Toc101951263"/>
      <w:bookmarkStart w:id="135" w:name="_Toc175644394"/>
      <w:bookmarkStart w:id="136" w:name="_Toc101843125"/>
      <w:bookmarkStart w:id="137" w:name="_Toc45532486"/>
      <w:bookmarkStart w:id="138" w:name="_Hlk47596308"/>
      <w:r>
        <w:rPr>
          <w:rFonts w:hint="eastAsia" w:ascii="方正小标宋简体" w:hAnsi="方正小标宋简体" w:eastAsia="方正小标宋简体" w:cs="方正小标宋简体"/>
          <w:b w:val="0"/>
          <w:bCs/>
          <w:color w:val="auto"/>
          <w:kern w:val="2"/>
          <w:sz w:val="44"/>
          <w:szCs w:val="44"/>
          <w:highlight w:val="none"/>
          <w:lang w:val="en-US" w:eastAsia="zh-CN"/>
        </w:rPr>
        <w:t>（另册）</w:t>
      </w:r>
    </w:p>
    <w:p w14:paraId="384272C0">
      <w:pPr>
        <w:pStyle w:val="5"/>
        <w:rPr>
          <w:rFonts w:hint="eastAsia"/>
          <w:color w:val="auto"/>
          <w:highlight w:val="none"/>
        </w:rPr>
      </w:pPr>
    </w:p>
    <w:p w14:paraId="0F3CAE61">
      <w:pPr>
        <w:pStyle w:val="5"/>
        <w:rPr>
          <w:rFonts w:hint="eastAsia"/>
          <w:color w:val="auto"/>
          <w:highlight w:val="none"/>
        </w:rPr>
      </w:pPr>
    </w:p>
    <w:p w14:paraId="74462279">
      <w:pPr>
        <w:pStyle w:val="5"/>
        <w:rPr>
          <w:rFonts w:hint="eastAsia"/>
          <w:color w:val="auto"/>
          <w:highlight w:val="none"/>
        </w:rPr>
      </w:pPr>
    </w:p>
    <w:p w14:paraId="64C2761C">
      <w:pPr>
        <w:pStyle w:val="5"/>
        <w:rPr>
          <w:rFonts w:hint="eastAsia"/>
          <w:color w:val="auto"/>
          <w:highlight w:val="none"/>
        </w:rPr>
      </w:pPr>
    </w:p>
    <w:p w14:paraId="60D8F443">
      <w:pPr>
        <w:pStyle w:val="5"/>
        <w:rPr>
          <w:rFonts w:hint="eastAsia"/>
          <w:color w:val="auto"/>
          <w:highlight w:val="none"/>
        </w:rPr>
      </w:pPr>
    </w:p>
    <w:p w14:paraId="31B38B1A">
      <w:pPr>
        <w:pStyle w:val="5"/>
        <w:rPr>
          <w:rFonts w:hint="eastAsia"/>
          <w:color w:val="auto"/>
          <w:highlight w:val="none"/>
        </w:rPr>
      </w:pPr>
    </w:p>
    <w:p w14:paraId="750E2539">
      <w:pPr>
        <w:pStyle w:val="5"/>
        <w:rPr>
          <w:rFonts w:hint="eastAsia"/>
          <w:color w:val="auto"/>
          <w:highlight w:val="none"/>
        </w:rPr>
      </w:pPr>
    </w:p>
    <w:p w14:paraId="67FCE2CF">
      <w:pPr>
        <w:pStyle w:val="5"/>
        <w:rPr>
          <w:rFonts w:hint="eastAsia"/>
          <w:color w:val="auto"/>
          <w:highlight w:val="none"/>
        </w:rPr>
      </w:pPr>
    </w:p>
    <w:p w14:paraId="16B12EDF">
      <w:pPr>
        <w:pStyle w:val="5"/>
        <w:rPr>
          <w:rFonts w:hint="eastAsia"/>
          <w:color w:val="auto"/>
          <w:highlight w:val="none"/>
        </w:rPr>
      </w:pPr>
    </w:p>
    <w:p w14:paraId="2AB8B6FC">
      <w:pPr>
        <w:pStyle w:val="5"/>
        <w:rPr>
          <w:rFonts w:hint="eastAsia"/>
          <w:color w:val="auto"/>
          <w:highlight w:val="none"/>
        </w:rPr>
      </w:pPr>
    </w:p>
    <w:p w14:paraId="413395B0">
      <w:pPr>
        <w:pStyle w:val="5"/>
        <w:rPr>
          <w:rFonts w:hint="eastAsia"/>
          <w:color w:val="auto"/>
          <w:highlight w:val="none"/>
        </w:rPr>
      </w:pPr>
    </w:p>
    <w:p w14:paraId="4D7EB46C">
      <w:pPr>
        <w:pStyle w:val="5"/>
        <w:rPr>
          <w:rFonts w:hint="eastAsia"/>
          <w:color w:val="auto"/>
          <w:highlight w:val="none"/>
        </w:rPr>
      </w:pPr>
    </w:p>
    <w:p w14:paraId="31D8A511">
      <w:pPr>
        <w:pStyle w:val="5"/>
        <w:rPr>
          <w:rFonts w:hint="eastAsia"/>
          <w:color w:val="auto"/>
          <w:highlight w:val="none"/>
        </w:rPr>
      </w:pPr>
    </w:p>
    <w:p w14:paraId="79E92AE4">
      <w:pPr>
        <w:pStyle w:val="5"/>
        <w:rPr>
          <w:color w:val="auto"/>
          <w:highlight w:val="none"/>
        </w:rPr>
      </w:pPr>
      <w:r>
        <w:rPr>
          <w:rFonts w:hint="eastAsia"/>
          <w:color w:val="auto"/>
          <w:highlight w:val="none"/>
        </w:rPr>
        <w:t>第三章 合同</w:t>
      </w:r>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color w:val="auto"/>
          <w:highlight w:val="none"/>
        </w:rPr>
        <w:t>格式</w:t>
      </w:r>
      <w:bookmarkEnd w:id="127"/>
      <w:bookmarkEnd w:id="130"/>
      <w:bookmarkEnd w:id="131"/>
      <w:bookmarkEnd w:id="132"/>
      <w:bookmarkEnd w:id="133"/>
      <w:bookmarkEnd w:id="134"/>
      <w:bookmarkEnd w:id="135"/>
      <w:bookmarkEnd w:id="136"/>
      <w:bookmarkEnd w:id="137"/>
    </w:p>
    <w:bookmarkEnd w:id="138"/>
    <w:p w14:paraId="4C2A62B1">
      <w:pPr>
        <w:pStyle w:val="143"/>
        <w:jc w:val="center"/>
        <w:rPr>
          <w:rFonts w:hint="eastAsia" w:hAnsi="宋体" w:eastAsia="宋体" w:cs="宋体"/>
          <w:color w:val="auto"/>
          <w:sz w:val="24"/>
          <w:szCs w:val="32"/>
          <w:highlight w:val="none"/>
          <w:lang w:eastAsia="zh-CN"/>
        </w:rPr>
      </w:pPr>
      <w:r>
        <w:rPr>
          <w:rFonts w:hint="eastAsia" w:hAnsi="宋体"/>
          <w:b/>
          <w:bCs/>
          <w:color w:val="auto"/>
          <w:sz w:val="40"/>
          <w:szCs w:val="48"/>
          <w:highlight w:val="none"/>
          <w:lang w:eastAsia="zh-CN"/>
        </w:rPr>
        <w:t>广州市自来水有限公司南洲水厂排泥水处理系统建设工程污泥脱水集成设备采购公开招标项目</w:t>
      </w:r>
    </w:p>
    <w:p w14:paraId="5798B392">
      <w:pPr>
        <w:rPr>
          <w:rFonts w:ascii="宋体" w:hAnsi="宋体"/>
          <w:b/>
          <w:color w:val="auto"/>
          <w:sz w:val="32"/>
          <w:szCs w:val="32"/>
          <w:highlight w:val="none"/>
        </w:rPr>
      </w:pPr>
    </w:p>
    <w:p w14:paraId="24ED3B74">
      <w:pPr>
        <w:pStyle w:val="2"/>
        <w:rPr>
          <w:rFonts w:ascii="宋体" w:hAnsi="宋体"/>
          <w:b/>
          <w:color w:val="auto"/>
          <w:sz w:val="32"/>
          <w:szCs w:val="32"/>
          <w:highlight w:val="none"/>
        </w:rPr>
      </w:pPr>
    </w:p>
    <w:p w14:paraId="29638D04">
      <w:pPr>
        <w:pStyle w:val="2"/>
        <w:rPr>
          <w:rFonts w:ascii="宋体" w:hAnsi="宋体"/>
          <w:b/>
          <w:color w:val="auto"/>
          <w:sz w:val="32"/>
          <w:szCs w:val="32"/>
          <w:highlight w:val="none"/>
        </w:rPr>
      </w:pPr>
    </w:p>
    <w:p w14:paraId="39E229A9">
      <w:pPr>
        <w:widowControl w:val="0"/>
        <w:jc w:val="center"/>
        <w:rPr>
          <w:rFonts w:ascii="宋体" w:hAnsi="宋体"/>
          <w:b/>
          <w:color w:val="auto"/>
          <w:sz w:val="84"/>
          <w:szCs w:val="84"/>
          <w:highlight w:val="none"/>
        </w:rPr>
      </w:pPr>
      <w:r>
        <w:rPr>
          <w:rFonts w:hint="eastAsia" w:ascii="宋体" w:hAnsi="宋体"/>
          <w:b/>
          <w:color w:val="auto"/>
          <w:sz w:val="84"/>
          <w:szCs w:val="84"/>
          <w:highlight w:val="none"/>
        </w:rPr>
        <w:t>采购合同</w:t>
      </w:r>
    </w:p>
    <w:p w14:paraId="3E896641">
      <w:pPr>
        <w:widowControl w:val="0"/>
        <w:rPr>
          <w:rFonts w:ascii="宋体" w:hAnsi="宋体"/>
          <w:b/>
          <w:color w:val="auto"/>
          <w:sz w:val="32"/>
          <w:szCs w:val="32"/>
          <w:highlight w:val="none"/>
        </w:rPr>
      </w:pPr>
    </w:p>
    <w:p w14:paraId="05BF69D5">
      <w:pPr>
        <w:widowControl w:val="0"/>
        <w:rPr>
          <w:rFonts w:ascii="宋体" w:hAnsi="宋体"/>
          <w:b/>
          <w:color w:val="auto"/>
          <w:sz w:val="32"/>
          <w:szCs w:val="32"/>
          <w:highlight w:val="none"/>
        </w:rPr>
      </w:pPr>
    </w:p>
    <w:p w14:paraId="3C1663F4">
      <w:pPr>
        <w:widowControl w:val="0"/>
        <w:rPr>
          <w:rFonts w:ascii="宋体" w:hAnsi="宋体"/>
          <w:b/>
          <w:color w:val="auto"/>
          <w:sz w:val="32"/>
          <w:szCs w:val="32"/>
          <w:highlight w:val="none"/>
        </w:rPr>
      </w:pPr>
    </w:p>
    <w:p w14:paraId="37AE775C">
      <w:pPr>
        <w:widowControl w:val="0"/>
        <w:rPr>
          <w:rFonts w:ascii="宋体" w:hAnsi="宋体"/>
          <w:b/>
          <w:color w:val="auto"/>
          <w:sz w:val="32"/>
          <w:szCs w:val="32"/>
          <w:highlight w:val="none"/>
        </w:rPr>
      </w:pPr>
    </w:p>
    <w:p w14:paraId="222B35C9">
      <w:pPr>
        <w:widowControl w:val="0"/>
        <w:rPr>
          <w:rFonts w:ascii="宋体" w:hAnsi="宋体"/>
          <w:b/>
          <w:color w:val="auto"/>
          <w:sz w:val="32"/>
          <w:szCs w:val="32"/>
          <w:highlight w:val="none"/>
        </w:rPr>
      </w:pPr>
    </w:p>
    <w:p w14:paraId="48AF2517">
      <w:pPr>
        <w:widowControl w:val="0"/>
        <w:rPr>
          <w:rFonts w:ascii="宋体" w:hAnsi="宋体"/>
          <w:b/>
          <w:color w:val="auto"/>
          <w:sz w:val="32"/>
          <w:szCs w:val="32"/>
          <w:highlight w:val="none"/>
        </w:rPr>
      </w:pPr>
    </w:p>
    <w:p w14:paraId="2DEF1E5B">
      <w:pPr>
        <w:widowControl w:val="0"/>
        <w:rPr>
          <w:rFonts w:ascii="宋体" w:hAnsi="宋体"/>
          <w:b/>
          <w:color w:val="auto"/>
          <w:sz w:val="32"/>
          <w:szCs w:val="32"/>
          <w:highlight w:val="none"/>
        </w:rPr>
      </w:pPr>
    </w:p>
    <w:p w14:paraId="536B3909">
      <w:pPr>
        <w:widowControl w:val="0"/>
        <w:ind w:firstLine="964" w:firstLineChars="300"/>
        <w:rPr>
          <w:rFonts w:ascii="宋体" w:hAnsi="宋体"/>
          <w:b/>
          <w:color w:val="auto"/>
          <w:sz w:val="32"/>
          <w:szCs w:val="32"/>
          <w:highlight w:val="none"/>
        </w:rPr>
      </w:pPr>
      <w:r>
        <w:rPr>
          <w:rFonts w:hint="eastAsia" w:ascii="宋体" w:hAnsi="宋体"/>
          <w:b/>
          <w:color w:val="auto"/>
          <w:sz w:val="32"/>
          <w:szCs w:val="32"/>
          <w:highlight w:val="none"/>
        </w:rPr>
        <w:t>合同编号：</w:t>
      </w:r>
    </w:p>
    <w:p w14:paraId="6AB6C6DF">
      <w:pPr>
        <w:widowControl w:val="0"/>
        <w:ind w:firstLine="964" w:firstLineChars="300"/>
        <w:rPr>
          <w:rFonts w:ascii="宋体" w:hAnsi="宋体"/>
          <w:b/>
          <w:color w:val="auto"/>
          <w:sz w:val="32"/>
          <w:szCs w:val="32"/>
          <w:highlight w:val="none"/>
        </w:rPr>
      </w:pPr>
      <w:r>
        <w:rPr>
          <w:rFonts w:hint="eastAsia" w:ascii="宋体" w:hAnsi="宋体"/>
          <w:b/>
          <w:color w:val="auto"/>
          <w:sz w:val="32"/>
          <w:szCs w:val="32"/>
          <w:highlight w:val="none"/>
        </w:rPr>
        <w:t>买    方：广州市自来水有限公司</w:t>
      </w:r>
    </w:p>
    <w:p w14:paraId="4E00EA67">
      <w:pPr>
        <w:widowControl w:val="0"/>
        <w:ind w:firstLine="964" w:firstLineChars="300"/>
        <w:rPr>
          <w:rFonts w:ascii="宋体" w:hAnsi="宋体"/>
          <w:b/>
          <w:color w:val="auto"/>
          <w:sz w:val="32"/>
          <w:szCs w:val="32"/>
          <w:highlight w:val="none"/>
        </w:rPr>
      </w:pPr>
      <w:r>
        <w:rPr>
          <w:rFonts w:hint="eastAsia" w:ascii="宋体" w:hAnsi="宋体"/>
          <w:b/>
          <w:color w:val="auto"/>
          <w:sz w:val="32"/>
          <w:szCs w:val="32"/>
          <w:highlight w:val="none"/>
        </w:rPr>
        <w:t>卖    方：</w:t>
      </w:r>
    </w:p>
    <w:p w14:paraId="489BE164">
      <w:pPr>
        <w:widowControl w:val="0"/>
        <w:jc w:val="center"/>
        <w:rPr>
          <w:rFonts w:ascii="宋体" w:hAnsi="宋体" w:cs="宋体"/>
          <w:b/>
          <w:color w:val="auto"/>
          <w:highlight w:val="none"/>
        </w:rPr>
      </w:pPr>
      <w:r>
        <w:rPr>
          <w:color w:val="auto"/>
          <w:highlight w:val="none"/>
        </w:rPr>
        <w:br w:type="page"/>
      </w:r>
      <w:r>
        <w:rPr>
          <w:rFonts w:hint="eastAsia" w:ascii="宋体" w:hAnsi="宋体" w:cs="宋体"/>
          <w:color w:val="auto"/>
          <w:highlight w:val="none"/>
        </w:rPr>
        <w:t>说  明</w:t>
      </w:r>
    </w:p>
    <w:p w14:paraId="182CB7F2">
      <w:pPr>
        <w:widowControl w:val="0"/>
        <w:spacing w:line="360" w:lineRule="auto"/>
        <w:ind w:firstLine="480" w:firstLineChars="200"/>
        <w:rPr>
          <w:rFonts w:ascii="宋体" w:hAnsi="宋体" w:cs="宋体"/>
          <w:color w:val="auto"/>
          <w:sz w:val="32"/>
          <w:szCs w:val="32"/>
          <w:highlight w:val="none"/>
        </w:rPr>
      </w:pPr>
      <w:r>
        <w:rPr>
          <w:rFonts w:hint="eastAsia" w:ascii="宋体" w:hAnsi="宋体" w:cs="宋体"/>
          <w:color w:val="auto"/>
          <w:sz w:val="24"/>
          <w:szCs w:val="24"/>
          <w:highlight w:val="none"/>
        </w:rPr>
        <w:t>第三节专用合同条款的各条款是补充和修改第二节通用合同条款中条款号相同或当需要时增加新的条款，两者应对照阅读。一旦出现矛盾或不一致，则应以第三节专用合同条款为准，第二节通用合同条款中未补充和修改的部分仍然有效。</w:t>
      </w:r>
    </w:p>
    <w:p w14:paraId="4388579B">
      <w:pPr>
        <w:widowControl w:val="0"/>
        <w:rPr>
          <w:rFonts w:ascii="宋体" w:hAnsi="宋体" w:cs="宋体"/>
          <w:b/>
          <w:color w:val="auto"/>
          <w:sz w:val="32"/>
          <w:szCs w:val="32"/>
          <w:highlight w:val="none"/>
        </w:rPr>
      </w:pPr>
    </w:p>
    <w:p w14:paraId="14679D28">
      <w:pPr>
        <w:widowControl w:val="0"/>
        <w:rPr>
          <w:rFonts w:ascii="宋体" w:hAnsi="宋体" w:cs="宋体"/>
          <w:b/>
          <w:color w:val="auto"/>
          <w:sz w:val="32"/>
          <w:szCs w:val="32"/>
          <w:highlight w:val="none"/>
        </w:rPr>
      </w:pPr>
    </w:p>
    <w:p w14:paraId="46A64777">
      <w:pPr>
        <w:widowControl w:val="0"/>
        <w:rPr>
          <w:rFonts w:ascii="宋体" w:hAnsi="宋体" w:cs="宋体"/>
          <w:b/>
          <w:color w:val="auto"/>
          <w:sz w:val="32"/>
          <w:szCs w:val="32"/>
          <w:highlight w:val="none"/>
        </w:rPr>
      </w:pPr>
    </w:p>
    <w:p w14:paraId="526BBA44">
      <w:pPr>
        <w:widowControl w:val="0"/>
        <w:rPr>
          <w:rFonts w:ascii="宋体" w:hAnsi="宋体" w:cs="宋体"/>
          <w:b/>
          <w:color w:val="auto"/>
          <w:sz w:val="32"/>
          <w:szCs w:val="32"/>
          <w:highlight w:val="none"/>
        </w:rPr>
      </w:pPr>
    </w:p>
    <w:p w14:paraId="58256443">
      <w:pPr>
        <w:widowControl w:val="0"/>
        <w:rPr>
          <w:rFonts w:ascii="宋体" w:hAnsi="宋体" w:cs="宋体"/>
          <w:b/>
          <w:color w:val="auto"/>
          <w:sz w:val="32"/>
          <w:szCs w:val="32"/>
          <w:highlight w:val="none"/>
        </w:rPr>
      </w:pPr>
    </w:p>
    <w:p w14:paraId="18DCC423">
      <w:pPr>
        <w:widowControl w:val="0"/>
        <w:rPr>
          <w:rFonts w:ascii="宋体" w:hAnsi="宋体" w:cs="宋体"/>
          <w:b/>
          <w:color w:val="auto"/>
          <w:sz w:val="32"/>
          <w:szCs w:val="32"/>
          <w:highlight w:val="none"/>
        </w:rPr>
      </w:pPr>
    </w:p>
    <w:p w14:paraId="7A3C7623">
      <w:pPr>
        <w:widowControl w:val="0"/>
        <w:rPr>
          <w:rFonts w:ascii="宋体" w:hAnsi="宋体" w:cs="宋体"/>
          <w:b/>
          <w:color w:val="auto"/>
          <w:sz w:val="32"/>
          <w:szCs w:val="32"/>
          <w:highlight w:val="none"/>
        </w:rPr>
      </w:pPr>
    </w:p>
    <w:p w14:paraId="09CDC435">
      <w:pPr>
        <w:widowControl w:val="0"/>
        <w:rPr>
          <w:rFonts w:ascii="宋体" w:hAnsi="宋体" w:cs="宋体"/>
          <w:b/>
          <w:color w:val="auto"/>
          <w:sz w:val="32"/>
          <w:szCs w:val="32"/>
          <w:highlight w:val="none"/>
        </w:rPr>
      </w:pPr>
    </w:p>
    <w:p w14:paraId="14AF65A3">
      <w:pPr>
        <w:widowControl w:val="0"/>
        <w:rPr>
          <w:rFonts w:ascii="宋体" w:hAnsi="宋体" w:cs="宋体"/>
          <w:b/>
          <w:color w:val="auto"/>
          <w:sz w:val="32"/>
          <w:szCs w:val="32"/>
          <w:highlight w:val="none"/>
        </w:rPr>
      </w:pPr>
    </w:p>
    <w:p w14:paraId="44316BB0">
      <w:pPr>
        <w:widowControl w:val="0"/>
        <w:rPr>
          <w:rFonts w:ascii="宋体" w:hAnsi="宋体" w:cs="宋体"/>
          <w:b/>
          <w:color w:val="auto"/>
          <w:sz w:val="32"/>
          <w:szCs w:val="32"/>
          <w:highlight w:val="none"/>
        </w:rPr>
      </w:pPr>
    </w:p>
    <w:p w14:paraId="1B4545DC">
      <w:pPr>
        <w:widowControl w:val="0"/>
        <w:rPr>
          <w:rFonts w:ascii="宋体" w:hAnsi="宋体" w:cs="宋体"/>
          <w:b/>
          <w:color w:val="auto"/>
          <w:sz w:val="32"/>
          <w:szCs w:val="32"/>
          <w:highlight w:val="none"/>
        </w:rPr>
      </w:pPr>
    </w:p>
    <w:p w14:paraId="40983410">
      <w:pPr>
        <w:widowControl w:val="0"/>
        <w:rPr>
          <w:rFonts w:ascii="宋体" w:hAnsi="宋体" w:cs="宋体"/>
          <w:b/>
          <w:color w:val="auto"/>
          <w:sz w:val="32"/>
          <w:szCs w:val="32"/>
          <w:highlight w:val="none"/>
        </w:rPr>
      </w:pPr>
    </w:p>
    <w:p w14:paraId="6C544C22">
      <w:pPr>
        <w:widowControl w:val="0"/>
        <w:rPr>
          <w:rFonts w:ascii="宋体" w:hAnsi="宋体" w:cs="宋体"/>
          <w:b/>
          <w:color w:val="auto"/>
          <w:sz w:val="32"/>
          <w:szCs w:val="32"/>
          <w:highlight w:val="none"/>
        </w:rPr>
      </w:pPr>
    </w:p>
    <w:p w14:paraId="406F4233">
      <w:pPr>
        <w:widowControl w:val="0"/>
        <w:rPr>
          <w:rFonts w:ascii="宋体" w:hAnsi="宋体" w:cs="宋体"/>
          <w:b/>
          <w:color w:val="auto"/>
          <w:sz w:val="32"/>
          <w:szCs w:val="32"/>
          <w:highlight w:val="none"/>
        </w:rPr>
      </w:pPr>
    </w:p>
    <w:p w14:paraId="0745FC3B">
      <w:pPr>
        <w:widowControl w:val="0"/>
        <w:rPr>
          <w:rFonts w:ascii="宋体" w:hAnsi="宋体" w:cs="宋体"/>
          <w:b/>
          <w:color w:val="auto"/>
          <w:sz w:val="32"/>
          <w:szCs w:val="32"/>
          <w:highlight w:val="none"/>
        </w:rPr>
      </w:pPr>
    </w:p>
    <w:p w14:paraId="7F782A27">
      <w:pPr>
        <w:widowControl w:val="0"/>
        <w:rPr>
          <w:rFonts w:ascii="宋体" w:hAnsi="宋体" w:cs="宋体"/>
          <w:b/>
          <w:color w:val="auto"/>
          <w:sz w:val="32"/>
          <w:szCs w:val="32"/>
          <w:highlight w:val="none"/>
        </w:rPr>
      </w:pPr>
    </w:p>
    <w:p w14:paraId="2A1046A8">
      <w:pPr>
        <w:widowControl w:val="0"/>
        <w:rPr>
          <w:rFonts w:ascii="宋体" w:hAnsi="宋体" w:cs="宋体"/>
          <w:b/>
          <w:color w:val="auto"/>
          <w:sz w:val="32"/>
          <w:szCs w:val="32"/>
          <w:highlight w:val="none"/>
        </w:rPr>
      </w:pPr>
    </w:p>
    <w:p w14:paraId="51648BA6">
      <w:pPr>
        <w:widowControl w:val="0"/>
        <w:rPr>
          <w:rFonts w:ascii="宋体" w:hAnsi="宋体" w:cs="宋体"/>
          <w:b/>
          <w:color w:val="auto"/>
          <w:sz w:val="32"/>
          <w:szCs w:val="32"/>
          <w:highlight w:val="none"/>
        </w:rPr>
      </w:pPr>
    </w:p>
    <w:p w14:paraId="062062E2">
      <w:pPr>
        <w:widowControl w:val="0"/>
        <w:rPr>
          <w:rFonts w:ascii="宋体" w:hAnsi="宋体" w:cs="宋体"/>
          <w:b/>
          <w:color w:val="auto"/>
          <w:sz w:val="32"/>
          <w:szCs w:val="32"/>
          <w:highlight w:val="none"/>
        </w:rPr>
      </w:pPr>
    </w:p>
    <w:p w14:paraId="48368B55">
      <w:pPr>
        <w:widowControl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5869B586">
      <w:pPr>
        <w:widowControl w:val="0"/>
        <w:rPr>
          <w:rFonts w:ascii="宋体" w:hAnsi="宋体" w:cs="宋体"/>
          <w:b/>
          <w:color w:val="auto"/>
          <w:sz w:val="32"/>
          <w:szCs w:val="32"/>
          <w:highlight w:val="none"/>
        </w:rPr>
      </w:pPr>
    </w:p>
    <w:p w14:paraId="54B40C5B">
      <w:pPr>
        <w:widowControl w:val="0"/>
        <w:rPr>
          <w:rFonts w:ascii="宋体" w:hAnsi="宋体" w:cs="宋体"/>
          <w:b/>
          <w:color w:val="auto"/>
          <w:sz w:val="28"/>
          <w:szCs w:val="28"/>
          <w:highlight w:val="none"/>
        </w:rPr>
      </w:pPr>
      <w:r>
        <w:rPr>
          <w:rFonts w:hint="eastAsia" w:ascii="宋体" w:hAnsi="宋体" w:cs="宋体"/>
          <w:b/>
          <w:color w:val="auto"/>
          <w:sz w:val="28"/>
          <w:szCs w:val="28"/>
          <w:highlight w:val="none"/>
        </w:rPr>
        <w:t>第一节 合同协议书</w:t>
      </w:r>
    </w:p>
    <w:p w14:paraId="522462E4">
      <w:pPr>
        <w:widowControl w:val="0"/>
        <w:rPr>
          <w:rFonts w:ascii="宋体" w:hAnsi="宋体" w:cs="宋体"/>
          <w:b/>
          <w:color w:val="auto"/>
          <w:sz w:val="28"/>
          <w:szCs w:val="28"/>
          <w:highlight w:val="none"/>
        </w:rPr>
      </w:pPr>
      <w:r>
        <w:rPr>
          <w:rFonts w:hint="eastAsia" w:ascii="宋体" w:hAnsi="宋体" w:cs="宋体"/>
          <w:b/>
          <w:color w:val="auto"/>
          <w:sz w:val="28"/>
          <w:szCs w:val="28"/>
          <w:highlight w:val="none"/>
        </w:rPr>
        <w:t>第二节 通用合同条款</w:t>
      </w:r>
    </w:p>
    <w:p w14:paraId="324C1496">
      <w:pPr>
        <w:widowControl w:val="0"/>
        <w:rPr>
          <w:rFonts w:ascii="宋体" w:hAnsi="宋体" w:cs="宋体"/>
          <w:b/>
          <w:color w:val="auto"/>
          <w:sz w:val="28"/>
          <w:szCs w:val="28"/>
          <w:highlight w:val="none"/>
        </w:rPr>
      </w:pPr>
      <w:r>
        <w:rPr>
          <w:rFonts w:hint="eastAsia" w:ascii="宋体" w:hAnsi="宋体" w:cs="宋体"/>
          <w:b/>
          <w:color w:val="auto"/>
          <w:sz w:val="28"/>
          <w:szCs w:val="28"/>
          <w:highlight w:val="none"/>
        </w:rPr>
        <w:t>第三节 专用合同条款</w:t>
      </w:r>
    </w:p>
    <w:p w14:paraId="586315A2">
      <w:pPr>
        <w:widowControl w:val="0"/>
        <w:rPr>
          <w:rFonts w:ascii="宋体" w:hAnsi="宋体" w:cs="宋体"/>
          <w:b/>
          <w:color w:val="auto"/>
          <w:sz w:val="28"/>
          <w:szCs w:val="28"/>
          <w:highlight w:val="none"/>
        </w:rPr>
      </w:pPr>
      <w:r>
        <w:rPr>
          <w:rFonts w:hint="eastAsia" w:ascii="宋体" w:hAnsi="宋体" w:cs="宋体"/>
          <w:b/>
          <w:color w:val="auto"/>
          <w:sz w:val="28"/>
          <w:szCs w:val="28"/>
          <w:highlight w:val="none"/>
        </w:rPr>
        <w:t>第四节 合同附件</w:t>
      </w:r>
    </w:p>
    <w:p w14:paraId="7D6956F6">
      <w:pPr>
        <w:widowControl w:val="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合同附件一：供货要求（按招标文件第二章</w:t>
      </w:r>
      <w:r>
        <w:rPr>
          <w:rFonts w:hint="eastAsia" w:ascii="宋体" w:hAnsi="宋体" w:cs="宋体"/>
          <w:color w:val="auto"/>
          <w:sz w:val="28"/>
          <w:szCs w:val="28"/>
          <w:highlight w:val="none"/>
          <w:lang w:val="en-US" w:eastAsia="zh-CN"/>
        </w:rPr>
        <w:t>用户需求书</w:t>
      </w:r>
      <w:r>
        <w:rPr>
          <w:rFonts w:hint="eastAsia" w:ascii="宋体" w:hAnsi="宋体" w:cs="宋体"/>
          <w:color w:val="auto"/>
          <w:sz w:val="28"/>
          <w:szCs w:val="28"/>
          <w:highlight w:val="none"/>
        </w:rPr>
        <w:t>补充）</w:t>
      </w:r>
    </w:p>
    <w:p w14:paraId="49FF5BF7">
      <w:pPr>
        <w:widowControl w:val="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合同附件二：商务和技术偏差表（按卖方投标时提供的“商务和技术偏差表”的复印件补充）</w:t>
      </w:r>
    </w:p>
    <w:p w14:paraId="428E3E03">
      <w:pPr>
        <w:widowControl w:val="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合同附件三：合同设备清单</w:t>
      </w:r>
    </w:p>
    <w:p w14:paraId="1B1EB833">
      <w:pPr>
        <w:widowControl w:val="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合同附件四：廉洁责任书</w:t>
      </w:r>
    </w:p>
    <w:p w14:paraId="6913D755">
      <w:pPr>
        <w:widowControl w:val="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合同附件五：卖方法定代表人证明书；有法定代表人授权代理人时，同时提供有效授权委托证明书原件（本合同签订时提供，可与本合同分开装订，按招标文件“第五章 投标文件格式”提供）</w:t>
      </w:r>
    </w:p>
    <w:p w14:paraId="4156AD2D">
      <w:pPr>
        <w:widowControl w:val="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合同附件六：履约保证金格式（本合同签订后提供）</w:t>
      </w:r>
    </w:p>
    <w:p w14:paraId="194B3097">
      <w:pPr>
        <w:widowControl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合同附件七：预付款银行保函（本合同签订后提供）</w:t>
      </w:r>
    </w:p>
    <w:p w14:paraId="4EE9A28B">
      <w:pPr>
        <w:widowControl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合同附件八：</w:t>
      </w:r>
      <w:r>
        <w:rPr>
          <w:rFonts w:hint="eastAsia" w:ascii="宋体" w:hAnsi="宋体" w:eastAsia="宋体" w:cs="宋体"/>
          <w:color w:val="auto"/>
          <w:sz w:val="28"/>
          <w:szCs w:val="28"/>
          <w:highlight w:val="none"/>
        </w:rPr>
        <w:t>滤布行走</w:t>
      </w:r>
      <w:r>
        <w:rPr>
          <w:rFonts w:hint="eastAsia" w:ascii="宋体" w:hAnsi="宋体" w:eastAsia="宋体" w:cs="宋体"/>
          <w:color w:val="auto"/>
          <w:sz w:val="28"/>
          <w:szCs w:val="28"/>
          <w:highlight w:val="none"/>
          <w:lang w:val="en-US" w:eastAsia="zh-CN"/>
        </w:rPr>
        <w:t>板框</w:t>
      </w:r>
      <w:r>
        <w:rPr>
          <w:rFonts w:hint="eastAsia" w:ascii="宋体" w:hAnsi="宋体" w:eastAsia="宋体" w:cs="宋体"/>
          <w:color w:val="auto"/>
          <w:sz w:val="28"/>
          <w:szCs w:val="28"/>
          <w:highlight w:val="none"/>
        </w:rPr>
        <w:t>压滤机脱水后泥饼含水率</w:t>
      </w:r>
      <w:r>
        <w:rPr>
          <w:rFonts w:hint="eastAsia" w:ascii="宋体" w:hAnsi="宋体" w:cs="宋体"/>
          <w:color w:val="auto"/>
          <w:sz w:val="28"/>
          <w:szCs w:val="28"/>
          <w:highlight w:val="none"/>
          <w:lang w:val="en-US" w:eastAsia="zh-CN"/>
        </w:rPr>
        <w:t>的承诺</w:t>
      </w:r>
      <w:r>
        <w:rPr>
          <w:rFonts w:hint="eastAsia" w:ascii="宋体" w:hAnsi="宋体" w:eastAsia="宋体" w:cs="宋体"/>
          <w:color w:val="auto"/>
          <w:sz w:val="28"/>
          <w:szCs w:val="28"/>
          <w:highlight w:val="none"/>
          <w:lang w:val="en-US" w:eastAsia="zh-CN"/>
        </w:rPr>
        <w:t>值</w:t>
      </w:r>
      <w:r>
        <w:rPr>
          <w:rFonts w:hint="eastAsia" w:ascii="宋体" w:hAnsi="宋体" w:cs="宋体"/>
          <w:color w:val="auto"/>
          <w:sz w:val="28"/>
          <w:szCs w:val="28"/>
          <w:highlight w:val="none"/>
        </w:rPr>
        <w:t>（按卖方投标时提供的“</w:t>
      </w:r>
      <w:r>
        <w:rPr>
          <w:rFonts w:hint="eastAsia" w:ascii="宋体" w:hAnsi="宋体" w:cs="宋体"/>
          <w:color w:val="auto"/>
          <w:sz w:val="28"/>
          <w:szCs w:val="28"/>
          <w:highlight w:val="none"/>
          <w:lang w:val="en-US" w:eastAsia="zh-CN"/>
        </w:rPr>
        <w:t>承诺值</w:t>
      </w:r>
      <w:r>
        <w:rPr>
          <w:rFonts w:hint="eastAsia" w:ascii="宋体" w:hAnsi="宋体" w:cs="宋体"/>
          <w:color w:val="auto"/>
          <w:sz w:val="28"/>
          <w:szCs w:val="28"/>
          <w:highlight w:val="none"/>
        </w:rPr>
        <w:t>”的复印件补充）</w:t>
      </w:r>
    </w:p>
    <w:p w14:paraId="5BD6AF07">
      <w:pPr>
        <w:widowControl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w:t>
      </w:r>
      <w:r>
        <w:rPr>
          <w:rFonts w:hint="eastAsia" w:ascii="宋体" w:hAnsi="宋体" w:eastAsia="宋体" w:cs="宋体"/>
          <w:color w:val="auto"/>
          <w:sz w:val="28"/>
          <w:szCs w:val="28"/>
          <w:highlight w:val="none"/>
          <w:lang w:val="en-US" w:eastAsia="zh-CN"/>
        </w:rPr>
        <w:t>九</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滤布行走</w:t>
      </w:r>
      <w:r>
        <w:rPr>
          <w:rFonts w:hint="eastAsia" w:ascii="宋体" w:hAnsi="宋体" w:eastAsia="宋体" w:cs="宋体"/>
          <w:color w:val="auto"/>
          <w:sz w:val="28"/>
          <w:szCs w:val="28"/>
          <w:highlight w:val="none"/>
          <w:lang w:val="en-US" w:eastAsia="zh-CN"/>
        </w:rPr>
        <w:t>板框</w:t>
      </w:r>
      <w:r>
        <w:rPr>
          <w:rFonts w:hint="eastAsia" w:ascii="宋体" w:hAnsi="宋体" w:eastAsia="宋体" w:cs="宋体"/>
          <w:color w:val="auto"/>
          <w:sz w:val="28"/>
          <w:szCs w:val="28"/>
          <w:highlight w:val="none"/>
        </w:rPr>
        <w:t>压滤机加药量（干剂量）占总干泥量的百分比</w:t>
      </w:r>
      <w:r>
        <w:rPr>
          <w:rFonts w:hint="eastAsia" w:ascii="宋体" w:hAnsi="宋体" w:cs="宋体"/>
          <w:color w:val="auto"/>
          <w:sz w:val="28"/>
          <w:szCs w:val="28"/>
          <w:highlight w:val="none"/>
          <w:lang w:val="en-US" w:eastAsia="zh-CN"/>
        </w:rPr>
        <w:t>的承诺</w:t>
      </w:r>
      <w:r>
        <w:rPr>
          <w:rFonts w:hint="eastAsia" w:ascii="宋体" w:hAnsi="宋体" w:eastAsia="宋体" w:cs="宋体"/>
          <w:color w:val="auto"/>
          <w:sz w:val="28"/>
          <w:szCs w:val="28"/>
          <w:highlight w:val="none"/>
          <w:lang w:val="en-US" w:eastAsia="zh-CN"/>
        </w:rPr>
        <w:t>值</w:t>
      </w:r>
      <w:r>
        <w:rPr>
          <w:rFonts w:hint="eastAsia" w:ascii="宋体" w:hAnsi="宋体" w:cs="宋体"/>
          <w:color w:val="auto"/>
          <w:sz w:val="28"/>
          <w:szCs w:val="28"/>
          <w:highlight w:val="none"/>
        </w:rPr>
        <w:t>（按卖方投标时提供的“</w:t>
      </w:r>
      <w:r>
        <w:rPr>
          <w:rFonts w:hint="eastAsia" w:ascii="宋体" w:hAnsi="宋体" w:cs="宋体"/>
          <w:color w:val="auto"/>
          <w:sz w:val="28"/>
          <w:szCs w:val="28"/>
          <w:highlight w:val="none"/>
          <w:lang w:val="en-US" w:eastAsia="zh-CN"/>
        </w:rPr>
        <w:t>承诺</w:t>
      </w:r>
      <w:r>
        <w:rPr>
          <w:rFonts w:hint="eastAsia" w:ascii="宋体" w:hAnsi="宋体" w:eastAsia="宋体" w:cs="宋体"/>
          <w:color w:val="auto"/>
          <w:sz w:val="28"/>
          <w:szCs w:val="28"/>
          <w:highlight w:val="none"/>
          <w:lang w:val="en-US" w:eastAsia="zh-CN"/>
        </w:rPr>
        <w:t>值</w:t>
      </w:r>
      <w:r>
        <w:rPr>
          <w:rFonts w:hint="eastAsia" w:ascii="宋体" w:hAnsi="宋体" w:cs="宋体"/>
          <w:color w:val="auto"/>
          <w:sz w:val="28"/>
          <w:szCs w:val="28"/>
          <w:highlight w:val="none"/>
        </w:rPr>
        <w:t>”的复印件补充）</w:t>
      </w:r>
    </w:p>
    <w:p w14:paraId="7BF8E510">
      <w:pPr>
        <w:widowControl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合同附件十：产品最迟交货时间的承诺函</w:t>
      </w:r>
      <w:r>
        <w:rPr>
          <w:rFonts w:hint="eastAsia" w:ascii="宋体" w:hAnsi="宋体" w:cs="宋体"/>
          <w:color w:val="auto"/>
          <w:sz w:val="28"/>
          <w:szCs w:val="28"/>
          <w:highlight w:val="none"/>
        </w:rPr>
        <w:t>（按卖方投标时提供的“</w:t>
      </w:r>
      <w:r>
        <w:rPr>
          <w:rFonts w:hint="eastAsia" w:ascii="宋体" w:hAnsi="宋体" w:cs="宋体"/>
          <w:color w:val="auto"/>
          <w:sz w:val="28"/>
          <w:szCs w:val="28"/>
          <w:highlight w:val="none"/>
          <w:lang w:val="en-US" w:eastAsia="zh-CN"/>
        </w:rPr>
        <w:t>承诺函</w:t>
      </w:r>
      <w:r>
        <w:rPr>
          <w:rFonts w:hint="eastAsia" w:ascii="宋体" w:hAnsi="宋体" w:cs="宋体"/>
          <w:color w:val="auto"/>
          <w:sz w:val="28"/>
          <w:szCs w:val="28"/>
          <w:highlight w:val="none"/>
        </w:rPr>
        <w:t>”的复印件补充）</w:t>
      </w:r>
    </w:p>
    <w:p w14:paraId="2460C20C">
      <w:pPr>
        <w:widowControl w:val="0"/>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合同附件十一：质保期延长的承诺函</w:t>
      </w:r>
      <w:r>
        <w:rPr>
          <w:rFonts w:hint="eastAsia" w:ascii="宋体" w:hAnsi="宋体" w:cs="宋体"/>
          <w:color w:val="auto"/>
          <w:sz w:val="28"/>
          <w:szCs w:val="28"/>
          <w:highlight w:val="none"/>
        </w:rPr>
        <w:t>（按卖方投标时提供的“</w:t>
      </w:r>
      <w:r>
        <w:rPr>
          <w:rFonts w:hint="eastAsia" w:ascii="宋体" w:hAnsi="宋体" w:cs="宋体"/>
          <w:color w:val="auto"/>
          <w:sz w:val="28"/>
          <w:szCs w:val="28"/>
          <w:highlight w:val="none"/>
          <w:lang w:val="en-US" w:eastAsia="zh-CN"/>
        </w:rPr>
        <w:t>承诺函</w:t>
      </w:r>
      <w:r>
        <w:rPr>
          <w:rFonts w:hint="eastAsia" w:ascii="宋体" w:hAnsi="宋体" w:cs="宋体"/>
          <w:color w:val="auto"/>
          <w:sz w:val="28"/>
          <w:szCs w:val="28"/>
          <w:highlight w:val="none"/>
        </w:rPr>
        <w:t>”的复印件补充）</w:t>
      </w:r>
    </w:p>
    <w:p w14:paraId="48796D0C">
      <w:pPr>
        <w:pStyle w:val="6"/>
        <w:jc w:val="center"/>
        <w:rPr>
          <w:color w:val="auto"/>
          <w:highlight w:val="none"/>
        </w:rPr>
      </w:pPr>
      <w:r>
        <w:rPr>
          <w:rFonts w:hint="eastAsia"/>
          <w:color w:val="auto"/>
          <w:szCs w:val="32"/>
          <w:highlight w:val="none"/>
        </w:rPr>
        <w:br w:type="page"/>
      </w:r>
      <w:bookmarkStart w:id="139" w:name="_Toc26868729"/>
      <w:bookmarkStart w:id="140" w:name="_Toc4005"/>
      <w:bookmarkStart w:id="141" w:name="_Toc25586722"/>
      <w:bookmarkStart w:id="142" w:name="_Toc28619635"/>
      <w:r>
        <w:rPr>
          <w:rFonts w:hint="eastAsia"/>
          <w:color w:val="auto"/>
          <w:szCs w:val="32"/>
          <w:highlight w:val="none"/>
        </w:rPr>
        <w:t>第一节 合同协议书</w:t>
      </w:r>
      <w:bookmarkEnd w:id="139"/>
      <w:bookmarkEnd w:id="140"/>
      <w:bookmarkEnd w:id="141"/>
      <w:bookmarkEnd w:id="142"/>
    </w:p>
    <w:p w14:paraId="66527107">
      <w:pPr>
        <w:widowControl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合同协议书</w:t>
      </w:r>
    </w:p>
    <w:p w14:paraId="4130C150">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（买方名称）（以下简称“买方”）</w:t>
      </w:r>
      <w:r>
        <w:rPr>
          <w:rFonts w:hint="eastAsia" w:ascii="宋体" w:hAnsi="宋体" w:cs="宋体"/>
          <w:color w:val="auto"/>
          <w:sz w:val="24"/>
          <w:szCs w:val="24"/>
          <w:highlight w:val="none"/>
        </w:rPr>
        <w:t>为获得</w:t>
      </w:r>
      <w:r>
        <w:rPr>
          <w:rFonts w:hint="eastAsia" w:ascii="宋体" w:hAnsi="宋体" w:cs="宋体"/>
          <w:color w:val="auto"/>
          <w:sz w:val="24"/>
          <w:szCs w:val="24"/>
          <w:highlight w:val="none"/>
          <w:u w:val="single"/>
          <w:lang w:eastAsia="zh-CN"/>
        </w:rPr>
        <w:t>广州市自来水有限公司南洲水厂排泥水处理系统建设工程污泥脱水集成设备采购公开招标项目</w:t>
      </w:r>
      <w:r>
        <w:rPr>
          <w:rFonts w:hint="eastAsia" w:ascii="宋体" w:hAnsi="宋体" w:cs="宋体"/>
          <w:color w:val="auto"/>
          <w:sz w:val="24"/>
          <w:szCs w:val="24"/>
          <w:highlight w:val="none"/>
        </w:rPr>
        <w:t>合同</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rPr>
        <w:t>和相关服务，已接受</w:t>
      </w:r>
      <w:r>
        <w:rPr>
          <w:rFonts w:hint="eastAsia" w:ascii="宋体" w:hAnsi="宋体" w:cs="宋体"/>
          <w:color w:val="auto"/>
          <w:sz w:val="24"/>
          <w:szCs w:val="24"/>
          <w:highlight w:val="none"/>
          <w:u w:val="single"/>
        </w:rPr>
        <w:t>（卖方名称）（以下简称“卖方”）</w:t>
      </w:r>
      <w:r>
        <w:rPr>
          <w:rFonts w:hint="eastAsia" w:ascii="宋体" w:hAnsi="宋体" w:cs="宋体"/>
          <w:color w:val="auto"/>
          <w:sz w:val="24"/>
          <w:szCs w:val="24"/>
          <w:highlight w:val="none"/>
        </w:rPr>
        <w:t>为提供上述合同</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rPr>
        <w:t>和相关服务所作的投标，买方和卖方共同达成如下协议：</w:t>
      </w:r>
    </w:p>
    <w:p w14:paraId="7BF7805B">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本协议书与下列文件一起构成合同文件：</w:t>
      </w:r>
    </w:p>
    <w:p w14:paraId="5752A6A7">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（1）中标通知书；</w:t>
      </w:r>
    </w:p>
    <w:p w14:paraId="2277DE92">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（2）投标函；</w:t>
      </w:r>
    </w:p>
    <w:p w14:paraId="79557097">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（3）商务和技术偏差表；</w:t>
      </w:r>
    </w:p>
    <w:p w14:paraId="5662DC9B">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（4）专用合同条款；</w:t>
      </w:r>
    </w:p>
    <w:p w14:paraId="73DAF212">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（5）通用合同条款；</w:t>
      </w:r>
    </w:p>
    <w:p w14:paraId="12B2A213">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（6）供货要求；</w:t>
      </w:r>
    </w:p>
    <w:p w14:paraId="4F883329">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（7）分项报价表；</w:t>
      </w:r>
    </w:p>
    <w:p w14:paraId="13BD9F8E">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（8）中标设备技术性能指标的详细描述；</w:t>
      </w:r>
    </w:p>
    <w:p w14:paraId="49A6F15A">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（9）相关服务计划；</w:t>
      </w:r>
    </w:p>
    <w:p w14:paraId="3DF1395D">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（10）其他合同文件。</w:t>
      </w:r>
    </w:p>
    <w:p w14:paraId="10ED97C9">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上述合同文件互相补充和解释。如果合同文件之间存在矛盾或不一致之处，以上述文件的排列顺序在先者为准。</w:t>
      </w:r>
    </w:p>
    <w:p w14:paraId="50521A26">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签约合同价：暂定人民币（大写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553A2A8">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卖方承诺保证完全按照合同约定提供合同</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rPr>
        <w:t>和相关服务并修补缺陷。</w:t>
      </w:r>
    </w:p>
    <w:p w14:paraId="294F14DC">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买方承诺保证按照合同约定的条件、时间和方式向卖方支付合同价款。</w:t>
      </w:r>
    </w:p>
    <w:p w14:paraId="615DBB10">
      <w:pPr>
        <w:widowControl w:val="0"/>
        <w:adjustRightInd/>
        <w:snapToGrid/>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2"/>
          <w:highlight w:val="none"/>
        </w:rPr>
        <w:t xml:space="preserve">6. </w:t>
      </w:r>
      <w:r>
        <w:rPr>
          <w:rFonts w:hint="eastAsia" w:ascii="宋体" w:hAnsi="宋体" w:cs="宋体"/>
          <w:color w:val="auto"/>
          <w:sz w:val="24"/>
          <w:szCs w:val="24"/>
          <w:highlight w:val="none"/>
        </w:rPr>
        <w:t>合同</w:t>
      </w:r>
      <w:r>
        <w:rPr>
          <w:rFonts w:hint="eastAsia" w:ascii="宋体" w:hAnsi="宋体" w:cs="宋体"/>
          <w:color w:val="auto"/>
          <w:sz w:val="24"/>
          <w:szCs w:val="24"/>
          <w:highlight w:val="none"/>
          <w:lang w:val="en-US" w:eastAsia="zh-CN"/>
        </w:rPr>
        <w:t>供货期</w:t>
      </w:r>
      <w:r>
        <w:rPr>
          <w:rFonts w:hint="eastAsia" w:ascii="宋体" w:hAnsi="宋体" w:cs="宋体"/>
          <w:color w:val="auto"/>
          <w:sz w:val="24"/>
          <w:szCs w:val="22"/>
          <w:highlight w:val="none"/>
        </w:rPr>
        <w:t>：</w:t>
      </w:r>
      <w:r>
        <w:rPr>
          <w:rFonts w:hint="eastAsia" w:ascii="宋体" w:hAnsi="宋体" w:cs="宋体"/>
          <w:color w:val="auto"/>
          <w:sz w:val="24"/>
          <w:szCs w:val="22"/>
          <w:highlight w:val="none"/>
          <w:u w:val="none"/>
          <w:lang w:val="en-US" w:eastAsia="zh-CN"/>
        </w:rPr>
        <w:t>供货期暂定自合同生效之日起至本项目各工程完工验收为止。本项目的交货期根据工程施工进度，最迟交货时间不得超过业主提出要求供货后</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none"/>
          <w:lang w:val="en-US" w:eastAsia="zh-CN"/>
        </w:rPr>
        <w:t>天，质量保证期为最终验收之日起</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none"/>
          <w:lang w:val="en-US" w:eastAsia="zh-CN"/>
        </w:rPr>
        <w:t>年。</w:t>
      </w:r>
    </w:p>
    <w:p w14:paraId="4475DEA8">
      <w:pPr>
        <w:widowControl w:val="0"/>
        <w:adjustRightInd w:val="0"/>
        <w:snapToGri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 签定合同时确定的用于收款的“开户银行名称、账户名称（简称户名）及账号”，卖方在履行合同中不得变更。否则，买方有权拒绝合同授予、停止款项的拨付，且有权解除本合同，所造成的一切后果由卖方承担。</w:t>
      </w:r>
    </w:p>
    <w:p w14:paraId="7CED8C33">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 本合同书正本一式两份，具有同等法律效力，由双方各执一份；副本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份，买方执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份，卖方执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1A6FCB19">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rPr>
        <w:tab/>
      </w:r>
      <w:r>
        <w:rPr>
          <w:rFonts w:hint="eastAsia" w:ascii="宋体" w:hAnsi="宋体" w:cs="宋体"/>
          <w:color w:val="auto"/>
          <w:sz w:val="24"/>
          <w:szCs w:val="24"/>
          <w:highlight w:val="none"/>
        </w:rPr>
        <w:t>合同未尽事宜，双方另行签订补充协议，补充协议是合同的组成部分。</w:t>
      </w:r>
    </w:p>
    <w:p w14:paraId="57975039">
      <w:pPr>
        <w:widowControl w:val="0"/>
        <w:adjustRightInd w:val="0"/>
        <w:snapToGrid w:val="0"/>
        <w:spacing w:line="360" w:lineRule="auto"/>
        <w:rPr>
          <w:rFonts w:ascii="宋体" w:hAnsi="宋体" w:cs="宋体"/>
          <w:color w:val="auto"/>
          <w:sz w:val="24"/>
          <w:szCs w:val="24"/>
          <w:highlight w:val="none"/>
        </w:rPr>
        <w:sectPr>
          <w:footerReference r:id="rId3" w:type="default"/>
          <w:pgSz w:w="11906" w:h="16838"/>
          <w:pgMar w:top="1418" w:right="1418" w:bottom="1418" w:left="1418" w:header="851" w:footer="992" w:gutter="0"/>
          <w:cols w:space="720" w:num="1"/>
          <w:docGrid w:type="lines" w:linePitch="312" w:charSpace="0"/>
        </w:sectPr>
      </w:pPr>
    </w:p>
    <w:p w14:paraId="1319E513">
      <w:pPr>
        <w:widowControl w:val="0"/>
        <w:adjustRightInd w:val="0"/>
        <w:snapToGrid w:val="0"/>
        <w:spacing w:line="360" w:lineRule="auto"/>
        <w:rPr>
          <w:rFonts w:ascii="宋体" w:hAnsi="宋体" w:cs="宋体"/>
          <w:color w:val="auto"/>
          <w:sz w:val="24"/>
          <w:szCs w:val="24"/>
          <w:highlight w:val="none"/>
        </w:rPr>
      </w:pPr>
    </w:p>
    <w:p w14:paraId="6EC7427D">
      <w:pPr>
        <w:widowControl w:val="0"/>
        <w:adjustRightInd w:val="0"/>
        <w:snapToGrid w:val="0"/>
        <w:spacing w:line="360" w:lineRule="auto"/>
        <w:rPr>
          <w:rFonts w:ascii="宋体" w:hAnsi="宋体" w:cs="宋体"/>
          <w:color w:val="auto"/>
          <w:sz w:val="24"/>
          <w:szCs w:val="24"/>
          <w:highlight w:val="none"/>
        </w:rPr>
      </w:pPr>
    </w:p>
    <w:p w14:paraId="25E68E6F">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买方：</w:t>
      </w:r>
      <w:r>
        <w:rPr>
          <w:rFonts w:hint="eastAsia" w:ascii="宋体" w:hAnsi="宋体" w:cs="宋体"/>
          <w:color w:val="auto"/>
          <w:sz w:val="24"/>
          <w:szCs w:val="24"/>
          <w:highlight w:val="none"/>
        </w:rPr>
        <w:tab/>
      </w:r>
      <w:r>
        <w:rPr>
          <w:rFonts w:hint="eastAsia" w:ascii="宋体" w:hAnsi="宋体" w:cs="宋体"/>
          <w:color w:val="auto"/>
          <w:sz w:val="24"/>
          <w:szCs w:val="24"/>
          <w:highlight w:val="none"/>
        </w:rPr>
        <w:t>（盖单位章）</w:t>
      </w:r>
    </w:p>
    <w:p w14:paraId="16AA0ACC">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法定代表人（单位负责人）或其委托代理人：（签字/盖章）</w:t>
      </w:r>
    </w:p>
    <w:p w14:paraId="6BDED190">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780FCDDC">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7CB6F6E2">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通讯地址：</w:t>
      </w:r>
    </w:p>
    <w:p w14:paraId="1709FF28">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纳税人识别号：</w:t>
      </w:r>
    </w:p>
    <w:p w14:paraId="3A0F64B9">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20  年  月  日</w:t>
      </w:r>
    </w:p>
    <w:p w14:paraId="2E0F5F8E">
      <w:pPr>
        <w:widowControl w:val="0"/>
        <w:adjustRightInd w:val="0"/>
        <w:snapToGrid w:val="0"/>
        <w:spacing w:line="360" w:lineRule="auto"/>
        <w:rPr>
          <w:rFonts w:ascii="宋体" w:hAnsi="宋体" w:cs="宋体"/>
          <w:color w:val="auto"/>
          <w:sz w:val="24"/>
          <w:szCs w:val="24"/>
          <w:highlight w:val="none"/>
        </w:rPr>
      </w:pPr>
    </w:p>
    <w:p w14:paraId="63FB1139">
      <w:pPr>
        <w:widowControl w:val="0"/>
        <w:adjustRightInd w:val="0"/>
        <w:snapToGrid w:val="0"/>
        <w:spacing w:line="360" w:lineRule="auto"/>
        <w:rPr>
          <w:rFonts w:ascii="宋体" w:hAnsi="宋体" w:cs="宋体"/>
          <w:color w:val="auto"/>
          <w:sz w:val="24"/>
          <w:szCs w:val="24"/>
          <w:highlight w:val="none"/>
        </w:rPr>
      </w:pPr>
    </w:p>
    <w:p w14:paraId="16779179">
      <w:pPr>
        <w:widowControl w:val="0"/>
        <w:adjustRightInd w:val="0"/>
        <w:snapToGrid w:val="0"/>
        <w:spacing w:line="360" w:lineRule="auto"/>
        <w:rPr>
          <w:rFonts w:ascii="宋体" w:hAnsi="宋体" w:cs="宋体"/>
          <w:color w:val="auto"/>
          <w:sz w:val="24"/>
          <w:szCs w:val="24"/>
          <w:highlight w:val="none"/>
        </w:rPr>
      </w:pPr>
    </w:p>
    <w:p w14:paraId="0D10D9FD">
      <w:pPr>
        <w:widowControl w:val="0"/>
        <w:adjustRightInd w:val="0"/>
        <w:snapToGrid w:val="0"/>
        <w:spacing w:line="360" w:lineRule="auto"/>
        <w:rPr>
          <w:rFonts w:ascii="宋体" w:hAnsi="宋体" w:cs="宋体"/>
          <w:color w:val="auto"/>
          <w:sz w:val="24"/>
          <w:szCs w:val="24"/>
          <w:highlight w:val="none"/>
        </w:rPr>
      </w:pPr>
    </w:p>
    <w:p w14:paraId="7F1B0144">
      <w:pPr>
        <w:widowControl w:val="0"/>
        <w:adjustRightInd w:val="0"/>
        <w:snapToGrid w:val="0"/>
        <w:spacing w:line="360" w:lineRule="auto"/>
        <w:rPr>
          <w:rFonts w:ascii="宋体" w:hAnsi="宋体" w:cs="宋体"/>
          <w:color w:val="auto"/>
          <w:sz w:val="24"/>
          <w:szCs w:val="24"/>
          <w:highlight w:val="none"/>
        </w:rPr>
      </w:pPr>
    </w:p>
    <w:p w14:paraId="60A96C56">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卖方：</w:t>
      </w:r>
      <w:r>
        <w:rPr>
          <w:rFonts w:hint="eastAsia" w:ascii="宋体" w:hAnsi="宋体" w:cs="宋体"/>
          <w:color w:val="auto"/>
          <w:sz w:val="24"/>
          <w:szCs w:val="24"/>
          <w:highlight w:val="none"/>
        </w:rPr>
        <w:tab/>
      </w:r>
      <w:r>
        <w:rPr>
          <w:rFonts w:hint="eastAsia" w:ascii="宋体" w:hAnsi="宋体" w:cs="宋体"/>
          <w:color w:val="auto"/>
          <w:sz w:val="24"/>
          <w:szCs w:val="24"/>
          <w:highlight w:val="none"/>
        </w:rPr>
        <w:t>（盖单位章）</w:t>
      </w:r>
    </w:p>
    <w:p w14:paraId="3F17D0C1">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法定代表人（单位负责人）或其委托代理人：（签字/盖章）</w:t>
      </w:r>
    </w:p>
    <w:p w14:paraId="7077C2A9">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6F6FDEDF">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联系电话：</w:t>
      </w:r>
    </w:p>
    <w:p w14:paraId="542A28E9">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通讯地址：</w:t>
      </w:r>
    </w:p>
    <w:p w14:paraId="04EC929D">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开户银行：</w:t>
      </w:r>
    </w:p>
    <w:p w14:paraId="7EE3B96F">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账号名称：</w:t>
      </w:r>
    </w:p>
    <w:p w14:paraId="23FCE206">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账号：</w:t>
      </w:r>
    </w:p>
    <w:p w14:paraId="1ECD15B5">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20  年  月  日</w:t>
      </w:r>
    </w:p>
    <w:p w14:paraId="1C5BA007">
      <w:pPr>
        <w:widowControl w:val="0"/>
        <w:adjustRightInd w:val="0"/>
        <w:snapToGrid w:val="0"/>
        <w:spacing w:line="360" w:lineRule="auto"/>
        <w:rPr>
          <w:rFonts w:ascii="宋体" w:hAnsi="宋体" w:cs="宋体"/>
          <w:color w:val="auto"/>
          <w:sz w:val="24"/>
          <w:szCs w:val="24"/>
          <w:highlight w:val="none"/>
        </w:rPr>
      </w:pPr>
    </w:p>
    <w:p w14:paraId="0E881DE7">
      <w:pPr>
        <w:widowControl w:val="0"/>
        <w:rPr>
          <w:rFonts w:ascii="宋体" w:hAnsi="宋体" w:cs="宋体"/>
          <w:color w:val="auto"/>
          <w:highlight w:val="none"/>
        </w:rPr>
      </w:pPr>
      <w:bookmarkStart w:id="143" w:name="_Toc26868730"/>
      <w:bookmarkStart w:id="144" w:name="_Toc25586723"/>
      <w:bookmarkStart w:id="145" w:name="_Toc28619636"/>
      <w:r>
        <w:rPr>
          <w:rFonts w:hint="eastAsia" w:ascii="宋体" w:hAnsi="宋体" w:cs="宋体"/>
          <w:color w:val="auto"/>
          <w:highlight w:val="none"/>
        </w:rPr>
        <w:br w:type="page"/>
      </w:r>
    </w:p>
    <w:p w14:paraId="50F9E89E">
      <w:pPr>
        <w:pStyle w:val="6"/>
        <w:jc w:val="center"/>
        <w:rPr>
          <w:color w:val="auto"/>
          <w:highlight w:val="none"/>
        </w:rPr>
      </w:pPr>
      <w:bookmarkStart w:id="146" w:name="_Toc14560"/>
      <w:r>
        <w:rPr>
          <w:rFonts w:hint="eastAsia"/>
          <w:color w:val="auto"/>
          <w:highlight w:val="none"/>
        </w:rPr>
        <w:t>第二节 通用合同条款</w:t>
      </w:r>
      <w:bookmarkEnd w:id="143"/>
      <w:bookmarkEnd w:id="144"/>
      <w:bookmarkEnd w:id="145"/>
      <w:bookmarkEnd w:id="146"/>
    </w:p>
    <w:p w14:paraId="51944B75">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一般约定</w:t>
      </w:r>
    </w:p>
    <w:p w14:paraId="27750F1C">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1.1 词语定义</w:t>
      </w:r>
    </w:p>
    <w:p w14:paraId="03FADEC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除专用合同条款另有约定外，合同中的下列词语应具有本款所赋予的含义。</w:t>
      </w:r>
    </w:p>
    <w:p w14:paraId="5F32C12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 合同</w:t>
      </w:r>
    </w:p>
    <w:p w14:paraId="3D638D0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1.1.1.1 合同文件（或称合同）：指合同协议书、中标通知书、投标函、商务和技术偏差表、专用合同条款、通用合同条款、供货要求、分项报价表、中标设备</w:t>
      </w:r>
      <w:r>
        <w:rPr>
          <w:rFonts w:hint="eastAsia" w:ascii="宋体" w:hAnsi="宋体" w:eastAsia="宋体" w:cs="宋体"/>
          <w:color w:val="auto"/>
          <w:sz w:val="24"/>
          <w:szCs w:val="24"/>
          <w:highlight w:val="none"/>
        </w:rPr>
        <w:t>质量标准的详细描述、相关服务计划</w:t>
      </w:r>
      <w:r>
        <w:rPr>
          <w:rFonts w:hint="eastAsia" w:ascii="宋体" w:hAnsi="宋体" w:eastAsia="宋体" w:cs="Times New Roman"/>
          <w:color w:val="auto"/>
          <w:sz w:val="24"/>
          <w:szCs w:val="24"/>
          <w:highlight w:val="none"/>
        </w:rPr>
        <w:t>，以及其他构成合同组成部分的文件。</w:t>
      </w:r>
    </w:p>
    <w:p w14:paraId="43398EB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1.1.1.2 合同协议书：指买方和卖方共同签署的合同协议书。</w:t>
      </w:r>
    </w:p>
    <w:p w14:paraId="12D4139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1.1.1.3 中标通知书：指买方通知卖方中标的函件。</w:t>
      </w:r>
    </w:p>
    <w:p w14:paraId="50E6728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1.1.1.4 投标函：指由卖方填写并签署的，名为“投标函”的函件。</w:t>
      </w:r>
    </w:p>
    <w:p w14:paraId="43E9613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1.1.1.5 商务和技术偏差表：指卖方投标文件中的商务和技术偏差表。</w:t>
      </w:r>
    </w:p>
    <w:p w14:paraId="0F27E5F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1.1.1.6 供货要求：指合同文件中名为“供货要求”的文件。</w:t>
      </w:r>
    </w:p>
    <w:p w14:paraId="623DFCE3">
      <w:pPr>
        <w:widowControl w:val="0"/>
        <w:adjustRightInd w:val="0"/>
        <w:snapToGrid/>
        <w:spacing w:beforeLines="0" w:afterLines="0" w:line="360" w:lineRule="auto"/>
        <w:ind w:firstLine="480" w:firstLineChars="200"/>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1.1.1.7 中标设备</w:t>
      </w:r>
      <w:r>
        <w:rPr>
          <w:rFonts w:hint="eastAsia" w:ascii="宋体" w:hAnsi="宋体" w:eastAsia="宋体" w:cs="宋体"/>
          <w:color w:val="auto"/>
          <w:sz w:val="24"/>
          <w:szCs w:val="24"/>
          <w:highlight w:val="none"/>
        </w:rPr>
        <w:t>质量标准的详细描述：指卖方投标文件中的投标</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质量标准的详细描述</w:t>
      </w:r>
      <w:r>
        <w:rPr>
          <w:rFonts w:hint="eastAsia" w:ascii="宋体" w:hAnsi="宋体" w:eastAsia="宋体" w:cs="Times New Roman"/>
          <w:color w:val="auto"/>
          <w:sz w:val="24"/>
          <w:szCs w:val="24"/>
          <w:highlight w:val="none"/>
        </w:rPr>
        <w:t>。</w:t>
      </w:r>
    </w:p>
    <w:p w14:paraId="36A5174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1.1.1.8 </w:t>
      </w:r>
      <w:r>
        <w:rPr>
          <w:rFonts w:hint="eastAsia" w:ascii="宋体" w:hAnsi="宋体" w:eastAsia="宋体" w:cs="Times New Roman"/>
          <w:color w:val="auto"/>
          <w:sz w:val="24"/>
          <w:szCs w:val="24"/>
          <w:highlight w:val="none"/>
          <w:lang w:val="en-US" w:eastAsia="zh-CN"/>
        </w:rPr>
        <w:t>相关</w:t>
      </w:r>
      <w:r>
        <w:rPr>
          <w:rFonts w:hint="eastAsia" w:ascii="宋体" w:hAnsi="宋体" w:eastAsia="宋体" w:cs="Times New Roman"/>
          <w:color w:val="auto"/>
          <w:sz w:val="24"/>
          <w:szCs w:val="24"/>
          <w:highlight w:val="none"/>
        </w:rPr>
        <w:t>服务计划：指卖方投标文件中的</w:t>
      </w:r>
      <w:r>
        <w:rPr>
          <w:rFonts w:hint="eastAsia" w:ascii="宋体" w:hAnsi="宋体" w:eastAsia="宋体" w:cs="Times New Roman"/>
          <w:color w:val="auto"/>
          <w:sz w:val="24"/>
          <w:szCs w:val="24"/>
          <w:highlight w:val="none"/>
          <w:lang w:val="en-US" w:eastAsia="zh-CN"/>
        </w:rPr>
        <w:t>相关</w:t>
      </w:r>
      <w:r>
        <w:rPr>
          <w:rFonts w:hint="eastAsia" w:ascii="宋体" w:hAnsi="宋体" w:eastAsia="宋体" w:cs="Times New Roman"/>
          <w:color w:val="auto"/>
          <w:sz w:val="24"/>
          <w:szCs w:val="24"/>
          <w:highlight w:val="none"/>
        </w:rPr>
        <w:t>服务计划。</w:t>
      </w:r>
    </w:p>
    <w:p w14:paraId="063EEDE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1.1.1.9 分项报价表：指卖方投标文件中的分项报价表。</w:t>
      </w:r>
    </w:p>
    <w:p w14:paraId="0DAE3E6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1.1.1.10 其他合同文件：指经合同双方当事人确认构成合同文件的其他文件。</w:t>
      </w:r>
    </w:p>
    <w:p w14:paraId="2E6E4BC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合同当事人</w:t>
      </w:r>
    </w:p>
    <w:p w14:paraId="2F18CE6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1.1.2.1 合同当事人：指买方和（或）卖方。</w:t>
      </w:r>
    </w:p>
    <w:p w14:paraId="5076EC5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1.1.2.2 买方：指与卖方签订合同协议书，购买合同设备和</w:t>
      </w:r>
      <w:r>
        <w:rPr>
          <w:rFonts w:hint="eastAsia" w:ascii="宋体" w:hAnsi="宋体" w:eastAsia="宋体" w:cs="Times New Roman"/>
          <w:color w:val="auto"/>
          <w:sz w:val="24"/>
          <w:szCs w:val="24"/>
          <w:highlight w:val="none"/>
          <w:lang w:val="en-US" w:eastAsia="zh-CN"/>
        </w:rPr>
        <w:t>相关</w:t>
      </w:r>
      <w:r>
        <w:rPr>
          <w:rFonts w:hint="eastAsia" w:ascii="宋体" w:hAnsi="宋体" w:eastAsia="宋体" w:cs="Times New Roman"/>
          <w:color w:val="auto"/>
          <w:sz w:val="24"/>
          <w:szCs w:val="24"/>
          <w:highlight w:val="none"/>
        </w:rPr>
        <w:t>服务的当事人，及其合法继承人。</w:t>
      </w:r>
    </w:p>
    <w:p w14:paraId="0A18C1E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1.1.2.3 卖方：指与买方签订合同协议书，提供合同设备和</w:t>
      </w:r>
      <w:r>
        <w:rPr>
          <w:rFonts w:hint="eastAsia" w:ascii="宋体" w:hAnsi="宋体" w:eastAsia="宋体" w:cs="Times New Roman"/>
          <w:color w:val="auto"/>
          <w:sz w:val="24"/>
          <w:szCs w:val="24"/>
          <w:highlight w:val="none"/>
          <w:lang w:val="en-US" w:eastAsia="zh-CN"/>
        </w:rPr>
        <w:t>相关</w:t>
      </w:r>
      <w:r>
        <w:rPr>
          <w:rFonts w:hint="eastAsia" w:ascii="宋体" w:hAnsi="宋体" w:eastAsia="宋体" w:cs="Times New Roman"/>
          <w:color w:val="auto"/>
          <w:sz w:val="24"/>
          <w:szCs w:val="24"/>
          <w:highlight w:val="none"/>
        </w:rPr>
        <w:t>服务的当事人，及其合法继承人。</w:t>
      </w:r>
    </w:p>
    <w:p w14:paraId="3A4EEDC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 合同价格</w:t>
      </w:r>
    </w:p>
    <w:p w14:paraId="5613EC1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1.1.3.1 签约合同价：是签订合同时合同协议书中写明的合同总金额。</w:t>
      </w:r>
    </w:p>
    <w:p w14:paraId="2CE5ED0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1.1.3.2 合同价格：指卖方按合同约定履行了全部合同义务后，买方应付给卖方的金额。</w:t>
      </w:r>
    </w:p>
    <w:p w14:paraId="3A265AB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1.1.4 合同设备：指卖方按合同约定应向买方提供的设备、装置、备品、备件、易损易耗件、配套使用的软件或其他辅助电子应用程序及技术资料，或其中任何一部分。</w:t>
      </w:r>
    </w:p>
    <w:p w14:paraId="02475B4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1.1.5 技术资料：指各种纸质及电子载体的与合同设备的设计、检验、安装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或指导安装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、操作、维修以及保养等有关的技术指标、规格、图纸和说明文件。</w:t>
      </w:r>
    </w:p>
    <w:p w14:paraId="2807910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1.1.6 安装：指对合同设备进行的组装、连接以及根据需要将合同设备固定在施工场地内一定的位置上，使其就位并与相关设备、工程实现连接。</w:t>
      </w:r>
    </w:p>
    <w:p w14:paraId="15C738F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1.1.7 调试：指在合同设备安装完成后，对合同设备所进行的调校和测试。</w:t>
      </w:r>
    </w:p>
    <w:p w14:paraId="757EDCA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1.1.8 </w:t>
      </w:r>
      <w:r>
        <w:rPr>
          <w:rFonts w:hint="eastAsia" w:ascii="宋体" w:hAnsi="宋体" w:eastAsia="宋体" w:cs="Times New Roman"/>
          <w:color w:val="auto"/>
          <w:sz w:val="24"/>
          <w:szCs w:val="24"/>
          <w:highlight w:val="none"/>
          <w:lang w:val="en-US" w:eastAsia="zh-CN"/>
        </w:rPr>
        <w:t>试运行验收</w:t>
      </w:r>
      <w:r>
        <w:rPr>
          <w:rFonts w:hint="eastAsia" w:ascii="宋体" w:hAnsi="宋体" w:eastAsia="宋体" w:cs="Times New Roman"/>
          <w:color w:val="auto"/>
          <w:sz w:val="24"/>
          <w:szCs w:val="24"/>
          <w:highlight w:val="none"/>
        </w:rPr>
        <w:t>：指在合同设备调试完成后，对合同设备进行</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的</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用于确定其是否达到合同约定的技术性能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指标的</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w:t>
      </w:r>
    </w:p>
    <w:p w14:paraId="080C711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1.1.9 </w:t>
      </w:r>
      <w:r>
        <w:rPr>
          <w:rFonts w:hint="eastAsia" w:ascii="宋体" w:hAnsi="宋体" w:eastAsia="宋体" w:cs="Times New Roman"/>
          <w:color w:val="auto"/>
          <w:sz w:val="24"/>
          <w:szCs w:val="24"/>
          <w:highlight w:val="none"/>
          <w:lang w:val="en-US" w:eastAsia="zh-CN"/>
        </w:rPr>
        <w:t>最终</w:t>
      </w:r>
      <w:r>
        <w:rPr>
          <w:rFonts w:hint="eastAsia" w:ascii="宋体" w:hAnsi="宋体" w:eastAsia="宋体" w:cs="Times New Roman"/>
          <w:color w:val="auto"/>
          <w:sz w:val="24"/>
          <w:szCs w:val="24"/>
          <w:highlight w:val="none"/>
        </w:rPr>
        <w:t>验收：指合同设备通过</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指标后，买方作出接受合同设备的确认。</w:t>
      </w:r>
    </w:p>
    <w:p w14:paraId="01DDA56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1.1.10 技术服务：指卖方按合同约定，在合同设备验收前，向买方提供的安装、调试服务，或者在由买方负责的安装、调试、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中对买方进行的技术指导、协助、监督和培训等。</w:t>
      </w:r>
    </w:p>
    <w:p w14:paraId="4EB4176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1.1.11 质量保证期：指合同设备验收后，卖方按合同约定保证合同设备适当、稳定运行，并负责消除合同设备故障的期限。</w:t>
      </w:r>
    </w:p>
    <w:p w14:paraId="7733A7A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1.1.12 质保期服务：指在质量保证期内，卖方向买方提供的合同设备维护服务、咨询服务、技术指导、协助以及对出现故障的合同设备进行修理或更换的服务。</w:t>
      </w:r>
    </w:p>
    <w:p w14:paraId="754C9EE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1.1.13 工程</w:t>
      </w:r>
    </w:p>
    <w:p w14:paraId="3C4BC2E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1.1.13.1 工程：指在专用合同条款中指明的，安装运行合同设备的工程。</w:t>
      </w:r>
    </w:p>
    <w:p w14:paraId="45850CF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1.1.13.2 施工场地（或称工地、施工现场）：指专用合同条款中指明的工程所在场所。</w:t>
      </w:r>
    </w:p>
    <w:p w14:paraId="2DABB5D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14:paraId="0C668A5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1.1.15 月：按照公历月计算。合同中按月计算时间的，开始当天不计入，从次日开始计算。合同约定的期间的最后一天是星期日或者其他法定休假日的，以休假日的次日为期间的最后一天。</w:t>
      </w:r>
    </w:p>
    <w:p w14:paraId="7BF310F7">
      <w:pPr>
        <w:widowControl w:val="0"/>
        <w:adjustRightInd w:val="0"/>
        <w:snapToGrid/>
        <w:spacing w:beforeLines="0" w:afterLines="0" w:line="360" w:lineRule="auto"/>
        <w:ind w:firstLine="480" w:firstLineChars="200"/>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1.1.16 书面形式：指合同文件、信件和数据电文（包括电报、电传、传真、电子数据交换和电子邮件）等可以有形地表现所载内容的形式。</w:t>
      </w:r>
    </w:p>
    <w:p w14:paraId="11AB6CAA">
      <w:pPr>
        <w:widowControl w:val="0"/>
        <w:adjustRightInd w:val="0"/>
        <w:snapToGrid/>
        <w:spacing w:beforeLines="0" w:afterLines="0" w:line="360" w:lineRule="auto"/>
        <w:ind w:firstLine="480" w:firstLineChars="200"/>
        <w:outlineLvl w:val="9"/>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不可抗力：是指任何一方当事人不能预见、不能避免并不能克服的自然灾害和社会性突发事件，如地震、海啸、瘟疫、水灾、骚乱、暴动、战争和专用合同条款约定的其他情形。</w:t>
      </w:r>
    </w:p>
    <w:p w14:paraId="13482932">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1.2 语言文字</w:t>
      </w:r>
    </w:p>
    <w:p w14:paraId="297AA36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合同使用的语言文字为中文。专用术语使用外文的，应附有中文注释。</w:t>
      </w:r>
    </w:p>
    <w:p w14:paraId="66EEF402">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1.3 合同文件的优先顺序</w:t>
      </w:r>
    </w:p>
    <w:p w14:paraId="24D86CD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组成合同的各项文件应互相解释，互为说明。除专用合同条款另有约定外，解释合同文件的优先顺序如下：</w:t>
      </w:r>
    </w:p>
    <w:p w14:paraId="3AAE0D1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（1）合同协议书；</w:t>
      </w:r>
    </w:p>
    <w:p w14:paraId="4228AB1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（2）中标通知书；</w:t>
      </w:r>
    </w:p>
    <w:p w14:paraId="6F368C7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（3）投标函；</w:t>
      </w:r>
    </w:p>
    <w:p w14:paraId="2855EC0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（4）商务和技术偏差表；</w:t>
      </w:r>
    </w:p>
    <w:p w14:paraId="489005E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（5）专用合同条款；</w:t>
      </w:r>
    </w:p>
    <w:p w14:paraId="17EA8C1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（6）通用合同条款；</w:t>
      </w:r>
    </w:p>
    <w:p w14:paraId="0DEA59C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（7）供货要求；</w:t>
      </w:r>
    </w:p>
    <w:p w14:paraId="7F92AE4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（8）分项报价表；</w:t>
      </w:r>
    </w:p>
    <w:p w14:paraId="3A2B127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（9）中标设备技术性能指标的详细描述；</w:t>
      </w:r>
    </w:p>
    <w:p w14:paraId="1FF7F0F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w:t>
      </w:r>
      <w:r>
        <w:rPr>
          <w:rFonts w:hint="eastAsia" w:ascii="宋体" w:hAnsi="宋体" w:eastAsia="宋体" w:cs="Times New Roman"/>
          <w:color w:val="auto"/>
          <w:sz w:val="24"/>
          <w:szCs w:val="24"/>
          <w:highlight w:val="none"/>
          <w:lang w:val="en-US" w:eastAsia="zh-CN"/>
        </w:rPr>
        <w:t>相关</w:t>
      </w:r>
      <w:r>
        <w:rPr>
          <w:rFonts w:hint="eastAsia" w:ascii="宋体" w:hAnsi="宋体" w:eastAsia="宋体" w:cs="Times New Roman"/>
          <w:color w:val="auto"/>
          <w:sz w:val="24"/>
          <w:szCs w:val="24"/>
          <w:highlight w:val="none"/>
        </w:rPr>
        <w:t>服务计划；</w:t>
      </w:r>
    </w:p>
    <w:p w14:paraId="7B59FC2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（11）其他合同文件。</w:t>
      </w:r>
    </w:p>
    <w:p w14:paraId="6DD95FF9">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1.4 合同的生效及变更</w:t>
      </w:r>
    </w:p>
    <w:p w14:paraId="24D44DC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除专用合同条款另有约定外，买方和卖方的法定代表人（单位负责人）或其授权代表在合同协议书上签字并加盖单位章后，合同生效。</w:t>
      </w:r>
    </w:p>
    <w:p w14:paraId="5A87FBF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1.4.2 除专用合同条款另有约定外，在合同履行过程中，如需对合同进行变更，双方应签订书面协议，并经双方法定代表人（单位负责人）或其授权代表签字并加盖单位章后生效。</w:t>
      </w:r>
    </w:p>
    <w:p w14:paraId="6537DA90">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1.5 联络</w:t>
      </w:r>
    </w:p>
    <w:p w14:paraId="0458AA8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6ED6DAC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1.5.2 合同履行中或与合同有关的任何联络，送达到第 1.5.1 项指定的联系人即视为送达。</w:t>
      </w:r>
    </w:p>
    <w:p w14:paraId="681BB9F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1.5.3 买方可以安排监理等相关人员作为买方人员，与卖方进行联络或参加合同设备的监造（如有）、交货前检验（如有）、开箱检验、安装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或指导安装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验收等，但应按照第 1.5.1 项的约定事先书面通知卖方。</w:t>
      </w:r>
    </w:p>
    <w:p w14:paraId="1DCD38F0">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1.6 联合体</w:t>
      </w:r>
    </w:p>
    <w:p w14:paraId="42EB272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卖方为联合体的，联合体各方应当共同与买方签订合同，并向买方为履行合同承担连带责任。</w:t>
      </w:r>
    </w:p>
    <w:p w14:paraId="3FA8991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1.6.2 在合同履行过程中，未经买方同意，不得修改联合体协议。联合体协议中关于联合体成员间权利义务的划分，并不影响或减损联合体各方应就履行合同向买方承担的连带责任。</w:t>
      </w:r>
    </w:p>
    <w:p w14:paraId="7B754FA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14:paraId="34BA19D5">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1.7 转让</w:t>
      </w:r>
    </w:p>
    <w:p w14:paraId="7280207B">
      <w:pPr>
        <w:widowControl w:val="0"/>
        <w:adjustRightInd w:val="0"/>
        <w:snapToGrid/>
        <w:spacing w:before="0" w:beforeLines="0" w:after="0" w:afterLines="0" w:line="360" w:lineRule="auto"/>
        <w:ind w:firstLine="240" w:firstLineChars="100"/>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未经对方当事人书面同意，合同任何一方均不得转让其在合同项下的权利和（或）义务。</w:t>
      </w:r>
    </w:p>
    <w:p w14:paraId="6C0AD205">
      <w:pPr>
        <w:widowControl w:val="0"/>
        <w:adjustRightInd w:val="0"/>
        <w:snapToGrid/>
        <w:spacing w:before="0" w:beforeLines="0" w:after="0" w:afterLines="0" w:line="360" w:lineRule="auto"/>
        <w:ind w:firstLine="241" w:firstLineChars="100"/>
        <w:outlineLvl w:val="9"/>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1.8知识产权</w:t>
      </w:r>
    </w:p>
    <w:p w14:paraId="4FA0E33D">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或其中的技术资料涉及知识产权的，卖方保证买方免于受到任何知识产权侵权的主张、索赔或诉讼的伤害。</w:t>
      </w:r>
    </w:p>
    <w:p w14:paraId="16EA3AA3">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1.8.2如果买方收到任何第三方有关知识产权的主张、索赔或诉讼，卖方在收到买方通知后，应以买方名义处理与第三方的索赔或诉讼，并承担因此产生的费用以及给买方造成的损失。</w:t>
      </w:r>
    </w:p>
    <w:p w14:paraId="14620CEE">
      <w:pPr>
        <w:widowControl w:val="0"/>
        <w:adjustRightInd w:val="0"/>
        <w:snapToGrid/>
        <w:spacing w:before="0" w:beforeLines="0" w:after="0" w:afterLines="0" w:line="360" w:lineRule="auto"/>
        <w:ind w:firstLine="241" w:firstLineChars="100"/>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1.9保密</w:t>
      </w:r>
    </w:p>
    <w:p w14:paraId="788B7479">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14:paraId="4979430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p>
    <w:p w14:paraId="75D89CA3">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2.</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合同范围</w:t>
      </w:r>
    </w:p>
    <w:p w14:paraId="2FB1494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卖方应根据供货要求、中标设备技术性能指标的详细描述、</w:t>
      </w:r>
      <w:r>
        <w:rPr>
          <w:rFonts w:hint="eastAsia" w:ascii="宋体" w:hAnsi="宋体" w:eastAsia="宋体" w:cs="Times New Roman"/>
          <w:color w:val="auto"/>
          <w:sz w:val="24"/>
          <w:szCs w:val="24"/>
          <w:highlight w:val="none"/>
          <w:lang w:val="en-US" w:eastAsia="zh-CN"/>
        </w:rPr>
        <w:t>相关</w:t>
      </w:r>
      <w:r>
        <w:rPr>
          <w:rFonts w:hint="eastAsia" w:ascii="宋体" w:hAnsi="宋体" w:eastAsia="宋体" w:cs="Times New Roman"/>
          <w:color w:val="auto"/>
          <w:sz w:val="24"/>
          <w:szCs w:val="24"/>
          <w:highlight w:val="none"/>
        </w:rPr>
        <w:t>服务计划等合同文件的约定向买方提供合同设备</w:t>
      </w:r>
      <w:r>
        <w:rPr>
          <w:rFonts w:hint="eastAsia" w:ascii="宋体" w:hAnsi="宋体" w:eastAsia="宋体" w:cs="Times New Roman"/>
          <w:color w:val="auto"/>
          <w:sz w:val="24"/>
          <w:szCs w:val="24"/>
          <w:highlight w:val="none"/>
          <w:lang w:val="en-US" w:eastAsia="zh-CN"/>
        </w:rPr>
        <w:t>和相关</w:t>
      </w:r>
      <w:r>
        <w:rPr>
          <w:rFonts w:hint="eastAsia" w:ascii="宋体" w:hAnsi="宋体" w:eastAsia="宋体" w:cs="Times New Roman"/>
          <w:color w:val="auto"/>
          <w:sz w:val="24"/>
          <w:szCs w:val="24"/>
          <w:highlight w:val="none"/>
        </w:rPr>
        <w:t>服务。</w:t>
      </w:r>
    </w:p>
    <w:p w14:paraId="76070E9F">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3.</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合同价格与支付</w:t>
      </w:r>
    </w:p>
    <w:p w14:paraId="4E070FED">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3.1 合同价格</w:t>
      </w:r>
    </w:p>
    <w:p w14:paraId="7BC29A6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 合同协议书中载明的签约合同价包括卖方为完成合同全部义务应承担的一切成本、费用和支出以及卖方的合理利润。</w:t>
      </w:r>
    </w:p>
    <w:p w14:paraId="46CABB9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 除专用合同条款另有约定外，供货周期不超过 12 个月的签约合同价为固定价格。供货周期超过 12 个月且合同</w:t>
      </w:r>
      <w:r>
        <w:rPr>
          <w:rFonts w:hint="eastAsia" w:ascii="宋体" w:hAnsi="宋体" w:eastAsia="宋体" w:cs="Times New Roman"/>
          <w:color w:val="auto"/>
          <w:sz w:val="24"/>
          <w:szCs w:val="24"/>
          <w:highlight w:val="none"/>
          <w:lang w:val="en-US" w:eastAsia="zh-CN"/>
        </w:rPr>
        <w:t>设备</w:t>
      </w:r>
      <w:r>
        <w:rPr>
          <w:rFonts w:hint="eastAsia" w:ascii="宋体" w:hAnsi="宋体" w:eastAsia="宋体" w:cs="Times New Roman"/>
          <w:color w:val="auto"/>
          <w:sz w:val="24"/>
          <w:szCs w:val="24"/>
          <w:highlight w:val="none"/>
        </w:rPr>
        <w:t>交付时</w:t>
      </w:r>
      <w:r>
        <w:rPr>
          <w:rFonts w:hint="eastAsia" w:ascii="宋体" w:hAnsi="宋体" w:eastAsia="宋体" w:cs="Times New Roman"/>
          <w:color w:val="auto"/>
          <w:sz w:val="24"/>
          <w:szCs w:val="24"/>
          <w:highlight w:val="none"/>
          <w:lang w:val="en-US" w:eastAsia="zh-CN"/>
        </w:rPr>
        <w:t>设备</w:t>
      </w:r>
      <w:r>
        <w:rPr>
          <w:rFonts w:hint="eastAsia" w:ascii="宋体" w:hAnsi="宋体" w:eastAsia="宋体" w:cs="Times New Roman"/>
          <w:color w:val="auto"/>
          <w:sz w:val="24"/>
          <w:szCs w:val="24"/>
          <w:highlight w:val="none"/>
        </w:rPr>
        <w:t>价格变化超过专用合同条款约定的幅度的，双方应按照专用合同条款中约定的调整方法对合同价格进行调整。</w:t>
      </w:r>
    </w:p>
    <w:p w14:paraId="25DED0CC">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3.2 合同价款的支付</w:t>
      </w:r>
    </w:p>
    <w:p w14:paraId="6C39C0E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除专用合同条款另有约定外，买方应通过以下方式和比例向卖方支付合同价款：</w:t>
      </w:r>
    </w:p>
    <w:p w14:paraId="73142BD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3.2.1 预付款</w:t>
      </w:r>
    </w:p>
    <w:p w14:paraId="550FFE8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合同生效后，买方在收到卖方开具的注明应付预付款金额的财务收据正本一份并经审核无误后 28 日内，向卖方支付签约合同价的 10%作为预付款。</w:t>
      </w:r>
    </w:p>
    <w:p w14:paraId="1CF8153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买方支付预付款后，如卖方未履行合同义务，则买方有权收回预付款；如卖方依约履行了合同义务，则预付款抵作合同价款。</w:t>
      </w:r>
    </w:p>
    <w:p w14:paraId="012BEB4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3.2.2 交货款</w:t>
      </w:r>
    </w:p>
    <w:p w14:paraId="0C88280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卖方按合同约定交付全部合同设备后，买方在收到卖方提交的下列全部单据并经审核无误后28日内，应向卖方支付</w:t>
      </w:r>
      <w:r>
        <w:rPr>
          <w:rFonts w:hint="eastAsia" w:ascii="宋体" w:hAnsi="宋体" w:eastAsia="宋体" w:cs="Times New Roman"/>
          <w:color w:val="auto"/>
          <w:sz w:val="24"/>
          <w:szCs w:val="24"/>
          <w:highlight w:val="none"/>
          <w:lang w:val="en-US" w:eastAsia="zh-CN"/>
        </w:rPr>
        <w:t>交货</w:t>
      </w:r>
      <w:r>
        <w:rPr>
          <w:rFonts w:hint="eastAsia" w:ascii="宋体" w:hAnsi="宋体" w:eastAsia="宋体" w:cs="Times New Roman"/>
          <w:color w:val="auto"/>
          <w:sz w:val="24"/>
          <w:szCs w:val="24"/>
          <w:highlight w:val="none"/>
        </w:rPr>
        <w:t>款，</w:t>
      </w:r>
      <w:r>
        <w:rPr>
          <w:rFonts w:hint="eastAsia" w:ascii="宋体" w:hAnsi="宋体" w:eastAsia="宋体" w:cs="Times New Roman"/>
          <w:color w:val="auto"/>
          <w:sz w:val="24"/>
          <w:szCs w:val="24"/>
          <w:highlight w:val="none"/>
          <w:lang w:val="en-US" w:eastAsia="zh-CN"/>
        </w:rPr>
        <w:t>交货</w:t>
      </w:r>
      <w:r>
        <w:rPr>
          <w:rFonts w:hint="eastAsia" w:ascii="宋体" w:hAnsi="宋体" w:eastAsia="宋体" w:cs="Times New Roman"/>
          <w:color w:val="auto"/>
          <w:sz w:val="24"/>
          <w:szCs w:val="24"/>
          <w:highlight w:val="none"/>
        </w:rPr>
        <w:t>款支付至该批次合同</w:t>
      </w:r>
      <w:r>
        <w:rPr>
          <w:rFonts w:hint="eastAsia" w:ascii="宋体" w:hAnsi="宋体" w:eastAsia="宋体" w:cs="Times New Roman"/>
          <w:color w:val="auto"/>
          <w:sz w:val="24"/>
          <w:szCs w:val="24"/>
          <w:highlight w:val="none"/>
          <w:lang w:val="en-US" w:eastAsia="zh-CN"/>
        </w:rPr>
        <w:t>设备</w:t>
      </w:r>
      <w:r>
        <w:rPr>
          <w:rFonts w:hint="eastAsia" w:ascii="宋体" w:hAnsi="宋体" w:eastAsia="宋体" w:cs="Times New Roman"/>
          <w:color w:val="auto"/>
          <w:sz w:val="24"/>
          <w:szCs w:val="24"/>
          <w:highlight w:val="none"/>
        </w:rPr>
        <w:t>的合同价格的 60%：</w:t>
      </w:r>
    </w:p>
    <w:p w14:paraId="31F3E45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（1）卖方出具的交货清单正本一份；</w:t>
      </w:r>
    </w:p>
    <w:p w14:paraId="06E153C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（2）买方签署的收货清单正本一份；</w:t>
      </w:r>
    </w:p>
    <w:p w14:paraId="3D0FD098">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（3）制造商出具的出厂质量合格证正本一份；</w:t>
      </w:r>
    </w:p>
    <w:p w14:paraId="75739CC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（4）合同价格100%金额的增值税发票正本一份。</w:t>
      </w:r>
    </w:p>
    <w:p w14:paraId="32F9B95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3.2.3 验收款</w:t>
      </w:r>
    </w:p>
    <w:p w14:paraId="7C11B99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买方在收到卖方提交的买卖双方签署的合同设备验收证书或已生效的验收款支付函正本一份并经审核无误后28日内，应向卖方支付</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款，</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款支付至该批次合同</w:t>
      </w:r>
      <w:r>
        <w:rPr>
          <w:rFonts w:hint="eastAsia" w:ascii="宋体" w:hAnsi="宋体" w:eastAsia="宋体" w:cs="Times New Roman"/>
          <w:color w:val="auto"/>
          <w:sz w:val="24"/>
          <w:szCs w:val="24"/>
          <w:highlight w:val="none"/>
          <w:lang w:val="en-US" w:eastAsia="zh-CN"/>
        </w:rPr>
        <w:t>设备</w:t>
      </w:r>
      <w:r>
        <w:rPr>
          <w:rFonts w:hint="eastAsia" w:ascii="宋体" w:hAnsi="宋体" w:eastAsia="宋体" w:cs="Times New Roman"/>
          <w:color w:val="auto"/>
          <w:sz w:val="24"/>
          <w:szCs w:val="24"/>
          <w:highlight w:val="none"/>
        </w:rPr>
        <w:t xml:space="preserve">的合同价格的 </w:t>
      </w:r>
      <w:r>
        <w:rPr>
          <w:rFonts w:hint="eastAsia" w:ascii="宋体" w:hAnsi="宋体" w:eastAsia="宋体" w:cs="Times New Roman"/>
          <w:color w:val="auto"/>
          <w:sz w:val="24"/>
          <w:szCs w:val="24"/>
          <w:highlight w:val="none"/>
          <w:lang w:val="en-US" w:eastAsia="zh-CN"/>
        </w:rPr>
        <w:t>97</w:t>
      </w:r>
      <w:r>
        <w:rPr>
          <w:rFonts w:hint="eastAsia" w:ascii="宋体" w:hAnsi="宋体" w:eastAsia="宋体" w:cs="Times New Roman"/>
          <w:color w:val="auto"/>
          <w:sz w:val="24"/>
          <w:szCs w:val="24"/>
          <w:highlight w:val="none"/>
        </w:rPr>
        <w:t>%。</w:t>
      </w:r>
    </w:p>
    <w:p w14:paraId="4BE6022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3.2.4 结清款</w:t>
      </w:r>
    </w:p>
    <w:p w14:paraId="4C9D11E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全部合同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质量保证期届满后，</w:t>
      </w:r>
      <w:r>
        <w:rPr>
          <w:rFonts w:hint="eastAsia" w:ascii="宋体" w:hAnsi="宋体" w:eastAsia="宋体" w:cs="Times New Roman"/>
          <w:color w:val="auto"/>
          <w:sz w:val="24"/>
          <w:szCs w:val="24"/>
          <w:highlight w:val="none"/>
        </w:rPr>
        <w:t>买方在收到卖方提交的买方签署的质量保证期届满证书并经审核无误后28日内，向卖方支付合同价格的</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的</w:t>
      </w:r>
      <w:r>
        <w:rPr>
          <w:rFonts w:hint="eastAsia" w:ascii="宋体" w:hAnsi="宋体" w:eastAsia="宋体" w:cs="Times New Roman"/>
          <w:color w:val="auto"/>
          <w:sz w:val="24"/>
          <w:szCs w:val="24"/>
          <w:highlight w:val="none"/>
          <w:lang w:val="en-US" w:eastAsia="zh-CN"/>
        </w:rPr>
        <w:t>结清款</w:t>
      </w:r>
      <w:r>
        <w:rPr>
          <w:rFonts w:hint="eastAsia" w:ascii="宋体" w:hAnsi="宋体" w:eastAsia="宋体" w:cs="Times New Roman"/>
          <w:color w:val="auto"/>
          <w:sz w:val="24"/>
          <w:szCs w:val="24"/>
          <w:highlight w:val="none"/>
        </w:rPr>
        <w:t>。</w:t>
      </w:r>
    </w:p>
    <w:p w14:paraId="20DFFBB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如果依照合同第 9.1 项，卖方应向买方支付费用的，买方有权从结清款中直接扣除该笔费用。</w:t>
      </w:r>
    </w:p>
    <w:p w14:paraId="02E05C5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除专用合同条款另有约定外，在买方向卖方支付验收款的同时或其后的任何时间内，卖方可在向买方提交买方可接受的金额为合同价格</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%的合同结清款保函的前提下，要求买方支付合同结清款，买方不得拒绝。</w:t>
      </w:r>
    </w:p>
    <w:p w14:paraId="683B5097">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3.3 买方扣款的权利</w:t>
      </w:r>
    </w:p>
    <w:p w14:paraId="0456CB3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当卖方应向买方支付合同项下的违约金或赔偿金时，买方有权从上述任何一笔应付款中予以直接扣除和（或）兑付履约保证金。</w:t>
      </w:r>
    </w:p>
    <w:p w14:paraId="6B06EFC3">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4.</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监造及交货前检验</w:t>
      </w:r>
    </w:p>
    <w:p w14:paraId="0DE19710">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4.1 监造</w:t>
      </w:r>
    </w:p>
    <w:p w14:paraId="6578B46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专用合同条款约定买方对合同设备进行监造的，双方应按本款及专用合同条款约定履行。</w:t>
      </w:r>
    </w:p>
    <w:p w14:paraId="73771A9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4.1.1 在合同设备的制造过程中，买方可派出监造人员，对合同设备的生产制造进行监造，监督合同设备制造、检验等情况。监造的范围、方式等应符合专用合同条款和（或）供货要求等合同文件的约定。</w:t>
      </w:r>
    </w:p>
    <w:p w14:paraId="47EAD2B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2702D95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4.1.3 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14:paraId="051FB22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4.1.4 买方监造人员在监造中如发现合同设备及其关键部件不符合合同约定的标准，则有权提出意见和建议。卖方应采取必要措施消除合同设备的不符，由此增加的费用和（或）造成的延误由卖方负责。</w:t>
      </w:r>
    </w:p>
    <w:p w14:paraId="279F430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14:paraId="164F307D">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4.2 交货前检验</w:t>
      </w:r>
    </w:p>
    <w:p w14:paraId="54C6BCA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专用合同条款约定买方参与交货前检验的，双方应按本款及专用合同条款约定履行。</w:t>
      </w:r>
    </w:p>
    <w:p w14:paraId="200C3B2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034F7D0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4.2.2 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14:paraId="7F59EF1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4.2.3 买方代表在检验中如发现合同设备不符合合同约定的标准，则有权提出异议。卖方应采取必要措施消除合同设备的不符，由此增加的费用和（或）造成的延误由卖方负责。</w:t>
      </w:r>
    </w:p>
    <w:p w14:paraId="5239289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14:paraId="3DE7D8E7">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5.包装、标记、运输和交付</w:t>
      </w:r>
    </w:p>
    <w:p w14:paraId="5F95265E">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5.1 包装</w:t>
      </w:r>
    </w:p>
    <w:p w14:paraId="2519074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05C2077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5.1.2 每个独立包装箱内应附装箱清单、质量合格证、装配图、说明书、操作指南等资料。</w:t>
      </w:r>
    </w:p>
    <w:p w14:paraId="5D4B998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5.1.3 除专用合同条款另有约定外，买方无需将包装物退还给卖方。</w:t>
      </w:r>
    </w:p>
    <w:p w14:paraId="40365F8C">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5.2 标记</w:t>
      </w:r>
    </w:p>
    <w:p w14:paraId="1C30344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5.2.1 除专用合同条款另有约定外，卖方应在每一包装箱相邻的四个侧面以不可擦除的、明显的方式标记必要的装运信息和标记，以满足合同设备运输和保管的需要。</w:t>
      </w:r>
    </w:p>
    <w:p w14:paraId="2110EC7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5339839A">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5.3 运输</w:t>
      </w:r>
    </w:p>
    <w:p w14:paraId="19FFEE5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5.3.1 卖方应自行选择适宜的运输工具及线路安排合同设备运输。</w:t>
      </w:r>
    </w:p>
    <w:p w14:paraId="572D3A8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5.3.2 除专用合同条款另有约定外，每件能够独立运行的设备应整套装运。该设备安装、调试、</w:t>
      </w:r>
      <w:r>
        <w:rPr>
          <w:rFonts w:hint="eastAsia" w:ascii="宋体" w:hAnsi="宋体" w:eastAsia="宋体" w:cs="Times New Roman"/>
          <w:color w:val="auto"/>
          <w:sz w:val="24"/>
          <w:szCs w:val="24"/>
          <w:highlight w:val="none"/>
          <w:lang w:val="en-US" w:eastAsia="zh-CN"/>
        </w:rPr>
        <w:t>试</w:t>
      </w:r>
      <w:r>
        <w:rPr>
          <w:rFonts w:hint="eastAsia" w:ascii="宋体" w:hAnsi="宋体" w:eastAsia="宋体" w:cs="Times New Roman"/>
          <w:color w:val="auto"/>
          <w:sz w:val="24"/>
          <w:szCs w:val="24"/>
          <w:highlight w:val="none"/>
        </w:rPr>
        <w:t>运行所使用的备品、备件、易损易耗件等应随相关的主机一齐装运。</w:t>
      </w:r>
    </w:p>
    <w:p w14:paraId="022EF88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5.3.3 除专用合同条款另有约定外，卖方应在合同设备预计启运7日前，将合同设备名称、数量、箱数、总毛重、总体积（用 m3 表示）、每箱尺寸（长×宽×高）、装运合同设备总金额、运输方式、预计交付日期和合同设备在运输、装卸、保管中的注意事项等预通知买方，并在合同设备启运后 24 小时之内正式通知买方。</w:t>
      </w:r>
    </w:p>
    <w:p w14:paraId="5E64736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0F92F53A">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5.4 交付</w:t>
      </w:r>
    </w:p>
    <w:p w14:paraId="32D8888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424C140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5.4.2 合同设备的所有权和风险自交付时起由卖方转移至买方，合同设备交付给买方之前包括运输在内的所有风险均由卖方承担。</w:t>
      </w:r>
    </w:p>
    <w:p w14:paraId="0906EF3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5.4.3 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14:paraId="085E29CA">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黑体" w:hAnsi="黑体" w:eastAsia="黑体" w:cs="Times New Roman"/>
          <w:b/>
          <w:color w:val="auto"/>
          <w:sz w:val="32"/>
          <w:highlight w:val="none"/>
          <w:lang w:val="en-US" w:eastAsia="zh-CN"/>
        </w:rPr>
        <w:t>6.</w:t>
      </w:r>
      <w:r>
        <w:rPr>
          <w:rFonts w:hint="eastAsia" w:ascii="宋体" w:hAnsi="宋体" w:eastAsia="宋体" w:cs="Times New Roman"/>
          <w:b/>
          <w:color w:val="auto"/>
          <w:sz w:val="32"/>
          <w:szCs w:val="32"/>
          <w:highlight w:val="none"/>
        </w:rPr>
        <w:t>检验、安装</w:t>
      </w:r>
      <w:r>
        <w:rPr>
          <w:rFonts w:hint="eastAsia" w:ascii="宋体" w:hAnsi="宋体" w:eastAsia="宋体" w:cs="Times New Roman"/>
          <w:b/>
          <w:color w:val="auto"/>
          <w:sz w:val="32"/>
          <w:szCs w:val="32"/>
          <w:highlight w:val="none"/>
          <w:lang w:eastAsia="zh-CN"/>
        </w:rPr>
        <w:t>（</w:t>
      </w:r>
      <w:r>
        <w:rPr>
          <w:rFonts w:hint="eastAsia" w:ascii="宋体" w:hAnsi="宋体" w:eastAsia="宋体" w:cs="Times New Roman"/>
          <w:b/>
          <w:color w:val="auto"/>
          <w:sz w:val="32"/>
          <w:szCs w:val="32"/>
          <w:highlight w:val="none"/>
          <w:lang w:val="en-US" w:eastAsia="zh-CN"/>
        </w:rPr>
        <w:t>或指导安装</w:t>
      </w:r>
      <w:r>
        <w:rPr>
          <w:rFonts w:hint="eastAsia" w:ascii="宋体" w:hAnsi="宋体" w:eastAsia="宋体" w:cs="Times New Roman"/>
          <w:b/>
          <w:color w:val="auto"/>
          <w:sz w:val="32"/>
          <w:szCs w:val="32"/>
          <w:highlight w:val="none"/>
          <w:lang w:eastAsia="zh-CN"/>
        </w:rPr>
        <w:t>）</w:t>
      </w:r>
      <w:r>
        <w:rPr>
          <w:rFonts w:hint="eastAsia" w:ascii="宋体" w:hAnsi="宋体" w:eastAsia="宋体" w:cs="Times New Roman"/>
          <w:b/>
          <w:color w:val="auto"/>
          <w:sz w:val="32"/>
          <w:szCs w:val="32"/>
          <w:highlight w:val="none"/>
        </w:rPr>
        <w:t>、调试、</w:t>
      </w:r>
      <w:r>
        <w:rPr>
          <w:rFonts w:hint="eastAsia" w:ascii="宋体" w:hAnsi="宋体" w:eastAsia="宋体" w:cs="Times New Roman"/>
          <w:b/>
          <w:color w:val="auto"/>
          <w:sz w:val="32"/>
          <w:szCs w:val="32"/>
          <w:highlight w:val="none"/>
          <w:lang w:val="en-US" w:eastAsia="zh-CN"/>
        </w:rPr>
        <w:t>试运行</w:t>
      </w:r>
      <w:r>
        <w:rPr>
          <w:rFonts w:hint="eastAsia" w:ascii="宋体" w:hAnsi="宋体" w:eastAsia="宋体" w:cs="Times New Roman"/>
          <w:b/>
          <w:color w:val="auto"/>
          <w:sz w:val="32"/>
          <w:szCs w:val="32"/>
          <w:highlight w:val="none"/>
        </w:rPr>
        <w:t>、</w:t>
      </w:r>
      <w:r>
        <w:rPr>
          <w:rFonts w:hint="eastAsia" w:ascii="宋体" w:hAnsi="宋体" w:eastAsia="宋体" w:cs="Times New Roman"/>
          <w:b/>
          <w:color w:val="auto"/>
          <w:sz w:val="32"/>
          <w:szCs w:val="32"/>
          <w:highlight w:val="none"/>
          <w:lang w:val="en-US" w:eastAsia="zh-CN"/>
        </w:rPr>
        <w:t>最终</w:t>
      </w:r>
      <w:r>
        <w:rPr>
          <w:rFonts w:hint="eastAsia" w:ascii="宋体" w:hAnsi="宋体" w:eastAsia="宋体" w:cs="Times New Roman"/>
          <w:b/>
          <w:color w:val="auto"/>
          <w:sz w:val="32"/>
          <w:szCs w:val="32"/>
          <w:highlight w:val="none"/>
        </w:rPr>
        <w:t>验收</w:t>
      </w:r>
    </w:p>
    <w:p w14:paraId="2AFD5950">
      <w:pPr>
        <w:widowControl/>
        <w:adjustRightInd w:val="0"/>
        <w:snapToGrid/>
        <w:spacing w:beforeLines="0" w:afterLines="0" w:line="360" w:lineRule="auto"/>
        <w:ind w:firstLine="241" w:firstLineChars="100"/>
        <w:jc w:val="left"/>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6.1 出厂前检验</w:t>
      </w:r>
    </w:p>
    <w:p w14:paraId="08495515">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  合同货物交付前，卖方应对其进行全面检验，并在交付合同货物时向买方提交合同货物的质量合格证书。</w:t>
      </w:r>
    </w:p>
    <w:p w14:paraId="057B9CFA">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6.1.2</w:t>
      </w:r>
      <w:r>
        <w:rPr>
          <w:rFonts w:hint="eastAsia" w:ascii="宋体" w:hAnsi="宋体" w:eastAsia="宋体" w:cs="Times New Roman"/>
          <w:color w:val="auto"/>
          <w:sz w:val="24"/>
          <w:szCs w:val="24"/>
          <w:highlight w:val="none"/>
        </w:rPr>
        <w:t>除专用合同条款另有约定外</w:t>
      </w:r>
      <w:r>
        <w:rPr>
          <w:rFonts w:hint="eastAsia" w:ascii="宋体" w:hAnsi="宋体" w:eastAsia="宋体" w:cs="Times New Roman"/>
          <w:color w:val="auto"/>
          <w:sz w:val="24"/>
          <w:szCs w:val="24"/>
          <w:highlight w:val="none"/>
          <w:lang w:eastAsia="zh-CN"/>
        </w:rPr>
        <w:t>，</w:t>
      </w:r>
      <w:r>
        <w:rPr>
          <w:rFonts w:hint="eastAsia" w:ascii="宋体" w:hAnsi="宋体" w:eastAsia="宋体" w:cs="宋体"/>
          <w:color w:val="auto"/>
          <w:sz w:val="24"/>
          <w:szCs w:val="24"/>
          <w:highlight w:val="none"/>
          <w:lang w:val="en-US" w:eastAsia="zh-CN"/>
        </w:rPr>
        <w:t>所有货物必须根据招标文件和技术要求进行厂内</w:t>
      </w:r>
      <w:r>
        <w:rPr>
          <w:rFonts w:hint="eastAsia" w:ascii="宋体" w:hAnsi="宋体" w:eastAsia="宋体" w:cs="宋体"/>
          <w:color w:val="auto"/>
          <w:sz w:val="24"/>
          <w:szCs w:val="24"/>
          <w:highlight w:val="none"/>
        </w:rPr>
        <w:t>质量检测</w:t>
      </w:r>
      <w:r>
        <w:rPr>
          <w:rFonts w:hint="eastAsia" w:ascii="宋体" w:hAnsi="宋体" w:eastAsia="宋体" w:cs="宋体"/>
          <w:color w:val="auto"/>
          <w:sz w:val="24"/>
          <w:szCs w:val="24"/>
          <w:highlight w:val="none"/>
          <w:lang w:val="en-US" w:eastAsia="zh-CN"/>
        </w:rPr>
        <w:t>及试验</w:t>
      </w:r>
      <w:r>
        <w:rPr>
          <w:rFonts w:hint="eastAsia" w:ascii="宋体" w:hAnsi="宋体" w:eastAsia="宋体" w:cs="宋体"/>
          <w:color w:val="auto"/>
          <w:sz w:val="24"/>
          <w:szCs w:val="24"/>
          <w:highlight w:val="none"/>
        </w:rPr>
        <w:t>，并提供相应的合格报告，所有的</w:t>
      </w:r>
      <w:r>
        <w:rPr>
          <w:rFonts w:hint="eastAsia" w:ascii="宋体" w:hAnsi="宋体" w:eastAsia="宋体" w:cs="宋体"/>
          <w:color w:val="auto"/>
          <w:sz w:val="24"/>
          <w:szCs w:val="24"/>
          <w:highlight w:val="none"/>
          <w:lang w:val="en-US" w:eastAsia="zh-CN"/>
        </w:rPr>
        <w:t>检测及试验</w:t>
      </w:r>
      <w:r>
        <w:rPr>
          <w:rFonts w:hint="eastAsia" w:ascii="宋体" w:hAnsi="宋体" w:eastAsia="宋体" w:cs="宋体"/>
          <w:color w:val="auto"/>
          <w:sz w:val="24"/>
          <w:szCs w:val="24"/>
          <w:highlight w:val="none"/>
        </w:rPr>
        <w:t>费用包含在投标报价综合单价中。</w:t>
      </w:r>
    </w:p>
    <w:p w14:paraId="17513E6C">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2</w:t>
      </w:r>
      <w:r>
        <w:rPr>
          <w:rFonts w:hint="eastAsia" w:ascii="宋体" w:hAnsi="宋体" w:eastAsia="宋体" w:cs="Times New Roman"/>
          <w:b/>
          <w:color w:val="auto"/>
          <w:sz w:val="24"/>
          <w:szCs w:val="24"/>
          <w:highlight w:val="none"/>
        </w:rPr>
        <w:t xml:space="preserve"> 开箱检验</w:t>
      </w:r>
    </w:p>
    <w:p w14:paraId="6CDE820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.1 合同设备交付后应进行开箱检验，即合同设备数量及外观检验。开箱检验在专用合同条款约定的下列任一种时间进行：</w:t>
      </w:r>
    </w:p>
    <w:p w14:paraId="71B488B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（1）合同设备交付时；</w:t>
      </w:r>
    </w:p>
    <w:p w14:paraId="337EE11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（2）合同设备交付后的一定期限内。</w:t>
      </w:r>
    </w:p>
    <w:p w14:paraId="3F823E9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如开箱检验不在合同设备交付时进行，买方应在开箱检验3日前将开箱检验的时间和地点通知卖方。</w:t>
      </w:r>
    </w:p>
    <w:p w14:paraId="78C2AED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.2 除专用合同条款另有约定外，合同设备的开箱检验应在施工场地进行。</w:t>
      </w:r>
    </w:p>
    <w:p w14:paraId="5F61BA0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.3 开箱检验由买卖双方共同进行，卖方应自负费用派遣代表到场参加开箱检验。</w:t>
      </w:r>
    </w:p>
    <w:p w14:paraId="4EB964B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.4 在开箱检验中，买方和卖方应共同签署数量、外观检验报告，报告应列明检验结果，包括检验合格或发现的任何短缺、损坏或其它与合同约定不符的情形。</w:t>
      </w:r>
    </w:p>
    <w:p w14:paraId="40B3BB6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14:paraId="01F0FF7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14:paraId="2438238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.7 如双方在专用合同条款和（或）供货要求等合同文件中约定由第三方检测机构对合同设备进行开箱检验或在开箱检验过程中另行约定由第三方检验的，则第三方检测机构的检验结果对双方均具有约束力。</w:t>
      </w:r>
    </w:p>
    <w:p w14:paraId="7AEE903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.8 开箱检验的检验结果不能对抗在合同设备的安装、调试、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、验收中及质量保证期内发现的合同设备质量问题，也不能免除或影响卖方依照合同约定对买方负有的包括合同设备质量在内的任何义务或责任。</w:t>
      </w:r>
    </w:p>
    <w:p w14:paraId="69070881">
      <w:pPr>
        <w:widowControl/>
        <w:adjustRightInd w:val="0"/>
        <w:snapToGrid/>
        <w:spacing w:beforeLines="0" w:afterLines="0" w:line="360" w:lineRule="auto"/>
        <w:ind w:firstLine="241" w:firstLineChars="1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3</w:t>
      </w:r>
      <w:r>
        <w:rPr>
          <w:rFonts w:hint="eastAsia" w:ascii="宋体" w:hAnsi="宋体" w:eastAsia="宋体" w:cs="Times New Roman"/>
          <w:b/>
          <w:color w:val="auto"/>
          <w:sz w:val="24"/>
          <w:szCs w:val="24"/>
          <w:highlight w:val="none"/>
        </w:rPr>
        <w:t xml:space="preserve"> 安装</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或指导安装</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、调试</w:t>
      </w:r>
    </w:p>
    <w:p w14:paraId="2DF771FE">
      <w:pPr>
        <w:widowControl/>
        <w:adjustRightInd w:val="0"/>
        <w:snapToGrid/>
        <w:spacing w:beforeLines="0" w:afterLines="0" w:line="360" w:lineRule="auto"/>
        <w:ind w:firstLine="482" w:firstLineChars="200"/>
        <w:jc w:val="left"/>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6.3.1安装</w:t>
      </w:r>
    </w:p>
    <w:p w14:paraId="73A77C9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 xml:space="preserve"> 开箱检验完成后，</w:t>
      </w:r>
      <w:r>
        <w:rPr>
          <w:rFonts w:hint="eastAsia" w:ascii="宋体" w:hAnsi="宋体" w:eastAsia="宋体" w:cs="Times New Roman"/>
          <w:color w:val="auto"/>
          <w:sz w:val="24"/>
          <w:szCs w:val="24"/>
          <w:highlight w:val="none"/>
          <w:lang w:val="en-US" w:eastAsia="zh-CN"/>
        </w:rPr>
        <w:t>卖</w:t>
      </w:r>
      <w:r>
        <w:rPr>
          <w:rFonts w:hint="eastAsia" w:ascii="宋体" w:hAnsi="宋体" w:eastAsia="宋体" w:cs="Times New Roman"/>
          <w:color w:val="auto"/>
          <w:sz w:val="24"/>
          <w:szCs w:val="24"/>
          <w:highlight w:val="none"/>
        </w:rPr>
        <w:t>方应对合同设备进行安装、调试，以使其具备</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的状态。卖方按照合同约定完成合同设备的安装、调试工作；</w:t>
      </w:r>
    </w:p>
    <w:p w14:paraId="19C47EA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2 除专用合同条款另有约定外，安装、调试中合同设备运行需要的用水、用电、其他动力和原材料（如需要）等均由买方承担。</w:t>
      </w:r>
    </w:p>
    <w:p w14:paraId="2AE77B6F">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3 双方应对合同设备的安装、调试情况共同及时进行记录</w:t>
      </w:r>
      <w:r>
        <w:rPr>
          <w:rFonts w:hint="eastAsia" w:ascii="宋体" w:hAnsi="宋体" w:eastAsia="宋体" w:cs="Times New Roman"/>
          <w:color w:val="auto"/>
          <w:sz w:val="24"/>
          <w:szCs w:val="24"/>
          <w:highlight w:val="none"/>
          <w:lang w:eastAsia="zh-CN"/>
        </w:rPr>
        <w:t>。</w:t>
      </w:r>
    </w:p>
    <w:p w14:paraId="2E7D8D23">
      <w:pPr>
        <w:widowControl/>
        <w:adjustRightInd w:val="0"/>
        <w:snapToGrid/>
        <w:spacing w:beforeLines="0" w:afterLines="0" w:line="360" w:lineRule="auto"/>
        <w:ind w:firstLine="482" w:firstLineChars="200"/>
        <w:jc w:val="left"/>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6.3.2指导安装</w:t>
      </w:r>
    </w:p>
    <w:p w14:paraId="233AF29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rPr>
        <w:t xml:space="preserve"> 开箱检验完成后，</w:t>
      </w:r>
      <w:r>
        <w:rPr>
          <w:rFonts w:hint="eastAsia" w:ascii="宋体" w:hAnsi="宋体" w:eastAsia="宋体" w:cs="Times New Roman"/>
          <w:color w:val="auto"/>
          <w:sz w:val="24"/>
          <w:szCs w:val="24"/>
          <w:highlight w:val="none"/>
          <w:lang w:val="en-US" w:eastAsia="zh-CN"/>
        </w:rPr>
        <w:t>买</w:t>
      </w:r>
      <w:r>
        <w:rPr>
          <w:rFonts w:hint="eastAsia" w:ascii="宋体" w:hAnsi="宋体" w:eastAsia="宋体" w:cs="Times New Roman"/>
          <w:color w:val="auto"/>
          <w:sz w:val="24"/>
          <w:szCs w:val="24"/>
          <w:highlight w:val="none"/>
        </w:rPr>
        <w:t>方应对合同设备进行安装、调试，以使其具备</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的状态。买方或买方安排第三方负责合同设备的安装、调试工作，卖方提供技术服务。</w:t>
      </w:r>
    </w:p>
    <w:p w14:paraId="2118A69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4229316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2 除专用合同条款另有约定外，安装、调试中合同设备运行需要的用水、用电、其他动力和原材料（如需要）等均由买方承担。</w:t>
      </w:r>
    </w:p>
    <w:p w14:paraId="7D93F2B8">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3 双方应对合同设备的安装、调试情况共同及时进行记录</w:t>
      </w:r>
      <w:r>
        <w:rPr>
          <w:rFonts w:hint="eastAsia" w:ascii="宋体" w:hAnsi="宋体" w:eastAsia="宋体" w:cs="Times New Roman"/>
          <w:color w:val="auto"/>
          <w:sz w:val="24"/>
          <w:szCs w:val="24"/>
          <w:highlight w:val="none"/>
          <w:lang w:eastAsia="zh-CN"/>
        </w:rPr>
        <w:t>。</w:t>
      </w:r>
    </w:p>
    <w:p w14:paraId="0D9C8CE9">
      <w:pPr>
        <w:widowControl/>
        <w:adjustRightInd w:val="0"/>
        <w:snapToGrid/>
        <w:spacing w:beforeLines="0" w:afterLines="0" w:line="360" w:lineRule="auto"/>
        <w:ind w:firstLine="241" w:firstLineChars="1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4</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lang w:val="en-US" w:eastAsia="zh-CN"/>
        </w:rPr>
        <w:t>试运行</w:t>
      </w:r>
    </w:p>
    <w:p w14:paraId="2729129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.1 安装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或指导安装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、调试完成后，双方应对合同设备进行</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，以确定合同设备是否达到合同约定的技术性能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指标。除专用合同条款另有约定外，</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中合同设备运行需要的用水、用电、其他动力和原材料（如需要）等均由买方承担。</w:t>
      </w:r>
    </w:p>
    <w:p w14:paraId="139C459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.2 如由于卖方原因合同设备在</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中未能达到合同约定的技术性能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指标，则卖方应在双方同意的期限内采取措施消除合同设备中存在的缺陷，并在缺陷消除以后，尽快进行再次</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w:t>
      </w:r>
    </w:p>
    <w:p w14:paraId="3F2D9D4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.3 由于卖方原因未能达到技术性能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指标时，为卖方进行</w:t>
      </w:r>
      <w:r>
        <w:rPr>
          <w:rFonts w:hint="eastAsia" w:ascii="宋体" w:hAnsi="宋体" w:eastAsia="宋体" w:cs="Times New Roman"/>
          <w:color w:val="auto"/>
          <w:sz w:val="24"/>
          <w:szCs w:val="24"/>
          <w:highlight w:val="none"/>
          <w:lang w:val="en-US" w:eastAsia="zh-CN"/>
        </w:rPr>
        <w:t>试运行验收</w:t>
      </w:r>
      <w:r>
        <w:rPr>
          <w:rFonts w:hint="eastAsia" w:ascii="宋体" w:hAnsi="宋体" w:eastAsia="宋体" w:cs="Times New Roman"/>
          <w:color w:val="auto"/>
          <w:sz w:val="24"/>
          <w:szCs w:val="24"/>
          <w:highlight w:val="none"/>
        </w:rPr>
        <w:t>的机会不超过三次。如果由于卖方原因，三次</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均未能达到合同约定的技术性能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指标，则买卖双方应就合同的后续履行进行协商，协商不成的，买方有权解除合同。但如合同中约定了或双方在</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中另行达成了合同设备的最低技术性能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指标，且合同设备达到了最低技术性能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指标的，视为合同设备已达到技术性能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指标，买方无权解除合同，且应接受合同设备，但卖方应按专用合同条款的约定进行减价或向买方支付补偿金。</w:t>
      </w:r>
    </w:p>
    <w:p w14:paraId="6490133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.4 如由于买方原因合同设备在</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中未能达到合同约定的技术性能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指标，则卖方应协助买方安排再次</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。由于买方原因未能达到技术性能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指标时，为买方进行</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的机会不超过三次。</w:t>
      </w:r>
    </w:p>
    <w:p w14:paraId="7088ECB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 xml:space="preserve">.5 </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期间，双方应及时共同记录合同设备的用水、用电、其他动力和原材料（如有）的使用及设备</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情况。对于未达到技术性能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指标的，应如实记录设备表现、可能原因及处理情况等。</w:t>
      </w:r>
    </w:p>
    <w:p w14:paraId="6A28534C">
      <w:pPr>
        <w:widowControl/>
        <w:adjustRightInd w:val="0"/>
        <w:snapToGrid/>
        <w:spacing w:beforeLines="0" w:afterLines="0" w:line="360" w:lineRule="auto"/>
        <w:ind w:firstLine="241" w:firstLineChars="100"/>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5</w:t>
      </w:r>
      <w:r>
        <w:rPr>
          <w:rFonts w:hint="eastAsia" w:ascii="宋体" w:hAnsi="宋体" w:eastAsia="宋体" w:cs="Times New Roman"/>
          <w:b/>
          <w:color w:val="auto"/>
          <w:sz w:val="24"/>
          <w:szCs w:val="24"/>
          <w:highlight w:val="none"/>
        </w:rPr>
        <w:t xml:space="preserve"> </w:t>
      </w:r>
      <w:r>
        <w:rPr>
          <w:rFonts w:hint="eastAsia" w:ascii="宋体" w:hAnsi="宋体" w:eastAsia="宋体" w:cs="Times New Roman"/>
          <w:b/>
          <w:color w:val="auto"/>
          <w:sz w:val="24"/>
          <w:szCs w:val="24"/>
          <w:highlight w:val="none"/>
          <w:lang w:val="en-US" w:eastAsia="zh-CN"/>
        </w:rPr>
        <w:t>最终</w:t>
      </w:r>
      <w:r>
        <w:rPr>
          <w:rFonts w:hint="eastAsia" w:ascii="宋体" w:hAnsi="宋体" w:eastAsia="宋体" w:cs="Times New Roman"/>
          <w:b/>
          <w:color w:val="auto"/>
          <w:sz w:val="24"/>
          <w:szCs w:val="24"/>
          <w:highlight w:val="none"/>
        </w:rPr>
        <w:t>验收</w:t>
      </w:r>
    </w:p>
    <w:p w14:paraId="45E95FF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.1 如合同设备在</w:t>
      </w:r>
      <w:r>
        <w:rPr>
          <w:rFonts w:hint="eastAsia" w:ascii="宋体" w:hAnsi="宋体" w:eastAsia="宋体" w:cs="Times New Roman"/>
          <w:color w:val="auto"/>
          <w:sz w:val="24"/>
          <w:szCs w:val="24"/>
          <w:highlight w:val="none"/>
          <w:lang w:val="en-US" w:eastAsia="zh-CN"/>
        </w:rPr>
        <w:t>试运行验收</w:t>
      </w:r>
      <w:r>
        <w:rPr>
          <w:rFonts w:hint="eastAsia" w:ascii="宋体" w:hAnsi="宋体" w:eastAsia="宋体" w:cs="Times New Roman"/>
          <w:color w:val="auto"/>
          <w:sz w:val="24"/>
          <w:szCs w:val="24"/>
          <w:highlight w:val="none"/>
        </w:rPr>
        <w:t>中达到或视为达到技术性能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指标，则买卖双方应在</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完成后7日内或专用合同条款另行约定的时间内签署合同设备</w:t>
      </w:r>
      <w:r>
        <w:rPr>
          <w:rFonts w:hint="eastAsia" w:ascii="宋体" w:hAnsi="宋体" w:eastAsia="宋体" w:cs="Times New Roman"/>
          <w:color w:val="auto"/>
          <w:sz w:val="24"/>
          <w:szCs w:val="24"/>
          <w:highlight w:val="none"/>
          <w:lang w:val="en-US" w:eastAsia="zh-CN"/>
        </w:rPr>
        <w:t>最终</w:t>
      </w:r>
      <w:r>
        <w:rPr>
          <w:rFonts w:hint="eastAsia" w:ascii="宋体" w:hAnsi="宋体" w:eastAsia="宋体" w:cs="Times New Roman"/>
          <w:color w:val="auto"/>
          <w:sz w:val="24"/>
          <w:szCs w:val="24"/>
          <w:highlight w:val="none"/>
        </w:rPr>
        <w:t>验收</w:t>
      </w:r>
      <w:r>
        <w:rPr>
          <w:rFonts w:hint="eastAsia" w:ascii="宋体" w:hAnsi="宋体" w:eastAsia="宋体" w:cs="Times New Roman"/>
          <w:color w:val="auto"/>
          <w:sz w:val="24"/>
          <w:szCs w:val="24"/>
          <w:highlight w:val="none"/>
          <w:lang w:val="en-US" w:eastAsia="zh-CN"/>
        </w:rPr>
        <w:t>报告</w:t>
      </w:r>
      <w:r>
        <w:rPr>
          <w:rFonts w:hint="eastAsia" w:ascii="宋体" w:hAnsi="宋体" w:eastAsia="宋体" w:cs="Times New Roman"/>
          <w:color w:val="auto"/>
          <w:sz w:val="24"/>
          <w:szCs w:val="24"/>
          <w:highlight w:val="none"/>
        </w:rPr>
        <w:t>一式二份，双方各持一份。验收日期应为合同设备达到或视为达到技术性能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指标的日期。</w:t>
      </w:r>
    </w:p>
    <w:p w14:paraId="13A04F6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 如由于买方原因合同设备在三次</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中均未能达到技术性能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指标，买卖双方应在</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结束后 7 日内或专用合同条款另行约定的时间内签署验收款支付函。</w:t>
      </w:r>
    </w:p>
    <w:p w14:paraId="7A1B4AF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除专用合同条款另有约定外，卖方有义务在验收款支付函签署后12 个月内应买方要求提供相关技术服务，协助买方采取一切必要措施使合同设备达到技术性能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指标。买方应承担卖方因此产生的全部费用。</w:t>
      </w:r>
    </w:p>
    <w:p w14:paraId="064C3AC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在上述12个月的期限内，如合同设备经过</w:t>
      </w:r>
      <w:r>
        <w:rPr>
          <w:rFonts w:hint="eastAsia" w:ascii="宋体" w:hAnsi="宋体" w:eastAsia="宋体" w:cs="Times New Roman"/>
          <w:color w:val="auto"/>
          <w:sz w:val="24"/>
          <w:szCs w:val="24"/>
          <w:highlight w:val="none"/>
          <w:lang w:val="en-US" w:eastAsia="zh-CN"/>
        </w:rPr>
        <w:t>试运行验收</w:t>
      </w:r>
      <w:r>
        <w:rPr>
          <w:rFonts w:hint="eastAsia" w:ascii="宋体" w:hAnsi="宋体" w:eastAsia="宋体" w:cs="Times New Roman"/>
          <w:color w:val="auto"/>
          <w:sz w:val="24"/>
          <w:szCs w:val="24"/>
          <w:highlight w:val="none"/>
        </w:rPr>
        <w:t>达到或视为达到技术性能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指标，则买卖双方应按照第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.1 项的约定签署合同设备</w:t>
      </w:r>
      <w:r>
        <w:rPr>
          <w:rFonts w:hint="eastAsia" w:ascii="宋体" w:hAnsi="宋体" w:eastAsia="宋体" w:cs="Times New Roman"/>
          <w:color w:val="auto"/>
          <w:sz w:val="24"/>
          <w:szCs w:val="24"/>
          <w:highlight w:val="none"/>
          <w:lang w:val="en-US" w:eastAsia="zh-CN"/>
        </w:rPr>
        <w:t>最终</w:t>
      </w:r>
      <w:r>
        <w:rPr>
          <w:rFonts w:hint="eastAsia" w:ascii="宋体" w:hAnsi="宋体" w:eastAsia="宋体" w:cs="Times New Roman"/>
          <w:color w:val="auto"/>
          <w:sz w:val="24"/>
          <w:szCs w:val="24"/>
          <w:highlight w:val="none"/>
        </w:rPr>
        <w:t>验收证书。</w:t>
      </w:r>
    </w:p>
    <w:p w14:paraId="2B9A1A3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.3 除专用合同条款另有约定外，如由于买方原因在最后一批合同设备交货后6个月内未能开始</w:t>
      </w:r>
      <w:r>
        <w:rPr>
          <w:rFonts w:hint="eastAsia" w:ascii="宋体" w:hAnsi="宋体" w:eastAsia="宋体" w:cs="Times New Roman"/>
          <w:color w:val="auto"/>
          <w:sz w:val="24"/>
          <w:szCs w:val="24"/>
          <w:highlight w:val="none"/>
          <w:lang w:val="en-US" w:eastAsia="zh-CN"/>
        </w:rPr>
        <w:t>试运行验收</w:t>
      </w:r>
      <w:r>
        <w:rPr>
          <w:rFonts w:hint="eastAsia" w:ascii="宋体" w:hAnsi="宋体" w:eastAsia="宋体" w:cs="Times New Roman"/>
          <w:color w:val="auto"/>
          <w:sz w:val="24"/>
          <w:szCs w:val="24"/>
          <w:highlight w:val="none"/>
        </w:rPr>
        <w:t>，则买卖双方应在上述期限届满后7日内或专用合同条款另行约定的时间内签署验收款支付函。</w:t>
      </w:r>
    </w:p>
    <w:p w14:paraId="3B0819F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除专用合同条款另有约定外，卖方有义务在验收款支付函签署后 6 个月内应买方要求提供不超出合同范围的技术服务，协助买方采取一切必要措施使合同设备达到技术性能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指标，且买方无需因此向卖方支付费用。</w:t>
      </w:r>
    </w:p>
    <w:p w14:paraId="6610E70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在上述 6 个月的期限内，如合同设备经过</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达到或视为达到技术性能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指标，则买卖双方应按照第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.1 项的约定签署合同设备验收证书。</w:t>
      </w:r>
    </w:p>
    <w:p w14:paraId="34A55F1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.4 在第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 项和第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.3 项情形下，卖方也可单方签署验收款支付函提交买方，如果买方在收到卖方签署的验收款支付函后14日内未向卖方提出书面异议，则验收款支付函自签署之日起生效。</w:t>
      </w:r>
    </w:p>
    <w:p w14:paraId="443EA67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.5 合同设备验收证书的签署不能免除卖方在质量保证期内对合同设备应承担的保证责任。</w:t>
      </w:r>
    </w:p>
    <w:p w14:paraId="5172CF06">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7.</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技术服务</w:t>
      </w:r>
    </w:p>
    <w:p w14:paraId="5B4B19F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  卖方应派遣技术熟练、称职的技术人员到施工场地为买方提供技术服务。卖方的技术服务应符合合同的约定。</w:t>
      </w:r>
    </w:p>
    <w:p w14:paraId="7474DD5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  买方应免费为卖方技术人员提供工作条件及便利，包括但不限于必要的办公场所、技术资料及出入许可等。除专用合同条款另有约定外，卖方技术人员的交通、食宿费用由卖方承担。</w:t>
      </w:r>
    </w:p>
    <w:p w14:paraId="42880F6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7.3  卖方技术人员应遵守买方施工现场的各项规章制度和安全操作规程，并服从买方的现场管理。</w:t>
      </w:r>
    </w:p>
    <w:p w14:paraId="6850004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7.4  如果任何技术人员不合格，买方有权要求卖方撤换，因撤换而产生的费用应由卖方承担。在不影响技术服务并且征得买方同意的条件下，卖方也可自负费用更换其技术人员。</w:t>
      </w:r>
    </w:p>
    <w:p w14:paraId="4FE2EFA6">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8.</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质量保证期</w:t>
      </w:r>
    </w:p>
    <w:p w14:paraId="64D6CF3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8.1  除专用合同条款和（或）供货要求等合同文件另有约定外，合同设备整体质量保证期为验收之日起12个月。如对合同设备中关键部件的质量保证期有特殊要求的，买卖双方可在专用合同条款中约定。在合同第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 项情形下，无论合同设备何时验收，其质量保证期最长为签署验收款支付函后12个月。在合同第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.3 项情形下，无论合同设备何时验收，其质量保证期最长为签署验收款支付函后6个月。</w:t>
      </w:r>
    </w:p>
    <w:p w14:paraId="77EBFCE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6ACE4EC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8.3 质量保证期届满后，买方应在7日内或专用合同条款另行约定的时间内向卖方出具合同设备的质量保证期届满证书。</w:t>
      </w:r>
    </w:p>
    <w:p w14:paraId="782E728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8.4 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 项情形下，如在验收款支付函签署后12个月内由于买方原因合同设备仍未能达到技术性能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指标，则买卖双方应在该12个月届满后7日内或专用合同条款另行约定的时间内签署结清款支付函。</w:t>
      </w:r>
    </w:p>
    <w:p w14:paraId="7ABDD3D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8.5 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.3 项情形下，如在验收款支付函签署后6个月内由于买方原因合同设备仍未进行</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或仍未达到技术性能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指标，则买卖双方应在该6个月届满后7日内或专用合同条款另行约定的时间内签署结清款支付函。</w:t>
      </w:r>
    </w:p>
    <w:p w14:paraId="1F07CD5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8.6 在第 8.4 款和第 8.5 款情形下，卖方也可单方签署结清款支付函提交买方，如果买方在收到卖方签署的结清款支付函后14日内未向卖方提出书面异议，则结清款支付函自签署之日起生效。</w:t>
      </w:r>
    </w:p>
    <w:p w14:paraId="21365DCF">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9.</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质保期服务</w:t>
      </w:r>
    </w:p>
    <w:p w14:paraId="5BFDBFF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  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14:paraId="1E9405E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14:paraId="5DB22A7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9.3  如果任何技术人员不合格，买方有权要求卖方撤换，因撤换而产生的费用应由卖方承担。在不影响质保期服务并且征得买方同意的条件下，卖方也可自负费用更换其技术人员。</w:t>
      </w:r>
    </w:p>
    <w:p w14:paraId="47098A6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9.4  除专用合同条款另有约定外，卖方应就在施工现场进行质保期服务的情况进行记录，记载合同设备故障发生的时间、原因及解决情况等，由买方签字确认，并在质量保证期结束后提交给买方。</w:t>
      </w:r>
    </w:p>
    <w:p w14:paraId="338E47E3">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10.</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履约保证金</w:t>
      </w:r>
    </w:p>
    <w:p w14:paraId="54A4532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除专用合同条款另有约定外，履约保证金自合同生效之日起生效，在合同设备验收证书或验收款支付函签署之日起 28 日后失效。如果卖方不履行合同约定的义务或其履行不符合合同的约定，买方有权扣划相应金额的履约保证金。</w:t>
      </w:r>
    </w:p>
    <w:p w14:paraId="2172A97F">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11.</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保证</w:t>
      </w:r>
    </w:p>
    <w:p w14:paraId="1CBAD6A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11.1 卖方保证其具有完全的能力履行本合同项下的全部义务。</w:t>
      </w:r>
    </w:p>
    <w:p w14:paraId="6BCA282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卖方保证其所提供的合同设备及对合同的履行符合所有应适用的法律、行政法规、地方性法规、自治条例和单行条例、规章及其他规范性文件的强制性规定。</w:t>
      </w:r>
    </w:p>
    <w:p w14:paraId="49659FF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11.3 卖方保证其对合同设备的销售不损害任何第三方的合法权益和社会公众利益。任何第三方不会因卖方原因而基于所有权、抵押权、留置权或其他任何权利或事由对合同设备主张权利。</w:t>
      </w:r>
    </w:p>
    <w:p w14:paraId="0F65FDF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11.4 卖方保证合同设备符合合同约定的规格、标准、技术性能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指标等，能够安全和稳定地运行，且合同设备（包括全部部件）全新、完整、未使用过，除非专用合同条款和（或）供货要求等合同文件另有约定。</w:t>
      </w:r>
    </w:p>
    <w:p w14:paraId="22A2909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11.5 卖方保证，卖方所提供的技术资料完整、清晰、准确，符合合同约定并且能够满足合同设备的安装、调试、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、操作以及维修和保养的需要。</w:t>
      </w:r>
    </w:p>
    <w:p w14:paraId="1F42DCA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73A9F77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0732656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以不高于同期市场价格或其向任何第三方销售同类产品的价格提供合同设备正常运行所需的全部备品备件。或（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37CECC6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14:paraId="21A99F0C">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12.</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知识产权</w:t>
      </w:r>
    </w:p>
    <w:p w14:paraId="6587B63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 买方在履行合同过程中提供给卖方的全部图纸、文件和其他含有数据和信息的资料，其知识产权属于买方。</w:t>
      </w:r>
    </w:p>
    <w:p w14:paraId="6EAFE67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 除专用合同条款另有约定外，买方不因签署和履行合同而享有卖方在履行合同过程中提供给买方的图纸、文件、配套软件、电子辅助程序和其他含有数据和信息的资料的知识产权。</w:t>
      </w:r>
    </w:p>
    <w:p w14:paraId="3C28742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 如合同设备涉及知识产权，则卖方保证买方在使用合同设备过程中免于受到第三方提出的有关知识产权侵权的主张、索赔或诉讼的伤害。</w:t>
      </w:r>
    </w:p>
    <w:p w14:paraId="264149B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14:paraId="1B792F21">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13.</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保密</w:t>
      </w:r>
    </w:p>
    <w:p w14:paraId="00FC217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14:paraId="11D4F99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合同当事人的保密义务不适用于下列信息：</w:t>
      </w:r>
    </w:p>
    <w:p w14:paraId="3A959C8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（1）非因接受信息一方的过失现在或以后进入公共领域的信息；</w:t>
      </w:r>
    </w:p>
    <w:p w14:paraId="71CC905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（2）接受信息一方当事人合法地从第三方获得并且据其善意了解第三方也不对此承担保密义务的信息；</w:t>
      </w:r>
    </w:p>
    <w:p w14:paraId="36DE1C2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（3）法律或法律的执行要求披露的信息。</w:t>
      </w:r>
    </w:p>
    <w:p w14:paraId="1D1C47FC">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14.</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违约责任</w:t>
      </w:r>
    </w:p>
    <w:p w14:paraId="2A2358A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合同一方不履行合同义务、履行合同义务不符合约定或者违反合同项下所作保证的，应向对方承担继续履行、采取修理、更换、退货等补救措施或者赔偿损失等违约责任。</w:t>
      </w:r>
    </w:p>
    <w:p w14:paraId="4146B28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14.2 卖方未能按时交付合同设备（包括仅迟延交付技术资料但足以导致合同设备安装、调试、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、验收工作推迟的）的，应向买方支付迟延交付违约金。除专用合同条款另有约定外，迟延交付违约金的计算方法如下：</w:t>
      </w:r>
    </w:p>
    <w:p w14:paraId="3531FE71">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（1）从迟交的第一周到第四周，每周迟延交付违约金为迟交合同设备价格的 0.5%；</w:t>
      </w:r>
    </w:p>
    <w:p w14:paraId="6A172C28">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（2）从迟交的第五周到第八周，每周迟延交付违约金为迟交合同设备价格的 1%；</w:t>
      </w:r>
    </w:p>
    <w:p w14:paraId="1AEA8578">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（3）从迟交第九周起，每周迟延交付违约金为迟交合同设备价格的 1.5%。在计算迟延交付违约金时，迟交不足一周的按一周计算。迟延交付违约金的总额不得超过合同价格的 10%。</w:t>
      </w:r>
    </w:p>
    <w:p w14:paraId="5C22E800">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迟延交付违约金的支付不能免除卖方继续交付相关合同设备的义务，但如迟延交付必然导致合同设备安装、调试、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、验收工作推迟的，相关工作应相应顺延。</w:t>
      </w:r>
    </w:p>
    <w:p w14:paraId="321EB26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14.3 买方未能按合同约定支付合同价款的，应向卖方支付延迟付款违约金。除专用合同条款另有约定外，迟延付款违约金的计算方法如下：</w:t>
      </w:r>
    </w:p>
    <w:p w14:paraId="25E1EC3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（1）从迟付的第一周到第四周，每周迟延付款违约金为迟延付款金额的 0.5%；</w:t>
      </w:r>
    </w:p>
    <w:p w14:paraId="130E70E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（2）从迟付的第五周到第八周，每周迟延付款违约金为迟延付款金额的 1%；</w:t>
      </w:r>
    </w:p>
    <w:p w14:paraId="1C24BE5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（3）从迟付第九周起，每周迟延付款违约金为迟延付款金额的 1.5%。</w:t>
      </w:r>
    </w:p>
    <w:p w14:paraId="1BE1A92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在计算迟延付款违约金时，迟付不足一周的按一周计算。迟延付款违约金的总额不得超过合同价格的 10%。</w:t>
      </w:r>
    </w:p>
    <w:p w14:paraId="0F48B512">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15.</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合同的解除</w:t>
      </w:r>
    </w:p>
    <w:p w14:paraId="546C0B2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除专用合同条款另有约定外，有下述情形之一，当事人可发出书面通知全部或部分地解除合同，合同自通知到达对方时全部或部分地解除：</w:t>
      </w:r>
    </w:p>
    <w:p w14:paraId="68CA00C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（1）卖方迟延交付合同设备超过 3 个月；</w:t>
      </w:r>
    </w:p>
    <w:p w14:paraId="060D1F4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（2）合同设备由于卖方原因三次</w:t>
      </w:r>
      <w:r>
        <w:rPr>
          <w:rFonts w:hint="eastAsia" w:ascii="宋体" w:hAnsi="宋体" w:eastAsia="宋体" w:cs="Times New Roman"/>
          <w:color w:val="auto"/>
          <w:sz w:val="24"/>
          <w:szCs w:val="24"/>
          <w:highlight w:val="none"/>
          <w:lang w:val="en-US" w:eastAsia="zh-CN"/>
        </w:rPr>
        <w:t>试运行验收</w:t>
      </w:r>
      <w:r>
        <w:rPr>
          <w:rFonts w:hint="eastAsia" w:ascii="宋体" w:hAnsi="宋体" w:eastAsia="宋体" w:cs="Times New Roman"/>
          <w:color w:val="auto"/>
          <w:sz w:val="24"/>
          <w:szCs w:val="24"/>
          <w:highlight w:val="none"/>
        </w:rPr>
        <w:t>均未能达到技术性能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指标或在合同约定了或双方在</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中另行达成了最低技术性能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指标时均未能达到最低技术性能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指标，且买卖双方未就合同的后续履行协商达成一致；</w:t>
      </w:r>
    </w:p>
    <w:p w14:paraId="4A905EE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（3）买方迟延付款超过 3 个月；</w:t>
      </w:r>
    </w:p>
    <w:p w14:paraId="5C628CD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14:paraId="267CC7A7">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（5）合同一方当事人出现破产、清算、资不抵债、成为失信被执行人等可能丧失履约能力的情形，且未能提供令对方满意的履约保证金。</w:t>
      </w:r>
    </w:p>
    <w:p w14:paraId="5B9FD137">
      <w:pPr>
        <w:widowControl/>
        <w:adjustRightInd w:val="0"/>
        <w:snapToGrid/>
        <w:spacing w:beforeLines="0" w:afterLines="0" w:line="360" w:lineRule="auto"/>
        <w:jc w:val="left"/>
        <w:rPr>
          <w:rFonts w:ascii="宋体" w:hAnsi="宋体" w:eastAsia="宋体" w:cs="Times New Roman"/>
          <w:color w:val="auto"/>
          <w:sz w:val="24"/>
          <w:szCs w:val="24"/>
          <w:highlight w:val="none"/>
        </w:rPr>
      </w:pPr>
      <w:r>
        <w:rPr>
          <w:rFonts w:hint="eastAsia" w:ascii="宋体" w:hAnsi="宋体" w:eastAsia="宋体" w:cs="Times New Roman"/>
          <w:b/>
          <w:color w:val="auto"/>
          <w:sz w:val="32"/>
          <w:szCs w:val="32"/>
          <w:highlight w:val="none"/>
        </w:rPr>
        <w:t>16.</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不可抗力</w:t>
      </w:r>
    </w:p>
    <w:p w14:paraId="2C78F09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日内将有关当局或机构出具的证明文件提交给另一方当事人。</w:t>
      </w:r>
    </w:p>
    <w:p w14:paraId="44B6BD7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16.2  受不可抗力事件影响的一方当事人对于不可抗力事件导致的任何合同义务的迟延履行或不能履行不承担违约责任。但该方当事人应尽快将不可抗力事件结束或消除的情况通知另一方当事人。</w:t>
      </w:r>
    </w:p>
    <w:p w14:paraId="3036E0A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14:paraId="326C9994">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17.</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争议的解决</w:t>
      </w:r>
    </w:p>
    <w:p w14:paraId="752FEF4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因本合同引起的或与本合同有关的任何争议,双方可通过友好协商解决。友好协商解决不成的，可在专用合同条款中约定下列一种方式解决：</w:t>
      </w:r>
    </w:p>
    <w:p w14:paraId="3E616ED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（1）向约定的仲裁委员会申请仲裁；</w:t>
      </w:r>
    </w:p>
    <w:p w14:paraId="4CF5F1EC">
      <w:pPr>
        <w:widowControl w:val="0"/>
        <w:adjustRightInd w:val="0"/>
        <w:snapToGrid/>
        <w:spacing w:beforeLines="0" w:afterLines="0" w:line="360" w:lineRule="auto"/>
        <w:ind w:firstLine="480" w:firstLineChars="200"/>
        <w:rPr>
          <w:rFonts w:ascii="宋体" w:hAnsi="宋体" w:cs="宋体"/>
          <w:color w:val="auto"/>
          <w:sz w:val="24"/>
          <w:szCs w:val="24"/>
          <w:highlight w:val="none"/>
        </w:rPr>
      </w:pPr>
      <w:r>
        <w:rPr>
          <w:rFonts w:hint="eastAsia" w:ascii="宋体" w:hAnsi="宋体" w:eastAsia="宋体" w:cs="Times New Roman"/>
          <w:color w:val="auto"/>
          <w:sz w:val="24"/>
          <w:szCs w:val="24"/>
          <w:highlight w:val="none"/>
        </w:rPr>
        <w:t>（2）向有管辖权的人民法院提起诉讼。</w:t>
      </w:r>
    </w:p>
    <w:p w14:paraId="4475AB09">
      <w:pPr>
        <w:widowControl w:val="0"/>
        <w:spacing w:before="130" w:beforeLines="0" w:after="130" w:afterLines="0"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905964F">
      <w:pPr>
        <w:pStyle w:val="6"/>
        <w:snapToGrid/>
        <w:spacing w:before="120" w:beforeLines="0" w:after="120" w:afterLines="0"/>
        <w:jc w:val="center"/>
        <w:rPr>
          <w:bCs/>
          <w:color w:val="auto"/>
          <w:highlight w:val="none"/>
        </w:rPr>
      </w:pPr>
      <w:bookmarkStart w:id="147" w:name="_Toc25586724"/>
      <w:bookmarkStart w:id="148" w:name="_Toc1800"/>
      <w:bookmarkStart w:id="149" w:name="_Toc28619637"/>
      <w:bookmarkStart w:id="150" w:name="_Toc26868731"/>
      <w:r>
        <w:rPr>
          <w:rFonts w:hint="eastAsia"/>
          <w:bCs/>
          <w:color w:val="auto"/>
          <w:highlight w:val="none"/>
        </w:rPr>
        <w:t>第三节 专用合同条款</w:t>
      </w:r>
      <w:bookmarkEnd w:id="147"/>
      <w:bookmarkEnd w:id="148"/>
      <w:bookmarkEnd w:id="149"/>
      <w:bookmarkEnd w:id="150"/>
    </w:p>
    <w:p w14:paraId="3A145317">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一般约定</w:t>
      </w:r>
    </w:p>
    <w:p w14:paraId="4CBBD42B">
      <w:pPr>
        <w:widowControl w:val="0"/>
        <w:adjustRightInd w:val="0"/>
        <w:snapToGrid/>
        <w:spacing w:before="0" w:beforeLines="0" w:after="0" w:afterLines="0" w:line="360" w:lineRule="auto"/>
        <w:ind w:firstLine="241" w:firstLineChars="100"/>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1.1词语定义</w:t>
      </w:r>
    </w:p>
    <w:p w14:paraId="2BC18363">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w:t>
      </w:r>
    </w:p>
    <w:p w14:paraId="01CC482F">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1.1.2.2买方：指与卖方签订合同协议书，本合同中为广州市自来水有限公司。</w:t>
      </w:r>
    </w:p>
    <w:p w14:paraId="4C767F04">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1.1.2.3卖方：指与买方签订合同协议书，本合同中为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p>
    <w:p w14:paraId="4E26D4C3">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 合同价格</w:t>
      </w:r>
    </w:p>
    <w:p w14:paraId="45E6F813">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1.1.3.2 合同价格：系指根据本合同及《</w:t>
      </w:r>
      <w:r>
        <w:rPr>
          <w:rFonts w:hint="eastAsia" w:ascii="宋体" w:hAnsi="宋体" w:eastAsia="宋体" w:cs="宋体"/>
          <w:color w:val="auto"/>
          <w:sz w:val="24"/>
          <w:szCs w:val="24"/>
          <w:highlight w:val="none"/>
          <w:lang w:val="en-US" w:eastAsia="zh-CN"/>
        </w:rPr>
        <w:t>采购货物</w:t>
      </w:r>
      <w:r>
        <w:rPr>
          <w:rFonts w:hint="eastAsia" w:ascii="宋体" w:hAnsi="宋体" w:eastAsia="宋体" w:cs="宋体"/>
          <w:color w:val="auto"/>
          <w:sz w:val="24"/>
          <w:szCs w:val="24"/>
          <w:highlight w:val="none"/>
        </w:rPr>
        <w:t>分项报价一览表》规定，在卖方全面正确履行了合同义务时预计应支付给卖方的暂定价格。合同综合单价指货物运输并卸货到买方指定地址的交货价，该价格包括：货物生产前准备、设计、生产、防腐、产品检验、运输（</w:t>
      </w:r>
      <w:r>
        <w:rPr>
          <w:rFonts w:hint="eastAsia" w:ascii="宋体" w:hAnsi="宋体" w:cs="宋体"/>
          <w:color w:val="auto"/>
          <w:sz w:val="24"/>
          <w:szCs w:val="24"/>
          <w:highlight w:val="none"/>
        </w:rPr>
        <w:t>运输到业主指定交货地点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转运、</w:t>
      </w:r>
      <w:r>
        <w:rPr>
          <w:rFonts w:hint="eastAsia" w:ascii="宋体" w:hAnsi="宋体" w:eastAsia="宋体" w:cs="宋体"/>
          <w:color w:val="auto"/>
          <w:sz w:val="24"/>
          <w:szCs w:val="24"/>
          <w:highlight w:val="none"/>
        </w:rPr>
        <w:t>包装、</w:t>
      </w:r>
      <w:r>
        <w:rPr>
          <w:rFonts w:hint="eastAsia" w:ascii="宋体" w:hAnsi="宋体" w:cs="宋体"/>
          <w:color w:val="auto"/>
          <w:sz w:val="24"/>
          <w:szCs w:val="24"/>
          <w:highlight w:val="none"/>
          <w:lang w:val="en-US" w:eastAsia="zh-CN"/>
        </w:rPr>
        <w:t>保护、</w:t>
      </w:r>
      <w:r>
        <w:rPr>
          <w:rFonts w:hint="eastAsia" w:ascii="宋体" w:hAnsi="宋体" w:eastAsia="宋体" w:cs="宋体"/>
          <w:color w:val="auto"/>
          <w:sz w:val="24"/>
          <w:szCs w:val="24"/>
          <w:highlight w:val="none"/>
        </w:rPr>
        <w:t>装卸（含卸车费用）、</w:t>
      </w:r>
      <w:r>
        <w:rPr>
          <w:rFonts w:hint="eastAsia" w:ascii="宋体" w:hAnsi="宋体" w:cs="宋体"/>
          <w:color w:val="auto"/>
          <w:sz w:val="24"/>
          <w:szCs w:val="24"/>
          <w:highlight w:val="none"/>
        </w:rPr>
        <w:t>设立仓库并存储、</w:t>
      </w:r>
      <w:r>
        <w:rPr>
          <w:rFonts w:hint="eastAsia" w:ascii="宋体" w:hAnsi="宋体" w:cs="宋体"/>
          <w:color w:val="auto"/>
          <w:sz w:val="24"/>
          <w:szCs w:val="24"/>
          <w:highlight w:val="none"/>
          <w:lang w:val="en-US" w:eastAsia="zh-CN"/>
        </w:rPr>
        <w:t>指导</w:t>
      </w:r>
      <w:r>
        <w:rPr>
          <w:rFonts w:hint="eastAsia" w:ascii="宋体" w:hAnsi="宋体" w:eastAsia="宋体" w:cs="宋体"/>
          <w:color w:val="auto"/>
          <w:sz w:val="24"/>
          <w:szCs w:val="24"/>
          <w:highlight w:val="none"/>
          <w:lang w:val="en-US" w:eastAsia="zh-CN"/>
        </w:rPr>
        <w:t>安装及调试</w:t>
      </w:r>
      <w:r>
        <w:rPr>
          <w:rFonts w:hint="eastAsia" w:ascii="宋体" w:hAnsi="宋体" w:eastAsia="宋体" w:cs="宋体"/>
          <w:color w:val="auto"/>
          <w:sz w:val="24"/>
          <w:szCs w:val="24"/>
          <w:highlight w:val="none"/>
        </w:rPr>
        <w:t>（具体按“</w:t>
      </w:r>
      <w:r>
        <w:rPr>
          <w:rFonts w:hint="eastAsia" w:ascii="宋体" w:hAnsi="宋体" w:eastAsia="宋体" w:cs="宋体"/>
          <w:color w:val="auto"/>
          <w:sz w:val="24"/>
          <w:szCs w:val="24"/>
          <w:highlight w:val="none"/>
          <w:lang w:val="en-US" w:eastAsia="zh-CN"/>
        </w:rPr>
        <w:t xml:space="preserve">第二章用户需求书 </w:t>
      </w:r>
      <w:r>
        <w:rPr>
          <w:rFonts w:hint="eastAsia" w:ascii="宋体" w:hAnsi="宋体" w:eastAsia="宋体" w:cs="宋体"/>
          <w:color w:val="auto"/>
          <w:sz w:val="24"/>
          <w:szCs w:val="24"/>
          <w:highlight w:val="none"/>
        </w:rPr>
        <w:t>技术要求”）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组装</w:t>
      </w:r>
      <w:r>
        <w:rPr>
          <w:rFonts w:hint="eastAsia" w:ascii="宋体" w:hAnsi="宋体" w:eastAsia="宋体" w:cs="宋体"/>
          <w:color w:val="auto"/>
          <w:sz w:val="24"/>
          <w:szCs w:val="24"/>
          <w:highlight w:val="none"/>
        </w:rPr>
        <w:t>、验收（含出厂</w:t>
      </w:r>
      <w:r>
        <w:rPr>
          <w:rFonts w:hint="eastAsia" w:ascii="宋体" w:hAnsi="宋体" w:eastAsia="宋体" w:cs="宋体"/>
          <w:color w:val="auto"/>
          <w:sz w:val="24"/>
          <w:szCs w:val="24"/>
          <w:highlight w:val="none"/>
          <w:lang w:val="en-US" w:eastAsia="zh-CN"/>
        </w:rPr>
        <w:t>前及</w:t>
      </w:r>
      <w:r>
        <w:rPr>
          <w:rFonts w:hint="eastAsia" w:ascii="宋体" w:hAnsi="宋体" w:eastAsia="宋体" w:cs="宋体"/>
          <w:color w:val="auto"/>
          <w:sz w:val="24"/>
          <w:szCs w:val="24"/>
          <w:highlight w:val="none"/>
        </w:rPr>
        <w:t>到货</w:t>
      </w:r>
      <w:r>
        <w:rPr>
          <w:rFonts w:hint="eastAsia" w:ascii="宋体" w:hAnsi="宋体" w:eastAsia="宋体" w:cs="宋体"/>
          <w:color w:val="auto"/>
          <w:sz w:val="24"/>
          <w:szCs w:val="24"/>
          <w:highlight w:val="none"/>
          <w:lang w:val="en-US" w:eastAsia="zh-CN"/>
        </w:rPr>
        <w:t>后的</w:t>
      </w:r>
      <w:r>
        <w:rPr>
          <w:rFonts w:hint="eastAsia" w:ascii="宋体" w:hAnsi="宋体" w:eastAsia="宋体" w:cs="宋体"/>
          <w:color w:val="auto"/>
          <w:sz w:val="24"/>
          <w:szCs w:val="24"/>
          <w:highlight w:val="none"/>
        </w:rPr>
        <w:t>验收）、质量抽检、培训、常规维修工具、备品备件、相关税费、保险费、物货伴随服务（包括安装使用说明书、图纸的提供、质保期服务）</w:t>
      </w:r>
      <w:r>
        <w:rPr>
          <w:rFonts w:hint="eastAsia" w:ascii="宋体" w:hAnsi="宋体" w:eastAsia="宋体" w:cs="宋体"/>
          <w:color w:val="auto"/>
          <w:sz w:val="24"/>
          <w:szCs w:val="24"/>
          <w:highlight w:val="none"/>
          <w:lang w:val="en-US" w:eastAsia="zh-CN"/>
        </w:rPr>
        <w:t>等全部费用</w:t>
      </w:r>
      <w:r>
        <w:rPr>
          <w:rFonts w:hint="eastAsia" w:ascii="宋体" w:hAnsi="宋体" w:eastAsia="宋体" w:cs="Times New Roman"/>
          <w:color w:val="auto"/>
          <w:sz w:val="24"/>
          <w:szCs w:val="24"/>
          <w:highlight w:val="none"/>
        </w:rPr>
        <w:t>。</w:t>
      </w:r>
    </w:p>
    <w:p w14:paraId="2B7A8C97">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相关服务：是指在质量保证期届满前卖方提供的与合同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有关的辅助服务，包括但不限于运输、保险、仓储、包装、保护、检验、货物运至项目现场后对使用人员所应做的技术指导和沟通、解决合同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存在的质量问题，以及买方检验、使用和修补合同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进行的技术援助、培训和招标文件规定的卖方应承担的其他服务等其他伴随服务。</w:t>
      </w:r>
    </w:p>
    <w:p w14:paraId="24D38A1D">
      <w:pPr>
        <w:adjustRightInd w:val="0"/>
        <w:snapToGrid/>
        <w:spacing w:beforeLines="0" w:afterLines="0" w:line="360" w:lineRule="auto"/>
        <w:ind w:firstLine="480" w:firstLineChars="200"/>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w:t>
      </w:r>
      <w:r>
        <w:rPr>
          <w:rFonts w:hint="eastAsia" w:ascii="宋体" w:hAnsi="宋体" w:eastAsia="宋体" w:cs="Times New Roman"/>
          <w:color w:val="auto"/>
          <w:sz w:val="24"/>
          <w:szCs w:val="24"/>
          <w:highlight w:val="none"/>
          <w:lang w:val="en-US" w:eastAsia="zh-CN"/>
        </w:rPr>
        <w:t>11</w:t>
      </w:r>
      <w:r>
        <w:rPr>
          <w:rFonts w:hint="eastAsia" w:ascii="宋体" w:hAnsi="宋体" w:eastAsia="宋体" w:cs="Times New Roman"/>
          <w:color w:val="auto"/>
          <w:sz w:val="24"/>
          <w:szCs w:val="24"/>
          <w:highlight w:val="none"/>
        </w:rPr>
        <w:t xml:space="preserve"> 质量保证期：指合同</w:t>
      </w:r>
      <w:r>
        <w:rPr>
          <w:rFonts w:hint="eastAsia" w:ascii="宋体" w:hAnsi="宋体" w:eastAsia="宋体" w:cs="Times New Roman"/>
          <w:color w:val="auto"/>
          <w:sz w:val="24"/>
          <w:szCs w:val="24"/>
          <w:highlight w:val="none"/>
          <w:lang w:val="en-US" w:eastAsia="zh-CN"/>
        </w:rPr>
        <w:t>设备最终</w:t>
      </w:r>
      <w:r>
        <w:rPr>
          <w:rFonts w:hint="eastAsia" w:ascii="宋体" w:hAnsi="宋体" w:eastAsia="宋体" w:cs="Times New Roman"/>
          <w:color w:val="auto"/>
          <w:sz w:val="24"/>
          <w:szCs w:val="24"/>
          <w:highlight w:val="none"/>
        </w:rPr>
        <w:t>验收合格后，卖方按合同约定保证合同</w:t>
      </w:r>
      <w:r>
        <w:rPr>
          <w:rFonts w:hint="eastAsia" w:ascii="宋体" w:hAnsi="宋体" w:eastAsia="宋体" w:cs="Times New Roman"/>
          <w:color w:val="auto"/>
          <w:sz w:val="24"/>
          <w:szCs w:val="24"/>
          <w:highlight w:val="none"/>
          <w:lang w:val="en-US" w:eastAsia="zh-CN"/>
        </w:rPr>
        <w:t>设备</w:t>
      </w:r>
      <w:r>
        <w:rPr>
          <w:rFonts w:hint="eastAsia" w:ascii="宋体" w:hAnsi="宋体" w:eastAsia="宋体" w:cs="Times New Roman"/>
          <w:color w:val="auto"/>
          <w:sz w:val="24"/>
          <w:szCs w:val="24"/>
          <w:highlight w:val="none"/>
        </w:rPr>
        <w:t>正常使用，并负责解决合同</w:t>
      </w:r>
      <w:r>
        <w:rPr>
          <w:rFonts w:hint="eastAsia" w:ascii="宋体" w:hAnsi="宋体" w:eastAsia="宋体" w:cs="Times New Roman"/>
          <w:color w:val="auto"/>
          <w:sz w:val="24"/>
          <w:szCs w:val="24"/>
          <w:highlight w:val="none"/>
          <w:lang w:val="en-US" w:eastAsia="zh-CN"/>
        </w:rPr>
        <w:t>设备</w:t>
      </w:r>
      <w:r>
        <w:rPr>
          <w:rFonts w:hint="eastAsia" w:ascii="宋体" w:hAnsi="宋体" w:eastAsia="宋体" w:cs="Times New Roman"/>
          <w:color w:val="auto"/>
          <w:sz w:val="24"/>
          <w:szCs w:val="24"/>
          <w:highlight w:val="none"/>
        </w:rPr>
        <w:t>存在的任何质量问题的期限。</w:t>
      </w:r>
    </w:p>
    <w:p w14:paraId="11130DC4">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 xml:space="preserve"> 工程</w:t>
      </w:r>
    </w:p>
    <w:p w14:paraId="60FABFB1">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.1 工程：广州市自来水有限公司的自筹资金项目等使用合同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的工程项目。</w:t>
      </w:r>
    </w:p>
    <w:p w14:paraId="432A1269">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.2 施工场地（或称工地、施工现场）：广州市自来水有限公司的自筹资金项目施工场地。</w:t>
      </w:r>
    </w:p>
    <w:p w14:paraId="421295C9">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1.4合同的生效及变更</w:t>
      </w:r>
    </w:p>
    <w:p w14:paraId="5652E7D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1.4.1买方和卖方的法定代表人（单位负责人）或其授权代表在合同协议书上签字并加盖单位章后，合同生效，最后一个签署日期为合同生效日期。</w:t>
      </w:r>
    </w:p>
    <w:p w14:paraId="18AA5F5C">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1.5联络</w:t>
      </w:r>
    </w:p>
    <w:p w14:paraId="489725B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买卖双方应就合同履行中有关的事项及时进行联络，重要事项应通过书面形式进行联络或确认。合同履行过程中的任何联络及相关文件的签署，均应通过以下指定的联系人和联系方式进行。合同履行过程中，双方可以书面形式增加或变更指定联系人。</w:t>
      </w:r>
    </w:p>
    <w:p w14:paraId="210BE9B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买方联系人：广州市自来水</w:t>
      </w:r>
      <w:r>
        <w:rPr>
          <w:rFonts w:hint="eastAsia" w:ascii="宋体" w:hAnsi="宋体" w:eastAsia="宋体" w:cs="Times New Roman"/>
          <w:color w:val="auto"/>
          <w:sz w:val="24"/>
          <w:szCs w:val="24"/>
          <w:highlight w:val="none"/>
          <w:lang w:val="en-US" w:eastAsia="zh-CN"/>
        </w:rPr>
        <w:t>有限</w:t>
      </w:r>
      <w:r>
        <w:rPr>
          <w:rFonts w:hint="eastAsia" w:ascii="宋体" w:hAnsi="宋体" w:eastAsia="宋体" w:cs="Times New Roman"/>
          <w:color w:val="auto"/>
          <w:sz w:val="24"/>
          <w:szCs w:val="24"/>
          <w:highlight w:val="none"/>
        </w:rPr>
        <w:t>公司（单位或部室）</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（联系人名称），</w:t>
      </w:r>
    </w:p>
    <w:p w14:paraId="401E608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联系方式：电话：</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，电子邮箱：</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w:t>
      </w:r>
    </w:p>
    <w:p w14:paraId="5694384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卖方联系人：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（联系人名称），</w:t>
      </w:r>
    </w:p>
    <w:p w14:paraId="70E0DDD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联系方式：电话：</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，电子邮箱：</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276BCD81">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3.</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合同价格与支付</w:t>
      </w:r>
    </w:p>
    <w:p w14:paraId="6FA4E84F">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3.1 合同价格</w:t>
      </w:r>
    </w:p>
    <w:p w14:paraId="75A1F2B9">
      <w:pPr>
        <w:widowControl w:val="0"/>
        <w:spacing w:beforeLines="0" w:afterLines="0" w:line="360" w:lineRule="auto"/>
        <w:ind w:left="360"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实货计价：</w:t>
      </w:r>
    </w:p>
    <w:p w14:paraId="68131CAF">
      <w:pPr>
        <w:widowControl w:val="0"/>
        <w:numPr>
          <w:ilvl w:val="0"/>
          <w:numId w:val="0"/>
        </w:numPr>
        <w:spacing w:beforeLines="0" w:afterLines="0" w:line="360" w:lineRule="auto"/>
        <w:ind w:left="420" w:leftChars="200" w:firstLine="480" w:firstLineChars="200"/>
        <w:outlineLvl w:val="9"/>
        <w:rPr>
          <w:rFonts w:hint="eastAsia" w:ascii="宋体" w:hAnsi="宋体" w:eastAsia="宋体" w:cs="宋体"/>
          <w:color w:val="auto"/>
          <w:sz w:val="24"/>
          <w:szCs w:val="24"/>
          <w:highlight w:val="none"/>
        </w:rPr>
      </w:pPr>
      <w:bookmarkStart w:id="151" w:name="OLE_LINK3"/>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本合同签约合同价为暂定价格，只作为订立本合同预付款的依据；</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实际结算金额以招标确认的单价和实际到达项目现场且验收合格的货物数量的乘积为准。</w:t>
      </w:r>
      <w:bookmarkEnd w:id="151"/>
    </w:p>
    <w:p w14:paraId="08AAE609">
      <w:pPr>
        <w:widowControl w:val="0"/>
        <w:spacing w:beforeLines="0" w:afterLines="0" w:line="360" w:lineRule="auto"/>
        <w:ind w:left="360" w:firstLine="480" w:firstLineChars="200"/>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）设备组装费结算时按投标综合单价总价包干。</w:t>
      </w:r>
    </w:p>
    <w:p w14:paraId="14A66219">
      <w:pPr>
        <w:widowControl w:val="0"/>
        <w:spacing w:beforeLines="0" w:afterLines="0" w:line="360" w:lineRule="auto"/>
        <w:ind w:left="360" w:firstLine="480" w:firstLineChars="200"/>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）本合同因调整第四节“合同附件三</w:t>
      </w:r>
      <w:r>
        <w:rPr>
          <w:rFonts w:hint="eastAsia" w:ascii="宋体" w:hAnsi="宋体" w:cs="宋体"/>
          <w:color w:val="auto"/>
          <w:sz w:val="24"/>
          <w:szCs w:val="24"/>
          <w:highlight w:val="none"/>
          <w:lang w:val="en-US" w:eastAsia="zh-CN"/>
        </w:rPr>
        <w:t xml:space="preserve"> 合同设备清单</w:t>
      </w:r>
      <w:r>
        <w:rPr>
          <w:rFonts w:hint="eastAsia" w:ascii="宋体" w:hAnsi="宋体" w:cs="宋体"/>
          <w:color w:val="auto"/>
          <w:sz w:val="24"/>
          <w:szCs w:val="24"/>
          <w:highlight w:val="none"/>
          <w:lang w:eastAsia="zh-CN"/>
        </w:rPr>
        <w:t>”中的供货数量，实际结算金额在合同金额</w:t>
      </w:r>
      <w:r>
        <w:rPr>
          <w:rFonts w:hint="eastAsia" w:ascii="宋体" w:hAnsi="宋体" w:cs="宋体"/>
          <w:color w:val="auto"/>
          <w:sz w:val="24"/>
          <w:szCs w:val="24"/>
          <w:highlight w:val="none"/>
          <w:lang w:val="en-US" w:eastAsia="zh-CN"/>
        </w:rPr>
        <w:t>10%以内的，不需另行签订补充协议</w:t>
      </w:r>
      <w:r>
        <w:rPr>
          <w:rFonts w:hint="eastAsia" w:ascii="宋体" w:hAnsi="宋体" w:cs="宋体"/>
          <w:color w:val="auto"/>
          <w:sz w:val="24"/>
          <w:szCs w:val="24"/>
          <w:highlight w:val="none"/>
          <w:lang w:eastAsia="zh-CN"/>
        </w:rPr>
        <w:t>。</w:t>
      </w:r>
    </w:p>
    <w:p w14:paraId="2AA050AD">
      <w:pPr>
        <w:widowControl w:val="0"/>
        <w:spacing w:beforeLines="0" w:afterLines="0" w:line="360" w:lineRule="auto"/>
        <w:ind w:left="360"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定价计量原则：</w:t>
      </w:r>
    </w:p>
    <w:p w14:paraId="6EBE3D11">
      <w:pPr>
        <w:widowControl w:val="0"/>
        <w:adjustRightInd w:val="0"/>
        <w:spacing w:beforeLines="0" w:after="0" w:afterLines="0" w:line="360" w:lineRule="auto"/>
        <w:ind w:left="420" w:leftChars="0" w:firstLine="480" w:firstLineChars="200"/>
        <w:textAlignment w:val="baseline"/>
        <w:outlineLvl w:val="9"/>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 卖方在提交支付申请报告之前，应进行所有计量工作，如涉及多个项目交货量的，应计算所有可支付项目的相应交货量。卖方的计量结果均须经过买方的核实。卖方并应按买方的要求提交其它有关详细资料。</w:t>
      </w:r>
    </w:p>
    <w:p w14:paraId="57BEBD73">
      <w:pPr>
        <w:widowControl w:val="0"/>
        <w:adjustRightInd w:val="0"/>
        <w:spacing w:beforeLines="0" w:after="0" w:afterLines="0" w:line="360" w:lineRule="auto"/>
        <w:ind w:left="420" w:leftChars="0" w:firstLine="480" w:firstLineChars="200"/>
        <w:textAlignment w:val="baseline"/>
        <w:outlineLvl w:val="9"/>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 除非合同中另有规定，交货量应根据买方接收合格货物的实际数量计算，经买方认定并拒收的货物不予计量。</w:t>
      </w:r>
    </w:p>
    <w:p w14:paraId="63CAA9FC">
      <w:pPr>
        <w:widowControl w:val="0"/>
        <w:adjustRightInd w:val="0"/>
        <w:spacing w:beforeLines="0" w:after="0" w:afterLines="0" w:line="360" w:lineRule="auto"/>
        <w:ind w:left="420" w:leftChars="0" w:firstLine="480" w:firstLineChars="200"/>
        <w:textAlignment w:val="baseline"/>
        <w:outlineLvl w:val="9"/>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 现场交货计量按《订货清单》中规定执行。</w:t>
      </w:r>
    </w:p>
    <w:p w14:paraId="7D4C29CB">
      <w:pPr>
        <w:widowControl w:val="0"/>
        <w:spacing w:beforeLines="0" w:afterLines="0" w:line="360" w:lineRule="auto"/>
        <w:ind w:left="360"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卖方明确：</w:t>
      </w:r>
    </w:p>
    <w:p w14:paraId="5995CCEA">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卖方明确表示已经彻底理解合同的相关情况，并在合同价格中全面并充分考虑到了以下几项：</w:t>
      </w:r>
    </w:p>
    <w:p w14:paraId="7458D732">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 影响到合同价格的全部条件和情况；</w:t>
      </w:r>
    </w:p>
    <w:p w14:paraId="789765A8">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 考虑到现场的各种情况并能采用的各种合理的运输方式把货物按时、按质、按量送到买方指定地点；</w:t>
      </w:r>
    </w:p>
    <w:p w14:paraId="359DF26E">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 考虑由卖方承担的包括安装或指导安装、调试、测试及保质保修等的售后服务；</w:t>
      </w:r>
    </w:p>
    <w:p w14:paraId="21D8199B">
      <w:pPr>
        <w:widowControl w:val="0"/>
        <w:adjustRightInd w:val="0"/>
        <w:spacing w:beforeLines="0" w:after="0" w:afterLines="0" w:line="360" w:lineRule="auto"/>
        <w:ind w:left="0" w:leftChars="0" w:firstLine="480" w:firstLineChars="200"/>
        <w:textAlignment w:val="baseline"/>
        <w:outlineLvl w:val="9"/>
        <w:rPr>
          <w:rFonts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 现场所有的其它综合情况；</w:t>
      </w:r>
    </w:p>
    <w:p w14:paraId="5BFA17CB">
      <w:pPr>
        <w:widowControl w:val="0"/>
        <w:adjustRightInd w:val="0"/>
        <w:spacing w:beforeLines="0" w:after="0" w:afterLines="0" w:line="360" w:lineRule="auto"/>
        <w:ind w:left="0" w:leftChars="0" w:firstLine="480" w:firstLineChars="200"/>
        <w:textAlignment w:val="baseline"/>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 卖方还需考虑到完成合同所述供货及伴随服务的其他所有可能性，包括但不限于：实际供货期可能短于或长于本项目施工预估工期（如工程延期、延误、暂停后所带来的影响），实际供货数量可能多于或少于招标文件供货要求《设备需求一览表》中所列货物数量等可能性，以及管线线路由于不可预见的因素引起的局部变更的风险</w:t>
      </w:r>
      <w:r>
        <w:rPr>
          <w:rFonts w:hint="eastAsia" w:ascii="宋体" w:hAnsi="宋体" w:cs="宋体"/>
          <w:color w:val="auto"/>
          <w:sz w:val="24"/>
          <w:szCs w:val="24"/>
          <w:highlight w:val="none"/>
          <w:lang w:val="en-US" w:eastAsia="zh-CN" w:bidi="ar-SA"/>
        </w:rPr>
        <w:t>。</w:t>
      </w:r>
    </w:p>
    <w:p w14:paraId="667698EB">
      <w:pPr>
        <w:pStyle w:val="2"/>
        <w:widowControl w:val="0"/>
        <w:adjustRightInd w:val="0"/>
        <w:spacing w:beforeLines="0" w:after="0" w:afterLines="0" w:line="360" w:lineRule="auto"/>
        <w:ind w:left="0" w:leftChars="0" w:firstLine="480" w:firstLineChars="200"/>
        <w:textAlignment w:val="baseline"/>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highlight w:val="none"/>
          <w:lang w:val="en-US" w:eastAsia="zh-CN"/>
        </w:rPr>
        <w:t>（6）买方需追加本合同第四节“合同附件三 合同设备清单”中没有的同类设备，在不要改变合同其他条款的前提下，可以与卖方协商签订补充合同，但所有补充合同的采购金额不得超过本合同采购金额的10% 。否则，买方应另行采购</w:t>
      </w:r>
      <w:r>
        <w:rPr>
          <w:rFonts w:hint="eastAsia" w:ascii="宋体" w:hAnsi="宋体" w:eastAsia="宋体" w:cs="宋体"/>
          <w:color w:val="auto"/>
          <w:sz w:val="24"/>
          <w:szCs w:val="24"/>
          <w:highlight w:val="none"/>
          <w:lang w:val="en-US" w:eastAsia="zh-CN" w:bidi="ar-SA"/>
        </w:rPr>
        <w:t>。</w:t>
      </w:r>
    </w:p>
    <w:p w14:paraId="31393BEC">
      <w:pPr>
        <w:widowControl w:val="0"/>
        <w:adjustRightInd w:val="0"/>
        <w:spacing w:beforeLines="0" w:after="0" w:afterLines="0" w:line="360" w:lineRule="auto"/>
        <w:ind w:left="0" w:leftChars="0" w:firstLine="480" w:firstLineChars="200"/>
        <w:textAlignment w:val="baseline"/>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3.1.1.4卖方出于特殊原因，所投标的品牌原设备供应不上，须更换品牌时，必须征得买方审批同意，更换的品牌必须是征得买方书面批准的品牌。所更换品牌原设备须满足本项目的技术要求，且价格需经第三方确认最终价，当第三方确认价高于原品牌价时按原品牌价，当第三方确认价低于原品牌价时按第三方确认价，同时因卖方更换品牌需向买方支付违约金，违约金为卖方所有更换各类品牌所对应的原综合单价与数量乘积的累计金额的20%。</w:t>
      </w:r>
    </w:p>
    <w:p w14:paraId="71CC081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3.1.2签约合同价为暂定签约合同价。</w:t>
      </w:r>
    </w:p>
    <w:p w14:paraId="6D9349B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3.1.2.1设备单价为固定不变价，在合同有效期内不因市场价格变化、人员工资福利调整等而调整。</w:t>
      </w:r>
    </w:p>
    <w:p w14:paraId="5F44F1E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3.1.2.2设备单价包括但不限于合同设备的</w:t>
      </w:r>
      <w:r>
        <w:rPr>
          <w:rFonts w:hint="eastAsia" w:ascii="宋体" w:hAnsi="宋体" w:eastAsia="宋体" w:cs="宋体"/>
          <w:color w:val="auto"/>
          <w:sz w:val="24"/>
          <w:szCs w:val="24"/>
          <w:highlight w:val="none"/>
        </w:rPr>
        <w:t>货物生产前准备、设计、生产、防腐、产品检验、运输（</w:t>
      </w:r>
      <w:r>
        <w:rPr>
          <w:rFonts w:hint="eastAsia" w:ascii="宋体" w:hAnsi="宋体" w:cs="宋体"/>
          <w:color w:val="auto"/>
          <w:sz w:val="24"/>
          <w:szCs w:val="24"/>
          <w:highlight w:val="none"/>
        </w:rPr>
        <w:t>运输到业主指定交货地点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转运、</w:t>
      </w:r>
      <w:r>
        <w:rPr>
          <w:rFonts w:hint="eastAsia" w:ascii="宋体" w:hAnsi="宋体" w:eastAsia="宋体" w:cs="宋体"/>
          <w:color w:val="auto"/>
          <w:sz w:val="24"/>
          <w:szCs w:val="24"/>
          <w:highlight w:val="none"/>
        </w:rPr>
        <w:t>包装、</w:t>
      </w:r>
      <w:r>
        <w:rPr>
          <w:rFonts w:hint="eastAsia" w:ascii="宋体" w:hAnsi="宋体" w:cs="宋体"/>
          <w:color w:val="auto"/>
          <w:sz w:val="24"/>
          <w:szCs w:val="24"/>
          <w:highlight w:val="none"/>
          <w:lang w:val="en-US" w:eastAsia="zh-CN"/>
        </w:rPr>
        <w:t>保护、</w:t>
      </w:r>
      <w:r>
        <w:rPr>
          <w:rFonts w:hint="eastAsia" w:ascii="宋体" w:hAnsi="宋体" w:eastAsia="宋体" w:cs="宋体"/>
          <w:color w:val="auto"/>
          <w:sz w:val="24"/>
          <w:szCs w:val="24"/>
          <w:highlight w:val="none"/>
        </w:rPr>
        <w:t>装卸（含卸车费用）、</w:t>
      </w:r>
      <w:r>
        <w:rPr>
          <w:rFonts w:hint="eastAsia" w:ascii="宋体" w:hAnsi="宋体" w:cs="宋体"/>
          <w:color w:val="auto"/>
          <w:sz w:val="24"/>
          <w:szCs w:val="24"/>
          <w:highlight w:val="none"/>
        </w:rPr>
        <w:t>设立仓库并存储、</w:t>
      </w:r>
      <w:r>
        <w:rPr>
          <w:rFonts w:hint="eastAsia" w:ascii="宋体" w:hAnsi="宋体" w:cs="宋体"/>
          <w:color w:val="auto"/>
          <w:sz w:val="24"/>
          <w:szCs w:val="24"/>
          <w:highlight w:val="none"/>
          <w:lang w:val="en-US" w:eastAsia="zh-CN"/>
        </w:rPr>
        <w:t>指导</w:t>
      </w:r>
      <w:r>
        <w:rPr>
          <w:rFonts w:hint="eastAsia" w:ascii="宋体" w:hAnsi="宋体" w:eastAsia="宋体" w:cs="宋体"/>
          <w:color w:val="auto"/>
          <w:sz w:val="24"/>
          <w:szCs w:val="24"/>
          <w:highlight w:val="none"/>
          <w:lang w:val="en-US" w:eastAsia="zh-CN"/>
        </w:rPr>
        <w:t>安装及调试</w:t>
      </w:r>
      <w:r>
        <w:rPr>
          <w:rFonts w:hint="eastAsia" w:ascii="宋体" w:hAnsi="宋体" w:eastAsia="宋体" w:cs="宋体"/>
          <w:color w:val="auto"/>
          <w:sz w:val="24"/>
          <w:szCs w:val="24"/>
          <w:highlight w:val="none"/>
        </w:rPr>
        <w:t>（具体按“</w:t>
      </w:r>
      <w:r>
        <w:rPr>
          <w:rFonts w:hint="eastAsia" w:ascii="宋体" w:hAnsi="宋体" w:eastAsia="宋体" w:cs="宋体"/>
          <w:color w:val="auto"/>
          <w:sz w:val="24"/>
          <w:szCs w:val="24"/>
          <w:highlight w:val="none"/>
          <w:lang w:val="en-US" w:eastAsia="zh-CN"/>
        </w:rPr>
        <w:t xml:space="preserve">第二章用户需求书 </w:t>
      </w:r>
      <w:r>
        <w:rPr>
          <w:rFonts w:hint="eastAsia" w:ascii="宋体" w:hAnsi="宋体" w:eastAsia="宋体" w:cs="宋体"/>
          <w:color w:val="auto"/>
          <w:sz w:val="24"/>
          <w:szCs w:val="24"/>
          <w:highlight w:val="none"/>
        </w:rPr>
        <w:t>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组装</w:t>
      </w:r>
      <w:r>
        <w:rPr>
          <w:rFonts w:hint="eastAsia" w:ascii="宋体" w:hAnsi="宋体" w:eastAsia="宋体" w:cs="宋体"/>
          <w:color w:val="auto"/>
          <w:sz w:val="24"/>
          <w:szCs w:val="24"/>
          <w:highlight w:val="none"/>
        </w:rPr>
        <w:t>、验收（含出厂</w:t>
      </w:r>
      <w:r>
        <w:rPr>
          <w:rFonts w:hint="eastAsia" w:ascii="宋体" w:hAnsi="宋体" w:eastAsia="宋体" w:cs="宋体"/>
          <w:color w:val="auto"/>
          <w:sz w:val="24"/>
          <w:szCs w:val="24"/>
          <w:highlight w:val="none"/>
          <w:lang w:val="en-US" w:eastAsia="zh-CN"/>
        </w:rPr>
        <w:t>前及</w:t>
      </w:r>
      <w:r>
        <w:rPr>
          <w:rFonts w:hint="eastAsia" w:ascii="宋体" w:hAnsi="宋体" w:eastAsia="宋体" w:cs="宋体"/>
          <w:color w:val="auto"/>
          <w:sz w:val="24"/>
          <w:szCs w:val="24"/>
          <w:highlight w:val="none"/>
        </w:rPr>
        <w:t>到货</w:t>
      </w:r>
      <w:r>
        <w:rPr>
          <w:rFonts w:hint="eastAsia" w:ascii="宋体" w:hAnsi="宋体" w:eastAsia="宋体" w:cs="宋体"/>
          <w:color w:val="auto"/>
          <w:sz w:val="24"/>
          <w:szCs w:val="24"/>
          <w:highlight w:val="none"/>
          <w:lang w:val="en-US" w:eastAsia="zh-CN"/>
        </w:rPr>
        <w:t>后的</w:t>
      </w:r>
      <w:r>
        <w:rPr>
          <w:rFonts w:hint="eastAsia" w:ascii="宋体" w:hAnsi="宋体" w:eastAsia="宋体" w:cs="宋体"/>
          <w:color w:val="auto"/>
          <w:sz w:val="24"/>
          <w:szCs w:val="24"/>
          <w:highlight w:val="none"/>
        </w:rPr>
        <w:t>验收）、质量抽检、培训、常规维修工具、备品备件、相关税费、保险费、物货伴随服务（包括安装使用说明书、图纸的提供、质保期服务）</w:t>
      </w:r>
      <w:r>
        <w:rPr>
          <w:rFonts w:hint="eastAsia" w:ascii="宋体" w:hAnsi="宋体" w:eastAsia="宋体" w:cs="宋体"/>
          <w:color w:val="auto"/>
          <w:sz w:val="24"/>
          <w:szCs w:val="24"/>
          <w:highlight w:val="none"/>
          <w:lang w:val="en-US" w:eastAsia="zh-CN"/>
        </w:rPr>
        <w:t>等全部费用</w:t>
      </w:r>
      <w:r>
        <w:rPr>
          <w:rFonts w:hint="eastAsia" w:ascii="宋体" w:hAnsi="宋体" w:eastAsia="宋体" w:cs="Times New Roman"/>
          <w:color w:val="auto"/>
          <w:sz w:val="24"/>
          <w:szCs w:val="24"/>
          <w:highlight w:val="none"/>
        </w:rPr>
        <w:t>。</w:t>
      </w:r>
    </w:p>
    <w:p w14:paraId="40C5D1A2">
      <w:pPr>
        <w:widowControl/>
        <w:adjustRightInd w:val="0"/>
        <w:snapToGrid/>
        <w:spacing w:beforeLines="0" w:afterLines="0" w:line="360" w:lineRule="auto"/>
        <w:ind w:firstLine="480" w:firstLineChars="200"/>
        <w:jc w:val="left"/>
        <w:rPr>
          <w:rFonts w:hint="eastAsia" w:ascii="Times New Roman"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3.1.2.3</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实际结算金额以实际到</w:t>
      </w:r>
      <w:r>
        <w:rPr>
          <w:rFonts w:hint="eastAsia" w:ascii="宋体" w:hAnsi="宋体" w:eastAsia="宋体" w:cs="宋体"/>
          <w:color w:val="auto"/>
          <w:sz w:val="24"/>
          <w:szCs w:val="24"/>
          <w:highlight w:val="none"/>
          <w:lang w:val="en-US" w:eastAsia="zh-CN"/>
        </w:rPr>
        <w:t>货并开箱/试运行</w:t>
      </w:r>
      <w:r>
        <w:rPr>
          <w:rFonts w:hint="eastAsia" w:ascii="宋体" w:hAnsi="宋体" w:eastAsia="宋体" w:cs="宋体"/>
          <w:color w:val="auto"/>
          <w:sz w:val="24"/>
          <w:szCs w:val="24"/>
          <w:highlight w:val="none"/>
        </w:rPr>
        <w:t>验收合格（如果供货要求包含安装、调试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试运行</w:t>
      </w:r>
      <w:r>
        <w:rPr>
          <w:rFonts w:hint="eastAsia" w:ascii="宋体" w:hAnsi="宋体" w:eastAsia="宋体" w:cs="宋体"/>
          <w:color w:val="auto"/>
          <w:sz w:val="24"/>
          <w:szCs w:val="24"/>
          <w:highlight w:val="none"/>
        </w:rPr>
        <w:t>，则应为试运行验收合格）的</w:t>
      </w:r>
      <w:r>
        <w:rPr>
          <w:rFonts w:hint="eastAsia" w:ascii="宋体" w:hAnsi="宋体" w:eastAsia="宋体" w:cs="宋体"/>
          <w:color w:val="auto"/>
          <w:sz w:val="24"/>
          <w:szCs w:val="24"/>
          <w:highlight w:val="none"/>
          <w:lang w:val="en-US" w:eastAsia="zh-CN"/>
        </w:rPr>
        <w:t>实际</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招标确认的</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单价的乘积为准</w:t>
      </w:r>
      <w:r>
        <w:rPr>
          <w:rFonts w:hint="eastAsia" w:ascii="Times New Roman" w:hAnsi="宋体" w:eastAsia="宋体" w:cs="Times New Roman"/>
          <w:color w:val="auto"/>
          <w:sz w:val="24"/>
          <w:szCs w:val="24"/>
          <w:highlight w:val="none"/>
        </w:rPr>
        <w:t>。</w:t>
      </w:r>
    </w:p>
    <w:p w14:paraId="4C4297A3">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Times New Roman"/>
          <w:color w:val="auto"/>
          <w:sz w:val="24"/>
          <w:szCs w:val="24"/>
          <w:highlight w:val="none"/>
        </w:rPr>
        <w:t>3.1.2.4本合同第四节“合同附件三 合同设备清单”中设备的数量为暂定数量，买方有权根据实际需要增加或减少采购每项合同设备的数量</w:t>
      </w:r>
      <w:r>
        <w:rPr>
          <w:rFonts w:hint="eastAsia" w:ascii="宋体" w:hAnsi="宋体" w:eastAsia="宋体" w:cs="宋体"/>
          <w:color w:val="auto"/>
          <w:sz w:val="24"/>
          <w:szCs w:val="24"/>
          <w:highlight w:val="none"/>
        </w:rPr>
        <w:t>。买方以订货通知的形式确定每批次的实际采购量</w:t>
      </w:r>
      <w:r>
        <w:rPr>
          <w:rFonts w:hint="eastAsia" w:ascii="宋体" w:hAnsi="宋体" w:eastAsia="宋体" w:cs="宋体"/>
          <w:color w:val="auto"/>
          <w:sz w:val="24"/>
          <w:szCs w:val="24"/>
          <w:highlight w:val="none"/>
          <w:lang w:eastAsia="zh-CN"/>
        </w:rPr>
        <w:t>。</w:t>
      </w:r>
    </w:p>
    <w:p w14:paraId="507B82F6">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3.2合同价款的支付</w:t>
      </w:r>
    </w:p>
    <w:p w14:paraId="5740ED83">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3.2.1预付款</w:t>
      </w:r>
    </w:p>
    <w:p w14:paraId="2BD1B33B">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合同生效后，卖方提交如下资料并经审核无误后 28 日内，买方向卖方支付签约合同价的 </w:t>
      </w:r>
      <w:r>
        <w:rPr>
          <w:rFonts w:hint="eastAsia" w:ascii="宋体" w:hAnsi="宋体" w:eastAsia="宋体" w:cs="宋体"/>
          <w:color w:val="auto"/>
          <w:sz w:val="24"/>
          <w:szCs w:val="24"/>
          <w:highlight w:val="none"/>
          <w:u w:val="none"/>
        </w:rPr>
        <w:t>30%</w:t>
      </w:r>
      <w:r>
        <w:rPr>
          <w:rFonts w:hint="eastAsia" w:ascii="宋体" w:hAnsi="宋体" w:eastAsia="宋体" w:cs="宋体"/>
          <w:color w:val="auto"/>
          <w:sz w:val="24"/>
          <w:szCs w:val="24"/>
          <w:highlight w:val="none"/>
        </w:rPr>
        <w:t>作为预付款：</w:t>
      </w:r>
    </w:p>
    <w:p w14:paraId="25EA5CA2">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①支付请求书正本一份；</w:t>
      </w:r>
    </w:p>
    <w:p w14:paraId="17157F9C">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②按合同条款“第10条履约保证金”提交履约保证金的证明材料；</w:t>
      </w:r>
    </w:p>
    <w:p w14:paraId="1E35B48F">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③按合同条款“第1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条预付款银行保函”提交以买方为受益人的、金额与预付款等额的预付款银行保函；</w:t>
      </w:r>
    </w:p>
    <w:p w14:paraId="7B87F8C6">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④与预付款等额的合法有效的</w:t>
      </w:r>
      <w:r>
        <w:rPr>
          <w:rFonts w:hint="eastAsia" w:ascii="宋体" w:hAnsi="宋体" w:cs="宋体"/>
          <w:color w:val="auto"/>
          <w:sz w:val="24"/>
          <w:szCs w:val="24"/>
          <w:highlight w:val="none"/>
          <w:lang w:val="en-US" w:eastAsia="zh-CN"/>
        </w:rPr>
        <w:t>财务收据原件</w:t>
      </w:r>
      <w:r>
        <w:rPr>
          <w:rFonts w:hint="eastAsia" w:ascii="宋体" w:hAnsi="宋体" w:eastAsia="宋体" w:cs="宋体"/>
          <w:color w:val="auto"/>
          <w:sz w:val="24"/>
          <w:szCs w:val="24"/>
          <w:highlight w:val="none"/>
          <w:lang w:eastAsia="zh-CN"/>
        </w:rPr>
        <w:t>。</w:t>
      </w:r>
    </w:p>
    <w:p w14:paraId="2CD8A78D">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买方支付预付款后，如卖方未履行合同义务，则预付款抵作合同价款。</w:t>
      </w:r>
    </w:p>
    <w:p w14:paraId="2543B80C">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如卖方未履行下列任何一项合同义务，则买方有权收回预付款：</w:t>
      </w:r>
    </w:p>
    <w:p w14:paraId="79D9E9C8">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①按合同条款“第4条监造及交货前检验”进行设备的监造及交货前检验；</w:t>
      </w:r>
    </w:p>
    <w:p w14:paraId="78690794">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②按合同条款“第5条包装、标记、运输和交付”进行设备的包装、标记、运输和交付； </w:t>
      </w:r>
    </w:p>
    <w:p w14:paraId="73AB887A">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③按合同条款“第6条检验、安装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或指导安装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、调试、</w:t>
      </w:r>
      <w:r>
        <w:rPr>
          <w:rFonts w:hint="eastAsia" w:ascii="宋体" w:hAnsi="宋体" w:eastAsia="宋体" w:cs="宋体"/>
          <w:color w:val="auto"/>
          <w:sz w:val="24"/>
          <w:szCs w:val="24"/>
          <w:highlight w:val="none"/>
          <w:lang w:val="en-US" w:eastAsia="zh-CN"/>
        </w:rPr>
        <w:t>试运行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验收”进行设备的检验、安装、调试、</w:t>
      </w:r>
      <w:r>
        <w:rPr>
          <w:rFonts w:hint="eastAsia" w:ascii="宋体" w:hAnsi="宋体" w:eastAsia="宋体" w:cs="宋体"/>
          <w:color w:val="auto"/>
          <w:sz w:val="24"/>
          <w:szCs w:val="24"/>
          <w:highlight w:val="none"/>
          <w:lang w:val="en-US" w:eastAsia="zh-CN"/>
        </w:rPr>
        <w:t>试运行</w:t>
      </w:r>
      <w:r>
        <w:rPr>
          <w:rFonts w:hint="eastAsia" w:ascii="宋体" w:hAnsi="宋体" w:eastAsia="宋体" w:cs="宋体"/>
          <w:color w:val="auto"/>
          <w:sz w:val="24"/>
          <w:szCs w:val="24"/>
          <w:highlight w:val="none"/>
        </w:rPr>
        <w:t>、验收；</w:t>
      </w:r>
    </w:p>
    <w:p w14:paraId="35FAC362">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④按合同条款“第7条技术服务”提供技术服务。</w:t>
      </w:r>
    </w:p>
    <w:p w14:paraId="59C29FE8">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cs="宋体"/>
          <w:color w:val="auto"/>
          <w:sz w:val="24"/>
          <w:szCs w:val="24"/>
          <w:highlight w:val="none"/>
          <w:lang w:val="en-US" w:eastAsia="zh-CN"/>
        </w:rPr>
        <w:t>验收</w:t>
      </w:r>
      <w:r>
        <w:rPr>
          <w:rFonts w:hint="eastAsia" w:ascii="宋体" w:hAnsi="宋体" w:eastAsia="宋体" w:cs="宋体"/>
          <w:color w:val="auto"/>
          <w:sz w:val="24"/>
          <w:szCs w:val="24"/>
          <w:highlight w:val="none"/>
        </w:rPr>
        <w:t>款</w:t>
      </w:r>
    </w:p>
    <w:p w14:paraId="2E173AE7">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3.2.2.1</w:t>
      </w:r>
      <w:r>
        <w:rPr>
          <w:rFonts w:hint="eastAsia" w:ascii="宋体" w:hAnsi="宋体" w:eastAsia="宋体" w:cs="宋体"/>
          <w:color w:val="auto"/>
          <w:sz w:val="24"/>
          <w:szCs w:val="24"/>
          <w:highlight w:val="none"/>
        </w:rPr>
        <w:t>卖方按合同约定交付合同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且开箱验收合格，卖方提交如下资料并经审核无误后28日内，买方向卖方支付至货款总额</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rPr>
        <w:t>单价和实际交付且开箱验收合格的</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rPr>
        <w:t>数量的乘积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none"/>
          <w:lang w:eastAsia="zh-CN"/>
        </w:rPr>
        <w:t>5</w:t>
      </w:r>
      <w:r>
        <w:rPr>
          <w:rFonts w:hint="eastAsia" w:ascii="宋体" w:hAnsi="宋体" w:eastAsia="宋体" w:cs="宋体"/>
          <w:color w:val="auto"/>
          <w:sz w:val="24"/>
          <w:szCs w:val="24"/>
          <w:highlight w:val="none"/>
          <w:u w:val="none"/>
        </w:rPr>
        <w:t>0%</w:t>
      </w:r>
      <w:r>
        <w:rPr>
          <w:rFonts w:hint="eastAsia" w:ascii="宋体" w:hAnsi="宋体" w:eastAsia="宋体" w:cs="宋体"/>
          <w:color w:val="auto"/>
          <w:sz w:val="24"/>
          <w:szCs w:val="24"/>
          <w:highlight w:val="none"/>
        </w:rPr>
        <w:t>（包含预付款）：</w:t>
      </w:r>
    </w:p>
    <w:p w14:paraId="4C07CA90">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①支付请求书正本一份（含详细金额及开箱验收情况说明）；</w:t>
      </w:r>
    </w:p>
    <w:p w14:paraId="20044419">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与</w:t>
      </w:r>
      <w:r>
        <w:rPr>
          <w:rFonts w:hint="eastAsia" w:ascii="宋体" w:hAnsi="宋体" w:cs="宋体"/>
          <w:b w:val="0"/>
          <w:bCs w:val="0"/>
          <w:strike w:val="0"/>
          <w:color w:val="auto"/>
          <w:sz w:val="24"/>
          <w:szCs w:val="24"/>
          <w:highlight w:val="none"/>
          <w:u w:val="none"/>
          <w:lang w:val="en-US" w:eastAsia="zh-CN"/>
        </w:rPr>
        <w:t>当批次到货设备款100%</w:t>
      </w:r>
      <w:r>
        <w:rPr>
          <w:rFonts w:hint="eastAsia" w:ascii="宋体" w:hAnsi="宋体" w:eastAsia="宋体" w:cs="宋体"/>
          <w:color w:val="auto"/>
          <w:sz w:val="24"/>
          <w:szCs w:val="24"/>
          <w:highlight w:val="none"/>
          <w:lang w:val="en-US" w:eastAsia="zh-CN"/>
        </w:rPr>
        <w:t>等额的合法有效的增值税发票</w:t>
      </w:r>
      <w:r>
        <w:rPr>
          <w:rFonts w:hint="eastAsia" w:ascii="宋体" w:hAnsi="宋体" w:eastAsia="宋体" w:cs="宋体"/>
          <w:color w:val="auto"/>
          <w:sz w:val="24"/>
          <w:szCs w:val="24"/>
          <w:highlight w:val="none"/>
        </w:rPr>
        <w:t>；</w:t>
      </w:r>
    </w:p>
    <w:p w14:paraId="6B9A4B71">
      <w:pPr>
        <w:widowControl/>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③买方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监理人、施工总承包单位</w:t>
      </w:r>
      <w:r>
        <w:rPr>
          <w:rFonts w:hint="eastAsia" w:ascii="宋体" w:hAnsi="宋体" w:eastAsia="宋体" w:cs="宋体"/>
          <w:color w:val="auto"/>
          <w:sz w:val="24"/>
          <w:szCs w:val="24"/>
          <w:highlight w:val="none"/>
        </w:rPr>
        <w:t>盖章确认的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收货清单》（或</w:t>
      </w:r>
      <w:r>
        <w:rPr>
          <w:rFonts w:hint="eastAsia" w:ascii="宋体" w:hAnsi="宋体" w:eastAsia="宋体" w:cs="宋体"/>
          <w:color w:val="auto"/>
          <w:sz w:val="24"/>
          <w:szCs w:val="24"/>
          <w:highlight w:val="none"/>
        </w:rPr>
        <w:t>《送货签收单》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质量检测合格报告</w:t>
      </w:r>
      <w:r>
        <w:rPr>
          <w:rFonts w:hint="eastAsia" w:ascii="宋体" w:hAnsi="宋体" w:eastAsia="宋体" w:cs="宋体"/>
          <w:color w:val="auto"/>
          <w:sz w:val="24"/>
          <w:szCs w:val="24"/>
          <w:highlight w:val="none"/>
          <w:lang w:eastAsia="zh-CN"/>
        </w:rPr>
        <w:t>》；</w:t>
      </w:r>
    </w:p>
    <w:p w14:paraId="2360489B">
      <w:pPr>
        <w:widowControl/>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④实际交付</w:t>
      </w:r>
      <w:r>
        <w:rPr>
          <w:rFonts w:hint="eastAsia" w:ascii="宋体" w:hAnsi="宋体" w:eastAsia="宋体" w:cs="宋体"/>
          <w:color w:val="auto"/>
          <w:sz w:val="24"/>
          <w:szCs w:val="24"/>
          <w:highlight w:val="none"/>
          <w:lang w:val="en-US" w:eastAsia="zh-CN"/>
        </w:rPr>
        <w:t>且验收合格</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对应的</w:t>
      </w:r>
      <w:r>
        <w:rPr>
          <w:rFonts w:hint="eastAsia" w:ascii="宋体" w:hAnsi="宋体" w:cs="宋体"/>
          <w:color w:val="auto"/>
          <w:sz w:val="24"/>
          <w:szCs w:val="24"/>
          <w:highlight w:val="none"/>
          <w:lang w:val="en-US" w:eastAsia="zh-CN"/>
        </w:rPr>
        <w:t>买卖双方盖章的</w:t>
      </w:r>
      <w:r>
        <w:rPr>
          <w:rFonts w:hint="eastAsia" w:ascii="宋体" w:hAnsi="宋体" w:eastAsia="宋体" w:cs="宋体"/>
          <w:color w:val="auto"/>
          <w:sz w:val="24"/>
          <w:szCs w:val="24"/>
          <w:highlight w:val="none"/>
        </w:rPr>
        <w:t>《订货通知》（或《订货清单》）（含编号）；</w:t>
      </w:r>
    </w:p>
    <w:p w14:paraId="0651E974">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⑤实际交付设备开箱检验合格证明一份；</w:t>
      </w:r>
    </w:p>
    <w:p w14:paraId="7E92459B">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⑥按合同条款“第10条履约保证金”提交履约保证金的证明材料。</w:t>
      </w:r>
    </w:p>
    <w:p w14:paraId="20C61442">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⑦买方确认的有无违约扣罚、索赔情况说明一份</w:t>
      </w:r>
      <w:r>
        <w:rPr>
          <w:rFonts w:hint="eastAsia" w:ascii="宋体" w:hAnsi="宋体" w:eastAsia="宋体" w:cs="宋体"/>
          <w:color w:val="auto"/>
          <w:sz w:val="24"/>
          <w:szCs w:val="24"/>
          <w:highlight w:val="none"/>
          <w:lang w:eastAsia="zh-CN"/>
        </w:rPr>
        <w:t>。</w:t>
      </w:r>
    </w:p>
    <w:p w14:paraId="0C98490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⑧其他资料（如出厂合格证、检测报告等）</w:t>
      </w:r>
      <w:r>
        <w:rPr>
          <w:rFonts w:hint="eastAsia" w:ascii="宋体" w:hAnsi="宋体" w:eastAsia="宋体" w:cs="Times New Roman"/>
          <w:color w:val="auto"/>
          <w:sz w:val="24"/>
          <w:szCs w:val="24"/>
          <w:highlight w:val="none"/>
        </w:rPr>
        <w:t>。</w:t>
      </w:r>
    </w:p>
    <w:p w14:paraId="62F2B227">
      <w:pPr>
        <w:widowControl/>
        <w:adjustRightInd w:val="0"/>
        <w:snapToGrid/>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olor w:val="auto"/>
          <w:sz w:val="24"/>
          <w:szCs w:val="24"/>
          <w:highlight w:val="none"/>
        </w:rPr>
        <w:t>3.2.</w:t>
      </w:r>
      <w:r>
        <w:rPr>
          <w:rFonts w:hint="eastAsia" w:ascii="宋体" w:hAnsi="宋体"/>
          <w:color w:val="auto"/>
          <w:sz w:val="24"/>
          <w:szCs w:val="24"/>
          <w:highlight w:val="none"/>
          <w:lang w:val="en-US" w:eastAsia="zh-CN"/>
        </w:rPr>
        <w:t>2.2</w:t>
      </w:r>
      <w:r>
        <w:rPr>
          <w:rFonts w:hint="eastAsia" w:ascii="宋体" w:hAnsi="宋体" w:eastAsia="宋体" w:cs="宋体"/>
          <w:color w:val="auto"/>
          <w:sz w:val="24"/>
          <w:szCs w:val="24"/>
          <w:highlight w:val="none"/>
        </w:rPr>
        <w:t>卖方按合同约定完成安装及设备调试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如果供货要求包含安装、调试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试运行</w:t>
      </w:r>
      <w:r>
        <w:rPr>
          <w:rFonts w:hint="eastAsia" w:ascii="宋体" w:hAnsi="宋体" w:eastAsia="宋体" w:cs="宋体"/>
          <w:color w:val="auto"/>
          <w:sz w:val="24"/>
          <w:szCs w:val="24"/>
          <w:highlight w:val="none"/>
        </w:rPr>
        <w:t>，则应为试运行验收</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试运行时间为设备安装完毕投入运行正常后</w:t>
      </w:r>
      <w:r>
        <w:rPr>
          <w:rFonts w:hint="eastAsia" w:ascii="宋体" w:hAnsi="宋体" w:cs="宋体"/>
          <w:color w:val="auto"/>
          <w:sz w:val="24"/>
          <w:szCs w:val="24"/>
          <w:highlight w:val="none"/>
          <w:lang w:val="en-US" w:eastAsia="zh-CN"/>
        </w:rPr>
        <w:t>3个月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，卖方提交如下资料并经审核无误后28日内，买方向卖方支付至货款总额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单价和实际交付且</w:t>
      </w:r>
      <w:r>
        <w:rPr>
          <w:rFonts w:hint="eastAsia" w:ascii="宋体" w:hAnsi="宋体" w:eastAsia="宋体" w:cs="宋体"/>
          <w:color w:val="auto"/>
          <w:sz w:val="24"/>
          <w:szCs w:val="24"/>
          <w:highlight w:val="none"/>
          <w:lang w:val="en-US" w:eastAsia="zh-CN"/>
        </w:rPr>
        <w:t>安装调试的设备数量的乘积</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8</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4E0095C">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①支付请求书正本一份（含详细金额及</w:t>
      </w:r>
      <w:r>
        <w:rPr>
          <w:rFonts w:hint="eastAsia" w:ascii="宋体" w:hAnsi="宋体" w:eastAsia="宋体" w:cs="宋体"/>
          <w:color w:val="auto"/>
          <w:sz w:val="24"/>
          <w:szCs w:val="24"/>
          <w:highlight w:val="none"/>
          <w:lang w:val="en-US" w:eastAsia="zh-CN"/>
        </w:rPr>
        <w:t>安装调试/</w:t>
      </w:r>
      <w:r>
        <w:rPr>
          <w:rFonts w:hint="eastAsia" w:ascii="宋体" w:hAnsi="宋体" w:eastAsia="宋体" w:cs="宋体"/>
          <w:color w:val="auto"/>
          <w:sz w:val="24"/>
          <w:szCs w:val="24"/>
          <w:highlight w:val="none"/>
        </w:rPr>
        <w:t>试运行验收情况说明）；</w:t>
      </w:r>
    </w:p>
    <w:p w14:paraId="5A8E3F50">
      <w:pPr>
        <w:widowControl w:val="0"/>
        <w:adjustRightInd w:val="0"/>
        <w:snapToGrid/>
        <w:spacing w:beforeLines="0" w:afterLines="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 与</w:t>
      </w:r>
      <w:r>
        <w:rPr>
          <w:rFonts w:hint="eastAsia" w:ascii="宋体" w:hAnsi="宋体" w:eastAsia="宋体" w:cs="宋体"/>
          <w:color w:val="auto"/>
          <w:sz w:val="24"/>
          <w:szCs w:val="24"/>
          <w:highlight w:val="none"/>
          <w:lang w:val="en-US" w:eastAsia="zh-CN"/>
        </w:rPr>
        <w:t>支付请求金额等额</w:t>
      </w:r>
      <w:r>
        <w:rPr>
          <w:rFonts w:hint="eastAsia" w:ascii="宋体" w:hAnsi="宋体" w:eastAsia="宋体" w:cs="宋体"/>
          <w:color w:val="auto"/>
          <w:sz w:val="24"/>
          <w:szCs w:val="24"/>
          <w:highlight w:val="none"/>
        </w:rPr>
        <w:t>的合法有效的</w:t>
      </w:r>
      <w:r>
        <w:rPr>
          <w:rFonts w:hint="eastAsia" w:ascii="宋体" w:hAnsi="宋体" w:cs="宋体"/>
          <w:color w:val="auto"/>
          <w:sz w:val="24"/>
          <w:szCs w:val="24"/>
          <w:highlight w:val="none"/>
          <w:lang w:val="en-US" w:eastAsia="zh-CN"/>
        </w:rPr>
        <w:t>财务收据原件；</w:t>
      </w:r>
    </w:p>
    <w:p w14:paraId="68BED4E3">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③买方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监理人、施工总承包单位</w:t>
      </w:r>
      <w:r>
        <w:rPr>
          <w:rFonts w:hint="eastAsia" w:ascii="宋体" w:hAnsi="宋体" w:eastAsia="宋体" w:cs="宋体"/>
          <w:color w:val="auto"/>
          <w:sz w:val="24"/>
          <w:szCs w:val="24"/>
          <w:highlight w:val="none"/>
        </w:rPr>
        <w:t>盖章确认的《送货签收单》；买方、监理人、施工总承包单位、卖方</w:t>
      </w:r>
      <w:r>
        <w:rPr>
          <w:rFonts w:hint="eastAsia" w:ascii="宋体" w:hAnsi="宋体" w:eastAsia="宋体" w:cs="宋体"/>
          <w:color w:val="auto"/>
          <w:sz w:val="24"/>
          <w:szCs w:val="24"/>
          <w:highlight w:val="none"/>
          <w:lang w:val="en-US" w:eastAsia="zh-CN"/>
        </w:rPr>
        <w:t>签署的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安装完工证书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调试验收记录</w:t>
      </w:r>
      <w:r>
        <w:rPr>
          <w:rFonts w:hint="eastAsia" w:ascii="宋体" w:hAnsi="宋体" w:eastAsia="宋体" w:cs="宋体"/>
          <w:color w:val="auto"/>
          <w:sz w:val="24"/>
          <w:szCs w:val="24"/>
          <w:highlight w:val="none"/>
          <w:lang w:eastAsia="zh-CN"/>
        </w:rPr>
        <w:t>》；</w:t>
      </w:r>
    </w:p>
    <w:p w14:paraId="32FE1C25">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④实际交付的</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对应的</w:t>
      </w:r>
      <w:r>
        <w:rPr>
          <w:rFonts w:hint="eastAsia" w:ascii="宋体" w:hAnsi="宋体" w:cs="宋体"/>
          <w:color w:val="auto"/>
          <w:sz w:val="24"/>
          <w:szCs w:val="24"/>
          <w:highlight w:val="none"/>
          <w:lang w:val="en-US" w:eastAsia="zh-CN"/>
        </w:rPr>
        <w:t>买卖双方盖章的</w:t>
      </w:r>
      <w:r>
        <w:rPr>
          <w:rFonts w:hint="eastAsia" w:ascii="宋体" w:hAnsi="宋体" w:eastAsia="宋体" w:cs="宋体"/>
          <w:color w:val="auto"/>
          <w:sz w:val="24"/>
          <w:szCs w:val="24"/>
          <w:highlight w:val="none"/>
        </w:rPr>
        <w:t>《订货通知》（或《订货清单》）（含编号）；</w:t>
      </w:r>
    </w:p>
    <w:p w14:paraId="7376F9B8">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lang w:val="en-US" w:eastAsia="zh-CN"/>
        </w:rPr>
        <w:t>试运行验收合格报告；</w:t>
      </w:r>
    </w:p>
    <w:p w14:paraId="5F168699">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⑥按合同条款“第</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条履约保证金”提交履约保证金的证明材料。</w:t>
      </w:r>
    </w:p>
    <w:p w14:paraId="17E23500">
      <w:pPr>
        <w:widowControl w:val="0"/>
        <w:adjustRightInd w:val="0"/>
        <w:snapToGrid/>
        <w:spacing w:beforeLines="0" w:afterLines="0"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 结算款</w:t>
      </w:r>
    </w:p>
    <w:p w14:paraId="6576B5E5">
      <w:pPr>
        <w:widowControl w:val="0"/>
        <w:adjustRightInd w:val="0"/>
        <w:snapToGrid/>
        <w:spacing w:beforeLines="0" w:afterLines="0"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项目验收合格并正常运行且签署货物最终验收报告后，卖方可以向买方申请办理实际货物货款结算。</w:t>
      </w:r>
      <w:r>
        <w:rPr>
          <w:rFonts w:hint="eastAsia" w:ascii="宋体" w:hAnsi="宋体" w:eastAsia="宋体" w:cs="宋体"/>
          <w:color w:val="auto"/>
          <w:sz w:val="24"/>
          <w:szCs w:val="24"/>
          <w:highlight w:val="none"/>
          <w:lang w:val="en-US" w:eastAsia="zh-CN"/>
        </w:rPr>
        <w:t>经买方或买方委托的第三方造价咨询单位审核并出具结算报告，</w:t>
      </w:r>
      <w:r>
        <w:rPr>
          <w:rFonts w:hint="eastAsia" w:ascii="宋体" w:hAnsi="宋体" w:eastAsia="宋体" w:cs="宋体"/>
          <w:color w:val="auto"/>
          <w:sz w:val="24"/>
          <w:szCs w:val="24"/>
          <w:highlight w:val="none"/>
        </w:rPr>
        <w:t>买方支付至实际合同结算货物货款总额的</w:t>
      </w: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%。结算资料清单及要求</w:t>
      </w:r>
      <w:r>
        <w:rPr>
          <w:rFonts w:hint="eastAsia" w:ascii="宋体" w:hAnsi="宋体" w:eastAsia="宋体" w:cs="宋体"/>
          <w:color w:val="auto"/>
          <w:sz w:val="24"/>
          <w:szCs w:val="24"/>
          <w:highlight w:val="none"/>
          <w:lang w:val="en-US" w:eastAsia="zh-CN"/>
        </w:rPr>
        <w:t>：</w:t>
      </w:r>
    </w:p>
    <w:p w14:paraId="6613769E">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①买方盖章确认的最终验收报告；</w:t>
      </w:r>
    </w:p>
    <w:p w14:paraId="45D992F5">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②结算</w:t>
      </w:r>
      <w:r>
        <w:rPr>
          <w:rFonts w:hint="eastAsia" w:ascii="宋体" w:hAnsi="宋体" w:eastAsia="宋体" w:cs="宋体"/>
          <w:color w:val="auto"/>
          <w:sz w:val="24"/>
          <w:szCs w:val="24"/>
          <w:highlight w:val="none"/>
          <w:lang w:val="en-US" w:eastAsia="zh-CN"/>
        </w:rPr>
        <w:t>报告</w:t>
      </w:r>
      <w:r>
        <w:rPr>
          <w:rFonts w:hint="eastAsia" w:ascii="宋体" w:hAnsi="宋体" w:eastAsia="宋体" w:cs="宋体"/>
          <w:color w:val="auto"/>
          <w:sz w:val="24"/>
          <w:szCs w:val="24"/>
          <w:highlight w:val="none"/>
        </w:rPr>
        <w:t>（一式两份，盖公章）及提供电子版；</w:t>
      </w:r>
    </w:p>
    <w:p w14:paraId="4470E2DF">
      <w:pPr>
        <w:widowControl w:val="0"/>
        <w:adjustRightInd w:val="0"/>
        <w:snapToGrid/>
        <w:spacing w:beforeLines="0" w:afterLines="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cs="宋体"/>
          <w:color w:val="auto"/>
          <w:sz w:val="24"/>
          <w:szCs w:val="24"/>
          <w:highlight w:val="none"/>
          <w:lang w:val="en-US" w:eastAsia="zh-CN"/>
        </w:rPr>
        <w:t>与支付请求金额等额的合法有效的财务收据原件；</w:t>
      </w:r>
    </w:p>
    <w:p w14:paraId="6BC28C49">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④提供本合同文件（含补充协议）；</w:t>
      </w:r>
    </w:p>
    <w:p w14:paraId="130BD012">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⑤招标文件及答疑文件（含招标图纸、技术要求等全套文件）、投标文件及中标通知书（原件及复印件）；</w:t>
      </w:r>
    </w:p>
    <w:p w14:paraId="7C53EA1F">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《设备到货汇总表》（一式两份）（签章齐全）；</w:t>
      </w:r>
    </w:p>
    <w:p w14:paraId="361EFFEF">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⑦</w:t>
      </w:r>
      <w:r>
        <w:rPr>
          <w:rFonts w:hint="eastAsia" w:ascii="宋体" w:hAnsi="宋体" w:eastAsia="宋体" w:cs="宋体"/>
          <w:color w:val="auto"/>
          <w:sz w:val="24"/>
          <w:szCs w:val="24"/>
          <w:highlight w:val="none"/>
        </w:rPr>
        <w:t>对应设备的图纸以及技术资料</w:t>
      </w:r>
      <w:r>
        <w:rPr>
          <w:rFonts w:hint="eastAsia" w:ascii="宋体" w:hAnsi="宋体" w:eastAsia="宋体" w:cs="宋体"/>
          <w:color w:val="auto"/>
          <w:sz w:val="24"/>
          <w:szCs w:val="24"/>
          <w:highlight w:val="none"/>
          <w:lang w:eastAsia="zh-CN"/>
        </w:rPr>
        <w:t>；</w:t>
      </w:r>
    </w:p>
    <w:p w14:paraId="1440720E">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⑧</w:t>
      </w:r>
      <w:r>
        <w:rPr>
          <w:rFonts w:hint="eastAsia" w:ascii="宋体" w:hAnsi="宋体" w:eastAsia="宋体" w:cs="宋体"/>
          <w:color w:val="auto"/>
          <w:sz w:val="24"/>
          <w:szCs w:val="24"/>
          <w:highlight w:val="none"/>
        </w:rPr>
        <w:t>经审核的新增单价报告（如有）；</w:t>
      </w:r>
    </w:p>
    <w:p w14:paraId="58923ACA">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⑨</w:t>
      </w:r>
      <w:r>
        <w:rPr>
          <w:rFonts w:hint="eastAsia" w:ascii="宋体" w:hAnsi="宋体" w:eastAsia="宋体" w:cs="宋体"/>
          <w:color w:val="auto"/>
          <w:sz w:val="24"/>
          <w:szCs w:val="24"/>
          <w:highlight w:val="none"/>
        </w:rPr>
        <w:t>设备开箱验收单及设备验收的合格证明资料（原件）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试运行验收记录</w:t>
      </w:r>
      <w:r>
        <w:rPr>
          <w:rFonts w:hint="eastAsia" w:ascii="宋体" w:hAnsi="宋体" w:eastAsia="宋体" w:cs="宋体"/>
          <w:color w:val="auto"/>
          <w:sz w:val="24"/>
          <w:szCs w:val="24"/>
          <w:highlight w:val="none"/>
        </w:rPr>
        <w:t>；</w:t>
      </w:r>
    </w:p>
    <w:p w14:paraId="0B31B91E">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⑩</w:t>
      </w:r>
      <w:r>
        <w:rPr>
          <w:rFonts w:hint="eastAsia" w:ascii="宋体" w:hAnsi="宋体" w:eastAsia="宋体" w:cs="宋体"/>
          <w:color w:val="auto"/>
          <w:sz w:val="24"/>
          <w:szCs w:val="24"/>
          <w:highlight w:val="none"/>
        </w:rPr>
        <w:t>买卖双方已签字确认的关于有无违约索赔情况的说明</w:t>
      </w:r>
      <w:r>
        <w:rPr>
          <w:rFonts w:hint="eastAsia" w:ascii="宋体" w:hAnsi="宋体" w:eastAsia="宋体" w:cs="宋体"/>
          <w:color w:val="auto"/>
          <w:sz w:val="24"/>
          <w:szCs w:val="24"/>
          <w:highlight w:val="none"/>
          <w:lang w:eastAsia="zh-CN"/>
        </w:rPr>
        <w:t>；</w:t>
      </w:r>
    </w:p>
    <w:p w14:paraId="17093693">
      <w:pPr>
        <w:widowControl w:val="0"/>
        <w:adjustRightInd w:val="0"/>
        <w:snapToGrid/>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⑪</w:t>
      </w:r>
      <w:r>
        <w:rPr>
          <w:rFonts w:hint="eastAsia" w:ascii="宋体" w:hAnsi="宋体" w:eastAsia="宋体" w:cs="宋体"/>
          <w:color w:val="auto"/>
          <w:sz w:val="24"/>
          <w:szCs w:val="24"/>
          <w:highlight w:val="none"/>
        </w:rPr>
        <w:t>其他资料（如出厂合格证、检测报告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工程竣工验收报告</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p>
    <w:p w14:paraId="6556061D">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3.2.4结清款</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质保金</w:t>
      </w:r>
      <w:r>
        <w:rPr>
          <w:rFonts w:hint="eastAsia" w:ascii="宋体" w:hAnsi="宋体" w:eastAsia="宋体" w:cs="Times New Roman"/>
          <w:color w:val="auto"/>
          <w:sz w:val="24"/>
          <w:szCs w:val="24"/>
          <w:highlight w:val="none"/>
          <w:lang w:eastAsia="zh-CN"/>
        </w:rPr>
        <w:t>）</w:t>
      </w:r>
    </w:p>
    <w:p w14:paraId="1ACC7C8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结清款</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质保金</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的支付额为：</w:t>
      </w:r>
      <w:r>
        <w:rPr>
          <w:rFonts w:hint="eastAsia" w:ascii="宋体" w:hAnsi="宋体" w:eastAsia="宋体" w:cs="宋体"/>
          <w:color w:val="auto"/>
          <w:sz w:val="24"/>
          <w:szCs w:val="24"/>
          <w:highlight w:val="none"/>
        </w:rPr>
        <w:t>本合同第四节“合同附件三合同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清单”中</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单价和实际交付且试运行验收合格（试运行时间为设备安装完毕投入运行正常后</w:t>
      </w:r>
      <w:r>
        <w:rPr>
          <w:rFonts w:hint="eastAsia" w:ascii="宋体" w:hAnsi="宋体" w:cs="宋体"/>
          <w:b/>
          <w:bCs/>
          <w:color w:val="auto"/>
          <w:sz w:val="24"/>
          <w:szCs w:val="24"/>
          <w:highlight w:val="none"/>
          <w:u w:val="single"/>
          <w:lang w:val="en-US" w:eastAsia="zh-CN"/>
        </w:rPr>
        <w:t>3个月</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数量的乘积的</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w:t>
      </w:r>
      <w:r>
        <w:rPr>
          <w:rFonts w:hint="eastAsia" w:ascii="宋体" w:hAnsi="宋体" w:eastAsia="宋体" w:cs="Times New Roman"/>
          <w:color w:val="auto"/>
          <w:sz w:val="24"/>
          <w:szCs w:val="24"/>
          <w:highlight w:val="none"/>
        </w:rPr>
        <w:t xml:space="preserve">。 </w:t>
      </w:r>
    </w:p>
    <w:p w14:paraId="1E6F8C7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3.2.4.</w:t>
      </w:r>
      <w:r>
        <w:rPr>
          <w:rFonts w:hint="eastAsia" w:ascii="宋体" w:hAnsi="宋体" w:eastAsia="宋体" w:cs="Times New Roman"/>
          <w:color w:val="auto"/>
          <w:sz w:val="24"/>
          <w:szCs w:val="24"/>
          <w:highlight w:val="none"/>
          <w:lang w:val="en-US" w:eastAsia="zh-CN"/>
        </w:rPr>
        <w:t>1结清款（质保金）</w:t>
      </w:r>
      <w:r>
        <w:rPr>
          <w:rFonts w:hint="eastAsia" w:ascii="宋体" w:hAnsi="宋体" w:eastAsia="宋体" w:cs="Times New Roman"/>
          <w:color w:val="auto"/>
          <w:sz w:val="24"/>
          <w:szCs w:val="24"/>
          <w:highlight w:val="none"/>
        </w:rPr>
        <w:t>的支付条件：卖方按合同条款“第9条质保期服务”完成质保期服务，卖方提交如下资料并经审核无误后28日内：</w:t>
      </w:r>
    </w:p>
    <w:p w14:paraId="6637757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①支付请求书正本一份（含详细金额及</w:t>
      </w:r>
      <w:r>
        <w:rPr>
          <w:rFonts w:hint="eastAsia" w:ascii="宋体" w:hAnsi="宋体" w:eastAsia="宋体" w:cs="宋体"/>
          <w:color w:val="auto"/>
          <w:sz w:val="24"/>
          <w:szCs w:val="24"/>
          <w:highlight w:val="none"/>
        </w:rPr>
        <w:t>质保期服务情况</w:t>
      </w:r>
      <w:r>
        <w:rPr>
          <w:rFonts w:hint="eastAsia" w:ascii="宋体" w:hAnsi="宋体" w:eastAsia="宋体" w:cs="Times New Roman"/>
          <w:color w:val="auto"/>
          <w:sz w:val="24"/>
          <w:szCs w:val="24"/>
          <w:highlight w:val="none"/>
        </w:rPr>
        <w:t>说明）；</w:t>
      </w:r>
    </w:p>
    <w:p w14:paraId="362802D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②质保金收据</w:t>
      </w:r>
      <w:r>
        <w:rPr>
          <w:rFonts w:hint="eastAsia" w:ascii="宋体" w:hAnsi="宋体" w:eastAsia="宋体" w:cs="Times New Roman"/>
          <w:color w:val="auto"/>
          <w:sz w:val="24"/>
          <w:szCs w:val="24"/>
          <w:highlight w:val="none"/>
          <w:lang w:val="en-US" w:eastAsia="zh-CN"/>
        </w:rPr>
        <w:t>原件</w:t>
      </w:r>
      <w:r>
        <w:rPr>
          <w:rFonts w:hint="eastAsia" w:ascii="宋体" w:hAnsi="宋体" w:eastAsia="宋体" w:cs="Times New Roman"/>
          <w:color w:val="auto"/>
          <w:sz w:val="24"/>
          <w:szCs w:val="24"/>
          <w:highlight w:val="none"/>
        </w:rPr>
        <w:t>；</w:t>
      </w:r>
    </w:p>
    <w:p w14:paraId="5C10AA4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③质量保证期届满证书或结清款支付函；</w:t>
      </w:r>
    </w:p>
    <w:p w14:paraId="3381EF9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④买方确认的有无违约扣罚、索赔情况说明一份。</w:t>
      </w:r>
    </w:p>
    <w:p w14:paraId="313D52D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3.2.4.</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如果依照条款“第9条质保期服务”，卖方应向买方支付费用的，买方有权从结清款</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质保金</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中直接扣除该笔费用。</w:t>
      </w:r>
    </w:p>
    <w:p w14:paraId="3D41781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3.2.5银行费用</w:t>
      </w:r>
    </w:p>
    <w:p w14:paraId="6705E44E">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在买方开户银行发生的费用由买方负担，在卖方开户银行发生的费用由卖方负担</w:t>
      </w:r>
      <w:r>
        <w:rPr>
          <w:rFonts w:hint="eastAsia" w:ascii="宋体" w:hAnsi="宋体" w:eastAsia="宋体" w:cs="Times New Roman"/>
          <w:color w:val="auto"/>
          <w:sz w:val="24"/>
          <w:szCs w:val="24"/>
          <w:highlight w:val="none"/>
          <w:lang w:eastAsia="zh-CN"/>
        </w:rPr>
        <w:t>。</w:t>
      </w:r>
    </w:p>
    <w:p w14:paraId="1193161D">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5.</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包装、标记、运输和交付</w:t>
      </w:r>
    </w:p>
    <w:p w14:paraId="03298CA8">
      <w:pPr>
        <w:widowControl w:val="0"/>
        <w:adjustRightInd w:val="0"/>
        <w:snapToGrid/>
        <w:spacing w:before="0" w:beforeLines="0" w:after="0" w:afterLines="0" w:line="360" w:lineRule="auto"/>
        <w:ind w:firstLine="482" w:firstLineChars="200"/>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.1 包装</w:t>
      </w:r>
    </w:p>
    <w:p w14:paraId="44EA732A">
      <w:pPr>
        <w:widowControl w:val="0"/>
        <w:adjustRightInd w:val="0"/>
        <w:snapToGrid/>
        <w:spacing w:before="0" w:beforeLines="0" w:after="0" w:afterLines="0"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.1.3包装必须与运输方式相适应，包装方式的确定及包装费用均由卖方负责；由于不适当的包装而造成货物在运输过程中有任何损坏、丢失由卖方负责。</w:t>
      </w:r>
    </w:p>
    <w:p w14:paraId="1688C7A9">
      <w:pPr>
        <w:widowControl w:val="0"/>
        <w:adjustRightInd w:val="0"/>
        <w:snapToGrid/>
        <w:spacing w:before="0" w:beforeLines="0" w:after="0" w:afterLines="0"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.1.4卖方提供的包装应足以承受整个过程中的运输、转运、装卸、储存等，充分考虑到运输途中的各种情况（如暴露于恶劣气候等）和交货地的气候特点，以及露天存放的需要。</w:t>
      </w:r>
    </w:p>
    <w:p w14:paraId="532D78E3">
      <w:pPr>
        <w:widowControl w:val="0"/>
        <w:adjustRightInd w:val="0"/>
        <w:snapToGrid/>
        <w:spacing w:before="0" w:beforeLines="0" w:after="0" w:afterLines="0" w:line="360" w:lineRule="auto"/>
        <w:ind w:firstLine="482" w:firstLineChars="200"/>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.3 运输</w:t>
      </w:r>
    </w:p>
    <w:p w14:paraId="05ABB5F0">
      <w:pPr>
        <w:widowControl w:val="0"/>
        <w:adjustRightInd w:val="0"/>
        <w:snapToGrid/>
        <w:spacing w:before="0" w:beforeLines="0" w:after="0" w:afterLines="0"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卖方负责办理运输过程中的装、卸的一切手续，承担装卸、运输的全部工作和责任。</w:t>
      </w:r>
    </w:p>
    <w:p w14:paraId="5C750B74">
      <w:pPr>
        <w:widowControl w:val="0"/>
        <w:adjustRightInd w:val="0"/>
        <w:snapToGrid/>
        <w:spacing w:before="0" w:beforeLines="0" w:after="0" w:afterLines="0" w:line="360" w:lineRule="auto"/>
        <w:ind w:firstLine="480" w:firstLineChars="200"/>
        <w:outlineLvl w:val="9"/>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装卸费、运费等相关费用已包含在合同价款内。</w:t>
      </w:r>
    </w:p>
    <w:p w14:paraId="7434EADF">
      <w:pPr>
        <w:widowControl w:val="0"/>
        <w:adjustRightInd w:val="0"/>
        <w:snapToGrid/>
        <w:spacing w:before="0" w:beforeLines="0" w:after="0" w:afterLines="0" w:line="360" w:lineRule="auto"/>
        <w:ind w:firstLine="482" w:firstLineChars="200"/>
        <w:outlineLvl w:val="9"/>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.4 交付</w:t>
      </w:r>
    </w:p>
    <w:p w14:paraId="62733C0B">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4.1卖方应作好货物生产和供应的准备。买方将根据实际需要向卖方下达书面供货通知，合同供货期以最后一次下达的供货通知时间为止，但不超过合同供货期，到货时间以买方通知为准。卖方须按照供货通知要求的时间内（买方紧急的供货通知除外）备好货物并送达买方指定的交货地点，如买方根据现场实际情况决定需要延期供货时，卖方须按照买方实际发出的延期供货通知（如微信、短信、电话、口头、纸质通知等）为准。买方对卖方交付的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的外观及件数进行清点核验后应签发《送货签收单》，买方签发收货清单不代表对合同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的接受，双方还应按合同约定进行后续的检验和验收。</w:t>
      </w:r>
    </w:p>
    <w:p w14:paraId="3C6B50EF">
      <w:pPr>
        <w:widowControl w:val="0"/>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.4.4卖方应随货附送同批货物的质量合格证书、检测报告和其他相关技术文件。如货物缺少质量合格证书和检测报告，买方有权拒收货物，由此产生的责任全部由卖方承担。 </w:t>
      </w:r>
    </w:p>
    <w:p w14:paraId="5D6AD28A">
      <w:pPr>
        <w:widowControl w:val="0"/>
        <w:spacing w:beforeLines="0" w:afterLines="0" w:line="360" w:lineRule="auto"/>
        <w:ind w:firstLine="566" w:firstLineChars="236"/>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4.5卖方收到买方的供货通知后，应该在二十四小时内（买方紧急的供货通知除外）向买方书面答复能否依时供货。在规定的时间内，如果不明确答复或答复为不能依要求供货，则买方有权取消该供货通知，并视情节轻重发出书面违约通知、追究违约责任。</w:t>
      </w:r>
    </w:p>
    <w:p w14:paraId="17B65C07">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.4.6由卖方负责将货物运送至买方指定地点，并负责卸货及搬运至买方指定的货物停放区。运输及装卸费用已包含在合同价款中，不再另行支付。</w:t>
      </w:r>
    </w:p>
    <w:p w14:paraId="242BA8B9">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.4.7卖方在收到中标通知书后，应按买方规定的时间或至少在20个工作日内向买方提供所有规格</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的完整、清晰和正确的设计资料（包括外形图、结构图、加工工艺及买方要求的其他技术资料），买方不满意的，卖方应无条件进行修改并在规定的时间内提交修改后的符合招标文件和技术要求的设计资料，否则，将被认为是卖方的</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产品设计有缺陷。买方收到产品图纸资料，既不解除卖方应承担的质量保证的责任，亦不能因此免除卖方按合同规定应承担的所有保证义务</w:t>
      </w:r>
      <w:r>
        <w:rPr>
          <w:rFonts w:hint="eastAsia" w:ascii="宋体" w:hAnsi="宋体" w:eastAsia="宋体" w:cs="宋体"/>
          <w:color w:val="auto"/>
          <w:sz w:val="24"/>
          <w:szCs w:val="24"/>
          <w:highlight w:val="none"/>
          <w:lang w:val="en-US" w:eastAsia="zh-CN"/>
        </w:rPr>
        <w:t>及相应的违约责任</w:t>
      </w:r>
      <w:r>
        <w:rPr>
          <w:rFonts w:hint="eastAsia" w:ascii="宋体" w:hAnsi="宋体" w:eastAsia="宋体" w:cs="宋体"/>
          <w:color w:val="auto"/>
          <w:sz w:val="24"/>
          <w:szCs w:val="24"/>
          <w:highlight w:val="none"/>
        </w:rPr>
        <w:t>。</w:t>
      </w:r>
    </w:p>
    <w:p w14:paraId="5E7CF9C4">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.4.8供货暂停</w:t>
      </w:r>
    </w:p>
    <w:p w14:paraId="1B00F172">
      <w:pPr>
        <w:widowControl w:val="0"/>
        <w:spacing w:beforeLines="0" w:afterLines="0" w:line="360" w:lineRule="auto"/>
        <w:ind w:firstLine="566" w:firstLineChars="236"/>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买方可以在任何时间由于任何原因暂停合同的履行，并提前1个月以书面通知卖方暂停部分和暂停起始日以及重新恢复的大约日期，卖方必须在暂停起始日尽快暂停上述供货，但未暂停部分必须继续执行。若要恢复，买方必须以书面方式通知卖方，说明恢复部分以及恢复的生效日，以便恢复前述暂停部分。</w:t>
      </w:r>
    </w:p>
    <w:p w14:paraId="52E54520">
      <w:pPr>
        <w:widowControl w:val="0"/>
        <w:spacing w:beforeLines="0" w:afterLines="0" w:line="360" w:lineRule="auto"/>
        <w:ind w:firstLine="566" w:firstLineChars="236"/>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（2）在买方提出供货暂停持续较长时间的情况下，买方书面通知卖方。如果供货暂停是因为卖方违约造成的则本条款不适用。</w:t>
      </w:r>
    </w:p>
    <w:p w14:paraId="5DEB2805">
      <w:pPr>
        <w:widowControl w:val="0"/>
        <w:spacing w:beforeLines="0" w:afterLines="0" w:line="360" w:lineRule="auto"/>
        <w:ind w:firstLine="568" w:firstLineChars="237"/>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卖方由于自身原因不能继续履行部分或全部合同的，须提前3个月以书面通知买方。买方将因卖方的违约不归还卖方的履约保证金，并保留追究卖方违约责任的权利。如果卖方不能继续履行部分或全部合同是因为不可抗力造成的则本条款不适用。</w:t>
      </w:r>
    </w:p>
    <w:p w14:paraId="467FA780">
      <w:pPr>
        <w:widowControl w:val="0"/>
        <w:spacing w:beforeLines="0" w:afterLines="0" w:line="360" w:lineRule="auto"/>
        <w:ind w:firstLine="566" w:firstLineChars="236"/>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卖方由于自身原因或环保部门要求停产、限产而导致暂停供货超过30天的，买方可以立即无条件终止合同，并要求卖方赔偿买方因重新招标或另行采购而产生的相关费用。买方有权从履约保证金中直接取得补偿，损失超出履约保证金的部分，买方有权从未支付的货款中直接扣除，仍不足以赔偿的，买方有权从质量保证金中扣除。</w:t>
      </w:r>
    </w:p>
    <w:p w14:paraId="5676FA85">
      <w:pPr>
        <w:widowControl w:val="0"/>
        <w:adjustRightInd w:val="0"/>
        <w:snapToGrid/>
        <w:spacing w:beforeLines="0" w:afterLines="0" w:line="360" w:lineRule="auto"/>
        <w:ind w:firstLine="480" w:firstLineChars="200"/>
        <w:outlineLvl w:val="9"/>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（5）买方有权按照合同约定的条款与有违约情况的卖方暂停或终止合同，并</w:t>
      </w:r>
      <w:r>
        <w:rPr>
          <w:rFonts w:hint="eastAsia" w:ascii="宋体" w:hAnsi="宋体" w:eastAsia="宋体" w:cs="宋体"/>
          <w:color w:val="auto"/>
          <w:sz w:val="24"/>
          <w:szCs w:val="24"/>
          <w:highlight w:val="none"/>
          <w:lang w:val="en-US" w:eastAsia="zh-CN"/>
        </w:rPr>
        <w:t>有权从其</w:t>
      </w:r>
      <w:r>
        <w:rPr>
          <w:rFonts w:hint="eastAsia" w:ascii="宋体" w:hAnsi="宋体" w:eastAsia="宋体" w:cs="宋体"/>
          <w:color w:val="auto"/>
          <w:sz w:val="24"/>
          <w:szCs w:val="24"/>
          <w:highlight w:val="none"/>
        </w:rPr>
        <w:t>未支付货款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质量保证金</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扣除相应费用。</w:t>
      </w:r>
    </w:p>
    <w:p w14:paraId="745FB84C">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6.</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lang w:val="en-US" w:eastAsia="zh-CN"/>
        </w:rPr>
        <w:t>检验、</w:t>
      </w:r>
      <w:r>
        <w:rPr>
          <w:rFonts w:hint="eastAsia" w:ascii="宋体" w:hAnsi="宋体" w:eastAsia="宋体" w:cs="Times New Roman"/>
          <w:b/>
          <w:color w:val="auto"/>
          <w:sz w:val="32"/>
          <w:szCs w:val="32"/>
          <w:highlight w:val="none"/>
        </w:rPr>
        <w:t>安装</w:t>
      </w:r>
      <w:r>
        <w:rPr>
          <w:rFonts w:hint="eastAsia" w:ascii="宋体" w:hAnsi="宋体" w:eastAsia="宋体" w:cs="Times New Roman"/>
          <w:b/>
          <w:color w:val="auto"/>
          <w:sz w:val="32"/>
          <w:szCs w:val="32"/>
          <w:highlight w:val="none"/>
          <w:lang w:eastAsia="zh-CN"/>
        </w:rPr>
        <w:t>（</w:t>
      </w:r>
      <w:r>
        <w:rPr>
          <w:rFonts w:hint="eastAsia" w:ascii="宋体" w:hAnsi="宋体" w:eastAsia="宋体" w:cs="Times New Roman"/>
          <w:b/>
          <w:color w:val="auto"/>
          <w:sz w:val="32"/>
          <w:szCs w:val="32"/>
          <w:highlight w:val="none"/>
          <w:lang w:val="en-US" w:eastAsia="zh-CN"/>
        </w:rPr>
        <w:t>或指导安装</w:t>
      </w:r>
      <w:r>
        <w:rPr>
          <w:rFonts w:hint="eastAsia" w:ascii="宋体" w:hAnsi="宋体" w:eastAsia="宋体" w:cs="Times New Roman"/>
          <w:b/>
          <w:color w:val="auto"/>
          <w:sz w:val="32"/>
          <w:szCs w:val="32"/>
          <w:highlight w:val="none"/>
          <w:lang w:eastAsia="zh-CN"/>
        </w:rPr>
        <w:t>）</w:t>
      </w:r>
      <w:r>
        <w:rPr>
          <w:rFonts w:hint="eastAsia" w:ascii="宋体" w:hAnsi="宋体" w:eastAsia="宋体" w:cs="Times New Roman"/>
          <w:b/>
          <w:color w:val="auto"/>
          <w:sz w:val="32"/>
          <w:szCs w:val="32"/>
          <w:highlight w:val="none"/>
        </w:rPr>
        <w:t>、调试、</w:t>
      </w:r>
      <w:r>
        <w:rPr>
          <w:rFonts w:hint="eastAsia" w:ascii="宋体" w:hAnsi="宋体" w:eastAsia="宋体" w:cs="Times New Roman"/>
          <w:b/>
          <w:color w:val="auto"/>
          <w:sz w:val="32"/>
          <w:szCs w:val="32"/>
          <w:highlight w:val="none"/>
          <w:lang w:val="en-US" w:eastAsia="zh-CN"/>
        </w:rPr>
        <w:t>试运行</w:t>
      </w:r>
      <w:r>
        <w:rPr>
          <w:rFonts w:hint="eastAsia" w:ascii="宋体" w:hAnsi="宋体" w:eastAsia="宋体" w:cs="Times New Roman"/>
          <w:b/>
          <w:color w:val="auto"/>
          <w:sz w:val="32"/>
          <w:szCs w:val="32"/>
          <w:highlight w:val="none"/>
        </w:rPr>
        <w:t>、</w:t>
      </w:r>
      <w:r>
        <w:rPr>
          <w:rFonts w:hint="eastAsia" w:ascii="宋体" w:hAnsi="宋体" w:eastAsia="宋体" w:cs="Times New Roman"/>
          <w:b/>
          <w:color w:val="auto"/>
          <w:sz w:val="32"/>
          <w:szCs w:val="32"/>
          <w:highlight w:val="none"/>
          <w:lang w:val="en-US" w:eastAsia="zh-CN"/>
        </w:rPr>
        <w:t>最终</w:t>
      </w:r>
      <w:r>
        <w:rPr>
          <w:rFonts w:hint="eastAsia" w:ascii="宋体" w:hAnsi="宋体" w:eastAsia="宋体" w:cs="Times New Roman"/>
          <w:b/>
          <w:color w:val="auto"/>
          <w:sz w:val="32"/>
          <w:szCs w:val="32"/>
          <w:highlight w:val="none"/>
        </w:rPr>
        <w:t>验收</w:t>
      </w:r>
    </w:p>
    <w:p w14:paraId="01C30BEF">
      <w:pPr>
        <w:widowControl/>
        <w:adjustRightInd w:val="0"/>
        <w:snapToGrid/>
        <w:spacing w:beforeLines="0" w:afterLines="0" w:line="360" w:lineRule="auto"/>
        <w:ind w:firstLine="241" w:firstLineChars="100"/>
        <w:jc w:val="left"/>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val="en-US" w:eastAsia="zh-CN"/>
        </w:rPr>
        <w:t>6.1出厂前检验</w:t>
      </w:r>
    </w:p>
    <w:p w14:paraId="63C762E6">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  合同货物交付前，卖方应按技术要求对货物进行全面检验，并在交付合同货物时向买方提交合同货物的质量合格证书。</w:t>
      </w:r>
    </w:p>
    <w:p w14:paraId="221D9B6F">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6.1.2所有货物必须根据招标文件和技术要求进行厂内</w:t>
      </w:r>
      <w:r>
        <w:rPr>
          <w:rFonts w:hint="eastAsia" w:ascii="宋体" w:hAnsi="宋体" w:eastAsia="宋体" w:cs="宋体"/>
          <w:color w:val="auto"/>
          <w:sz w:val="24"/>
          <w:szCs w:val="24"/>
          <w:highlight w:val="none"/>
        </w:rPr>
        <w:t>质量检测</w:t>
      </w:r>
      <w:r>
        <w:rPr>
          <w:rFonts w:hint="eastAsia" w:ascii="宋体" w:hAnsi="宋体" w:eastAsia="宋体" w:cs="宋体"/>
          <w:color w:val="auto"/>
          <w:sz w:val="24"/>
          <w:szCs w:val="24"/>
          <w:highlight w:val="none"/>
          <w:lang w:val="en-US" w:eastAsia="zh-CN"/>
        </w:rPr>
        <w:t>及试验</w:t>
      </w:r>
      <w:r>
        <w:rPr>
          <w:rFonts w:hint="eastAsia" w:ascii="宋体" w:hAnsi="宋体" w:eastAsia="宋体" w:cs="宋体"/>
          <w:color w:val="auto"/>
          <w:sz w:val="24"/>
          <w:szCs w:val="24"/>
          <w:highlight w:val="none"/>
        </w:rPr>
        <w:t>，并提供相应的合格报告，所有的</w:t>
      </w:r>
      <w:r>
        <w:rPr>
          <w:rFonts w:hint="eastAsia" w:ascii="宋体" w:hAnsi="宋体" w:eastAsia="宋体" w:cs="宋体"/>
          <w:color w:val="auto"/>
          <w:sz w:val="24"/>
          <w:szCs w:val="24"/>
          <w:highlight w:val="none"/>
          <w:lang w:val="en-US" w:eastAsia="zh-CN"/>
        </w:rPr>
        <w:t>检测及试验</w:t>
      </w:r>
      <w:r>
        <w:rPr>
          <w:rFonts w:hint="eastAsia" w:ascii="宋体" w:hAnsi="宋体" w:eastAsia="宋体" w:cs="宋体"/>
          <w:color w:val="auto"/>
          <w:sz w:val="24"/>
          <w:szCs w:val="24"/>
          <w:highlight w:val="none"/>
        </w:rPr>
        <w:t>费用包含在投标报价综合单价中</w:t>
      </w:r>
      <w:r>
        <w:rPr>
          <w:rFonts w:hint="eastAsia" w:ascii="宋体" w:hAnsi="宋体" w:eastAsia="宋体" w:cs="宋体"/>
          <w:color w:val="auto"/>
          <w:sz w:val="24"/>
          <w:szCs w:val="24"/>
          <w:highlight w:val="none"/>
          <w:lang w:eastAsia="zh-CN"/>
        </w:rPr>
        <w:t>。</w:t>
      </w:r>
    </w:p>
    <w:p w14:paraId="067C9C38">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供货前，买方代表有权到卖方制造生产地进行厂内</w:t>
      </w:r>
      <w:r>
        <w:rPr>
          <w:rFonts w:hint="eastAsia" w:ascii="宋体" w:hAnsi="宋体" w:eastAsia="宋体" w:cs="宋体"/>
          <w:color w:val="auto"/>
          <w:sz w:val="24"/>
          <w:szCs w:val="24"/>
          <w:highlight w:val="none"/>
          <w:lang w:val="en-US" w:eastAsia="zh-CN"/>
        </w:rPr>
        <w:t>设备</w:t>
      </w:r>
      <w:r>
        <w:rPr>
          <w:rFonts w:ascii="宋体" w:hAnsi="宋体" w:eastAsia="宋体" w:cs="宋体"/>
          <w:color w:val="auto"/>
          <w:sz w:val="24"/>
          <w:szCs w:val="24"/>
          <w:highlight w:val="none"/>
        </w:rPr>
        <w:t>质量检测。参加供货前检验的买方代表不予会签任何质量检验证书。买方代表参加质量检验既不</w:t>
      </w:r>
      <w:r>
        <w:rPr>
          <w:rFonts w:hint="eastAsia" w:ascii="宋体" w:hAnsi="宋体" w:eastAsia="宋体" w:cs="宋体"/>
          <w:color w:val="auto"/>
          <w:sz w:val="24"/>
          <w:szCs w:val="24"/>
          <w:highlight w:val="none"/>
          <w:lang w:val="en-US" w:eastAsia="zh-CN"/>
        </w:rPr>
        <w:t>免</w:t>
      </w:r>
      <w:r>
        <w:rPr>
          <w:rFonts w:ascii="宋体" w:hAnsi="宋体" w:eastAsia="宋体" w:cs="宋体"/>
          <w:color w:val="auto"/>
          <w:sz w:val="24"/>
          <w:szCs w:val="24"/>
          <w:highlight w:val="none"/>
        </w:rPr>
        <w:t>除卖方应承担的质量保证的责任，也不能代替合同设备到达施工现场后的开箱检验和试验，不代替在现场安装后的各项检验，亦不能因此免除卖方按合同规定应承担的所有保证义务</w:t>
      </w:r>
      <w:r>
        <w:rPr>
          <w:rFonts w:hint="eastAsia" w:ascii="宋体" w:hAnsi="宋体" w:eastAsia="宋体" w:cs="宋体"/>
          <w:color w:val="auto"/>
          <w:sz w:val="24"/>
          <w:szCs w:val="24"/>
          <w:highlight w:val="none"/>
        </w:rPr>
        <w:t>。</w:t>
      </w:r>
    </w:p>
    <w:p w14:paraId="5D754A4B">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①在交付货物前，卖方按照《技术要求》</w:t>
      </w:r>
      <w:r>
        <w:rPr>
          <w:rFonts w:hint="eastAsia" w:ascii="宋体" w:hAnsi="宋体" w:eastAsia="宋体" w:cs="宋体"/>
          <w:color w:val="auto"/>
          <w:sz w:val="24"/>
          <w:szCs w:val="24"/>
          <w:highlight w:val="none"/>
        </w:rPr>
        <w:t>对货物的质量、规格、性能、数量和重量等进行详细而全面的检验，并出具一份证明货物符合合同规定的检验证书，检验证书是付款</w:t>
      </w:r>
      <w:r>
        <w:rPr>
          <w:rFonts w:hint="eastAsia" w:ascii="宋体" w:hAnsi="宋体" w:eastAsia="宋体" w:cs="宋体"/>
          <w:color w:val="auto"/>
          <w:sz w:val="24"/>
          <w:szCs w:val="24"/>
          <w:highlight w:val="none"/>
          <w:lang w:val="en-US" w:eastAsia="zh-CN"/>
        </w:rPr>
        <w:t>依据</w:t>
      </w:r>
      <w:r>
        <w:rPr>
          <w:rFonts w:hint="eastAsia" w:ascii="宋体" w:hAnsi="宋体" w:eastAsia="宋体" w:cs="宋体"/>
          <w:color w:val="auto"/>
          <w:sz w:val="24"/>
          <w:szCs w:val="24"/>
          <w:highlight w:val="none"/>
        </w:rPr>
        <w:t>的一个组成部分，但不能作为有关质量、规格、性能、数量或重量的最终检验。</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检验的结果和细节应附在质量检验证书后面。</w:t>
      </w:r>
      <w:r>
        <w:rPr>
          <w:rFonts w:hint="eastAsia" w:ascii="宋体" w:hAnsi="宋体" w:eastAsia="宋体" w:cs="宋体"/>
          <w:color w:val="auto"/>
          <w:sz w:val="24"/>
          <w:szCs w:val="24"/>
          <w:highlight w:val="none"/>
          <w:lang w:val="en-US" w:eastAsia="zh-CN"/>
        </w:rPr>
        <w:t xml:space="preserve"> </w:t>
      </w:r>
    </w:p>
    <w:p w14:paraId="5B0C35F6">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卖方必须在合同货物出厂前</w:t>
      </w:r>
      <w:r>
        <w:rPr>
          <w:rFonts w:hint="eastAsia" w:ascii="宋体" w:hAnsi="宋体" w:eastAsia="宋体" w:cs="宋体"/>
          <w:color w:val="auto"/>
          <w:sz w:val="24"/>
          <w:szCs w:val="24"/>
          <w:highlight w:val="none"/>
        </w:rPr>
        <w:t>对设备各部件进行验收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rPr>
        <w:t>检验项目</w:t>
      </w:r>
      <w:r>
        <w:rPr>
          <w:rFonts w:hint="eastAsia" w:ascii="宋体" w:hAnsi="宋体" w:cs="宋体"/>
          <w:color w:val="auto"/>
          <w:sz w:val="24"/>
          <w:szCs w:val="24"/>
          <w:highlight w:val="none"/>
          <w:lang w:val="en-US" w:eastAsia="zh-CN"/>
        </w:rPr>
        <w:t>按照国家规范和技术要求进行</w:t>
      </w:r>
      <w:r>
        <w:rPr>
          <w:rFonts w:hint="eastAsia" w:ascii="宋体" w:hAnsi="宋体" w:cs="宋体"/>
          <w:color w:val="auto"/>
          <w:sz w:val="24"/>
          <w:szCs w:val="24"/>
          <w:highlight w:val="none"/>
        </w:rPr>
        <w:t>检测</w:t>
      </w:r>
      <w:r>
        <w:rPr>
          <w:rFonts w:hint="eastAsia" w:ascii="宋体" w:hAnsi="宋体" w:eastAsia="宋体" w:cs="宋体"/>
          <w:color w:val="auto"/>
          <w:sz w:val="24"/>
          <w:szCs w:val="24"/>
          <w:highlight w:val="none"/>
        </w:rPr>
        <w:t>。在每台设备部件均经检查试验合格后才准许出厂，并提供设备出厂检验合格报告、产品合格证、使用维护说明书、外购件的质保书和合格证</w:t>
      </w:r>
      <w:r>
        <w:rPr>
          <w:rFonts w:hint="eastAsia" w:ascii="宋体" w:hAnsi="宋体" w:eastAsia="宋体" w:cs="宋体"/>
          <w:color w:val="auto"/>
          <w:sz w:val="24"/>
          <w:szCs w:val="24"/>
          <w:highlight w:val="none"/>
          <w:lang w:val="en-US" w:eastAsia="zh-CN"/>
        </w:rPr>
        <w:t>等相关资料</w:t>
      </w:r>
      <w:r>
        <w:rPr>
          <w:rFonts w:hint="eastAsia" w:ascii="宋体" w:hAnsi="宋体" w:eastAsia="宋体" w:cs="宋体"/>
          <w:color w:val="auto"/>
          <w:sz w:val="24"/>
          <w:szCs w:val="24"/>
          <w:highlight w:val="none"/>
          <w:lang w:eastAsia="zh-CN"/>
        </w:rPr>
        <w:t>。</w:t>
      </w:r>
    </w:p>
    <w:p w14:paraId="16A6867D">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买方保留在第三方检测机构进行试验的权利。</w:t>
      </w:r>
      <w:r>
        <w:rPr>
          <w:rFonts w:hint="eastAsia" w:ascii="宋体" w:hAnsi="宋体" w:eastAsia="宋体" w:cs="宋体"/>
          <w:color w:val="auto"/>
          <w:sz w:val="24"/>
          <w:szCs w:val="24"/>
          <w:highlight w:val="none"/>
        </w:rPr>
        <w:t>因买卖双方对合同</w:t>
      </w:r>
      <w:r>
        <w:rPr>
          <w:rFonts w:hint="eastAsia" w:ascii="宋体" w:hAnsi="宋体" w:eastAsia="宋体" w:cs="宋体"/>
          <w:color w:val="auto"/>
          <w:sz w:val="24"/>
          <w:szCs w:val="24"/>
          <w:highlight w:val="none"/>
          <w:lang w:val="en-US" w:eastAsia="zh-CN"/>
        </w:rPr>
        <w:t>设备出厂前</w:t>
      </w:r>
      <w:r>
        <w:rPr>
          <w:rFonts w:hint="eastAsia" w:ascii="宋体" w:hAnsi="宋体" w:eastAsia="宋体" w:cs="宋体"/>
          <w:color w:val="auto"/>
          <w:sz w:val="24"/>
          <w:szCs w:val="24"/>
          <w:highlight w:val="none"/>
        </w:rPr>
        <w:t>检验发生争议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委托</w:t>
      </w:r>
      <w:r>
        <w:rPr>
          <w:rFonts w:hint="eastAsia" w:ascii="宋体" w:hAnsi="宋体" w:eastAsia="宋体" w:cs="宋体"/>
          <w:color w:val="auto"/>
          <w:sz w:val="24"/>
          <w:szCs w:val="24"/>
          <w:highlight w:val="none"/>
          <w:lang w:val="en-US" w:eastAsia="zh-CN"/>
        </w:rPr>
        <w:t>买方指定的</w:t>
      </w:r>
      <w:r>
        <w:rPr>
          <w:rFonts w:hint="eastAsia" w:ascii="宋体" w:hAnsi="宋体" w:eastAsia="宋体" w:cs="宋体"/>
          <w:color w:val="auto"/>
          <w:sz w:val="24"/>
          <w:szCs w:val="24"/>
          <w:highlight w:val="none"/>
        </w:rPr>
        <w:t>第三方检测机构检测产生的费用先由卖方支付，如果检验结果为不合格，则该费用由卖方承担，如果检验结果为合格，则该费用由买方承担</w:t>
      </w:r>
      <w:r>
        <w:rPr>
          <w:rFonts w:hint="eastAsia" w:ascii="宋体" w:hAnsi="宋体" w:eastAsia="宋体" w:cs="宋体"/>
          <w:color w:val="auto"/>
          <w:sz w:val="24"/>
          <w:szCs w:val="24"/>
          <w:highlight w:val="none"/>
          <w:lang w:eastAsia="zh-CN"/>
        </w:rPr>
        <w:t>。</w:t>
      </w:r>
    </w:p>
    <w:p w14:paraId="4CAACE0F">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2</w:t>
      </w:r>
      <w:r>
        <w:rPr>
          <w:rFonts w:hint="eastAsia" w:ascii="宋体" w:hAnsi="宋体" w:eastAsia="宋体" w:cs="Times New Roman"/>
          <w:b/>
          <w:color w:val="auto"/>
          <w:sz w:val="24"/>
          <w:szCs w:val="24"/>
          <w:highlight w:val="none"/>
        </w:rPr>
        <w:t>开箱检验</w:t>
      </w:r>
    </w:p>
    <w:p w14:paraId="75C4AE9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.1合同设备交付后应进行开箱检验，即合同设备数量及外观检验。开箱检验在合同设备交付时进行。</w:t>
      </w:r>
    </w:p>
    <w:p w14:paraId="3C6111D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.2合同设备的开箱检验应在卸货地点进行。</w:t>
      </w:r>
    </w:p>
    <w:p w14:paraId="3359EB57">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7如果双方对合同设备开箱检验发生争议，应到买方指定的第三方检测机构对合同设备进行开箱检验，第三方检测机构的检验结果对双方均具有约束力。因第三方检测机构检测产生的费用先由卖方支付，如果检验结果为不合格，则该费用由卖方承担，如果检验结果为合格，则该费用由买方承担。</w:t>
      </w:r>
    </w:p>
    <w:p w14:paraId="762BA4E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.9合同设备开箱检验发现存在短缺、损坏或其它与合同约定不符时，买方有权选择下列任一一种方式处理：</w:t>
      </w:r>
    </w:p>
    <w:p w14:paraId="6140270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卖方应在双方同意的期限内采取措施消除合同设备中存在的缺陷，并在缺陷消除以后，尽快进行再次检验，但再次检验合格的期限应满足交货期要求。在消除合同设备中存在的缺陷期间，合同设备的所有权归卖方所有，其损坏、灭失的风险由卖方承担。</w:t>
      </w:r>
    </w:p>
    <w:p w14:paraId="38D5B01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②买方拒收不合格设备，卖方应立即将不合格设备运离现场，如果卖方拒绝运离时，不合格设备灭失的风险由卖方承担。</w:t>
      </w:r>
    </w:p>
    <w:p w14:paraId="64979E2F">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3</w:t>
      </w:r>
      <w:r>
        <w:rPr>
          <w:rFonts w:hint="eastAsia" w:ascii="宋体" w:hAnsi="宋体" w:eastAsia="宋体" w:cs="Times New Roman"/>
          <w:b/>
          <w:color w:val="auto"/>
          <w:sz w:val="24"/>
          <w:szCs w:val="24"/>
          <w:highlight w:val="none"/>
        </w:rPr>
        <w:t>安装</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或指导安装</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、调试</w:t>
      </w:r>
    </w:p>
    <w:p w14:paraId="43D1724F">
      <w:pPr>
        <w:widowControl/>
        <w:adjustRightInd w:val="0"/>
        <w:snapToGrid w:val="0"/>
        <w:spacing w:line="360" w:lineRule="auto"/>
        <w:ind w:firstLine="482" w:firstLineChars="200"/>
        <w:jc w:val="left"/>
        <w:rPr>
          <w:rFonts w:hint="eastAsia" w:ascii="宋体" w:hAnsi="宋体"/>
          <w:color w:val="auto"/>
          <w:sz w:val="24"/>
          <w:szCs w:val="24"/>
          <w:highlight w:val="none"/>
        </w:rPr>
      </w:pPr>
      <w:r>
        <w:rPr>
          <w:rFonts w:hint="eastAsia" w:ascii="宋体" w:hAnsi="宋体"/>
          <w:b/>
          <w:bCs/>
          <w:color w:val="auto"/>
          <w:sz w:val="24"/>
          <w:szCs w:val="24"/>
          <w:highlight w:val="none"/>
          <w:lang w:val="en-US" w:eastAsia="zh-CN"/>
        </w:rPr>
        <w:t>6.3.2指导安装</w:t>
      </w:r>
    </w:p>
    <w:p w14:paraId="7846445B">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开箱检验完成后，双方应对合同设备</w:t>
      </w:r>
      <w:r>
        <w:rPr>
          <w:rFonts w:hint="eastAsia" w:ascii="宋体" w:hAnsi="宋体" w:cs="Times New Roman"/>
          <w:color w:val="auto"/>
          <w:sz w:val="24"/>
          <w:szCs w:val="24"/>
          <w:highlight w:val="none"/>
        </w:rPr>
        <w:t>按“</w:t>
      </w:r>
      <w:r>
        <w:rPr>
          <w:rFonts w:hint="eastAsia" w:ascii="宋体" w:hAnsi="宋体" w:cs="Times New Roman"/>
          <w:color w:val="auto"/>
          <w:sz w:val="24"/>
          <w:szCs w:val="24"/>
          <w:highlight w:val="none"/>
          <w:lang w:val="en-US" w:eastAsia="zh-CN"/>
        </w:rPr>
        <w:t xml:space="preserve">第二章用户需求书 </w:t>
      </w:r>
      <w:r>
        <w:rPr>
          <w:rFonts w:hint="eastAsia" w:ascii="宋体" w:hAnsi="宋体" w:cs="Times New Roman"/>
          <w:color w:val="auto"/>
          <w:sz w:val="24"/>
          <w:szCs w:val="24"/>
          <w:highlight w:val="none"/>
        </w:rPr>
        <w:t>技术要求”</w:t>
      </w:r>
      <w:r>
        <w:rPr>
          <w:rFonts w:hint="eastAsia" w:ascii="宋体" w:hAnsi="宋体"/>
          <w:color w:val="auto"/>
          <w:sz w:val="24"/>
          <w:szCs w:val="24"/>
          <w:highlight w:val="none"/>
        </w:rPr>
        <w:t>进行</w:t>
      </w:r>
      <w:r>
        <w:rPr>
          <w:rFonts w:hint="eastAsia" w:ascii="宋体" w:hAnsi="宋体"/>
          <w:b/>
          <w:bCs/>
          <w:color w:val="auto"/>
          <w:sz w:val="24"/>
          <w:szCs w:val="24"/>
          <w:highlight w:val="none"/>
          <w:lang w:val="en-US" w:eastAsia="zh-CN"/>
        </w:rPr>
        <w:t>指导</w:t>
      </w:r>
      <w:r>
        <w:rPr>
          <w:rFonts w:hint="eastAsia" w:ascii="宋体" w:hAnsi="宋体" w:eastAsia="宋体" w:cs="Times New Roman"/>
          <w:b/>
          <w:bCs/>
          <w:color w:val="auto"/>
          <w:sz w:val="24"/>
          <w:szCs w:val="24"/>
          <w:highlight w:val="none"/>
          <w:lang w:val="en-US" w:eastAsia="zh-CN"/>
        </w:rPr>
        <w:t>现场配套系统的安装（包括但不仅限于水、电、自控接入、前后系统的衔接等）</w:t>
      </w:r>
      <w:r>
        <w:rPr>
          <w:rFonts w:hint="eastAsia" w:ascii="宋体" w:hAnsi="宋体"/>
          <w:b/>
          <w:bCs/>
          <w:color w:val="auto"/>
          <w:sz w:val="24"/>
          <w:szCs w:val="24"/>
          <w:highlight w:val="none"/>
        </w:rPr>
        <w:t>、调试</w:t>
      </w:r>
      <w:r>
        <w:rPr>
          <w:rFonts w:hint="eastAsia" w:ascii="宋体" w:hAnsi="宋体"/>
          <w:color w:val="auto"/>
          <w:sz w:val="24"/>
          <w:szCs w:val="24"/>
          <w:highlight w:val="none"/>
        </w:rPr>
        <w:t>，以使其具备</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的状态。</w:t>
      </w:r>
    </w:p>
    <w:p w14:paraId="25582992">
      <w:pPr>
        <w:widowControl/>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本合同第四节“合同附件三 合同设备清单”中的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由卖方负责按照合同约定完成</w:t>
      </w:r>
      <w:r>
        <w:rPr>
          <w:rFonts w:hint="eastAsia" w:ascii="宋体" w:hAnsi="宋体" w:eastAsia="宋体" w:cs="Times New Roman"/>
          <w:b/>
          <w:bCs/>
          <w:color w:val="auto"/>
          <w:sz w:val="24"/>
          <w:szCs w:val="24"/>
          <w:highlight w:val="none"/>
          <w:lang w:val="en-US" w:eastAsia="zh-CN"/>
        </w:rPr>
        <w:t>指导现场配套系统的安装（包括但不仅限于水、电、自控接入、前后系统的衔接等）</w:t>
      </w:r>
      <w:r>
        <w:rPr>
          <w:rFonts w:hint="eastAsia" w:ascii="宋体" w:hAnsi="宋体" w:eastAsia="宋体" w:cs="Times New Roman"/>
          <w:b/>
          <w:bCs/>
          <w:color w:val="auto"/>
          <w:sz w:val="24"/>
          <w:szCs w:val="24"/>
          <w:highlight w:val="none"/>
        </w:rPr>
        <w:t>、调</w:t>
      </w:r>
      <w:r>
        <w:rPr>
          <w:rFonts w:hint="eastAsia" w:ascii="宋体" w:hAnsi="宋体"/>
          <w:b/>
          <w:bCs/>
          <w:color w:val="auto"/>
          <w:sz w:val="24"/>
          <w:szCs w:val="24"/>
          <w:highlight w:val="none"/>
        </w:rPr>
        <w:t>试</w:t>
      </w:r>
      <w:r>
        <w:rPr>
          <w:rFonts w:hint="eastAsia" w:ascii="宋体" w:hAnsi="宋体"/>
          <w:color w:val="auto"/>
          <w:sz w:val="24"/>
          <w:szCs w:val="24"/>
          <w:highlight w:val="none"/>
        </w:rPr>
        <w:t>工作，买方或买方安排第三方负责安装、调试工作，卖方提供技术服务。</w:t>
      </w:r>
    </w:p>
    <w:p w14:paraId="78B076DE">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（1）买方应提前3日通知卖方安装、调试安排，卖方未派遣现场服务人员进行</w:t>
      </w:r>
      <w:r>
        <w:rPr>
          <w:rFonts w:hint="eastAsia" w:ascii="宋体" w:hAnsi="宋体" w:eastAsia="宋体" w:cs="Times New Roman"/>
          <w:b/>
          <w:bCs/>
          <w:color w:val="auto"/>
          <w:sz w:val="24"/>
          <w:szCs w:val="24"/>
          <w:highlight w:val="none"/>
          <w:lang w:val="en-US" w:eastAsia="zh-CN"/>
        </w:rPr>
        <w:t>指导现场配套系统的安装（包括但不仅限于水、电、自控接入、前后系统的衔接等）</w:t>
      </w:r>
      <w:r>
        <w:rPr>
          <w:rFonts w:hint="eastAsia" w:ascii="宋体" w:hAnsi="宋体" w:eastAsia="宋体" w:cs="Times New Roman"/>
          <w:b/>
          <w:bCs/>
          <w:color w:val="auto"/>
          <w:sz w:val="24"/>
          <w:szCs w:val="24"/>
          <w:highlight w:val="none"/>
        </w:rPr>
        <w:t>、调</w:t>
      </w:r>
      <w:r>
        <w:rPr>
          <w:rFonts w:hint="eastAsia" w:ascii="宋体" w:hAnsi="宋体"/>
          <w:b/>
          <w:bCs/>
          <w:color w:val="auto"/>
          <w:sz w:val="24"/>
          <w:szCs w:val="24"/>
          <w:highlight w:val="none"/>
        </w:rPr>
        <w:t>试</w:t>
      </w:r>
      <w:r>
        <w:rPr>
          <w:rFonts w:hint="eastAsia" w:ascii="宋体" w:hAnsi="宋体"/>
          <w:color w:val="auto"/>
          <w:sz w:val="24"/>
          <w:szCs w:val="24"/>
          <w:highlight w:val="none"/>
        </w:rPr>
        <w:t>时，买方或买方安排的第三方可按计划进行安装、调试，在此情况下出现安装、调试不成功和（或）造成合同设备损坏的情况，卖方应承担责任。</w:t>
      </w:r>
    </w:p>
    <w:p w14:paraId="1C107C0F">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1E83FCBB">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2.4因卖方责任出现安装、调试不成功和（或）造成合同设备损坏的情况，买方有权选择下列任一一种方式处理：</w:t>
      </w:r>
    </w:p>
    <w:p w14:paraId="60E6BC62">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①卖方应在双方同意的期限内采取采取修理、更换等补救措施，尽快进行再次安装、调试。</w:t>
      </w:r>
    </w:p>
    <w:p w14:paraId="7A798F99">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②买方拒收安装、调试不成功和（或）损坏的合同设备，卖方应立即将不合格设备运离现场，如果卖方拒绝运离时，不合格设备灭失的风险由卖方承担。</w:t>
      </w:r>
    </w:p>
    <w:p w14:paraId="09C53A78">
      <w:pPr>
        <w:widowControl/>
        <w:adjustRightInd w:val="0"/>
        <w:snapToGrid w:val="0"/>
        <w:spacing w:line="360" w:lineRule="auto"/>
        <w:ind w:firstLine="482" w:firstLineChars="200"/>
        <w:jc w:val="left"/>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6.3.3组装</w:t>
      </w:r>
    </w:p>
    <w:p w14:paraId="3E32ABD0">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3.1</w:t>
      </w:r>
      <w:r>
        <w:rPr>
          <w:rFonts w:hint="eastAsia" w:ascii="宋体" w:hAnsi="宋体"/>
          <w:color w:val="auto"/>
          <w:sz w:val="24"/>
          <w:szCs w:val="24"/>
          <w:highlight w:val="none"/>
        </w:rPr>
        <w:t>开箱检验完成后，双方应对合同设备</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val="en-US" w:eastAsia="zh-CN"/>
        </w:rPr>
        <w:t xml:space="preserve">第二章用户需求书 </w:t>
      </w:r>
      <w:r>
        <w:rPr>
          <w:rFonts w:hint="eastAsia" w:ascii="宋体" w:hAnsi="宋体" w:cs="宋体"/>
          <w:color w:val="auto"/>
          <w:sz w:val="24"/>
          <w:szCs w:val="24"/>
          <w:highlight w:val="none"/>
        </w:rPr>
        <w:t>技术要求”</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、调试，以使其具备</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的状态。</w:t>
      </w:r>
    </w:p>
    <w:p w14:paraId="71337B50">
      <w:pPr>
        <w:widowControl/>
        <w:adjustRightInd w:val="0"/>
        <w:snapToGrid w:val="0"/>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6.</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本合同第四节“合同附件三 合同设备清单”中的</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由卖方负责按照合同约定完成</w:t>
      </w:r>
      <w:r>
        <w:rPr>
          <w:rFonts w:hint="eastAsia" w:ascii="宋体" w:hAnsi="宋体"/>
          <w:color w:val="auto"/>
          <w:sz w:val="24"/>
          <w:szCs w:val="24"/>
          <w:highlight w:val="none"/>
          <w:lang w:val="en-US" w:eastAsia="zh-CN"/>
        </w:rPr>
        <w:t>组</w:t>
      </w:r>
      <w:r>
        <w:rPr>
          <w:rFonts w:hint="eastAsia" w:ascii="宋体" w:hAnsi="宋体"/>
          <w:color w:val="auto"/>
          <w:sz w:val="24"/>
          <w:szCs w:val="24"/>
          <w:highlight w:val="none"/>
        </w:rPr>
        <w:t>装、调试工作</w:t>
      </w:r>
      <w:r>
        <w:rPr>
          <w:rFonts w:hint="eastAsia" w:ascii="宋体" w:hAnsi="宋体"/>
          <w:color w:val="auto"/>
          <w:sz w:val="24"/>
          <w:szCs w:val="24"/>
          <w:highlight w:val="none"/>
          <w:lang w:eastAsia="zh-CN"/>
        </w:rPr>
        <w:t>。</w:t>
      </w:r>
    </w:p>
    <w:p w14:paraId="6865FA4C">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卖方在</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rPr>
        <w:t>供货</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前，应</w:t>
      </w:r>
      <w:r>
        <w:rPr>
          <w:rFonts w:hint="eastAsia" w:ascii="宋体" w:hAnsi="宋体" w:eastAsia="宋体" w:cs="Times New Roman"/>
          <w:color w:val="auto"/>
          <w:sz w:val="24"/>
          <w:szCs w:val="24"/>
          <w:highlight w:val="none"/>
        </w:rPr>
        <w:t>根据</w:t>
      </w:r>
      <w:r>
        <w:rPr>
          <w:rFonts w:ascii="宋体" w:hAnsi="宋体" w:eastAsia="宋体" w:cs="Times New Roman"/>
          <w:color w:val="auto"/>
          <w:sz w:val="24"/>
          <w:szCs w:val="24"/>
          <w:highlight w:val="none"/>
        </w:rPr>
        <w:t>工艺条件进行二次设计</w:t>
      </w:r>
      <w:r>
        <w:rPr>
          <w:rFonts w:hint="eastAsia" w:ascii="宋体" w:hAnsi="宋体"/>
          <w:color w:val="auto"/>
          <w:sz w:val="24"/>
          <w:szCs w:val="24"/>
          <w:highlight w:val="none"/>
        </w:rPr>
        <w:t>并提供施工图送买方审核，经买方审核同意后方可供货</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w:t>
      </w:r>
    </w:p>
    <w:p w14:paraId="61080757">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卖方按计划进行</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、调试，在此情况下出现</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、调试不成功和（或）造成合同设备损坏的情况，卖方应承担责任。</w:t>
      </w:r>
    </w:p>
    <w:p w14:paraId="397B4816">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因卖方责任出现</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、调试不成功和（或）造成合同设备损坏的情况，买方有权选择下列任一一种方式处理：</w:t>
      </w:r>
    </w:p>
    <w:p w14:paraId="659C95C1">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①卖方应在双方同意的期限内采取修理、更换等补救措施，尽快进行再次</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、调试。</w:t>
      </w:r>
    </w:p>
    <w:p w14:paraId="47517123">
      <w:pPr>
        <w:widowControl/>
        <w:adjustRightInd w:val="0"/>
        <w:snapToGrid w:val="0"/>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②买方拒收</w:t>
      </w:r>
      <w:r>
        <w:rPr>
          <w:rFonts w:hint="eastAsia" w:ascii="宋体" w:hAnsi="宋体"/>
          <w:color w:val="auto"/>
          <w:sz w:val="24"/>
          <w:szCs w:val="24"/>
          <w:highlight w:val="none"/>
          <w:lang w:val="en-US" w:eastAsia="zh-CN"/>
        </w:rPr>
        <w:t>组装</w:t>
      </w:r>
      <w:r>
        <w:rPr>
          <w:rFonts w:hint="eastAsia" w:ascii="宋体" w:hAnsi="宋体"/>
          <w:color w:val="auto"/>
          <w:sz w:val="24"/>
          <w:szCs w:val="24"/>
          <w:highlight w:val="none"/>
        </w:rPr>
        <w:t>、调试不成功和（或）损坏的合同设备，卖方应立即将不合格设备运离现场，如果卖方拒绝运离时，不合格设备灭失的风险由卖方承担。</w:t>
      </w:r>
    </w:p>
    <w:p w14:paraId="2798779E">
      <w:pPr>
        <w:widowControl/>
        <w:adjustRightInd w:val="0"/>
        <w:snapToGrid/>
        <w:spacing w:beforeLines="0" w:afterLines="0" w:line="360" w:lineRule="auto"/>
        <w:ind w:firstLine="241" w:firstLineChars="100"/>
        <w:jc w:val="left"/>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4试运行</w:t>
      </w:r>
    </w:p>
    <w:p w14:paraId="4F2D5987">
      <w:pPr>
        <w:widowControl/>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 xml:space="preserve">.1 </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、调试完成后，双方应对合同设备进行</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，以确定合同设备是否达到合同约定的技术性能</w:t>
      </w:r>
      <w:r>
        <w:rPr>
          <w:rFonts w:hint="eastAsia" w:ascii="宋体" w:hAnsi="宋体"/>
          <w:color w:val="auto"/>
          <w:sz w:val="24"/>
          <w:szCs w:val="24"/>
          <w:highlight w:val="none"/>
          <w:lang w:val="en-US" w:eastAsia="zh-CN"/>
        </w:rPr>
        <w:t>验收</w:t>
      </w:r>
      <w:r>
        <w:rPr>
          <w:rFonts w:hint="eastAsia" w:ascii="宋体" w:hAnsi="宋体"/>
          <w:color w:val="auto"/>
          <w:sz w:val="24"/>
          <w:szCs w:val="24"/>
          <w:highlight w:val="none"/>
        </w:rPr>
        <w:t>指标。</w:t>
      </w:r>
    </w:p>
    <w:p w14:paraId="3DF9EFD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.2 如由于卖方原因合同设备在</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中未能达到合同约定的技术性能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指标，则卖方应在双方同意的期限内采取措施消除合同设备中存在的缺陷，并在缺陷消除以后，尽快进行再次</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w:t>
      </w:r>
    </w:p>
    <w:p w14:paraId="7E4077F8">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.2.1如果双方就卖方采取措施消除合同设备中存在的缺陷的期限不能达成一致意见，买方有权解除合同</w:t>
      </w:r>
      <w:r>
        <w:rPr>
          <w:rFonts w:hint="eastAsia" w:ascii="宋体" w:hAnsi="宋体" w:eastAsia="宋体" w:cs="Times New Roman"/>
          <w:color w:val="auto"/>
          <w:sz w:val="24"/>
          <w:szCs w:val="24"/>
          <w:highlight w:val="none"/>
          <w:lang w:eastAsia="zh-CN"/>
        </w:rPr>
        <w:t>。</w:t>
      </w:r>
    </w:p>
    <w:p w14:paraId="095B04E3">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如果双方就卖方采取措施消除合同设备中存在的缺陷的期限达成一致意见，该期限不得超过合同规定的交货期。</w:t>
      </w:r>
    </w:p>
    <w:p w14:paraId="5EEC1CD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.6买方不得降低合同约定的技术性能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指标对合同设备</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w:t>
      </w:r>
    </w:p>
    <w:p w14:paraId="0E994A00">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.7未达到技术性能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指标的设备应由卖方在买方规定的时间内运离现场，如果卖方拒绝运离时，不合格设备灭失的风险由卖方承担</w:t>
      </w:r>
      <w:r>
        <w:rPr>
          <w:rFonts w:hint="eastAsia" w:ascii="宋体" w:hAnsi="宋体" w:eastAsia="宋体" w:cs="Times New Roman"/>
          <w:color w:val="auto"/>
          <w:sz w:val="24"/>
          <w:szCs w:val="24"/>
          <w:highlight w:val="none"/>
          <w:lang w:eastAsia="zh-CN"/>
        </w:rPr>
        <w:t>。</w:t>
      </w:r>
    </w:p>
    <w:p w14:paraId="2C0F7B56">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6.4.8 试运行验收的具体要求。</w:t>
      </w:r>
    </w:p>
    <w:p w14:paraId="51436BBF">
      <w:pPr>
        <w:keepNext w:val="0"/>
        <w:keepLines w:val="0"/>
        <w:pageBreakBefore w:val="0"/>
        <w:kinsoku/>
        <w:wordWrap/>
        <w:overflowPunct/>
        <w:topLinePunct w:val="0"/>
        <w:bidi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cs="Times New Roman"/>
          <w:color w:val="auto"/>
          <w:kern w:val="0"/>
          <w:sz w:val="24"/>
          <w:szCs w:val="24"/>
          <w:highlight w:val="none"/>
          <w:lang w:val="en-US" w:eastAsia="zh-CN" w:bidi="ar"/>
        </w:rPr>
        <w:t>卖方向买方提出试运行验收申请，且</w:t>
      </w:r>
      <w:r>
        <w:rPr>
          <w:rFonts w:hint="eastAsia" w:hAnsi="宋体" w:cs="Arial"/>
          <w:color w:val="auto"/>
          <w:sz w:val="24"/>
          <w:szCs w:val="24"/>
          <w:highlight w:val="none"/>
          <w:u w:val="single"/>
          <w:lang w:eastAsia="zh-CN"/>
        </w:rPr>
        <w:t>南洲水厂排泥水处理系统建设工程</w:t>
      </w:r>
      <w:r>
        <w:rPr>
          <w:rFonts w:hint="eastAsia" w:ascii="宋体" w:hAnsi="宋体" w:eastAsia="宋体" w:cs="Times New Roman"/>
          <w:color w:val="auto"/>
          <w:kern w:val="0"/>
          <w:sz w:val="24"/>
          <w:szCs w:val="24"/>
          <w:highlight w:val="none"/>
          <w:lang w:val="en-US" w:eastAsia="zh-CN" w:bidi="ar"/>
        </w:rPr>
        <w:t>的土建及配套工程、全部工艺设备等完成安装，具备通水条件后，</w:t>
      </w:r>
      <w:r>
        <w:rPr>
          <w:rFonts w:hint="eastAsia" w:ascii="宋体" w:hAnsi="宋体"/>
          <w:color w:val="auto"/>
          <w:sz w:val="24"/>
          <w:szCs w:val="24"/>
          <w:highlight w:val="none"/>
        </w:rPr>
        <w:t>由买方（或买方委托的代表）</w:t>
      </w:r>
      <w:r>
        <w:rPr>
          <w:rFonts w:hint="eastAsia" w:ascii="宋体" w:hAnsi="宋体"/>
          <w:color w:val="auto"/>
          <w:sz w:val="24"/>
          <w:szCs w:val="24"/>
          <w:highlight w:val="none"/>
          <w:lang w:val="en-US" w:eastAsia="zh-CN"/>
        </w:rPr>
        <w:t>与卖方共同确认试运行验收具体数据检测方法后，</w:t>
      </w:r>
      <w:r>
        <w:rPr>
          <w:rFonts w:hint="eastAsia" w:ascii="宋体" w:hAnsi="宋体"/>
          <w:color w:val="auto"/>
          <w:sz w:val="24"/>
          <w:szCs w:val="24"/>
          <w:highlight w:val="none"/>
        </w:rPr>
        <w:t>对合同</w:t>
      </w:r>
      <w:r>
        <w:rPr>
          <w:rFonts w:hint="eastAsia" w:ascii="宋体" w:hAnsi="宋体"/>
          <w:color w:val="auto"/>
          <w:sz w:val="24"/>
          <w:szCs w:val="24"/>
          <w:highlight w:val="none"/>
          <w:lang w:val="en-US" w:eastAsia="zh-CN"/>
        </w:rPr>
        <w:t>货物</w:t>
      </w:r>
      <w:r>
        <w:rPr>
          <w:rFonts w:hint="eastAsia" w:ascii="宋体" w:hAnsi="宋体"/>
          <w:color w:val="auto"/>
          <w:sz w:val="24"/>
          <w:szCs w:val="24"/>
          <w:highlight w:val="none"/>
        </w:rPr>
        <w:t>进行</w:t>
      </w:r>
      <w:r>
        <w:rPr>
          <w:rFonts w:hint="eastAsia" w:ascii="宋体" w:hAnsi="宋体" w:eastAsia="宋体" w:cs="Times New Roman"/>
          <w:color w:val="auto"/>
          <w:kern w:val="0"/>
          <w:sz w:val="24"/>
          <w:szCs w:val="24"/>
          <w:highlight w:val="none"/>
          <w:lang w:val="en-US" w:eastAsia="zh-CN" w:bidi="ar"/>
        </w:rPr>
        <w:t>试</w:t>
      </w:r>
      <w:r>
        <w:rPr>
          <w:rFonts w:hint="eastAsia" w:ascii="宋体" w:hAnsi="宋体" w:cs="Times New Roman"/>
          <w:color w:val="auto"/>
          <w:kern w:val="0"/>
          <w:sz w:val="24"/>
          <w:szCs w:val="24"/>
          <w:highlight w:val="none"/>
          <w:lang w:val="en-US" w:eastAsia="zh-CN" w:bidi="ar"/>
        </w:rPr>
        <w:t>运行验收，</w:t>
      </w:r>
      <w:r>
        <w:rPr>
          <w:rFonts w:hint="eastAsia" w:ascii="宋体" w:hAnsi="宋体" w:eastAsia="宋体" w:cs="Times New Roman"/>
          <w:b w:val="0"/>
          <w:bCs w:val="0"/>
          <w:color w:val="auto"/>
          <w:kern w:val="0"/>
          <w:sz w:val="24"/>
          <w:szCs w:val="24"/>
          <w:highlight w:val="none"/>
          <w:lang w:val="en-US" w:eastAsia="zh-CN" w:bidi="ar"/>
        </w:rPr>
        <w:t>试</w:t>
      </w:r>
      <w:r>
        <w:rPr>
          <w:rFonts w:hint="eastAsia" w:ascii="宋体" w:hAnsi="宋体" w:cs="Times New Roman"/>
          <w:b w:val="0"/>
          <w:bCs w:val="0"/>
          <w:color w:val="auto"/>
          <w:kern w:val="0"/>
          <w:sz w:val="24"/>
          <w:szCs w:val="24"/>
          <w:highlight w:val="none"/>
          <w:lang w:val="en-US" w:eastAsia="zh-CN" w:bidi="ar"/>
        </w:rPr>
        <w:t>运行</w:t>
      </w:r>
      <w:r>
        <w:rPr>
          <w:rFonts w:hint="eastAsia" w:ascii="宋体" w:hAnsi="宋体" w:eastAsia="宋体" w:cs="Times New Roman"/>
          <w:b w:val="0"/>
          <w:bCs w:val="0"/>
          <w:color w:val="auto"/>
          <w:kern w:val="0"/>
          <w:sz w:val="24"/>
          <w:szCs w:val="24"/>
          <w:highlight w:val="none"/>
          <w:lang w:val="en-US" w:eastAsia="zh-CN" w:bidi="ar"/>
        </w:rPr>
        <w:t>验收</w:t>
      </w:r>
      <w:r>
        <w:rPr>
          <w:rFonts w:hint="eastAsia" w:ascii="宋体" w:hAnsi="宋体" w:cs="Times New Roman"/>
          <w:b w:val="0"/>
          <w:bCs w:val="0"/>
          <w:color w:val="auto"/>
          <w:kern w:val="0"/>
          <w:sz w:val="24"/>
          <w:szCs w:val="24"/>
          <w:highlight w:val="none"/>
          <w:lang w:val="en-US" w:eastAsia="zh-CN" w:bidi="ar"/>
        </w:rPr>
        <w:t>时间为</w:t>
      </w:r>
      <w:r>
        <w:rPr>
          <w:rFonts w:hint="default" w:ascii="宋体" w:hAnsi="宋体" w:cs="Times New Roman"/>
          <w:b w:val="0"/>
          <w:bCs w:val="0"/>
          <w:color w:val="auto"/>
          <w:kern w:val="0"/>
          <w:sz w:val="24"/>
          <w:szCs w:val="24"/>
          <w:highlight w:val="none"/>
          <w:lang w:val="en-US" w:eastAsia="zh-CN" w:bidi="ar"/>
        </w:rPr>
        <w:t>三个月</w:t>
      </w:r>
      <w:r>
        <w:rPr>
          <w:rFonts w:hint="eastAsia" w:ascii="宋体" w:hAnsi="宋体" w:cs="Times New Roman"/>
          <w:b w:val="0"/>
          <w:bCs w:val="0"/>
          <w:color w:val="auto"/>
          <w:kern w:val="0"/>
          <w:sz w:val="24"/>
          <w:szCs w:val="24"/>
          <w:highlight w:val="none"/>
          <w:lang w:val="en-US" w:eastAsia="zh-CN" w:bidi="ar"/>
        </w:rPr>
        <w:t>，期间</w:t>
      </w:r>
      <w:r>
        <w:rPr>
          <w:rFonts w:hint="eastAsia" w:ascii="宋体" w:hAnsi="宋体" w:eastAsia="宋体" w:cs="Times New Roman"/>
          <w:b w:val="0"/>
          <w:color w:val="auto"/>
          <w:kern w:val="0"/>
          <w:sz w:val="24"/>
          <w:szCs w:val="24"/>
          <w:highlight w:val="none"/>
          <w:lang w:bidi="ar"/>
        </w:rPr>
        <w:t>污泥脱水成套设备</w:t>
      </w:r>
      <w:r>
        <w:rPr>
          <w:rFonts w:hint="eastAsia" w:ascii="宋体" w:hAnsi="宋体" w:cs="Times New Roman"/>
          <w:b w:val="0"/>
          <w:color w:val="auto"/>
          <w:kern w:val="0"/>
          <w:sz w:val="24"/>
          <w:szCs w:val="24"/>
          <w:highlight w:val="none"/>
          <w:lang w:val="en-US" w:eastAsia="zh-CN" w:bidi="ar"/>
        </w:rPr>
        <w:t>将</w:t>
      </w:r>
      <w:r>
        <w:rPr>
          <w:rFonts w:hint="eastAsia" w:ascii="宋体" w:hAnsi="宋体" w:eastAsia="宋体" w:cs="Times New Roman"/>
          <w:b w:val="0"/>
          <w:bCs w:val="0"/>
          <w:color w:val="auto"/>
          <w:kern w:val="0"/>
          <w:sz w:val="24"/>
          <w:szCs w:val="24"/>
          <w:highlight w:val="none"/>
          <w:lang w:val="en-US" w:eastAsia="zh-CN" w:bidi="ar"/>
        </w:rPr>
        <w:t>连续全自动运行</w:t>
      </w:r>
      <w:r>
        <w:rPr>
          <w:rFonts w:hint="eastAsia" w:ascii="宋体" w:hAnsi="宋体" w:cs="Times New Roman"/>
          <w:b w:val="0"/>
          <w:bCs w:val="0"/>
          <w:color w:val="auto"/>
          <w:kern w:val="0"/>
          <w:sz w:val="24"/>
          <w:szCs w:val="24"/>
          <w:highlight w:val="none"/>
          <w:lang w:val="en-US" w:eastAsia="zh-CN" w:bidi="ar"/>
        </w:rPr>
        <w:t>，且</w:t>
      </w:r>
      <w:r>
        <w:rPr>
          <w:rFonts w:hint="eastAsia" w:ascii="宋体" w:hAnsi="宋体" w:eastAsia="宋体" w:cs="Times New Roman"/>
          <w:b w:val="0"/>
          <w:bCs w:val="0"/>
          <w:color w:val="auto"/>
          <w:kern w:val="0"/>
          <w:sz w:val="24"/>
          <w:szCs w:val="24"/>
          <w:highlight w:val="none"/>
          <w:lang w:val="en-US" w:eastAsia="zh-CN" w:bidi="ar"/>
        </w:rPr>
        <w:t>设备及控制系统无故障</w:t>
      </w:r>
      <w:r>
        <w:rPr>
          <w:rFonts w:hint="eastAsia" w:ascii="宋体" w:hAnsi="宋体" w:cs="Times New Roman"/>
          <w:b w:val="0"/>
          <w:bCs w:val="0"/>
          <w:color w:val="auto"/>
          <w:kern w:val="0"/>
          <w:sz w:val="24"/>
          <w:szCs w:val="24"/>
          <w:highlight w:val="none"/>
          <w:lang w:val="en-US" w:eastAsia="zh-CN" w:bidi="ar"/>
        </w:rPr>
        <w:t>。试运行期间，以每个月的最后一周作为技术指标检验周期，以技术指标检验期间内污泥脱水成套设备的加权平均检验数据，对包括但不限于</w:t>
      </w:r>
      <w:r>
        <w:rPr>
          <w:rFonts w:hint="eastAsia" w:ascii="宋体" w:hAnsi="宋体" w:eastAsia="宋体" w:cs="Times New Roman"/>
          <w:b w:val="0"/>
          <w:color w:val="auto"/>
          <w:kern w:val="0"/>
          <w:sz w:val="24"/>
          <w:szCs w:val="24"/>
          <w:highlight w:val="none"/>
          <w:lang w:bidi="ar"/>
        </w:rPr>
        <w:t>污泥脱水成套设备</w:t>
      </w:r>
      <w:r>
        <w:rPr>
          <w:rFonts w:hint="eastAsia" w:ascii="宋体" w:hAnsi="宋体" w:cs="Times New Roman"/>
          <w:b w:val="0"/>
          <w:bCs w:val="0"/>
          <w:color w:val="auto"/>
          <w:kern w:val="0"/>
          <w:sz w:val="24"/>
          <w:szCs w:val="24"/>
          <w:highlight w:val="none"/>
          <w:lang w:val="en-US" w:eastAsia="zh-CN" w:bidi="ar"/>
        </w:rPr>
        <w:t>的</w:t>
      </w:r>
      <w:r>
        <w:rPr>
          <w:rFonts w:hint="eastAsia" w:ascii="宋体" w:hAnsi="宋体" w:eastAsia="宋体" w:cs="Times New Roman"/>
          <w:b w:val="0"/>
          <w:bCs w:val="0"/>
          <w:color w:val="auto"/>
          <w:kern w:val="0"/>
          <w:sz w:val="24"/>
          <w:szCs w:val="24"/>
          <w:highlight w:val="none"/>
          <w:lang w:val="en-US" w:eastAsia="zh-CN" w:bidi="ar"/>
        </w:rPr>
        <w:t>处理能力</w:t>
      </w:r>
      <w:r>
        <w:rPr>
          <w:rFonts w:hint="eastAsia" w:ascii="宋体" w:hAnsi="宋体" w:cs="Times New Roman"/>
          <w:b w:val="0"/>
          <w:bCs w:val="0"/>
          <w:color w:val="auto"/>
          <w:kern w:val="0"/>
          <w:sz w:val="24"/>
          <w:szCs w:val="24"/>
          <w:highlight w:val="none"/>
          <w:lang w:val="en-US" w:eastAsia="zh-CN" w:bidi="ar"/>
        </w:rPr>
        <w:t>、</w:t>
      </w:r>
      <w:r>
        <w:rPr>
          <w:rFonts w:hint="eastAsia" w:ascii="宋体" w:hAnsi="宋体"/>
          <w:color w:val="auto"/>
          <w:sz w:val="24"/>
          <w:szCs w:val="24"/>
          <w:highlight w:val="none"/>
          <w:lang w:bidi="ar"/>
        </w:rPr>
        <w:t>脱水后泥饼含</w:t>
      </w:r>
      <w:r>
        <w:rPr>
          <w:rFonts w:hint="eastAsia" w:ascii="宋体" w:hAnsi="宋体" w:cs="Times New Roman"/>
          <w:color w:val="auto"/>
          <w:sz w:val="24"/>
          <w:szCs w:val="24"/>
          <w:highlight w:val="none"/>
          <w:lang w:bidi="ar"/>
        </w:rPr>
        <w:t>水率</w:t>
      </w:r>
      <w:r>
        <w:rPr>
          <w:rFonts w:hint="eastAsia" w:ascii="宋体" w:hAnsi="宋体" w:cs="Times New Roman"/>
          <w:color w:val="auto"/>
          <w:sz w:val="24"/>
          <w:szCs w:val="24"/>
          <w:highlight w:val="none"/>
          <w:lang w:eastAsia="zh-CN" w:bidi="ar"/>
        </w:rPr>
        <w:t>、加药量（干剂量）占总干泥量的百分比、</w:t>
      </w:r>
      <w:r>
        <w:rPr>
          <w:rFonts w:hint="eastAsia" w:ascii="宋体" w:hAnsi="宋体" w:eastAsia="宋体" w:cs="Times New Roman"/>
          <w:b w:val="0"/>
          <w:bCs w:val="0"/>
          <w:color w:val="auto"/>
          <w:kern w:val="0"/>
          <w:sz w:val="24"/>
          <w:szCs w:val="24"/>
          <w:highlight w:val="none"/>
          <w:lang w:val="en-US" w:eastAsia="zh-CN" w:bidi="ar"/>
        </w:rPr>
        <w:t>固相平均回收率</w:t>
      </w:r>
      <w:r>
        <w:rPr>
          <w:rFonts w:hint="eastAsia" w:ascii="宋体" w:hAnsi="宋体" w:cs="Times New Roman"/>
          <w:b w:val="0"/>
          <w:bCs w:val="0"/>
          <w:color w:val="auto"/>
          <w:kern w:val="0"/>
          <w:sz w:val="24"/>
          <w:szCs w:val="24"/>
          <w:highlight w:val="none"/>
          <w:lang w:val="en-US" w:eastAsia="zh-CN" w:bidi="ar"/>
        </w:rPr>
        <w:t>、</w:t>
      </w:r>
      <w:r>
        <w:rPr>
          <w:rFonts w:hint="eastAsia" w:ascii="宋体" w:hAnsi="宋体" w:eastAsia="宋体" w:cs="Times New Roman"/>
          <w:b w:val="0"/>
          <w:bCs w:val="0"/>
          <w:color w:val="auto"/>
          <w:kern w:val="0"/>
          <w:sz w:val="24"/>
          <w:szCs w:val="24"/>
          <w:highlight w:val="none"/>
          <w:lang w:val="en-US" w:eastAsia="zh-CN" w:bidi="ar"/>
        </w:rPr>
        <w:t>压滤液浊度</w:t>
      </w:r>
      <w:r>
        <w:rPr>
          <w:rFonts w:hint="eastAsia" w:ascii="宋体" w:hAnsi="宋体" w:cs="Times New Roman"/>
          <w:b w:val="0"/>
          <w:bCs w:val="0"/>
          <w:color w:val="auto"/>
          <w:kern w:val="0"/>
          <w:sz w:val="24"/>
          <w:szCs w:val="24"/>
          <w:highlight w:val="none"/>
          <w:lang w:val="en-US" w:eastAsia="zh-CN" w:bidi="ar"/>
        </w:rPr>
        <w:t>等技术指标按照本项目技术要求进行检验，卖方可派相关人员全程参与数据的检测工作（如卖方人员不参与，则视为卖方认可买方所测数据的准确性），并对所测数据进行确认，相关检测数据（包括但不限于</w:t>
      </w:r>
      <w:r>
        <w:rPr>
          <w:rFonts w:hint="eastAsia" w:ascii="宋体" w:hAnsi="宋体" w:eastAsia="宋体" w:cs="Times New Roman"/>
          <w:b w:val="0"/>
          <w:color w:val="auto"/>
          <w:kern w:val="0"/>
          <w:sz w:val="24"/>
          <w:szCs w:val="24"/>
          <w:highlight w:val="none"/>
          <w:lang w:bidi="ar"/>
        </w:rPr>
        <w:t>污泥脱水成套设备</w:t>
      </w:r>
      <w:r>
        <w:rPr>
          <w:rFonts w:hint="eastAsia" w:ascii="宋体" w:hAnsi="宋体" w:cs="Times New Roman"/>
          <w:b w:val="0"/>
          <w:bCs w:val="0"/>
          <w:color w:val="auto"/>
          <w:kern w:val="0"/>
          <w:sz w:val="24"/>
          <w:szCs w:val="24"/>
          <w:highlight w:val="none"/>
          <w:lang w:val="en-US" w:eastAsia="zh-CN" w:bidi="ar"/>
        </w:rPr>
        <w:t>的</w:t>
      </w:r>
      <w:r>
        <w:rPr>
          <w:rFonts w:hint="eastAsia" w:ascii="宋体" w:hAnsi="宋体" w:eastAsia="宋体" w:cs="Times New Roman"/>
          <w:b w:val="0"/>
          <w:bCs w:val="0"/>
          <w:color w:val="auto"/>
          <w:kern w:val="0"/>
          <w:sz w:val="24"/>
          <w:szCs w:val="24"/>
          <w:highlight w:val="none"/>
          <w:lang w:val="en-US" w:eastAsia="zh-CN" w:bidi="ar"/>
        </w:rPr>
        <w:t>处理能力</w:t>
      </w:r>
      <w:r>
        <w:rPr>
          <w:rFonts w:hint="eastAsia" w:ascii="宋体" w:hAnsi="宋体" w:cs="Times New Roman"/>
          <w:b w:val="0"/>
          <w:bCs w:val="0"/>
          <w:color w:val="auto"/>
          <w:kern w:val="0"/>
          <w:sz w:val="24"/>
          <w:szCs w:val="24"/>
          <w:highlight w:val="none"/>
          <w:lang w:val="en-US" w:eastAsia="zh-CN" w:bidi="ar"/>
        </w:rPr>
        <w:t>、</w:t>
      </w:r>
      <w:r>
        <w:rPr>
          <w:rFonts w:hint="eastAsia" w:ascii="宋体" w:hAnsi="宋体"/>
          <w:color w:val="auto"/>
          <w:sz w:val="24"/>
          <w:szCs w:val="24"/>
          <w:highlight w:val="none"/>
          <w:lang w:bidi="ar"/>
        </w:rPr>
        <w:t>脱水后泥饼含</w:t>
      </w:r>
      <w:r>
        <w:rPr>
          <w:rFonts w:hint="eastAsia" w:ascii="宋体" w:hAnsi="宋体" w:cs="Times New Roman"/>
          <w:color w:val="auto"/>
          <w:sz w:val="24"/>
          <w:szCs w:val="24"/>
          <w:highlight w:val="none"/>
          <w:lang w:bidi="ar"/>
        </w:rPr>
        <w:t>水率</w:t>
      </w:r>
      <w:r>
        <w:rPr>
          <w:rFonts w:hint="eastAsia" w:ascii="宋体" w:hAnsi="宋体" w:cs="Times New Roman"/>
          <w:color w:val="auto"/>
          <w:sz w:val="24"/>
          <w:szCs w:val="24"/>
          <w:highlight w:val="none"/>
          <w:lang w:eastAsia="zh-CN" w:bidi="ar"/>
        </w:rPr>
        <w:t>、加药量（干剂量）占总干泥量的百分比、</w:t>
      </w:r>
      <w:r>
        <w:rPr>
          <w:rFonts w:hint="eastAsia" w:ascii="宋体" w:hAnsi="宋体" w:eastAsia="宋体" w:cs="Times New Roman"/>
          <w:b w:val="0"/>
          <w:bCs w:val="0"/>
          <w:color w:val="auto"/>
          <w:kern w:val="0"/>
          <w:sz w:val="24"/>
          <w:szCs w:val="24"/>
          <w:highlight w:val="none"/>
          <w:lang w:val="en-US" w:eastAsia="zh-CN" w:bidi="ar"/>
        </w:rPr>
        <w:t>固相平均回收率</w:t>
      </w:r>
      <w:r>
        <w:rPr>
          <w:rFonts w:hint="eastAsia" w:ascii="宋体" w:hAnsi="宋体" w:cs="Times New Roman"/>
          <w:b w:val="0"/>
          <w:bCs w:val="0"/>
          <w:color w:val="auto"/>
          <w:kern w:val="0"/>
          <w:sz w:val="24"/>
          <w:szCs w:val="24"/>
          <w:highlight w:val="none"/>
          <w:lang w:val="en-US" w:eastAsia="zh-CN" w:bidi="ar"/>
        </w:rPr>
        <w:t>、</w:t>
      </w:r>
      <w:r>
        <w:rPr>
          <w:rFonts w:hint="eastAsia" w:ascii="宋体" w:hAnsi="宋体" w:eastAsia="宋体" w:cs="Times New Roman"/>
          <w:b w:val="0"/>
          <w:bCs w:val="0"/>
          <w:color w:val="auto"/>
          <w:kern w:val="0"/>
          <w:sz w:val="24"/>
          <w:szCs w:val="24"/>
          <w:highlight w:val="none"/>
          <w:lang w:val="en-US" w:eastAsia="zh-CN" w:bidi="ar"/>
        </w:rPr>
        <w:t>压滤液浊度等技术指标</w:t>
      </w:r>
      <w:r>
        <w:rPr>
          <w:rFonts w:hint="eastAsia" w:ascii="宋体" w:hAnsi="宋体" w:cs="Times New Roman"/>
          <w:b w:val="0"/>
          <w:bCs w:val="0"/>
          <w:color w:val="auto"/>
          <w:kern w:val="0"/>
          <w:sz w:val="24"/>
          <w:szCs w:val="24"/>
          <w:highlight w:val="none"/>
          <w:lang w:val="en-US" w:eastAsia="zh-CN" w:bidi="ar"/>
        </w:rPr>
        <w:t>）将在试运行验收报告中详细记录</w:t>
      </w:r>
      <w:r>
        <w:rPr>
          <w:rFonts w:hint="eastAsia" w:ascii="宋体" w:hAnsi="宋体" w:eastAsia="宋体" w:cs="宋体"/>
          <w:color w:val="auto"/>
          <w:kern w:val="2"/>
          <w:sz w:val="24"/>
          <w:szCs w:val="24"/>
          <w:highlight w:val="none"/>
          <w:lang w:val="en-US" w:eastAsia="zh-CN" w:bidi="ar-SA"/>
        </w:rPr>
        <w:t>。</w:t>
      </w:r>
    </w:p>
    <w:p w14:paraId="752D0837">
      <w:pPr>
        <w:keepNext w:val="0"/>
        <w:keepLines w:val="0"/>
        <w:pageBreakBefore w:val="0"/>
        <w:kinsoku/>
        <w:wordWrap/>
        <w:overflowPunct/>
        <w:topLinePunct w:val="0"/>
        <w:bidi w:val="0"/>
        <w:spacing w:beforeLines="0" w:after="0" w:afterLines="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fldChar w:fldCharType="begin"/>
      </w:r>
      <w:r>
        <w:rPr>
          <w:rFonts w:hint="eastAsia" w:ascii="宋体" w:hAnsi="宋体" w:eastAsia="宋体" w:cs="宋体"/>
          <w:color w:val="auto"/>
          <w:sz w:val="24"/>
          <w:szCs w:val="24"/>
          <w:highlight w:val="none"/>
          <w:lang w:val="en-US" w:eastAsia="zh-CN" w:bidi="ar-SA"/>
        </w:rPr>
        <w:instrText xml:space="preserve"> = 2 \* GB3 </w:instrText>
      </w:r>
      <w:r>
        <w:rPr>
          <w:rFonts w:hint="eastAsia" w:ascii="宋体" w:hAnsi="宋体" w:eastAsia="宋体" w:cs="宋体"/>
          <w:color w:val="auto"/>
          <w:sz w:val="24"/>
          <w:szCs w:val="24"/>
          <w:highlight w:val="none"/>
          <w:lang w:val="en-US" w:eastAsia="zh-CN" w:bidi="ar-SA"/>
        </w:rPr>
        <w:fldChar w:fldCharType="separate"/>
      </w:r>
      <w:r>
        <w:rPr>
          <w:rFonts w:hint="eastAsia" w:ascii="宋体" w:hAnsi="宋体" w:eastAsia="宋体" w:cs="宋体"/>
          <w:color w:val="auto"/>
          <w:sz w:val="24"/>
          <w:szCs w:val="24"/>
          <w:highlight w:val="none"/>
          <w:lang w:val="en-US" w:eastAsia="zh-CN" w:bidi="ar-SA"/>
        </w:rPr>
        <w:t>②</w:t>
      </w:r>
      <w:r>
        <w:rPr>
          <w:rFonts w:hint="eastAsia" w:ascii="宋体" w:hAnsi="宋体" w:eastAsia="宋体" w:cs="宋体"/>
          <w:color w:val="auto"/>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货物按上述程序验收，</w:t>
      </w:r>
      <w:r>
        <w:rPr>
          <w:rFonts w:hint="eastAsia" w:ascii="宋体" w:hAnsi="宋体" w:cs="Times New Roman"/>
          <w:color w:val="auto"/>
          <w:kern w:val="0"/>
          <w:sz w:val="24"/>
          <w:szCs w:val="24"/>
          <w:highlight w:val="none"/>
          <w:lang w:val="en-US" w:eastAsia="zh-CN" w:bidi="ar"/>
        </w:rPr>
        <w:t>并在试运行期间内连续</w:t>
      </w:r>
      <w:r>
        <w:rPr>
          <w:rFonts w:hint="eastAsia" w:ascii="宋体" w:hAnsi="宋体" w:cs="Times New Roman"/>
          <w:b w:val="0"/>
          <w:bCs w:val="0"/>
          <w:color w:val="auto"/>
          <w:kern w:val="0"/>
          <w:sz w:val="24"/>
          <w:szCs w:val="24"/>
          <w:highlight w:val="none"/>
          <w:lang w:val="en-US" w:eastAsia="zh-CN" w:bidi="ar"/>
        </w:rPr>
        <w:t>三个月内，每个月的技术指标检验周期的加权平均检测数据均符合本项目技术要求的，</w:t>
      </w:r>
      <w:r>
        <w:rPr>
          <w:rFonts w:hint="eastAsia" w:ascii="宋体" w:hAnsi="宋体" w:eastAsia="宋体" w:cs="宋体"/>
          <w:color w:val="auto"/>
          <w:kern w:val="2"/>
          <w:sz w:val="24"/>
          <w:szCs w:val="24"/>
          <w:highlight w:val="none"/>
          <w:lang w:val="en-US" w:eastAsia="zh-CN" w:bidi="ar-SA"/>
        </w:rPr>
        <w:t>则视为试运行验收合格，卖方移交完所有货物、资料文档后，买方向卖方出具书面的试运行验收合格报告。</w:t>
      </w:r>
    </w:p>
    <w:p w14:paraId="59691623">
      <w:pPr>
        <w:keepNext w:val="0"/>
        <w:keepLines w:val="0"/>
        <w:pageBreakBefore w:val="0"/>
        <w:kinsoku/>
        <w:wordWrap/>
        <w:overflowPunct/>
        <w:topLinePunct w:val="0"/>
        <w:bidi w:val="0"/>
        <w:spacing w:beforeLines="0" w:after="0" w:afterLines="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fldChar w:fldCharType="begin"/>
      </w:r>
      <w:r>
        <w:rPr>
          <w:rFonts w:hint="eastAsia" w:ascii="宋体" w:hAnsi="宋体" w:eastAsia="宋体" w:cs="宋体"/>
          <w:color w:val="auto"/>
          <w:sz w:val="24"/>
          <w:szCs w:val="24"/>
          <w:highlight w:val="none"/>
          <w:lang w:val="en-US" w:eastAsia="zh-CN" w:bidi="ar-SA"/>
        </w:rPr>
        <w:instrText xml:space="preserve"> = 3 \* GB3 </w:instrText>
      </w:r>
      <w:r>
        <w:rPr>
          <w:rFonts w:hint="eastAsia" w:ascii="宋体" w:hAnsi="宋体" w:eastAsia="宋体" w:cs="宋体"/>
          <w:color w:val="auto"/>
          <w:sz w:val="24"/>
          <w:szCs w:val="24"/>
          <w:highlight w:val="none"/>
          <w:lang w:val="en-US" w:eastAsia="zh-CN" w:bidi="ar-SA"/>
        </w:rPr>
        <w:fldChar w:fldCharType="separate"/>
      </w:r>
      <w:r>
        <w:rPr>
          <w:rFonts w:hint="eastAsia" w:ascii="宋体" w:hAnsi="宋体" w:eastAsia="宋体" w:cs="宋体"/>
          <w:color w:val="auto"/>
          <w:sz w:val="24"/>
          <w:szCs w:val="24"/>
          <w:highlight w:val="none"/>
          <w:lang w:val="en-US" w:eastAsia="zh-CN" w:bidi="ar-SA"/>
        </w:rPr>
        <w:t>③</w:t>
      </w:r>
      <w:r>
        <w:rPr>
          <w:rFonts w:hint="eastAsia" w:ascii="宋体" w:hAnsi="宋体" w:eastAsia="宋体" w:cs="宋体"/>
          <w:color w:val="auto"/>
          <w:sz w:val="24"/>
          <w:szCs w:val="24"/>
          <w:highlight w:val="none"/>
          <w:lang w:val="en-US" w:eastAsia="zh-CN" w:bidi="ar-SA"/>
        </w:rPr>
        <w:fldChar w:fldCharType="end"/>
      </w:r>
      <w:r>
        <w:rPr>
          <w:rFonts w:hint="eastAsia" w:ascii="宋体" w:hAnsi="宋体" w:eastAsia="宋体" w:cs="宋体"/>
          <w:color w:val="auto"/>
          <w:kern w:val="2"/>
          <w:sz w:val="24"/>
          <w:szCs w:val="24"/>
          <w:highlight w:val="none"/>
          <w:lang w:val="en-US" w:eastAsia="zh-CN" w:bidi="ar-SA"/>
        </w:rPr>
        <w:t>货物在试运行验收合格前，其损耗、毁损、灭失等风险及责任由卖方承担，如因发生前述情形，导致卖方所供应的货物不能通过买方验收的，卖方应按买方要求予以免费更换或退货。</w:t>
      </w:r>
    </w:p>
    <w:p w14:paraId="23955C91">
      <w:pPr>
        <w:widowControl/>
        <w:adjustRightInd w:val="0"/>
        <w:snapToGrid/>
        <w:spacing w:beforeLines="0" w:afterLines="0" w:line="360" w:lineRule="auto"/>
        <w:ind w:firstLine="241" w:firstLineChars="1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6.</w:t>
      </w:r>
      <w:r>
        <w:rPr>
          <w:rFonts w:hint="eastAsia" w:ascii="宋体" w:hAnsi="宋体" w:eastAsia="宋体" w:cs="Times New Roman"/>
          <w:b/>
          <w:color w:val="auto"/>
          <w:sz w:val="24"/>
          <w:szCs w:val="24"/>
          <w:highlight w:val="none"/>
          <w:lang w:val="en-US" w:eastAsia="zh-CN"/>
        </w:rPr>
        <w:t>5最终</w:t>
      </w:r>
      <w:r>
        <w:rPr>
          <w:rFonts w:hint="eastAsia" w:ascii="宋体" w:hAnsi="宋体" w:eastAsia="宋体" w:cs="Times New Roman"/>
          <w:b/>
          <w:color w:val="auto"/>
          <w:sz w:val="24"/>
          <w:szCs w:val="24"/>
          <w:highlight w:val="none"/>
        </w:rPr>
        <w:t>验收</w:t>
      </w:r>
    </w:p>
    <w:p w14:paraId="3348FDEA">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 xml:space="preserve">6.5.1 </w:t>
      </w:r>
      <w:r>
        <w:rPr>
          <w:rFonts w:hint="eastAsia" w:ascii="宋体" w:hAnsi="宋体" w:eastAsia="宋体" w:cs="宋体"/>
          <w:color w:val="auto"/>
          <w:kern w:val="2"/>
          <w:sz w:val="24"/>
          <w:szCs w:val="24"/>
          <w:highlight w:val="none"/>
          <w:lang w:val="en-US" w:eastAsia="zh-CN" w:bidi="ar-SA"/>
        </w:rPr>
        <w:t>最终验收：货物安装、调试、试运行完成后进行最终验收。卖方的货物只有经最终检验合格的，才能最终确定卖方所供货物为合格产品。检验的费用已包含在合同价格中。</w:t>
      </w:r>
    </w:p>
    <w:p w14:paraId="53CDC503">
      <w:pPr>
        <w:keepNext w:val="0"/>
        <w:keepLines w:val="0"/>
        <w:pageBreakBefore w:val="0"/>
        <w:tabs>
          <w:tab w:val="right" w:leader="dot" w:pos="9402"/>
        </w:tabs>
        <w:kinsoku/>
        <w:wordWrap/>
        <w:overflowPunct/>
        <w:topLinePunct w:val="0"/>
        <w:autoSpaceDE/>
        <w:autoSpaceDN/>
        <w:bidi w:val="0"/>
        <w:spacing w:beforeLines="0" w:afterLines="0" w:line="360" w:lineRule="auto"/>
        <w:ind w:left="992" w:leftChars="202" w:hanging="568" w:hangingChars="237"/>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6.5.1.1 工程项目整体竣工验收视为最终验收</w:t>
      </w:r>
    </w:p>
    <w:p w14:paraId="6DF8203C">
      <w:pPr>
        <w:keepNext w:val="0"/>
        <w:keepLines w:val="0"/>
        <w:pageBreakBefore w:val="0"/>
        <w:widowControl/>
        <w:kinsoku/>
        <w:wordWrap/>
        <w:overflowPunct/>
        <w:topLinePunct w:val="0"/>
        <w:autoSpaceDE/>
        <w:autoSpaceDN/>
        <w:bidi w:val="0"/>
        <w:adjustRightInd w:val="0"/>
        <w:snapToGrid/>
        <w:spacing w:beforeLines="0" w:afterLines="0" w:line="360" w:lineRule="auto"/>
        <w:ind w:firstLine="420" w:firstLineChars="200"/>
        <w:jc w:val="left"/>
        <w:textAlignment w:val="auto"/>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highlight w:val="none"/>
          <w:lang w:val="en-US" w:eastAsia="zh-CN"/>
        </w:rPr>
        <w:t xml:space="preserve"> </w:t>
      </w:r>
      <w:r>
        <w:rPr>
          <w:rFonts w:hint="eastAsia" w:ascii="宋体" w:hAnsi="宋体" w:eastAsia="宋体" w:cs="Times New Roman"/>
          <w:color w:val="auto"/>
          <w:sz w:val="24"/>
          <w:szCs w:val="24"/>
          <w:highlight w:val="none"/>
        </w:rPr>
        <w:t>如合同设备在</w:t>
      </w:r>
      <w:r>
        <w:rPr>
          <w:rFonts w:hint="eastAsia" w:ascii="宋体" w:hAnsi="宋体" w:eastAsia="宋体" w:cs="Times New Roman"/>
          <w:color w:val="auto"/>
          <w:sz w:val="24"/>
          <w:szCs w:val="24"/>
          <w:highlight w:val="none"/>
          <w:lang w:val="en-US" w:eastAsia="zh-CN"/>
        </w:rPr>
        <w:t>安装、调试，且试运行</w:t>
      </w:r>
      <w:r>
        <w:rPr>
          <w:rFonts w:hint="eastAsia" w:ascii="宋体" w:hAnsi="宋体" w:eastAsia="宋体" w:cs="Times New Roman"/>
          <w:color w:val="auto"/>
          <w:sz w:val="24"/>
          <w:szCs w:val="24"/>
          <w:highlight w:val="none"/>
        </w:rPr>
        <w:t>中达到或视为达到技术性能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w:t>
      </w:r>
      <w:r>
        <w:rPr>
          <w:rFonts w:hint="eastAsia" w:ascii="宋体" w:hAnsi="宋体" w:eastAsia="宋体" w:cs="Times New Roman"/>
          <w:color w:val="auto"/>
          <w:sz w:val="24"/>
          <w:szCs w:val="24"/>
          <w:highlight w:val="none"/>
          <w:lang w:val="en-US" w:eastAsia="zh-CN"/>
        </w:rPr>
        <w:t>且整个工程项目达到竣工验收标准，签署了竣工验收合格报告，</w:t>
      </w:r>
      <w:r>
        <w:rPr>
          <w:rFonts w:hint="eastAsia" w:ascii="宋体" w:hAnsi="宋体" w:eastAsia="宋体" w:cs="Times New Roman"/>
          <w:color w:val="auto"/>
          <w:sz w:val="24"/>
          <w:szCs w:val="24"/>
          <w:highlight w:val="none"/>
        </w:rPr>
        <w:t>则买卖双方应在</w:t>
      </w:r>
      <w:r>
        <w:rPr>
          <w:rFonts w:hint="eastAsia" w:ascii="宋体" w:hAnsi="宋体" w:eastAsia="宋体" w:cs="Times New Roman"/>
          <w:color w:val="auto"/>
          <w:sz w:val="24"/>
          <w:szCs w:val="24"/>
          <w:highlight w:val="none"/>
          <w:lang w:val="en-US" w:eastAsia="zh-CN"/>
        </w:rPr>
        <w:t>竣工验收报告</w:t>
      </w:r>
      <w:r>
        <w:rPr>
          <w:rFonts w:hint="eastAsia" w:ascii="宋体" w:hAnsi="宋体" w:eastAsia="宋体" w:cs="Times New Roman"/>
          <w:color w:val="auto"/>
          <w:sz w:val="24"/>
          <w:szCs w:val="24"/>
          <w:highlight w:val="none"/>
        </w:rPr>
        <w:t>完成后</w:t>
      </w:r>
      <w:r>
        <w:rPr>
          <w:rFonts w:hint="eastAsia" w:ascii="宋体" w:hAnsi="宋体" w:eastAsia="宋体" w:cs="Times New Roman"/>
          <w:color w:val="auto"/>
          <w:sz w:val="24"/>
          <w:szCs w:val="24"/>
          <w:highlight w:val="none"/>
          <w:u w:val="single"/>
        </w:rPr>
        <w:t>7</w:t>
      </w:r>
      <w:r>
        <w:rPr>
          <w:rFonts w:hint="eastAsia" w:ascii="宋体" w:hAnsi="宋体" w:eastAsia="宋体" w:cs="Times New Roman"/>
          <w:color w:val="auto"/>
          <w:sz w:val="24"/>
          <w:szCs w:val="24"/>
          <w:highlight w:val="none"/>
        </w:rPr>
        <w:t>日内签署合同设备</w:t>
      </w:r>
      <w:r>
        <w:rPr>
          <w:rFonts w:hint="eastAsia" w:ascii="宋体" w:hAnsi="宋体" w:eastAsia="宋体" w:cs="Times New Roman"/>
          <w:color w:val="auto"/>
          <w:sz w:val="24"/>
          <w:szCs w:val="24"/>
          <w:highlight w:val="none"/>
          <w:lang w:val="en-US" w:eastAsia="zh-CN"/>
        </w:rPr>
        <w:t>最终</w:t>
      </w:r>
      <w:r>
        <w:rPr>
          <w:rFonts w:hint="eastAsia" w:ascii="宋体" w:hAnsi="宋体" w:eastAsia="宋体" w:cs="Times New Roman"/>
          <w:color w:val="auto"/>
          <w:sz w:val="24"/>
          <w:szCs w:val="24"/>
          <w:highlight w:val="none"/>
        </w:rPr>
        <w:t>验收</w:t>
      </w:r>
      <w:r>
        <w:rPr>
          <w:rFonts w:hint="eastAsia" w:ascii="宋体" w:hAnsi="宋体" w:eastAsia="宋体" w:cs="Times New Roman"/>
          <w:color w:val="auto"/>
          <w:sz w:val="24"/>
          <w:szCs w:val="24"/>
          <w:highlight w:val="none"/>
          <w:lang w:val="en-US" w:eastAsia="zh-CN"/>
        </w:rPr>
        <w:t>报告</w:t>
      </w:r>
      <w:r>
        <w:rPr>
          <w:rFonts w:hint="eastAsia" w:ascii="宋体" w:hAnsi="宋体" w:eastAsia="宋体" w:cs="Times New Roman"/>
          <w:color w:val="auto"/>
          <w:sz w:val="24"/>
          <w:szCs w:val="24"/>
          <w:highlight w:val="none"/>
        </w:rPr>
        <w:t>一式二份，双方各持一份。</w:t>
      </w:r>
    </w:p>
    <w:p w14:paraId="09515498">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.3如由于买方原因在</w:t>
      </w:r>
      <w:r>
        <w:rPr>
          <w:rFonts w:hint="eastAsia" w:ascii="宋体" w:hAnsi="宋体" w:eastAsia="宋体" w:cs="Times New Roman"/>
          <w:color w:val="auto"/>
          <w:sz w:val="24"/>
          <w:szCs w:val="24"/>
          <w:highlight w:val="none"/>
          <w:lang w:val="en-US" w:eastAsia="zh-CN"/>
        </w:rPr>
        <w:t>每批次</w:t>
      </w:r>
      <w:r>
        <w:rPr>
          <w:rFonts w:hint="eastAsia" w:ascii="宋体" w:hAnsi="宋体" w:eastAsia="宋体" w:cs="Times New Roman"/>
          <w:color w:val="auto"/>
          <w:sz w:val="24"/>
          <w:szCs w:val="24"/>
          <w:highlight w:val="none"/>
        </w:rPr>
        <w:t>合同设备交货后12个月内未能开始</w:t>
      </w:r>
      <w:r>
        <w:rPr>
          <w:rFonts w:hint="eastAsia" w:ascii="宋体" w:hAnsi="宋体" w:eastAsia="宋体" w:cs="Times New Roman"/>
          <w:color w:val="auto"/>
          <w:sz w:val="24"/>
          <w:szCs w:val="24"/>
          <w:highlight w:val="none"/>
          <w:lang w:val="en-US" w:eastAsia="zh-CN"/>
        </w:rPr>
        <w:t>进行安装调试/试运行/竣工验收</w:t>
      </w:r>
      <w:r>
        <w:rPr>
          <w:rFonts w:hint="eastAsia" w:ascii="宋体" w:hAnsi="宋体" w:eastAsia="宋体" w:cs="Times New Roman"/>
          <w:color w:val="auto"/>
          <w:sz w:val="24"/>
          <w:szCs w:val="24"/>
          <w:highlight w:val="none"/>
        </w:rPr>
        <w:t>，则买卖双方应在上述期限届满后7日内签署验收款支付函。</w:t>
      </w:r>
    </w:p>
    <w:p w14:paraId="77EBCB3B">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卖方有义务在验收款支付函签署后12个月内应买方要求提供不超出合同范围的技术服务，协助买方采取一切必要措施使合同设备达到技术性能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指标，且买方无需因此向卖方支付费用。</w:t>
      </w:r>
    </w:p>
    <w:p w14:paraId="5918130F">
      <w:pPr>
        <w:keepNext w:val="0"/>
        <w:keepLines w:val="0"/>
        <w:pageBreakBefore w:val="0"/>
        <w:widowControl/>
        <w:kinsoku/>
        <w:wordWrap/>
        <w:overflowPunct/>
        <w:topLinePunct w:val="0"/>
        <w:autoSpaceDE/>
        <w:autoSpaceDN/>
        <w:bidi w:val="0"/>
        <w:adjustRightInd w:val="0"/>
        <w:snapToGrid/>
        <w:spacing w:beforeLines="0" w:afterLines="0" w:line="360" w:lineRule="auto"/>
        <w:ind w:firstLine="480" w:firstLineChars="200"/>
        <w:jc w:val="left"/>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在上述12个月的期限内，如合同设备经过</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达到或视为达到技术性能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指标，则买卖双方应按照第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.1 项的约定签署合同设备验收</w:t>
      </w:r>
      <w:r>
        <w:rPr>
          <w:rFonts w:hint="eastAsia" w:ascii="宋体" w:hAnsi="宋体" w:eastAsia="宋体" w:cs="Times New Roman"/>
          <w:color w:val="auto"/>
          <w:sz w:val="24"/>
          <w:szCs w:val="24"/>
          <w:highlight w:val="none"/>
          <w:lang w:val="en-US" w:eastAsia="zh-CN"/>
        </w:rPr>
        <w:t>报告</w:t>
      </w:r>
      <w:r>
        <w:rPr>
          <w:rFonts w:hint="eastAsia" w:ascii="宋体" w:hAnsi="宋体" w:eastAsia="宋体" w:cs="Times New Roman"/>
          <w:color w:val="auto"/>
          <w:sz w:val="24"/>
          <w:szCs w:val="24"/>
          <w:highlight w:val="none"/>
          <w:lang w:eastAsia="zh-CN"/>
        </w:rPr>
        <w:t>。</w:t>
      </w:r>
    </w:p>
    <w:p w14:paraId="7458861B">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8.</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质量保证期</w:t>
      </w:r>
    </w:p>
    <w:p w14:paraId="6B12847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8.1合同设备整体质量保证期为</w:t>
      </w:r>
      <w:r>
        <w:rPr>
          <w:rFonts w:hint="eastAsia" w:ascii="宋体" w:hAnsi="宋体" w:eastAsia="宋体" w:cs="Times New Roman"/>
          <w:color w:val="auto"/>
          <w:sz w:val="24"/>
          <w:szCs w:val="24"/>
          <w:highlight w:val="none"/>
          <w:lang w:val="en-US" w:eastAsia="zh-CN"/>
        </w:rPr>
        <w:t>最终</w:t>
      </w:r>
      <w:r>
        <w:rPr>
          <w:rFonts w:hint="eastAsia" w:ascii="宋体" w:hAnsi="宋体" w:eastAsia="宋体" w:cs="Times New Roman"/>
          <w:color w:val="auto"/>
          <w:sz w:val="24"/>
          <w:szCs w:val="24"/>
          <w:highlight w:val="none"/>
        </w:rPr>
        <w:t>验收之日</w:t>
      </w:r>
      <w:r>
        <w:rPr>
          <w:rFonts w:hint="eastAsia" w:ascii="宋体" w:hAnsi="宋体" w:eastAsia="宋体" w:cs="Times New Roman"/>
          <w:b/>
          <w:color w:val="auto"/>
          <w:sz w:val="24"/>
          <w:szCs w:val="24"/>
          <w:highlight w:val="none"/>
        </w:rPr>
        <w:t>起</w:t>
      </w:r>
      <w:r>
        <w:rPr>
          <w:rFonts w:hint="default" w:ascii="宋体" w:hAnsi="宋体" w:eastAsia="宋体" w:cs="Times New Roman"/>
          <w:b/>
          <w:color w:val="auto"/>
          <w:sz w:val="24"/>
          <w:szCs w:val="24"/>
          <w:highlight w:val="none"/>
          <w:u w:val="single"/>
          <w:lang w:val="en-US"/>
        </w:rPr>
        <w:t xml:space="preserve">    </w:t>
      </w:r>
      <w:r>
        <w:rPr>
          <w:rFonts w:hint="eastAsia" w:ascii="宋体" w:hAnsi="宋体" w:cs="Times New Roman"/>
          <w:b/>
          <w:color w:val="auto"/>
          <w:sz w:val="24"/>
          <w:szCs w:val="24"/>
          <w:highlight w:val="none"/>
          <w:lang w:val="en-US" w:eastAsia="zh-CN"/>
        </w:rPr>
        <w:t>年</w:t>
      </w:r>
      <w:r>
        <w:rPr>
          <w:rFonts w:hint="eastAsia" w:ascii="宋体" w:hAnsi="宋体"/>
          <w:b/>
          <w:color w:val="auto"/>
          <w:sz w:val="24"/>
          <w:szCs w:val="24"/>
          <w:highlight w:val="none"/>
        </w:rPr>
        <w:t>（按卖方投标时的响应情况补充）</w:t>
      </w:r>
      <w:r>
        <w:rPr>
          <w:rFonts w:hint="eastAsia" w:ascii="宋体" w:hAnsi="宋体" w:eastAsia="宋体" w:cs="Times New Roman"/>
          <w:color w:val="auto"/>
          <w:sz w:val="24"/>
          <w:szCs w:val="24"/>
          <w:highlight w:val="none"/>
        </w:rPr>
        <w:t>。在合同第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 xml:space="preserve"> 项情形下，无论合同设备何时验收，其质量保证期最长为签署验收</w:t>
      </w:r>
      <w:r>
        <w:rPr>
          <w:rFonts w:hint="eastAsia" w:ascii="宋体" w:hAnsi="宋体" w:eastAsia="宋体" w:cs="Times New Roman"/>
          <w:color w:val="auto"/>
          <w:sz w:val="24"/>
          <w:szCs w:val="24"/>
          <w:highlight w:val="none"/>
          <w:lang w:val="en-US" w:eastAsia="zh-CN"/>
        </w:rPr>
        <w:t>/结算</w:t>
      </w:r>
      <w:r>
        <w:rPr>
          <w:rFonts w:hint="eastAsia" w:ascii="宋体" w:hAnsi="宋体" w:eastAsia="宋体" w:cs="Times New Roman"/>
          <w:color w:val="auto"/>
          <w:sz w:val="24"/>
          <w:szCs w:val="24"/>
          <w:highlight w:val="none"/>
        </w:rPr>
        <w:t>款支付函</w:t>
      </w:r>
      <w:r>
        <w:rPr>
          <w:rFonts w:hint="eastAsia" w:ascii="宋体" w:hAnsi="宋体" w:eastAsia="宋体" w:cs="Times New Roman"/>
          <w:b/>
          <w:color w:val="auto"/>
          <w:sz w:val="24"/>
          <w:szCs w:val="24"/>
          <w:highlight w:val="none"/>
        </w:rPr>
        <w:t>后</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lang w:val="en-US" w:eastAsia="zh-CN"/>
        </w:rPr>
        <w:t>年</w:t>
      </w:r>
      <w:r>
        <w:rPr>
          <w:rFonts w:hint="eastAsia" w:ascii="宋体" w:hAnsi="宋体" w:eastAsia="宋体" w:cs="Times New Roman"/>
          <w:color w:val="auto"/>
          <w:sz w:val="24"/>
          <w:szCs w:val="24"/>
          <w:highlight w:val="none"/>
        </w:rPr>
        <w:t>。在合同第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.3 项情形下，无论合同设备何时验收，其质量保证期最长为签署验收</w:t>
      </w:r>
      <w:r>
        <w:rPr>
          <w:rFonts w:hint="eastAsia" w:ascii="宋体" w:hAnsi="宋体" w:eastAsia="宋体" w:cs="Times New Roman"/>
          <w:color w:val="auto"/>
          <w:sz w:val="24"/>
          <w:szCs w:val="24"/>
          <w:highlight w:val="none"/>
          <w:lang w:val="en-US" w:eastAsia="zh-CN"/>
        </w:rPr>
        <w:t>/结算</w:t>
      </w:r>
      <w:r>
        <w:rPr>
          <w:rFonts w:hint="eastAsia" w:ascii="宋体" w:hAnsi="宋体" w:eastAsia="宋体" w:cs="Times New Roman"/>
          <w:color w:val="auto"/>
          <w:sz w:val="24"/>
          <w:szCs w:val="24"/>
          <w:highlight w:val="none"/>
        </w:rPr>
        <w:t>款支付函</w:t>
      </w:r>
      <w:r>
        <w:rPr>
          <w:rFonts w:hint="eastAsia" w:ascii="宋体" w:hAnsi="宋体" w:eastAsia="宋体" w:cs="Times New Roman"/>
          <w:b/>
          <w:color w:val="auto"/>
          <w:sz w:val="24"/>
          <w:szCs w:val="24"/>
          <w:highlight w:val="none"/>
        </w:rPr>
        <w:t>后</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lang w:val="en-US" w:eastAsia="zh-CN"/>
        </w:rPr>
        <w:t>年</w:t>
      </w:r>
      <w:r>
        <w:rPr>
          <w:rFonts w:hint="eastAsia" w:ascii="宋体" w:hAnsi="宋体" w:eastAsia="宋体" w:cs="Times New Roman"/>
          <w:color w:val="auto"/>
          <w:sz w:val="24"/>
          <w:szCs w:val="24"/>
          <w:highlight w:val="none"/>
        </w:rPr>
        <w:t>。</w:t>
      </w:r>
    </w:p>
    <w:p w14:paraId="65154DA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8.4在合同第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.2 项情形下，如在验收</w:t>
      </w:r>
      <w:r>
        <w:rPr>
          <w:rFonts w:hint="eastAsia" w:ascii="宋体" w:hAnsi="宋体" w:eastAsia="宋体" w:cs="Times New Roman"/>
          <w:color w:val="auto"/>
          <w:sz w:val="24"/>
          <w:szCs w:val="24"/>
          <w:highlight w:val="none"/>
          <w:lang w:val="en-US" w:eastAsia="zh-CN"/>
        </w:rPr>
        <w:t>/结算</w:t>
      </w:r>
      <w:r>
        <w:rPr>
          <w:rFonts w:hint="eastAsia" w:ascii="宋体" w:hAnsi="宋体" w:eastAsia="宋体" w:cs="Times New Roman"/>
          <w:color w:val="auto"/>
          <w:sz w:val="24"/>
          <w:szCs w:val="24"/>
          <w:highlight w:val="none"/>
        </w:rPr>
        <w:t>款支付函签署后12个月内由于买方原因合同设备仍未能达到技术性能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指标，则买卖双方应在验收</w:t>
      </w:r>
      <w:r>
        <w:rPr>
          <w:rFonts w:hint="eastAsia" w:ascii="宋体" w:hAnsi="宋体" w:eastAsia="宋体" w:cs="Times New Roman"/>
          <w:color w:val="auto"/>
          <w:sz w:val="24"/>
          <w:szCs w:val="24"/>
          <w:highlight w:val="none"/>
          <w:lang w:val="en-US" w:eastAsia="zh-CN"/>
        </w:rPr>
        <w:t>/结算</w:t>
      </w:r>
      <w:r>
        <w:rPr>
          <w:rFonts w:hint="eastAsia" w:ascii="宋体" w:hAnsi="宋体" w:eastAsia="宋体" w:cs="Times New Roman"/>
          <w:color w:val="auto"/>
          <w:sz w:val="24"/>
          <w:szCs w:val="24"/>
          <w:highlight w:val="none"/>
        </w:rPr>
        <w:t>款支付函签署</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lang w:val="en-US" w:eastAsia="zh-CN"/>
        </w:rPr>
        <w:t>年</w:t>
      </w:r>
      <w:r>
        <w:rPr>
          <w:rFonts w:hint="eastAsia" w:ascii="宋体" w:hAnsi="宋体" w:eastAsia="宋体" w:cs="Times New Roman"/>
          <w:color w:val="auto"/>
          <w:sz w:val="24"/>
          <w:szCs w:val="24"/>
          <w:highlight w:val="none"/>
        </w:rPr>
        <w:t>后7日内签署结清款</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质保金</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支付函。</w:t>
      </w:r>
    </w:p>
    <w:p w14:paraId="48CB8B95">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8.5在合同第 6.</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.3 项情形下，如在验收</w:t>
      </w:r>
      <w:r>
        <w:rPr>
          <w:rFonts w:hint="eastAsia" w:ascii="宋体" w:hAnsi="宋体" w:eastAsia="宋体" w:cs="Times New Roman"/>
          <w:color w:val="auto"/>
          <w:sz w:val="24"/>
          <w:szCs w:val="24"/>
          <w:highlight w:val="none"/>
          <w:lang w:val="en-US" w:eastAsia="zh-CN"/>
        </w:rPr>
        <w:t>/结算</w:t>
      </w:r>
      <w:r>
        <w:rPr>
          <w:rFonts w:hint="eastAsia" w:ascii="宋体" w:hAnsi="宋体" w:eastAsia="宋体" w:cs="Times New Roman"/>
          <w:color w:val="auto"/>
          <w:sz w:val="24"/>
          <w:szCs w:val="24"/>
          <w:highlight w:val="none"/>
        </w:rPr>
        <w:t>款支付函签署后12个月内由于买方原因合同设备仍未进行</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或仍未达到技术性能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指标，则买卖双方应在验收</w:t>
      </w:r>
      <w:r>
        <w:rPr>
          <w:rFonts w:hint="eastAsia" w:ascii="宋体" w:hAnsi="宋体" w:eastAsia="宋体" w:cs="Times New Roman"/>
          <w:color w:val="auto"/>
          <w:sz w:val="24"/>
          <w:szCs w:val="24"/>
          <w:highlight w:val="none"/>
          <w:lang w:val="en-US" w:eastAsia="zh-CN"/>
        </w:rPr>
        <w:t>/结算</w:t>
      </w:r>
      <w:r>
        <w:rPr>
          <w:rFonts w:hint="eastAsia" w:ascii="宋体" w:hAnsi="宋体" w:eastAsia="宋体" w:cs="Times New Roman"/>
          <w:color w:val="auto"/>
          <w:sz w:val="24"/>
          <w:szCs w:val="24"/>
          <w:highlight w:val="none"/>
        </w:rPr>
        <w:t>款支付函签署</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lang w:val="en-US" w:eastAsia="zh-CN"/>
        </w:rPr>
        <w:t>年</w:t>
      </w:r>
      <w:r>
        <w:rPr>
          <w:rFonts w:hint="eastAsia" w:ascii="宋体" w:hAnsi="宋体" w:eastAsia="宋体" w:cs="Times New Roman"/>
          <w:color w:val="auto"/>
          <w:sz w:val="24"/>
          <w:szCs w:val="24"/>
          <w:highlight w:val="none"/>
        </w:rPr>
        <w:t>后7日内签署结清款</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质保金</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支付函</w:t>
      </w:r>
      <w:r>
        <w:rPr>
          <w:rFonts w:hint="eastAsia" w:ascii="宋体" w:hAnsi="宋体" w:eastAsia="宋体" w:cs="Times New Roman"/>
          <w:color w:val="auto"/>
          <w:sz w:val="24"/>
          <w:szCs w:val="24"/>
          <w:highlight w:val="none"/>
          <w:lang w:eastAsia="zh-CN"/>
        </w:rPr>
        <w:t>。</w:t>
      </w:r>
    </w:p>
    <w:p w14:paraId="492B93B6">
      <w:pPr>
        <w:widowControl w:val="0"/>
        <w:spacing w:beforeLines="0" w:afterLines="0" w:line="360" w:lineRule="auto"/>
        <w:ind w:left="-10" w:leftChars="-5" w:firstLine="360" w:firstLineChars="15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8.7 质量保证</w:t>
      </w:r>
    </w:p>
    <w:p w14:paraId="689D553D">
      <w:pPr>
        <w:widowControl w:val="0"/>
        <w:spacing w:beforeLines="0" w:afterLines="0" w:line="360" w:lineRule="auto"/>
        <w:ind w:left="-10" w:leftChars="-5"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1)卖方应对货物的生产、管理、交货、调配等建立完整的有效的质量保证体系，并坚持实施，确保货物之质量。</w:t>
      </w:r>
    </w:p>
    <w:p w14:paraId="6562AA55">
      <w:pPr>
        <w:widowControl w:val="0"/>
        <w:spacing w:beforeLines="0" w:afterLines="0" w:line="360" w:lineRule="auto"/>
        <w:ind w:left="-80" w:leftChars="-38"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卖方保证货物必须合格的产品，是全新的、未使用过的，是目前的型号和技术标准。卖方保证合同项下所供货物符合合同条款和技术要求的规定，确保货物的质量，并且保证货物是用质量优良的原材料和良好的生产工艺加工而成的，所有有关的技术规格须与技术要求的规定一致。</w:t>
      </w:r>
    </w:p>
    <w:p w14:paraId="1C0195DE">
      <w:pPr>
        <w:widowControl w:val="0"/>
        <w:spacing w:beforeLines="0" w:afterLines="0" w:line="360" w:lineRule="auto"/>
        <w:ind w:left="-80" w:leftChars="-38"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3)卖方进一步保证，合同项下提供的全部货物没有设计、材料或工艺上的缺陷（由于按买方的要求设计或按买方的规格提供的材料所产生的缺陷除外），或者没有因卖方的行为或疏忽而产生的缺陷。</w:t>
      </w:r>
    </w:p>
    <w:p w14:paraId="033ED7F2">
      <w:pPr>
        <w:widowControl w:val="0"/>
        <w:spacing w:beforeLines="0" w:afterLines="0" w:line="360" w:lineRule="auto"/>
        <w:ind w:left="-80" w:leftChars="-38"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4)在保质期内卖方免费提供修理并免费负责更换有缺陷的货物或零件。保质期内，由于质量问题而产生的一切费用由卖方承担。保质期由货物验收之日起计算。</w:t>
      </w:r>
    </w:p>
    <w:p w14:paraId="26583C6A">
      <w:pPr>
        <w:widowControl w:val="0"/>
        <w:spacing w:beforeLines="0" w:afterLines="0" w:line="360" w:lineRule="auto"/>
        <w:ind w:left="-80" w:leftChars="-38"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在质量保证期内，如卖方未能做到上款的服务，买方可采取必要的补救措施，但其风险和费用由卖方承担，买方根据合同规定对卖方行使的其它权利不受影响。由于卖方的保证服务不到位，保修期的到期时间将顺延。</w:t>
      </w:r>
    </w:p>
    <w:p w14:paraId="35A14556">
      <w:pPr>
        <w:widowControl w:val="0"/>
        <w:spacing w:beforeLines="0" w:afterLines="0" w:line="360" w:lineRule="auto"/>
        <w:ind w:left="-10" w:leftChars="-5"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在质量保质期内或在应当由卖方负责的其他情况下，若由于卖方更换、修理和续补货物，而造成货物不得不停止使用，货物质量保质期应依照停止使用的实际时间加以延长，如因此给买方造成损失，卖方应负责赔偿。</w:t>
      </w:r>
    </w:p>
    <w:p w14:paraId="39DD796C">
      <w:pPr>
        <w:widowControl w:val="0"/>
        <w:spacing w:beforeLines="0" w:afterLines="0" w:line="360" w:lineRule="auto"/>
        <w:ind w:left="-80" w:leftChars="-38"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7)在质量保质期内，如因买方使用、管理不当所造成的损失，卖方不负免费更换的责任，但卖方应按照或比照本合同相关条款规定提供更换服务，由此引起的合理费用由买方承担。</w:t>
      </w:r>
    </w:p>
    <w:p w14:paraId="40FBEB06">
      <w:pPr>
        <w:widowControl w:val="0"/>
        <w:spacing w:beforeLines="0" w:afterLines="0" w:line="360" w:lineRule="auto"/>
        <w:ind w:left="-80" w:leftChars="-38" w:firstLine="360" w:firstLineChars="1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如因卖方提供的货物有缺陷，或卖方提供的技术资料有错误，而使货物不能被买方所接受，卖方应负责更换，使货物运行指标和技术性能达到合同规定，由此引起的全部费用由卖方承担。若因此导致或引起买方损失及导致或引起第三方受到损害的，全部赔偿责任均应由卖方承担。</w:t>
      </w:r>
    </w:p>
    <w:p w14:paraId="7532AFF9">
      <w:pPr>
        <w:widowControl w:val="0"/>
        <w:adjustRightInd w:val="0"/>
        <w:spacing w:beforeLines="0" w:after="0" w:afterLines="0" w:line="360" w:lineRule="auto"/>
        <w:ind w:left="0" w:leftChars="0" w:firstLine="480" w:firstLineChars="200"/>
        <w:textAlignment w:val="baseline"/>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如卖方未履行货物质量和服务保证承诺，买方有权取消卖方参加买方货物采购投标的资格。由此给买方造成损失的，买方有权在质量保证金和履约保证金内扣除，损失超出质量保证金和履约保证金的部分，由卖方继续承担。</w:t>
      </w:r>
    </w:p>
    <w:p w14:paraId="14775A4A">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9.</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质保期服务</w:t>
      </w:r>
    </w:p>
    <w:p w14:paraId="1F37A5E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9.1卖方应为质保期服务配备充足的技术人员、工具和备件并保证提供的联系方式畅通。卖方应在收到买方通知</w:t>
      </w:r>
      <w:r>
        <w:rPr>
          <w:rFonts w:hint="eastAsia" w:ascii="宋体" w:hAnsi="宋体" w:eastAsia="宋体" w:cs="Times New Roman"/>
          <w:b/>
          <w:color w:val="auto"/>
          <w:sz w:val="24"/>
          <w:szCs w:val="24"/>
          <w:highlight w:val="none"/>
        </w:rPr>
        <w:t>后</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rPr>
        <w:t>小时</w:t>
      </w:r>
      <w:r>
        <w:rPr>
          <w:rFonts w:hint="eastAsia" w:ascii="宋体" w:hAnsi="宋体" w:eastAsia="宋体" w:cs="Times New Roman"/>
          <w:color w:val="auto"/>
          <w:sz w:val="24"/>
          <w:szCs w:val="24"/>
          <w:highlight w:val="none"/>
        </w:rPr>
        <w:t>内做出响应，如需卖方到合同设备现场，卖方应在收到买方通知</w:t>
      </w:r>
      <w:r>
        <w:rPr>
          <w:rFonts w:hint="eastAsia" w:ascii="宋体" w:hAnsi="宋体" w:eastAsia="宋体" w:cs="Times New Roman"/>
          <w:b/>
          <w:color w:val="auto"/>
          <w:sz w:val="24"/>
          <w:szCs w:val="24"/>
          <w:highlight w:val="none"/>
        </w:rPr>
        <w:t>后</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rPr>
        <w:t>小时</w:t>
      </w:r>
      <w:r>
        <w:rPr>
          <w:rFonts w:hint="eastAsia" w:ascii="宋体" w:hAnsi="宋体" w:eastAsia="宋体" w:cs="Times New Roman"/>
          <w:color w:val="auto"/>
          <w:sz w:val="24"/>
          <w:szCs w:val="24"/>
          <w:highlight w:val="none"/>
        </w:rPr>
        <w:t>内到达，并在到达</w:t>
      </w:r>
      <w:r>
        <w:rPr>
          <w:rFonts w:hint="eastAsia" w:ascii="宋体" w:hAnsi="宋体" w:eastAsia="宋体" w:cs="Times New Roman"/>
          <w:b/>
          <w:color w:val="auto"/>
          <w:sz w:val="24"/>
          <w:szCs w:val="24"/>
          <w:highlight w:val="none"/>
        </w:rPr>
        <w:t>后</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rPr>
        <w:t>日</w:t>
      </w:r>
      <w:r>
        <w:rPr>
          <w:rFonts w:hint="eastAsia" w:ascii="宋体" w:hAnsi="宋体" w:eastAsia="宋体" w:cs="Times New Roman"/>
          <w:color w:val="auto"/>
          <w:sz w:val="24"/>
          <w:szCs w:val="24"/>
          <w:highlight w:val="none"/>
        </w:rPr>
        <w:t>内解决合同设备的故障（重大故障除外）。如果卖方未在上述时间内作出响应，则买方有权自行或委托他人解决相关问题或查找和解决合同设备的故障，卖方应承担由此发生的全部费用</w:t>
      </w:r>
      <w:r>
        <w:rPr>
          <w:rFonts w:hint="eastAsia" w:ascii="宋体" w:hAnsi="宋体" w:eastAsia="宋体" w:cs="Times New Roman"/>
          <w:b/>
          <w:color w:val="auto"/>
          <w:sz w:val="24"/>
          <w:szCs w:val="24"/>
          <w:highlight w:val="none"/>
        </w:rPr>
        <w:t>（按卖方投标时的响应情况补充）</w:t>
      </w:r>
      <w:r>
        <w:rPr>
          <w:rFonts w:hint="eastAsia" w:ascii="宋体" w:hAnsi="宋体" w:eastAsia="宋体" w:cs="Times New Roman"/>
          <w:color w:val="auto"/>
          <w:sz w:val="24"/>
          <w:szCs w:val="24"/>
          <w:highlight w:val="none"/>
        </w:rPr>
        <w:t>。</w:t>
      </w:r>
    </w:p>
    <w:p w14:paraId="63174DA4">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10.</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履约保证金</w:t>
      </w:r>
    </w:p>
    <w:p w14:paraId="064D3BC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10.1卖方应在双方签订合同之日起30天内，采用合同附件的履约保证金格式或买方可以接受的其它格式向买方提交以买方为受益人的、金额为暂定签约合同价10%的履约保证金，金额为人民币（大写）</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w:t>
      </w:r>
    </w:p>
    <w:p w14:paraId="70175E9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10.2如果卖方不履行合同约定的义务或其履行不符合合同的约定，</w:t>
      </w:r>
      <w:r>
        <w:rPr>
          <w:rFonts w:hint="eastAsia" w:ascii="宋体" w:hAnsi="宋体" w:eastAsia="宋体" w:cs="Times New Roman"/>
          <w:color w:val="auto"/>
          <w:sz w:val="24"/>
          <w:szCs w:val="24"/>
          <w:highlight w:val="none"/>
        </w:rPr>
        <w:t>造成买方损失的，</w:t>
      </w:r>
      <w:r>
        <w:rPr>
          <w:rFonts w:ascii="宋体" w:hAnsi="宋体" w:eastAsia="宋体" w:cs="Times New Roman"/>
          <w:color w:val="auto"/>
          <w:sz w:val="24"/>
          <w:szCs w:val="24"/>
          <w:highlight w:val="none"/>
        </w:rPr>
        <w:t>买方有权扣划相应金额的履约保证金</w:t>
      </w:r>
      <w:r>
        <w:rPr>
          <w:rFonts w:hint="eastAsia" w:ascii="宋体" w:hAnsi="宋体" w:eastAsia="宋体" w:cs="Times New Roman"/>
          <w:color w:val="auto"/>
          <w:sz w:val="24"/>
          <w:szCs w:val="24"/>
          <w:highlight w:val="none"/>
        </w:rPr>
        <w:t>，损失超过</w:t>
      </w:r>
      <w:r>
        <w:rPr>
          <w:rFonts w:ascii="宋体" w:hAnsi="宋体" w:eastAsia="宋体" w:cs="Times New Roman"/>
          <w:color w:val="auto"/>
          <w:sz w:val="24"/>
          <w:szCs w:val="24"/>
          <w:highlight w:val="none"/>
        </w:rPr>
        <w:t>履约保证金</w:t>
      </w:r>
      <w:r>
        <w:rPr>
          <w:rFonts w:hint="eastAsia" w:ascii="宋体" w:hAnsi="宋体" w:eastAsia="宋体" w:cs="Times New Roman"/>
          <w:color w:val="auto"/>
          <w:sz w:val="24"/>
          <w:szCs w:val="24"/>
          <w:highlight w:val="none"/>
        </w:rPr>
        <w:t>的部分，由卖方继续承担。</w:t>
      </w:r>
    </w:p>
    <w:p w14:paraId="179A5B4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10.3</w:t>
      </w:r>
      <w:r>
        <w:rPr>
          <w:rFonts w:hint="eastAsia" w:ascii="宋体" w:hAnsi="宋体" w:eastAsia="宋体" w:cs="Times New Roman"/>
          <w:color w:val="auto"/>
          <w:sz w:val="24"/>
          <w:szCs w:val="24"/>
          <w:highlight w:val="none"/>
        </w:rPr>
        <w:t>在卖方无任何违约违约行为且完成其合同义务包括任何保证义务后28日内，买方将履约保证金退还卖方。</w:t>
      </w:r>
    </w:p>
    <w:p w14:paraId="0B3FF5AE">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12.</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知识产权</w:t>
      </w:r>
    </w:p>
    <w:p w14:paraId="472E87A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买方不因签署和履行合同而享有卖方在履行合同过程中提供给买方的图纸、文件、配套软件、电子辅助程序和其他含有数据和信息的资料的知识产权。买方因签署和履行合同而享有卖方在履行合同过程中提供给买方的图纸、文件、配套软件、电子辅助程序和其他含有数据和信息的资料的使用权。</w:t>
      </w:r>
    </w:p>
    <w:p w14:paraId="4F77EF8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如果买方收到任何第三方有关知识产权的主张、索赔或诉讼，卖方在收到买方通知后，应以买方名义并在买方的协助下，自负费用处理与第三方的索赔或诉讼，并赔偿买方因此发生的费用和遭受的损失。如果卖方拒绝处理前述索赔或诉讼或在收到买方通知后7日内未作表示，买方可以自己的名义进行这些索赔或诉讼，因此发生的费用和遭受的损失均应由卖方承担。</w:t>
      </w:r>
    </w:p>
    <w:p w14:paraId="1BAB136A">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14.</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违约责任</w:t>
      </w:r>
    </w:p>
    <w:p w14:paraId="59AC27C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合同一方不履行合同义务、履行合同义务不符合约定或者违反合同项下所作保证的，应向对方承担继续履行、采取修理、更换、退货等补救措施或者赔偿损失等违约责任。</w:t>
      </w:r>
    </w:p>
    <w:p w14:paraId="5F20E45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14.1.1卖方未按合同条款“第10条履约保证金”的约定提交履约保证金，应向买方支付违约金，违约金为提交履约保证金前每批到货设备价格的2%。同时买方应由预付款中扣除补充，卖方不申请预付款时，由交货款中扣除补充。</w:t>
      </w:r>
    </w:p>
    <w:p w14:paraId="67855392">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14.1.2单方取消合同</w:t>
      </w:r>
    </w:p>
    <w:p w14:paraId="67CAF89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①卖方未经买方同意单方面无正当理由取消本合同，应向买方支付违约金，违约金为暂定签约合同价的30%。</w:t>
      </w:r>
    </w:p>
    <w:p w14:paraId="1310BD3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②买方未经卖方同意单方面无正当理由取消本合同，应向卖方支付违约金，违约金为暂定签约合同价的30%。</w:t>
      </w:r>
    </w:p>
    <w:p w14:paraId="6307D634">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14.1.3开箱检验不合格时，卖方应及时采取修理、更换、退货等补救措施，并向买方支付违约金，违约金为不合格合同设备价格的</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0%</w:t>
      </w:r>
      <w:r>
        <w:rPr>
          <w:rFonts w:hint="eastAsia" w:ascii="宋体" w:hAnsi="宋体" w:eastAsia="宋体" w:cs="Times New Roman"/>
          <w:color w:val="auto"/>
          <w:sz w:val="24"/>
          <w:szCs w:val="24"/>
          <w:highlight w:val="none"/>
          <w:lang w:eastAsia="zh-CN"/>
        </w:rPr>
        <w:t>。</w:t>
      </w:r>
    </w:p>
    <w:p w14:paraId="405C7E8E">
      <w:pPr>
        <w:widowControl w:val="0"/>
        <w:spacing w:beforeLines="0" w:afterLines="0" w:line="360" w:lineRule="auto"/>
        <w:ind w:firstLine="480" w:firstLineChars="200"/>
        <w:jc w:val="both"/>
        <w:outlineLvl w:val="9"/>
        <w:rPr>
          <w:rFonts w:ascii="宋体" w:hAnsi="宋体"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第一次</w:t>
      </w:r>
      <w:r>
        <w:rPr>
          <w:rFonts w:hint="eastAsia" w:ascii="宋体" w:hAnsi="宋体" w:eastAsia="宋体" w:cs="Times New Roman"/>
          <w:color w:val="auto"/>
          <w:kern w:val="2"/>
          <w:sz w:val="24"/>
          <w:szCs w:val="22"/>
          <w:highlight w:val="none"/>
          <w:lang w:val="en-US" w:eastAsia="zh-CN"/>
        </w:rPr>
        <w:t>检验</w:t>
      </w:r>
      <w:r>
        <w:rPr>
          <w:rFonts w:hint="eastAsia" w:ascii="宋体" w:hAnsi="宋体" w:eastAsia="宋体" w:cs="Times New Roman"/>
          <w:color w:val="auto"/>
          <w:kern w:val="2"/>
          <w:sz w:val="24"/>
          <w:szCs w:val="22"/>
          <w:highlight w:val="none"/>
        </w:rPr>
        <w:t>不合格：买方对卖方扣罚</w:t>
      </w:r>
      <w:r>
        <w:rPr>
          <w:rFonts w:hint="eastAsia" w:ascii="宋体" w:hAnsi="宋体" w:eastAsia="宋体" w:cs="Times New Roman"/>
          <w:color w:val="auto"/>
          <w:kern w:val="2"/>
          <w:sz w:val="24"/>
          <w:szCs w:val="22"/>
          <w:highlight w:val="none"/>
          <w:u w:val="single"/>
          <w:lang w:val="en-US" w:eastAsia="zh-CN"/>
        </w:rPr>
        <w:t>5</w:t>
      </w:r>
      <w:r>
        <w:rPr>
          <w:rFonts w:ascii="宋体" w:hAnsi="宋体" w:eastAsia="宋体" w:cs="Times New Roman"/>
          <w:color w:val="auto"/>
          <w:kern w:val="2"/>
          <w:sz w:val="24"/>
          <w:szCs w:val="22"/>
          <w:highlight w:val="none"/>
        </w:rPr>
        <w:t>万元</w:t>
      </w:r>
      <w:r>
        <w:rPr>
          <w:rFonts w:hint="eastAsia" w:ascii="宋体" w:hAnsi="宋体" w:eastAsia="宋体" w:cs="Times New Roman"/>
          <w:color w:val="auto"/>
          <w:kern w:val="2"/>
          <w:sz w:val="24"/>
          <w:szCs w:val="22"/>
          <w:highlight w:val="none"/>
        </w:rPr>
        <w:t>作为违约金，违约金优先在结算货款内扣除，如当批次货款无法抵销违约金扣罚的，将在质量保证金内扣除；</w:t>
      </w:r>
    </w:p>
    <w:p w14:paraId="3181E6FE">
      <w:pPr>
        <w:widowControl w:val="0"/>
        <w:spacing w:beforeLines="0" w:afterLines="0" w:line="360" w:lineRule="auto"/>
        <w:ind w:firstLine="480" w:firstLineChars="200"/>
        <w:jc w:val="both"/>
        <w:outlineLvl w:val="9"/>
        <w:rPr>
          <w:rFonts w:ascii="宋体" w:hAnsi="宋体"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第二次</w:t>
      </w:r>
      <w:r>
        <w:rPr>
          <w:rFonts w:hint="eastAsia" w:ascii="宋体" w:hAnsi="宋体" w:eastAsia="宋体" w:cs="Times New Roman"/>
          <w:color w:val="auto"/>
          <w:kern w:val="2"/>
          <w:sz w:val="24"/>
          <w:szCs w:val="22"/>
          <w:highlight w:val="none"/>
          <w:lang w:val="en-US" w:eastAsia="zh-CN"/>
        </w:rPr>
        <w:t>检验</w:t>
      </w:r>
      <w:r>
        <w:rPr>
          <w:rFonts w:hint="eastAsia" w:ascii="宋体" w:hAnsi="宋体" w:eastAsia="宋体" w:cs="Times New Roman"/>
          <w:color w:val="auto"/>
          <w:kern w:val="2"/>
          <w:sz w:val="24"/>
          <w:szCs w:val="22"/>
          <w:highlight w:val="none"/>
        </w:rPr>
        <w:t>不合格：买方对卖方扣罚</w:t>
      </w:r>
      <w:r>
        <w:rPr>
          <w:rFonts w:hint="eastAsia" w:ascii="宋体" w:hAnsi="宋体" w:eastAsia="宋体" w:cs="Times New Roman"/>
          <w:color w:val="auto"/>
          <w:kern w:val="2"/>
          <w:sz w:val="24"/>
          <w:szCs w:val="22"/>
          <w:highlight w:val="none"/>
          <w:u w:val="single"/>
          <w:lang w:val="en-US" w:eastAsia="zh-CN"/>
        </w:rPr>
        <w:t>10</w:t>
      </w:r>
      <w:r>
        <w:rPr>
          <w:rFonts w:ascii="宋体" w:hAnsi="宋体" w:eastAsia="宋体" w:cs="Times New Roman"/>
          <w:color w:val="auto"/>
          <w:kern w:val="2"/>
          <w:sz w:val="24"/>
          <w:szCs w:val="22"/>
          <w:highlight w:val="none"/>
        </w:rPr>
        <w:t>万</w:t>
      </w:r>
      <w:r>
        <w:rPr>
          <w:rFonts w:hint="eastAsia" w:ascii="宋体" w:hAnsi="宋体" w:eastAsia="宋体" w:cs="Times New Roman"/>
          <w:color w:val="auto"/>
          <w:kern w:val="2"/>
          <w:sz w:val="24"/>
          <w:szCs w:val="22"/>
          <w:highlight w:val="none"/>
        </w:rPr>
        <w:t>元作为违约金，违约金优先在结算货款内扣除，如当批次货款无法抵销违约金扣罚的，将在质量保证金内扣除；</w:t>
      </w:r>
    </w:p>
    <w:p w14:paraId="2389C015">
      <w:pPr>
        <w:widowControl w:val="0"/>
        <w:spacing w:beforeLines="0" w:afterLines="0" w:line="360" w:lineRule="auto"/>
        <w:ind w:firstLine="480" w:firstLineChars="200"/>
        <w:jc w:val="both"/>
        <w:outlineLvl w:val="9"/>
        <w:rPr>
          <w:rFonts w:ascii="宋体" w:hAnsi="宋体" w:eastAsia="宋体" w:cs="Times New Roman"/>
          <w:color w:val="auto"/>
          <w:sz w:val="24"/>
          <w:szCs w:val="24"/>
          <w:highlight w:val="none"/>
        </w:rPr>
      </w:pPr>
      <w:r>
        <w:rPr>
          <w:rFonts w:hint="eastAsia" w:ascii="宋体" w:hAnsi="宋体" w:eastAsia="宋体" w:cs="Times New Roman"/>
          <w:color w:val="auto"/>
          <w:kern w:val="2"/>
          <w:sz w:val="24"/>
          <w:szCs w:val="22"/>
          <w:highlight w:val="none"/>
        </w:rPr>
        <w:t>第三次</w:t>
      </w:r>
      <w:r>
        <w:rPr>
          <w:rFonts w:hint="eastAsia" w:ascii="宋体" w:hAnsi="宋体" w:eastAsia="宋体" w:cs="Times New Roman"/>
          <w:color w:val="auto"/>
          <w:kern w:val="2"/>
          <w:sz w:val="24"/>
          <w:szCs w:val="22"/>
          <w:highlight w:val="none"/>
          <w:lang w:val="en-US" w:eastAsia="zh-CN"/>
        </w:rPr>
        <w:t>检验</w:t>
      </w:r>
      <w:r>
        <w:rPr>
          <w:rFonts w:hint="eastAsia" w:ascii="宋体" w:hAnsi="宋体" w:eastAsia="宋体" w:cs="Times New Roman"/>
          <w:color w:val="auto"/>
          <w:kern w:val="2"/>
          <w:sz w:val="24"/>
          <w:szCs w:val="22"/>
          <w:highlight w:val="none"/>
        </w:rPr>
        <w:t>不合格：买方扣除卖方</w:t>
      </w:r>
      <w:r>
        <w:rPr>
          <w:rFonts w:ascii="宋体" w:hAnsi="宋体" w:eastAsia="宋体" w:cs="Times New Roman"/>
          <w:color w:val="auto"/>
          <w:kern w:val="2"/>
          <w:sz w:val="24"/>
          <w:szCs w:val="22"/>
          <w:highlight w:val="none"/>
          <w:u w:val="none"/>
        </w:rPr>
        <w:t>100%</w:t>
      </w:r>
      <w:r>
        <w:rPr>
          <w:rFonts w:hint="eastAsia" w:ascii="宋体" w:hAnsi="宋体" w:eastAsia="宋体" w:cs="Times New Roman"/>
          <w:color w:val="auto"/>
          <w:kern w:val="2"/>
          <w:sz w:val="24"/>
          <w:szCs w:val="22"/>
          <w:highlight w:val="none"/>
        </w:rPr>
        <w:t>合同履约保证金并有权单方即时解除本合同。</w:t>
      </w:r>
    </w:p>
    <w:p w14:paraId="4CB96D6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14.1.4因卖方现场服务人员责任或未派遣现场服务人员提供技术服务出现安装、调试不成功和（或）造成合同设备损坏的情况，卖方应及时采取修理、更换、退货等补救措施，并向买方支付违约金，违约金为不合格合同设备价格的</w:t>
      </w:r>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w:t>
      </w:r>
    </w:p>
    <w:p w14:paraId="7771963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14.1.5在合同设备</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中，因卖方原因未能达到技术性能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指标的情况每发生一次，卖方应向买方支付违约金，违约金为未能达到技术性能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指标合同设备价格的10%。</w:t>
      </w:r>
    </w:p>
    <w:p w14:paraId="209B43C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14.1.6在质量保证期内，卖方未按合同约定履行义务，</w:t>
      </w:r>
      <w:r>
        <w:rPr>
          <w:rFonts w:hint="eastAsia" w:ascii="宋体" w:hAnsi="宋体" w:eastAsia="宋体" w:cs="宋体"/>
          <w:color w:val="auto"/>
          <w:sz w:val="24"/>
          <w:szCs w:val="24"/>
          <w:highlight w:val="none"/>
        </w:rPr>
        <w:t>买方</w:t>
      </w:r>
      <w:r>
        <w:rPr>
          <w:rFonts w:hint="eastAsia" w:ascii="宋体" w:hAnsi="宋体" w:eastAsia="宋体" w:cs="宋体"/>
          <w:color w:val="auto"/>
          <w:sz w:val="24"/>
          <w:szCs w:val="24"/>
          <w:highlight w:val="none"/>
          <w:lang w:val="en-US" w:eastAsia="zh-CN"/>
        </w:rPr>
        <w:t>有权</w:t>
      </w:r>
      <w:r>
        <w:rPr>
          <w:rFonts w:hint="eastAsia" w:ascii="宋体" w:hAnsi="宋体" w:eastAsia="宋体" w:cs="宋体"/>
          <w:color w:val="auto"/>
          <w:sz w:val="24"/>
          <w:szCs w:val="24"/>
          <w:highlight w:val="none"/>
        </w:rPr>
        <w:t>不予支付</w:t>
      </w:r>
      <w:r>
        <w:rPr>
          <w:rFonts w:hint="eastAsia" w:ascii="宋体" w:hAnsi="宋体" w:eastAsia="宋体" w:cs="宋体"/>
          <w:color w:val="auto"/>
          <w:sz w:val="24"/>
          <w:szCs w:val="24"/>
          <w:highlight w:val="none"/>
          <w:lang w:val="en-US" w:eastAsia="zh-CN"/>
        </w:rPr>
        <w:t>任何款项</w:t>
      </w:r>
      <w:r>
        <w:rPr>
          <w:rFonts w:hint="eastAsia" w:ascii="宋体" w:hAnsi="宋体" w:eastAsia="宋体" w:cs="Times New Roman"/>
          <w:color w:val="auto"/>
          <w:sz w:val="24"/>
          <w:szCs w:val="24"/>
          <w:highlight w:val="none"/>
        </w:rPr>
        <w:t>。</w:t>
      </w:r>
    </w:p>
    <w:p w14:paraId="2FE5205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14.2卖方未能按时交付合同设备（包括仅迟延交付技术资料但足以导致合同设备安装、调试、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、验收工作推迟的）的，应向买方支付迟延交付违约金。迟延交付违约金的计算方法如下：</w:t>
      </w:r>
    </w:p>
    <w:p w14:paraId="079F1046">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（1）从迟交的第一周到第四周，每周迟延交付违约金为迟交合同设备价格的 1%；</w:t>
      </w:r>
    </w:p>
    <w:p w14:paraId="138AE224">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（2）从迟交第五周起，每周迟延交付违约金为迟交合同设备价格的 1.5%。</w:t>
      </w:r>
    </w:p>
    <w:p w14:paraId="5A1CCC9E">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在计算迟延交付违约金时，迟交不足一周的按一周计算。迟延交付违约金的总额不得超过暂定签约合同价的 50%。</w:t>
      </w:r>
    </w:p>
    <w:p w14:paraId="21BB523E">
      <w:pPr>
        <w:widowControl/>
        <w:adjustRightInd w:val="0"/>
        <w:snapToGrid/>
        <w:spacing w:beforeLines="0" w:afterLines="0" w:line="360" w:lineRule="auto"/>
        <w:ind w:left="105" w:leftChars="50" w:firstLine="360" w:firstLineChars="15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迟延交付违约金的支付不能免除卖方继续交付相关合同设备的义务，但如迟延交付必然导致合同设备安装、调试、</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、验收工作推迟的，相关工作应相应顺延。</w:t>
      </w:r>
    </w:p>
    <w:p w14:paraId="7A12B55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14.4因卖方违约解除合同，卖方应向买方支付违约金，违约金为暂定签约合同价的10%。</w:t>
      </w:r>
    </w:p>
    <w:p w14:paraId="77B038F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14.5卖方违约应向买方支付违约金或赔偿损失时，买方有权从投标保证金和（或）履约保证金和（或）应付款中直接抵扣，投标保证金和履约保证金和应付款不足抵扣时，卖方应另行赔付。</w:t>
      </w:r>
    </w:p>
    <w:p w14:paraId="58A57E3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14.6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他责任的放弃。</w:t>
      </w:r>
    </w:p>
    <w:p w14:paraId="5D3A6DB2">
      <w:pPr>
        <w:widowControl/>
        <w:adjustRightInd w:val="0"/>
        <w:snapToGrid/>
        <w:spacing w:beforeLines="0" w:afterLines="0" w:line="360" w:lineRule="auto"/>
        <w:ind w:firstLine="480" w:firstLineChars="200"/>
        <w:jc w:val="left"/>
        <w:rPr>
          <w:rFonts w:ascii="Times New Roman" w:hAnsi="宋体" w:eastAsia="宋体" w:cs="Times New Roman"/>
          <w:color w:val="auto"/>
          <w:sz w:val="24"/>
          <w:highlight w:val="none"/>
        </w:rPr>
      </w:pPr>
      <w:r>
        <w:rPr>
          <w:rFonts w:hint="eastAsia" w:ascii="宋体" w:hAnsi="宋体" w:eastAsia="宋体" w:cs="Times New Roman"/>
          <w:color w:val="auto"/>
          <w:sz w:val="24"/>
          <w:szCs w:val="24"/>
          <w:highlight w:val="none"/>
        </w:rPr>
        <w:t>14.7任何一方未按本合同约定的时间、地点、数量、标准、方法履行的，均是违约行为，一方违约时，另一方应立即书面予以警告，违约方应及时纠正。</w:t>
      </w:r>
      <w:r>
        <w:rPr>
          <w:rFonts w:ascii="Times New Roman" w:hAnsi="宋体" w:eastAsia="宋体" w:cs="Times New Roman"/>
          <w:color w:val="auto"/>
          <w:sz w:val="24"/>
          <w:highlight w:val="none"/>
        </w:rPr>
        <w:t>一方</w:t>
      </w:r>
      <w:r>
        <w:rPr>
          <w:rFonts w:hint="eastAsia" w:ascii="宋体" w:hAnsi="Courier New" w:eastAsia="宋体" w:cs="Times New Roman"/>
          <w:color w:val="auto"/>
          <w:sz w:val="24"/>
          <w:highlight w:val="none"/>
        </w:rPr>
        <w:t>有违约行为后</w:t>
      </w:r>
      <w:r>
        <w:rPr>
          <w:rFonts w:ascii="Times New Roman" w:hAnsi="宋体" w:eastAsia="宋体" w:cs="Times New Roman"/>
          <w:color w:val="auto"/>
          <w:sz w:val="24"/>
          <w:highlight w:val="none"/>
        </w:rPr>
        <w:t>，</w:t>
      </w:r>
      <w:r>
        <w:rPr>
          <w:rFonts w:hint="eastAsia" w:ascii="宋体" w:hAnsi="Courier New" w:eastAsia="宋体" w:cs="Times New Roman"/>
          <w:color w:val="auto"/>
          <w:sz w:val="24"/>
          <w:highlight w:val="none"/>
        </w:rPr>
        <w:t>经过另一方书面警告不予纠正的，</w:t>
      </w:r>
      <w:r>
        <w:rPr>
          <w:rFonts w:ascii="Times New Roman" w:hAnsi="宋体" w:eastAsia="宋体" w:cs="Times New Roman"/>
          <w:color w:val="auto"/>
          <w:sz w:val="24"/>
          <w:highlight w:val="none"/>
        </w:rPr>
        <w:t>违约方应先向守约方支付</w:t>
      </w:r>
      <w:r>
        <w:rPr>
          <w:rFonts w:ascii="Times New Roman" w:hAnsi="Times New Roman" w:eastAsia="宋体" w:cs="Times New Roman"/>
          <w:color w:val="auto"/>
          <w:sz w:val="24"/>
          <w:highlight w:val="none"/>
        </w:rPr>
        <w:t>5</w:t>
      </w:r>
      <w:r>
        <w:rPr>
          <w:rFonts w:ascii="Times New Roman" w:hAnsi="宋体" w:eastAsia="宋体" w:cs="Times New Roman"/>
          <w:color w:val="auto"/>
          <w:sz w:val="24"/>
          <w:highlight w:val="none"/>
        </w:rPr>
        <w:t>万元</w:t>
      </w:r>
      <w:r>
        <w:rPr>
          <w:rFonts w:ascii="Times New Roman" w:hAnsi="Times New Roman" w:eastAsia="宋体" w:cs="Times New Roman"/>
          <w:color w:val="auto"/>
          <w:sz w:val="24"/>
          <w:highlight w:val="none"/>
        </w:rPr>
        <w:t>/</w:t>
      </w:r>
      <w:r>
        <w:rPr>
          <w:rFonts w:ascii="Times New Roman" w:hAnsi="宋体" w:eastAsia="宋体" w:cs="Times New Roman"/>
          <w:color w:val="auto"/>
          <w:sz w:val="24"/>
          <w:highlight w:val="none"/>
        </w:rPr>
        <w:t>次的违约金，并按合同</w:t>
      </w:r>
      <w:r>
        <w:rPr>
          <w:rFonts w:hint="eastAsia" w:ascii="Times New Roman" w:hAnsi="宋体" w:eastAsia="宋体" w:cs="Times New Roman"/>
          <w:color w:val="auto"/>
          <w:sz w:val="24"/>
          <w:highlight w:val="none"/>
        </w:rPr>
        <w:t>其它</w:t>
      </w:r>
      <w:r>
        <w:rPr>
          <w:rFonts w:ascii="Times New Roman" w:hAnsi="宋体" w:eastAsia="宋体" w:cs="Times New Roman"/>
          <w:color w:val="auto"/>
          <w:sz w:val="24"/>
          <w:highlight w:val="none"/>
        </w:rPr>
        <w:t>条款的具体约定再承担约定的违约金。</w:t>
      </w:r>
    </w:p>
    <w:p w14:paraId="3F2F451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14.8以上违约金或赔偿损失的金额累计不超过暂定签约合同价的 50%。</w:t>
      </w:r>
    </w:p>
    <w:p w14:paraId="7A77A0B5">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14.9在开箱检验、或安装调试、或</w:t>
      </w:r>
      <w:r>
        <w:rPr>
          <w:rFonts w:hint="eastAsia" w:ascii="宋体" w:hAnsi="宋体" w:eastAsia="宋体" w:cs="Times New Roman"/>
          <w:color w:val="auto"/>
          <w:sz w:val="24"/>
          <w:szCs w:val="24"/>
          <w:highlight w:val="none"/>
          <w:lang w:val="en-US" w:eastAsia="zh-CN"/>
        </w:rPr>
        <w:t>试运行</w:t>
      </w:r>
      <w:r>
        <w:rPr>
          <w:rFonts w:hint="eastAsia" w:ascii="宋体" w:hAnsi="宋体" w:eastAsia="宋体" w:cs="Times New Roman"/>
          <w:color w:val="auto"/>
          <w:sz w:val="24"/>
          <w:szCs w:val="24"/>
          <w:highlight w:val="none"/>
        </w:rPr>
        <w:t>、或验收、或使用过程中发现卖方提交的合同设备为贴牌、假冒、伪劣、翻新产品，或生产组成合同设备的原材料、配件是贴牌、假冒、伪劣货物时，卖方应接受买方退货并将已支付款项退还买方，并向买方支付违约金，违约金为暂定签约合同价的200%。</w:t>
      </w:r>
    </w:p>
    <w:p w14:paraId="2140985C">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14.10 </w:t>
      </w:r>
      <w:r>
        <w:rPr>
          <w:rFonts w:hint="eastAsia" w:ascii="宋体" w:hAnsi="宋体" w:cs="宋体"/>
          <w:color w:val="auto"/>
          <w:sz w:val="24"/>
          <w:szCs w:val="24"/>
          <w:highlight w:val="none"/>
        </w:rPr>
        <w:t>卖方应严格按照投标文件中关于拟投标滤布行走全自</w:t>
      </w:r>
      <w:r>
        <w:rPr>
          <w:rFonts w:hint="eastAsia" w:ascii="宋体" w:hAnsi="宋体" w:cs="宋体"/>
          <w:color w:val="auto"/>
          <w:sz w:val="24"/>
          <w:szCs w:val="24"/>
          <w:highlight w:val="none"/>
          <w:lang w:val="en-US" w:eastAsia="zh-CN"/>
        </w:rPr>
        <w:t>动压滤机在</w:t>
      </w:r>
      <w:r>
        <w:rPr>
          <w:rFonts w:hint="eastAsia" w:ascii="宋体" w:hAnsi="宋体" w:cs="宋体"/>
          <w:color w:val="auto"/>
          <w:sz w:val="24"/>
          <w:szCs w:val="24"/>
          <w:highlight w:val="none"/>
        </w:rPr>
        <w:t>不添加石灰情况下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使用国内生产的符合《水处理剂 阴离子和非离子型聚丙烯酰胺》（GB/T 17514-2017）要求的所有阴离子型聚丙烯酰胺均能够达到的</w:t>
      </w:r>
      <w:r>
        <w:rPr>
          <w:rFonts w:hint="eastAsia" w:ascii="宋体" w:hAnsi="宋体" w:cs="宋体"/>
          <w:color w:val="auto"/>
          <w:sz w:val="24"/>
          <w:szCs w:val="24"/>
          <w:highlight w:val="none"/>
        </w:rPr>
        <w:t>脱水后泥饼含水率</w:t>
      </w:r>
      <w:r>
        <w:rPr>
          <w:rFonts w:hint="eastAsia" w:ascii="宋体" w:hAnsi="宋体" w:cs="宋体"/>
          <w:color w:val="auto"/>
          <w:sz w:val="24"/>
          <w:szCs w:val="24"/>
          <w:highlight w:val="none"/>
          <w:lang w:val="en-US" w:eastAsia="zh-CN"/>
        </w:rPr>
        <w:t>的承诺函执行，</w:t>
      </w:r>
      <w:r>
        <w:rPr>
          <w:rFonts w:hint="eastAsia" w:ascii="宋体" w:hAnsi="宋体" w:cs="宋体"/>
          <w:color w:val="auto"/>
          <w:sz w:val="24"/>
          <w:szCs w:val="24"/>
          <w:highlight w:val="none"/>
        </w:rPr>
        <w:t>如与投标文件中承诺的不符</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卖方</w:t>
      </w:r>
      <w:r>
        <w:rPr>
          <w:rFonts w:ascii="宋体" w:hAnsi="宋体" w:cs="宋体"/>
          <w:color w:val="auto"/>
          <w:sz w:val="24"/>
          <w:szCs w:val="24"/>
          <w:highlight w:val="none"/>
        </w:rPr>
        <w:t>向买方支付违约金，</w:t>
      </w:r>
      <w:r>
        <w:rPr>
          <w:rFonts w:hint="eastAsia" w:ascii="宋体" w:hAnsi="宋体" w:cs="宋体"/>
          <w:color w:val="auto"/>
          <w:sz w:val="24"/>
          <w:szCs w:val="24"/>
          <w:highlight w:val="none"/>
        </w:rPr>
        <w:t>违约金为该项在投标时对应的折减</w:t>
      </w:r>
      <w:r>
        <w:rPr>
          <w:rFonts w:hint="eastAsia" w:ascii="宋体" w:hAnsi="宋体" w:cs="宋体"/>
          <w:color w:val="auto"/>
          <w:sz w:val="24"/>
          <w:szCs w:val="24"/>
          <w:highlight w:val="none"/>
          <w:lang w:val="en-US" w:eastAsia="zh-CN"/>
        </w:rPr>
        <w:t>金额</w:t>
      </w:r>
      <w:r>
        <w:rPr>
          <w:rFonts w:hint="eastAsia" w:ascii="宋体" w:hAnsi="宋体" w:cs="宋体"/>
          <w:color w:val="auto"/>
          <w:sz w:val="24"/>
          <w:szCs w:val="24"/>
          <w:highlight w:val="none"/>
        </w:rPr>
        <w:t>的1.5倍进行扣罚</w:t>
      </w:r>
      <w:r>
        <w:rPr>
          <w:rFonts w:hint="eastAsia" w:ascii="宋体" w:hAnsi="宋体" w:cs="宋体"/>
          <w:color w:val="auto"/>
          <w:sz w:val="24"/>
          <w:szCs w:val="24"/>
          <w:highlight w:val="none"/>
          <w:lang w:eastAsia="zh-CN"/>
        </w:rPr>
        <w:t>。</w:t>
      </w:r>
    </w:p>
    <w:p w14:paraId="52234D90">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14.11 </w:t>
      </w:r>
      <w:r>
        <w:rPr>
          <w:rFonts w:hint="eastAsia" w:ascii="宋体" w:hAnsi="宋体" w:cs="宋体"/>
          <w:color w:val="auto"/>
          <w:sz w:val="24"/>
          <w:szCs w:val="24"/>
          <w:highlight w:val="none"/>
        </w:rPr>
        <w:t>卖方应严格按照投标文件中关于拟投标滤布行走全自</w:t>
      </w:r>
      <w:r>
        <w:rPr>
          <w:rFonts w:hint="eastAsia" w:ascii="宋体" w:hAnsi="宋体" w:cs="宋体"/>
          <w:color w:val="auto"/>
          <w:sz w:val="24"/>
          <w:szCs w:val="24"/>
          <w:highlight w:val="none"/>
          <w:lang w:val="en-US" w:eastAsia="zh-CN"/>
        </w:rPr>
        <w:t>动压滤机在</w:t>
      </w:r>
      <w:r>
        <w:rPr>
          <w:rFonts w:hint="eastAsia" w:ascii="宋体" w:hAnsi="宋体" w:cs="宋体"/>
          <w:color w:val="auto"/>
          <w:sz w:val="24"/>
          <w:szCs w:val="24"/>
          <w:highlight w:val="none"/>
        </w:rPr>
        <w:t>不添加石灰情况下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使用国内生产的符合《水处理剂 阴离子和非离子型聚丙烯酰胺》（GB/T 17514-2017）要求的所有阴离子型聚丙烯酰胺均能够达到的</w:t>
      </w:r>
      <w:r>
        <w:rPr>
          <w:rFonts w:hint="eastAsia" w:ascii="宋体" w:hAnsi="宋体" w:cs="宋体"/>
          <w:color w:val="auto"/>
          <w:sz w:val="24"/>
          <w:szCs w:val="24"/>
          <w:highlight w:val="none"/>
          <w:lang w:eastAsia="zh-CN"/>
        </w:rPr>
        <w:t>加药量（干剂量）占总干泥量的百分比</w:t>
      </w:r>
      <w:r>
        <w:rPr>
          <w:rFonts w:hint="eastAsia" w:ascii="宋体" w:hAnsi="宋体" w:cs="宋体"/>
          <w:color w:val="auto"/>
          <w:sz w:val="24"/>
          <w:szCs w:val="24"/>
          <w:highlight w:val="none"/>
          <w:lang w:val="en-US" w:eastAsia="zh-CN"/>
        </w:rPr>
        <w:t>的承诺函执行</w:t>
      </w:r>
      <w:r>
        <w:rPr>
          <w:rFonts w:hint="eastAsia" w:ascii="宋体" w:hAnsi="宋体" w:eastAsia="宋体" w:cs="Times New Roman"/>
          <w:color w:val="auto"/>
          <w:sz w:val="24"/>
          <w:szCs w:val="24"/>
          <w:highlight w:val="none"/>
          <w:lang w:val="en-US" w:eastAsia="zh-CN"/>
        </w:rPr>
        <w:t>，如与投标文件中承诺的不符，</w:t>
      </w:r>
      <w:r>
        <w:rPr>
          <w:rFonts w:hint="eastAsia" w:ascii="宋体" w:hAnsi="宋体" w:cs="Times New Roman"/>
          <w:color w:val="auto"/>
          <w:sz w:val="24"/>
          <w:szCs w:val="24"/>
          <w:highlight w:val="none"/>
          <w:lang w:val="en-US" w:eastAsia="zh-CN"/>
        </w:rPr>
        <w:t>卖方</w:t>
      </w:r>
      <w:r>
        <w:rPr>
          <w:rFonts w:hint="eastAsia" w:ascii="宋体" w:hAnsi="宋体" w:cs="Times New Roman"/>
          <w:color w:val="auto"/>
          <w:sz w:val="24"/>
          <w:szCs w:val="24"/>
          <w:highlight w:val="none"/>
        </w:rPr>
        <w:t>向买方支付违</w:t>
      </w:r>
      <w:r>
        <w:rPr>
          <w:rFonts w:ascii="宋体" w:hAnsi="宋体" w:cs="宋体"/>
          <w:color w:val="auto"/>
          <w:sz w:val="24"/>
          <w:szCs w:val="24"/>
          <w:highlight w:val="none"/>
        </w:rPr>
        <w:t>约金，</w:t>
      </w:r>
      <w:r>
        <w:rPr>
          <w:rFonts w:hint="eastAsia" w:ascii="宋体" w:hAnsi="宋体" w:cs="宋体"/>
          <w:color w:val="auto"/>
          <w:sz w:val="24"/>
          <w:szCs w:val="24"/>
          <w:highlight w:val="none"/>
        </w:rPr>
        <w:t>违约金为该项在投标时对应的折减</w:t>
      </w:r>
      <w:r>
        <w:rPr>
          <w:rFonts w:hint="eastAsia" w:ascii="宋体" w:hAnsi="宋体" w:cs="宋体"/>
          <w:color w:val="auto"/>
          <w:sz w:val="24"/>
          <w:szCs w:val="24"/>
          <w:highlight w:val="none"/>
          <w:lang w:val="en-US" w:eastAsia="zh-CN"/>
        </w:rPr>
        <w:t>金额</w:t>
      </w:r>
      <w:r>
        <w:rPr>
          <w:rFonts w:hint="eastAsia" w:ascii="宋体" w:hAnsi="宋体" w:cs="宋体"/>
          <w:color w:val="auto"/>
          <w:sz w:val="24"/>
          <w:szCs w:val="24"/>
          <w:highlight w:val="none"/>
        </w:rPr>
        <w:t>的1.5倍进行扣罚</w:t>
      </w:r>
      <w:r>
        <w:rPr>
          <w:rFonts w:hint="eastAsia" w:ascii="宋体" w:hAnsi="宋体" w:cs="宋体"/>
          <w:color w:val="auto"/>
          <w:sz w:val="24"/>
          <w:szCs w:val="24"/>
          <w:highlight w:val="none"/>
          <w:lang w:eastAsia="zh-CN"/>
        </w:rPr>
        <w:t>。</w:t>
      </w:r>
    </w:p>
    <w:p w14:paraId="4666330B">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14.1</w:t>
      </w:r>
      <w:r>
        <w:rPr>
          <w:rFonts w:hint="eastAsia" w:ascii="宋体" w:hAnsi="宋体" w:cs="Times New Roman"/>
          <w:color w:val="auto"/>
          <w:sz w:val="24"/>
          <w:szCs w:val="24"/>
          <w:highlight w:val="none"/>
          <w:lang w:val="en-US" w:eastAsia="zh-CN"/>
        </w:rPr>
        <w:t>2</w:t>
      </w:r>
      <w:r>
        <w:rPr>
          <w:rFonts w:hint="eastAsia" w:ascii="宋体" w:hAnsi="宋体" w:cs="宋体"/>
          <w:color w:val="auto"/>
          <w:sz w:val="24"/>
          <w:szCs w:val="24"/>
          <w:highlight w:val="none"/>
          <w:lang w:val="en-US" w:eastAsia="zh-CN"/>
        </w:rPr>
        <w:t>卖</w:t>
      </w:r>
      <w:r>
        <w:rPr>
          <w:rFonts w:hint="eastAsia" w:ascii="宋体" w:hAnsi="宋体" w:eastAsia="宋体" w:cs="宋体"/>
          <w:color w:val="auto"/>
          <w:sz w:val="24"/>
          <w:szCs w:val="24"/>
          <w:highlight w:val="none"/>
          <w:lang w:val="en-US" w:eastAsia="zh-CN"/>
        </w:rPr>
        <w:t>方应严格按</w:t>
      </w:r>
      <w:r>
        <w:rPr>
          <w:rFonts w:hint="eastAsia" w:ascii="宋体" w:hAnsi="宋体" w:eastAsia="宋体" w:cs="Times New Roman"/>
          <w:color w:val="auto"/>
          <w:sz w:val="24"/>
          <w:szCs w:val="24"/>
          <w:highlight w:val="none"/>
          <w:lang w:val="en-US" w:eastAsia="zh-CN"/>
        </w:rPr>
        <w:t>照投标文件中关</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提供产品</w:t>
      </w:r>
      <w:r>
        <w:rPr>
          <w:rFonts w:hint="eastAsia" w:ascii="宋体" w:hAnsi="宋体" w:eastAsia="宋体" w:cs="宋体"/>
          <w:color w:val="auto"/>
          <w:sz w:val="24"/>
          <w:szCs w:val="24"/>
          <w:highlight w:val="none"/>
          <w:lang w:val="en-US" w:eastAsia="zh-CN"/>
        </w:rPr>
        <w:t>最迟交货时间的承</w:t>
      </w:r>
      <w:r>
        <w:rPr>
          <w:rFonts w:hint="eastAsia" w:ascii="宋体" w:hAnsi="宋体" w:eastAsia="宋体" w:cs="Times New Roman"/>
          <w:color w:val="auto"/>
          <w:sz w:val="24"/>
          <w:szCs w:val="24"/>
          <w:highlight w:val="none"/>
          <w:lang w:val="en-US" w:eastAsia="zh-CN"/>
        </w:rPr>
        <w:t>诺执行，</w:t>
      </w:r>
      <w:r>
        <w:rPr>
          <w:rFonts w:hint="eastAsia" w:ascii="宋体" w:hAnsi="宋体" w:eastAsia="宋体" w:cs="宋体"/>
          <w:color w:val="auto"/>
          <w:sz w:val="24"/>
          <w:szCs w:val="24"/>
          <w:highlight w:val="none"/>
          <w:lang w:val="en-US" w:eastAsia="zh-CN"/>
        </w:rPr>
        <w:t>如与投标文件中承诺的不符，</w:t>
      </w:r>
      <w:r>
        <w:rPr>
          <w:rFonts w:hint="eastAsia" w:ascii="宋体" w:hAnsi="宋体" w:cs="宋体"/>
          <w:color w:val="auto"/>
          <w:sz w:val="24"/>
          <w:szCs w:val="24"/>
          <w:highlight w:val="none"/>
          <w:lang w:val="en-US" w:eastAsia="zh-CN"/>
        </w:rPr>
        <w:t>卖方</w:t>
      </w:r>
      <w:r>
        <w:rPr>
          <w:rFonts w:ascii="宋体" w:hAnsi="宋体" w:cs="宋体"/>
          <w:color w:val="auto"/>
          <w:sz w:val="24"/>
          <w:szCs w:val="24"/>
          <w:highlight w:val="none"/>
        </w:rPr>
        <w:t>向买方支付违约金，</w:t>
      </w:r>
      <w:r>
        <w:rPr>
          <w:rFonts w:hint="eastAsia" w:ascii="宋体" w:hAnsi="宋体" w:cs="宋体"/>
          <w:color w:val="auto"/>
          <w:sz w:val="24"/>
          <w:szCs w:val="24"/>
          <w:highlight w:val="none"/>
        </w:rPr>
        <w:t>违约金为该项在投标时对应的折减</w:t>
      </w:r>
      <w:r>
        <w:rPr>
          <w:rFonts w:hint="eastAsia" w:ascii="宋体" w:hAnsi="宋体" w:cs="宋体"/>
          <w:color w:val="auto"/>
          <w:sz w:val="24"/>
          <w:szCs w:val="24"/>
          <w:highlight w:val="none"/>
          <w:lang w:val="en-US" w:eastAsia="zh-CN"/>
        </w:rPr>
        <w:t>金额</w:t>
      </w:r>
      <w:r>
        <w:rPr>
          <w:rFonts w:hint="eastAsia" w:ascii="宋体" w:hAnsi="宋体" w:cs="宋体"/>
          <w:color w:val="auto"/>
          <w:sz w:val="24"/>
          <w:szCs w:val="24"/>
          <w:highlight w:val="none"/>
        </w:rPr>
        <w:t>的1.5倍进行扣罚</w:t>
      </w:r>
      <w:r>
        <w:rPr>
          <w:rFonts w:ascii="宋体" w:hAnsi="宋体" w:eastAsia="宋体" w:cs="宋体"/>
          <w:color w:val="auto"/>
          <w:sz w:val="24"/>
          <w:szCs w:val="24"/>
          <w:highlight w:val="none"/>
        </w:rPr>
        <w:t>。</w:t>
      </w:r>
    </w:p>
    <w:p w14:paraId="3DC5C68D">
      <w:pPr>
        <w:tabs>
          <w:tab w:val="right" w:leader="dot" w:pos="9402"/>
        </w:tabs>
        <w:spacing w:beforeLines="0" w:afterLines="0" w:line="360" w:lineRule="auto"/>
        <w:ind w:left="0" w:leftChars="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14.1</w:t>
      </w:r>
      <w:r>
        <w:rPr>
          <w:rFonts w:hint="eastAsia" w:ascii="宋体" w:hAnsi="宋体" w:cs="宋体"/>
          <w:color w:val="auto"/>
          <w:sz w:val="24"/>
          <w:szCs w:val="24"/>
          <w:highlight w:val="none"/>
          <w:lang w:val="en-US" w:eastAsia="zh-CN" w:bidi="ar-SA"/>
        </w:rPr>
        <w:t>3</w:t>
      </w:r>
      <w:r>
        <w:rPr>
          <w:rFonts w:hint="eastAsia" w:ascii="宋体" w:hAnsi="宋体" w:cs="宋体"/>
          <w:color w:val="auto"/>
          <w:sz w:val="24"/>
          <w:szCs w:val="24"/>
          <w:highlight w:val="none"/>
          <w:lang w:val="en-US" w:eastAsia="zh-CN"/>
        </w:rPr>
        <w:t>卖</w:t>
      </w:r>
      <w:r>
        <w:rPr>
          <w:rFonts w:hint="eastAsia" w:ascii="宋体" w:hAnsi="宋体" w:eastAsia="宋体" w:cs="宋体"/>
          <w:color w:val="auto"/>
          <w:sz w:val="24"/>
          <w:szCs w:val="24"/>
          <w:highlight w:val="none"/>
          <w:lang w:val="en-US" w:eastAsia="zh-CN"/>
        </w:rPr>
        <w:t>方应严格按</w:t>
      </w:r>
      <w:r>
        <w:rPr>
          <w:rFonts w:hint="eastAsia" w:ascii="宋体" w:hAnsi="宋体" w:eastAsia="宋体" w:cs="Times New Roman"/>
          <w:color w:val="auto"/>
          <w:sz w:val="24"/>
          <w:szCs w:val="24"/>
          <w:highlight w:val="none"/>
          <w:lang w:val="en-US" w:eastAsia="zh-CN"/>
        </w:rPr>
        <w:t>照投标文件中关于延长质量保证期的承诺执行，</w:t>
      </w:r>
      <w:r>
        <w:rPr>
          <w:rFonts w:hint="eastAsia" w:ascii="宋体" w:hAnsi="宋体" w:eastAsia="宋体" w:cs="宋体"/>
          <w:color w:val="auto"/>
          <w:sz w:val="24"/>
          <w:szCs w:val="24"/>
          <w:highlight w:val="none"/>
          <w:lang w:val="en-US" w:eastAsia="zh-CN"/>
        </w:rPr>
        <w:t>如与投标文件中承诺的不符，</w:t>
      </w:r>
      <w:r>
        <w:rPr>
          <w:rFonts w:hint="eastAsia" w:ascii="宋体" w:hAnsi="宋体" w:cs="宋体"/>
          <w:color w:val="auto"/>
          <w:sz w:val="24"/>
          <w:szCs w:val="24"/>
          <w:highlight w:val="none"/>
          <w:lang w:val="en-US" w:eastAsia="zh-CN"/>
        </w:rPr>
        <w:t>卖方</w:t>
      </w:r>
      <w:r>
        <w:rPr>
          <w:rFonts w:ascii="宋体" w:hAnsi="宋体" w:cs="宋体"/>
          <w:color w:val="auto"/>
          <w:sz w:val="24"/>
          <w:szCs w:val="24"/>
          <w:highlight w:val="none"/>
        </w:rPr>
        <w:t>向买方支付违约金，</w:t>
      </w:r>
      <w:r>
        <w:rPr>
          <w:rFonts w:hint="eastAsia" w:ascii="宋体" w:hAnsi="宋体" w:cs="宋体"/>
          <w:color w:val="auto"/>
          <w:sz w:val="24"/>
          <w:szCs w:val="24"/>
          <w:highlight w:val="none"/>
        </w:rPr>
        <w:t>违约金为该项在投标时对应的折减</w:t>
      </w:r>
      <w:r>
        <w:rPr>
          <w:rFonts w:hint="eastAsia" w:ascii="宋体" w:hAnsi="宋体" w:cs="宋体"/>
          <w:color w:val="auto"/>
          <w:sz w:val="24"/>
          <w:szCs w:val="24"/>
          <w:highlight w:val="none"/>
          <w:lang w:val="en-US" w:eastAsia="zh-CN"/>
        </w:rPr>
        <w:t>金额</w:t>
      </w:r>
      <w:r>
        <w:rPr>
          <w:rFonts w:hint="eastAsia" w:ascii="宋体" w:hAnsi="宋体" w:cs="宋体"/>
          <w:color w:val="auto"/>
          <w:sz w:val="24"/>
          <w:szCs w:val="24"/>
          <w:highlight w:val="none"/>
        </w:rPr>
        <w:t>的1.5倍进行扣罚</w:t>
      </w:r>
      <w:r>
        <w:rPr>
          <w:rFonts w:hint="eastAsia" w:ascii="宋体" w:hAnsi="宋体" w:eastAsia="宋体" w:cs="宋体"/>
          <w:color w:val="auto"/>
          <w:sz w:val="24"/>
          <w:szCs w:val="24"/>
          <w:highlight w:val="none"/>
          <w:lang w:val="en-US" w:eastAsia="zh-CN" w:bidi="ar-SA"/>
        </w:rPr>
        <w:t>。</w:t>
      </w:r>
    </w:p>
    <w:p w14:paraId="1DF7FBF7">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w:t>
      </w:r>
      <w:r>
        <w:rPr>
          <w:rFonts w:hint="eastAsia" w:ascii="宋体" w:hAnsi="宋体" w:eastAsia="宋体" w:cs="Times New Roman"/>
          <w:b/>
          <w:color w:val="auto"/>
          <w:sz w:val="32"/>
          <w:szCs w:val="32"/>
          <w:highlight w:val="none"/>
          <w:lang w:val="en-US" w:eastAsia="zh-CN"/>
        </w:rPr>
        <w:t>5</w:t>
      </w:r>
      <w:r>
        <w:rPr>
          <w:rFonts w:hint="eastAsia" w:ascii="宋体" w:hAnsi="宋体" w:eastAsia="宋体" w:cs="Times New Roman"/>
          <w:b/>
          <w:color w:val="auto"/>
          <w:sz w:val="32"/>
          <w:szCs w:val="32"/>
          <w:highlight w:val="none"/>
        </w:rPr>
        <w:t>.</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合同的解除</w:t>
      </w:r>
    </w:p>
    <w:p w14:paraId="71F0BC20">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有下述情形之一，当事人可发出书面通知全部或部分地解除合同，合同自通知到达对方时全部或部分地解除：</w:t>
      </w:r>
    </w:p>
    <w:p w14:paraId="4816FA8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（1）卖方迟延交付合同设备超过2个月；</w:t>
      </w:r>
    </w:p>
    <w:p w14:paraId="355C62A1">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（2）合同设备开箱检验发现存在短缺、损坏或其它与合同约定不符；</w:t>
      </w:r>
    </w:p>
    <w:p w14:paraId="6588F398">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（3）因卖方责任出现安装、调试不成功和（或）造成合同设备损坏的情况；</w:t>
      </w:r>
    </w:p>
    <w:p w14:paraId="194FA33E">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（4）由于卖方原因合同设备在</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中未能达到合同约定的技术性能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指标，如果双方就卖方采取措施消除合同设备中存在的缺陷的期限不能达成一致意见；</w:t>
      </w:r>
    </w:p>
    <w:p w14:paraId="085558B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（5）合同设备由于卖方原因三次</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均未能达到技术性能</w:t>
      </w:r>
      <w:r>
        <w:rPr>
          <w:rFonts w:hint="eastAsia" w:ascii="宋体" w:hAnsi="宋体" w:eastAsia="宋体" w:cs="Times New Roman"/>
          <w:color w:val="auto"/>
          <w:sz w:val="24"/>
          <w:szCs w:val="24"/>
          <w:highlight w:val="none"/>
          <w:lang w:val="en-US" w:eastAsia="zh-CN"/>
        </w:rPr>
        <w:t>验收</w:t>
      </w:r>
      <w:r>
        <w:rPr>
          <w:rFonts w:hint="eastAsia" w:ascii="宋体" w:hAnsi="宋体" w:eastAsia="宋体" w:cs="Times New Roman"/>
          <w:color w:val="auto"/>
          <w:sz w:val="24"/>
          <w:szCs w:val="24"/>
          <w:highlight w:val="none"/>
        </w:rPr>
        <w:t>指标，且买卖双方未就合同的后续履行协商达成一致；</w:t>
      </w:r>
    </w:p>
    <w:p w14:paraId="3638046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（6）买方迟延付款超过3个月；</w:t>
      </w:r>
    </w:p>
    <w:p w14:paraId="58B78CC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合同一方当事人未能履行合同项下任何其它义务（细微义务除外），或在未事先征得另一方当事人同意的情况下，从事任何可能在实质上不利影响其履行合同能力的活动，经另一方当事人书面通知后14日内未能对其行为作出补救；</w:t>
      </w:r>
    </w:p>
    <w:p w14:paraId="2399F5CC">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（8）合同一方当事人出现破产、清算、资不抵债、成为失信被执行人等可能丧失履约能力的情形，且未能提供令对方满意的履约保证金；</w:t>
      </w:r>
    </w:p>
    <w:p w14:paraId="2B1A75A5">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（9）任何时候发现卖方有违反投标时的承诺和（或）声明的情况；</w:t>
      </w:r>
    </w:p>
    <w:p w14:paraId="2826C32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（10）卖方存在中标后提交资料不真实；</w:t>
      </w:r>
    </w:p>
    <w:p w14:paraId="682EF29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（11）卖方存在腐败行为或欺诈行为。</w:t>
      </w:r>
    </w:p>
    <w:p w14:paraId="0174B3E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为此目的，定义一下条件：</w:t>
      </w:r>
    </w:p>
    <w:p w14:paraId="23A5B11B">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“腐败行为”是指提供、给予、接受或索取任何有价值的东西，来影响有关人员在采购过程或合同实施过程中的行为；</w:t>
      </w:r>
    </w:p>
    <w:p w14:paraId="5E19970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“欺诈行为”是指为了影响采购过程或合同实施过程而谎报事实，损害</w:t>
      </w:r>
      <w:r>
        <w:rPr>
          <w:rFonts w:hint="eastAsia" w:ascii="宋体" w:hAnsi="宋体" w:eastAsia="宋体" w:cs="Times New Roman"/>
          <w:color w:val="auto"/>
          <w:sz w:val="24"/>
          <w:szCs w:val="24"/>
          <w:highlight w:val="none"/>
          <w:lang w:val="en-US" w:eastAsia="zh-CN"/>
        </w:rPr>
        <w:t>买</w:t>
      </w:r>
      <w:r>
        <w:rPr>
          <w:rFonts w:hint="eastAsia" w:ascii="宋体" w:hAnsi="宋体" w:eastAsia="宋体" w:cs="Times New Roman"/>
          <w:color w:val="auto"/>
          <w:sz w:val="24"/>
          <w:szCs w:val="24"/>
          <w:highlight w:val="none"/>
        </w:rPr>
        <w:t>方的利益，包括投标人之间串通投标(递交投标书之前和之后)，人为地使各投标价丧失竞争性，剥夺</w:t>
      </w:r>
      <w:r>
        <w:rPr>
          <w:rFonts w:hint="eastAsia" w:ascii="宋体" w:hAnsi="宋体" w:eastAsia="宋体" w:cs="Times New Roman"/>
          <w:color w:val="auto"/>
          <w:sz w:val="24"/>
          <w:szCs w:val="24"/>
          <w:highlight w:val="none"/>
          <w:lang w:val="en-US" w:eastAsia="zh-CN"/>
        </w:rPr>
        <w:t>买</w:t>
      </w:r>
      <w:r>
        <w:rPr>
          <w:rFonts w:hint="eastAsia" w:ascii="宋体" w:hAnsi="宋体" w:eastAsia="宋体" w:cs="Times New Roman"/>
          <w:color w:val="auto"/>
          <w:sz w:val="24"/>
          <w:szCs w:val="24"/>
          <w:highlight w:val="none"/>
        </w:rPr>
        <w:t>方从自由公开竞争所获得的权益。欺诈行为还包括</w:t>
      </w:r>
      <w:r>
        <w:rPr>
          <w:rFonts w:hint="eastAsia" w:ascii="宋体" w:hAnsi="宋体" w:eastAsia="宋体" w:cs="Times New Roman"/>
          <w:color w:val="auto"/>
          <w:sz w:val="24"/>
          <w:szCs w:val="24"/>
          <w:highlight w:val="none"/>
          <w:lang w:val="en-US" w:eastAsia="zh-CN"/>
        </w:rPr>
        <w:t>卖</w:t>
      </w:r>
      <w:r>
        <w:rPr>
          <w:rFonts w:hint="eastAsia" w:ascii="宋体" w:hAnsi="宋体" w:eastAsia="宋体" w:cs="Times New Roman"/>
          <w:color w:val="auto"/>
          <w:sz w:val="24"/>
          <w:szCs w:val="24"/>
          <w:highlight w:val="none"/>
        </w:rPr>
        <w:t>方擅自更改货物的配合比进行生产，改变重要原材料产地，使用非</w:t>
      </w:r>
      <w:r>
        <w:rPr>
          <w:rFonts w:hint="eastAsia" w:ascii="宋体" w:hAnsi="宋体" w:eastAsia="宋体" w:cs="Times New Roman"/>
          <w:color w:val="auto"/>
          <w:sz w:val="24"/>
          <w:szCs w:val="24"/>
          <w:highlight w:val="none"/>
          <w:lang w:val="en-US" w:eastAsia="zh-CN"/>
        </w:rPr>
        <w:t>买</w:t>
      </w:r>
      <w:r>
        <w:rPr>
          <w:rFonts w:hint="eastAsia" w:ascii="宋体" w:hAnsi="宋体" w:eastAsia="宋体" w:cs="Times New Roman"/>
          <w:color w:val="auto"/>
          <w:sz w:val="24"/>
          <w:szCs w:val="24"/>
          <w:highlight w:val="none"/>
        </w:rPr>
        <w:t>方指定的原材料等。</w:t>
      </w:r>
    </w:p>
    <w:p w14:paraId="048F8524">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（12）双方履行完合同权利义务后合同自然解除；</w:t>
      </w:r>
    </w:p>
    <w:p w14:paraId="51668704">
      <w:pPr>
        <w:widowControl/>
        <w:adjustRightInd w:val="0"/>
        <w:snapToGrid/>
        <w:spacing w:beforeLines="0" w:afterLines="0"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（13）在双方同意的前提下，合同可以在任何条件下解除</w:t>
      </w:r>
      <w:r>
        <w:rPr>
          <w:rFonts w:hint="eastAsia" w:ascii="宋体" w:hAnsi="宋体" w:eastAsia="宋体" w:cs="Times New Roman"/>
          <w:color w:val="auto"/>
          <w:sz w:val="24"/>
          <w:szCs w:val="24"/>
          <w:highlight w:val="none"/>
          <w:lang w:eastAsia="zh-CN"/>
        </w:rPr>
        <w:t>。</w:t>
      </w:r>
    </w:p>
    <w:p w14:paraId="343CDF46">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）因不可抗力不能实现合同目的</w:t>
      </w:r>
      <w:r>
        <w:rPr>
          <w:rFonts w:hint="eastAsia" w:ascii="宋体" w:hAnsi="宋体" w:eastAsia="宋体" w:cs="Times New Roman"/>
          <w:color w:val="auto"/>
          <w:sz w:val="24"/>
          <w:szCs w:val="24"/>
          <w:highlight w:val="none"/>
        </w:rPr>
        <w:t>。</w:t>
      </w:r>
    </w:p>
    <w:p w14:paraId="2E2E690E">
      <w:pPr>
        <w:widowControl w:val="0"/>
        <w:tabs>
          <w:tab w:val="left" w:pos="920"/>
        </w:tabs>
        <w:spacing w:beforeLines="0" w:afterLines="0" w:line="360" w:lineRule="auto"/>
        <w:outlineLvl w:val="9"/>
        <w:rPr>
          <w:rFonts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16</w:t>
      </w:r>
      <w:r>
        <w:rPr>
          <w:rFonts w:hint="eastAsia" w:ascii="宋体" w:hAnsi="宋体" w:eastAsia="宋体" w:cs="宋体"/>
          <w:b/>
          <w:color w:val="auto"/>
          <w:sz w:val="32"/>
          <w:highlight w:val="none"/>
        </w:rPr>
        <w:t>. 不可抗力</w:t>
      </w:r>
    </w:p>
    <w:p w14:paraId="5A3605EE">
      <w:pPr>
        <w:widowControl w:val="0"/>
        <w:spacing w:beforeLines="0" w:afterLines="0" w:line="360" w:lineRule="auto"/>
        <w:ind w:firstLine="600" w:firstLineChars="25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如果卖方因不可抗力而导致合同实施延误或不能履行其他的合同义务，卖方不承担延误期赔偿或终止合同的责任。</w:t>
      </w:r>
    </w:p>
    <w:p w14:paraId="3559D80B">
      <w:pPr>
        <w:widowControl w:val="0"/>
        <w:spacing w:beforeLines="0" w:afterLines="0" w:line="360" w:lineRule="auto"/>
        <w:ind w:left="-80" w:leftChars="-38" w:firstLine="600" w:firstLineChars="25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本条所述的“不可抗力”系指那些卖方无法控制，不可预见的事件，但不包括卖方的违约或疏忽。</w:t>
      </w:r>
    </w:p>
    <w:p w14:paraId="316B6B35">
      <w:pPr>
        <w:widowControl w:val="0"/>
        <w:spacing w:beforeLines="0" w:afterLines="0" w:line="360" w:lineRule="auto"/>
        <w:ind w:left="-80" w:leftChars="-38" w:firstLine="600" w:firstLineChars="25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在不可抗力发生时，卖方应尽快以书面形式将不可抗力的情况和原因通知买方。除买方书面另有要求，卖方应尽实际可能继续履行合同义务，以及寻求采取合理的方案履行不受不可抗力影响的其他事项。</w:t>
      </w:r>
    </w:p>
    <w:p w14:paraId="3DC2B1D3">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17.</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争议的解决</w:t>
      </w:r>
    </w:p>
    <w:p w14:paraId="359D6C5D">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因本合同引起的或与本合同有关的任何争议,双方可通过友好协商解决。友好协商解决不成的，应向广州市越秀区人民法院提起诉讼。</w:t>
      </w:r>
    </w:p>
    <w:p w14:paraId="3074C2EB">
      <w:pPr>
        <w:widowControl/>
        <w:adjustRightInd w:val="0"/>
        <w:snapToGrid/>
        <w:spacing w:beforeLines="0" w:afterLines="0"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18.</w:t>
      </w:r>
      <w:r>
        <w:rPr>
          <w:rFonts w:hint="eastAsia" w:ascii="宋体" w:hAnsi="宋体" w:eastAsia="宋体" w:cs="Times New Roman"/>
          <w:b/>
          <w:color w:val="auto"/>
          <w:sz w:val="32"/>
          <w:szCs w:val="32"/>
          <w:highlight w:val="none"/>
        </w:rPr>
        <w:tab/>
      </w:r>
      <w:r>
        <w:rPr>
          <w:rFonts w:hint="eastAsia" w:ascii="宋体" w:hAnsi="宋体" w:eastAsia="宋体" w:cs="Times New Roman"/>
          <w:b/>
          <w:color w:val="auto"/>
          <w:sz w:val="32"/>
          <w:szCs w:val="32"/>
          <w:highlight w:val="none"/>
        </w:rPr>
        <w:t>预付款银行保函</w:t>
      </w:r>
    </w:p>
    <w:p w14:paraId="344026B9">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18.1卖方申请支付预付款前，应按合同附件的预付款银行保函格式或买方可以接受的其它格式的预付款银行保函，向买方提交以买方为受益人的、金额与预付款等额的预付款银行保函。</w:t>
      </w:r>
    </w:p>
    <w:p w14:paraId="4CF1DAF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18.2如果卖方未在合同约定的交货期前提交合同货物并开箱检验符合合同约定，买方应支取预付款。</w:t>
      </w:r>
    </w:p>
    <w:p w14:paraId="30AA43CA">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18.3预付款保函采用合同附件的预付款保函格式提交时，其有效期应自</w:t>
      </w:r>
      <w:r>
        <w:rPr>
          <w:rFonts w:hint="eastAsia" w:ascii="宋体" w:hAnsi="宋体" w:eastAsia="宋体" w:cs="Times New Roman"/>
          <w:color w:val="auto"/>
          <w:highlight w:val="none"/>
        </w:rPr>
        <w:t>卖方收到预付款之日</w:t>
      </w:r>
      <w:r>
        <w:rPr>
          <w:rFonts w:hint="eastAsia" w:ascii="宋体" w:hAnsi="宋体" w:eastAsia="宋体" w:cs="Times New Roman"/>
          <w:color w:val="auto"/>
          <w:sz w:val="24"/>
          <w:szCs w:val="24"/>
          <w:highlight w:val="none"/>
        </w:rPr>
        <w:t>起生效，在最后一批合同设备提交之日起 28 日后失效。</w:t>
      </w:r>
    </w:p>
    <w:p w14:paraId="26DC949F">
      <w:pPr>
        <w:widowControl/>
        <w:adjustRightInd w:val="0"/>
        <w:snapToGrid/>
        <w:spacing w:beforeLines="0" w:afterLines="0"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18.4预付款保函采用其它格式提交时，其有效期应自</w:t>
      </w:r>
      <w:r>
        <w:rPr>
          <w:rFonts w:hint="eastAsia" w:ascii="宋体" w:hAnsi="宋体" w:eastAsia="宋体" w:cs="Times New Roman"/>
          <w:color w:val="auto"/>
          <w:highlight w:val="none"/>
        </w:rPr>
        <w:t>卖方收到预付款之</w:t>
      </w:r>
      <w:r>
        <w:rPr>
          <w:rFonts w:hint="eastAsia" w:ascii="宋体" w:hAnsi="宋体" w:eastAsia="宋体" w:cs="Times New Roman"/>
          <w:color w:val="auto"/>
          <w:sz w:val="24"/>
          <w:szCs w:val="24"/>
          <w:highlight w:val="none"/>
        </w:rPr>
        <w:t>日起生效，在在合同约定的交货期之日起28日失效。买方应在最后一批合同设备开箱检验报告签署之日起28日内退还卖方。</w:t>
      </w:r>
    </w:p>
    <w:p w14:paraId="7191759F">
      <w:pPr>
        <w:widowControl w:val="0"/>
        <w:adjustRightInd w:val="0"/>
        <w:snapToGrid/>
        <w:spacing w:before="0" w:beforeLines="0" w:after="0" w:afterLines="0" w:line="360" w:lineRule="auto"/>
        <w:outlineLvl w:val="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1</w:t>
      </w: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rPr>
        <w:t>. 订货</w:t>
      </w:r>
    </w:p>
    <w:p w14:paraId="186DC6CA">
      <w:pPr>
        <w:widowControl w:val="0"/>
        <w:adjustRightInd w:val="0"/>
        <w:snapToGrid/>
        <w:spacing w:beforeLines="0" w:afterLines="0"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买方以订货通知的形式确定每批次的实际需求量。</w:t>
      </w:r>
    </w:p>
    <w:p w14:paraId="0A6A8A71">
      <w:pPr>
        <w:widowControl w:val="0"/>
        <w:tabs>
          <w:tab w:val="left" w:pos="920"/>
        </w:tabs>
        <w:spacing w:before="0" w:beforeLines="0" w:after="0" w:afterLines="0" w:line="360" w:lineRule="auto"/>
        <w:outlineLvl w:val="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20</w:t>
      </w:r>
      <w:r>
        <w:rPr>
          <w:rFonts w:hint="eastAsia" w:ascii="宋体" w:hAnsi="宋体" w:eastAsia="宋体" w:cs="宋体"/>
          <w:b/>
          <w:color w:val="auto"/>
          <w:sz w:val="32"/>
          <w:szCs w:val="32"/>
          <w:highlight w:val="none"/>
        </w:rPr>
        <w:t>.来源地</w:t>
      </w:r>
    </w:p>
    <w:p w14:paraId="74ADEB56">
      <w:pPr>
        <w:widowControl w:val="0"/>
        <w:spacing w:beforeLines="0" w:afterLines="0" w:line="360" w:lineRule="auto"/>
        <w:ind w:left="-80" w:leftChars="-38" w:firstLine="600" w:firstLineChars="25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.1本合同项下所提供的货物和服务均应来自于中华人民共和国或是与中华人民共和国有正常贸易往来的国家和地区。</w:t>
      </w:r>
    </w:p>
    <w:p w14:paraId="33FA001E">
      <w:pPr>
        <w:widowControl w:val="0"/>
        <w:spacing w:beforeLines="0" w:afterLines="0" w:line="360" w:lineRule="auto"/>
        <w:ind w:left="-73" w:leftChars="-35" w:firstLine="638" w:firstLineChars="266"/>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.2卖方提供的货物必须为以下厂家生产的产品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8755FEC">
      <w:pPr>
        <w:widowControl w:val="0"/>
        <w:tabs>
          <w:tab w:val="left" w:pos="920"/>
        </w:tabs>
        <w:spacing w:beforeLines="0" w:afterLines="0" w:line="360" w:lineRule="auto"/>
        <w:outlineLvl w:val="9"/>
        <w:rPr>
          <w:rFonts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21</w:t>
      </w:r>
      <w:r>
        <w:rPr>
          <w:rFonts w:hint="eastAsia" w:ascii="宋体" w:hAnsi="宋体" w:eastAsia="宋体" w:cs="宋体"/>
          <w:b/>
          <w:color w:val="auto"/>
          <w:sz w:val="32"/>
          <w:highlight w:val="none"/>
        </w:rPr>
        <w:t>. 合同修改</w:t>
      </w:r>
    </w:p>
    <w:p w14:paraId="64B16807">
      <w:pPr>
        <w:widowControl w:val="0"/>
        <w:spacing w:beforeLines="0" w:afterLines="0" w:line="360" w:lineRule="auto"/>
        <w:ind w:left="-80" w:leftChars="-38"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任何对合同条件的变更或修改均须双方签订书面的修改书。</w:t>
      </w:r>
    </w:p>
    <w:p w14:paraId="7B7371A5">
      <w:pPr>
        <w:widowControl w:val="0"/>
        <w:tabs>
          <w:tab w:val="left" w:pos="920"/>
        </w:tabs>
        <w:spacing w:beforeLines="0" w:afterLines="0" w:line="360" w:lineRule="auto"/>
        <w:outlineLvl w:val="9"/>
        <w:rPr>
          <w:rFonts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22</w:t>
      </w:r>
      <w:r>
        <w:rPr>
          <w:rFonts w:hint="eastAsia" w:ascii="宋体" w:hAnsi="宋体" w:eastAsia="宋体" w:cs="宋体"/>
          <w:b/>
          <w:color w:val="auto"/>
          <w:sz w:val="32"/>
          <w:highlight w:val="none"/>
        </w:rPr>
        <w:t>. 转让</w:t>
      </w:r>
    </w:p>
    <w:p w14:paraId="77BE64D1">
      <w:pPr>
        <w:widowControl w:val="0"/>
        <w:adjustRightInd w:val="0"/>
        <w:snapToGrid/>
        <w:spacing w:beforeLines="0" w:afterLines="0"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除买方事先书面同意外，卖方不得部分转让或全部转让其应履行的合同义务。</w:t>
      </w:r>
    </w:p>
    <w:p w14:paraId="70A5B931">
      <w:pPr>
        <w:widowControl w:val="0"/>
        <w:rPr>
          <w:rFonts w:ascii="宋体" w:hAnsi="宋体" w:cs="宋体"/>
          <w:b/>
          <w:bCs/>
          <w:color w:val="auto"/>
          <w:sz w:val="32"/>
          <w:szCs w:val="32"/>
          <w:highlight w:val="none"/>
        </w:rPr>
      </w:pPr>
      <w:bookmarkStart w:id="152" w:name="_Toc26868732"/>
      <w:bookmarkStart w:id="153" w:name="_Toc25586725"/>
      <w:r>
        <w:rPr>
          <w:rFonts w:hint="eastAsia" w:ascii="宋体" w:hAnsi="宋体" w:cs="宋体"/>
          <w:color w:val="auto"/>
          <w:highlight w:val="none"/>
        </w:rPr>
        <w:br w:type="page"/>
      </w:r>
    </w:p>
    <w:p w14:paraId="4FF9B8B1">
      <w:pPr>
        <w:widowControl w:val="0"/>
        <w:spacing w:line="360" w:lineRule="auto"/>
        <w:jc w:val="center"/>
        <w:rPr>
          <w:rFonts w:ascii="宋体" w:hAnsi="宋体" w:cs="宋体"/>
          <w:b/>
          <w:color w:val="auto"/>
          <w:sz w:val="28"/>
          <w:highlight w:val="none"/>
        </w:rPr>
      </w:pPr>
      <w:bookmarkStart w:id="154" w:name="_Toc16634"/>
      <w:bookmarkStart w:id="155" w:name="_Toc28619638"/>
      <w:r>
        <w:rPr>
          <w:rFonts w:hint="eastAsia" w:ascii="宋体" w:hAnsi="宋体" w:cs="宋体"/>
          <w:b/>
          <w:color w:val="auto"/>
          <w:sz w:val="28"/>
          <w:highlight w:val="none"/>
        </w:rPr>
        <w:t>第四节 合同附件</w:t>
      </w:r>
      <w:bookmarkEnd w:id="152"/>
      <w:bookmarkEnd w:id="153"/>
      <w:bookmarkEnd w:id="154"/>
      <w:bookmarkEnd w:id="155"/>
      <w:r>
        <w:rPr>
          <w:rFonts w:hint="eastAsia" w:ascii="宋体" w:hAnsi="宋体" w:cs="宋体"/>
          <w:b/>
          <w:color w:val="auto"/>
          <w:sz w:val="28"/>
          <w:highlight w:val="none"/>
        </w:rPr>
        <w:t>格式</w:t>
      </w:r>
    </w:p>
    <w:p w14:paraId="09B5B6E9">
      <w:pPr>
        <w:widowControl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合同附件一：供货要求（按招标文件第二章用户需求书补充）</w:t>
      </w:r>
    </w:p>
    <w:p w14:paraId="1FC1D681">
      <w:pPr>
        <w:widowControl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合同附件二：商务和技术偏差表（按卖方投标时提供的“商务和技术偏差表”的复印件补充）</w:t>
      </w:r>
    </w:p>
    <w:p w14:paraId="286A3A1E">
      <w:pPr>
        <w:widowControl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合同附件三：合同</w:t>
      </w:r>
      <w:r>
        <w:rPr>
          <w:rFonts w:hint="eastAsia" w:ascii="宋体" w:hAnsi="宋体" w:cs="宋体"/>
          <w:color w:val="auto"/>
          <w:sz w:val="28"/>
          <w:szCs w:val="28"/>
          <w:highlight w:val="none"/>
          <w:lang w:val="en-US" w:eastAsia="zh-CN"/>
        </w:rPr>
        <w:t>设备</w:t>
      </w:r>
      <w:r>
        <w:rPr>
          <w:rFonts w:hint="eastAsia" w:ascii="宋体" w:hAnsi="宋体" w:cs="宋体"/>
          <w:color w:val="auto"/>
          <w:sz w:val="28"/>
          <w:szCs w:val="28"/>
          <w:highlight w:val="none"/>
        </w:rPr>
        <w:t>清单</w:t>
      </w:r>
    </w:p>
    <w:p w14:paraId="125322E7">
      <w:pPr>
        <w:widowControl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合同附件四：廉洁责任书</w:t>
      </w:r>
    </w:p>
    <w:p w14:paraId="0838C8E4">
      <w:pPr>
        <w:widowControl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合同附件五：卖方法定代表人证明书；有法定代表人授权代理人时，同时提供有效授权委托证明书原件（本合同签订时提供，可与本合同分开装订，按招标文件“第五章 投标文件格式”提供）</w:t>
      </w:r>
    </w:p>
    <w:p w14:paraId="48029CBF">
      <w:pPr>
        <w:widowControl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合同附件六：履约保证金格式（本合同签订后提供）</w:t>
      </w:r>
    </w:p>
    <w:p w14:paraId="070A3E9F">
      <w:pPr>
        <w:widowControl w:val="0"/>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rPr>
        <w:t>合同附件七：预付款银行保函（本合同签订后提供）</w:t>
      </w:r>
    </w:p>
    <w:p w14:paraId="547AA636">
      <w:pPr>
        <w:widowControl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合同附件八：</w:t>
      </w:r>
      <w:r>
        <w:rPr>
          <w:rFonts w:hint="eastAsia" w:ascii="宋体" w:hAnsi="宋体" w:eastAsia="宋体" w:cs="宋体"/>
          <w:color w:val="auto"/>
          <w:sz w:val="28"/>
          <w:szCs w:val="28"/>
          <w:highlight w:val="none"/>
        </w:rPr>
        <w:t>滤布行走</w:t>
      </w:r>
      <w:r>
        <w:rPr>
          <w:rFonts w:hint="eastAsia" w:ascii="宋体" w:hAnsi="宋体" w:eastAsia="宋体" w:cs="宋体"/>
          <w:color w:val="auto"/>
          <w:sz w:val="28"/>
          <w:szCs w:val="28"/>
          <w:highlight w:val="none"/>
          <w:lang w:val="en-US" w:eastAsia="zh-CN"/>
        </w:rPr>
        <w:t>板框</w:t>
      </w:r>
      <w:r>
        <w:rPr>
          <w:rFonts w:hint="eastAsia" w:ascii="宋体" w:hAnsi="宋体" w:eastAsia="宋体" w:cs="宋体"/>
          <w:color w:val="auto"/>
          <w:sz w:val="28"/>
          <w:szCs w:val="28"/>
          <w:highlight w:val="none"/>
        </w:rPr>
        <w:t>压滤机脱水后泥饼含水率</w:t>
      </w:r>
      <w:r>
        <w:rPr>
          <w:rFonts w:hint="eastAsia" w:ascii="宋体" w:hAnsi="宋体" w:eastAsia="宋体" w:cs="宋体"/>
          <w:color w:val="auto"/>
          <w:sz w:val="28"/>
          <w:szCs w:val="28"/>
          <w:highlight w:val="none"/>
          <w:lang w:val="en-US" w:eastAsia="zh-CN"/>
        </w:rPr>
        <w:t>的承诺值</w:t>
      </w:r>
      <w:r>
        <w:rPr>
          <w:rFonts w:hint="eastAsia" w:ascii="宋体" w:hAnsi="宋体" w:eastAsia="宋体" w:cs="宋体"/>
          <w:color w:val="auto"/>
          <w:sz w:val="28"/>
          <w:szCs w:val="28"/>
          <w:highlight w:val="none"/>
        </w:rPr>
        <w:t>（按</w:t>
      </w:r>
      <w:r>
        <w:rPr>
          <w:rFonts w:hint="eastAsia" w:ascii="宋体" w:hAnsi="宋体" w:cs="宋体"/>
          <w:color w:val="auto"/>
          <w:sz w:val="28"/>
          <w:szCs w:val="28"/>
          <w:highlight w:val="none"/>
        </w:rPr>
        <w:t>卖方投标时提供的“</w:t>
      </w:r>
      <w:r>
        <w:rPr>
          <w:rFonts w:hint="eastAsia" w:ascii="宋体" w:hAnsi="宋体" w:cs="宋体"/>
          <w:color w:val="auto"/>
          <w:sz w:val="28"/>
          <w:szCs w:val="28"/>
          <w:highlight w:val="none"/>
          <w:lang w:val="en-US" w:eastAsia="zh-CN"/>
        </w:rPr>
        <w:t>承诺值</w:t>
      </w:r>
      <w:r>
        <w:rPr>
          <w:rFonts w:hint="eastAsia" w:ascii="宋体" w:hAnsi="宋体" w:cs="宋体"/>
          <w:color w:val="auto"/>
          <w:sz w:val="28"/>
          <w:szCs w:val="28"/>
          <w:highlight w:val="none"/>
        </w:rPr>
        <w:t>”的复印件补充）</w:t>
      </w:r>
    </w:p>
    <w:p w14:paraId="737CA61A">
      <w:pPr>
        <w:widowControl w:val="0"/>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滤布行走</w:t>
      </w:r>
      <w:r>
        <w:rPr>
          <w:rFonts w:hint="eastAsia" w:ascii="宋体" w:hAnsi="宋体" w:eastAsia="宋体" w:cs="宋体"/>
          <w:color w:val="auto"/>
          <w:sz w:val="28"/>
          <w:szCs w:val="28"/>
          <w:highlight w:val="none"/>
          <w:lang w:val="en-US" w:eastAsia="zh-CN"/>
        </w:rPr>
        <w:t>板框</w:t>
      </w:r>
      <w:r>
        <w:rPr>
          <w:rFonts w:hint="eastAsia" w:ascii="宋体" w:hAnsi="宋体" w:eastAsia="宋体" w:cs="宋体"/>
          <w:color w:val="auto"/>
          <w:sz w:val="28"/>
          <w:szCs w:val="28"/>
          <w:highlight w:val="none"/>
        </w:rPr>
        <w:t>压滤机加药量（干剂量）占总干泥量的百分比</w:t>
      </w:r>
      <w:r>
        <w:rPr>
          <w:rFonts w:hint="eastAsia" w:ascii="宋体" w:hAnsi="宋体" w:eastAsia="宋体" w:cs="宋体"/>
          <w:color w:val="auto"/>
          <w:sz w:val="28"/>
          <w:szCs w:val="28"/>
          <w:highlight w:val="none"/>
          <w:lang w:val="en-US" w:eastAsia="zh-CN"/>
        </w:rPr>
        <w:t>的承诺值</w:t>
      </w:r>
      <w:r>
        <w:rPr>
          <w:rFonts w:hint="eastAsia" w:ascii="宋体" w:hAnsi="宋体" w:eastAsia="宋体" w:cs="宋体"/>
          <w:color w:val="auto"/>
          <w:sz w:val="28"/>
          <w:szCs w:val="28"/>
          <w:highlight w:val="none"/>
        </w:rPr>
        <w:t>（按卖方投标时提供的“</w:t>
      </w:r>
      <w:r>
        <w:rPr>
          <w:rFonts w:hint="eastAsia" w:ascii="宋体" w:hAnsi="宋体" w:eastAsia="宋体" w:cs="宋体"/>
          <w:color w:val="auto"/>
          <w:sz w:val="28"/>
          <w:szCs w:val="28"/>
          <w:highlight w:val="none"/>
          <w:lang w:val="en-US" w:eastAsia="zh-CN"/>
        </w:rPr>
        <w:t>承诺值</w:t>
      </w:r>
      <w:r>
        <w:rPr>
          <w:rFonts w:hint="eastAsia" w:ascii="宋体" w:hAnsi="宋体" w:eastAsia="宋体" w:cs="宋体"/>
          <w:color w:val="auto"/>
          <w:sz w:val="28"/>
          <w:szCs w:val="28"/>
          <w:highlight w:val="none"/>
        </w:rPr>
        <w:t>”的复印件补充</w:t>
      </w:r>
      <w:r>
        <w:rPr>
          <w:rFonts w:hint="eastAsia" w:ascii="宋体" w:hAnsi="宋体" w:cs="宋体"/>
          <w:color w:val="auto"/>
          <w:sz w:val="28"/>
          <w:szCs w:val="28"/>
          <w:highlight w:val="none"/>
        </w:rPr>
        <w:t>）</w:t>
      </w:r>
    </w:p>
    <w:p w14:paraId="161430F2">
      <w:pPr>
        <w:widowControl w:val="0"/>
        <w:spacing w:line="360" w:lineRule="auto"/>
        <w:ind w:firstLine="560" w:firstLineChars="200"/>
        <w:contextualSpacing/>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合同附件十：产品最迟交货时间的承诺函</w:t>
      </w:r>
      <w:r>
        <w:rPr>
          <w:rFonts w:hint="eastAsia" w:ascii="宋体" w:hAnsi="宋体" w:cs="宋体"/>
          <w:color w:val="auto"/>
          <w:sz w:val="28"/>
          <w:szCs w:val="28"/>
          <w:highlight w:val="none"/>
        </w:rPr>
        <w:t>（按卖方投标时提供的“</w:t>
      </w:r>
      <w:r>
        <w:rPr>
          <w:rFonts w:hint="eastAsia" w:ascii="宋体" w:hAnsi="宋体" w:cs="宋体"/>
          <w:color w:val="auto"/>
          <w:sz w:val="28"/>
          <w:szCs w:val="28"/>
          <w:highlight w:val="none"/>
          <w:lang w:val="en-US" w:eastAsia="zh-CN"/>
        </w:rPr>
        <w:t>承诺函</w:t>
      </w:r>
      <w:r>
        <w:rPr>
          <w:rFonts w:hint="eastAsia" w:ascii="宋体" w:hAnsi="宋体" w:cs="宋体"/>
          <w:color w:val="auto"/>
          <w:sz w:val="28"/>
          <w:szCs w:val="28"/>
          <w:highlight w:val="none"/>
        </w:rPr>
        <w:t>”的复印件补充）</w:t>
      </w:r>
    </w:p>
    <w:p w14:paraId="405F9CF9">
      <w:pPr>
        <w:widowControl w:val="0"/>
        <w:spacing w:line="36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合同附件十一：质保期延长的承诺函</w:t>
      </w:r>
      <w:r>
        <w:rPr>
          <w:rFonts w:hint="eastAsia" w:ascii="宋体" w:hAnsi="宋体" w:cs="宋体"/>
          <w:color w:val="auto"/>
          <w:sz w:val="28"/>
          <w:szCs w:val="28"/>
          <w:highlight w:val="none"/>
        </w:rPr>
        <w:t>（按卖方投标时提供的“</w:t>
      </w:r>
      <w:r>
        <w:rPr>
          <w:rFonts w:hint="eastAsia" w:ascii="宋体" w:hAnsi="宋体" w:cs="宋体"/>
          <w:color w:val="auto"/>
          <w:sz w:val="28"/>
          <w:szCs w:val="28"/>
          <w:highlight w:val="none"/>
          <w:lang w:val="en-US" w:eastAsia="zh-CN"/>
        </w:rPr>
        <w:t>承诺函</w:t>
      </w:r>
      <w:r>
        <w:rPr>
          <w:rFonts w:hint="eastAsia" w:ascii="宋体" w:hAnsi="宋体" w:cs="宋体"/>
          <w:color w:val="auto"/>
          <w:sz w:val="28"/>
          <w:szCs w:val="28"/>
          <w:highlight w:val="none"/>
        </w:rPr>
        <w:t>”的复印件补充）</w:t>
      </w:r>
    </w:p>
    <w:p w14:paraId="2CF6109C">
      <w:pPr>
        <w:widowControl w:val="0"/>
        <w:rPr>
          <w:rFonts w:ascii="宋体" w:hAnsi="宋体" w:cs="宋体"/>
          <w:b/>
          <w:color w:val="auto"/>
          <w:sz w:val="32"/>
          <w:szCs w:val="32"/>
          <w:highlight w:val="none"/>
        </w:rPr>
      </w:pPr>
    </w:p>
    <w:p w14:paraId="21C146C3">
      <w:pPr>
        <w:widowControl w:val="0"/>
        <w:rPr>
          <w:rFonts w:ascii="宋体" w:hAnsi="宋体" w:cs="宋体"/>
          <w:b/>
          <w:color w:val="auto"/>
          <w:sz w:val="32"/>
          <w:szCs w:val="32"/>
          <w:highlight w:val="none"/>
        </w:rPr>
      </w:pPr>
    </w:p>
    <w:p w14:paraId="29FA17EF">
      <w:pPr>
        <w:widowControl w:val="0"/>
        <w:rPr>
          <w:rFonts w:ascii="宋体" w:hAnsi="宋体" w:cs="宋体"/>
          <w:b/>
          <w:color w:val="auto"/>
          <w:sz w:val="32"/>
          <w:szCs w:val="32"/>
          <w:highlight w:val="none"/>
        </w:rPr>
      </w:pPr>
    </w:p>
    <w:p w14:paraId="38E00D8D">
      <w:pPr>
        <w:widowControl/>
        <w:adjustRightInd w:val="0"/>
        <w:snapToGrid w:val="0"/>
        <w:spacing w:line="360" w:lineRule="auto"/>
        <w:jc w:val="left"/>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合同附件三：合同设备清单</w:t>
      </w:r>
    </w:p>
    <w:p w14:paraId="0206FB9D">
      <w:pPr>
        <w:widowControl/>
        <w:adjustRightInd w:val="0"/>
        <w:snapToGrid w:val="0"/>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32"/>
          <w:szCs w:val="32"/>
          <w:highlight w:val="none"/>
        </w:rPr>
        <w:t>合同设备清单</w:t>
      </w:r>
    </w:p>
    <w:p w14:paraId="23077970">
      <w:pPr>
        <w:spacing w:line="360" w:lineRule="auto"/>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单位：人民币元</w:t>
      </w:r>
    </w:p>
    <w:tbl>
      <w:tblPr>
        <w:tblStyle w:val="43"/>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97"/>
        <w:gridCol w:w="1274"/>
        <w:gridCol w:w="908"/>
        <w:gridCol w:w="836"/>
        <w:gridCol w:w="835"/>
        <w:gridCol w:w="990"/>
        <w:gridCol w:w="991"/>
        <w:gridCol w:w="800"/>
        <w:gridCol w:w="800"/>
      </w:tblGrid>
      <w:tr w14:paraId="1EDF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1481416">
            <w:pPr>
              <w:spacing w:beforeLines="50" w:afterLines="50"/>
              <w:jc w:val="center"/>
              <w:rPr>
                <w:rFonts w:ascii="宋体" w:hAnsi="宋体" w:eastAsia="宋体" w:cs="Times New Roman"/>
                <w:b/>
                <w:color w:val="auto"/>
                <w:sz w:val="24"/>
                <w:szCs w:val="24"/>
                <w:highlight w:val="none"/>
              </w:rPr>
            </w:pPr>
            <w:bookmarkStart w:id="156" w:name="OLE_LINK4" w:colFirst="3" w:colLast="3"/>
            <w:r>
              <w:rPr>
                <w:rFonts w:hint="eastAsia" w:ascii="宋体" w:hAnsi="宋体" w:eastAsia="宋体" w:cs="Times New Roman"/>
                <w:b/>
                <w:color w:val="auto"/>
                <w:sz w:val="24"/>
                <w:szCs w:val="24"/>
                <w:highlight w:val="none"/>
              </w:rPr>
              <w:t>序号</w:t>
            </w:r>
          </w:p>
        </w:tc>
        <w:tc>
          <w:tcPr>
            <w:tcW w:w="1297" w:type="dxa"/>
            <w:noWrap w:val="0"/>
            <w:vAlign w:val="center"/>
          </w:tcPr>
          <w:p w14:paraId="27BB3F0E">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设备名称</w:t>
            </w:r>
          </w:p>
        </w:tc>
        <w:tc>
          <w:tcPr>
            <w:tcW w:w="1274" w:type="dxa"/>
            <w:noWrap w:val="0"/>
            <w:vAlign w:val="center"/>
          </w:tcPr>
          <w:p w14:paraId="433449A7">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型号规格</w:t>
            </w:r>
          </w:p>
        </w:tc>
        <w:tc>
          <w:tcPr>
            <w:tcW w:w="908" w:type="dxa"/>
            <w:noWrap w:val="0"/>
            <w:vAlign w:val="center"/>
          </w:tcPr>
          <w:p w14:paraId="7C5B117F">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生产厂家或品牌</w:t>
            </w:r>
          </w:p>
        </w:tc>
        <w:tc>
          <w:tcPr>
            <w:tcW w:w="836" w:type="dxa"/>
            <w:noWrap w:val="0"/>
            <w:vAlign w:val="center"/>
          </w:tcPr>
          <w:p w14:paraId="5E084B17">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单位</w:t>
            </w:r>
          </w:p>
        </w:tc>
        <w:tc>
          <w:tcPr>
            <w:tcW w:w="835" w:type="dxa"/>
            <w:noWrap w:val="0"/>
            <w:vAlign w:val="center"/>
          </w:tcPr>
          <w:p w14:paraId="2431E60E">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数量</w:t>
            </w:r>
          </w:p>
        </w:tc>
        <w:tc>
          <w:tcPr>
            <w:tcW w:w="990" w:type="dxa"/>
            <w:noWrap w:val="0"/>
            <w:vAlign w:val="center"/>
          </w:tcPr>
          <w:p w14:paraId="7602A757">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单价（元）</w:t>
            </w:r>
          </w:p>
        </w:tc>
        <w:tc>
          <w:tcPr>
            <w:tcW w:w="991" w:type="dxa"/>
            <w:noWrap w:val="0"/>
            <w:vAlign w:val="center"/>
          </w:tcPr>
          <w:p w14:paraId="1CB6677F">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总价（元）</w:t>
            </w:r>
          </w:p>
        </w:tc>
        <w:tc>
          <w:tcPr>
            <w:tcW w:w="800" w:type="dxa"/>
            <w:noWrap w:val="0"/>
            <w:vAlign w:val="center"/>
          </w:tcPr>
          <w:p w14:paraId="6FA26530">
            <w:pPr>
              <w:spacing w:beforeLines="50" w:afterLines="50"/>
              <w:jc w:val="center"/>
              <w:rPr>
                <w:rFonts w:hint="default" w:ascii="宋体" w:hAnsi="宋体" w:eastAsia="宋体" w:cs="Times New Roman"/>
                <w:b/>
                <w:color w:val="auto"/>
                <w:sz w:val="24"/>
                <w:szCs w:val="24"/>
                <w:highlight w:val="none"/>
                <w:lang w:val="en-US" w:eastAsia="zh-CN"/>
              </w:rPr>
            </w:pPr>
            <w:r>
              <w:rPr>
                <w:rFonts w:hint="eastAsia" w:ascii="宋体" w:hAnsi="宋体" w:cs="Times New Roman"/>
                <w:b/>
                <w:color w:val="auto"/>
                <w:sz w:val="24"/>
                <w:szCs w:val="24"/>
                <w:highlight w:val="none"/>
                <w:lang w:val="en-US" w:eastAsia="zh-CN"/>
              </w:rPr>
              <w:t>响应报价下浮率</w:t>
            </w:r>
          </w:p>
        </w:tc>
        <w:tc>
          <w:tcPr>
            <w:tcW w:w="800" w:type="dxa"/>
            <w:noWrap w:val="0"/>
            <w:vAlign w:val="center"/>
          </w:tcPr>
          <w:p w14:paraId="438B8D96">
            <w:pPr>
              <w:spacing w:beforeLines="50" w:afterLines="5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交货地点</w:t>
            </w:r>
          </w:p>
        </w:tc>
      </w:tr>
      <w:tr w14:paraId="4C32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B42ED52">
            <w:pPr>
              <w:spacing w:beforeLines="50" w:afterLines="5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p>
        </w:tc>
        <w:tc>
          <w:tcPr>
            <w:tcW w:w="1297" w:type="dxa"/>
            <w:noWrap w:val="0"/>
            <w:vAlign w:val="center"/>
          </w:tcPr>
          <w:p w14:paraId="7E135413">
            <w:pPr>
              <w:spacing w:beforeLines="50" w:afterLines="50"/>
              <w:jc w:val="center"/>
              <w:rPr>
                <w:rFonts w:ascii="宋体" w:hAnsi="宋体" w:eastAsia="宋体" w:cs="Times New Roman"/>
                <w:color w:val="auto"/>
                <w:sz w:val="24"/>
                <w:szCs w:val="24"/>
                <w:highlight w:val="none"/>
              </w:rPr>
            </w:pPr>
          </w:p>
        </w:tc>
        <w:tc>
          <w:tcPr>
            <w:tcW w:w="1274" w:type="dxa"/>
            <w:noWrap w:val="0"/>
            <w:vAlign w:val="center"/>
          </w:tcPr>
          <w:p w14:paraId="5BCA7C9C">
            <w:pPr>
              <w:spacing w:beforeLines="50" w:afterLines="50"/>
              <w:jc w:val="center"/>
              <w:rPr>
                <w:rFonts w:ascii="宋体" w:hAnsi="宋体" w:eastAsia="宋体" w:cs="Times New Roman"/>
                <w:color w:val="auto"/>
                <w:sz w:val="24"/>
                <w:szCs w:val="24"/>
                <w:highlight w:val="none"/>
              </w:rPr>
            </w:pPr>
          </w:p>
        </w:tc>
        <w:tc>
          <w:tcPr>
            <w:tcW w:w="908" w:type="dxa"/>
            <w:noWrap w:val="0"/>
            <w:vAlign w:val="center"/>
          </w:tcPr>
          <w:p w14:paraId="1CA0BC17">
            <w:pPr>
              <w:spacing w:beforeLines="50" w:afterLines="50"/>
              <w:jc w:val="center"/>
              <w:rPr>
                <w:rFonts w:ascii="宋体" w:hAnsi="宋体" w:eastAsia="宋体" w:cs="Times New Roman"/>
                <w:color w:val="auto"/>
                <w:sz w:val="24"/>
                <w:szCs w:val="24"/>
                <w:highlight w:val="none"/>
              </w:rPr>
            </w:pPr>
          </w:p>
        </w:tc>
        <w:tc>
          <w:tcPr>
            <w:tcW w:w="836" w:type="dxa"/>
            <w:noWrap w:val="0"/>
            <w:vAlign w:val="center"/>
          </w:tcPr>
          <w:p w14:paraId="52D03DA4">
            <w:pPr>
              <w:spacing w:beforeLines="50" w:afterLines="50"/>
              <w:jc w:val="center"/>
              <w:rPr>
                <w:rFonts w:ascii="宋体" w:hAnsi="宋体" w:eastAsia="宋体" w:cs="Times New Roman"/>
                <w:color w:val="auto"/>
                <w:sz w:val="24"/>
                <w:szCs w:val="24"/>
                <w:highlight w:val="none"/>
              </w:rPr>
            </w:pPr>
          </w:p>
        </w:tc>
        <w:tc>
          <w:tcPr>
            <w:tcW w:w="835" w:type="dxa"/>
            <w:noWrap w:val="0"/>
            <w:vAlign w:val="center"/>
          </w:tcPr>
          <w:p w14:paraId="281E2527">
            <w:pPr>
              <w:spacing w:beforeLines="50" w:afterLines="50"/>
              <w:jc w:val="center"/>
              <w:rPr>
                <w:rFonts w:ascii="宋体" w:hAnsi="宋体" w:eastAsia="宋体" w:cs="Times New Roman"/>
                <w:color w:val="auto"/>
                <w:sz w:val="24"/>
                <w:szCs w:val="24"/>
                <w:highlight w:val="none"/>
              </w:rPr>
            </w:pPr>
          </w:p>
        </w:tc>
        <w:tc>
          <w:tcPr>
            <w:tcW w:w="990" w:type="dxa"/>
            <w:noWrap w:val="0"/>
            <w:vAlign w:val="center"/>
          </w:tcPr>
          <w:p w14:paraId="1B46DE6A">
            <w:pPr>
              <w:spacing w:beforeLines="50" w:afterLines="50"/>
              <w:jc w:val="center"/>
              <w:rPr>
                <w:rFonts w:ascii="宋体" w:hAnsi="宋体" w:eastAsia="宋体" w:cs="Times New Roman"/>
                <w:color w:val="auto"/>
                <w:sz w:val="24"/>
                <w:szCs w:val="24"/>
                <w:highlight w:val="none"/>
              </w:rPr>
            </w:pPr>
          </w:p>
        </w:tc>
        <w:tc>
          <w:tcPr>
            <w:tcW w:w="991" w:type="dxa"/>
            <w:noWrap w:val="0"/>
            <w:vAlign w:val="center"/>
          </w:tcPr>
          <w:p w14:paraId="20E39760">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52AE8830">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2BC02049">
            <w:pPr>
              <w:spacing w:beforeLines="50" w:afterLines="50"/>
              <w:jc w:val="center"/>
              <w:rPr>
                <w:rFonts w:ascii="宋体" w:hAnsi="宋体" w:eastAsia="宋体" w:cs="Times New Roman"/>
                <w:color w:val="auto"/>
                <w:sz w:val="24"/>
                <w:szCs w:val="24"/>
                <w:highlight w:val="none"/>
              </w:rPr>
            </w:pPr>
          </w:p>
        </w:tc>
      </w:tr>
      <w:tr w14:paraId="4D73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4E14CB5A">
            <w:pPr>
              <w:spacing w:beforeLines="50" w:afterLines="5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p>
        </w:tc>
        <w:tc>
          <w:tcPr>
            <w:tcW w:w="1297" w:type="dxa"/>
            <w:noWrap w:val="0"/>
            <w:vAlign w:val="center"/>
          </w:tcPr>
          <w:p w14:paraId="5DCFEEC7">
            <w:pPr>
              <w:spacing w:beforeLines="50" w:afterLines="50"/>
              <w:jc w:val="center"/>
              <w:rPr>
                <w:rFonts w:ascii="宋体" w:hAnsi="宋体" w:eastAsia="宋体" w:cs="Times New Roman"/>
                <w:color w:val="auto"/>
                <w:sz w:val="24"/>
                <w:szCs w:val="24"/>
                <w:highlight w:val="none"/>
              </w:rPr>
            </w:pPr>
          </w:p>
        </w:tc>
        <w:tc>
          <w:tcPr>
            <w:tcW w:w="1274" w:type="dxa"/>
            <w:noWrap w:val="0"/>
            <w:vAlign w:val="center"/>
          </w:tcPr>
          <w:p w14:paraId="405925F0">
            <w:pPr>
              <w:spacing w:beforeLines="50" w:afterLines="50"/>
              <w:jc w:val="center"/>
              <w:rPr>
                <w:rFonts w:ascii="宋体" w:hAnsi="宋体" w:eastAsia="宋体" w:cs="Times New Roman"/>
                <w:color w:val="auto"/>
                <w:sz w:val="24"/>
                <w:szCs w:val="24"/>
                <w:highlight w:val="none"/>
              </w:rPr>
            </w:pPr>
          </w:p>
        </w:tc>
        <w:tc>
          <w:tcPr>
            <w:tcW w:w="908" w:type="dxa"/>
            <w:noWrap w:val="0"/>
            <w:vAlign w:val="center"/>
          </w:tcPr>
          <w:p w14:paraId="6F2347C3">
            <w:pPr>
              <w:spacing w:beforeLines="50" w:afterLines="50"/>
              <w:jc w:val="center"/>
              <w:rPr>
                <w:rFonts w:ascii="宋体" w:hAnsi="宋体" w:eastAsia="宋体" w:cs="Times New Roman"/>
                <w:color w:val="auto"/>
                <w:sz w:val="24"/>
                <w:szCs w:val="24"/>
                <w:highlight w:val="none"/>
              </w:rPr>
            </w:pPr>
          </w:p>
        </w:tc>
        <w:tc>
          <w:tcPr>
            <w:tcW w:w="836" w:type="dxa"/>
            <w:noWrap w:val="0"/>
            <w:vAlign w:val="center"/>
          </w:tcPr>
          <w:p w14:paraId="1DCB0E54">
            <w:pPr>
              <w:spacing w:beforeLines="50" w:afterLines="50"/>
              <w:jc w:val="center"/>
              <w:rPr>
                <w:rFonts w:ascii="宋体" w:hAnsi="宋体" w:eastAsia="宋体" w:cs="Times New Roman"/>
                <w:color w:val="auto"/>
                <w:sz w:val="24"/>
                <w:szCs w:val="24"/>
                <w:highlight w:val="none"/>
              </w:rPr>
            </w:pPr>
          </w:p>
        </w:tc>
        <w:tc>
          <w:tcPr>
            <w:tcW w:w="835" w:type="dxa"/>
            <w:noWrap w:val="0"/>
            <w:vAlign w:val="center"/>
          </w:tcPr>
          <w:p w14:paraId="4C048412">
            <w:pPr>
              <w:spacing w:beforeLines="50" w:afterLines="50"/>
              <w:jc w:val="center"/>
              <w:rPr>
                <w:rFonts w:ascii="宋体" w:hAnsi="宋体" w:eastAsia="宋体" w:cs="Times New Roman"/>
                <w:color w:val="auto"/>
                <w:sz w:val="24"/>
                <w:szCs w:val="24"/>
                <w:highlight w:val="none"/>
              </w:rPr>
            </w:pPr>
          </w:p>
        </w:tc>
        <w:tc>
          <w:tcPr>
            <w:tcW w:w="990" w:type="dxa"/>
            <w:noWrap w:val="0"/>
            <w:vAlign w:val="center"/>
          </w:tcPr>
          <w:p w14:paraId="37F5BF79">
            <w:pPr>
              <w:spacing w:beforeLines="50" w:afterLines="50"/>
              <w:jc w:val="center"/>
              <w:rPr>
                <w:rFonts w:ascii="宋体" w:hAnsi="宋体" w:eastAsia="宋体" w:cs="Times New Roman"/>
                <w:color w:val="auto"/>
                <w:sz w:val="24"/>
                <w:szCs w:val="24"/>
                <w:highlight w:val="none"/>
              </w:rPr>
            </w:pPr>
          </w:p>
        </w:tc>
        <w:tc>
          <w:tcPr>
            <w:tcW w:w="991" w:type="dxa"/>
            <w:noWrap w:val="0"/>
            <w:vAlign w:val="center"/>
          </w:tcPr>
          <w:p w14:paraId="6578752F">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7308B4EE">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671361B2">
            <w:pPr>
              <w:spacing w:beforeLines="50" w:afterLines="50"/>
              <w:jc w:val="center"/>
              <w:rPr>
                <w:rFonts w:ascii="宋体" w:hAnsi="宋体" w:eastAsia="宋体" w:cs="Times New Roman"/>
                <w:color w:val="auto"/>
                <w:sz w:val="24"/>
                <w:szCs w:val="24"/>
                <w:highlight w:val="none"/>
              </w:rPr>
            </w:pPr>
          </w:p>
        </w:tc>
      </w:tr>
      <w:tr w14:paraId="3A11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460D835">
            <w:pPr>
              <w:spacing w:beforeLines="50" w:afterLines="5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p>
        </w:tc>
        <w:tc>
          <w:tcPr>
            <w:tcW w:w="1297" w:type="dxa"/>
            <w:noWrap w:val="0"/>
            <w:vAlign w:val="center"/>
          </w:tcPr>
          <w:p w14:paraId="0AA31FDD">
            <w:pPr>
              <w:spacing w:beforeLines="50" w:afterLines="50"/>
              <w:jc w:val="center"/>
              <w:rPr>
                <w:rFonts w:ascii="宋体" w:hAnsi="宋体" w:eastAsia="宋体" w:cs="Times New Roman"/>
                <w:color w:val="auto"/>
                <w:sz w:val="24"/>
                <w:szCs w:val="24"/>
                <w:highlight w:val="none"/>
              </w:rPr>
            </w:pPr>
          </w:p>
        </w:tc>
        <w:tc>
          <w:tcPr>
            <w:tcW w:w="1274" w:type="dxa"/>
            <w:noWrap w:val="0"/>
            <w:vAlign w:val="center"/>
          </w:tcPr>
          <w:p w14:paraId="293E609B">
            <w:pPr>
              <w:spacing w:beforeLines="50" w:afterLines="50"/>
              <w:jc w:val="center"/>
              <w:rPr>
                <w:rFonts w:ascii="宋体" w:hAnsi="宋体" w:eastAsia="宋体" w:cs="Times New Roman"/>
                <w:color w:val="auto"/>
                <w:sz w:val="24"/>
                <w:szCs w:val="24"/>
                <w:highlight w:val="none"/>
              </w:rPr>
            </w:pPr>
          </w:p>
        </w:tc>
        <w:tc>
          <w:tcPr>
            <w:tcW w:w="908" w:type="dxa"/>
            <w:noWrap w:val="0"/>
            <w:vAlign w:val="center"/>
          </w:tcPr>
          <w:p w14:paraId="19963884">
            <w:pPr>
              <w:spacing w:beforeLines="50" w:afterLines="50"/>
              <w:jc w:val="center"/>
              <w:rPr>
                <w:rFonts w:ascii="宋体" w:hAnsi="宋体" w:eastAsia="宋体" w:cs="Times New Roman"/>
                <w:color w:val="auto"/>
                <w:sz w:val="24"/>
                <w:szCs w:val="24"/>
                <w:highlight w:val="none"/>
              </w:rPr>
            </w:pPr>
          </w:p>
        </w:tc>
        <w:tc>
          <w:tcPr>
            <w:tcW w:w="836" w:type="dxa"/>
            <w:noWrap w:val="0"/>
            <w:vAlign w:val="center"/>
          </w:tcPr>
          <w:p w14:paraId="436B4B24">
            <w:pPr>
              <w:spacing w:beforeLines="50" w:afterLines="50"/>
              <w:jc w:val="center"/>
              <w:rPr>
                <w:rFonts w:ascii="宋体" w:hAnsi="宋体" w:eastAsia="宋体" w:cs="Times New Roman"/>
                <w:color w:val="auto"/>
                <w:sz w:val="24"/>
                <w:szCs w:val="24"/>
                <w:highlight w:val="none"/>
              </w:rPr>
            </w:pPr>
          </w:p>
        </w:tc>
        <w:tc>
          <w:tcPr>
            <w:tcW w:w="835" w:type="dxa"/>
            <w:noWrap w:val="0"/>
            <w:vAlign w:val="center"/>
          </w:tcPr>
          <w:p w14:paraId="0DB68081">
            <w:pPr>
              <w:spacing w:beforeLines="50" w:afterLines="50"/>
              <w:jc w:val="center"/>
              <w:rPr>
                <w:rFonts w:ascii="宋体" w:hAnsi="宋体" w:eastAsia="宋体" w:cs="Times New Roman"/>
                <w:color w:val="auto"/>
                <w:sz w:val="24"/>
                <w:szCs w:val="24"/>
                <w:highlight w:val="none"/>
              </w:rPr>
            </w:pPr>
          </w:p>
        </w:tc>
        <w:tc>
          <w:tcPr>
            <w:tcW w:w="990" w:type="dxa"/>
            <w:noWrap w:val="0"/>
            <w:vAlign w:val="center"/>
          </w:tcPr>
          <w:p w14:paraId="3510FB28">
            <w:pPr>
              <w:spacing w:beforeLines="50" w:afterLines="50"/>
              <w:jc w:val="center"/>
              <w:rPr>
                <w:rFonts w:ascii="宋体" w:hAnsi="宋体" w:eastAsia="宋体" w:cs="Times New Roman"/>
                <w:color w:val="auto"/>
                <w:sz w:val="24"/>
                <w:szCs w:val="24"/>
                <w:highlight w:val="none"/>
              </w:rPr>
            </w:pPr>
          </w:p>
        </w:tc>
        <w:tc>
          <w:tcPr>
            <w:tcW w:w="991" w:type="dxa"/>
            <w:noWrap w:val="0"/>
            <w:vAlign w:val="center"/>
          </w:tcPr>
          <w:p w14:paraId="3423C0A1">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63A7A5A2">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70D3A0BF">
            <w:pPr>
              <w:spacing w:beforeLines="50" w:afterLines="50"/>
              <w:jc w:val="center"/>
              <w:rPr>
                <w:rFonts w:ascii="宋体" w:hAnsi="宋体" w:eastAsia="宋体" w:cs="Times New Roman"/>
                <w:color w:val="auto"/>
                <w:sz w:val="24"/>
                <w:szCs w:val="24"/>
                <w:highlight w:val="none"/>
              </w:rPr>
            </w:pPr>
          </w:p>
        </w:tc>
      </w:tr>
      <w:tr w14:paraId="0FD7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25B1BD72">
            <w:pPr>
              <w:spacing w:beforeLines="50" w:afterLines="5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w:t>
            </w:r>
          </w:p>
        </w:tc>
        <w:tc>
          <w:tcPr>
            <w:tcW w:w="1297" w:type="dxa"/>
            <w:noWrap w:val="0"/>
            <w:vAlign w:val="center"/>
          </w:tcPr>
          <w:p w14:paraId="4D504DAA">
            <w:pPr>
              <w:spacing w:beforeLines="50" w:afterLines="50"/>
              <w:jc w:val="center"/>
              <w:rPr>
                <w:rFonts w:ascii="宋体" w:hAnsi="宋体" w:eastAsia="宋体" w:cs="Times New Roman"/>
                <w:color w:val="auto"/>
                <w:sz w:val="24"/>
                <w:szCs w:val="24"/>
                <w:highlight w:val="none"/>
              </w:rPr>
            </w:pPr>
          </w:p>
        </w:tc>
        <w:tc>
          <w:tcPr>
            <w:tcW w:w="1274" w:type="dxa"/>
            <w:noWrap w:val="0"/>
            <w:vAlign w:val="center"/>
          </w:tcPr>
          <w:p w14:paraId="46730908">
            <w:pPr>
              <w:spacing w:beforeLines="50" w:afterLines="50"/>
              <w:jc w:val="center"/>
              <w:rPr>
                <w:rFonts w:ascii="宋体" w:hAnsi="宋体" w:eastAsia="宋体" w:cs="Times New Roman"/>
                <w:color w:val="auto"/>
                <w:sz w:val="24"/>
                <w:szCs w:val="24"/>
                <w:highlight w:val="none"/>
              </w:rPr>
            </w:pPr>
          </w:p>
        </w:tc>
        <w:tc>
          <w:tcPr>
            <w:tcW w:w="908" w:type="dxa"/>
            <w:noWrap w:val="0"/>
            <w:vAlign w:val="center"/>
          </w:tcPr>
          <w:p w14:paraId="4EB13256">
            <w:pPr>
              <w:spacing w:beforeLines="50" w:afterLines="50"/>
              <w:jc w:val="center"/>
              <w:rPr>
                <w:rFonts w:ascii="宋体" w:hAnsi="宋体" w:eastAsia="宋体" w:cs="Times New Roman"/>
                <w:color w:val="auto"/>
                <w:sz w:val="24"/>
                <w:szCs w:val="24"/>
                <w:highlight w:val="none"/>
              </w:rPr>
            </w:pPr>
          </w:p>
        </w:tc>
        <w:tc>
          <w:tcPr>
            <w:tcW w:w="836" w:type="dxa"/>
            <w:noWrap w:val="0"/>
            <w:vAlign w:val="center"/>
          </w:tcPr>
          <w:p w14:paraId="121E13C6">
            <w:pPr>
              <w:spacing w:beforeLines="50" w:afterLines="50"/>
              <w:jc w:val="center"/>
              <w:rPr>
                <w:rFonts w:ascii="宋体" w:hAnsi="宋体" w:eastAsia="宋体" w:cs="Times New Roman"/>
                <w:color w:val="auto"/>
                <w:sz w:val="24"/>
                <w:szCs w:val="24"/>
                <w:highlight w:val="none"/>
              </w:rPr>
            </w:pPr>
          </w:p>
        </w:tc>
        <w:tc>
          <w:tcPr>
            <w:tcW w:w="835" w:type="dxa"/>
            <w:noWrap w:val="0"/>
            <w:vAlign w:val="center"/>
          </w:tcPr>
          <w:p w14:paraId="551FE173">
            <w:pPr>
              <w:spacing w:beforeLines="50" w:afterLines="50"/>
              <w:jc w:val="center"/>
              <w:rPr>
                <w:rFonts w:ascii="宋体" w:hAnsi="宋体" w:eastAsia="宋体" w:cs="Times New Roman"/>
                <w:color w:val="auto"/>
                <w:sz w:val="24"/>
                <w:szCs w:val="24"/>
                <w:highlight w:val="none"/>
              </w:rPr>
            </w:pPr>
          </w:p>
        </w:tc>
        <w:tc>
          <w:tcPr>
            <w:tcW w:w="990" w:type="dxa"/>
            <w:noWrap w:val="0"/>
            <w:vAlign w:val="center"/>
          </w:tcPr>
          <w:p w14:paraId="70C14A87">
            <w:pPr>
              <w:spacing w:beforeLines="50" w:afterLines="50"/>
              <w:jc w:val="center"/>
              <w:rPr>
                <w:rFonts w:ascii="宋体" w:hAnsi="宋体" w:eastAsia="宋体" w:cs="Times New Roman"/>
                <w:color w:val="auto"/>
                <w:sz w:val="24"/>
                <w:szCs w:val="24"/>
                <w:highlight w:val="none"/>
              </w:rPr>
            </w:pPr>
          </w:p>
        </w:tc>
        <w:tc>
          <w:tcPr>
            <w:tcW w:w="991" w:type="dxa"/>
            <w:noWrap w:val="0"/>
            <w:vAlign w:val="center"/>
          </w:tcPr>
          <w:p w14:paraId="6805C913">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10E6C1F4">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7C3464DD">
            <w:pPr>
              <w:spacing w:beforeLines="50" w:afterLines="50"/>
              <w:jc w:val="center"/>
              <w:rPr>
                <w:rFonts w:ascii="宋体" w:hAnsi="宋体" w:eastAsia="宋体" w:cs="Times New Roman"/>
                <w:color w:val="auto"/>
                <w:sz w:val="24"/>
                <w:szCs w:val="24"/>
                <w:highlight w:val="none"/>
              </w:rPr>
            </w:pPr>
          </w:p>
        </w:tc>
      </w:tr>
      <w:bookmarkEnd w:id="156"/>
      <w:tr w14:paraId="12F8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6" w:type="dxa"/>
            <w:gridSpan w:val="7"/>
            <w:noWrap w:val="0"/>
            <w:vAlign w:val="center"/>
          </w:tcPr>
          <w:p w14:paraId="7915C62A">
            <w:pPr>
              <w:spacing w:beforeLines="50" w:afterLines="5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合计</w:t>
            </w:r>
          </w:p>
        </w:tc>
        <w:tc>
          <w:tcPr>
            <w:tcW w:w="991" w:type="dxa"/>
            <w:noWrap w:val="0"/>
            <w:vAlign w:val="center"/>
          </w:tcPr>
          <w:p w14:paraId="6F6A0F20">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6BC5A896">
            <w:pPr>
              <w:spacing w:beforeLines="50" w:afterLines="50"/>
              <w:jc w:val="center"/>
              <w:rPr>
                <w:rFonts w:ascii="宋体" w:hAnsi="宋体" w:eastAsia="宋体" w:cs="Times New Roman"/>
                <w:color w:val="auto"/>
                <w:sz w:val="24"/>
                <w:szCs w:val="24"/>
                <w:highlight w:val="none"/>
              </w:rPr>
            </w:pPr>
          </w:p>
        </w:tc>
        <w:tc>
          <w:tcPr>
            <w:tcW w:w="800" w:type="dxa"/>
            <w:noWrap w:val="0"/>
            <w:vAlign w:val="center"/>
          </w:tcPr>
          <w:p w14:paraId="09767AE5">
            <w:pPr>
              <w:spacing w:beforeLines="50" w:afterLines="50"/>
              <w:jc w:val="center"/>
              <w:rPr>
                <w:rFonts w:ascii="宋体" w:hAnsi="宋体" w:eastAsia="宋体" w:cs="Times New Roman"/>
                <w:color w:val="auto"/>
                <w:sz w:val="24"/>
                <w:szCs w:val="24"/>
                <w:highlight w:val="none"/>
              </w:rPr>
            </w:pPr>
          </w:p>
        </w:tc>
      </w:tr>
    </w:tbl>
    <w:p w14:paraId="4BEDC17B">
      <w:pPr>
        <w:spacing w:line="360" w:lineRule="auto"/>
        <w:rPr>
          <w:rFonts w:ascii="宋体" w:hAnsi="宋体" w:eastAsia="宋体" w:cs="Times New Roman"/>
          <w:color w:val="auto"/>
          <w:sz w:val="24"/>
          <w:szCs w:val="24"/>
          <w:highlight w:val="none"/>
        </w:rPr>
      </w:pPr>
    </w:p>
    <w:p w14:paraId="7A95FF63">
      <w:pPr>
        <w:widowControl w:val="0"/>
        <w:adjustRightInd w:val="0"/>
        <w:snapToGrid w:val="0"/>
        <w:spacing w:line="360" w:lineRule="auto"/>
        <w:rPr>
          <w:rFonts w:ascii="宋体" w:hAnsi="宋体" w:cs="宋体"/>
          <w:b/>
          <w:color w:val="auto"/>
          <w:sz w:val="32"/>
          <w:szCs w:val="32"/>
          <w:highlight w:val="none"/>
        </w:rPr>
      </w:pPr>
      <w:r>
        <w:rPr>
          <w:rFonts w:hint="eastAsia" w:ascii="宋体"/>
          <w:color w:val="auto"/>
          <w:sz w:val="28"/>
          <w:szCs w:val="28"/>
          <w:highlight w:val="none"/>
        </w:rPr>
        <w:br w:type="page"/>
      </w:r>
      <w:r>
        <w:rPr>
          <w:rFonts w:hint="eastAsia" w:ascii="宋体" w:hAnsi="宋体" w:cs="宋体"/>
          <w:b/>
          <w:color w:val="auto"/>
          <w:sz w:val="32"/>
          <w:szCs w:val="32"/>
          <w:highlight w:val="none"/>
        </w:rPr>
        <w:t>同附件四：廉洁责任书</w:t>
      </w:r>
    </w:p>
    <w:p w14:paraId="7F9D8506">
      <w:pPr>
        <w:widowControl w:val="0"/>
        <w:jc w:val="center"/>
        <w:rPr>
          <w:rFonts w:ascii="宋体" w:hAnsi="宋体" w:cs="宋体"/>
          <w:b/>
          <w:color w:val="auto"/>
          <w:sz w:val="30"/>
          <w:szCs w:val="30"/>
          <w:highlight w:val="none"/>
        </w:rPr>
      </w:pPr>
      <w:r>
        <w:rPr>
          <w:rFonts w:hint="eastAsia" w:ascii="宋体" w:hAnsi="宋体" w:cs="宋体"/>
          <w:b/>
          <w:color w:val="auto"/>
          <w:sz w:val="30"/>
          <w:szCs w:val="30"/>
          <w:highlight w:val="none"/>
        </w:rPr>
        <w:t>廉洁责任书</w:t>
      </w:r>
    </w:p>
    <w:p w14:paraId="577EB4BB">
      <w:pPr>
        <w:spacing w:line="540" w:lineRule="exact"/>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 xml:space="preserve">买方（甲方）：                                               </w:t>
      </w:r>
    </w:p>
    <w:p w14:paraId="426031E8">
      <w:pPr>
        <w:spacing w:line="540" w:lineRule="exact"/>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 xml:space="preserve">卖方（乙方）：                                               </w:t>
      </w:r>
    </w:p>
    <w:p w14:paraId="2BFB8F10">
      <w:pPr>
        <w:tabs>
          <w:tab w:val="left" w:pos="709"/>
        </w:tabs>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为加强廉洁建设，防止主合同履约过程中发生各种谋取不正当利益的违法违纪行为，甲、乙双方经共同协商，在双方签订的</w:t>
      </w:r>
      <w:r>
        <w:rPr>
          <w:rFonts w:hint="eastAsia" w:ascii="Times New Roman" w:hAnsi="宋体" w:eastAsia="宋体" w:cs="Times New Roman"/>
          <w:color w:val="auto"/>
          <w:sz w:val="24"/>
          <w:szCs w:val="24"/>
          <w:highlight w:val="none"/>
          <w:lang w:val="en-US" w:eastAsia="zh-CN"/>
        </w:rPr>
        <w:t xml:space="preserve">              </w:t>
      </w:r>
      <w:r>
        <w:rPr>
          <w:rFonts w:hint="eastAsia" w:ascii="Times New Roman" w:hAnsi="宋体" w:eastAsia="宋体" w:cs="Times New Roman"/>
          <w:color w:val="auto"/>
          <w:sz w:val="24"/>
          <w:szCs w:val="24"/>
          <w:highlight w:val="none"/>
        </w:rPr>
        <w:t>项目（以下简称“本项目”）合同（合同编号：</w:t>
      </w:r>
      <w:r>
        <w:rPr>
          <w:rFonts w:hint="eastAsia" w:ascii="Times New Roman" w:hAnsi="宋体" w:eastAsia="宋体" w:cs="Times New Roman"/>
          <w:color w:val="auto"/>
          <w:sz w:val="24"/>
          <w:szCs w:val="24"/>
          <w:highlight w:val="none"/>
          <w:u w:val="single"/>
        </w:rPr>
        <w:t xml:space="preserve">                </w:t>
      </w:r>
      <w:r>
        <w:rPr>
          <w:rFonts w:hint="eastAsia" w:ascii="Times New Roman" w:hAnsi="宋体" w:eastAsia="宋体" w:cs="Times New Roman"/>
          <w:color w:val="auto"/>
          <w:sz w:val="24"/>
          <w:szCs w:val="24"/>
          <w:highlight w:val="none"/>
        </w:rPr>
        <w:t>，以下简称“主合同”）约定条款的基础上，根据国家有关法律法规和廉政建设的有关规定，特订立本廉洁责任书，以资共同遵守。</w:t>
      </w:r>
    </w:p>
    <w:p w14:paraId="536C3839">
      <w:pPr>
        <w:spacing w:beforeLines="30" w:line="540" w:lineRule="exact"/>
        <w:ind w:firstLine="477" w:firstLineChars="199"/>
        <w:rPr>
          <w:rFonts w:ascii="黑体" w:hAnsi="Times New Roman" w:eastAsia="宋体" w:cs="Times New Roman"/>
          <w:color w:val="auto"/>
          <w:sz w:val="24"/>
          <w:szCs w:val="24"/>
          <w:highlight w:val="none"/>
        </w:rPr>
      </w:pPr>
      <w:r>
        <w:rPr>
          <w:rFonts w:hint="eastAsia" w:ascii="黑体" w:hAnsi="宋体" w:eastAsia="宋体" w:cs="Times New Roman"/>
          <w:color w:val="auto"/>
          <w:sz w:val="24"/>
          <w:szCs w:val="24"/>
          <w:highlight w:val="none"/>
        </w:rPr>
        <w:t>一、双方的责任</w:t>
      </w:r>
    </w:p>
    <w:p w14:paraId="4FCCCCD2">
      <w:pPr>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（一）严格遵守国家关于□</w:t>
      </w:r>
      <w:r>
        <w:rPr>
          <w:rFonts w:hint="eastAsia" w:ascii="Times New Roman" w:hAnsi="宋体" w:eastAsia="宋体" w:cs="Times New Roman"/>
          <w:color w:val="auto"/>
          <w:sz w:val="24"/>
          <w:szCs w:val="24"/>
          <w:highlight w:val="none"/>
          <w:u w:val="single"/>
        </w:rPr>
        <w:t>建设工程、</w:t>
      </w:r>
      <w:r>
        <w:rPr>
          <w:rFonts w:hint="eastAsia" w:ascii="Times New Roman" w:hAnsi="宋体" w:eastAsia="宋体" w:cs="Times New Roman"/>
          <w:color w:val="auto"/>
          <w:sz w:val="24"/>
          <w:szCs w:val="24"/>
          <w:highlight w:val="none"/>
        </w:rPr>
        <w:sym w:font="Wingdings 2" w:char="0052"/>
      </w:r>
      <w:r>
        <w:rPr>
          <w:rFonts w:hint="eastAsia" w:ascii="Times New Roman" w:hAnsi="宋体" w:eastAsia="宋体" w:cs="Times New Roman"/>
          <w:color w:val="auto"/>
          <w:sz w:val="24"/>
          <w:szCs w:val="24"/>
          <w:highlight w:val="none"/>
          <w:u w:val="single"/>
        </w:rPr>
        <w:t>物资采购、</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u w:val="single"/>
        </w:rPr>
        <w:t>营运类服务</w:t>
      </w:r>
      <w:r>
        <w:rPr>
          <w:rFonts w:hint="eastAsia" w:ascii="Times New Roman" w:hAnsi="宋体" w:eastAsia="宋体" w:cs="Times New Roman"/>
          <w:color w:val="auto"/>
          <w:sz w:val="24"/>
          <w:szCs w:val="24"/>
          <w:highlight w:val="none"/>
        </w:rPr>
        <w:t>等有关法律法规、相关政策以及廉政建设的各项规定。</w:t>
      </w:r>
    </w:p>
    <w:p w14:paraId="1CC9A189">
      <w:pPr>
        <w:spacing w:line="540" w:lineRule="exact"/>
        <w:ind w:firstLine="352" w:firstLineChars="147"/>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（二）严格执行主合同条款，自觉按合同办事。</w:t>
      </w:r>
    </w:p>
    <w:p w14:paraId="1CCE504D">
      <w:pPr>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（三）业务活动必须坚持公开、公平、公正、诚信的原则，不得为获取不正当利益，损害国家、集体和对方利益，不得违反□</w:t>
      </w:r>
      <w:r>
        <w:rPr>
          <w:rFonts w:hint="eastAsia" w:ascii="Times New Roman" w:hAnsi="宋体" w:eastAsia="宋体" w:cs="Times New Roman"/>
          <w:color w:val="auto"/>
          <w:sz w:val="24"/>
          <w:szCs w:val="24"/>
          <w:highlight w:val="none"/>
          <w:u w:val="single"/>
        </w:rPr>
        <w:t>建设工程、</w:t>
      </w:r>
      <w:r>
        <w:rPr>
          <w:rFonts w:hint="eastAsia" w:ascii="Times New Roman" w:hAnsi="宋体" w:eastAsia="宋体" w:cs="Times New Roman"/>
          <w:color w:val="auto"/>
          <w:sz w:val="24"/>
          <w:szCs w:val="24"/>
          <w:highlight w:val="none"/>
        </w:rPr>
        <w:sym w:font="Wingdings 2" w:char="0052"/>
      </w:r>
      <w:r>
        <w:rPr>
          <w:rFonts w:hint="eastAsia" w:ascii="Times New Roman" w:hAnsi="宋体" w:eastAsia="宋体" w:cs="Times New Roman"/>
          <w:color w:val="auto"/>
          <w:sz w:val="24"/>
          <w:szCs w:val="24"/>
          <w:highlight w:val="none"/>
          <w:u w:val="single"/>
        </w:rPr>
        <w:t>物资采购、</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u w:val="single"/>
        </w:rPr>
        <w:t>营运类服务</w:t>
      </w:r>
      <w:r>
        <w:rPr>
          <w:rFonts w:hint="eastAsia" w:ascii="Times New Roman" w:hAnsi="宋体" w:eastAsia="宋体" w:cs="Times New Roman"/>
          <w:color w:val="auto"/>
          <w:sz w:val="24"/>
          <w:szCs w:val="24"/>
          <w:highlight w:val="none"/>
        </w:rPr>
        <w:t>管理的规章制度。</w:t>
      </w:r>
    </w:p>
    <w:p w14:paraId="36CF68D6">
      <w:pPr>
        <w:tabs>
          <w:tab w:val="left" w:pos="709"/>
        </w:tabs>
        <w:spacing w:line="540" w:lineRule="exact"/>
        <w:ind w:firstLine="352" w:firstLineChars="147"/>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（四）在业务活动中任何一方如发现单位或人员有违规、违纪、违法行为的，均有义务向其上级主管部门或纪检监察、司法等机关举报。</w:t>
      </w:r>
    </w:p>
    <w:p w14:paraId="6CE387C9">
      <w:pPr>
        <w:spacing w:beforeLines="30" w:line="540" w:lineRule="exact"/>
        <w:ind w:firstLine="477" w:firstLineChars="199"/>
        <w:rPr>
          <w:rFonts w:ascii="黑体" w:hAnsi="Times New Roman" w:eastAsia="宋体" w:cs="Times New Roman"/>
          <w:color w:val="auto"/>
          <w:sz w:val="24"/>
          <w:szCs w:val="24"/>
          <w:highlight w:val="none"/>
        </w:rPr>
      </w:pPr>
      <w:r>
        <w:rPr>
          <w:rFonts w:hint="eastAsia" w:ascii="黑体" w:hAnsi="宋体" w:eastAsia="宋体" w:cs="Times New Roman"/>
          <w:color w:val="auto"/>
          <w:sz w:val="24"/>
          <w:szCs w:val="24"/>
          <w:highlight w:val="none"/>
        </w:rPr>
        <w:t xml:space="preserve">二、甲方责任 </w:t>
      </w:r>
    </w:p>
    <w:p w14:paraId="5D752BBF">
      <w:pPr>
        <w:spacing w:line="540" w:lineRule="exact"/>
        <w:ind w:firstLine="360" w:firstLineChars="15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（一）甲方须向乙方介绍本单位有关廉政建设的各项制度和规定，并有权监督乙方履行主合同的廉洁情况。</w:t>
      </w:r>
    </w:p>
    <w:p w14:paraId="02D72087">
      <w:pPr>
        <w:spacing w:line="540" w:lineRule="exact"/>
        <w:ind w:firstLine="360" w:firstLineChars="15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（二）甲方须对本单位工作人员开展廉洁</w:t>
      </w:r>
      <w:r>
        <w:rPr>
          <w:rFonts w:ascii="Times New Roman" w:hAnsi="Times New Roman" w:eastAsia="宋体" w:cs="Times New Roman"/>
          <w:color w:val="auto"/>
          <w:highlight w:val="none"/>
        </w:rPr>
        <w:fldChar w:fldCharType="begin"/>
      </w:r>
      <w:r>
        <w:rPr>
          <w:rFonts w:ascii="Times New Roman" w:hAnsi="Times New Roman" w:eastAsia="宋体" w:cs="Times New Roman"/>
          <w:color w:val="auto"/>
          <w:highlight w:val="none"/>
        </w:rPr>
        <w:instrText xml:space="preserve"> HYPERLINK "http://www.jianshe99.com/web/wangxiao/" \t "_blank" \o "教育" </w:instrText>
      </w:r>
      <w:r>
        <w:rPr>
          <w:rFonts w:ascii="Times New Roman" w:hAnsi="Times New Roman" w:eastAsia="宋体" w:cs="Times New Roman"/>
          <w:color w:val="auto"/>
          <w:highlight w:val="none"/>
        </w:rPr>
        <w:fldChar w:fldCharType="separate"/>
      </w:r>
      <w:r>
        <w:rPr>
          <w:rFonts w:hint="eastAsia" w:ascii="Times New Roman" w:hAnsi="宋体" w:eastAsia="宋体" w:cs="Times New Roman"/>
          <w:color w:val="auto"/>
          <w:sz w:val="24"/>
          <w:szCs w:val="24"/>
          <w:highlight w:val="none"/>
        </w:rPr>
        <w:t>教育</w:t>
      </w:r>
      <w:r>
        <w:rPr>
          <w:rFonts w:hint="eastAsia" w:ascii="Times New Roman" w:hAnsi="宋体" w:eastAsia="宋体" w:cs="Times New Roman"/>
          <w:color w:val="auto"/>
          <w:sz w:val="24"/>
          <w:szCs w:val="24"/>
          <w:highlight w:val="none"/>
        </w:rPr>
        <w:fldChar w:fldCharType="end"/>
      </w:r>
      <w:r>
        <w:rPr>
          <w:rFonts w:hint="eastAsia" w:ascii="Times New Roman" w:hAnsi="宋体" w:eastAsia="宋体" w:cs="Times New Roman"/>
          <w:color w:val="auto"/>
          <w:sz w:val="24"/>
          <w:szCs w:val="24"/>
          <w:highlight w:val="none"/>
        </w:rPr>
        <w:t>，督促本单位从业人员遵守以下规定：</w:t>
      </w:r>
    </w:p>
    <w:p w14:paraId="25BDE97A">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1.不得向乙方索要或接受回扣、礼金、有价证券、贵重物品等，难以拒收的，必须按有关规定登记上交。</w:t>
      </w:r>
    </w:p>
    <w:p w14:paraId="5EA14961">
      <w:pPr>
        <w:spacing w:line="540" w:lineRule="exact"/>
        <w:ind w:firstLine="480" w:firstLineChars="200"/>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2.不得要求乙方报销任何应由甲方或其工作人员支付的费用。</w:t>
      </w:r>
    </w:p>
    <w:p w14:paraId="7A6D683A">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3.不得要求、暗示或接受乙方为甲方工作人员的住房装修、婚丧嫁娶、配偶子女工作安排以及出国（境）、旅游等事项提供方便。</w:t>
      </w:r>
    </w:p>
    <w:p w14:paraId="251C706D">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4.不得参加有可能影响公正履行岗位职责的乙方安排的宴请、健身、娱乐等活动。</w:t>
      </w:r>
    </w:p>
    <w:p w14:paraId="69828945">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5.不得向乙方推荐与主合同有关的劳务分包单位。</w:t>
      </w:r>
    </w:p>
    <w:p w14:paraId="68588836">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6.不得向乙方推荐甲方工作人员的配偶、子女、亲属参与主合同的设备材料、劳务分包等经济活动。</w:t>
      </w:r>
    </w:p>
    <w:p w14:paraId="216C8CE8">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7.不得有其他可能影响公正履行岗位职责的行为。</w:t>
      </w:r>
    </w:p>
    <w:p w14:paraId="6627440A">
      <w:pPr>
        <w:spacing w:beforeLines="30" w:line="540" w:lineRule="exact"/>
        <w:ind w:firstLine="477" w:firstLineChars="199"/>
        <w:rPr>
          <w:rFonts w:ascii="黑体" w:hAnsi="Times New Roman" w:eastAsia="宋体" w:cs="Times New Roman"/>
          <w:color w:val="auto"/>
          <w:sz w:val="24"/>
          <w:szCs w:val="24"/>
          <w:highlight w:val="none"/>
        </w:rPr>
      </w:pPr>
      <w:r>
        <w:rPr>
          <w:rFonts w:hint="eastAsia" w:ascii="黑体" w:hAnsi="宋体" w:eastAsia="宋体" w:cs="Times New Roman"/>
          <w:color w:val="auto"/>
          <w:sz w:val="24"/>
          <w:szCs w:val="24"/>
          <w:highlight w:val="none"/>
        </w:rPr>
        <w:t>三、乙方责任</w:t>
      </w:r>
    </w:p>
    <w:p w14:paraId="24097BA0">
      <w:pPr>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（一）乙方应了解并支持执行甲方有关廉政建设的各项制度和规定。</w:t>
      </w:r>
    </w:p>
    <w:p w14:paraId="4C8FD74D">
      <w:pPr>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（二）乙方应对本单位工作人员开展廉洁教育（包括甲方制定的有关廉政建设方面的各项制度和规定），按时出席甲方召集的有关会议。</w:t>
      </w:r>
    </w:p>
    <w:p w14:paraId="59E06BA0">
      <w:pPr>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（三）乙方应与甲方保持正常的业务交往，按照有关法律法规和程序开展业务工作，严格执行有关政策规定，并遵守以下规定：</w:t>
      </w:r>
    </w:p>
    <w:p w14:paraId="49DCFDE5">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1.不得向甲方及其工作人员赠送回扣、礼金、有价证券、贵重物品等。</w:t>
      </w:r>
    </w:p>
    <w:p w14:paraId="732C3804">
      <w:pPr>
        <w:spacing w:line="540" w:lineRule="exact"/>
        <w:ind w:firstLine="480" w:firstLineChars="200"/>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2.不得为甲方报销应由甲方或其工作人员支付的费用。</w:t>
      </w:r>
    </w:p>
    <w:p w14:paraId="67F2155B">
      <w:pPr>
        <w:spacing w:line="540" w:lineRule="exact"/>
        <w:ind w:firstLine="480" w:firstLineChars="200"/>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3.不得接受为甲方工作人员的住房装修、婚丧嫁娶、配偶子女工作安排以及出国（境）、旅游等事项提供方便。</w:t>
      </w:r>
    </w:p>
    <w:p w14:paraId="27C1140F">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4.不得为甲方及其工作人员安排、组织有可能影响公正履行岗位职责的宴请、健身、娱乐等活动。</w:t>
      </w:r>
    </w:p>
    <w:p w14:paraId="7A78CB09">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5.不得接受甲方推荐的与主合同有关的劳务分包单位。</w:t>
      </w:r>
    </w:p>
    <w:p w14:paraId="69B5370E">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6.不得接受甲方工作人员推荐其配偶、子女、亲属参与主合同的设备材料、劳务分包等经济活动。</w:t>
      </w:r>
    </w:p>
    <w:p w14:paraId="4AF8BAB7">
      <w:pPr>
        <w:spacing w:line="540" w:lineRule="exact"/>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7.不得有其他可能影响甲方工作人员公正履行岗位职责的行为。</w:t>
      </w:r>
    </w:p>
    <w:p w14:paraId="7C99BA0D">
      <w:pPr>
        <w:spacing w:beforeLines="30" w:line="540" w:lineRule="exact"/>
        <w:ind w:firstLine="477" w:firstLineChars="199"/>
        <w:rPr>
          <w:rFonts w:ascii="黑体" w:hAnsi="Times New Roman" w:eastAsia="宋体" w:cs="Times New Roman"/>
          <w:color w:val="auto"/>
          <w:sz w:val="24"/>
          <w:szCs w:val="24"/>
          <w:highlight w:val="none"/>
        </w:rPr>
      </w:pPr>
      <w:r>
        <w:rPr>
          <w:rFonts w:hint="eastAsia" w:ascii="黑体" w:hAnsi="宋体" w:eastAsia="宋体" w:cs="Times New Roman"/>
          <w:color w:val="auto"/>
          <w:sz w:val="24"/>
          <w:szCs w:val="24"/>
          <w:highlight w:val="none"/>
        </w:rPr>
        <w:t>四、违约责任及处理</w:t>
      </w:r>
    </w:p>
    <w:p w14:paraId="796A3EAC">
      <w:pPr>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（一）甲方工作人员有违反本责任书“一”、“二”款约定的，视情节轻重，依据有关法律法规和甲方相关制度规定给予组织处理、党纪政纪处分；涉嫌犯罪的，移交司法机关追究刑事责任；</w:t>
      </w:r>
    </w:p>
    <w:p w14:paraId="201138CF">
      <w:pPr>
        <w:adjustRightInd w:val="0"/>
        <w:snapToGrid w:val="0"/>
        <w:spacing w:line="560" w:lineRule="exact"/>
        <w:ind w:firstLine="420" w:firstLineChars="175"/>
        <w:rPr>
          <w:rFonts w:ascii="Times New Roman" w:hAnsi="宋体" w:eastAsia="宋体" w:cs="Times New Roman"/>
          <w:color w:val="auto"/>
          <w:highlight w:val="none"/>
        </w:rPr>
      </w:pPr>
      <w:r>
        <w:rPr>
          <w:rFonts w:hint="eastAsia" w:ascii="Times New Roman" w:hAnsi="宋体" w:eastAsia="宋体" w:cs="Times New Roman"/>
          <w:color w:val="auto"/>
          <w:sz w:val="24"/>
          <w:szCs w:val="24"/>
          <w:highlight w:val="none"/>
        </w:rPr>
        <w:t>（二）乙方工作人员有违反本责任书“一”、“三”款约定的，甲方有权向乙方单位上级纪检监察部门、有关行政管理部门等提出对乙方进行责任追究和处罚；涉嫌犯罪的，移送司法机关追究刑事责任；</w:t>
      </w:r>
    </w:p>
    <w:p w14:paraId="5E8222D2">
      <w:pPr>
        <w:tabs>
          <w:tab w:val="left" w:pos="709"/>
        </w:tabs>
        <w:spacing w:line="540" w:lineRule="exact"/>
        <w:ind w:firstLine="694" w:firstLineChars="247"/>
        <w:rPr>
          <w:rFonts w:ascii="Times New Roman" w:hAnsi="宋体" w:eastAsia="宋体" w:cs="Times New Roman"/>
          <w:b/>
          <w:bCs/>
          <w:color w:val="auto"/>
          <w:sz w:val="28"/>
          <w:szCs w:val="28"/>
          <w:highlight w:val="none"/>
        </w:rPr>
      </w:pPr>
      <w:r>
        <w:rPr>
          <w:rFonts w:hint="eastAsia" w:ascii="Times New Roman" w:hAnsi="宋体" w:eastAsia="宋体" w:cs="Times New Roman"/>
          <w:b/>
          <w:bCs/>
          <w:color w:val="auto"/>
          <w:sz w:val="28"/>
          <w:szCs w:val="28"/>
          <w:highlight w:val="none"/>
        </w:rPr>
        <w:t>□ 工程建设项目选择此项</w:t>
      </w:r>
    </w:p>
    <w:p w14:paraId="66129575">
      <w:pPr>
        <w:tabs>
          <w:tab w:val="left" w:pos="709"/>
        </w:tabs>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三）乙方应严格执行有关勘察设计、建筑施工安装的强制性标准和规范，以及监理法规，根据广州市及甲方关于水务工程勘察设计、施工和监理企业诚信评价的有关规定，如乙方存在被纪检监察部门认定有行贿行为、被法院判决犯有行贿罪记录等违反廉政规定的，甲方书面提请水务行政主管部门处理。</w:t>
      </w:r>
    </w:p>
    <w:p w14:paraId="4741C7E8">
      <w:pPr>
        <w:tabs>
          <w:tab w:val="left" w:pos="7513"/>
        </w:tabs>
        <w:spacing w:beforeLines="30" w:line="540" w:lineRule="exact"/>
        <w:ind w:firstLine="477" w:firstLineChars="199"/>
        <w:rPr>
          <w:rFonts w:ascii="黑体" w:hAnsi="Times New Roman" w:eastAsia="宋体" w:cs="Times New Roman"/>
          <w:color w:val="auto"/>
          <w:sz w:val="24"/>
          <w:szCs w:val="24"/>
          <w:highlight w:val="none"/>
        </w:rPr>
      </w:pPr>
      <w:r>
        <w:rPr>
          <w:rFonts w:hint="eastAsia" w:ascii="黑体" w:hAnsi="宋体" w:eastAsia="宋体" w:cs="Times New Roman"/>
          <w:color w:val="auto"/>
          <w:sz w:val="24"/>
          <w:szCs w:val="24"/>
          <w:highlight w:val="none"/>
        </w:rPr>
        <w:t>五、责任书有效期</w:t>
      </w:r>
    </w:p>
    <w:p w14:paraId="2E9DF1C3">
      <w:pPr>
        <w:spacing w:line="540" w:lineRule="exact"/>
        <w:ind w:firstLine="352" w:firstLineChars="147"/>
        <w:rPr>
          <w:rFonts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（一）本责任书作为主合同组成部分，与主合同具有同等法律效力。经双方签署后立即生效。</w:t>
      </w:r>
    </w:p>
    <w:p w14:paraId="18E0DE11">
      <w:pPr>
        <w:spacing w:line="540" w:lineRule="exact"/>
        <w:ind w:firstLine="352" w:firstLineChars="147"/>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（二）本责任书的有效期为合同生效之日起至主合同履约结束时止。</w:t>
      </w:r>
    </w:p>
    <w:p w14:paraId="765E5D23">
      <w:pPr>
        <w:spacing w:line="560" w:lineRule="exact"/>
        <w:rPr>
          <w:rFonts w:ascii="仿宋" w:hAnsi="仿宋" w:eastAsia="宋体" w:cs="仿宋"/>
          <w:color w:val="auto"/>
          <w:sz w:val="24"/>
          <w:szCs w:val="24"/>
          <w:highlight w:val="none"/>
        </w:rPr>
      </w:pPr>
    </w:p>
    <w:p w14:paraId="61DB897D">
      <w:pPr>
        <w:spacing w:line="560" w:lineRule="exact"/>
        <w:rPr>
          <w:rFonts w:ascii="仿宋" w:hAnsi="仿宋" w:eastAsia="宋体" w:cs="仿宋"/>
          <w:color w:val="auto"/>
          <w:sz w:val="24"/>
          <w:szCs w:val="24"/>
          <w:highlight w:val="none"/>
        </w:rPr>
      </w:pPr>
    </w:p>
    <w:p w14:paraId="330CE4FF">
      <w:pPr>
        <w:spacing w:line="560" w:lineRule="exact"/>
        <w:rPr>
          <w:rFonts w:ascii="仿宋_GB2312" w:hAnsi="仿宋" w:eastAsia="宋体" w:cs="仿宋"/>
          <w:color w:val="auto"/>
          <w:sz w:val="24"/>
          <w:szCs w:val="24"/>
          <w:highlight w:val="none"/>
        </w:rPr>
      </w:pPr>
      <w:r>
        <w:rPr>
          <w:rFonts w:hint="eastAsia" w:ascii="仿宋_GB2312" w:hAnsi="仿宋" w:eastAsia="宋体" w:cs="仿宋"/>
          <w:color w:val="auto"/>
          <w:sz w:val="24"/>
          <w:szCs w:val="24"/>
          <w:highlight w:val="none"/>
        </w:rPr>
        <w:t>甲方单位：（盖章）                      乙方单位：（盖章）</w:t>
      </w:r>
    </w:p>
    <w:p w14:paraId="599943E5">
      <w:pPr>
        <w:spacing w:line="560" w:lineRule="exact"/>
        <w:rPr>
          <w:rFonts w:ascii="仿宋_GB2312" w:hAnsi="仿宋" w:eastAsia="宋体" w:cs="仿宋"/>
          <w:color w:val="auto"/>
          <w:sz w:val="24"/>
          <w:szCs w:val="24"/>
          <w:highlight w:val="none"/>
        </w:rPr>
      </w:pPr>
      <w:r>
        <w:rPr>
          <w:rFonts w:hint="eastAsia" w:ascii="仿宋_GB2312" w:hAnsi="仿宋" w:eastAsia="宋体" w:cs="仿宋"/>
          <w:color w:val="auto"/>
          <w:sz w:val="24"/>
          <w:szCs w:val="24"/>
          <w:highlight w:val="none"/>
        </w:rPr>
        <w:t>甲方监督单位：广州市自来水</w:t>
      </w:r>
      <w:r>
        <w:rPr>
          <w:rFonts w:hint="eastAsia" w:ascii="仿宋_GB2312" w:hAnsi="仿宋" w:eastAsia="宋体" w:cs="仿宋"/>
          <w:color w:val="auto"/>
          <w:sz w:val="24"/>
          <w:szCs w:val="24"/>
          <w:highlight w:val="none"/>
          <w:lang w:val="en-US" w:eastAsia="zh-CN"/>
        </w:rPr>
        <w:t>有限</w:t>
      </w:r>
      <w:r>
        <w:rPr>
          <w:rFonts w:hint="eastAsia" w:ascii="仿宋_GB2312" w:hAnsi="仿宋" w:eastAsia="宋体" w:cs="仿宋"/>
          <w:color w:val="auto"/>
          <w:sz w:val="24"/>
          <w:szCs w:val="24"/>
          <w:highlight w:val="none"/>
        </w:rPr>
        <w:t>公司     乙方监督单位：</w:t>
      </w:r>
    </w:p>
    <w:p w14:paraId="7F798549">
      <w:pPr>
        <w:spacing w:line="560" w:lineRule="exact"/>
        <w:ind w:firstLine="1920" w:firstLineChars="800"/>
        <w:rPr>
          <w:rFonts w:ascii="仿宋_GB2312" w:hAnsi="仿宋" w:eastAsia="宋体" w:cs="仿宋"/>
          <w:color w:val="auto"/>
          <w:sz w:val="24"/>
          <w:szCs w:val="24"/>
          <w:highlight w:val="none"/>
        </w:rPr>
      </w:pPr>
      <w:r>
        <w:rPr>
          <w:rFonts w:hint="eastAsia" w:ascii="仿宋_GB2312" w:hAnsi="仿宋" w:eastAsia="宋体" w:cs="仿宋"/>
          <w:color w:val="auto"/>
          <w:sz w:val="24"/>
          <w:szCs w:val="24"/>
          <w:highlight w:val="none"/>
        </w:rPr>
        <w:t>纪检室</w:t>
      </w:r>
    </w:p>
    <w:p w14:paraId="0E1ADF05">
      <w:pPr>
        <w:spacing w:line="560" w:lineRule="exact"/>
        <w:rPr>
          <w:rFonts w:ascii="仿宋_GB2312" w:hAnsi="仿宋" w:eastAsia="宋体" w:cs="仿宋"/>
          <w:color w:val="auto"/>
          <w:sz w:val="24"/>
          <w:szCs w:val="24"/>
          <w:highlight w:val="none"/>
        </w:rPr>
      </w:pPr>
      <w:r>
        <w:rPr>
          <w:rFonts w:hint="eastAsia" w:ascii="仿宋_GB2312" w:hAnsi="仿宋" w:eastAsia="宋体" w:cs="仿宋"/>
          <w:color w:val="auto"/>
          <w:sz w:val="24"/>
          <w:szCs w:val="24"/>
          <w:highlight w:val="none"/>
        </w:rPr>
        <w:t>甲方监督电话：020-87159082             乙方监督电话：</w:t>
      </w:r>
    </w:p>
    <w:p w14:paraId="58C2A746">
      <w:pPr>
        <w:spacing w:line="420" w:lineRule="exact"/>
        <w:ind w:firstLine="360" w:firstLineChars="150"/>
        <w:rPr>
          <w:rFonts w:ascii="仿宋_GB2312" w:hAnsi="仿宋" w:eastAsia="宋体" w:cs="仿宋"/>
          <w:color w:val="auto"/>
          <w:sz w:val="24"/>
          <w:szCs w:val="24"/>
          <w:highlight w:val="none"/>
        </w:rPr>
      </w:pPr>
      <w:r>
        <w:rPr>
          <w:rFonts w:hint="eastAsia" w:ascii="仿宋_GB2312" w:hAnsi="仿宋" w:eastAsia="宋体" w:cs="仿宋"/>
          <w:color w:val="auto"/>
          <w:sz w:val="24"/>
          <w:szCs w:val="24"/>
          <w:highlight w:val="none"/>
        </w:rPr>
        <w:t>年   月   日                             年   月  日</w:t>
      </w:r>
    </w:p>
    <w:p w14:paraId="4D688950">
      <w:pPr>
        <w:widowControl/>
        <w:adjustRightInd/>
        <w:snapToGrid/>
        <w:spacing w:line="240" w:lineRule="auto"/>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合同附件六：履约保证金格式</w:t>
      </w:r>
    </w:p>
    <w:p w14:paraId="7C8B33E7">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如采用银行保函，格式如下。</w:t>
      </w:r>
    </w:p>
    <w:p w14:paraId="02AB3631">
      <w:pPr>
        <w:widowControl w:val="0"/>
        <w:adjustRightInd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履约银行保函</w:t>
      </w:r>
    </w:p>
    <w:p w14:paraId="236BBBC4">
      <w:pPr>
        <w:widowControl w:val="0"/>
        <w:adjustRightInd w:val="0"/>
        <w:snapToGrid w:val="0"/>
        <w:spacing w:line="360" w:lineRule="auto"/>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（买方名称）</w:t>
      </w:r>
      <w:r>
        <w:rPr>
          <w:rFonts w:hint="eastAsia" w:ascii="宋体" w:hAnsi="宋体" w:eastAsia="宋体" w:cs="宋体"/>
          <w:color w:val="auto"/>
          <w:sz w:val="24"/>
          <w:szCs w:val="24"/>
          <w:highlight w:val="none"/>
        </w:rPr>
        <w:t>：</w:t>
      </w:r>
    </w:p>
    <w:p w14:paraId="0E734741">
      <w:pPr>
        <w:widowControl w:val="0"/>
        <w:adjustRightInd w:val="0"/>
        <w:snapToGrid w:val="0"/>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rPr>
        <w:t>（买方名称）(以下简称“买方”）</w:t>
      </w:r>
      <w:r>
        <w:rPr>
          <w:rFonts w:hint="eastAsia" w:ascii="宋体" w:hAnsi="宋体" w:eastAsia="宋体" w:cs="宋体"/>
          <w:color w:val="auto"/>
          <w:sz w:val="24"/>
          <w:szCs w:val="24"/>
          <w:highlight w:val="none"/>
        </w:rPr>
        <w:t>接受（卖方名称，以下称“卖方”）于20年 月 日参加</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采购招标项目的投标。我方愿意无条件地、不可撤销地就卖方履行与你方订立的合同，向你方提供担保。</w:t>
      </w:r>
    </w:p>
    <w:p w14:paraId="085AB8E1">
      <w:pPr>
        <w:widowControl w:val="0"/>
        <w:adjustRightInd w:val="0"/>
        <w:snapToGrid w:val="0"/>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担保金额人民币（大写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6149CCD8">
      <w:pPr>
        <w:widowControl w:val="0"/>
        <w:adjustRightInd w:val="0"/>
        <w:snapToGrid w:val="0"/>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担保有效期自买方与卖方签订的合同生效之日起至合同</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验收证书或验收款支付函签署之日起28日后失效。</w:t>
      </w:r>
    </w:p>
    <w:p w14:paraId="5732C147">
      <w:pPr>
        <w:widowControl w:val="0"/>
        <w:adjustRightInd w:val="0"/>
        <w:snapToGrid w:val="0"/>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在本担保有效期内，如果卖方不履行合同约定的义务或其履行不符合合同的约定，我方在收到你方以书面形式提出的在担保金额内的赔偿要求后，在7日内无条件支付。</w:t>
      </w:r>
    </w:p>
    <w:p w14:paraId="3E7EE644">
      <w:pPr>
        <w:widowControl w:val="0"/>
        <w:adjustRightInd w:val="0"/>
        <w:snapToGrid w:val="0"/>
        <w:spacing w:line="360" w:lineRule="auto"/>
        <w:ind w:firstLine="360" w:firstLineChars="150"/>
        <w:rPr>
          <w:rFonts w:ascii="宋体" w:hAnsi="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买方和卖方变更合同时，无论我方是否收到该变更，我方承担本担保规定的义务不变。</w:t>
      </w:r>
    </w:p>
    <w:p w14:paraId="6BF4E6EB">
      <w:pPr>
        <w:widowControl w:val="0"/>
        <w:adjustRightInd w:val="0"/>
        <w:snapToGrid w:val="0"/>
        <w:spacing w:line="360" w:lineRule="auto"/>
        <w:rPr>
          <w:rFonts w:ascii="宋体" w:hAnsi="宋体" w:cs="宋体"/>
          <w:color w:val="auto"/>
          <w:sz w:val="24"/>
          <w:szCs w:val="24"/>
          <w:highlight w:val="none"/>
        </w:rPr>
      </w:pPr>
    </w:p>
    <w:p w14:paraId="6CB4C750">
      <w:pPr>
        <w:widowControl w:val="0"/>
        <w:adjustRightInd w:val="0"/>
        <w:snapToGrid w:val="0"/>
        <w:spacing w:line="360" w:lineRule="auto"/>
        <w:rPr>
          <w:rFonts w:ascii="宋体" w:hAnsi="宋体" w:cs="宋体"/>
          <w:color w:val="auto"/>
          <w:sz w:val="24"/>
          <w:szCs w:val="24"/>
          <w:highlight w:val="none"/>
        </w:rPr>
      </w:pPr>
    </w:p>
    <w:p w14:paraId="76A5850A">
      <w:pPr>
        <w:widowControl w:val="0"/>
        <w:adjustRightInd w:val="0"/>
        <w:snapToGrid w:val="0"/>
        <w:spacing w:line="360" w:lineRule="auto"/>
        <w:ind w:firstLine="1560" w:firstLineChars="650"/>
        <w:rPr>
          <w:rFonts w:ascii="宋体" w:hAnsi="宋体" w:cs="宋体"/>
          <w:color w:val="auto"/>
          <w:sz w:val="24"/>
          <w:szCs w:val="24"/>
          <w:highlight w:val="none"/>
        </w:rPr>
      </w:pPr>
      <w:r>
        <w:rPr>
          <w:rFonts w:hint="eastAsia" w:ascii="宋体" w:hAnsi="宋体" w:cs="宋体"/>
          <w:color w:val="auto"/>
          <w:sz w:val="24"/>
          <w:szCs w:val="24"/>
          <w:highlight w:val="none"/>
        </w:rPr>
        <w:t>担保人名称 ：（盖单位章）</w:t>
      </w:r>
    </w:p>
    <w:p w14:paraId="4725ED52">
      <w:pPr>
        <w:widowControl w:val="0"/>
        <w:adjustRightInd w:val="0"/>
        <w:snapToGrid w:val="0"/>
        <w:spacing w:line="360" w:lineRule="auto"/>
        <w:ind w:firstLine="1560" w:firstLineChars="65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法定代表人（单位负责人）或其委托代理人：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p>
    <w:p w14:paraId="55336289">
      <w:pPr>
        <w:widowControl w:val="0"/>
        <w:adjustRightInd w:val="0"/>
        <w:snapToGrid w:val="0"/>
        <w:spacing w:line="360" w:lineRule="auto"/>
        <w:ind w:firstLine="6600" w:firstLineChars="2750"/>
        <w:rPr>
          <w:rFonts w:ascii="宋体" w:hAnsi="宋体" w:cs="宋体"/>
          <w:color w:val="auto"/>
          <w:sz w:val="24"/>
          <w:szCs w:val="24"/>
          <w:highlight w:val="none"/>
        </w:rPr>
      </w:pPr>
      <w:r>
        <w:rPr>
          <w:rFonts w:hint="eastAsia" w:ascii="宋体" w:hAnsi="宋体" w:cs="宋体"/>
          <w:color w:val="auto"/>
          <w:sz w:val="24"/>
          <w:szCs w:val="24"/>
          <w:highlight w:val="none"/>
        </w:rPr>
        <w:t>（签字或盖章）</w:t>
      </w:r>
    </w:p>
    <w:p w14:paraId="2E13F5DE">
      <w:pPr>
        <w:widowControl w:val="0"/>
        <w:adjustRightInd w:val="0"/>
        <w:snapToGrid w:val="0"/>
        <w:spacing w:line="360" w:lineRule="auto"/>
        <w:ind w:firstLine="1560" w:firstLineChars="650"/>
        <w:rPr>
          <w:rFonts w:ascii="宋体" w:hAnsi="宋体" w:cs="宋体"/>
          <w:color w:val="auto"/>
          <w:sz w:val="24"/>
          <w:szCs w:val="24"/>
          <w:highlight w:val="none"/>
        </w:rPr>
      </w:pPr>
      <w:r>
        <w:rPr>
          <w:rFonts w:hint="eastAsia" w:ascii="宋体" w:hAnsi="宋体" w:cs="宋体"/>
          <w:color w:val="auto"/>
          <w:sz w:val="24"/>
          <w:szCs w:val="24"/>
          <w:highlight w:val="none"/>
        </w:rPr>
        <w:t>地    址：</w:t>
      </w:r>
    </w:p>
    <w:p w14:paraId="05AFFF58">
      <w:pPr>
        <w:widowControl w:val="0"/>
        <w:adjustRightInd w:val="0"/>
        <w:snapToGrid w:val="0"/>
        <w:spacing w:line="360" w:lineRule="auto"/>
        <w:ind w:firstLine="1560" w:firstLineChars="650"/>
        <w:rPr>
          <w:rFonts w:ascii="宋体" w:hAnsi="宋体" w:cs="宋体"/>
          <w:color w:val="auto"/>
          <w:sz w:val="24"/>
          <w:szCs w:val="24"/>
          <w:highlight w:val="none"/>
        </w:rPr>
      </w:pPr>
      <w:r>
        <w:rPr>
          <w:rFonts w:hint="eastAsia" w:ascii="宋体" w:hAnsi="宋体" w:cs="宋体"/>
          <w:color w:val="auto"/>
          <w:sz w:val="24"/>
          <w:szCs w:val="24"/>
          <w:highlight w:val="none"/>
        </w:rPr>
        <w:t>邮政编码:</w:t>
      </w:r>
    </w:p>
    <w:p w14:paraId="15600034">
      <w:pPr>
        <w:widowControl w:val="0"/>
        <w:adjustRightInd w:val="0"/>
        <w:snapToGrid w:val="0"/>
        <w:spacing w:line="360" w:lineRule="auto"/>
        <w:ind w:firstLine="1560" w:firstLineChars="650"/>
        <w:rPr>
          <w:rFonts w:ascii="宋体" w:hAnsi="宋体" w:cs="宋体"/>
          <w:color w:val="auto"/>
          <w:sz w:val="24"/>
          <w:szCs w:val="24"/>
          <w:highlight w:val="none"/>
        </w:rPr>
      </w:pPr>
      <w:r>
        <w:rPr>
          <w:rFonts w:hint="eastAsia" w:ascii="宋体" w:hAnsi="宋体" w:cs="宋体"/>
          <w:color w:val="auto"/>
          <w:sz w:val="24"/>
          <w:szCs w:val="24"/>
          <w:highlight w:val="none"/>
        </w:rPr>
        <w:t>电    话：</w:t>
      </w:r>
    </w:p>
    <w:p w14:paraId="302510DB">
      <w:pPr>
        <w:widowControl w:val="0"/>
        <w:adjustRightInd w:val="0"/>
        <w:snapToGrid w:val="0"/>
        <w:spacing w:line="360" w:lineRule="auto"/>
        <w:ind w:firstLine="1560" w:firstLineChars="650"/>
        <w:rPr>
          <w:rFonts w:ascii="宋体" w:hAnsi="宋体" w:cs="宋体"/>
          <w:color w:val="auto"/>
          <w:sz w:val="24"/>
          <w:szCs w:val="24"/>
          <w:highlight w:val="none"/>
        </w:rPr>
      </w:pPr>
      <w:r>
        <w:rPr>
          <w:rFonts w:hint="eastAsia" w:ascii="宋体" w:hAnsi="宋体" w:cs="宋体"/>
          <w:color w:val="auto"/>
          <w:sz w:val="24"/>
          <w:szCs w:val="24"/>
          <w:highlight w:val="none"/>
        </w:rPr>
        <w:t>20    年    月    日</w:t>
      </w:r>
    </w:p>
    <w:p w14:paraId="3AD42B5F">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p>
    <w:p w14:paraId="59C7772B">
      <w:pPr>
        <w:widowControl w:val="0"/>
        <w:rPr>
          <w:rFonts w:ascii="宋体" w:hAnsi="宋体" w:cs="宋体"/>
          <w:b/>
          <w:color w:val="auto"/>
          <w:sz w:val="32"/>
          <w:szCs w:val="32"/>
          <w:highlight w:val="none"/>
        </w:rPr>
      </w:pPr>
      <w:r>
        <w:rPr>
          <w:rFonts w:hint="eastAsia" w:ascii="宋体" w:hAnsi="宋体" w:cs="宋体"/>
          <w:color w:val="auto"/>
          <w:sz w:val="24"/>
          <w:szCs w:val="24"/>
          <w:highlight w:val="none"/>
        </w:rPr>
        <w:br w:type="page"/>
      </w:r>
      <w:r>
        <w:rPr>
          <w:rFonts w:hint="eastAsia" w:ascii="宋体" w:hAnsi="宋体" w:cs="宋体"/>
          <w:b/>
          <w:color w:val="auto"/>
          <w:sz w:val="32"/>
          <w:szCs w:val="32"/>
          <w:highlight w:val="none"/>
        </w:rPr>
        <w:t>合同附件七：预付款银行保函格式</w:t>
      </w:r>
    </w:p>
    <w:p w14:paraId="4E844ABC">
      <w:pPr>
        <w:widowControl w:val="0"/>
        <w:adjustRightInd w:val="0"/>
        <w:snapToGrid w:val="0"/>
        <w:spacing w:line="360" w:lineRule="auto"/>
        <w:jc w:val="center"/>
        <w:rPr>
          <w:rFonts w:ascii="宋体" w:hAnsi="宋体" w:cs="宋体"/>
          <w:b/>
          <w:color w:val="auto"/>
          <w:sz w:val="28"/>
          <w:szCs w:val="28"/>
          <w:highlight w:val="none"/>
        </w:rPr>
      </w:pPr>
    </w:p>
    <w:p w14:paraId="4F29AFB7">
      <w:pPr>
        <w:widowControl w:val="0"/>
        <w:adjustRightInd w:val="0"/>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预付款银行保函</w:t>
      </w:r>
    </w:p>
    <w:p w14:paraId="3DFE4C92">
      <w:pPr>
        <w:widowControl w:val="0"/>
        <w:adjustRightInd w:val="0"/>
        <w:snapToGrid w:val="0"/>
        <w:spacing w:line="360" w:lineRule="auto"/>
        <w:rPr>
          <w:rFonts w:ascii="宋体" w:hAnsi="宋体" w:cs="宋体"/>
          <w:color w:val="auto"/>
          <w:sz w:val="24"/>
          <w:szCs w:val="24"/>
          <w:highlight w:val="none"/>
          <w:u w:val="single"/>
        </w:rPr>
      </w:pPr>
    </w:p>
    <w:p w14:paraId="156A20B8">
      <w:pPr>
        <w:widowControl w:val="0"/>
        <w:adjustRightInd w:val="0"/>
        <w:snapToGrid w:val="0"/>
        <w:spacing w:line="360" w:lineRule="auto"/>
        <w:ind w:firstLine="4920" w:firstLineChars="2050"/>
        <w:rPr>
          <w:rFonts w:ascii="宋体" w:hAnsi="宋体" w:cs="宋体"/>
          <w:color w:val="auto"/>
          <w:sz w:val="24"/>
          <w:szCs w:val="24"/>
          <w:highlight w:val="none"/>
          <w:u w:val="single"/>
        </w:rPr>
      </w:pPr>
      <w:r>
        <w:rPr>
          <w:rFonts w:hint="eastAsia" w:ascii="宋体" w:hAnsi="宋体" w:cs="宋体"/>
          <w:color w:val="auto"/>
          <w:sz w:val="24"/>
          <w:szCs w:val="24"/>
          <w:highlight w:val="none"/>
        </w:rPr>
        <w:t>开具日期：</w:t>
      </w:r>
    </w:p>
    <w:p w14:paraId="2EFD5756">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（买方名称</w:t>
      </w:r>
    </w:p>
    <w:p w14:paraId="7BABD3E5">
      <w:pPr>
        <w:widowControl w:val="0"/>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（合同名称）</w:t>
      </w:r>
    </w:p>
    <w:p w14:paraId="7AA5B3FD">
      <w:pPr>
        <w:widowControl w:val="0"/>
        <w:adjustRightInd w:val="0"/>
        <w:snapToGrid w:val="0"/>
        <w:spacing w:line="360" w:lineRule="auto"/>
        <w:ind w:firstLine="480" w:firstLineChars="200"/>
        <w:rPr>
          <w:rFonts w:ascii="宋体" w:hAnsi="宋体" w:cs="宋体"/>
          <w:color w:val="auto"/>
          <w:sz w:val="24"/>
          <w:szCs w:val="24"/>
          <w:highlight w:val="none"/>
        </w:rPr>
      </w:pPr>
    </w:p>
    <w:p w14:paraId="79CE93AA">
      <w:pPr>
        <w:widowControl w:val="0"/>
        <w:adjustRightInd w:val="0"/>
        <w:snapToGrid w:val="0"/>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根据专用合同条款第18条中的规定，</w:t>
      </w:r>
      <w:r>
        <w:rPr>
          <w:rFonts w:hint="eastAsia" w:ascii="宋体" w:hAnsi="宋体" w:eastAsia="宋体" w:cs="宋体"/>
          <w:color w:val="auto"/>
          <w:sz w:val="24"/>
          <w:szCs w:val="24"/>
          <w:highlight w:val="none"/>
          <w:u w:val="single"/>
        </w:rPr>
        <w:t>（卖方名称、地址）</w:t>
      </w:r>
      <w:r>
        <w:rPr>
          <w:rFonts w:hint="eastAsia" w:ascii="宋体" w:hAnsi="宋体" w:eastAsia="宋体" w:cs="宋体"/>
          <w:color w:val="auto"/>
          <w:sz w:val="24"/>
          <w:szCs w:val="24"/>
          <w:highlight w:val="none"/>
        </w:rPr>
        <w:t>（以下简称“卖方”）须向买方提交总额为</w:t>
      </w:r>
      <w:r>
        <w:rPr>
          <w:rFonts w:hint="eastAsia" w:ascii="宋体" w:hAnsi="宋体" w:eastAsia="宋体" w:cs="宋体"/>
          <w:color w:val="auto"/>
          <w:sz w:val="24"/>
          <w:szCs w:val="24"/>
          <w:highlight w:val="none"/>
          <w:u w:val="single"/>
        </w:rPr>
        <w:t>（币种，以文字和数字表示的保函金额）</w:t>
      </w:r>
      <w:r>
        <w:rPr>
          <w:rFonts w:hint="eastAsia" w:ascii="宋体" w:hAnsi="宋体" w:eastAsia="宋体" w:cs="宋体"/>
          <w:color w:val="auto"/>
          <w:sz w:val="24"/>
          <w:szCs w:val="24"/>
          <w:highlight w:val="none"/>
        </w:rPr>
        <w:t>的银行保函，已保证卖方将正确和忠实地履行所述的合同条款。</w:t>
      </w:r>
    </w:p>
    <w:p w14:paraId="11129278">
      <w:pPr>
        <w:widowControl w:val="0"/>
        <w:adjustRightInd w:val="0"/>
        <w:snapToGrid w:val="0"/>
        <w:spacing w:line="360" w:lineRule="auto"/>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我行，</w:t>
      </w:r>
      <w:r>
        <w:rPr>
          <w:rFonts w:hint="eastAsia" w:ascii="宋体" w:hAnsi="宋体" w:eastAsia="宋体" w:cs="宋体"/>
          <w:color w:val="auto"/>
          <w:sz w:val="24"/>
          <w:szCs w:val="24"/>
          <w:highlight w:val="none"/>
          <w:u w:val="single"/>
        </w:rPr>
        <w:t>（银行名称）</w:t>
      </w:r>
      <w:r>
        <w:rPr>
          <w:rFonts w:hint="eastAsia" w:ascii="宋体" w:hAnsi="宋体" w:eastAsia="宋体" w:cs="宋体"/>
          <w:color w:val="auto"/>
          <w:sz w:val="24"/>
          <w:szCs w:val="24"/>
          <w:highlight w:val="none"/>
        </w:rPr>
        <w:t>，根据卖方要求，无条件和不可撤销地同意为第一责任人而不仅仅作为保证人，保证在收到买方的第一要求就支付给买方不超过</w:t>
      </w:r>
      <w:r>
        <w:rPr>
          <w:rFonts w:hint="eastAsia" w:ascii="宋体" w:hAnsi="宋体" w:eastAsia="宋体" w:cs="宋体"/>
          <w:color w:val="auto"/>
          <w:sz w:val="24"/>
          <w:szCs w:val="24"/>
          <w:highlight w:val="none"/>
          <w:u w:val="single"/>
        </w:rPr>
        <w:t>（币种，以文字和数字表示的保函金额）</w:t>
      </w:r>
      <w:r>
        <w:rPr>
          <w:rFonts w:hint="eastAsia" w:ascii="宋体" w:hAnsi="宋体" w:eastAsia="宋体" w:cs="宋体"/>
          <w:color w:val="auto"/>
          <w:sz w:val="24"/>
          <w:szCs w:val="24"/>
          <w:highlight w:val="none"/>
        </w:rPr>
        <w:t>的金额，我行无权反对和不需要先向卖方索赔。</w:t>
      </w:r>
    </w:p>
    <w:p w14:paraId="6033CACC">
      <w:pPr>
        <w:widowControl w:val="0"/>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我行进而同意，双方同意的对将要履行的合同条款或合同文件的修改、增补或修改均不能免除我行在本函下的任何责任。我行在此表示上述更改、增补和修改无须通知我行。</w:t>
      </w:r>
    </w:p>
    <w:p w14:paraId="7F608819">
      <w:pPr>
        <w:widowControl w:val="0"/>
        <w:adjustRightInd w:val="0"/>
        <w:snapToGrid w:val="0"/>
        <w:spacing w:line="360" w:lineRule="auto"/>
        <w:ind w:firstLine="480" w:firstLineChars="200"/>
        <w:outlineLvl w:val="9"/>
        <w:rPr>
          <w:rFonts w:ascii="宋体" w:hAnsi="宋体" w:cs="宋体"/>
          <w:color w:val="auto"/>
          <w:sz w:val="24"/>
          <w:szCs w:val="24"/>
          <w:highlight w:val="none"/>
        </w:rPr>
      </w:pPr>
      <w:r>
        <w:rPr>
          <w:rFonts w:hint="eastAsia" w:ascii="宋体" w:hAnsi="宋体" w:eastAsia="宋体" w:cs="宋体"/>
          <w:color w:val="auto"/>
          <w:sz w:val="24"/>
          <w:szCs w:val="24"/>
          <w:highlight w:val="none"/>
        </w:rPr>
        <w:t>本保函从卖方收到合同预付款起直至最后一批货物交货后28日内有效。</w:t>
      </w:r>
    </w:p>
    <w:p w14:paraId="7C3B9AD1">
      <w:pPr>
        <w:widowControl w:val="0"/>
        <w:adjustRightInd w:val="0"/>
        <w:snapToGrid w:val="0"/>
        <w:spacing w:line="360" w:lineRule="auto"/>
        <w:rPr>
          <w:rFonts w:ascii="宋体" w:hAnsi="宋体" w:cs="宋体"/>
          <w:color w:val="auto"/>
          <w:sz w:val="24"/>
          <w:szCs w:val="24"/>
          <w:highlight w:val="none"/>
        </w:rPr>
      </w:pPr>
    </w:p>
    <w:p w14:paraId="0671D221">
      <w:pPr>
        <w:widowControl w:val="0"/>
        <w:adjustRightInd w:val="0"/>
        <w:snapToGrid w:val="0"/>
        <w:spacing w:line="360" w:lineRule="auto"/>
        <w:rPr>
          <w:rFonts w:ascii="宋体" w:hAnsi="宋体" w:cs="宋体"/>
          <w:color w:val="auto"/>
          <w:sz w:val="24"/>
          <w:szCs w:val="24"/>
          <w:highlight w:val="none"/>
        </w:rPr>
      </w:pPr>
    </w:p>
    <w:p w14:paraId="3192C436">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出具保函银行名称：</w:t>
      </w:r>
    </w:p>
    <w:p w14:paraId="21D00678">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签字人姓名和职务（姓名印刷体）：</w:t>
      </w:r>
    </w:p>
    <w:p w14:paraId="08B42673">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签 字  人  签 名：</w:t>
      </w:r>
      <w:r>
        <w:rPr>
          <w:rFonts w:hint="eastAsia" w:ascii="宋体" w:hAnsi="宋体" w:cs="宋体"/>
          <w:color w:val="auto"/>
          <w:sz w:val="24"/>
          <w:szCs w:val="24"/>
          <w:highlight w:val="none"/>
          <w:u w:val="single"/>
        </w:rPr>
        <w:t xml:space="preserve">                        （签字或盖章）</w:t>
      </w:r>
    </w:p>
    <w:p w14:paraId="67ED4CF9">
      <w:pPr>
        <w:widowControl w:val="0"/>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公            章：</w:t>
      </w:r>
    </w:p>
    <w:p w14:paraId="617379A2">
      <w:pPr>
        <w:adjustRightInd w:val="0"/>
        <w:snapToGrid w:val="0"/>
        <w:rPr>
          <w:rFonts w:ascii="宋体" w:hAnsi="宋体" w:cs="宋体"/>
          <w:b/>
          <w:color w:val="auto"/>
          <w:sz w:val="32"/>
          <w:szCs w:val="32"/>
          <w:highlight w:val="none"/>
        </w:rPr>
      </w:pPr>
    </w:p>
    <w:p w14:paraId="4C58EB07">
      <w:pPr>
        <w:adjustRightInd w:val="0"/>
        <w:snapToGrid w:val="0"/>
        <w:rPr>
          <w:rFonts w:ascii="宋体" w:hAnsi="宋体" w:cs="宋体"/>
          <w:b/>
          <w:color w:val="auto"/>
          <w:sz w:val="32"/>
          <w:szCs w:val="32"/>
          <w:highlight w:val="none"/>
        </w:rPr>
      </w:pPr>
    </w:p>
    <w:p w14:paraId="6BDB7BEE">
      <w:pPr>
        <w:adjustRightInd w:val="0"/>
        <w:snapToGrid w:val="0"/>
        <w:rPr>
          <w:rFonts w:ascii="宋体" w:hAnsi="宋体" w:cs="宋体"/>
          <w:b/>
          <w:color w:val="auto"/>
          <w:sz w:val="32"/>
          <w:szCs w:val="32"/>
          <w:highlight w:val="none"/>
        </w:rPr>
      </w:pPr>
    </w:p>
    <w:p w14:paraId="649F0452">
      <w:pPr>
        <w:adjustRightInd w:val="0"/>
        <w:snapToGrid w:val="0"/>
        <w:rPr>
          <w:rFonts w:ascii="宋体" w:hAnsi="宋体" w:cs="宋体"/>
          <w:b/>
          <w:color w:val="auto"/>
          <w:sz w:val="32"/>
          <w:szCs w:val="32"/>
          <w:highlight w:val="none"/>
        </w:rPr>
      </w:pPr>
    </w:p>
    <w:p w14:paraId="2EB9B54C">
      <w:pPr>
        <w:adjustRightInd w:val="0"/>
        <w:snapToGrid w:val="0"/>
        <w:rPr>
          <w:rFonts w:eastAsia="仿宋_GB2312"/>
          <w:color w:val="auto"/>
          <w:szCs w:val="21"/>
          <w:highlight w:val="none"/>
        </w:rPr>
      </w:pPr>
    </w:p>
    <w:p w14:paraId="49AE8FF6">
      <w:pPr>
        <w:pStyle w:val="5"/>
        <w:numPr>
          <w:ilvl w:val="0"/>
          <w:numId w:val="0"/>
        </w:numPr>
        <w:rPr>
          <w:color w:val="auto"/>
          <w:highlight w:val="none"/>
        </w:rPr>
      </w:pPr>
      <w:bookmarkStart w:id="157" w:name="_Toc10067"/>
      <w:bookmarkStart w:id="158" w:name="_Toc11049"/>
      <w:bookmarkStart w:id="159" w:name="_Toc17484"/>
      <w:bookmarkStart w:id="160" w:name="_Hlk47596327"/>
      <w:r>
        <w:rPr>
          <w:rFonts w:hint="eastAsia" w:ascii="Times New Roman" w:hAnsi="Times New Roman" w:eastAsia="宋体" w:cs="Times New Roman"/>
          <w:b/>
          <w:bCs/>
          <w:color w:val="auto"/>
          <w:kern w:val="44"/>
          <w:sz w:val="36"/>
          <w:szCs w:val="44"/>
          <w:highlight w:val="none"/>
          <w:lang w:val="en-US" w:eastAsia="zh-CN" w:bidi="ar-SA"/>
        </w:rPr>
        <w:t>第四章</w:t>
      </w:r>
      <w:r>
        <w:rPr>
          <w:rFonts w:hint="eastAsia" w:cs="Times New Roman"/>
          <w:b/>
          <w:bCs/>
          <w:color w:val="auto"/>
          <w:kern w:val="44"/>
          <w:sz w:val="36"/>
          <w:szCs w:val="44"/>
          <w:highlight w:val="none"/>
          <w:lang w:val="en-US" w:eastAsia="zh-CN" w:bidi="ar-SA"/>
        </w:rPr>
        <w:t xml:space="preserve"> </w:t>
      </w:r>
      <w:r>
        <w:rPr>
          <w:rFonts w:hint="eastAsia"/>
          <w:color w:val="auto"/>
          <w:highlight w:val="none"/>
        </w:rPr>
        <w:t>评标办法</w:t>
      </w:r>
      <w:bookmarkEnd w:id="157"/>
      <w:bookmarkEnd w:id="158"/>
      <w:bookmarkEnd w:id="159"/>
    </w:p>
    <w:p w14:paraId="3B38FA0F">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评标办法前附表</w:t>
      </w:r>
    </w:p>
    <w:bookmarkEnd w:id="160"/>
    <w:tbl>
      <w:tblPr>
        <w:tblStyle w:val="42"/>
        <w:tblW w:w="928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0"/>
        <w:gridCol w:w="1096"/>
        <w:gridCol w:w="819"/>
        <w:gridCol w:w="5713"/>
      </w:tblGrid>
      <w:tr w14:paraId="1A5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top"/>
          </w:tcPr>
          <w:p w14:paraId="3BFC4106">
            <w:pPr>
              <w:adjustRightInd w:val="0"/>
              <w:spacing w:line="312" w:lineRule="auto"/>
              <w:contextualSpacing/>
              <w:jc w:val="center"/>
              <w:rPr>
                <w:rFonts w:ascii="宋体" w:hAnsi="宋体" w:cs="宋体"/>
                <w:b/>
                <w:color w:val="auto"/>
                <w:szCs w:val="21"/>
                <w:highlight w:val="none"/>
              </w:rPr>
            </w:pPr>
            <w:bookmarkStart w:id="161" w:name="_Toc101771374"/>
            <w:bookmarkStart w:id="162" w:name="_Toc98580289"/>
            <w:bookmarkStart w:id="163" w:name="_Toc42394669"/>
            <w:bookmarkStart w:id="164" w:name="_Toc101951265"/>
            <w:bookmarkStart w:id="165" w:name="_Toc50276153"/>
            <w:bookmarkStart w:id="166" w:name="_Toc101843127"/>
            <w:bookmarkStart w:id="167" w:name="_Toc42313167"/>
            <w:bookmarkStart w:id="168" w:name="_Toc41884701"/>
            <w:bookmarkStart w:id="169" w:name="_Toc42394513"/>
            <w:bookmarkStart w:id="170" w:name="_Toc42394668"/>
            <w:bookmarkStart w:id="171" w:name="_Toc101775127"/>
            <w:bookmarkStart w:id="172" w:name="_Toc98579007"/>
            <w:bookmarkStart w:id="173" w:name="_Toc42329464"/>
            <w:bookmarkStart w:id="174" w:name="_Toc42316808"/>
            <w:bookmarkStart w:id="175" w:name="_Toc441673387"/>
            <w:bookmarkStart w:id="176" w:name="_Toc42394512"/>
            <w:bookmarkStart w:id="177" w:name="_Toc98579606"/>
            <w:bookmarkStart w:id="178" w:name="_Toc42315985"/>
            <w:bookmarkStart w:id="179" w:name="_Toc98579065"/>
            <w:bookmarkStart w:id="180" w:name="_Toc42315183"/>
            <w:bookmarkStart w:id="181" w:name="_Toc41723931"/>
            <w:r>
              <w:rPr>
                <w:rFonts w:hint="eastAsia" w:ascii="宋体" w:hAnsi="宋体" w:cs="宋体"/>
                <w:b/>
                <w:color w:val="auto"/>
                <w:szCs w:val="21"/>
                <w:highlight w:val="none"/>
              </w:rPr>
              <w:t>条款号</w:t>
            </w:r>
          </w:p>
        </w:tc>
        <w:tc>
          <w:tcPr>
            <w:tcW w:w="1915" w:type="dxa"/>
            <w:gridSpan w:val="2"/>
            <w:noWrap w:val="0"/>
            <w:vAlign w:val="top"/>
          </w:tcPr>
          <w:p w14:paraId="448D5673">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713" w:type="dxa"/>
            <w:noWrap w:val="0"/>
            <w:vAlign w:val="top"/>
          </w:tcPr>
          <w:p w14:paraId="1E7187FC">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0B47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2523280D">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840" w:type="dxa"/>
            <w:vMerge w:val="restart"/>
            <w:noWrap w:val="0"/>
            <w:vAlign w:val="center"/>
          </w:tcPr>
          <w:p w14:paraId="3B78CDDA">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1915" w:type="dxa"/>
            <w:gridSpan w:val="2"/>
            <w:noWrap w:val="0"/>
            <w:vAlign w:val="center"/>
          </w:tcPr>
          <w:p w14:paraId="70EF99F9">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5713" w:type="dxa"/>
            <w:noWrap w:val="0"/>
            <w:vAlign w:val="top"/>
          </w:tcPr>
          <w:p w14:paraId="617C0B3B">
            <w:pPr>
              <w:pStyle w:val="2"/>
              <w:spacing w:after="0" w:line="312" w:lineRule="auto"/>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本次评标采用经评审最低投标价法。中标人的投标应当能满足招标文件的实质性要求，并且经评审的投标价格最低，但是投标价格低于成本的除外。</w:t>
            </w:r>
          </w:p>
          <w:p w14:paraId="1111966D">
            <w:pPr>
              <w:pStyle w:val="2"/>
              <w:spacing w:after="0" w:line="312"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评标委员会对满足招标文件实质性要求的投标文件，按照</w:t>
            </w:r>
            <w:r>
              <w:rPr>
                <w:rFonts w:hint="eastAsia" w:ascii="宋体" w:hAnsi="宋体" w:eastAsia="宋体" w:cs="宋体"/>
                <w:color w:val="auto"/>
                <w:szCs w:val="21"/>
                <w:highlight w:val="none"/>
                <w:lang w:val="en-US" w:eastAsia="zh-CN"/>
              </w:rPr>
              <w:t>招标文件详细评审标准规定的价格调整方法对投标价格进行调整</w:t>
            </w:r>
            <w:r>
              <w:rPr>
                <w:rFonts w:hint="eastAsia" w:ascii="宋体" w:hAnsi="宋体" w:eastAsia="宋体" w:cs="宋体"/>
                <w:color w:val="auto"/>
                <w:szCs w:val="21"/>
                <w:highlight w:val="none"/>
              </w:rPr>
              <w:t>，并按</w:t>
            </w:r>
            <w:r>
              <w:rPr>
                <w:rFonts w:hint="eastAsia" w:ascii="宋体" w:hAnsi="宋体" w:eastAsia="宋体" w:cs="宋体"/>
                <w:color w:val="auto"/>
                <w:szCs w:val="21"/>
                <w:highlight w:val="none"/>
                <w:lang w:val="en-US" w:eastAsia="zh-CN"/>
              </w:rPr>
              <w:t>调整后的投标价格（即经评审的最终投标价格）从低到高的</w:t>
            </w:r>
            <w:r>
              <w:rPr>
                <w:rFonts w:hint="eastAsia" w:ascii="宋体" w:hAnsi="宋体" w:eastAsia="宋体" w:cs="宋体"/>
                <w:color w:val="auto"/>
                <w:szCs w:val="21"/>
                <w:highlight w:val="none"/>
              </w:rPr>
              <w:t>顺序推荐中标候选人，但投标报价低于其成本的除外。即推荐</w:t>
            </w:r>
            <w:r>
              <w:rPr>
                <w:rFonts w:hint="eastAsia" w:ascii="宋体" w:hAnsi="宋体" w:eastAsia="宋体" w:cs="宋体"/>
                <w:color w:val="auto"/>
                <w:szCs w:val="21"/>
                <w:highlight w:val="none"/>
                <w:lang w:val="en-US" w:eastAsia="zh-CN"/>
              </w:rPr>
              <w:t>经评审的最终投标价格</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低到高</w:t>
            </w:r>
            <w:r>
              <w:rPr>
                <w:rFonts w:hint="eastAsia" w:ascii="宋体" w:hAnsi="宋体" w:eastAsia="宋体" w:cs="宋体"/>
                <w:color w:val="auto"/>
                <w:szCs w:val="21"/>
                <w:highlight w:val="none"/>
              </w:rPr>
              <w:t>排序第一的投标人为第一中标候选人，推荐</w:t>
            </w:r>
            <w:r>
              <w:rPr>
                <w:rFonts w:hint="eastAsia" w:ascii="宋体" w:hAnsi="宋体" w:eastAsia="宋体" w:cs="宋体"/>
                <w:color w:val="auto"/>
                <w:szCs w:val="21"/>
                <w:highlight w:val="none"/>
                <w:lang w:val="en-US" w:eastAsia="zh-CN"/>
              </w:rPr>
              <w:t>经评审的最终投标价格</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低到高</w:t>
            </w:r>
            <w:r>
              <w:rPr>
                <w:rFonts w:hint="eastAsia" w:ascii="宋体" w:hAnsi="宋体" w:eastAsia="宋体" w:cs="宋体"/>
                <w:color w:val="auto"/>
                <w:szCs w:val="21"/>
                <w:highlight w:val="none"/>
              </w:rPr>
              <w:t>排序第二的投标人为第二中标候选人，推荐</w:t>
            </w:r>
            <w:r>
              <w:rPr>
                <w:rFonts w:hint="eastAsia" w:ascii="宋体" w:hAnsi="宋体" w:eastAsia="宋体" w:cs="宋体"/>
                <w:color w:val="auto"/>
                <w:szCs w:val="21"/>
                <w:highlight w:val="none"/>
                <w:lang w:val="en-US" w:eastAsia="zh-CN"/>
              </w:rPr>
              <w:t>经评审的最终投标价格</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低到高</w:t>
            </w:r>
            <w:r>
              <w:rPr>
                <w:rFonts w:hint="eastAsia" w:ascii="宋体" w:hAnsi="宋体" w:eastAsia="宋体" w:cs="宋体"/>
                <w:color w:val="auto"/>
                <w:szCs w:val="21"/>
                <w:highlight w:val="none"/>
              </w:rPr>
              <w:t>排序第三的投标人为第三中标候选人。</w:t>
            </w:r>
            <w:r>
              <w:rPr>
                <w:rFonts w:hint="eastAsia" w:ascii="宋体" w:hAnsi="宋体" w:eastAsia="宋体" w:cs="宋体"/>
                <w:color w:val="auto"/>
                <w:szCs w:val="21"/>
                <w:highlight w:val="none"/>
                <w:lang w:val="en-US" w:eastAsia="zh-CN"/>
              </w:rPr>
              <w:t>经评审的最终投标价格</w:t>
            </w:r>
            <w:r>
              <w:rPr>
                <w:rFonts w:hint="eastAsia" w:ascii="宋体" w:hAnsi="宋体" w:eastAsia="宋体" w:cs="宋体"/>
                <w:color w:val="auto"/>
                <w:szCs w:val="21"/>
                <w:highlight w:val="none"/>
              </w:rPr>
              <w:t>相同的，</w:t>
            </w:r>
            <w:r>
              <w:rPr>
                <w:rFonts w:hint="eastAsia" w:ascii="宋体" w:hAnsi="宋体" w:eastAsia="宋体" w:cs="宋体"/>
                <w:color w:val="auto"/>
                <w:szCs w:val="21"/>
                <w:highlight w:val="none"/>
                <w:lang w:val="en-US" w:eastAsia="zh-CN"/>
              </w:rPr>
              <w:t>实际</w:t>
            </w:r>
            <w:r>
              <w:rPr>
                <w:rFonts w:hint="eastAsia" w:ascii="宋体" w:hAnsi="宋体" w:eastAsia="宋体" w:cs="宋体"/>
                <w:color w:val="auto"/>
                <w:szCs w:val="21"/>
                <w:highlight w:val="none"/>
              </w:rPr>
              <w:t>投标报价低的排先；</w:t>
            </w:r>
            <w:r>
              <w:rPr>
                <w:rFonts w:hint="eastAsia" w:ascii="宋体" w:hAnsi="宋体" w:eastAsia="宋体" w:cs="宋体"/>
                <w:color w:val="auto"/>
                <w:szCs w:val="21"/>
                <w:highlight w:val="none"/>
                <w:lang w:val="en-US" w:eastAsia="zh-CN"/>
              </w:rPr>
              <w:t>经评审的最终投标价格</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val="en-US" w:eastAsia="zh-CN"/>
              </w:rPr>
              <w:t>实际</w:t>
            </w:r>
            <w:r>
              <w:rPr>
                <w:rFonts w:hint="eastAsia" w:ascii="宋体" w:hAnsi="宋体" w:eastAsia="宋体" w:cs="宋体"/>
                <w:color w:val="auto"/>
                <w:szCs w:val="21"/>
                <w:highlight w:val="none"/>
              </w:rPr>
              <w:t>投标报价均相同的，则由评标委员会根据评审情况自行确定推荐中标候选人顺序</w:t>
            </w:r>
            <w:r>
              <w:rPr>
                <w:rFonts w:hint="eastAsia" w:ascii="宋体" w:hAnsi="宋体" w:eastAsia="宋体" w:cs="宋体"/>
                <w:color w:val="auto"/>
                <w:szCs w:val="21"/>
                <w:highlight w:val="none"/>
                <w:lang w:eastAsia="zh-CN"/>
              </w:rPr>
              <w:t>，并将推荐理由写入评标报告中</w:t>
            </w:r>
            <w:r>
              <w:rPr>
                <w:rFonts w:hint="eastAsia" w:ascii="宋体" w:hAnsi="宋体" w:eastAsia="宋体" w:cs="宋体"/>
                <w:color w:val="auto"/>
                <w:szCs w:val="21"/>
                <w:highlight w:val="none"/>
              </w:rPr>
              <w:t>。</w:t>
            </w:r>
          </w:p>
        </w:tc>
      </w:tr>
      <w:tr w14:paraId="7D52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2122486">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5693628E">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2B645163">
            <w:pPr>
              <w:pStyle w:val="2"/>
              <w:spacing w:after="0" w:line="312"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中标原则</w:t>
            </w:r>
          </w:p>
        </w:tc>
        <w:tc>
          <w:tcPr>
            <w:tcW w:w="5713" w:type="dxa"/>
            <w:noWrap w:val="0"/>
            <w:vAlign w:val="top"/>
          </w:tcPr>
          <w:p w14:paraId="7BB63235">
            <w:pPr>
              <w:pStyle w:val="2"/>
              <w:spacing w:after="0" w:line="312" w:lineRule="auto"/>
              <w:ind w:firstLine="0"/>
              <w:contextualSpacing/>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评标委员会按调整后的投标价格（即经评审的最终投标价格）从低到高的顺序，依次推荐为第一中标候选人、第二中标候选人、第三中标候选人，选择第一中标候选人为中标人。</w:t>
            </w:r>
          </w:p>
        </w:tc>
      </w:tr>
      <w:tr w14:paraId="6C2E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59CEEAC6">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2.1.1</w:t>
            </w:r>
          </w:p>
        </w:tc>
        <w:tc>
          <w:tcPr>
            <w:tcW w:w="840" w:type="dxa"/>
            <w:vMerge w:val="restart"/>
            <w:noWrap w:val="0"/>
            <w:vAlign w:val="center"/>
          </w:tcPr>
          <w:p w14:paraId="016E0F70">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915" w:type="dxa"/>
            <w:gridSpan w:val="2"/>
            <w:noWrap w:val="0"/>
            <w:vAlign w:val="center"/>
          </w:tcPr>
          <w:p w14:paraId="16BE0FE0">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5713" w:type="dxa"/>
            <w:noWrap w:val="0"/>
            <w:vAlign w:val="top"/>
          </w:tcPr>
          <w:p w14:paraId="3A0BE5E9">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与营业执照、资质证书一致</w:t>
            </w:r>
          </w:p>
        </w:tc>
      </w:tr>
      <w:tr w14:paraId="2C00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D2490CB">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706E9DA7">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25BF1FDA">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5713" w:type="dxa"/>
            <w:noWrap w:val="0"/>
            <w:vAlign w:val="top"/>
          </w:tcPr>
          <w:p w14:paraId="38AFB867">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符合第五章“投标文件格式”的规定，投标人可在其格式的基础上扩展，但不得删减。</w:t>
            </w:r>
          </w:p>
        </w:tc>
      </w:tr>
      <w:tr w14:paraId="2418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D2A511E">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1CD0995B">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318F153F">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法定代表人（单位负责人）或其委托代理人</w:t>
            </w:r>
          </w:p>
        </w:tc>
        <w:tc>
          <w:tcPr>
            <w:tcW w:w="5713" w:type="dxa"/>
            <w:noWrap w:val="0"/>
            <w:vAlign w:val="center"/>
          </w:tcPr>
          <w:p w14:paraId="4DC0134F">
            <w:pPr>
              <w:adjustRightInd w:val="0"/>
              <w:spacing w:line="312" w:lineRule="auto"/>
              <w:contextualSpacing/>
              <w:jc w:val="both"/>
              <w:rPr>
                <w:rFonts w:ascii="宋体" w:hAnsi="宋体" w:cs="宋体"/>
                <w:color w:val="auto"/>
                <w:szCs w:val="21"/>
                <w:highlight w:val="none"/>
              </w:rPr>
            </w:pPr>
            <w:r>
              <w:rPr>
                <w:rFonts w:hint="eastAsia" w:ascii="宋体" w:hAnsi="宋体" w:cs="宋体"/>
                <w:color w:val="auto"/>
                <w:szCs w:val="21"/>
                <w:highlight w:val="none"/>
              </w:rPr>
              <w:t>提供法定代表人（单位负责人）证明；有法定代表人（单位负责人）委托代理人时，提供授权委托书。</w:t>
            </w:r>
          </w:p>
        </w:tc>
      </w:tr>
      <w:tr w14:paraId="434B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727FD3C">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4AD196EA">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314C9952">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投标文件的签字盖章</w:t>
            </w:r>
          </w:p>
        </w:tc>
        <w:tc>
          <w:tcPr>
            <w:tcW w:w="5713" w:type="dxa"/>
            <w:noWrap w:val="0"/>
            <w:vAlign w:val="top"/>
          </w:tcPr>
          <w:p w14:paraId="63E006B2">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1.投标人应使用依法设立的电子认证服务机构签发的电子签名认证证书对电子投标文件进行电子签名及电子签章。该电子签名及电子签章与手写签名或者盖章具有同等的法律效力。</w:t>
            </w:r>
          </w:p>
          <w:p w14:paraId="01ECFF7D">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投标文件格式规定盖章的页面必须盖章（可以使用电子签章），规定法定代表人或授权委托人签字的页面必须签字或签章（可以使用电子签名）。由法定代表人签字的，应附法定代表人（单位负责人）身份证明，由代理人签字的，应附法定代表人（单位负责人）身份证明和授权委托书。法定代表人（单位负责人）身份证明和授权委托书应符合“第五章 投标文件格式”的规定</w:t>
            </w:r>
            <w:r>
              <w:rPr>
                <w:rFonts w:hint="eastAsia" w:ascii="宋体" w:hAnsi="宋体" w:cs="宋体"/>
                <w:color w:val="auto"/>
                <w:szCs w:val="21"/>
                <w:highlight w:val="none"/>
              </w:rPr>
              <w:t>。</w:t>
            </w:r>
          </w:p>
        </w:tc>
      </w:tr>
      <w:tr w14:paraId="4133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F09ACB0">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4AA0AF8A">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361B2654">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投标文件的涂改、行间插字或删除</w:t>
            </w:r>
          </w:p>
        </w:tc>
        <w:tc>
          <w:tcPr>
            <w:tcW w:w="5713" w:type="dxa"/>
            <w:noWrap w:val="0"/>
            <w:vAlign w:val="center"/>
          </w:tcPr>
          <w:p w14:paraId="5A4DC8C5">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投标文件如有涂改、行间插字或删除，改动之处应由投标人的法定代表人（单位负责人）或其授权的代理人签字或盖单位章。</w:t>
            </w:r>
          </w:p>
        </w:tc>
      </w:tr>
      <w:tr w14:paraId="0726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7" w:type="dxa"/>
            <w:vMerge w:val="restart"/>
            <w:noWrap w:val="0"/>
            <w:vAlign w:val="center"/>
          </w:tcPr>
          <w:p w14:paraId="01FC1D8D">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2.1.2</w:t>
            </w:r>
          </w:p>
        </w:tc>
        <w:tc>
          <w:tcPr>
            <w:tcW w:w="840" w:type="dxa"/>
            <w:vMerge w:val="restart"/>
            <w:noWrap w:val="0"/>
            <w:vAlign w:val="center"/>
          </w:tcPr>
          <w:p w14:paraId="1F257668">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915" w:type="dxa"/>
            <w:gridSpan w:val="2"/>
            <w:noWrap w:val="0"/>
            <w:vAlign w:val="center"/>
          </w:tcPr>
          <w:p w14:paraId="493D2BF9">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5713" w:type="dxa"/>
            <w:noWrap w:val="0"/>
            <w:vAlign w:val="center"/>
          </w:tcPr>
          <w:p w14:paraId="5855F824">
            <w:pPr>
              <w:numPr>
                <w:ilvl w:val="0"/>
                <w:numId w:val="0"/>
              </w:numPr>
              <w:adjustRightInd w:val="0"/>
              <w:spacing w:line="312" w:lineRule="auto"/>
              <w:ind w:left="0" w:firstLine="0"/>
              <w:contextualSpacing/>
              <w:jc w:val="both"/>
              <w:rPr>
                <w:rFonts w:ascii="宋体" w:hAnsi="宋体" w:cs="宋体"/>
                <w:color w:val="auto"/>
                <w:szCs w:val="21"/>
                <w:highlight w:val="none"/>
              </w:rPr>
            </w:pPr>
            <w:r>
              <w:rPr>
                <w:rFonts w:hint="eastAsia" w:ascii="宋体" w:hAnsi="宋体" w:cs="宋体"/>
                <w:color w:val="auto"/>
                <w:szCs w:val="21"/>
                <w:highlight w:val="none"/>
              </w:rPr>
              <w:t>详见招标公告第2</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投标人资格要求</w:t>
            </w:r>
          </w:p>
        </w:tc>
      </w:tr>
      <w:tr w14:paraId="5D9D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F042BE3">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3ADA9F5E">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5F31AB02">
            <w:pPr>
              <w:adjustRightInd w:val="0"/>
              <w:spacing w:line="312" w:lineRule="auto"/>
              <w:contextualSpacing/>
              <w:jc w:val="center"/>
              <w:rPr>
                <w:rFonts w:ascii="宋体" w:hAnsi="宋体" w:cs="宋体"/>
                <w:color w:val="auto"/>
                <w:szCs w:val="21"/>
                <w:highlight w:val="none"/>
              </w:rPr>
            </w:pPr>
            <w:bookmarkStart w:id="182" w:name="不存在禁止投标的情形"/>
            <w:r>
              <w:rPr>
                <w:rFonts w:hint="eastAsia" w:ascii="宋体" w:hAnsi="宋体" w:cs="宋体"/>
                <w:color w:val="auto"/>
                <w:szCs w:val="21"/>
                <w:highlight w:val="none"/>
              </w:rPr>
              <w:t>不存在禁止投标的情形</w:t>
            </w:r>
            <w:bookmarkEnd w:id="182"/>
          </w:p>
        </w:tc>
        <w:tc>
          <w:tcPr>
            <w:tcW w:w="5713" w:type="dxa"/>
            <w:noWrap w:val="0"/>
            <w:vAlign w:val="top"/>
          </w:tcPr>
          <w:p w14:paraId="1FF1148E">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投标人声明不存在第一章“投标人须知”第 1.3.4项规定的任何一种情形。</w:t>
            </w:r>
          </w:p>
        </w:tc>
      </w:tr>
      <w:tr w14:paraId="508A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1612B305">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2.1.3</w:t>
            </w:r>
          </w:p>
        </w:tc>
        <w:tc>
          <w:tcPr>
            <w:tcW w:w="840" w:type="dxa"/>
            <w:vMerge w:val="restart"/>
            <w:noWrap w:val="0"/>
            <w:vAlign w:val="center"/>
          </w:tcPr>
          <w:p w14:paraId="08F8072D">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915" w:type="dxa"/>
            <w:gridSpan w:val="2"/>
            <w:noWrap w:val="0"/>
            <w:vAlign w:val="center"/>
          </w:tcPr>
          <w:p w14:paraId="7512E6EF">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投标报价</w:t>
            </w:r>
          </w:p>
        </w:tc>
        <w:tc>
          <w:tcPr>
            <w:tcW w:w="5713" w:type="dxa"/>
            <w:noWrap w:val="0"/>
            <w:vAlign w:val="center"/>
          </w:tcPr>
          <w:p w14:paraId="2A9C949E">
            <w:pPr>
              <w:adjustRightInd w:val="0"/>
              <w:spacing w:line="312" w:lineRule="auto"/>
              <w:contextualSpacing/>
              <w:rPr>
                <w:rFonts w:hint="eastAsia" w:ascii="宋体" w:hAnsi="宋体" w:cs="宋体"/>
                <w:color w:val="auto"/>
                <w:szCs w:val="21"/>
                <w:highlight w:val="none"/>
              </w:rPr>
            </w:pPr>
            <w:r>
              <w:rPr>
                <w:rFonts w:hint="eastAsia" w:ascii="宋体" w:hAnsi="宋体" w:cs="宋体"/>
                <w:color w:val="auto"/>
                <w:szCs w:val="21"/>
                <w:highlight w:val="none"/>
              </w:rPr>
              <w:t>1.投标人对相同材料提交唯一报价；</w:t>
            </w:r>
          </w:p>
          <w:p w14:paraId="01F56A75">
            <w:pPr>
              <w:adjustRightInd w:val="0"/>
              <w:spacing w:line="312" w:lineRule="auto"/>
              <w:contextualSpacing/>
              <w:rPr>
                <w:rFonts w:hint="eastAsia" w:ascii="宋体" w:hAnsi="宋体" w:cs="宋体"/>
                <w:color w:val="auto"/>
                <w:szCs w:val="21"/>
                <w:highlight w:val="none"/>
              </w:rPr>
            </w:pPr>
            <w:r>
              <w:rPr>
                <w:rFonts w:hint="eastAsia" w:ascii="宋体" w:hAnsi="宋体" w:cs="宋体"/>
                <w:color w:val="auto"/>
                <w:szCs w:val="21"/>
                <w:highlight w:val="none"/>
              </w:rPr>
              <w:t>2.投标报价中的单价为综合单价；</w:t>
            </w:r>
          </w:p>
          <w:p w14:paraId="0AB8E952">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3.投标人的总投标报价不得超过总价最高投标限价。</w:t>
            </w:r>
          </w:p>
        </w:tc>
      </w:tr>
      <w:tr w14:paraId="7D63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59C2837">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634CA550">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3F8F2947">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供货</w:t>
            </w:r>
            <w:r>
              <w:rPr>
                <w:rFonts w:hint="eastAsia" w:ascii="宋体" w:hAnsi="宋体" w:cs="宋体"/>
                <w:color w:val="auto"/>
                <w:szCs w:val="21"/>
                <w:highlight w:val="none"/>
              </w:rPr>
              <w:t>期</w:t>
            </w:r>
          </w:p>
        </w:tc>
        <w:tc>
          <w:tcPr>
            <w:tcW w:w="5713" w:type="dxa"/>
            <w:noWrap w:val="0"/>
            <w:vAlign w:val="center"/>
          </w:tcPr>
          <w:p w14:paraId="51DBF93E">
            <w:pPr>
              <w:adjustRightInd w:val="0"/>
              <w:spacing w:line="312" w:lineRule="auto"/>
              <w:contextualSpacing/>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须完全满足招标文件要求</w:t>
            </w:r>
          </w:p>
        </w:tc>
      </w:tr>
      <w:tr w14:paraId="01D1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CE1EC14">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2D990740">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5478CCAD">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交货地点</w:t>
            </w:r>
          </w:p>
        </w:tc>
        <w:tc>
          <w:tcPr>
            <w:tcW w:w="5713" w:type="dxa"/>
            <w:noWrap w:val="0"/>
            <w:vAlign w:val="center"/>
          </w:tcPr>
          <w:p w14:paraId="1592237B">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须完全满足招标文件</w:t>
            </w:r>
            <w:r>
              <w:rPr>
                <w:rFonts w:hint="eastAsia" w:ascii="宋体" w:hAnsi="宋体" w:cs="宋体"/>
                <w:color w:val="auto"/>
                <w:szCs w:val="21"/>
                <w:highlight w:val="none"/>
                <w:lang w:val="en-US" w:eastAsia="zh-CN"/>
              </w:rPr>
              <w:t>要求</w:t>
            </w:r>
          </w:p>
        </w:tc>
      </w:tr>
      <w:tr w14:paraId="5950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B25761">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1793B5B9">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475BE734">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投标有效期</w:t>
            </w:r>
          </w:p>
        </w:tc>
        <w:tc>
          <w:tcPr>
            <w:tcW w:w="5713" w:type="dxa"/>
            <w:noWrap w:val="0"/>
            <w:vAlign w:val="center"/>
          </w:tcPr>
          <w:p w14:paraId="062F86CA">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自投标截止之日起90日</w:t>
            </w:r>
          </w:p>
        </w:tc>
      </w:tr>
      <w:tr w14:paraId="710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F8CEF68">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644E7EC0">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57515A3A">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投标保证金</w:t>
            </w:r>
          </w:p>
        </w:tc>
        <w:tc>
          <w:tcPr>
            <w:tcW w:w="5713" w:type="dxa"/>
            <w:noWrap w:val="0"/>
            <w:vAlign w:val="center"/>
          </w:tcPr>
          <w:p w14:paraId="3F1552BB">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按招标文件要求提交投标保证金。</w:t>
            </w:r>
          </w:p>
        </w:tc>
      </w:tr>
      <w:tr w14:paraId="62EE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9573158">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25225E94">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46D003ED">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质量保证期</w:t>
            </w:r>
          </w:p>
        </w:tc>
        <w:tc>
          <w:tcPr>
            <w:tcW w:w="5713" w:type="dxa"/>
            <w:noWrap w:val="0"/>
            <w:vAlign w:val="center"/>
          </w:tcPr>
          <w:p w14:paraId="116C08CE">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须完全满足招标文件</w:t>
            </w:r>
            <w:r>
              <w:rPr>
                <w:rFonts w:hint="eastAsia" w:ascii="宋体" w:hAnsi="宋体" w:cs="宋体"/>
                <w:color w:val="auto"/>
                <w:szCs w:val="21"/>
                <w:highlight w:val="none"/>
                <w:lang w:val="en-US" w:eastAsia="zh-CN"/>
              </w:rPr>
              <w:t>要求</w:t>
            </w:r>
          </w:p>
        </w:tc>
      </w:tr>
      <w:tr w14:paraId="03B2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1A8849B">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1019AD1A">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3B18043B">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招标文件“第三章合同格式”和“第二章用户需求书”中所有条款</w:t>
            </w:r>
          </w:p>
        </w:tc>
        <w:tc>
          <w:tcPr>
            <w:tcW w:w="5713" w:type="dxa"/>
            <w:noWrap w:val="0"/>
            <w:vAlign w:val="center"/>
          </w:tcPr>
          <w:p w14:paraId="6FEBF0A4">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须完全满足招标文件“第三章合同格式”和“第二章用户需求书”中的所有条款。</w:t>
            </w:r>
          </w:p>
        </w:tc>
      </w:tr>
      <w:tr w14:paraId="24DA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B36AD46">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3CAC094A">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68901862">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投标文件原件的提供</w:t>
            </w:r>
          </w:p>
        </w:tc>
        <w:tc>
          <w:tcPr>
            <w:tcW w:w="5713" w:type="dxa"/>
            <w:noWrap w:val="0"/>
            <w:vAlign w:val="center"/>
          </w:tcPr>
          <w:p w14:paraId="05DBBF8B">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评标委员会要求投标人提交第一章“投标人须知”规定的有关证明和证件的原件时，投标人未在规定时间内提交或提交的有关证明和证件的原件与投标文件不一致，则否决其投标。</w:t>
            </w:r>
          </w:p>
        </w:tc>
      </w:tr>
      <w:tr w14:paraId="24FA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D0DAA94">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2E0FB7C7">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726DA80E">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投标文件或者投标报价</w:t>
            </w:r>
          </w:p>
        </w:tc>
        <w:tc>
          <w:tcPr>
            <w:tcW w:w="5713" w:type="dxa"/>
            <w:noWrap w:val="0"/>
            <w:vAlign w:val="center"/>
          </w:tcPr>
          <w:p w14:paraId="06235C58">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同一投标人提交两个或以上不同的投标文件或者投标报价，则否决其投标，但招标文件要求提交备选投标的除外；</w:t>
            </w:r>
          </w:p>
        </w:tc>
      </w:tr>
      <w:tr w14:paraId="4313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A98F97">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2F0E7C92">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6050325B">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投标报价的修正</w:t>
            </w:r>
          </w:p>
        </w:tc>
        <w:tc>
          <w:tcPr>
            <w:tcW w:w="5713" w:type="dxa"/>
            <w:noWrap w:val="0"/>
            <w:vAlign w:val="center"/>
          </w:tcPr>
          <w:p w14:paraId="659E38FA">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评标委员会按第四章“评标办法”第3.1.3条款规定的原则要求投标人对投标报价进行修正，并要求投标人书面澄清确认时，投标人拒不澄清确认或不完全接受评标委员会要求其澄清确认的内容，则否决其投标。</w:t>
            </w:r>
          </w:p>
        </w:tc>
      </w:tr>
      <w:tr w14:paraId="6CE2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DCA1204">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36B04FD2">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2173F528">
            <w:pPr>
              <w:adjustRightInd w:val="0"/>
              <w:spacing w:line="312" w:lineRule="auto"/>
              <w:contextualSpacing/>
              <w:rPr>
                <w:rFonts w:hint="eastAsia" w:ascii="宋体" w:hAnsi="宋体" w:cs="宋体"/>
                <w:color w:val="auto"/>
                <w:szCs w:val="21"/>
                <w:highlight w:val="none"/>
              </w:rPr>
            </w:pPr>
            <w:r>
              <w:rPr>
                <w:rFonts w:hint="eastAsia" w:ascii="宋体" w:hAnsi="宋体" w:cs="宋体"/>
                <w:color w:val="auto"/>
                <w:szCs w:val="21"/>
                <w:highlight w:val="none"/>
              </w:rPr>
              <w:t>投标文件的澄清、说明或补正</w:t>
            </w:r>
          </w:p>
        </w:tc>
        <w:tc>
          <w:tcPr>
            <w:tcW w:w="5713" w:type="dxa"/>
            <w:noWrap w:val="0"/>
            <w:vAlign w:val="center"/>
          </w:tcPr>
          <w:p w14:paraId="63902176">
            <w:pPr>
              <w:adjustRightInd w:val="0"/>
              <w:spacing w:line="312" w:lineRule="auto"/>
              <w:contextualSpacing/>
              <w:rPr>
                <w:rFonts w:hint="eastAsia" w:ascii="宋体" w:hAnsi="宋体" w:cs="宋体"/>
                <w:color w:val="auto"/>
                <w:szCs w:val="21"/>
                <w:highlight w:val="none"/>
              </w:rPr>
            </w:pPr>
            <w:r>
              <w:rPr>
                <w:rFonts w:hint="eastAsia" w:ascii="宋体" w:hAnsi="宋体" w:cs="宋体"/>
                <w:color w:val="auto"/>
                <w:szCs w:val="21"/>
                <w:highlight w:val="none"/>
              </w:rPr>
              <w:t>评标委员会按第四章“评标办法”第3.3条款规定要求投标人在规定时间内对投标文件澄清、说明或补正时，投标人未在规定时间内提交或拒绝提交澄清、说明或补正资料，则否决其投标。</w:t>
            </w:r>
          </w:p>
        </w:tc>
      </w:tr>
      <w:tr w14:paraId="0279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0846B15">
            <w:pPr>
              <w:adjustRightInd w:val="0"/>
              <w:spacing w:line="312" w:lineRule="auto"/>
              <w:contextualSpacing/>
              <w:jc w:val="center"/>
              <w:rPr>
                <w:rFonts w:ascii="宋体" w:hAnsi="宋体" w:cs="宋体"/>
                <w:color w:val="auto"/>
                <w:szCs w:val="21"/>
                <w:highlight w:val="none"/>
              </w:rPr>
            </w:pPr>
          </w:p>
        </w:tc>
        <w:tc>
          <w:tcPr>
            <w:tcW w:w="840" w:type="dxa"/>
            <w:vMerge w:val="continue"/>
            <w:noWrap w:val="0"/>
            <w:vAlign w:val="center"/>
          </w:tcPr>
          <w:p w14:paraId="44B9491E">
            <w:pPr>
              <w:adjustRightInd w:val="0"/>
              <w:spacing w:line="312" w:lineRule="auto"/>
              <w:contextualSpacing/>
              <w:jc w:val="center"/>
              <w:rPr>
                <w:rFonts w:ascii="宋体" w:hAnsi="宋体" w:cs="宋体"/>
                <w:color w:val="auto"/>
                <w:szCs w:val="21"/>
                <w:highlight w:val="none"/>
              </w:rPr>
            </w:pPr>
          </w:p>
        </w:tc>
        <w:tc>
          <w:tcPr>
            <w:tcW w:w="1915" w:type="dxa"/>
            <w:gridSpan w:val="2"/>
            <w:noWrap w:val="0"/>
            <w:vAlign w:val="center"/>
          </w:tcPr>
          <w:p w14:paraId="5E9365D3">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机器码唯一</w:t>
            </w:r>
          </w:p>
        </w:tc>
        <w:tc>
          <w:tcPr>
            <w:tcW w:w="5713" w:type="dxa"/>
            <w:noWrap w:val="0"/>
            <w:vAlign w:val="center"/>
          </w:tcPr>
          <w:p w14:paraId="3175A635">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rPr>
              <w:t>不存在两个（含两个）以上的投标人加密打包的电子投标文件电脑机器码一致的</w:t>
            </w:r>
            <w:r>
              <w:rPr>
                <w:rFonts w:hint="eastAsia" w:ascii="宋体" w:hAnsi="宋体" w:cs="宋体"/>
                <w:color w:val="auto"/>
                <w:szCs w:val="21"/>
                <w:highlight w:val="none"/>
                <w:lang w:eastAsia="zh-CN"/>
              </w:rPr>
              <w:t>。</w:t>
            </w:r>
          </w:p>
        </w:tc>
      </w:tr>
      <w:tr w14:paraId="21D6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14:paraId="6B8F47DB">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15" w:type="dxa"/>
            <w:gridSpan w:val="2"/>
            <w:noWrap w:val="0"/>
            <w:vAlign w:val="center"/>
          </w:tcPr>
          <w:p w14:paraId="401F91B3">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5713" w:type="dxa"/>
            <w:noWrap w:val="0"/>
            <w:vAlign w:val="top"/>
          </w:tcPr>
          <w:p w14:paraId="1F899751">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0714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14:paraId="2E97EF40">
            <w:pPr>
              <w:widowControl w:val="0"/>
              <w:adjustRightInd w:val="0"/>
              <w:spacing w:line="312" w:lineRule="auto"/>
              <w:contextualSpacing/>
              <w:jc w:val="center"/>
              <w:rPr>
                <w:rFonts w:ascii="宋体" w:hAnsi="宋体" w:cs="宋体"/>
                <w:color w:val="auto"/>
                <w:szCs w:val="21"/>
                <w:highlight w:val="none"/>
              </w:rPr>
            </w:pPr>
          </w:p>
          <w:p w14:paraId="7573D00D">
            <w:pPr>
              <w:widowControl w:val="0"/>
              <w:adjustRightInd w:val="0"/>
              <w:spacing w:line="312" w:lineRule="auto"/>
              <w:contextualSpacing/>
              <w:jc w:val="center"/>
              <w:rPr>
                <w:rFonts w:ascii="宋体" w:hAnsi="宋体" w:cs="宋体"/>
                <w:color w:val="auto"/>
                <w:szCs w:val="21"/>
                <w:highlight w:val="none"/>
              </w:rPr>
            </w:pPr>
          </w:p>
          <w:p w14:paraId="146DECAE">
            <w:pPr>
              <w:widowControl w:val="0"/>
              <w:adjustRightInd w:val="0"/>
              <w:spacing w:line="312" w:lineRule="auto"/>
              <w:contextualSpacing/>
              <w:jc w:val="center"/>
              <w:rPr>
                <w:rFonts w:ascii="宋体" w:hAnsi="宋体" w:cs="宋体"/>
                <w:color w:val="auto"/>
                <w:szCs w:val="21"/>
                <w:highlight w:val="none"/>
              </w:rPr>
            </w:pPr>
          </w:p>
          <w:p w14:paraId="629899F7">
            <w:pPr>
              <w:widowControl w:val="0"/>
              <w:adjustRightInd w:val="0"/>
              <w:spacing w:line="312" w:lineRule="auto"/>
              <w:contextualSpacing/>
              <w:jc w:val="center"/>
              <w:rPr>
                <w:rFonts w:ascii="宋体" w:hAnsi="宋体" w:cs="宋体"/>
                <w:b/>
                <w:color w:val="auto"/>
                <w:szCs w:val="21"/>
                <w:highlight w:val="none"/>
              </w:rPr>
            </w:pPr>
            <w:r>
              <w:rPr>
                <w:rFonts w:hint="eastAsia" w:ascii="宋体" w:hAnsi="宋体" w:cs="宋体"/>
                <w:color w:val="auto"/>
                <w:szCs w:val="21"/>
                <w:highlight w:val="none"/>
              </w:rPr>
              <w:t>2.2.2</w:t>
            </w:r>
          </w:p>
        </w:tc>
        <w:tc>
          <w:tcPr>
            <w:tcW w:w="1915" w:type="dxa"/>
            <w:gridSpan w:val="2"/>
            <w:noWrap w:val="0"/>
            <w:vAlign w:val="center"/>
          </w:tcPr>
          <w:p w14:paraId="791F6E88">
            <w:pPr>
              <w:widowControl w:val="0"/>
              <w:adjustRightInd w:val="0"/>
              <w:spacing w:line="312" w:lineRule="auto"/>
              <w:contextualSpacing/>
              <w:jc w:val="center"/>
              <w:rPr>
                <w:rFonts w:ascii="宋体" w:hAnsi="宋体" w:cs="宋体"/>
                <w:color w:val="auto"/>
                <w:szCs w:val="21"/>
                <w:highlight w:val="none"/>
              </w:rPr>
            </w:pPr>
          </w:p>
          <w:p w14:paraId="2E816F18">
            <w:pPr>
              <w:widowControl w:val="0"/>
              <w:adjustRightInd w:val="0"/>
              <w:spacing w:line="312" w:lineRule="auto"/>
              <w:contextualSpacing/>
              <w:jc w:val="center"/>
              <w:rPr>
                <w:rFonts w:ascii="宋体" w:hAnsi="宋体" w:cs="宋体"/>
                <w:color w:val="auto"/>
                <w:szCs w:val="21"/>
                <w:highlight w:val="none"/>
              </w:rPr>
            </w:pPr>
          </w:p>
          <w:p w14:paraId="284EA56A">
            <w:pPr>
              <w:widowControl w:val="0"/>
              <w:adjustRightInd w:val="0"/>
              <w:spacing w:line="312" w:lineRule="auto"/>
              <w:contextualSpacing/>
              <w:jc w:val="center"/>
              <w:rPr>
                <w:rFonts w:ascii="宋体" w:hAnsi="宋体" w:cs="宋体"/>
                <w:color w:val="auto"/>
                <w:szCs w:val="21"/>
                <w:highlight w:val="none"/>
              </w:rPr>
            </w:pPr>
          </w:p>
          <w:p w14:paraId="16B734FD">
            <w:pPr>
              <w:widowControl w:val="0"/>
              <w:adjustRightInd w:val="0"/>
              <w:spacing w:line="312" w:lineRule="auto"/>
              <w:contextualSpacing/>
              <w:jc w:val="center"/>
              <w:rPr>
                <w:rFonts w:ascii="宋体" w:hAnsi="宋体" w:cs="宋体"/>
                <w:b/>
                <w:color w:val="auto"/>
                <w:szCs w:val="21"/>
                <w:highlight w:val="none"/>
              </w:rPr>
            </w:pPr>
            <w:r>
              <w:rPr>
                <w:rFonts w:hint="eastAsia" w:ascii="宋体" w:hAnsi="宋体" w:cs="宋体"/>
                <w:color w:val="auto"/>
                <w:szCs w:val="21"/>
                <w:highlight w:val="none"/>
              </w:rPr>
              <w:t>经评审的最终投标价格计算方法</w:t>
            </w:r>
          </w:p>
        </w:tc>
        <w:tc>
          <w:tcPr>
            <w:tcW w:w="5713" w:type="dxa"/>
            <w:noWrap w:val="0"/>
            <w:vAlign w:val="center"/>
          </w:tcPr>
          <w:p w14:paraId="5C0B4ECA">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标委员会对满足招标文件实质性要求的投标文件，按照以下指评标委员会对满足招标文件实质性要求的投标文件，按照以下指定的方法对各投标人的投标总价进行折算（调整），并依据经评审的投标总价（即“经评审的最终投标价格”）从低到高的顺序确定中标候选人，但是投标价格低于成本的除外。除特别注明外，经评审的最终投标价格以及折算（调整）金额的中间过程计算值和最终值，均按“四舍五入”原则精确到两位小数。具体过程如下：</w:t>
            </w:r>
          </w:p>
          <w:p w14:paraId="530225D8">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（1）计算折算（调整）金额</w:t>
            </w:r>
          </w:p>
          <w:p w14:paraId="325701E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评标委员会按照评标办法中指定的量化标准对量化因素进行折算（调整），并填写《折算（调整）金额计算表》。</w:t>
            </w:r>
          </w:p>
          <w:p w14:paraId="48FBAA3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量化标准采用折算系数计算的，该量化因素的折算金额＝招标控制价×折算系数；量化标准采用金额进行调增（或调减）的，该量化因素的调整金额＝调增（或调减）金额的累计结果，其中调增的为正值，调减的为负值。</w:t>
            </w:r>
          </w:p>
          <w:p w14:paraId="0FB2549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（2）计算经评审的最终投标价格</w:t>
            </w:r>
          </w:p>
          <w:p w14:paraId="3E9BDE6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评标委员会将折算（调整）金额填入《经评审的最终投标价格计算表》，并按以下公式计算评标价：</w:t>
            </w:r>
          </w:p>
          <w:p w14:paraId="67F714E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经评审的投标总价=T+ （Ti-T）</w:t>
            </w:r>
          </w:p>
          <w:p w14:paraId="378291F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其中，Ti=T-y*x</w:t>
            </w:r>
          </w:p>
          <w:p w14:paraId="6398C92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式中，T为实际投标报价，Ti为按第i项量化因数评审的投标价格，i为量化因素，x为每项量化因素比例，y为每一包的招标控制价，价格的单位为元。</w:t>
            </w:r>
          </w:p>
          <w:p w14:paraId="508B48D0">
            <w:pPr>
              <w:widowControl/>
              <w:adjustRightInd/>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注：中标人确定后，招标人应以该中标人的实际报价而不是评标价签订采购合同。</w:t>
            </w:r>
          </w:p>
        </w:tc>
      </w:tr>
      <w:tr w14:paraId="7CCF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gridSpan w:val="2"/>
            <w:noWrap w:val="0"/>
            <w:vAlign w:val="center"/>
          </w:tcPr>
          <w:p w14:paraId="75BC0FF1">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15" w:type="dxa"/>
            <w:gridSpan w:val="2"/>
            <w:noWrap w:val="0"/>
            <w:vAlign w:val="center"/>
          </w:tcPr>
          <w:p w14:paraId="0714BC29">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量化因素</w:t>
            </w:r>
          </w:p>
        </w:tc>
        <w:tc>
          <w:tcPr>
            <w:tcW w:w="5713" w:type="dxa"/>
            <w:noWrap w:val="0"/>
            <w:vAlign w:val="top"/>
          </w:tcPr>
          <w:p w14:paraId="22677E13">
            <w:pPr>
              <w:adjustRightInd w:val="0"/>
              <w:spacing w:line="312" w:lineRule="auto"/>
              <w:contextualSpacing/>
              <w:jc w:val="center"/>
              <w:rPr>
                <w:rFonts w:ascii="宋体" w:hAnsi="宋体" w:cs="宋体"/>
                <w:b/>
                <w:color w:val="auto"/>
                <w:szCs w:val="21"/>
                <w:highlight w:val="none"/>
              </w:rPr>
            </w:pPr>
            <w:r>
              <w:rPr>
                <w:rFonts w:hint="eastAsia" w:ascii="宋体" w:hAnsi="宋体" w:cs="宋体"/>
                <w:b/>
                <w:color w:val="auto"/>
                <w:szCs w:val="21"/>
                <w:highlight w:val="none"/>
              </w:rPr>
              <w:t>量化标准</w:t>
            </w:r>
          </w:p>
        </w:tc>
      </w:tr>
      <w:tr w14:paraId="4403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657" w:type="dxa"/>
            <w:gridSpan w:val="2"/>
            <w:vMerge w:val="restart"/>
            <w:noWrap w:val="0"/>
            <w:vAlign w:val="center"/>
          </w:tcPr>
          <w:p w14:paraId="4E35B9C0">
            <w:pPr>
              <w:adjustRightInd w:val="0"/>
              <w:spacing w:line="312" w:lineRule="auto"/>
              <w:contextualSpacing/>
              <w:jc w:val="center"/>
              <w:rPr>
                <w:rFonts w:ascii="宋体" w:hAnsi="宋体" w:cs="宋体"/>
                <w:color w:val="auto"/>
                <w:szCs w:val="21"/>
                <w:highlight w:val="none"/>
              </w:rPr>
            </w:pPr>
          </w:p>
          <w:p w14:paraId="72396C25">
            <w:pPr>
              <w:adjustRightInd w:val="0"/>
              <w:spacing w:line="312" w:lineRule="auto"/>
              <w:contextualSpacing/>
              <w:jc w:val="center"/>
              <w:rPr>
                <w:rFonts w:ascii="宋体" w:hAnsi="宋体" w:cs="宋体"/>
                <w:color w:val="auto"/>
                <w:szCs w:val="21"/>
                <w:highlight w:val="none"/>
              </w:rPr>
            </w:pPr>
          </w:p>
          <w:p w14:paraId="7DF133DE">
            <w:pPr>
              <w:adjustRightInd w:val="0"/>
              <w:spacing w:line="312" w:lineRule="auto"/>
              <w:contextualSpacing/>
              <w:jc w:val="center"/>
              <w:rPr>
                <w:rFonts w:ascii="宋体" w:hAnsi="宋体" w:cs="宋体"/>
                <w:color w:val="auto"/>
                <w:szCs w:val="21"/>
                <w:highlight w:val="none"/>
              </w:rPr>
            </w:pPr>
          </w:p>
          <w:p w14:paraId="7F2E848A">
            <w:pPr>
              <w:adjustRightInd w:val="0"/>
              <w:spacing w:line="312" w:lineRule="auto"/>
              <w:contextualSpacing/>
              <w:jc w:val="center"/>
              <w:rPr>
                <w:rFonts w:ascii="宋体" w:hAnsi="宋体" w:cs="宋体"/>
                <w:color w:val="auto"/>
                <w:szCs w:val="21"/>
                <w:highlight w:val="none"/>
              </w:rPr>
            </w:pPr>
          </w:p>
          <w:p w14:paraId="54A46682">
            <w:pPr>
              <w:adjustRightInd w:val="0"/>
              <w:spacing w:line="312" w:lineRule="auto"/>
              <w:contextualSpacing/>
              <w:jc w:val="center"/>
              <w:rPr>
                <w:rFonts w:ascii="宋体" w:hAnsi="宋体" w:cs="宋体"/>
                <w:color w:val="auto"/>
                <w:szCs w:val="21"/>
                <w:highlight w:val="none"/>
              </w:rPr>
            </w:pPr>
          </w:p>
          <w:p w14:paraId="5D145295">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096" w:type="dxa"/>
            <w:vMerge w:val="restart"/>
            <w:noWrap w:val="0"/>
            <w:vAlign w:val="center"/>
          </w:tcPr>
          <w:p w14:paraId="5898FADF">
            <w:pPr>
              <w:adjustRightInd w:val="0"/>
              <w:spacing w:line="312" w:lineRule="auto"/>
              <w:contextualSpacing/>
              <w:rPr>
                <w:rFonts w:hint="eastAsia" w:ascii="宋体" w:hAnsi="宋体" w:cs="宋体"/>
                <w:color w:val="auto"/>
                <w:szCs w:val="21"/>
                <w:highlight w:val="none"/>
              </w:rPr>
            </w:pPr>
            <w:r>
              <w:rPr>
                <w:rFonts w:hint="eastAsia" w:ascii="宋体" w:hAnsi="宋体" w:cs="宋体"/>
                <w:color w:val="auto"/>
                <w:szCs w:val="21"/>
                <w:highlight w:val="none"/>
              </w:rPr>
              <w:t>质量方面</w:t>
            </w:r>
          </w:p>
          <w:p w14:paraId="05706D98">
            <w:pPr>
              <w:adjustRightInd w:val="0"/>
              <w:spacing w:line="312" w:lineRule="auto"/>
              <w:contextualSpacing/>
              <w:rPr>
                <w:rFonts w:ascii="宋体" w:hAnsi="宋体" w:cs="宋体"/>
                <w:color w:val="auto"/>
                <w:szCs w:val="21"/>
                <w:highlight w:val="none"/>
              </w:rPr>
            </w:pPr>
          </w:p>
          <w:p w14:paraId="304BCAE7">
            <w:pPr>
              <w:adjustRightInd w:val="0"/>
              <w:spacing w:line="312" w:lineRule="auto"/>
              <w:contextualSpacing/>
              <w:rPr>
                <w:rFonts w:ascii="宋体" w:hAnsi="宋体" w:cs="宋体"/>
                <w:color w:val="auto"/>
                <w:szCs w:val="21"/>
                <w:highlight w:val="none"/>
              </w:rPr>
            </w:pPr>
          </w:p>
          <w:p w14:paraId="758F2D8B">
            <w:pPr>
              <w:adjustRightInd w:val="0"/>
              <w:spacing w:line="312" w:lineRule="auto"/>
              <w:contextualSpacing/>
              <w:rPr>
                <w:rFonts w:ascii="宋体" w:hAnsi="宋体" w:cs="宋体"/>
                <w:color w:val="auto"/>
                <w:szCs w:val="21"/>
                <w:highlight w:val="none"/>
              </w:rPr>
            </w:pPr>
          </w:p>
          <w:p w14:paraId="2F5167F9">
            <w:pPr>
              <w:adjustRightInd w:val="0"/>
              <w:spacing w:line="312" w:lineRule="auto"/>
              <w:contextualSpacing/>
              <w:rPr>
                <w:rFonts w:ascii="宋体" w:hAnsi="宋体" w:cs="宋体"/>
                <w:color w:val="auto"/>
                <w:szCs w:val="21"/>
                <w:highlight w:val="none"/>
              </w:rPr>
            </w:pPr>
          </w:p>
        </w:tc>
        <w:tc>
          <w:tcPr>
            <w:tcW w:w="819" w:type="dxa"/>
            <w:noWrap w:val="0"/>
            <w:vAlign w:val="center"/>
          </w:tcPr>
          <w:p w14:paraId="375A31F7">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w:t>
            </w:r>
          </w:p>
        </w:tc>
        <w:tc>
          <w:tcPr>
            <w:tcW w:w="5713" w:type="dxa"/>
            <w:noWrap w:val="0"/>
            <w:vAlign w:val="center"/>
          </w:tcPr>
          <w:p w14:paraId="06B93B8D">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（2%）</w:t>
            </w:r>
            <w:r>
              <w:rPr>
                <w:rFonts w:hint="eastAsia" w:ascii="宋体" w:hAnsi="宋体" w:eastAsia="宋体" w:cs="宋体"/>
                <w:color w:val="auto"/>
                <w:kern w:val="2"/>
                <w:sz w:val="21"/>
                <w:szCs w:val="21"/>
                <w:highlight w:val="none"/>
                <w:lang w:val="en-US" w:eastAsia="zh-CN"/>
              </w:rPr>
              <w:t>主要投标货物</w:t>
            </w:r>
            <w:r>
              <w:rPr>
                <w:rFonts w:hint="eastAsia" w:ascii="宋体" w:hAnsi="宋体" w:eastAsia="宋体" w:cs="宋体"/>
                <w:color w:val="auto"/>
                <w:kern w:val="2"/>
                <w:sz w:val="21"/>
                <w:szCs w:val="21"/>
                <w:highlight w:val="none"/>
              </w:rPr>
              <w:t>（滤布行走</w:t>
            </w:r>
            <w:r>
              <w:rPr>
                <w:rFonts w:hint="eastAsia" w:ascii="宋体" w:hAnsi="宋体" w:eastAsia="宋体" w:cs="宋体"/>
                <w:color w:val="auto"/>
                <w:kern w:val="2"/>
                <w:sz w:val="21"/>
                <w:szCs w:val="21"/>
                <w:highlight w:val="none"/>
                <w:lang w:val="en-US" w:eastAsia="zh-CN"/>
              </w:rPr>
              <w:t>板框</w:t>
            </w:r>
            <w:r>
              <w:rPr>
                <w:rFonts w:hint="eastAsia" w:ascii="宋体" w:hAnsi="宋体" w:eastAsia="宋体" w:cs="宋体"/>
                <w:color w:val="auto"/>
                <w:kern w:val="2"/>
                <w:sz w:val="21"/>
                <w:szCs w:val="21"/>
                <w:highlight w:val="none"/>
              </w:rPr>
              <w:t>压滤机）</w:t>
            </w:r>
            <w:r>
              <w:rPr>
                <w:rFonts w:hint="eastAsia" w:ascii="宋体" w:hAnsi="宋体" w:eastAsia="宋体" w:cs="宋体"/>
                <w:color w:val="auto"/>
                <w:kern w:val="2"/>
                <w:sz w:val="21"/>
                <w:szCs w:val="21"/>
                <w:highlight w:val="none"/>
                <w:lang w:val="en-US" w:eastAsia="zh-CN"/>
              </w:rPr>
              <w:t>的制造商</w:t>
            </w:r>
            <w:r>
              <w:rPr>
                <w:rFonts w:hint="eastAsia" w:ascii="宋体" w:hAnsi="宋体" w:cs="宋体"/>
                <w:color w:val="auto"/>
                <w:kern w:val="2"/>
                <w:szCs w:val="21"/>
                <w:highlight w:val="none"/>
              </w:rPr>
              <w:t>获得在投标截止日仍处于有效期内的质量管理体系认证证书、环境管理体系认证证书、职业健康安全管理体系认证证书。</w:t>
            </w:r>
          </w:p>
          <w:p w14:paraId="64D4AF35">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rPr>
                <w:rFonts w:hint="eastAsia" w:ascii="宋体" w:hAnsi="宋体" w:cs="宋体"/>
                <w:color w:val="auto"/>
                <w:kern w:val="2"/>
                <w:szCs w:val="21"/>
                <w:highlight w:val="none"/>
              </w:rPr>
            </w:pPr>
            <w:r>
              <w:rPr>
                <w:rFonts w:hint="eastAsia" w:ascii="宋体" w:hAnsi="宋体" w:cs="宋体"/>
                <w:color w:val="auto"/>
                <w:kern w:val="2"/>
                <w:szCs w:val="21"/>
                <w:highlight w:val="none"/>
              </w:rPr>
              <w:t>每提供1个认证证书调减0.</w:t>
            </w:r>
            <w:r>
              <w:rPr>
                <w:rFonts w:hint="eastAsia" w:ascii="宋体" w:hAnsi="宋体" w:cs="宋体"/>
                <w:color w:val="auto"/>
                <w:kern w:val="2"/>
                <w:szCs w:val="21"/>
                <w:highlight w:val="none"/>
                <w:lang w:eastAsia="zh-CN"/>
              </w:rPr>
              <w:t>7</w:t>
            </w:r>
            <w:r>
              <w:rPr>
                <w:rFonts w:hint="eastAsia" w:ascii="宋体" w:hAnsi="宋体" w:cs="宋体"/>
                <w:color w:val="auto"/>
                <w:kern w:val="2"/>
                <w:szCs w:val="21"/>
                <w:highlight w:val="none"/>
              </w:rPr>
              <w:t>%*y。本项最高调减2%*y。</w:t>
            </w:r>
          </w:p>
          <w:p w14:paraId="0BC04B78">
            <w:pPr>
              <w:numPr>
                <w:ilvl w:val="0"/>
                <w:numId w:val="0"/>
              </w:numPr>
              <w:tabs>
                <w:tab w:val="left" w:pos="0"/>
              </w:tabs>
              <w:spacing w:line="400" w:lineRule="exact"/>
              <w:ind w:right="-102"/>
              <w:rPr>
                <w:rFonts w:hint="default" w:ascii="宋体" w:hAnsi="宋体" w:eastAsia="宋体" w:cs="宋体"/>
                <w:color w:val="auto"/>
                <w:kern w:val="2"/>
                <w:szCs w:val="21"/>
                <w:highlight w:val="none"/>
              </w:rPr>
            </w:pPr>
          </w:p>
          <w:p w14:paraId="1C1BE62C">
            <w:pPr>
              <w:numPr>
                <w:ilvl w:val="0"/>
                <w:numId w:val="0"/>
              </w:numPr>
              <w:tabs>
                <w:tab w:val="left" w:pos="0"/>
              </w:tabs>
              <w:adjustRightInd/>
              <w:spacing w:line="400" w:lineRule="exact"/>
              <w:ind w:right="-102"/>
              <w:contextualSpacing w:val="0"/>
              <w:rPr>
                <w:rFonts w:hint="eastAsia" w:ascii="宋体" w:hAnsi="宋体" w:cs="宋体"/>
                <w:color w:val="auto"/>
                <w:kern w:val="2"/>
                <w:szCs w:val="21"/>
                <w:highlight w:val="none"/>
              </w:rPr>
            </w:pPr>
            <w:r>
              <w:rPr>
                <w:rFonts w:hint="eastAsia" w:ascii="宋体" w:hAnsi="宋体" w:cs="宋体"/>
                <w:color w:val="auto"/>
                <w:kern w:val="2"/>
                <w:szCs w:val="21"/>
                <w:highlight w:val="none"/>
              </w:rPr>
              <w:t>注：</w:t>
            </w:r>
            <w:r>
              <w:rPr>
                <w:rFonts w:hint="eastAsia" w:ascii="宋体" w:hAnsi="宋体" w:eastAsia="宋体" w:cs="宋体"/>
                <w:color w:val="auto"/>
                <w:kern w:val="2"/>
                <w:sz w:val="21"/>
                <w:szCs w:val="21"/>
                <w:highlight w:val="none"/>
              </w:rPr>
              <w:t>须提供</w:t>
            </w:r>
            <w:r>
              <w:rPr>
                <w:rFonts w:hint="eastAsia" w:ascii="宋体" w:hAnsi="宋体" w:eastAsia="宋体" w:cs="宋体"/>
                <w:color w:val="auto"/>
                <w:kern w:val="2"/>
                <w:sz w:val="21"/>
                <w:szCs w:val="21"/>
                <w:highlight w:val="none"/>
                <w:lang w:val="en-US" w:eastAsia="zh-CN"/>
              </w:rPr>
              <w:t>拟</w:t>
            </w:r>
            <w:r>
              <w:rPr>
                <w:rFonts w:hint="eastAsia" w:ascii="宋体" w:hAnsi="宋体" w:eastAsia="宋体" w:cs="宋体"/>
                <w:color w:val="auto"/>
                <w:kern w:val="2"/>
                <w:sz w:val="21"/>
                <w:szCs w:val="21"/>
                <w:highlight w:val="none"/>
              </w:rPr>
              <w:t>投标货物制造商的管理体系认证证书原件扫描件并加盖投标人及制造商公章</w:t>
            </w:r>
            <w:r>
              <w:rPr>
                <w:rFonts w:hint="eastAsia" w:ascii="宋体" w:hAnsi="宋体" w:cs="宋体"/>
                <w:color w:val="auto"/>
                <w:kern w:val="2"/>
                <w:szCs w:val="21"/>
                <w:highlight w:val="none"/>
              </w:rPr>
              <w:t>。</w:t>
            </w:r>
          </w:p>
        </w:tc>
      </w:tr>
      <w:tr w14:paraId="44C0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57" w:type="dxa"/>
            <w:gridSpan w:val="2"/>
            <w:vMerge w:val="continue"/>
            <w:noWrap w:val="0"/>
            <w:vAlign w:val="center"/>
          </w:tcPr>
          <w:p w14:paraId="3AD81475">
            <w:pPr>
              <w:adjustRightInd w:val="0"/>
              <w:spacing w:line="312" w:lineRule="auto"/>
              <w:contextualSpacing/>
              <w:jc w:val="center"/>
              <w:rPr>
                <w:rFonts w:ascii="宋体" w:hAnsi="宋体" w:cs="宋体"/>
                <w:color w:val="auto"/>
                <w:szCs w:val="21"/>
                <w:highlight w:val="none"/>
              </w:rPr>
            </w:pPr>
          </w:p>
        </w:tc>
        <w:tc>
          <w:tcPr>
            <w:tcW w:w="1096" w:type="dxa"/>
            <w:vMerge w:val="continue"/>
            <w:noWrap w:val="0"/>
            <w:vAlign w:val="center"/>
          </w:tcPr>
          <w:p w14:paraId="0A4BC058">
            <w:pPr>
              <w:adjustRightInd w:val="0"/>
              <w:spacing w:line="312" w:lineRule="auto"/>
              <w:contextualSpacing/>
              <w:rPr>
                <w:rFonts w:ascii="宋体" w:hAnsi="宋体" w:cs="宋体"/>
                <w:color w:val="auto"/>
                <w:szCs w:val="21"/>
                <w:highlight w:val="none"/>
              </w:rPr>
            </w:pPr>
          </w:p>
        </w:tc>
        <w:tc>
          <w:tcPr>
            <w:tcW w:w="819" w:type="dxa"/>
            <w:noWrap w:val="0"/>
            <w:vAlign w:val="center"/>
          </w:tcPr>
          <w:p w14:paraId="2CA77B57">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w:t>
            </w:r>
          </w:p>
        </w:tc>
        <w:tc>
          <w:tcPr>
            <w:tcW w:w="5713" w:type="dxa"/>
            <w:noWrap w:val="0"/>
            <w:vAlign w:val="center"/>
          </w:tcPr>
          <w:p w14:paraId="1A4D96F7">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r>
              <w:rPr>
                <w:rFonts w:hint="eastAsia" w:ascii="宋体" w:hAnsi="宋体" w:cs="宋体"/>
                <w:color w:val="auto"/>
                <w:kern w:val="2"/>
                <w:szCs w:val="21"/>
                <w:highlight w:val="none"/>
              </w:rPr>
              <w:t>（5%）投标人承诺拟投标滤布行走板框压滤机脱水后泥饼含水率≤60%的基础上，由低到高排序，并列排名不占用名次。</w:t>
            </w:r>
          </w:p>
          <w:p w14:paraId="72A322A0">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r>
              <w:rPr>
                <w:rFonts w:hint="eastAsia" w:ascii="宋体" w:hAnsi="宋体" w:cs="宋体"/>
                <w:color w:val="auto"/>
                <w:kern w:val="2"/>
                <w:szCs w:val="21"/>
                <w:highlight w:val="none"/>
              </w:rPr>
              <w:t>排名第一名的，Ti=T-5%*y；</w:t>
            </w:r>
          </w:p>
          <w:p w14:paraId="0D635543">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r>
              <w:rPr>
                <w:rFonts w:hint="eastAsia" w:ascii="宋体" w:hAnsi="宋体" w:cs="宋体"/>
                <w:color w:val="auto"/>
                <w:kern w:val="2"/>
                <w:szCs w:val="21"/>
                <w:highlight w:val="none"/>
              </w:rPr>
              <w:t>排名第二名的，Ti=T-3%*y；</w:t>
            </w:r>
          </w:p>
          <w:p w14:paraId="66DE8FC3">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r>
              <w:rPr>
                <w:rFonts w:hint="eastAsia" w:ascii="宋体" w:hAnsi="宋体" w:cs="宋体"/>
                <w:color w:val="auto"/>
                <w:kern w:val="2"/>
                <w:szCs w:val="21"/>
                <w:highlight w:val="none"/>
              </w:rPr>
              <w:t>排名第三名的，Ti=T-1%*y；</w:t>
            </w:r>
          </w:p>
          <w:p w14:paraId="263232FB">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r>
              <w:rPr>
                <w:rFonts w:hint="eastAsia" w:ascii="宋体" w:hAnsi="宋体" w:cs="宋体"/>
                <w:color w:val="auto"/>
                <w:kern w:val="2"/>
                <w:szCs w:val="21"/>
                <w:highlight w:val="none"/>
              </w:rPr>
              <w:t>其他情况的，Ti=T。</w:t>
            </w:r>
          </w:p>
          <w:p w14:paraId="351B4E5C">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p>
          <w:p w14:paraId="261E356A">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r>
              <w:rPr>
                <w:rFonts w:hint="eastAsia" w:ascii="宋体" w:hAnsi="宋体" w:cs="宋体"/>
                <w:color w:val="auto"/>
                <w:kern w:val="2"/>
                <w:szCs w:val="21"/>
                <w:highlight w:val="none"/>
              </w:rPr>
              <w:t>注：</w:t>
            </w:r>
          </w:p>
          <w:p w14:paraId="6BBF7EA4">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400" w:lineRule="exact"/>
              <w:ind w:right="-102"/>
              <w:jc w:val="left"/>
              <w:textAlignment w:val="auto"/>
              <w:outlineLvl w:val="9"/>
              <w:rPr>
                <w:rFonts w:hint="eastAsia" w:ascii="宋体" w:hAnsi="宋体" w:cs="宋体"/>
                <w:color w:val="auto"/>
                <w:kern w:val="2"/>
                <w:szCs w:val="21"/>
                <w:highlight w:val="none"/>
              </w:rPr>
            </w:pPr>
            <w:r>
              <w:rPr>
                <w:rFonts w:hint="eastAsia" w:ascii="宋体" w:hAnsi="宋体" w:cs="宋体"/>
                <w:color w:val="auto"/>
                <w:kern w:val="2"/>
                <w:szCs w:val="21"/>
                <w:highlight w:val="none"/>
              </w:rPr>
              <w:t>1、</w:t>
            </w:r>
            <w:r>
              <w:rPr>
                <w:rFonts w:hint="eastAsia" w:ascii="宋体" w:hAnsi="宋体" w:eastAsia="宋体" w:cs="宋体"/>
                <w:color w:val="auto"/>
                <w:kern w:val="2"/>
                <w:sz w:val="21"/>
                <w:szCs w:val="21"/>
                <w:highlight w:val="none"/>
              </w:rPr>
              <w:t>须提供承诺函并同时加盖投标人及制造商公章</w:t>
            </w:r>
            <w:r>
              <w:rPr>
                <w:rFonts w:hint="eastAsia" w:ascii="宋体" w:hAnsi="宋体" w:cs="宋体"/>
                <w:color w:val="auto"/>
                <w:kern w:val="2"/>
                <w:szCs w:val="21"/>
                <w:highlight w:val="none"/>
              </w:rPr>
              <w:t>。</w:t>
            </w:r>
          </w:p>
          <w:p w14:paraId="6D09E936">
            <w:pPr>
              <w:adjustRightInd w:val="0"/>
              <w:spacing w:line="400" w:lineRule="exact"/>
              <w:contextualSpacing/>
              <w:rPr>
                <w:rFonts w:ascii="宋体" w:hAnsi="宋体" w:cs="宋体"/>
                <w:color w:val="auto"/>
                <w:szCs w:val="21"/>
                <w:highlight w:val="none"/>
              </w:rPr>
            </w:pPr>
            <w:r>
              <w:rPr>
                <w:rFonts w:hint="eastAsia" w:ascii="宋体" w:hAnsi="宋体" w:cs="宋体"/>
                <w:color w:val="auto"/>
                <w:kern w:val="2"/>
                <w:szCs w:val="21"/>
                <w:highlight w:val="none"/>
              </w:rPr>
              <w:t>2、须提供至本项目投标截止之日止由具备CMA或CNAS认证的第三方检测机构出具的检测报告，检测报告显示的检测结果达到本次投标承诺的含水率。</w:t>
            </w:r>
          </w:p>
        </w:tc>
      </w:tr>
      <w:tr w14:paraId="1EE9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657" w:type="dxa"/>
            <w:gridSpan w:val="2"/>
            <w:vMerge w:val="continue"/>
            <w:noWrap w:val="0"/>
            <w:vAlign w:val="center"/>
          </w:tcPr>
          <w:p w14:paraId="1B64FD07">
            <w:pPr>
              <w:adjustRightInd w:val="0"/>
              <w:spacing w:line="312" w:lineRule="auto"/>
              <w:contextualSpacing/>
              <w:jc w:val="center"/>
              <w:rPr>
                <w:rFonts w:ascii="宋体" w:hAnsi="宋体" w:cs="宋体"/>
                <w:color w:val="auto"/>
                <w:szCs w:val="21"/>
                <w:highlight w:val="none"/>
              </w:rPr>
            </w:pPr>
          </w:p>
        </w:tc>
        <w:tc>
          <w:tcPr>
            <w:tcW w:w="1096" w:type="dxa"/>
            <w:vMerge w:val="continue"/>
            <w:noWrap w:val="0"/>
            <w:vAlign w:val="center"/>
          </w:tcPr>
          <w:p w14:paraId="684CAA34">
            <w:pPr>
              <w:adjustRightInd w:val="0"/>
              <w:spacing w:line="312" w:lineRule="auto"/>
              <w:contextualSpacing/>
              <w:rPr>
                <w:rFonts w:ascii="宋体" w:hAnsi="宋体" w:cs="宋体"/>
                <w:color w:val="auto"/>
                <w:szCs w:val="21"/>
                <w:highlight w:val="none"/>
              </w:rPr>
            </w:pPr>
          </w:p>
        </w:tc>
        <w:tc>
          <w:tcPr>
            <w:tcW w:w="819" w:type="dxa"/>
            <w:noWrap w:val="0"/>
            <w:vAlign w:val="center"/>
          </w:tcPr>
          <w:p w14:paraId="0E49BD61">
            <w:pPr>
              <w:adjustRightInd w:val="0"/>
              <w:spacing w:line="312"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w:t>
            </w:r>
          </w:p>
        </w:tc>
        <w:tc>
          <w:tcPr>
            <w:tcW w:w="5713" w:type="dxa"/>
            <w:noWrap w:val="0"/>
            <w:vAlign w:val="center"/>
          </w:tcPr>
          <w:p w14:paraId="2C77DB3C">
            <w:pPr>
              <w:widowControl/>
              <w:autoSpaceDE/>
              <w:adjustRightInd w:val="0"/>
              <w:snapToGrid w:val="0"/>
              <w:spacing w:line="400" w:lineRule="exact"/>
              <w:jc w:val="left"/>
              <w:rPr>
                <w:rFonts w:hint="eastAsia" w:ascii="宋体" w:hAnsi="宋体" w:cs="宋体"/>
                <w:color w:val="auto"/>
                <w:kern w:val="2"/>
                <w:szCs w:val="21"/>
                <w:highlight w:val="none"/>
              </w:rPr>
            </w:pPr>
            <w:r>
              <w:rPr>
                <w:rFonts w:hint="eastAsia" w:ascii="宋体" w:hAnsi="宋体" w:cs="宋体"/>
                <w:color w:val="auto"/>
                <w:kern w:val="2"/>
                <w:szCs w:val="21"/>
                <w:highlight w:val="none"/>
              </w:rPr>
              <w:t>（2%）投标人承诺拟投标滤布行走板框压滤机加药量（干剂量）占总干泥量的百分比≤0.3%的基础上，由低到高排序，并列排名不占用名次。</w:t>
            </w:r>
          </w:p>
          <w:p w14:paraId="49353A3E">
            <w:pPr>
              <w:widowControl/>
              <w:autoSpaceDE/>
              <w:adjustRightInd w:val="0"/>
              <w:snapToGrid w:val="0"/>
              <w:spacing w:line="400" w:lineRule="exact"/>
              <w:jc w:val="left"/>
              <w:rPr>
                <w:rFonts w:hint="eastAsia" w:ascii="宋体" w:hAnsi="宋体" w:cs="宋体"/>
                <w:color w:val="auto"/>
                <w:kern w:val="2"/>
                <w:szCs w:val="21"/>
                <w:highlight w:val="none"/>
              </w:rPr>
            </w:pPr>
            <w:r>
              <w:rPr>
                <w:rFonts w:hint="eastAsia" w:ascii="宋体" w:hAnsi="宋体" w:cs="宋体"/>
                <w:color w:val="auto"/>
                <w:kern w:val="2"/>
                <w:szCs w:val="21"/>
                <w:highlight w:val="none"/>
              </w:rPr>
              <w:t>排名第一名的，Ti=T-2%*y；</w:t>
            </w:r>
          </w:p>
          <w:p w14:paraId="67E79579">
            <w:pPr>
              <w:widowControl/>
              <w:autoSpaceDE/>
              <w:adjustRightInd w:val="0"/>
              <w:snapToGrid w:val="0"/>
              <w:spacing w:line="400" w:lineRule="exact"/>
              <w:jc w:val="left"/>
              <w:rPr>
                <w:rFonts w:hint="eastAsia" w:ascii="宋体" w:hAnsi="宋体" w:cs="宋体"/>
                <w:color w:val="auto"/>
                <w:kern w:val="2"/>
                <w:szCs w:val="21"/>
                <w:highlight w:val="none"/>
              </w:rPr>
            </w:pPr>
            <w:r>
              <w:rPr>
                <w:rFonts w:hint="eastAsia" w:ascii="宋体" w:hAnsi="宋体" w:cs="宋体"/>
                <w:color w:val="auto"/>
                <w:kern w:val="2"/>
                <w:szCs w:val="21"/>
                <w:highlight w:val="none"/>
              </w:rPr>
              <w:t>排名第二名的，Ti=T-1%*y；</w:t>
            </w:r>
          </w:p>
          <w:p w14:paraId="4F1C4253">
            <w:pPr>
              <w:widowControl/>
              <w:autoSpaceDE/>
              <w:adjustRightInd w:val="0"/>
              <w:snapToGrid w:val="0"/>
              <w:spacing w:line="400" w:lineRule="exact"/>
              <w:jc w:val="left"/>
              <w:rPr>
                <w:rFonts w:hint="eastAsia" w:ascii="宋体" w:hAnsi="宋体" w:cs="宋体"/>
                <w:color w:val="auto"/>
                <w:kern w:val="2"/>
                <w:szCs w:val="21"/>
                <w:highlight w:val="none"/>
              </w:rPr>
            </w:pPr>
            <w:r>
              <w:rPr>
                <w:rFonts w:hint="eastAsia" w:ascii="宋体" w:hAnsi="宋体" w:cs="宋体"/>
                <w:color w:val="auto"/>
                <w:kern w:val="2"/>
                <w:szCs w:val="21"/>
                <w:highlight w:val="none"/>
              </w:rPr>
              <w:t>排名第三名的，Ti=T-0.5%*y；</w:t>
            </w:r>
          </w:p>
          <w:p w14:paraId="783587FE">
            <w:pPr>
              <w:widowControl/>
              <w:autoSpaceDE/>
              <w:adjustRightInd w:val="0"/>
              <w:snapToGrid w:val="0"/>
              <w:spacing w:line="400" w:lineRule="exact"/>
              <w:jc w:val="left"/>
              <w:rPr>
                <w:rFonts w:hint="eastAsia" w:ascii="宋体" w:hAnsi="宋体" w:cs="宋体"/>
                <w:color w:val="auto"/>
                <w:kern w:val="2"/>
                <w:szCs w:val="21"/>
                <w:highlight w:val="none"/>
              </w:rPr>
            </w:pPr>
            <w:r>
              <w:rPr>
                <w:rFonts w:hint="eastAsia" w:ascii="宋体" w:hAnsi="宋体" w:cs="宋体"/>
                <w:color w:val="auto"/>
                <w:kern w:val="2"/>
                <w:szCs w:val="21"/>
                <w:highlight w:val="none"/>
              </w:rPr>
              <w:t>其他情况的，Ti=T。</w:t>
            </w:r>
          </w:p>
          <w:p w14:paraId="2CC183E4">
            <w:pPr>
              <w:widowControl/>
              <w:autoSpaceDE/>
              <w:adjustRightInd w:val="0"/>
              <w:snapToGrid w:val="0"/>
              <w:spacing w:line="400" w:lineRule="exact"/>
              <w:jc w:val="left"/>
              <w:rPr>
                <w:rFonts w:hint="eastAsia" w:ascii="宋体" w:hAnsi="宋体" w:cs="宋体"/>
                <w:color w:val="auto"/>
                <w:kern w:val="2"/>
                <w:szCs w:val="21"/>
                <w:highlight w:val="none"/>
              </w:rPr>
            </w:pPr>
          </w:p>
          <w:p w14:paraId="26866734">
            <w:pPr>
              <w:wordWrap/>
              <w:adjustRightInd w:val="0"/>
              <w:snapToGrid w:val="0"/>
              <w:spacing w:line="400" w:lineRule="exact"/>
              <w:contextualSpacing w:val="0"/>
              <w:rPr>
                <w:rFonts w:hint="eastAsia" w:ascii="宋体" w:hAnsi="宋体" w:cs="宋体"/>
                <w:color w:val="auto"/>
                <w:kern w:val="2"/>
                <w:szCs w:val="21"/>
                <w:highlight w:val="none"/>
              </w:rPr>
            </w:pPr>
            <w:r>
              <w:rPr>
                <w:rFonts w:hint="eastAsia" w:ascii="宋体" w:hAnsi="宋体" w:cs="宋体"/>
                <w:color w:val="auto"/>
                <w:kern w:val="2"/>
                <w:szCs w:val="21"/>
                <w:highlight w:val="none"/>
              </w:rPr>
              <w:t>注：</w:t>
            </w:r>
            <w:r>
              <w:rPr>
                <w:rFonts w:hint="eastAsia" w:ascii="宋体" w:hAnsi="宋体" w:eastAsia="宋体" w:cs="宋体"/>
                <w:color w:val="auto"/>
                <w:kern w:val="2"/>
                <w:sz w:val="21"/>
                <w:szCs w:val="21"/>
                <w:highlight w:val="none"/>
              </w:rPr>
              <w:t>须提供承诺函及关于加药量能达到承诺值的相关证明材料，并同时加盖投标人及制造商公章</w:t>
            </w:r>
            <w:r>
              <w:rPr>
                <w:rFonts w:hint="eastAsia" w:ascii="宋体" w:hAnsi="宋体" w:cs="宋体"/>
                <w:color w:val="auto"/>
                <w:kern w:val="2"/>
                <w:szCs w:val="21"/>
                <w:highlight w:val="none"/>
              </w:rPr>
              <w:t>。</w:t>
            </w:r>
          </w:p>
        </w:tc>
      </w:tr>
      <w:tr w14:paraId="675B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657" w:type="dxa"/>
            <w:gridSpan w:val="2"/>
            <w:vMerge w:val="continue"/>
            <w:noWrap w:val="0"/>
            <w:vAlign w:val="center"/>
          </w:tcPr>
          <w:p w14:paraId="53071ED5">
            <w:pPr>
              <w:adjustRightInd w:val="0"/>
              <w:spacing w:line="312" w:lineRule="auto"/>
              <w:contextualSpacing/>
              <w:jc w:val="center"/>
              <w:rPr>
                <w:rFonts w:ascii="宋体" w:hAnsi="宋体" w:cs="宋体"/>
                <w:color w:val="auto"/>
                <w:szCs w:val="21"/>
                <w:highlight w:val="none"/>
              </w:rPr>
            </w:pPr>
          </w:p>
        </w:tc>
        <w:tc>
          <w:tcPr>
            <w:tcW w:w="1096" w:type="dxa"/>
            <w:vMerge w:val="continue"/>
            <w:noWrap w:val="0"/>
            <w:vAlign w:val="center"/>
          </w:tcPr>
          <w:p w14:paraId="7F8736E1">
            <w:pPr>
              <w:adjustRightInd w:val="0"/>
              <w:spacing w:line="312" w:lineRule="auto"/>
              <w:contextualSpacing/>
              <w:rPr>
                <w:rFonts w:ascii="宋体" w:hAnsi="宋体" w:cs="宋体"/>
                <w:color w:val="auto"/>
                <w:szCs w:val="21"/>
                <w:highlight w:val="none"/>
              </w:rPr>
            </w:pPr>
          </w:p>
        </w:tc>
        <w:tc>
          <w:tcPr>
            <w:tcW w:w="819" w:type="dxa"/>
            <w:noWrap w:val="0"/>
            <w:vAlign w:val="center"/>
          </w:tcPr>
          <w:p w14:paraId="0E8EE989">
            <w:pPr>
              <w:adjustRightInd w:val="0"/>
              <w:spacing w:line="312" w:lineRule="auto"/>
              <w:contextualSpacing/>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713" w:type="dxa"/>
            <w:noWrap w:val="0"/>
            <w:vAlign w:val="center"/>
          </w:tcPr>
          <w:p w14:paraId="22432BEA">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%）根据拟投标滤布行走</w:t>
            </w:r>
            <w:r>
              <w:rPr>
                <w:rFonts w:hint="eastAsia" w:ascii="宋体" w:hAnsi="宋体" w:eastAsia="宋体" w:cs="宋体"/>
                <w:color w:val="auto"/>
                <w:kern w:val="2"/>
                <w:sz w:val="21"/>
                <w:szCs w:val="21"/>
                <w:highlight w:val="none"/>
                <w:lang w:val="en-US" w:eastAsia="zh-CN"/>
              </w:rPr>
              <w:t>板框</w:t>
            </w:r>
            <w:r>
              <w:rPr>
                <w:rFonts w:hint="eastAsia" w:ascii="宋体" w:hAnsi="宋体" w:eastAsia="宋体" w:cs="宋体"/>
                <w:color w:val="auto"/>
                <w:kern w:val="2"/>
                <w:sz w:val="21"/>
                <w:szCs w:val="21"/>
                <w:highlight w:val="none"/>
              </w:rPr>
              <w:t>压滤机的视频演示（如产品先进性、产品自动化程度、产品稳定及耐用性、产品主要部件的材质用料及用量、类似案例成功应用情况等，视频演示方式可采用PPT演讲、实景拍摄演讲、图片讲解等多种方式或混合方式，演示时间不超过5分钟）情况，由评标委员会进行横向比较综合评议。</w:t>
            </w:r>
          </w:p>
          <w:p w14:paraId="7251D357">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1、产品先进性</w:t>
            </w:r>
            <w:r>
              <w:rPr>
                <w:rFonts w:hint="eastAsia" w:ascii="宋体" w:hAnsi="宋体" w:eastAsia="宋体" w:cs="宋体"/>
                <w:color w:val="auto"/>
                <w:kern w:val="2"/>
                <w:sz w:val="21"/>
                <w:szCs w:val="21"/>
                <w:highlight w:val="none"/>
                <w:lang w:bidi="ar"/>
              </w:rPr>
              <w:t>、产品自动化程度、</w:t>
            </w:r>
            <w:r>
              <w:rPr>
                <w:rFonts w:hint="eastAsia" w:ascii="宋体" w:hAnsi="宋体" w:eastAsia="宋体" w:cs="宋体"/>
                <w:color w:val="auto"/>
                <w:kern w:val="2"/>
                <w:sz w:val="21"/>
                <w:szCs w:val="21"/>
                <w:highlight w:val="none"/>
              </w:rPr>
              <w:t>产品稳定及耐用性、</w:t>
            </w:r>
            <w:r>
              <w:rPr>
                <w:rFonts w:hint="eastAsia" w:ascii="宋体" w:hAnsi="宋体" w:eastAsia="宋体" w:cs="宋体"/>
                <w:color w:val="auto"/>
                <w:kern w:val="2"/>
                <w:sz w:val="21"/>
                <w:szCs w:val="21"/>
                <w:highlight w:val="none"/>
                <w:lang w:bidi="ar"/>
              </w:rPr>
              <w:t>产品主要部件的材质用料及用量、类似案例成功应用情况等方面综合对比优秀的</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%*y；</w:t>
            </w:r>
          </w:p>
          <w:p w14:paraId="48902C01">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2、产品先进性</w:t>
            </w:r>
            <w:r>
              <w:rPr>
                <w:rFonts w:hint="eastAsia" w:ascii="宋体" w:hAnsi="宋体" w:eastAsia="宋体" w:cs="宋体"/>
                <w:color w:val="auto"/>
                <w:kern w:val="2"/>
                <w:sz w:val="21"/>
                <w:szCs w:val="21"/>
                <w:highlight w:val="none"/>
                <w:lang w:bidi="ar"/>
              </w:rPr>
              <w:t>、产品自动化程度、</w:t>
            </w:r>
            <w:r>
              <w:rPr>
                <w:rFonts w:hint="eastAsia" w:ascii="宋体" w:hAnsi="宋体" w:eastAsia="宋体" w:cs="宋体"/>
                <w:color w:val="auto"/>
                <w:kern w:val="2"/>
                <w:sz w:val="21"/>
                <w:szCs w:val="21"/>
                <w:highlight w:val="none"/>
              </w:rPr>
              <w:t>产品稳定及耐用性、</w:t>
            </w:r>
            <w:r>
              <w:rPr>
                <w:rFonts w:hint="eastAsia" w:ascii="宋体" w:hAnsi="宋体" w:eastAsia="宋体" w:cs="宋体"/>
                <w:color w:val="auto"/>
                <w:kern w:val="2"/>
                <w:sz w:val="21"/>
                <w:szCs w:val="21"/>
                <w:highlight w:val="none"/>
                <w:lang w:bidi="ar"/>
              </w:rPr>
              <w:t>产品主要部件的材质用料及用量、类似案例成功应用情况等方面等方面综合对比较优秀的</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rPr>
              <w:t>3</w:t>
            </w:r>
            <w:r>
              <w:rPr>
                <w:rFonts w:hint="eastAsia" w:ascii="宋体" w:hAnsi="宋体" w:eastAsia="宋体" w:cs="宋体"/>
                <w:color w:val="auto"/>
                <w:kern w:val="2"/>
                <w:sz w:val="21"/>
                <w:szCs w:val="21"/>
                <w:highlight w:val="none"/>
              </w:rPr>
              <w:t>%*y；</w:t>
            </w:r>
          </w:p>
          <w:p w14:paraId="5281D924">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3、产品先进性</w:t>
            </w:r>
            <w:r>
              <w:rPr>
                <w:rFonts w:hint="eastAsia" w:ascii="宋体" w:hAnsi="宋体" w:eastAsia="宋体" w:cs="宋体"/>
                <w:color w:val="auto"/>
                <w:kern w:val="2"/>
                <w:sz w:val="21"/>
                <w:szCs w:val="21"/>
                <w:highlight w:val="none"/>
                <w:lang w:bidi="ar"/>
              </w:rPr>
              <w:t>、产品自动化程度、</w:t>
            </w:r>
            <w:r>
              <w:rPr>
                <w:rFonts w:hint="eastAsia" w:ascii="宋体" w:hAnsi="宋体" w:eastAsia="宋体" w:cs="宋体"/>
                <w:color w:val="auto"/>
                <w:kern w:val="2"/>
                <w:sz w:val="21"/>
                <w:szCs w:val="21"/>
                <w:highlight w:val="none"/>
              </w:rPr>
              <w:t>产品稳定及耐用性、</w:t>
            </w:r>
            <w:r>
              <w:rPr>
                <w:rFonts w:hint="eastAsia" w:ascii="宋体" w:hAnsi="宋体" w:eastAsia="宋体" w:cs="宋体"/>
                <w:color w:val="auto"/>
                <w:kern w:val="2"/>
                <w:sz w:val="21"/>
                <w:szCs w:val="21"/>
                <w:highlight w:val="none"/>
                <w:lang w:bidi="ar"/>
              </w:rPr>
              <w:t>产品主要部件的材质用料及用量、类似案例成功应用情况等方面等方面综合对比</w:t>
            </w:r>
            <w:r>
              <w:rPr>
                <w:rFonts w:hint="eastAsia" w:ascii="宋体" w:hAnsi="宋体" w:eastAsia="宋体" w:cs="宋体"/>
                <w:color w:val="auto"/>
                <w:kern w:val="2"/>
                <w:sz w:val="21"/>
                <w:szCs w:val="21"/>
                <w:highlight w:val="none"/>
              </w:rPr>
              <w:t>差的，T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p>
          <w:p w14:paraId="08F38C97">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投标人没有提供视频演示的，T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p>
          <w:p w14:paraId="593E8E6F">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注：1、投标人提供视频演示。</w:t>
            </w:r>
          </w:p>
          <w:p w14:paraId="38B41D6F">
            <w:pPr>
              <w:wordWrap/>
              <w:adjustRightInd w:val="0"/>
              <w:snapToGrid w:val="0"/>
              <w:spacing w:line="400" w:lineRule="exact"/>
              <w:contextualSpacing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2、视频演示须以U盘或光盘形式在投标截止时间前单独密封递交至开标室，未递交的投标单位不进行该项评分。</w:t>
            </w:r>
          </w:p>
        </w:tc>
      </w:tr>
      <w:tr w14:paraId="7A0D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657" w:type="dxa"/>
            <w:gridSpan w:val="2"/>
            <w:vMerge w:val="continue"/>
            <w:noWrap w:val="0"/>
            <w:vAlign w:val="center"/>
          </w:tcPr>
          <w:p w14:paraId="0E24DFB8">
            <w:pPr>
              <w:adjustRightInd w:val="0"/>
              <w:spacing w:line="312" w:lineRule="auto"/>
              <w:contextualSpacing/>
              <w:jc w:val="center"/>
              <w:rPr>
                <w:rFonts w:ascii="宋体" w:hAnsi="宋体" w:cs="宋体"/>
                <w:color w:val="auto"/>
                <w:szCs w:val="21"/>
                <w:highlight w:val="none"/>
              </w:rPr>
            </w:pPr>
          </w:p>
        </w:tc>
        <w:tc>
          <w:tcPr>
            <w:tcW w:w="1096" w:type="dxa"/>
            <w:vMerge w:val="continue"/>
            <w:noWrap w:val="0"/>
            <w:vAlign w:val="center"/>
          </w:tcPr>
          <w:p w14:paraId="1EB9B4AD">
            <w:pPr>
              <w:adjustRightInd w:val="0"/>
              <w:spacing w:line="312" w:lineRule="auto"/>
              <w:contextualSpacing/>
              <w:rPr>
                <w:rFonts w:ascii="宋体" w:hAnsi="宋体" w:cs="宋体"/>
                <w:color w:val="auto"/>
                <w:szCs w:val="21"/>
                <w:highlight w:val="none"/>
              </w:rPr>
            </w:pPr>
          </w:p>
        </w:tc>
        <w:tc>
          <w:tcPr>
            <w:tcW w:w="819" w:type="dxa"/>
            <w:noWrap w:val="0"/>
            <w:vAlign w:val="center"/>
          </w:tcPr>
          <w:p w14:paraId="6F59567B">
            <w:pPr>
              <w:adjustRightInd w:val="0"/>
              <w:spacing w:line="312" w:lineRule="auto"/>
              <w:contextualSpacing/>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713" w:type="dxa"/>
            <w:noWrap w:val="0"/>
            <w:vAlign w:val="center"/>
          </w:tcPr>
          <w:p w14:paraId="01FF32C2">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8%</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）1、在投标人拟投标的</w:t>
            </w:r>
            <w:r>
              <w:rPr>
                <w:rFonts w:hint="eastAsia" w:ascii="宋体" w:hAnsi="宋体" w:eastAsia="宋体" w:cs="宋体"/>
                <w:b w:val="0"/>
                <w:bCs w:val="0"/>
                <w:color w:val="auto"/>
                <w:kern w:val="2"/>
                <w:sz w:val="21"/>
                <w:szCs w:val="21"/>
                <w:highlight w:val="none"/>
                <w:lang w:val="en-US" w:eastAsia="zh-CN"/>
              </w:rPr>
              <w:t>滤板</w:t>
            </w:r>
            <w:r>
              <w:rPr>
                <w:rFonts w:hint="eastAsia" w:ascii="宋体" w:hAnsi="宋体" w:eastAsia="宋体" w:cs="宋体"/>
                <w:color w:val="auto"/>
                <w:kern w:val="2"/>
                <w:sz w:val="21"/>
                <w:szCs w:val="21"/>
                <w:highlight w:val="none"/>
              </w:rPr>
              <w:t>满足项目实际使用功能要求和相关技术性能、安全、实施要求的基础上，对其主要技术指标、品牌选型、稳定及可靠性等横向比较，并按优良等级进行排名，并列排名不占用名次。</w:t>
            </w:r>
          </w:p>
          <w:p w14:paraId="1EBBFB83">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①排名第一名的，T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%*y；</w:t>
            </w:r>
          </w:p>
          <w:p w14:paraId="06C99490">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②排名第二名的，T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%*y；</w:t>
            </w:r>
          </w:p>
          <w:p w14:paraId="7A3A3861">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③排名第三名的，T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%*y；</w:t>
            </w:r>
          </w:p>
          <w:p w14:paraId="3CA46659">
            <w:pPr>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其他情况的，T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p>
          <w:p w14:paraId="0906DC53">
            <w:pPr>
              <w:adjustRightInd w:val="0"/>
              <w:snapToGrid w:val="0"/>
              <w:spacing w:line="400" w:lineRule="exact"/>
              <w:jc w:val="left"/>
              <w:rPr>
                <w:rFonts w:hint="eastAsia" w:ascii="宋体" w:hAnsi="宋体" w:eastAsia="宋体" w:cs="宋体"/>
                <w:color w:val="auto"/>
                <w:kern w:val="2"/>
                <w:sz w:val="21"/>
                <w:szCs w:val="21"/>
                <w:highlight w:val="none"/>
              </w:rPr>
            </w:pPr>
          </w:p>
          <w:p w14:paraId="24E1A1B0">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）2、在投标人拟投标的</w:t>
            </w:r>
            <w:r>
              <w:rPr>
                <w:rFonts w:hint="eastAsia" w:ascii="宋体" w:hAnsi="宋体" w:eastAsia="宋体" w:cs="宋体"/>
                <w:b w:val="0"/>
                <w:bCs w:val="0"/>
                <w:color w:val="auto"/>
                <w:kern w:val="2"/>
                <w:sz w:val="21"/>
                <w:szCs w:val="21"/>
                <w:highlight w:val="none"/>
                <w:lang w:val="en-US" w:eastAsia="zh-CN"/>
              </w:rPr>
              <w:t>滤布</w:t>
            </w:r>
            <w:r>
              <w:rPr>
                <w:rFonts w:hint="eastAsia" w:ascii="宋体" w:hAnsi="宋体" w:eastAsia="宋体" w:cs="宋体"/>
                <w:color w:val="auto"/>
                <w:kern w:val="2"/>
                <w:sz w:val="21"/>
                <w:szCs w:val="21"/>
                <w:highlight w:val="none"/>
              </w:rPr>
              <w:t>满足项目实际使用功能要求和相关技术性能、安全、实施要求的基础上，对其主要技术指标、品牌选型、稳定及可靠性等横向比较，并按优良等级进行排名，并列排名不占用名次。</w:t>
            </w:r>
          </w:p>
          <w:p w14:paraId="029103AC">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①排名第一名的，T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%*y；</w:t>
            </w:r>
          </w:p>
          <w:p w14:paraId="41FAC4EE">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②排名第二名的，T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%*y；</w:t>
            </w:r>
          </w:p>
          <w:p w14:paraId="03AE041E">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③排名第三名的，T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%*y；</w:t>
            </w:r>
          </w:p>
          <w:p w14:paraId="4EA21DD1">
            <w:pPr>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其他情况的，T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p>
          <w:p w14:paraId="393A15FB">
            <w:pPr>
              <w:widowControl/>
              <w:adjustRightInd w:val="0"/>
              <w:snapToGrid w:val="0"/>
              <w:spacing w:line="400" w:lineRule="exact"/>
              <w:jc w:val="left"/>
              <w:rPr>
                <w:rFonts w:hint="eastAsia" w:ascii="宋体" w:hAnsi="宋体" w:eastAsia="宋体" w:cs="宋体"/>
                <w:color w:val="auto"/>
                <w:kern w:val="2"/>
                <w:sz w:val="21"/>
                <w:szCs w:val="21"/>
                <w:highlight w:val="none"/>
              </w:rPr>
            </w:pPr>
          </w:p>
          <w:p w14:paraId="70B373DF">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）3、在投标人拟投标的</w:t>
            </w:r>
            <w:r>
              <w:rPr>
                <w:rFonts w:hint="eastAsia" w:ascii="宋体" w:hAnsi="宋体" w:eastAsia="宋体" w:cs="宋体"/>
                <w:b w:val="0"/>
                <w:bCs w:val="0"/>
                <w:color w:val="auto"/>
                <w:kern w:val="2"/>
                <w:sz w:val="21"/>
                <w:szCs w:val="21"/>
                <w:highlight w:val="none"/>
                <w:lang w:val="en-US" w:eastAsia="zh-CN"/>
              </w:rPr>
              <w:t>液压站</w:t>
            </w:r>
            <w:r>
              <w:rPr>
                <w:rFonts w:hint="eastAsia" w:ascii="宋体" w:hAnsi="宋体" w:eastAsia="宋体" w:cs="宋体"/>
                <w:color w:val="auto"/>
                <w:kern w:val="2"/>
                <w:sz w:val="21"/>
                <w:szCs w:val="21"/>
                <w:highlight w:val="none"/>
              </w:rPr>
              <w:t>满足项目实际使用功能要求和相关技术性能、安全、实施要求的基础上，对其主要技术指标、品牌选型、稳定及可靠性等横向比较，并按优良等级进行排名，并列排名不占用名次。</w:t>
            </w:r>
          </w:p>
          <w:p w14:paraId="6E638EC4">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①排名第一名的，T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%*y；</w:t>
            </w:r>
          </w:p>
          <w:p w14:paraId="5C5B79BA">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②排名第二名的，T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%*y；</w:t>
            </w:r>
          </w:p>
          <w:p w14:paraId="3A1661DB">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③排名第三名的，T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%*y；</w:t>
            </w:r>
          </w:p>
          <w:p w14:paraId="566D1FA0">
            <w:pPr>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其他情况的，T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p>
          <w:p w14:paraId="471C3A09">
            <w:pPr>
              <w:adjustRightInd w:val="0"/>
              <w:snapToGrid w:val="0"/>
              <w:spacing w:line="400" w:lineRule="exact"/>
              <w:jc w:val="left"/>
              <w:rPr>
                <w:rFonts w:hint="eastAsia" w:ascii="宋体" w:hAnsi="宋体" w:cs="宋体"/>
                <w:color w:val="auto"/>
                <w:kern w:val="2"/>
                <w:szCs w:val="21"/>
                <w:highlight w:val="none"/>
              </w:rPr>
            </w:pPr>
          </w:p>
          <w:p w14:paraId="1AFC4646">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、在投标人拟投标的</w:t>
            </w:r>
            <w:r>
              <w:rPr>
                <w:rFonts w:hint="eastAsia" w:ascii="宋体" w:hAnsi="宋体" w:eastAsia="宋体" w:cs="宋体"/>
                <w:b w:val="0"/>
                <w:bCs w:val="0"/>
                <w:color w:val="auto"/>
                <w:kern w:val="2"/>
                <w:sz w:val="21"/>
                <w:szCs w:val="21"/>
                <w:highlight w:val="none"/>
              </w:rPr>
              <w:t>污泥</w:t>
            </w:r>
            <w:r>
              <w:rPr>
                <w:rFonts w:hint="eastAsia" w:ascii="宋体" w:hAnsi="宋体" w:eastAsia="宋体" w:cs="宋体"/>
                <w:b w:val="0"/>
                <w:bCs w:val="0"/>
                <w:color w:val="auto"/>
                <w:kern w:val="2"/>
                <w:sz w:val="21"/>
                <w:szCs w:val="21"/>
                <w:highlight w:val="none"/>
                <w:lang w:val="en-US" w:eastAsia="zh-CN"/>
              </w:rPr>
              <w:t>系统</w:t>
            </w:r>
            <w:r>
              <w:rPr>
                <w:rFonts w:hint="eastAsia" w:ascii="宋体" w:hAnsi="宋体" w:eastAsia="宋体" w:cs="宋体"/>
                <w:b w:val="0"/>
                <w:bCs w:val="0"/>
                <w:color w:val="auto"/>
                <w:kern w:val="2"/>
                <w:sz w:val="21"/>
                <w:szCs w:val="21"/>
                <w:highlight w:val="none"/>
              </w:rPr>
              <w:t>PLC站</w:t>
            </w:r>
            <w:r>
              <w:rPr>
                <w:rFonts w:hint="eastAsia" w:ascii="宋体" w:hAnsi="宋体" w:eastAsia="宋体" w:cs="宋体"/>
                <w:color w:val="auto"/>
                <w:kern w:val="2"/>
                <w:sz w:val="21"/>
                <w:szCs w:val="21"/>
                <w:highlight w:val="none"/>
              </w:rPr>
              <w:t>满足项目实际使用功能要求和相关技术性能、安全、实施要求的基础上，对其主要技术指标、品牌选型、稳定及可靠性等横向比较，并按优良等级进行排名，并列排名不占用名次。</w:t>
            </w:r>
          </w:p>
          <w:p w14:paraId="6AAE48EB">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①排名第一名的，T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%*y；</w:t>
            </w:r>
          </w:p>
          <w:p w14:paraId="0E354FD1">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②排名第二名的，T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%*y；</w:t>
            </w:r>
          </w:p>
          <w:p w14:paraId="064A09BA">
            <w:pPr>
              <w:widowControl/>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③排名第三名的，T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r>
              <w:rPr>
                <w:rFonts w:hint="eastAsia" w:ascii="宋体" w:hAnsi="宋体" w:eastAsia="宋体" w:cs="宋体"/>
                <w:color w:val="auto"/>
                <w:kern w:val="2"/>
                <w:sz w:val="21"/>
                <w:szCs w:val="21"/>
                <w:highlight w:val="none"/>
                <w:lang w:val="en-US" w:eastAsia="zh-CN"/>
              </w:rPr>
              <w:t>0.5</w:t>
            </w:r>
            <w:r>
              <w:rPr>
                <w:rFonts w:hint="eastAsia" w:ascii="宋体" w:hAnsi="宋体" w:eastAsia="宋体" w:cs="宋体"/>
                <w:color w:val="auto"/>
                <w:kern w:val="2"/>
                <w:sz w:val="21"/>
                <w:szCs w:val="21"/>
                <w:highlight w:val="none"/>
              </w:rPr>
              <w:t>%*y；</w:t>
            </w:r>
          </w:p>
          <w:p w14:paraId="38F435AC">
            <w:pPr>
              <w:adjustRightInd w:val="0"/>
              <w:snapToGrid w:val="0"/>
              <w:spacing w:line="400" w:lineRule="exact"/>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其他情况的，T</w:t>
            </w:r>
            <w:r>
              <w:rPr>
                <w:rFonts w:hint="eastAsia" w:ascii="宋体" w:hAnsi="宋体" w:eastAsia="宋体" w:cs="宋体"/>
                <w:color w:val="auto"/>
                <w:kern w:val="2"/>
                <w:sz w:val="21"/>
                <w:szCs w:val="21"/>
                <w:highlight w:val="none"/>
                <w:vertAlign w:val="baseline"/>
              </w:rPr>
              <w:t>i</w:t>
            </w:r>
            <w:r>
              <w:rPr>
                <w:rFonts w:hint="eastAsia" w:ascii="宋体" w:hAnsi="宋体" w:eastAsia="宋体" w:cs="宋体"/>
                <w:color w:val="auto"/>
                <w:kern w:val="2"/>
                <w:sz w:val="21"/>
                <w:szCs w:val="21"/>
                <w:highlight w:val="none"/>
              </w:rPr>
              <w:t>=T。</w:t>
            </w:r>
          </w:p>
          <w:p w14:paraId="0FE2262C">
            <w:pPr>
              <w:widowControl/>
              <w:adjustRightInd w:val="0"/>
              <w:snapToGrid w:val="0"/>
              <w:spacing w:line="400" w:lineRule="exact"/>
              <w:jc w:val="left"/>
              <w:rPr>
                <w:rFonts w:hint="eastAsia" w:ascii="宋体" w:hAnsi="宋体" w:eastAsia="宋体" w:cs="宋体"/>
                <w:color w:val="auto"/>
                <w:kern w:val="2"/>
                <w:sz w:val="21"/>
                <w:szCs w:val="21"/>
                <w:highlight w:val="none"/>
              </w:rPr>
            </w:pPr>
          </w:p>
          <w:p w14:paraId="00C1F8D4">
            <w:pPr>
              <w:wordWrap/>
              <w:adjustRightInd w:val="0"/>
              <w:snapToGrid w:val="0"/>
              <w:spacing w:line="400" w:lineRule="exact"/>
              <w:contextualSpacing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注：投标人提供上述评审内容的相关资料。</w:t>
            </w:r>
          </w:p>
        </w:tc>
      </w:tr>
      <w:tr w14:paraId="192E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657" w:type="dxa"/>
            <w:gridSpan w:val="2"/>
            <w:vMerge w:val="continue"/>
            <w:noWrap w:val="0"/>
            <w:vAlign w:val="center"/>
          </w:tcPr>
          <w:p w14:paraId="4E533447">
            <w:pPr>
              <w:adjustRightInd w:val="0"/>
              <w:spacing w:line="312" w:lineRule="auto"/>
              <w:contextualSpacing/>
              <w:jc w:val="center"/>
              <w:rPr>
                <w:rFonts w:ascii="宋体" w:hAnsi="宋体" w:cs="宋体"/>
                <w:color w:val="auto"/>
                <w:szCs w:val="21"/>
                <w:highlight w:val="none"/>
              </w:rPr>
            </w:pPr>
          </w:p>
        </w:tc>
        <w:tc>
          <w:tcPr>
            <w:tcW w:w="1096" w:type="dxa"/>
            <w:vMerge w:val="restart"/>
            <w:noWrap w:val="0"/>
            <w:vAlign w:val="center"/>
          </w:tcPr>
          <w:p w14:paraId="167A50AA">
            <w:pPr>
              <w:adjustRightInd w:val="0"/>
              <w:spacing w:line="312" w:lineRule="auto"/>
              <w:contextualSpacing/>
              <w:rPr>
                <w:rFonts w:ascii="宋体" w:hAnsi="宋体" w:cs="宋体"/>
                <w:color w:val="auto"/>
                <w:szCs w:val="21"/>
                <w:highlight w:val="none"/>
              </w:rPr>
            </w:pPr>
            <w:r>
              <w:rPr>
                <w:rFonts w:hint="eastAsia" w:ascii="宋体" w:hAnsi="宋体" w:cs="宋体"/>
                <w:color w:val="auto"/>
                <w:szCs w:val="21"/>
                <w:highlight w:val="none"/>
                <w:lang w:val="en-US" w:eastAsia="zh-CN"/>
              </w:rPr>
              <w:t>业绩方面</w:t>
            </w:r>
          </w:p>
        </w:tc>
        <w:tc>
          <w:tcPr>
            <w:tcW w:w="819" w:type="dxa"/>
            <w:noWrap w:val="0"/>
            <w:vAlign w:val="center"/>
          </w:tcPr>
          <w:p w14:paraId="17389328">
            <w:pPr>
              <w:adjustRightInd w:val="0"/>
              <w:spacing w:line="312" w:lineRule="auto"/>
              <w:contextualSpacing/>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5713" w:type="dxa"/>
            <w:noWrap w:val="0"/>
            <w:vAlign w:val="center"/>
          </w:tcPr>
          <w:p w14:paraId="202D6580">
            <w:pPr>
              <w:widowControl/>
              <w:adjustRightInd w:val="0"/>
              <w:snapToGrid/>
              <w:spacing w:line="400" w:lineRule="exact"/>
              <w:contextualSpacing/>
              <w:jc w:val="left"/>
              <w:rPr>
                <w:rFonts w:hint="eastAsia" w:ascii="宋体" w:hAnsi="宋体" w:cs="宋体"/>
                <w:color w:val="auto"/>
                <w:kern w:val="2"/>
                <w:szCs w:val="21"/>
                <w:highlight w:val="none"/>
                <w:lang w:bidi="ar"/>
              </w:rPr>
            </w:pPr>
            <w:r>
              <w:rPr>
                <w:rFonts w:hint="eastAsia" w:ascii="宋体" w:hAnsi="宋体" w:cs="宋体"/>
                <w:color w:val="auto"/>
                <w:kern w:val="2"/>
                <w:szCs w:val="21"/>
                <w:highlight w:val="none"/>
                <w:lang w:bidi="ar"/>
              </w:rPr>
              <w:t>（12%）投标人</w:t>
            </w:r>
            <w:r>
              <w:rPr>
                <w:rFonts w:hint="eastAsia" w:ascii="宋体" w:hAnsi="宋体" w:eastAsia="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lang w:bidi="ar"/>
              </w:rPr>
              <w:t>主要投标货物（滤布行走</w:t>
            </w:r>
            <w:r>
              <w:rPr>
                <w:rFonts w:hint="eastAsia" w:ascii="宋体" w:hAnsi="宋体" w:eastAsia="宋体" w:cs="宋体"/>
                <w:color w:val="auto"/>
                <w:kern w:val="2"/>
                <w:sz w:val="21"/>
                <w:szCs w:val="21"/>
                <w:highlight w:val="none"/>
                <w:lang w:val="en-US" w:eastAsia="zh-CN" w:bidi="ar"/>
              </w:rPr>
              <w:t>板框</w:t>
            </w:r>
            <w:r>
              <w:rPr>
                <w:rFonts w:hint="eastAsia" w:ascii="宋体" w:hAnsi="宋体" w:eastAsia="宋体" w:cs="宋体"/>
                <w:color w:val="auto"/>
                <w:kern w:val="2"/>
                <w:sz w:val="21"/>
                <w:szCs w:val="21"/>
                <w:highlight w:val="none"/>
                <w:lang w:bidi="ar"/>
              </w:rPr>
              <w:t>压滤机）的制造商</w:t>
            </w:r>
            <w:r>
              <w:rPr>
                <w:rFonts w:hint="eastAsia" w:ascii="宋体" w:hAnsi="宋体" w:cs="宋体"/>
                <w:color w:val="auto"/>
                <w:kern w:val="2"/>
                <w:szCs w:val="21"/>
                <w:highlight w:val="none"/>
                <w:lang w:bidi="ar"/>
              </w:rPr>
              <w:t>自2021年1月1日（含2021年1月1日）至本项目招标公告发布之日止完成过单份合同中包含拟投标品牌滤布行走板框压滤机的滤板腔数（A）：</w:t>
            </w:r>
          </w:p>
          <w:p w14:paraId="264CE6B1">
            <w:pPr>
              <w:numPr>
                <w:ilvl w:val="-1"/>
                <w:numId w:val="0"/>
              </w:numPr>
              <w:adjustRightInd w:val="0"/>
              <w:snapToGrid/>
              <w:spacing w:beforeLines="-2147483648" w:afterLines="-2147483648" w:line="400" w:lineRule="exact"/>
              <w:contextualSpacing/>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A＜45腔的合同个数为m</w:t>
            </w:r>
            <w:r>
              <w:rPr>
                <w:rFonts w:hint="eastAsia" w:ascii="宋体" w:hAnsi="宋体" w:eastAsia="宋体" w:cs="宋体"/>
                <w:color w:val="auto"/>
                <w:kern w:val="2"/>
                <w:sz w:val="21"/>
                <w:szCs w:val="21"/>
                <w:highlight w:val="none"/>
                <w:vertAlign w:val="subscript"/>
                <w:lang w:val="en-US" w:eastAsia="zh-CN" w:bidi="ar"/>
              </w:rPr>
              <w:t>1</w:t>
            </w:r>
            <w:r>
              <w:rPr>
                <w:rFonts w:hint="eastAsia" w:ascii="宋体" w:hAnsi="宋体" w:eastAsia="宋体" w:cs="宋体"/>
                <w:color w:val="auto"/>
                <w:kern w:val="2"/>
                <w:sz w:val="21"/>
                <w:szCs w:val="21"/>
                <w:highlight w:val="none"/>
                <w:lang w:val="en-US" w:eastAsia="zh-CN" w:bidi="ar"/>
              </w:rPr>
              <w:t>;</w:t>
            </w:r>
          </w:p>
          <w:p w14:paraId="2DC2031E">
            <w:pPr>
              <w:numPr>
                <w:ilvl w:val="-1"/>
                <w:numId w:val="0"/>
              </w:numPr>
              <w:adjustRightInd w:val="0"/>
              <w:snapToGrid/>
              <w:spacing w:beforeLines="-2147483648" w:afterLines="-2147483648" w:line="400" w:lineRule="exact"/>
              <w:contextualSpacing/>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45腔≤A＜55腔的合同个数为m</w:t>
            </w:r>
            <w:r>
              <w:rPr>
                <w:rFonts w:hint="eastAsia" w:ascii="宋体" w:hAnsi="宋体" w:eastAsia="宋体" w:cs="宋体"/>
                <w:color w:val="auto"/>
                <w:kern w:val="2"/>
                <w:sz w:val="21"/>
                <w:szCs w:val="21"/>
                <w:highlight w:val="none"/>
                <w:vertAlign w:val="subscript"/>
                <w:lang w:val="en-US" w:eastAsia="zh-CN" w:bidi="ar"/>
              </w:rPr>
              <w:t>2</w:t>
            </w:r>
            <w:r>
              <w:rPr>
                <w:rFonts w:hint="eastAsia" w:ascii="宋体" w:hAnsi="宋体" w:eastAsia="宋体" w:cs="宋体"/>
                <w:color w:val="auto"/>
                <w:kern w:val="2"/>
                <w:sz w:val="21"/>
                <w:szCs w:val="21"/>
                <w:highlight w:val="none"/>
                <w:lang w:val="en-US" w:eastAsia="zh-CN" w:bidi="ar"/>
              </w:rPr>
              <w:t>；</w:t>
            </w:r>
          </w:p>
          <w:p w14:paraId="23985135">
            <w:pPr>
              <w:numPr>
                <w:ilvl w:val="-1"/>
                <w:numId w:val="0"/>
              </w:numPr>
              <w:adjustRightInd w:val="0"/>
              <w:snapToGrid/>
              <w:spacing w:beforeLines="-2147483648" w:afterLines="-2147483648" w:line="400" w:lineRule="exact"/>
              <w:contextualSpacing/>
              <w:jc w:val="left"/>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A≥55腔的合同个数为m</w:t>
            </w:r>
            <w:r>
              <w:rPr>
                <w:rFonts w:hint="eastAsia" w:ascii="宋体" w:hAnsi="宋体" w:eastAsia="宋体" w:cs="宋体"/>
                <w:color w:val="auto"/>
                <w:kern w:val="2"/>
                <w:sz w:val="21"/>
                <w:szCs w:val="21"/>
                <w:highlight w:val="none"/>
                <w:vertAlign w:val="subscript"/>
                <w:lang w:val="en-US" w:eastAsia="zh-CN" w:bidi="ar"/>
              </w:rPr>
              <w:t>3</w:t>
            </w:r>
            <w:r>
              <w:rPr>
                <w:rFonts w:hint="eastAsia" w:ascii="宋体" w:hAnsi="宋体" w:eastAsia="宋体" w:cs="宋体"/>
                <w:color w:val="auto"/>
                <w:kern w:val="2"/>
                <w:sz w:val="21"/>
                <w:szCs w:val="21"/>
                <w:highlight w:val="none"/>
                <w:lang w:bidi="ar"/>
              </w:rPr>
              <w:t>。</w:t>
            </w:r>
          </w:p>
          <w:p w14:paraId="4725B2C5">
            <w:pPr>
              <w:numPr>
                <w:ilvl w:val="-1"/>
                <w:numId w:val="0"/>
              </w:numPr>
              <w:adjustRightInd w:val="0"/>
              <w:snapToGrid/>
              <w:spacing w:beforeLines="-2147483648" w:afterLines="-2147483648" w:line="400" w:lineRule="exact"/>
              <w:contextualSpacing/>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Cs w:val="21"/>
                <w:highlight w:val="none"/>
                <w:lang w:bidi="ar"/>
              </w:rPr>
              <w:t>(</w:t>
            </w:r>
            <w:r>
              <w:rPr>
                <w:rFonts w:hint="eastAsia" w:ascii="宋体" w:hAnsi="宋体" w:eastAsia="宋体" w:cs="宋体"/>
                <w:color w:val="auto"/>
                <w:kern w:val="2"/>
                <w:sz w:val="21"/>
                <w:szCs w:val="21"/>
                <w:highlight w:val="none"/>
                <w:lang w:val="en-US" w:eastAsia="zh-CN" w:bidi="ar"/>
              </w:rPr>
              <w:t>m</w:t>
            </w:r>
            <w:r>
              <w:rPr>
                <w:rFonts w:hint="eastAsia" w:ascii="宋体" w:hAnsi="宋体" w:eastAsia="宋体" w:cs="宋体"/>
                <w:color w:val="auto"/>
                <w:kern w:val="2"/>
                <w:sz w:val="21"/>
                <w:szCs w:val="21"/>
                <w:highlight w:val="none"/>
                <w:vertAlign w:val="subscript"/>
                <w:lang w:val="en-US" w:eastAsia="zh-CN" w:bidi="ar"/>
              </w:rPr>
              <w:t>1</w:t>
            </w:r>
            <w:r>
              <w:rPr>
                <w:rFonts w:hint="eastAsia" w:ascii="宋体" w:hAnsi="宋体" w:eastAsia="宋体" w:cs="宋体"/>
                <w:color w:val="auto"/>
                <w:kern w:val="2"/>
                <w:szCs w:val="21"/>
                <w:highlight w:val="none"/>
                <w:lang w:bidi="ar"/>
              </w:rPr>
              <w:t>、</w:t>
            </w:r>
            <w:r>
              <w:rPr>
                <w:rFonts w:hint="eastAsia" w:ascii="宋体" w:hAnsi="宋体" w:eastAsia="宋体" w:cs="宋体"/>
                <w:color w:val="auto"/>
                <w:kern w:val="2"/>
                <w:sz w:val="21"/>
                <w:szCs w:val="21"/>
                <w:highlight w:val="none"/>
                <w:lang w:val="en-US" w:eastAsia="zh-CN" w:bidi="ar"/>
              </w:rPr>
              <w:t>m</w:t>
            </w:r>
            <w:r>
              <w:rPr>
                <w:rFonts w:hint="eastAsia" w:ascii="宋体" w:hAnsi="宋体" w:eastAsia="宋体" w:cs="宋体"/>
                <w:color w:val="auto"/>
                <w:kern w:val="2"/>
                <w:sz w:val="21"/>
                <w:szCs w:val="21"/>
                <w:highlight w:val="none"/>
                <w:vertAlign w:val="subscript"/>
                <w:lang w:val="en-US" w:eastAsia="zh-CN" w:bidi="ar"/>
              </w:rPr>
              <w:t>2</w:t>
            </w:r>
            <w:r>
              <w:rPr>
                <w:rFonts w:hint="eastAsia" w:ascii="宋体" w:hAnsi="宋体" w:eastAsia="宋体" w:cs="宋体"/>
                <w:color w:val="auto"/>
                <w:kern w:val="2"/>
                <w:szCs w:val="21"/>
                <w:highlight w:val="none"/>
                <w:lang w:bidi="ar"/>
              </w:rPr>
              <w:t>、</w:t>
            </w:r>
            <w:r>
              <w:rPr>
                <w:rFonts w:hint="eastAsia" w:ascii="宋体" w:hAnsi="宋体" w:eastAsia="宋体" w:cs="宋体"/>
                <w:color w:val="auto"/>
                <w:kern w:val="2"/>
                <w:sz w:val="21"/>
                <w:szCs w:val="21"/>
                <w:highlight w:val="none"/>
                <w:lang w:val="en-US" w:eastAsia="zh-CN" w:bidi="ar"/>
              </w:rPr>
              <w:t>m</w:t>
            </w:r>
            <w:r>
              <w:rPr>
                <w:rFonts w:hint="eastAsia" w:ascii="宋体" w:hAnsi="宋体" w:eastAsia="宋体" w:cs="宋体"/>
                <w:color w:val="auto"/>
                <w:kern w:val="2"/>
                <w:sz w:val="21"/>
                <w:szCs w:val="21"/>
                <w:highlight w:val="none"/>
                <w:vertAlign w:val="subscript"/>
                <w:lang w:val="en-US" w:eastAsia="zh-CN" w:bidi="ar"/>
              </w:rPr>
              <w:t>3</w:t>
            </w:r>
            <w:r>
              <w:rPr>
                <w:rFonts w:hint="eastAsia" w:ascii="宋体" w:hAnsi="宋体" w:eastAsia="宋体" w:cs="宋体"/>
                <w:color w:val="auto"/>
                <w:kern w:val="2"/>
                <w:szCs w:val="21"/>
                <w:highlight w:val="none"/>
                <w:lang w:val="en-US" w:eastAsia="zh-CN" w:bidi="ar"/>
              </w:rPr>
              <w:t>合计</w:t>
            </w:r>
            <w:r>
              <w:rPr>
                <w:rFonts w:hint="eastAsia" w:ascii="宋体" w:hAnsi="宋体" w:eastAsia="宋体" w:cs="宋体"/>
                <w:color w:val="auto"/>
                <w:kern w:val="2"/>
                <w:szCs w:val="21"/>
                <w:highlight w:val="none"/>
                <w:lang w:bidi="ar"/>
              </w:rPr>
              <w:t>不得大于3)</w:t>
            </w:r>
          </w:p>
          <w:p w14:paraId="5790F26F">
            <w:pPr>
              <w:keepNext w:val="0"/>
              <w:keepLines w:val="0"/>
              <w:pageBreakBefore w:val="0"/>
              <w:widowControl/>
              <w:numPr>
                <w:ilvl w:val="-1"/>
                <w:numId w:val="0"/>
              </w:numPr>
              <w:kinsoku/>
              <w:wordWrap/>
              <w:overflowPunct/>
              <w:topLinePunct w:val="0"/>
              <w:autoSpaceDE/>
              <w:autoSpaceDN/>
              <w:bidi w:val="0"/>
              <w:adjustRightInd w:val="0"/>
              <w:snapToGrid/>
              <w:spacing w:beforeLines="-2147483648" w:afterLines="-2147483648" w:line="400" w:lineRule="exact"/>
              <w:contextualSpacing/>
              <w:jc w:val="left"/>
              <w:textAlignment w:val="auto"/>
              <w:rPr>
                <w:rFonts w:hint="eastAsia" w:ascii="宋体" w:hAnsi="宋体" w:eastAsia="宋体" w:cs="宋体"/>
                <w:color w:val="auto"/>
                <w:kern w:val="2"/>
                <w:sz w:val="21"/>
                <w:szCs w:val="21"/>
                <w:highlight w:val="none"/>
                <w:vertAlign w:val="baseline"/>
                <w:lang w:val="en-US" w:eastAsia="zh-CN" w:bidi="ar"/>
              </w:rPr>
            </w:pPr>
            <w:r>
              <w:rPr>
                <w:rFonts w:hint="eastAsia" w:ascii="宋体" w:hAnsi="宋体" w:eastAsia="宋体" w:cs="宋体"/>
                <w:color w:val="auto"/>
                <w:kern w:val="2"/>
                <w:sz w:val="21"/>
                <w:szCs w:val="21"/>
                <w:highlight w:val="none"/>
                <w:lang w:bidi="ar"/>
              </w:rPr>
              <w:t>T</w:t>
            </w:r>
            <w:r>
              <w:rPr>
                <w:rFonts w:hint="eastAsia" w:ascii="宋体" w:hAnsi="宋体" w:eastAsia="宋体" w:cs="宋体"/>
                <w:color w:val="auto"/>
                <w:kern w:val="2"/>
                <w:sz w:val="21"/>
                <w:szCs w:val="21"/>
                <w:highlight w:val="none"/>
                <w:vertAlign w:val="baseline"/>
                <w:lang w:bidi="ar"/>
              </w:rPr>
              <w:t>i</w:t>
            </w:r>
            <w:r>
              <w:rPr>
                <w:rFonts w:hint="eastAsia" w:ascii="宋体" w:hAnsi="宋体" w:eastAsia="宋体" w:cs="宋体"/>
                <w:color w:val="auto"/>
                <w:kern w:val="2"/>
                <w:sz w:val="21"/>
                <w:szCs w:val="21"/>
                <w:highlight w:val="none"/>
                <w:lang w:val="en-US" w:eastAsia="zh-CN" w:bidi="ar"/>
              </w:rPr>
              <w:t>=T-m</w:t>
            </w:r>
            <w:r>
              <w:rPr>
                <w:rFonts w:hint="eastAsia" w:ascii="宋体" w:hAnsi="宋体" w:eastAsia="宋体" w:cs="宋体"/>
                <w:color w:val="auto"/>
                <w:kern w:val="2"/>
                <w:sz w:val="21"/>
                <w:szCs w:val="21"/>
                <w:highlight w:val="none"/>
                <w:vertAlign w:val="subscript"/>
                <w:lang w:val="en-US" w:eastAsia="zh-CN" w:bidi="ar"/>
              </w:rPr>
              <w:t>1</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bidi="ar"/>
              </w:rPr>
              <w:t>%*y</w:t>
            </w:r>
            <w:r>
              <w:rPr>
                <w:rFonts w:hint="eastAsia" w:ascii="宋体" w:hAnsi="宋体" w:eastAsia="宋体" w:cs="宋体"/>
                <w:color w:val="auto"/>
                <w:kern w:val="2"/>
                <w:sz w:val="21"/>
                <w:szCs w:val="21"/>
                <w:highlight w:val="none"/>
                <w:lang w:val="en-US" w:eastAsia="zh-CN" w:bidi="ar"/>
              </w:rPr>
              <w:t>-m</w:t>
            </w:r>
            <w:r>
              <w:rPr>
                <w:rFonts w:hint="eastAsia" w:ascii="宋体" w:hAnsi="宋体" w:eastAsia="宋体" w:cs="宋体"/>
                <w:color w:val="auto"/>
                <w:kern w:val="2"/>
                <w:sz w:val="21"/>
                <w:szCs w:val="21"/>
                <w:highlight w:val="none"/>
                <w:vertAlign w:val="subscript"/>
                <w:lang w:val="en-US" w:eastAsia="zh-CN" w:bidi="ar"/>
              </w:rPr>
              <w:t>2</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%*y</w:t>
            </w:r>
            <w:r>
              <w:rPr>
                <w:rFonts w:hint="eastAsia" w:ascii="宋体" w:hAnsi="宋体" w:eastAsia="宋体" w:cs="宋体"/>
                <w:color w:val="auto"/>
                <w:kern w:val="2"/>
                <w:sz w:val="21"/>
                <w:szCs w:val="21"/>
                <w:highlight w:val="none"/>
                <w:lang w:val="en-US" w:eastAsia="zh-CN" w:bidi="ar"/>
              </w:rPr>
              <w:t>-m</w:t>
            </w:r>
            <w:r>
              <w:rPr>
                <w:rFonts w:hint="eastAsia" w:ascii="宋体" w:hAnsi="宋体" w:eastAsia="宋体" w:cs="宋体"/>
                <w:color w:val="auto"/>
                <w:kern w:val="2"/>
                <w:sz w:val="21"/>
                <w:szCs w:val="21"/>
                <w:highlight w:val="none"/>
                <w:vertAlign w:val="subscript"/>
                <w:lang w:val="en-US" w:eastAsia="zh-CN" w:bidi="ar"/>
              </w:rPr>
              <w:t>3</w:t>
            </w:r>
            <w:r>
              <w:rPr>
                <w:rFonts w:hint="eastAsia" w:ascii="宋体" w:hAnsi="宋体" w:eastAsia="宋体" w:cs="宋体"/>
                <w:color w:val="auto"/>
                <w:kern w:val="2"/>
                <w:sz w:val="21"/>
                <w:szCs w:val="21"/>
                <w:highlight w:val="none"/>
                <w:lang w:bidi="ar"/>
              </w:rPr>
              <w:t>*</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bidi="ar"/>
              </w:rPr>
              <w:t>%*y</w:t>
            </w:r>
          </w:p>
          <w:p w14:paraId="199A2D85">
            <w:pPr>
              <w:numPr>
                <w:ilvl w:val="-1"/>
                <w:numId w:val="0"/>
              </w:numPr>
              <w:adjustRightInd w:val="0"/>
              <w:snapToGrid/>
              <w:spacing w:beforeLines="-2147483648" w:afterLines="-2147483648" w:line="400" w:lineRule="exact"/>
              <w:contextualSpacing/>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bidi="ar"/>
              </w:rPr>
              <w:t>本项最高调减</w:t>
            </w:r>
            <w:r>
              <w:rPr>
                <w:rFonts w:hint="eastAsia" w:ascii="宋体" w:hAnsi="宋体" w:eastAsia="宋体" w:cs="宋体"/>
                <w:color w:val="auto"/>
                <w:kern w:val="2"/>
                <w:sz w:val="21"/>
                <w:szCs w:val="21"/>
                <w:highlight w:val="none"/>
                <w:lang w:val="en-US" w:eastAsia="zh-CN" w:bidi="ar"/>
              </w:rPr>
              <w:t>12</w:t>
            </w:r>
            <w:r>
              <w:rPr>
                <w:rFonts w:hint="eastAsia" w:ascii="宋体" w:hAnsi="宋体" w:eastAsia="宋体" w:cs="宋体"/>
                <w:color w:val="auto"/>
                <w:kern w:val="2"/>
                <w:sz w:val="21"/>
                <w:szCs w:val="21"/>
                <w:highlight w:val="none"/>
                <w:lang w:bidi="ar"/>
              </w:rPr>
              <w:t>%*y</w:t>
            </w:r>
          </w:p>
          <w:p w14:paraId="297D8627">
            <w:pPr>
              <w:widowControl/>
              <w:adjustRightInd w:val="0"/>
              <w:snapToGrid/>
              <w:spacing w:line="400" w:lineRule="exact"/>
              <w:contextualSpacing/>
              <w:jc w:val="left"/>
              <w:rPr>
                <w:rFonts w:hint="eastAsia" w:ascii="宋体" w:hAnsi="宋体" w:cs="宋体"/>
                <w:color w:val="auto"/>
                <w:kern w:val="2"/>
                <w:szCs w:val="21"/>
                <w:highlight w:val="none"/>
                <w:lang w:bidi="ar"/>
              </w:rPr>
            </w:pPr>
          </w:p>
          <w:p w14:paraId="6E48E204">
            <w:pPr>
              <w:widowControl/>
              <w:adjustRightInd w:val="0"/>
              <w:snapToGrid/>
              <w:spacing w:line="400" w:lineRule="exact"/>
              <w:contextualSpacing/>
              <w:jc w:val="left"/>
              <w:rPr>
                <w:rFonts w:hint="eastAsia" w:ascii="宋体" w:hAnsi="宋体" w:cs="宋体"/>
                <w:color w:val="auto"/>
                <w:kern w:val="2"/>
                <w:szCs w:val="21"/>
                <w:highlight w:val="none"/>
                <w:lang w:bidi="ar"/>
              </w:rPr>
            </w:pPr>
            <w:r>
              <w:rPr>
                <w:rFonts w:hint="eastAsia" w:ascii="宋体" w:hAnsi="宋体" w:cs="宋体"/>
                <w:color w:val="auto"/>
                <w:kern w:val="2"/>
                <w:szCs w:val="21"/>
                <w:highlight w:val="none"/>
                <w:lang w:bidi="ar"/>
              </w:rPr>
              <w:t>注：类似项目业绩要求如下：</w:t>
            </w:r>
          </w:p>
          <w:p w14:paraId="62353D7F">
            <w:pPr>
              <w:widowControl/>
              <w:adjustRightInd w:val="0"/>
              <w:snapToGrid/>
              <w:spacing w:line="400" w:lineRule="exact"/>
              <w:contextualSpacing/>
              <w:jc w:val="left"/>
              <w:rPr>
                <w:rFonts w:hint="eastAsia" w:ascii="宋体" w:hAnsi="宋体" w:cs="宋体"/>
                <w:color w:val="auto"/>
                <w:kern w:val="2"/>
                <w:szCs w:val="21"/>
                <w:highlight w:val="none"/>
                <w:lang w:bidi="ar"/>
              </w:rPr>
            </w:pPr>
            <w:r>
              <w:rPr>
                <w:rFonts w:hint="eastAsia" w:ascii="宋体" w:hAnsi="宋体" w:cs="宋体"/>
                <w:color w:val="auto"/>
                <w:kern w:val="2"/>
                <w:szCs w:val="21"/>
                <w:highlight w:val="none"/>
                <w:lang w:bidi="ar"/>
              </w:rPr>
              <w:t>1、类似项目业绩是指供货内容包含本次拟投标品牌滤布行走板框压滤机的供应合同业绩。</w:t>
            </w:r>
          </w:p>
          <w:p w14:paraId="5C5A0372">
            <w:pPr>
              <w:wordWrap/>
              <w:adjustRightInd w:val="0"/>
              <w:spacing w:line="400" w:lineRule="exact"/>
              <w:contextualSpacing/>
              <w:rPr>
                <w:rFonts w:ascii="宋体" w:hAnsi="宋体" w:cs="宋体"/>
                <w:color w:val="auto"/>
                <w:szCs w:val="21"/>
                <w:highlight w:val="none"/>
              </w:rPr>
            </w:pPr>
            <w:r>
              <w:rPr>
                <w:rFonts w:hint="eastAsia" w:ascii="宋体" w:hAnsi="宋体" w:cs="宋体"/>
                <w:color w:val="auto"/>
                <w:kern w:val="2"/>
                <w:szCs w:val="21"/>
                <w:highlight w:val="none"/>
                <w:lang w:bidi="ar"/>
              </w:rPr>
              <w:t>2、供货业绩需同时提供合同、对应发票及设备使用质量合格证明材料（如验收报告、用户出具的证明等）的扫描件，业绩时间以供货发票开具时间为准。合同必须能反映拟投标货物的供货内容、拟投标货物的</w:t>
            </w:r>
            <w:r>
              <w:rPr>
                <w:rFonts w:hint="eastAsia" w:ascii="宋体" w:hAnsi="宋体" w:cs="宋体"/>
                <w:color w:val="auto"/>
                <w:kern w:val="2"/>
                <w:szCs w:val="21"/>
                <w:highlight w:val="none"/>
                <w:lang w:val="en-US" w:eastAsia="zh-CN" w:bidi="ar"/>
              </w:rPr>
              <w:t>品牌、</w:t>
            </w:r>
            <w:r>
              <w:rPr>
                <w:rFonts w:hint="eastAsia" w:ascii="宋体" w:hAnsi="宋体" w:cs="宋体"/>
                <w:color w:val="auto"/>
                <w:kern w:val="2"/>
                <w:szCs w:val="21"/>
                <w:highlight w:val="none"/>
                <w:lang w:bidi="ar"/>
              </w:rPr>
              <w:t>滤板腔数及合同签订时间，如合同不能完全反映业绩要求的全部信息，需同时提供其他证明材料扫描件，所提供的扫描件须加盖投标人公章。若投标人在投标文件中提交虚假证明材料，评标委员会将否决其投标。</w:t>
            </w:r>
          </w:p>
        </w:tc>
      </w:tr>
      <w:tr w14:paraId="0EEB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57" w:type="dxa"/>
            <w:gridSpan w:val="2"/>
            <w:vMerge w:val="continue"/>
            <w:noWrap w:val="0"/>
            <w:vAlign w:val="center"/>
          </w:tcPr>
          <w:p w14:paraId="2A4EB7E1">
            <w:pPr>
              <w:adjustRightInd w:val="0"/>
              <w:spacing w:line="312" w:lineRule="auto"/>
              <w:contextualSpacing/>
              <w:jc w:val="center"/>
              <w:rPr>
                <w:rFonts w:ascii="宋体" w:hAnsi="宋体" w:cs="宋体"/>
                <w:color w:val="auto"/>
                <w:szCs w:val="21"/>
                <w:highlight w:val="none"/>
              </w:rPr>
            </w:pPr>
            <w:bookmarkStart w:id="183" w:name="_Toc45532489"/>
          </w:p>
        </w:tc>
        <w:tc>
          <w:tcPr>
            <w:tcW w:w="1096" w:type="dxa"/>
            <w:vMerge w:val="restart"/>
            <w:noWrap w:val="0"/>
            <w:vAlign w:val="center"/>
          </w:tcPr>
          <w:p w14:paraId="00ED4A89">
            <w:pPr>
              <w:adjustRightInd w:val="0"/>
              <w:spacing w:line="312"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售后服务方面</w:t>
            </w:r>
          </w:p>
        </w:tc>
        <w:tc>
          <w:tcPr>
            <w:tcW w:w="819" w:type="dxa"/>
            <w:noWrap w:val="0"/>
            <w:vAlign w:val="center"/>
          </w:tcPr>
          <w:p w14:paraId="5DF05258">
            <w:pPr>
              <w:adjustRightInd w:val="0"/>
              <w:spacing w:line="312"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713" w:type="dxa"/>
            <w:noWrap w:val="0"/>
            <w:vAlign w:val="center"/>
          </w:tcPr>
          <w:p w14:paraId="3E17A572">
            <w:pPr>
              <w:widowControl w:val="0"/>
              <w:numPr>
                <w:ilvl w:val="0"/>
                <w:numId w:val="0"/>
              </w:numPr>
              <w:tabs>
                <w:tab w:val="left" w:pos="1354"/>
                <w:tab w:val="left" w:pos="1459"/>
                <w:tab w:val="center" w:pos="3902"/>
                <w:tab w:val="right" w:pos="7805"/>
              </w:tabs>
              <w:adjustRightInd/>
              <w:snapToGrid/>
              <w:spacing w:line="400" w:lineRule="exact"/>
              <w:jc w:val="both"/>
              <w:rPr>
                <w:rFonts w:hint="eastAsia" w:ascii="宋体" w:hAnsi="宋体" w:cs="宋体"/>
                <w:color w:val="auto"/>
                <w:kern w:val="2"/>
                <w:szCs w:val="21"/>
                <w:highlight w:val="none"/>
                <w:lang w:bidi="ar"/>
              </w:rPr>
            </w:pPr>
            <w:r>
              <w:rPr>
                <w:rFonts w:hint="eastAsia" w:ascii="宋体" w:hAnsi="宋体" w:cs="宋体"/>
                <w:color w:val="auto"/>
                <w:kern w:val="2"/>
                <w:szCs w:val="21"/>
                <w:highlight w:val="none"/>
                <w:lang w:bidi="ar"/>
              </w:rPr>
              <w:t>（2%）投标人承诺最迟交货时间不得超过业主提出供货要求后60天的基础上，每缩短10天，调减1%*y。</w:t>
            </w:r>
          </w:p>
          <w:p w14:paraId="445A42C2">
            <w:pPr>
              <w:widowControl w:val="0"/>
              <w:numPr>
                <w:ilvl w:val="0"/>
                <w:numId w:val="0"/>
              </w:numPr>
              <w:tabs>
                <w:tab w:val="left" w:pos="1354"/>
                <w:tab w:val="left" w:pos="1459"/>
                <w:tab w:val="center" w:pos="3902"/>
                <w:tab w:val="right" w:pos="7805"/>
              </w:tabs>
              <w:adjustRightInd/>
              <w:snapToGrid/>
              <w:spacing w:line="400" w:lineRule="exact"/>
              <w:jc w:val="both"/>
              <w:rPr>
                <w:rFonts w:hint="eastAsia" w:ascii="宋体" w:hAnsi="宋体" w:cs="宋体"/>
                <w:color w:val="auto"/>
                <w:kern w:val="2"/>
                <w:szCs w:val="21"/>
                <w:highlight w:val="none"/>
                <w:lang w:bidi="ar"/>
              </w:rPr>
            </w:pPr>
            <w:r>
              <w:rPr>
                <w:rFonts w:hint="eastAsia" w:ascii="宋体" w:hAnsi="宋体" w:cs="宋体"/>
                <w:color w:val="auto"/>
                <w:kern w:val="2"/>
                <w:szCs w:val="21"/>
                <w:highlight w:val="none"/>
                <w:lang w:bidi="ar"/>
              </w:rPr>
              <w:t>本项最高调减2%*y。</w:t>
            </w:r>
          </w:p>
          <w:p w14:paraId="3EA1E4A0">
            <w:pPr>
              <w:widowControl w:val="0"/>
              <w:numPr>
                <w:ilvl w:val="0"/>
                <w:numId w:val="0"/>
              </w:numPr>
              <w:tabs>
                <w:tab w:val="left" w:pos="1354"/>
                <w:tab w:val="left" w:pos="1459"/>
                <w:tab w:val="center" w:pos="3902"/>
                <w:tab w:val="right" w:pos="7805"/>
              </w:tabs>
              <w:adjustRightInd/>
              <w:snapToGrid/>
              <w:spacing w:line="400" w:lineRule="exact"/>
              <w:jc w:val="both"/>
              <w:rPr>
                <w:rFonts w:hint="eastAsia" w:ascii="宋体" w:hAnsi="宋体" w:cs="宋体"/>
                <w:color w:val="auto"/>
                <w:kern w:val="2"/>
                <w:szCs w:val="21"/>
                <w:highlight w:val="none"/>
                <w:lang w:bidi="ar"/>
              </w:rPr>
            </w:pPr>
          </w:p>
          <w:p w14:paraId="3130ABA0">
            <w:pPr>
              <w:adjustRightInd w:val="0"/>
              <w:spacing w:line="400" w:lineRule="exact"/>
              <w:contextualSpacing/>
              <w:rPr>
                <w:rFonts w:hint="eastAsia" w:ascii="宋体" w:hAnsi="宋体" w:eastAsia="宋体" w:cs="宋体"/>
                <w:color w:val="auto"/>
                <w:sz w:val="21"/>
                <w:szCs w:val="21"/>
                <w:highlight w:val="none"/>
                <w:lang w:bidi="ar"/>
              </w:rPr>
            </w:pPr>
            <w:r>
              <w:rPr>
                <w:rFonts w:hint="eastAsia" w:ascii="宋体" w:hAnsi="宋体" w:cs="宋体"/>
                <w:color w:val="auto"/>
                <w:kern w:val="2"/>
                <w:szCs w:val="21"/>
                <w:highlight w:val="none"/>
                <w:lang w:bidi="ar"/>
              </w:rPr>
              <w:t>注：投标人提供产品最迟交货时间承诺书并加盖投标人公章。</w:t>
            </w:r>
          </w:p>
        </w:tc>
      </w:tr>
      <w:tr w14:paraId="3C6F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657" w:type="dxa"/>
            <w:gridSpan w:val="2"/>
            <w:vMerge w:val="continue"/>
            <w:noWrap w:val="0"/>
            <w:vAlign w:val="center"/>
          </w:tcPr>
          <w:p w14:paraId="0E58F273">
            <w:pPr>
              <w:adjustRightInd w:val="0"/>
              <w:spacing w:line="312" w:lineRule="auto"/>
              <w:contextualSpacing/>
              <w:jc w:val="center"/>
              <w:rPr>
                <w:rFonts w:ascii="宋体" w:hAnsi="宋体" w:cs="宋体"/>
                <w:color w:val="auto"/>
                <w:szCs w:val="21"/>
                <w:highlight w:val="none"/>
              </w:rPr>
            </w:pPr>
          </w:p>
        </w:tc>
        <w:tc>
          <w:tcPr>
            <w:tcW w:w="1096" w:type="dxa"/>
            <w:vMerge w:val="continue"/>
            <w:noWrap w:val="0"/>
            <w:vAlign w:val="center"/>
          </w:tcPr>
          <w:p w14:paraId="01CDBF00">
            <w:pPr>
              <w:adjustRightInd w:val="0"/>
              <w:spacing w:line="312" w:lineRule="auto"/>
              <w:contextualSpacing/>
              <w:rPr>
                <w:rFonts w:hint="eastAsia" w:ascii="宋体" w:hAnsi="宋体" w:eastAsia="宋体" w:cs="宋体"/>
                <w:color w:val="auto"/>
                <w:sz w:val="21"/>
                <w:szCs w:val="21"/>
                <w:highlight w:val="none"/>
              </w:rPr>
            </w:pPr>
          </w:p>
        </w:tc>
        <w:tc>
          <w:tcPr>
            <w:tcW w:w="819" w:type="dxa"/>
            <w:noWrap w:val="0"/>
            <w:vAlign w:val="center"/>
          </w:tcPr>
          <w:p w14:paraId="205D3E07">
            <w:pPr>
              <w:adjustRightInd w:val="0"/>
              <w:spacing w:line="312"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713" w:type="dxa"/>
            <w:noWrap w:val="0"/>
            <w:vAlign w:val="center"/>
          </w:tcPr>
          <w:p w14:paraId="46A26949">
            <w:pPr>
              <w:widowControl w:val="0"/>
              <w:tabs>
                <w:tab w:val="left" w:pos="1354"/>
                <w:tab w:val="left" w:pos="1459"/>
                <w:tab w:val="center" w:pos="3902"/>
                <w:tab w:val="right" w:pos="7805"/>
              </w:tabs>
              <w:adjustRightInd w:val="0"/>
              <w:snapToGrid w:val="0"/>
              <w:spacing w:line="400" w:lineRule="exact"/>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（3%）投标人提供产品售后服务方案，且投标人承诺产品质量保证期在3年的基础上每延长1年调减1%*y。</w:t>
            </w:r>
          </w:p>
          <w:p w14:paraId="45E9B507">
            <w:pPr>
              <w:widowControl w:val="0"/>
              <w:tabs>
                <w:tab w:val="left" w:pos="1354"/>
                <w:tab w:val="left" w:pos="1459"/>
                <w:tab w:val="center" w:pos="3902"/>
                <w:tab w:val="right" w:pos="7805"/>
              </w:tabs>
              <w:adjustRightInd w:val="0"/>
              <w:snapToGrid w:val="0"/>
              <w:spacing w:line="400" w:lineRule="exact"/>
              <w:jc w:val="both"/>
              <w:rPr>
                <w:rFonts w:hint="eastAsia" w:ascii="宋体" w:hAnsi="宋体" w:cs="宋体"/>
                <w:color w:val="auto"/>
                <w:kern w:val="2"/>
                <w:szCs w:val="21"/>
                <w:highlight w:val="none"/>
              </w:rPr>
            </w:pPr>
            <w:r>
              <w:rPr>
                <w:rFonts w:hint="eastAsia" w:ascii="宋体" w:hAnsi="宋体" w:cs="宋体"/>
                <w:color w:val="auto"/>
                <w:kern w:val="2"/>
                <w:szCs w:val="21"/>
                <w:highlight w:val="none"/>
              </w:rPr>
              <w:t>本项最高调减3%*y。</w:t>
            </w:r>
          </w:p>
          <w:p w14:paraId="31DDE3C1">
            <w:pPr>
              <w:widowControl w:val="0"/>
              <w:tabs>
                <w:tab w:val="left" w:pos="1354"/>
                <w:tab w:val="left" w:pos="1459"/>
                <w:tab w:val="center" w:pos="3902"/>
                <w:tab w:val="right" w:pos="7805"/>
              </w:tabs>
              <w:adjustRightInd w:val="0"/>
              <w:snapToGrid w:val="0"/>
              <w:spacing w:line="400" w:lineRule="exact"/>
              <w:jc w:val="both"/>
              <w:rPr>
                <w:rFonts w:hint="eastAsia" w:ascii="宋体" w:hAnsi="宋体" w:cs="宋体"/>
                <w:color w:val="auto"/>
                <w:kern w:val="2"/>
                <w:szCs w:val="21"/>
                <w:highlight w:val="none"/>
              </w:rPr>
            </w:pPr>
          </w:p>
          <w:p w14:paraId="2F7D9EC0">
            <w:pPr>
              <w:adjustRightInd w:val="0"/>
              <w:spacing w:line="400" w:lineRule="exact"/>
              <w:contextualSpacing/>
              <w:rPr>
                <w:rFonts w:hint="eastAsia" w:ascii="宋体" w:hAnsi="宋体" w:eastAsia="宋体" w:cs="宋体"/>
                <w:color w:val="auto"/>
                <w:sz w:val="21"/>
                <w:szCs w:val="21"/>
                <w:highlight w:val="none"/>
              </w:rPr>
            </w:pPr>
            <w:r>
              <w:rPr>
                <w:rFonts w:hint="eastAsia" w:ascii="宋体" w:hAnsi="宋体" w:cs="宋体"/>
                <w:color w:val="auto"/>
                <w:kern w:val="2"/>
                <w:szCs w:val="21"/>
                <w:highlight w:val="none"/>
              </w:rPr>
              <w:t>注：投标人提供产品质量保证期（或售后服务期）承诺书并加盖投标人公章。</w:t>
            </w:r>
          </w:p>
        </w:tc>
      </w:tr>
    </w:tbl>
    <w:p w14:paraId="3E60FBAA">
      <w:pPr>
        <w:rPr>
          <w:rFonts w:ascii="仿宋_GB2312" w:eastAsia="仿宋_GB2312"/>
          <w:color w:val="auto"/>
          <w:kern w:val="2"/>
          <w:sz w:val="28"/>
          <w:szCs w:val="28"/>
          <w:highlight w:val="none"/>
        </w:rPr>
      </w:pPr>
      <w:r>
        <w:rPr>
          <w:rFonts w:hint="eastAsia" w:hAnsi="宋体"/>
          <w:b/>
          <w:color w:val="auto"/>
          <w:sz w:val="30"/>
          <w:szCs w:val="30"/>
          <w:highlight w:val="none"/>
        </w:rPr>
        <w:br w:type="page"/>
      </w:r>
      <w:r>
        <w:rPr>
          <w:rFonts w:hint="eastAsia" w:ascii="宋体" w:hAnsi="宋体" w:eastAsia="宋体" w:cs="宋体"/>
          <w:color w:val="auto"/>
          <w:kern w:val="2"/>
          <w:sz w:val="28"/>
          <w:szCs w:val="28"/>
          <w:highlight w:val="none"/>
        </w:rPr>
        <w:t>附件1：</w:t>
      </w:r>
      <w:r>
        <w:rPr>
          <w:rFonts w:hint="eastAsia" w:ascii="仿宋_GB2312" w:eastAsia="仿宋_GB2312"/>
          <w:color w:val="auto"/>
          <w:kern w:val="2"/>
          <w:sz w:val="28"/>
          <w:szCs w:val="28"/>
          <w:highlight w:val="none"/>
        </w:rPr>
        <w:t>《折算（调整）金额计算表》</w:t>
      </w:r>
    </w:p>
    <w:p w14:paraId="2092B7CA">
      <w:pPr>
        <w:widowControl w:val="0"/>
        <w:adjustRightInd w:val="0"/>
        <w:snapToGrid w:val="0"/>
        <w:spacing w:line="440" w:lineRule="exact"/>
        <w:ind w:firstLine="562" w:firstLineChars="200"/>
        <w:jc w:val="center"/>
        <w:rPr>
          <w:rFonts w:ascii="仿宋_GB2312" w:eastAsia="仿宋_GB2312"/>
          <w:b/>
          <w:bCs/>
          <w:color w:val="auto"/>
          <w:kern w:val="2"/>
          <w:sz w:val="32"/>
          <w:szCs w:val="32"/>
          <w:highlight w:val="none"/>
        </w:rPr>
      </w:pPr>
      <w:r>
        <w:rPr>
          <w:rFonts w:hint="eastAsia" w:ascii="仿宋_GB2312" w:eastAsia="仿宋_GB2312"/>
          <w:b/>
          <w:bCs/>
          <w:color w:val="auto"/>
          <w:kern w:val="2"/>
          <w:sz w:val="28"/>
          <w:szCs w:val="28"/>
          <w:highlight w:val="none"/>
        </w:rPr>
        <w:t>折算（调整）金额计算表</w:t>
      </w:r>
    </w:p>
    <w:p w14:paraId="77B36D43">
      <w:pPr>
        <w:widowControl w:val="0"/>
        <w:wordWrap w:val="0"/>
        <w:adjustRightInd w:val="0"/>
        <w:snapToGrid w:val="0"/>
        <w:spacing w:line="440" w:lineRule="exact"/>
        <w:ind w:firstLine="480" w:firstLineChars="200"/>
        <w:jc w:val="right"/>
        <w:rPr>
          <w:snapToGrid w:val="0"/>
          <w:color w:val="auto"/>
          <w:sz w:val="24"/>
          <w:szCs w:val="24"/>
          <w:highlight w:val="none"/>
        </w:rPr>
      </w:pPr>
      <w:r>
        <w:rPr>
          <w:rFonts w:hint="eastAsia"/>
          <w:snapToGrid w:val="0"/>
          <w:color w:val="auto"/>
          <w:sz w:val="24"/>
          <w:szCs w:val="24"/>
          <w:highlight w:val="none"/>
        </w:rPr>
        <w:t>单位：元</w:t>
      </w:r>
    </w:p>
    <w:p w14:paraId="5C0E2B65">
      <w:pPr>
        <w:widowControl w:val="0"/>
        <w:adjustRightInd w:val="0"/>
        <w:snapToGrid w:val="0"/>
        <w:spacing w:line="440" w:lineRule="exact"/>
        <w:rPr>
          <w:snapToGrid w:val="0"/>
          <w:color w:val="auto"/>
          <w:sz w:val="24"/>
          <w:szCs w:val="24"/>
          <w:highlight w:val="none"/>
        </w:rPr>
      </w:pPr>
      <w:r>
        <w:rPr>
          <w:rFonts w:hint="eastAsia"/>
          <w:snapToGrid w:val="0"/>
          <w:color w:val="auto"/>
          <w:sz w:val="24"/>
          <w:szCs w:val="24"/>
          <w:highlight w:val="none"/>
        </w:rPr>
        <w:t>投标单位：</w:t>
      </w:r>
      <w:r>
        <w:rPr>
          <w:snapToGrid w:val="0"/>
          <w:color w:val="auto"/>
          <w:sz w:val="24"/>
          <w:szCs w:val="24"/>
          <w:highlight w:val="none"/>
        </w:rPr>
        <w:t xml:space="preserve"> </w:t>
      </w:r>
    </w:p>
    <w:tbl>
      <w:tblPr>
        <w:tblStyle w:val="42"/>
        <w:tblW w:w="9400" w:type="dxa"/>
        <w:tblInd w:w="0" w:type="dxa"/>
        <w:tblLayout w:type="fixed"/>
        <w:tblCellMar>
          <w:top w:w="0" w:type="dxa"/>
          <w:left w:w="108" w:type="dxa"/>
          <w:bottom w:w="0" w:type="dxa"/>
          <w:right w:w="108" w:type="dxa"/>
        </w:tblCellMar>
      </w:tblPr>
      <w:tblGrid>
        <w:gridCol w:w="1354"/>
        <w:gridCol w:w="596"/>
        <w:gridCol w:w="3734"/>
        <w:gridCol w:w="2077"/>
        <w:gridCol w:w="1639"/>
      </w:tblGrid>
      <w:tr w14:paraId="1CC67A62">
        <w:tblPrEx>
          <w:tblCellMar>
            <w:top w:w="0" w:type="dxa"/>
            <w:left w:w="108" w:type="dxa"/>
            <w:bottom w:w="0" w:type="dxa"/>
            <w:right w:w="108" w:type="dxa"/>
          </w:tblCellMar>
        </w:tblPrEx>
        <w:trPr>
          <w:trHeight w:val="877" w:hRule="exact"/>
        </w:trPr>
        <w:tc>
          <w:tcPr>
            <w:tcW w:w="1354" w:type="dxa"/>
            <w:tcBorders>
              <w:top w:val="single" w:color="auto" w:sz="4" w:space="0"/>
              <w:left w:val="single" w:color="auto" w:sz="4" w:space="0"/>
              <w:bottom w:val="single" w:color="auto" w:sz="4" w:space="0"/>
              <w:right w:val="single" w:color="auto" w:sz="4" w:space="0"/>
            </w:tcBorders>
            <w:noWrap w:val="0"/>
            <w:vAlign w:val="center"/>
          </w:tcPr>
          <w:p w14:paraId="5BA42D1E">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auto"/>
                <w:sz w:val="24"/>
                <w:szCs w:val="21"/>
                <w:highlight w:val="none"/>
              </w:rPr>
            </w:pPr>
            <w:r>
              <w:rPr>
                <w:rFonts w:hint="eastAsia" w:ascii="黑体" w:hAnsi="黑体" w:eastAsia="黑体" w:cs="黑体"/>
                <w:snapToGrid w:val="0"/>
                <w:color w:val="auto"/>
                <w:sz w:val="24"/>
                <w:szCs w:val="21"/>
                <w:highlight w:val="none"/>
              </w:rPr>
              <w:t>量化因素</w:t>
            </w:r>
          </w:p>
        </w:tc>
        <w:tc>
          <w:tcPr>
            <w:tcW w:w="4330" w:type="dxa"/>
            <w:gridSpan w:val="2"/>
            <w:tcBorders>
              <w:top w:val="single" w:color="auto" w:sz="4" w:space="0"/>
              <w:left w:val="single" w:color="auto" w:sz="4" w:space="0"/>
              <w:bottom w:val="single" w:color="auto" w:sz="4" w:space="0"/>
              <w:right w:val="single" w:color="auto" w:sz="4" w:space="0"/>
            </w:tcBorders>
            <w:noWrap w:val="0"/>
            <w:vAlign w:val="center"/>
          </w:tcPr>
          <w:p w14:paraId="2F776775">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auto"/>
                <w:sz w:val="24"/>
                <w:szCs w:val="21"/>
                <w:highlight w:val="none"/>
              </w:rPr>
            </w:pPr>
            <w:r>
              <w:rPr>
                <w:rFonts w:hint="eastAsia" w:ascii="黑体" w:hAnsi="黑体" w:eastAsia="黑体" w:cs="黑体"/>
                <w:snapToGrid w:val="0"/>
                <w:color w:val="auto"/>
                <w:sz w:val="24"/>
                <w:szCs w:val="21"/>
                <w:highlight w:val="none"/>
              </w:rPr>
              <w:t>计算过程</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1C7E981C">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auto"/>
                <w:sz w:val="24"/>
                <w:szCs w:val="21"/>
                <w:highlight w:val="none"/>
              </w:rPr>
            </w:pPr>
            <w:r>
              <w:rPr>
                <w:rFonts w:hint="eastAsia" w:ascii="黑体" w:hAnsi="黑体" w:eastAsia="黑体" w:cs="黑体"/>
                <w:snapToGrid w:val="0"/>
                <w:color w:val="auto"/>
                <w:sz w:val="24"/>
                <w:szCs w:val="21"/>
                <w:highlight w:val="none"/>
              </w:rPr>
              <w:t>折算（调整）金额</w:t>
            </w:r>
          </w:p>
          <w:p w14:paraId="6B279D90">
            <w:pPr>
              <w:widowControl w:val="0"/>
              <w:tabs>
                <w:tab w:val="left" w:pos="1354"/>
                <w:tab w:val="left" w:pos="1459"/>
                <w:tab w:val="center" w:pos="3902"/>
                <w:tab w:val="right" w:pos="7805"/>
              </w:tabs>
              <w:wordWrap w:val="0"/>
              <w:snapToGrid w:val="0"/>
              <w:jc w:val="center"/>
              <w:rPr>
                <w:rFonts w:ascii="黑体" w:hAnsi="黑体" w:eastAsia="黑体" w:cs="黑体"/>
                <w:snapToGrid w:val="0"/>
                <w:color w:val="auto"/>
                <w:sz w:val="24"/>
                <w:szCs w:val="21"/>
                <w:highlight w:val="none"/>
              </w:rPr>
            </w:pPr>
            <w:r>
              <w:rPr>
                <w:rFonts w:hint="eastAsia" w:ascii="黑体" w:hAnsi="黑体" w:eastAsia="黑体" w:cs="黑体"/>
                <w:snapToGrid w:val="0"/>
                <w:color w:val="auto"/>
                <w:sz w:val="24"/>
                <w:szCs w:val="21"/>
                <w:highlight w:val="none"/>
              </w:rPr>
              <w:t>（</w:t>
            </w:r>
            <w:r>
              <w:rPr>
                <w:rFonts w:hint="eastAsia" w:ascii="宋体" w:hAnsi="宋体" w:eastAsia="宋体" w:cs="宋体"/>
                <w:color w:val="auto"/>
                <w:kern w:val="2"/>
                <w:szCs w:val="21"/>
                <w:highlight w:val="none"/>
              </w:rPr>
              <w:t>T</w:t>
            </w:r>
            <w:r>
              <w:rPr>
                <w:rFonts w:hint="eastAsia" w:ascii="宋体" w:hAnsi="宋体" w:eastAsia="宋体" w:cs="宋体"/>
                <w:color w:val="auto"/>
                <w:kern w:val="2"/>
                <w:szCs w:val="21"/>
                <w:highlight w:val="none"/>
                <w:vertAlign w:val="subscript"/>
              </w:rPr>
              <w:t>i</w:t>
            </w:r>
            <w:r>
              <w:rPr>
                <w:rFonts w:hint="eastAsia" w:ascii="宋体" w:hAnsi="宋体" w:eastAsia="宋体" w:cs="宋体"/>
                <w:color w:val="auto"/>
                <w:kern w:val="2"/>
                <w:szCs w:val="21"/>
                <w:highlight w:val="none"/>
              </w:rPr>
              <w:t>-T</w:t>
            </w:r>
            <w:r>
              <w:rPr>
                <w:rFonts w:hint="eastAsia" w:ascii="黑体" w:hAnsi="黑体" w:eastAsia="黑体" w:cs="黑体"/>
                <w:snapToGrid w:val="0"/>
                <w:color w:val="auto"/>
                <w:sz w:val="24"/>
                <w:szCs w:val="21"/>
                <w:highlight w:val="none"/>
              </w:rPr>
              <w:t>）</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BDCBBD0">
            <w:pPr>
              <w:widowControl w:val="0"/>
              <w:tabs>
                <w:tab w:val="left" w:pos="1354"/>
                <w:tab w:val="left" w:pos="1459"/>
                <w:tab w:val="center" w:pos="3902"/>
                <w:tab w:val="right" w:pos="7805"/>
              </w:tabs>
              <w:wordWrap w:val="0"/>
              <w:adjustRightInd w:val="0"/>
              <w:snapToGrid w:val="0"/>
              <w:jc w:val="center"/>
              <w:rPr>
                <w:rFonts w:ascii="黑体" w:hAnsi="黑体" w:eastAsia="黑体" w:cs="黑体"/>
                <w:snapToGrid w:val="0"/>
                <w:color w:val="auto"/>
                <w:sz w:val="24"/>
                <w:szCs w:val="21"/>
                <w:highlight w:val="none"/>
              </w:rPr>
            </w:pPr>
            <w:r>
              <w:rPr>
                <w:rFonts w:hint="eastAsia" w:ascii="黑体" w:hAnsi="黑体" w:eastAsia="黑体" w:cs="黑体"/>
                <w:snapToGrid w:val="0"/>
                <w:color w:val="auto"/>
                <w:sz w:val="24"/>
                <w:szCs w:val="21"/>
                <w:highlight w:val="none"/>
              </w:rPr>
              <w:t>备注</w:t>
            </w:r>
          </w:p>
        </w:tc>
      </w:tr>
      <w:tr w14:paraId="396192FB">
        <w:tblPrEx>
          <w:tblCellMar>
            <w:top w:w="0" w:type="dxa"/>
            <w:left w:w="108" w:type="dxa"/>
            <w:bottom w:w="0" w:type="dxa"/>
            <w:right w:w="108" w:type="dxa"/>
          </w:tblCellMar>
        </w:tblPrEx>
        <w:trPr>
          <w:trHeight w:val="567" w:hRule="exact"/>
        </w:trPr>
        <w:tc>
          <w:tcPr>
            <w:tcW w:w="1354" w:type="dxa"/>
            <w:vMerge w:val="restart"/>
            <w:tcBorders>
              <w:top w:val="single" w:color="auto" w:sz="4" w:space="0"/>
              <w:left w:val="single" w:color="auto" w:sz="4" w:space="0"/>
              <w:right w:val="single" w:color="auto" w:sz="4" w:space="0"/>
            </w:tcBorders>
            <w:noWrap w:val="0"/>
            <w:vAlign w:val="center"/>
          </w:tcPr>
          <w:p w14:paraId="7809F5DB">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质量方面</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48D75E2E">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1</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4F2BCCF9">
            <w:pPr>
              <w:widowControl w:val="0"/>
              <w:wordWrap w:val="0"/>
              <w:adjustRightInd w:val="0"/>
              <w:snapToGrid w:val="0"/>
              <w:spacing w:line="40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4500-100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6A89067F">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-100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49454E35">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6F7E01E8">
        <w:tblPrEx>
          <w:tblCellMar>
            <w:top w:w="0" w:type="dxa"/>
            <w:left w:w="108" w:type="dxa"/>
            <w:bottom w:w="0" w:type="dxa"/>
            <w:right w:w="108" w:type="dxa"/>
          </w:tblCellMar>
        </w:tblPrEx>
        <w:trPr>
          <w:trHeight w:val="567" w:hRule="exact"/>
        </w:trPr>
        <w:tc>
          <w:tcPr>
            <w:tcW w:w="1354" w:type="dxa"/>
            <w:vMerge w:val="continue"/>
            <w:tcBorders>
              <w:left w:val="single" w:color="auto" w:sz="4" w:space="0"/>
              <w:right w:val="single" w:color="auto" w:sz="4" w:space="0"/>
            </w:tcBorders>
            <w:noWrap w:val="0"/>
            <w:vAlign w:val="center"/>
          </w:tcPr>
          <w:p w14:paraId="39B77F35">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45A31BF9">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2</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8E274E6">
            <w:pPr>
              <w:widowControl w:val="0"/>
              <w:wordWrap w:val="0"/>
              <w:adjustRightInd w:val="0"/>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250</w:t>
            </w:r>
          </w:p>
          <w:p w14:paraId="393CACA3">
            <w:pPr>
              <w:widowControl w:val="0"/>
              <w:wordWrap w:val="0"/>
              <w:adjustRightInd w:val="0"/>
              <w:snapToGrid w:val="0"/>
              <w:spacing w:line="400" w:lineRule="exact"/>
              <w:jc w:val="center"/>
              <w:rPr>
                <w:rFonts w:hint="default" w:ascii="宋体" w:hAnsi="宋体" w:cs="宋体"/>
                <w:color w:val="auto"/>
                <w:szCs w:val="21"/>
                <w:highlight w:val="none"/>
                <w:lang w:val="en-US" w:eastAsia="zh-CN"/>
              </w:rPr>
            </w:pPr>
          </w:p>
        </w:tc>
        <w:tc>
          <w:tcPr>
            <w:tcW w:w="2077" w:type="dxa"/>
            <w:tcBorders>
              <w:top w:val="single" w:color="auto" w:sz="4" w:space="0"/>
              <w:left w:val="single" w:color="auto" w:sz="4" w:space="0"/>
              <w:bottom w:val="single" w:color="auto" w:sz="4" w:space="0"/>
              <w:right w:val="single" w:color="auto" w:sz="4" w:space="0"/>
            </w:tcBorders>
            <w:noWrap w:val="0"/>
            <w:vAlign w:val="center"/>
          </w:tcPr>
          <w:p w14:paraId="63AC9844">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-250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104716A">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6B9B7CB6">
        <w:tblPrEx>
          <w:tblCellMar>
            <w:top w:w="0" w:type="dxa"/>
            <w:left w:w="108" w:type="dxa"/>
            <w:bottom w:w="0" w:type="dxa"/>
            <w:right w:w="108" w:type="dxa"/>
          </w:tblCellMar>
        </w:tblPrEx>
        <w:trPr>
          <w:trHeight w:val="852" w:hRule="exact"/>
        </w:trPr>
        <w:tc>
          <w:tcPr>
            <w:tcW w:w="1354" w:type="dxa"/>
            <w:vMerge w:val="continue"/>
            <w:tcBorders>
              <w:left w:val="single" w:color="auto" w:sz="4" w:space="0"/>
              <w:right w:val="single" w:color="auto" w:sz="4" w:space="0"/>
            </w:tcBorders>
            <w:noWrap w:val="0"/>
            <w:vAlign w:val="center"/>
          </w:tcPr>
          <w:p w14:paraId="50DB848B">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5C240110">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3</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6747D962">
            <w:pPr>
              <w:widowControl w:val="0"/>
              <w:wordWrap w:val="0"/>
              <w:adjustRightInd w:val="0"/>
              <w:snapToGrid w:val="0"/>
              <w:spacing w:line="40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6A9B244E">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-100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1B03FCAE">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2FBAF04B">
        <w:tblPrEx>
          <w:tblCellMar>
            <w:top w:w="0" w:type="dxa"/>
            <w:left w:w="108" w:type="dxa"/>
            <w:bottom w:w="0" w:type="dxa"/>
            <w:right w:w="108" w:type="dxa"/>
          </w:tblCellMar>
        </w:tblPrEx>
        <w:trPr>
          <w:trHeight w:val="852" w:hRule="exact"/>
        </w:trPr>
        <w:tc>
          <w:tcPr>
            <w:tcW w:w="1354" w:type="dxa"/>
            <w:vMerge w:val="continue"/>
            <w:tcBorders>
              <w:left w:val="single" w:color="auto" w:sz="4" w:space="0"/>
              <w:right w:val="single" w:color="auto" w:sz="4" w:space="0"/>
            </w:tcBorders>
            <w:noWrap w:val="0"/>
            <w:vAlign w:val="center"/>
          </w:tcPr>
          <w:p w14:paraId="411A2815">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3DE0EC46">
            <w:pPr>
              <w:widowControl w:val="0"/>
              <w:wordWrap w:val="0"/>
              <w:adjustRightInd w:val="0"/>
              <w:snapToGrid w:val="0"/>
              <w:spacing w:line="400" w:lineRule="exact"/>
              <w:jc w:val="center"/>
              <w:rPr>
                <w:rFonts w:hint="eastAsia"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C2E1F22">
            <w:pPr>
              <w:widowControl w:val="0"/>
              <w:wordWrap w:val="0"/>
              <w:adjustRightInd w:val="0"/>
              <w:snapToGrid w:val="0"/>
              <w:spacing w:line="40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5E2952BB">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-300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E533160">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22F39F10">
        <w:tblPrEx>
          <w:tblCellMar>
            <w:top w:w="0" w:type="dxa"/>
            <w:left w:w="108" w:type="dxa"/>
            <w:bottom w:w="0" w:type="dxa"/>
            <w:right w:w="108" w:type="dxa"/>
          </w:tblCellMar>
        </w:tblPrEx>
        <w:trPr>
          <w:trHeight w:val="852" w:hRule="exact"/>
        </w:trPr>
        <w:tc>
          <w:tcPr>
            <w:tcW w:w="1354" w:type="dxa"/>
            <w:vMerge w:val="continue"/>
            <w:tcBorders>
              <w:left w:val="single" w:color="auto" w:sz="4" w:space="0"/>
              <w:right w:val="single" w:color="auto" w:sz="4" w:space="0"/>
            </w:tcBorders>
            <w:noWrap w:val="0"/>
            <w:vAlign w:val="center"/>
          </w:tcPr>
          <w:p w14:paraId="134A72E3">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753749DE">
            <w:pPr>
              <w:widowControl w:val="0"/>
              <w:wordWrap w:val="0"/>
              <w:adjustRightInd w:val="0"/>
              <w:snapToGrid w:val="0"/>
              <w:spacing w:line="400" w:lineRule="exact"/>
              <w:jc w:val="center"/>
              <w:rPr>
                <w:rFonts w:hint="eastAsia"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E929AF9">
            <w:pPr>
              <w:widowControl w:val="0"/>
              <w:wordWrap w:val="0"/>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（100+100+100+100）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5E9FEA47">
            <w:pPr>
              <w:widowControl w:val="0"/>
              <w:wordWrap w:val="0"/>
              <w:adjustRightInd w:val="0"/>
              <w:snapToGrid w:val="0"/>
              <w:spacing w:line="400" w:lineRule="exact"/>
              <w:jc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5C7C145C">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57A9F74D">
        <w:tblPrEx>
          <w:tblCellMar>
            <w:top w:w="0" w:type="dxa"/>
            <w:left w:w="108" w:type="dxa"/>
            <w:bottom w:w="0" w:type="dxa"/>
            <w:right w:w="108" w:type="dxa"/>
          </w:tblCellMar>
        </w:tblPrEx>
        <w:trPr>
          <w:trHeight w:val="1647" w:hRule="exact"/>
        </w:trPr>
        <w:tc>
          <w:tcPr>
            <w:tcW w:w="1354" w:type="dxa"/>
            <w:tcBorders>
              <w:top w:val="single" w:color="auto" w:sz="4" w:space="0"/>
              <w:left w:val="single" w:color="auto" w:sz="4" w:space="0"/>
              <w:bottom w:val="single" w:color="auto" w:sz="4" w:space="0"/>
              <w:right w:val="single" w:color="auto" w:sz="4" w:space="0"/>
            </w:tcBorders>
            <w:noWrap w:val="0"/>
            <w:vAlign w:val="center"/>
          </w:tcPr>
          <w:p w14:paraId="564B14E2">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业绩方面</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65EAD019">
            <w:pPr>
              <w:widowControl w:val="0"/>
              <w:wordWrap w:val="0"/>
              <w:adjustRightInd w:val="0"/>
              <w:snapToGrid w:val="0"/>
              <w:spacing w:line="40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6</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DDEC80C">
            <w:pPr>
              <w:widowControl w:val="0"/>
              <w:wordWrap w:val="0"/>
              <w:adjustRightInd w:val="0"/>
              <w:snapToGrid w:val="0"/>
              <w:spacing w:line="40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38627561">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-600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5DA9983A">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0D131DC4">
        <w:tblPrEx>
          <w:tblCellMar>
            <w:top w:w="0" w:type="dxa"/>
            <w:left w:w="108" w:type="dxa"/>
            <w:bottom w:w="0" w:type="dxa"/>
            <w:right w:w="108" w:type="dxa"/>
          </w:tblCellMar>
        </w:tblPrEx>
        <w:trPr>
          <w:trHeight w:val="567" w:hRule="exact"/>
        </w:trPr>
        <w:tc>
          <w:tcPr>
            <w:tcW w:w="1354" w:type="dxa"/>
            <w:vMerge w:val="restart"/>
            <w:tcBorders>
              <w:top w:val="single" w:color="auto" w:sz="4" w:space="0"/>
              <w:left w:val="single" w:color="auto" w:sz="4" w:space="0"/>
              <w:right w:val="single" w:color="auto" w:sz="4" w:space="0"/>
            </w:tcBorders>
            <w:noWrap w:val="0"/>
            <w:vAlign w:val="center"/>
          </w:tcPr>
          <w:p w14:paraId="7C5D3F3C">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售后服务方面</w:t>
            </w:r>
          </w:p>
        </w:tc>
        <w:tc>
          <w:tcPr>
            <w:tcW w:w="596" w:type="dxa"/>
            <w:tcBorders>
              <w:top w:val="single" w:color="auto" w:sz="4" w:space="0"/>
              <w:left w:val="single" w:color="auto" w:sz="4" w:space="0"/>
              <w:bottom w:val="single" w:color="auto" w:sz="4" w:space="0"/>
              <w:right w:val="single" w:color="auto" w:sz="4" w:space="0"/>
            </w:tcBorders>
            <w:noWrap w:val="0"/>
            <w:vAlign w:val="center"/>
          </w:tcPr>
          <w:p w14:paraId="7F75EC1C">
            <w:pPr>
              <w:widowControl w:val="0"/>
              <w:wordWrap w:val="0"/>
              <w:adjustRightInd w:val="0"/>
              <w:snapToGrid w:val="0"/>
              <w:spacing w:line="400" w:lineRule="exact"/>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7</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005E31D8">
            <w:pPr>
              <w:widowControl w:val="0"/>
              <w:wordWrap w:val="0"/>
              <w:adjustRightInd w:val="0"/>
              <w:snapToGrid w:val="0"/>
              <w:spacing w:line="40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6D6D9272">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bidi="ar"/>
              </w:rPr>
              <w:t>-100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679EFA5F">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0B14BC18">
        <w:tblPrEx>
          <w:tblCellMar>
            <w:top w:w="0" w:type="dxa"/>
            <w:left w:w="108" w:type="dxa"/>
            <w:bottom w:w="0" w:type="dxa"/>
            <w:right w:w="108" w:type="dxa"/>
          </w:tblCellMar>
        </w:tblPrEx>
        <w:trPr>
          <w:trHeight w:val="567" w:hRule="exact"/>
        </w:trPr>
        <w:tc>
          <w:tcPr>
            <w:tcW w:w="1354" w:type="dxa"/>
            <w:vMerge w:val="continue"/>
            <w:tcBorders>
              <w:left w:val="single" w:color="auto" w:sz="4" w:space="0"/>
              <w:bottom w:val="single" w:color="auto" w:sz="4" w:space="0"/>
              <w:right w:val="single" w:color="auto" w:sz="4" w:space="0"/>
            </w:tcBorders>
            <w:noWrap w:val="0"/>
            <w:vAlign w:val="center"/>
          </w:tcPr>
          <w:p w14:paraId="575356F6">
            <w:pPr>
              <w:widowControl w:val="0"/>
              <w:wordWrap w:val="0"/>
              <w:adjustRightInd w:val="0"/>
              <w:snapToGrid w:val="0"/>
              <w:spacing w:line="400" w:lineRule="exact"/>
              <w:jc w:val="center"/>
              <w:rPr>
                <w:rFonts w:hint="eastAsia" w:ascii="宋体" w:hAnsi="宋体" w:cs="宋体"/>
                <w:snapToGrid w:val="0"/>
                <w:color w:val="auto"/>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14:paraId="705E8035">
            <w:pPr>
              <w:widowControl w:val="0"/>
              <w:wordWrap w:val="0"/>
              <w:adjustRightInd w:val="0"/>
              <w:snapToGrid w:val="0"/>
              <w:spacing w:line="400" w:lineRule="exact"/>
              <w:jc w:val="center"/>
              <w:rPr>
                <w:rFonts w:hint="eastAsia"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8</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25697BD8">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T</w:t>
            </w:r>
            <w:r>
              <w:rPr>
                <w:rFonts w:hint="eastAsia" w:ascii="宋体" w:hAnsi="宋体" w:cs="宋体"/>
                <w:color w:val="auto"/>
                <w:szCs w:val="21"/>
                <w:highlight w:val="none"/>
                <w:vertAlign w:val="subscript"/>
              </w:rPr>
              <w:t>i</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150</w:t>
            </w:r>
          </w:p>
        </w:tc>
        <w:tc>
          <w:tcPr>
            <w:tcW w:w="2077" w:type="dxa"/>
            <w:tcBorders>
              <w:top w:val="single" w:color="auto" w:sz="4" w:space="0"/>
              <w:left w:val="single" w:color="auto" w:sz="4" w:space="0"/>
              <w:bottom w:val="single" w:color="auto" w:sz="4" w:space="0"/>
              <w:right w:val="single" w:color="auto" w:sz="4" w:space="0"/>
            </w:tcBorders>
            <w:noWrap w:val="0"/>
            <w:vAlign w:val="center"/>
          </w:tcPr>
          <w:p w14:paraId="590F4B88">
            <w:pPr>
              <w:widowControl w:val="0"/>
              <w:wordWrap w:val="0"/>
              <w:adjustRightInd w:val="0"/>
              <w:snapToGrid w:val="0"/>
              <w:spacing w:line="400" w:lineRule="exact"/>
              <w:jc w:val="center"/>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-150</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4F30294A">
            <w:pPr>
              <w:widowControl w:val="0"/>
              <w:wordWrap w:val="0"/>
              <w:adjustRightInd w:val="0"/>
              <w:snapToGrid w:val="0"/>
              <w:spacing w:line="400" w:lineRule="exact"/>
              <w:jc w:val="center"/>
              <w:rPr>
                <w:rFonts w:ascii="宋体" w:hAnsi="宋体" w:cs="宋体"/>
                <w:snapToGrid w:val="0"/>
                <w:color w:val="auto"/>
                <w:szCs w:val="21"/>
                <w:highlight w:val="none"/>
              </w:rPr>
            </w:pPr>
          </w:p>
        </w:tc>
      </w:tr>
    </w:tbl>
    <w:p w14:paraId="6ACE5088">
      <w:pPr>
        <w:widowControl w:val="0"/>
        <w:adjustRightInd w:val="0"/>
        <w:snapToGrid w:val="0"/>
        <w:spacing w:line="440" w:lineRule="exact"/>
        <w:rPr>
          <w:rFonts w:ascii="宋体" w:hAnsi="宋体" w:cs="宋体"/>
          <w:snapToGrid w:val="0"/>
          <w:color w:val="auto"/>
          <w:szCs w:val="21"/>
          <w:highlight w:val="none"/>
        </w:rPr>
      </w:pPr>
      <w:r>
        <w:rPr>
          <w:rFonts w:hint="eastAsia" w:ascii="宋体" w:hAnsi="宋体" w:cs="宋体"/>
          <w:color w:val="auto"/>
          <w:szCs w:val="21"/>
          <w:highlight w:val="none"/>
        </w:rPr>
        <w:t>例：</w:t>
      </w:r>
      <w:r>
        <w:rPr>
          <w:rFonts w:hint="eastAsia" w:ascii="宋体" w:hAnsi="宋体" w:cs="宋体"/>
          <w:color w:val="auto"/>
          <w:szCs w:val="21"/>
          <w:highlight w:val="none"/>
          <w:lang w:val="en-US" w:eastAsia="zh-CN"/>
        </w:rPr>
        <w:t>招标控制价5000万元，</w:t>
      </w:r>
      <w:r>
        <w:rPr>
          <w:rFonts w:hint="eastAsia" w:ascii="宋体" w:hAnsi="宋体" w:cs="宋体"/>
          <w:color w:val="auto"/>
          <w:szCs w:val="21"/>
          <w:highlight w:val="none"/>
        </w:rPr>
        <w:t>投标单位A,</w:t>
      </w:r>
      <w:r>
        <w:rPr>
          <w:rFonts w:hint="eastAsia" w:ascii="宋体" w:hAnsi="宋体" w:cs="宋体"/>
          <w:snapToGrid w:val="0"/>
          <w:color w:val="auto"/>
          <w:szCs w:val="21"/>
          <w:highlight w:val="none"/>
        </w:rPr>
        <w:t xml:space="preserve"> </w:t>
      </w:r>
      <w:r>
        <w:rPr>
          <w:rFonts w:hint="eastAsia" w:ascii="宋体" w:hAnsi="宋体" w:cs="宋体"/>
          <w:snapToGrid w:val="0"/>
          <w:color w:val="auto"/>
          <w:szCs w:val="21"/>
          <w:highlight w:val="none"/>
          <w:lang w:val="en-US" w:eastAsia="zh-CN"/>
        </w:rPr>
        <w:t>投标报价4500万</w:t>
      </w:r>
      <w:r>
        <w:rPr>
          <w:rFonts w:hint="eastAsia" w:ascii="宋体" w:hAnsi="宋体" w:cs="宋体"/>
          <w:snapToGrid w:val="0"/>
          <w:color w:val="auto"/>
          <w:szCs w:val="21"/>
          <w:highlight w:val="none"/>
        </w:rPr>
        <w:t>元，其中：</w:t>
      </w:r>
    </w:p>
    <w:p w14:paraId="3E4AFF92">
      <w:pPr>
        <w:widowControl w:val="0"/>
        <w:numPr>
          <w:ilvl w:val="0"/>
          <w:numId w:val="0"/>
        </w:numPr>
        <w:adjustRightInd w:val="0"/>
        <w:snapToGrid w:val="0"/>
        <w:spacing w:line="440" w:lineRule="exact"/>
        <w:rPr>
          <w:rFonts w:ascii="宋体" w:hAnsi="宋体" w:cs="宋体"/>
          <w:snapToGrid w:val="0"/>
          <w:color w:val="auto"/>
          <w:szCs w:val="21"/>
          <w:highlight w:val="none"/>
        </w:rPr>
      </w:pPr>
      <w:r>
        <w:rPr>
          <w:rFonts w:ascii="宋体" w:hAnsi="宋体" w:eastAsia="宋体" w:cs="宋体"/>
          <w:snapToGrid w:val="0"/>
          <w:color w:val="auto"/>
          <w:sz w:val="21"/>
          <w:szCs w:val="21"/>
          <w:highlight w:val="none"/>
          <w:lang w:val="en-US" w:eastAsia="zh-CN" w:bidi="ar-SA"/>
        </w:rPr>
        <w:t>1、</w:t>
      </w:r>
      <w:r>
        <w:rPr>
          <w:rFonts w:hint="eastAsia" w:ascii="宋体" w:hAnsi="宋体" w:cs="宋体"/>
          <w:snapToGrid w:val="0"/>
          <w:color w:val="auto"/>
          <w:szCs w:val="21"/>
          <w:highlight w:val="none"/>
        </w:rPr>
        <w:t>提供证书</w:t>
      </w:r>
      <w:r>
        <w:rPr>
          <w:rFonts w:hint="eastAsia" w:ascii="宋体" w:hAnsi="宋体" w:cs="宋体"/>
          <w:snapToGrid w:val="0"/>
          <w:color w:val="auto"/>
          <w:szCs w:val="21"/>
          <w:highlight w:val="none"/>
          <w:lang w:val="en-US" w:eastAsia="zh-CN"/>
        </w:rPr>
        <w:t>4</w:t>
      </w:r>
      <w:r>
        <w:rPr>
          <w:rFonts w:hint="eastAsia" w:ascii="宋体" w:hAnsi="宋体" w:cs="宋体"/>
          <w:snapToGrid w:val="0"/>
          <w:color w:val="auto"/>
          <w:szCs w:val="21"/>
          <w:highlight w:val="none"/>
        </w:rPr>
        <w:t>个；</w:t>
      </w:r>
    </w:p>
    <w:p w14:paraId="34686468">
      <w:pPr>
        <w:widowControl w:val="0"/>
        <w:numPr>
          <w:ilvl w:val="0"/>
          <w:numId w:val="0"/>
        </w:numPr>
        <w:adjustRightInd w:val="0"/>
        <w:snapToGrid w:val="0"/>
        <w:spacing w:line="440" w:lineRule="exact"/>
        <w:rPr>
          <w:rFonts w:ascii="宋体" w:hAnsi="宋体" w:cs="宋体"/>
          <w:snapToGrid w:val="0"/>
          <w:color w:val="auto"/>
          <w:szCs w:val="21"/>
          <w:highlight w:val="none"/>
        </w:rPr>
      </w:pPr>
      <w:r>
        <w:rPr>
          <w:rFonts w:ascii="宋体" w:hAnsi="宋体" w:eastAsia="宋体" w:cs="宋体"/>
          <w:snapToGrid w:val="0"/>
          <w:color w:val="auto"/>
          <w:sz w:val="21"/>
          <w:szCs w:val="21"/>
          <w:highlight w:val="none"/>
          <w:lang w:val="en-US" w:eastAsia="zh-CN" w:bidi="ar-SA"/>
        </w:rPr>
        <w:t>2、</w:t>
      </w:r>
      <w:r>
        <w:rPr>
          <w:rFonts w:hint="eastAsia" w:ascii="宋体" w:hAnsi="宋体" w:cs="宋体"/>
          <w:snapToGrid w:val="0"/>
          <w:color w:val="auto"/>
          <w:sz w:val="21"/>
          <w:szCs w:val="21"/>
          <w:highlight w:val="none"/>
          <w:lang w:val="en-US" w:eastAsia="zh-CN" w:bidi="ar-SA"/>
        </w:rPr>
        <w:t>承诺含水率</w:t>
      </w:r>
      <w:r>
        <w:rPr>
          <w:rFonts w:hint="eastAsia" w:ascii="宋体" w:hAnsi="宋体" w:eastAsia="宋体" w:cs="宋体"/>
          <w:snapToGrid w:val="0"/>
          <w:color w:val="auto"/>
          <w:sz w:val="21"/>
          <w:szCs w:val="21"/>
          <w:highlight w:val="none"/>
          <w:lang w:val="en-US" w:eastAsia="zh-CN" w:bidi="ar-SA"/>
        </w:rPr>
        <w:t>排名第一名；</w:t>
      </w:r>
    </w:p>
    <w:p w14:paraId="721BDE25">
      <w:pPr>
        <w:widowControl w:val="0"/>
        <w:numPr>
          <w:ilvl w:val="0"/>
          <w:numId w:val="0"/>
        </w:numPr>
        <w:adjustRightInd w:val="0"/>
        <w:snapToGrid w:val="0"/>
        <w:spacing w:line="440" w:lineRule="exact"/>
        <w:rPr>
          <w:rFonts w:hint="eastAsia" w:ascii="宋体" w:hAnsi="宋体" w:cs="宋体"/>
          <w:snapToGrid w:val="0"/>
          <w:color w:val="auto"/>
          <w:szCs w:val="21"/>
          <w:highlight w:val="none"/>
          <w:lang w:val="en-US" w:eastAsia="zh-CN"/>
        </w:rPr>
      </w:pPr>
      <w:r>
        <w:rPr>
          <w:rFonts w:ascii="宋体" w:hAnsi="宋体" w:eastAsia="宋体" w:cs="宋体"/>
          <w:snapToGrid w:val="0"/>
          <w:color w:val="auto"/>
          <w:sz w:val="21"/>
          <w:szCs w:val="21"/>
          <w:highlight w:val="none"/>
          <w:lang w:val="en-US" w:eastAsia="zh-CN" w:bidi="ar-SA"/>
        </w:rPr>
        <w:t>3、</w:t>
      </w:r>
      <w:r>
        <w:rPr>
          <w:rFonts w:hint="eastAsia" w:ascii="宋体" w:hAnsi="宋体" w:cs="宋体"/>
          <w:snapToGrid w:val="0"/>
          <w:color w:val="auto"/>
          <w:szCs w:val="21"/>
          <w:highlight w:val="none"/>
          <w:lang w:val="en-US" w:eastAsia="zh-CN"/>
        </w:rPr>
        <w:t>承诺加药量占总干泥的百分比量第一名；</w:t>
      </w:r>
    </w:p>
    <w:p w14:paraId="70B4E7E7">
      <w:pPr>
        <w:widowControl w:val="0"/>
        <w:numPr>
          <w:ilvl w:val="0"/>
          <w:numId w:val="0"/>
        </w:numPr>
        <w:adjustRightInd w:val="0"/>
        <w:snapToGrid w:val="0"/>
        <w:spacing w:line="440" w:lineRule="exact"/>
        <w:rPr>
          <w:rFonts w:hint="eastAsia" w:ascii="宋体" w:hAnsi="宋体" w:eastAsia="宋体" w:cs="宋体"/>
          <w:snapToGrid w:val="0"/>
          <w:color w:val="auto"/>
          <w:sz w:val="21"/>
          <w:szCs w:val="21"/>
          <w:highlight w:val="none"/>
          <w:lang w:eastAsia="zh-CN"/>
        </w:rPr>
      </w:pPr>
      <w:r>
        <w:rPr>
          <w:rFonts w:hint="eastAsia" w:ascii="宋体" w:hAnsi="宋体" w:cs="宋体"/>
          <w:snapToGrid w:val="0"/>
          <w:color w:val="auto"/>
          <w:szCs w:val="21"/>
          <w:highlight w:val="none"/>
          <w:lang w:val="en-US" w:eastAsia="zh-CN"/>
        </w:rPr>
        <w:t>4、</w:t>
      </w:r>
      <w:r>
        <w:rPr>
          <w:rFonts w:hint="eastAsia" w:ascii="宋体" w:hAnsi="宋体" w:eastAsia="宋体" w:cs="宋体"/>
          <w:snapToGrid w:val="0"/>
          <w:color w:val="auto"/>
          <w:sz w:val="21"/>
          <w:szCs w:val="21"/>
          <w:highlight w:val="none"/>
        </w:rPr>
        <w:t>视频演示</w:t>
      </w:r>
      <w:r>
        <w:rPr>
          <w:rFonts w:hint="eastAsia" w:ascii="宋体" w:hAnsi="宋体" w:eastAsia="宋体" w:cs="宋体"/>
          <w:snapToGrid w:val="0"/>
          <w:color w:val="auto"/>
          <w:sz w:val="21"/>
          <w:szCs w:val="21"/>
          <w:highlight w:val="none"/>
          <w:lang w:eastAsia="zh-CN"/>
        </w:rPr>
        <w:t>第一名；</w:t>
      </w:r>
    </w:p>
    <w:p w14:paraId="59E26C13">
      <w:pPr>
        <w:widowControl w:val="0"/>
        <w:numPr>
          <w:ilvl w:val="0"/>
          <w:numId w:val="0"/>
        </w:numPr>
        <w:adjustRightInd w:val="0"/>
        <w:snapToGrid w:val="0"/>
        <w:spacing w:line="440" w:lineRule="exact"/>
        <w:rPr>
          <w:rFonts w:hint="eastAsia" w:ascii="宋体" w:hAnsi="宋体" w:eastAsia="宋体" w:cs="宋体"/>
          <w:snapToGrid w:val="0"/>
          <w:color w:val="auto"/>
          <w:szCs w:val="21"/>
          <w:highlight w:val="none"/>
          <w:lang w:val="en-US" w:eastAsia="zh-CN"/>
        </w:rPr>
      </w:pPr>
      <w:r>
        <w:rPr>
          <w:rFonts w:hint="eastAsia" w:ascii="宋体" w:hAnsi="宋体" w:cs="宋体"/>
          <w:snapToGrid w:val="0"/>
          <w:color w:val="auto"/>
          <w:sz w:val="21"/>
          <w:szCs w:val="21"/>
          <w:highlight w:val="none"/>
          <w:lang w:val="en-US" w:eastAsia="zh-CN"/>
        </w:rPr>
        <w:t>5、</w:t>
      </w:r>
      <w:r>
        <w:rPr>
          <w:rFonts w:hint="eastAsia" w:ascii="宋体" w:hAnsi="宋体" w:eastAsia="宋体" w:cs="宋体"/>
          <w:snapToGrid w:val="0"/>
          <w:color w:val="auto"/>
          <w:sz w:val="21"/>
          <w:szCs w:val="21"/>
          <w:highlight w:val="none"/>
        </w:rPr>
        <w:t>拟投标的</w:t>
      </w:r>
      <w:r>
        <w:rPr>
          <w:rFonts w:hint="eastAsia" w:ascii="宋体" w:hAnsi="宋体" w:eastAsia="宋体" w:cs="宋体"/>
          <w:b w:val="0"/>
          <w:bCs w:val="0"/>
          <w:snapToGrid w:val="0"/>
          <w:color w:val="auto"/>
          <w:sz w:val="21"/>
          <w:szCs w:val="21"/>
          <w:highlight w:val="none"/>
          <w:lang w:val="en-US" w:eastAsia="zh-CN"/>
        </w:rPr>
        <w:t>滤板</w:t>
      </w:r>
      <w:r>
        <w:rPr>
          <w:rFonts w:hint="eastAsia" w:ascii="宋体" w:hAnsi="宋体" w:eastAsia="宋体" w:cs="宋体"/>
          <w:snapToGrid w:val="0"/>
          <w:color w:val="auto"/>
          <w:sz w:val="21"/>
          <w:szCs w:val="21"/>
          <w:highlight w:val="none"/>
        </w:rPr>
        <w:t>满足项目</w:t>
      </w:r>
      <w:r>
        <w:rPr>
          <w:rFonts w:hint="eastAsia" w:ascii="宋体" w:hAnsi="宋体" w:eastAsia="宋体" w:cs="宋体"/>
          <w:snapToGrid w:val="0"/>
          <w:color w:val="auto"/>
          <w:sz w:val="21"/>
          <w:szCs w:val="21"/>
          <w:highlight w:val="none"/>
          <w:lang w:eastAsia="zh-CN"/>
        </w:rPr>
        <w:t>第一名、</w:t>
      </w:r>
      <w:r>
        <w:rPr>
          <w:rFonts w:hint="eastAsia" w:ascii="宋体" w:hAnsi="宋体" w:eastAsia="宋体" w:cs="宋体"/>
          <w:snapToGrid w:val="0"/>
          <w:color w:val="auto"/>
          <w:sz w:val="21"/>
          <w:szCs w:val="21"/>
          <w:highlight w:val="none"/>
        </w:rPr>
        <w:t>拟投标的</w:t>
      </w:r>
      <w:r>
        <w:rPr>
          <w:rFonts w:hint="eastAsia" w:ascii="宋体" w:hAnsi="宋体" w:eastAsia="宋体" w:cs="宋体"/>
          <w:b w:val="0"/>
          <w:bCs w:val="0"/>
          <w:snapToGrid w:val="0"/>
          <w:color w:val="auto"/>
          <w:sz w:val="21"/>
          <w:szCs w:val="21"/>
          <w:highlight w:val="none"/>
          <w:lang w:val="en-US" w:eastAsia="zh-CN"/>
        </w:rPr>
        <w:t>滤布</w:t>
      </w:r>
      <w:r>
        <w:rPr>
          <w:rFonts w:hint="eastAsia" w:ascii="宋体" w:hAnsi="宋体" w:eastAsia="宋体" w:cs="宋体"/>
          <w:snapToGrid w:val="0"/>
          <w:color w:val="auto"/>
          <w:sz w:val="21"/>
          <w:szCs w:val="21"/>
          <w:highlight w:val="none"/>
        </w:rPr>
        <w:t>满足项目</w:t>
      </w:r>
      <w:r>
        <w:rPr>
          <w:rFonts w:hint="eastAsia" w:ascii="宋体" w:hAnsi="宋体" w:eastAsia="宋体" w:cs="宋体"/>
          <w:snapToGrid w:val="0"/>
          <w:color w:val="auto"/>
          <w:sz w:val="21"/>
          <w:szCs w:val="21"/>
          <w:highlight w:val="none"/>
          <w:lang w:eastAsia="zh-CN"/>
        </w:rPr>
        <w:t>第一名、</w:t>
      </w:r>
      <w:r>
        <w:rPr>
          <w:rFonts w:hint="eastAsia" w:ascii="宋体" w:hAnsi="宋体" w:eastAsia="宋体" w:cs="宋体"/>
          <w:snapToGrid w:val="0"/>
          <w:color w:val="auto"/>
          <w:sz w:val="21"/>
          <w:szCs w:val="21"/>
          <w:highlight w:val="none"/>
        </w:rPr>
        <w:t>拟投标的</w:t>
      </w:r>
      <w:r>
        <w:rPr>
          <w:rFonts w:hint="eastAsia" w:ascii="宋体" w:hAnsi="宋体" w:eastAsia="宋体" w:cs="宋体"/>
          <w:b w:val="0"/>
          <w:bCs w:val="0"/>
          <w:snapToGrid w:val="0"/>
          <w:color w:val="auto"/>
          <w:sz w:val="21"/>
          <w:szCs w:val="21"/>
          <w:highlight w:val="none"/>
          <w:lang w:val="en-US" w:eastAsia="zh-CN"/>
        </w:rPr>
        <w:t>液压站</w:t>
      </w:r>
      <w:r>
        <w:rPr>
          <w:rFonts w:hint="eastAsia" w:ascii="宋体" w:hAnsi="宋体" w:eastAsia="宋体" w:cs="宋体"/>
          <w:snapToGrid w:val="0"/>
          <w:color w:val="auto"/>
          <w:sz w:val="21"/>
          <w:szCs w:val="21"/>
          <w:highlight w:val="none"/>
        </w:rPr>
        <w:t>满足项目</w:t>
      </w:r>
      <w:r>
        <w:rPr>
          <w:rFonts w:hint="eastAsia" w:ascii="宋体" w:hAnsi="宋体" w:eastAsia="宋体" w:cs="宋体"/>
          <w:snapToGrid w:val="0"/>
          <w:color w:val="auto"/>
          <w:sz w:val="21"/>
          <w:szCs w:val="21"/>
          <w:highlight w:val="none"/>
          <w:lang w:eastAsia="zh-CN"/>
        </w:rPr>
        <w:t>第一名、</w:t>
      </w:r>
      <w:r>
        <w:rPr>
          <w:rFonts w:hint="eastAsia" w:ascii="宋体" w:hAnsi="宋体" w:eastAsia="宋体" w:cs="宋体"/>
          <w:snapToGrid w:val="0"/>
          <w:color w:val="auto"/>
          <w:sz w:val="21"/>
          <w:szCs w:val="21"/>
          <w:highlight w:val="none"/>
        </w:rPr>
        <w:t>拟投标的</w:t>
      </w:r>
      <w:r>
        <w:rPr>
          <w:rFonts w:hint="eastAsia" w:ascii="宋体" w:hAnsi="宋体" w:eastAsia="宋体" w:cs="宋体"/>
          <w:b w:val="0"/>
          <w:bCs w:val="0"/>
          <w:snapToGrid w:val="0"/>
          <w:color w:val="auto"/>
          <w:sz w:val="21"/>
          <w:szCs w:val="21"/>
          <w:highlight w:val="none"/>
        </w:rPr>
        <w:t>污泥</w:t>
      </w:r>
      <w:r>
        <w:rPr>
          <w:rFonts w:hint="eastAsia" w:ascii="宋体" w:hAnsi="宋体" w:eastAsia="宋体" w:cs="宋体"/>
          <w:b w:val="0"/>
          <w:bCs w:val="0"/>
          <w:snapToGrid w:val="0"/>
          <w:color w:val="auto"/>
          <w:sz w:val="21"/>
          <w:szCs w:val="21"/>
          <w:highlight w:val="none"/>
          <w:lang w:val="en-US" w:eastAsia="zh-CN"/>
        </w:rPr>
        <w:t>系统</w:t>
      </w:r>
      <w:r>
        <w:rPr>
          <w:rFonts w:hint="eastAsia" w:ascii="宋体" w:hAnsi="宋体" w:eastAsia="宋体" w:cs="宋体"/>
          <w:b w:val="0"/>
          <w:bCs w:val="0"/>
          <w:snapToGrid w:val="0"/>
          <w:color w:val="auto"/>
          <w:sz w:val="21"/>
          <w:szCs w:val="21"/>
          <w:highlight w:val="none"/>
        </w:rPr>
        <w:t>PLC站</w:t>
      </w:r>
      <w:r>
        <w:rPr>
          <w:rFonts w:hint="eastAsia" w:ascii="宋体" w:hAnsi="宋体" w:eastAsia="宋体" w:cs="宋体"/>
          <w:snapToGrid w:val="0"/>
          <w:color w:val="auto"/>
          <w:sz w:val="21"/>
          <w:szCs w:val="21"/>
          <w:highlight w:val="none"/>
        </w:rPr>
        <w:t>满足项目</w:t>
      </w:r>
      <w:r>
        <w:rPr>
          <w:rFonts w:hint="eastAsia" w:ascii="宋体" w:hAnsi="宋体" w:eastAsia="宋体" w:cs="宋体"/>
          <w:snapToGrid w:val="0"/>
          <w:color w:val="auto"/>
          <w:sz w:val="21"/>
          <w:szCs w:val="21"/>
          <w:highlight w:val="none"/>
          <w:lang w:eastAsia="zh-CN"/>
        </w:rPr>
        <w:t>第一名；</w:t>
      </w:r>
    </w:p>
    <w:p w14:paraId="1F4BCA3B">
      <w:pPr>
        <w:widowControl w:val="0"/>
        <w:numPr>
          <w:ilvl w:val="0"/>
          <w:numId w:val="0"/>
        </w:numPr>
        <w:adjustRightInd w:val="0"/>
        <w:snapToGrid w:val="0"/>
        <w:spacing w:line="440" w:lineRule="exact"/>
        <w:rPr>
          <w:rFonts w:hint="eastAsia" w:ascii="宋体" w:hAnsi="宋体" w:cs="宋体"/>
          <w:snapToGrid w:val="0"/>
          <w:color w:val="auto"/>
          <w:szCs w:val="21"/>
          <w:highlight w:val="none"/>
        </w:rPr>
      </w:pPr>
      <w:r>
        <w:rPr>
          <w:rFonts w:hint="eastAsia" w:ascii="宋体" w:hAnsi="宋体" w:cs="宋体"/>
          <w:snapToGrid w:val="0"/>
          <w:color w:val="auto"/>
          <w:sz w:val="21"/>
          <w:szCs w:val="21"/>
          <w:highlight w:val="none"/>
          <w:lang w:val="en-US" w:eastAsia="zh-CN" w:bidi="ar-SA"/>
        </w:rPr>
        <w:t>6</w:t>
      </w:r>
      <w:r>
        <w:rPr>
          <w:rFonts w:hint="eastAsia" w:ascii="宋体" w:hAnsi="宋体" w:eastAsia="宋体" w:cs="宋体"/>
          <w:snapToGrid w:val="0"/>
          <w:color w:val="auto"/>
          <w:sz w:val="21"/>
          <w:szCs w:val="21"/>
          <w:highlight w:val="none"/>
          <w:lang w:val="en-US" w:eastAsia="zh-CN" w:bidi="ar-SA"/>
        </w:rPr>
        <w:t>、</w:t>
      </w:r>
      <w:r>
        <w:rPr>
          <w:rFonts w:hint="eastAsia" w:ascii="宋体" w:hAnsi="宋体" w:cs="宋体"/>
          <w:snapToGrid w:val="0"/>
          <w:color w:val="auto"/>
          <w:sz w:val="21"/>
          <w:szCs w:val="21"/>
          <w:highlight w:val="none"/>
          <w:lang w:val="en-US" w:eastAsia="zh-CN" w:bidi="ar-SA"/>
        </w:rPr>
        <w:t>提供3个</w:t>
      </w:r>
      <w:r>
        <w:rPr>
          <w:rFonts w:hint="eastAsia" w:ascii="宋体" w:hAnsi="宋体" w:eastAsia="宋体" w:cs="宋体"/>
          <w:snapToGrid w:val="0"/>
          <w:color w:val="auto"/>
          <w:sz w:val="21"/>
          <w:szCs w:val="21"/>
          <w:highlight w:val="none"/>
          <w:lang w:val="en-US" w:eastAsia="zh-CN"/>
        </w:rPr>
        <w:t>A≥</w:t>
      </w:r>
      <w:r>
        <w:rPr>
          <w:rFonts w:hint="eastAsia" w:ascii="宋体" w:hAnsi="宋体" w:cs="宋体"/>
          <w:snapToGrid w:val="0"/>
          <w:color w:val="auto"/>
          <w:sz w:val="21"/>
          <w:szCs w:val="21"/>
          <w:highlight w:val="none"/>
          <w:lang w:val="en-US" w:eastAsia="zh-CN"/>
        </w:rPr>
        <w:t>55</w:t>
      </w:r>
      <w:r>
        <w:rPr>
          <w:rFonts w:hint="eastAsia" w:ascii="宋体" w:hAnsi="宋体" w:eastAsia="宋体" w:cs="宋体"/>
          <w:snapToGrid w:val="0"/>
          <w:color w:val="auto"/>
          <w:sz w:val="21"/>
          <w:szCs w:val="21"/>
          <w:highlight w:val="none"/>
          <w:lang w:val="en-US" w:eastAsia="zh-CN"/>
        </w:rPr>
        <w:t>腔的合同</w:t>
      </w:r>
      <w:r>
        <w:rPr>
          <w:rFonts w:hint="eastAsia" w:ascii="宋体" w:hAnsi="宋体" w:cs="宋体"/>
          <w:snapToGrid w:val="0"/>
          <w:color w:val="auto"/>
          <w:sz w:val="21"/>
          <w:szCs w:val="21"/>
          <w:highlight w:val="none"/>
          <w:lang w:val="en-US" w:eastAsia="zh-CN" w:bidi="ar-SA"/>
        </w:rPr>
        <w:t>业绩；</w:t>
      </w:r>
    </w:p>
    <w:p w14:paraId="1B0B0128">
      <w:pPr>
        <w:widowControl w:val="0"/>
        <w:numPr>
          <w:ilvl w:val="0"/>
          <w:numId w:val="0"/>
        </w:numPr>
        <w:adjustRightInd w:val="0"/>
        <w:snapToGrid w:val="0"/>
        <w:spacing w:line="440" w:lineRule="exact"/>
        <w:rPr>
          <w:rFonts w:ascii="宋体" w:hAnsi="宋体" w:cs="宋体"/>
          <w:snapToGrid w:val="0"/>
          <w:color w:val="auto"/>
          <w:szCs w:val="21"/>
          <w:highlight w:val="none"/>
        </w:rPr>
      </w:pPr>
      <w:r>
        <w:rPr>
          <w:rFonts w:hint="eastAsia" w:ascii="宋体" w:hAnsi="宋体" w:cs="宋体"/>
          <w:snapToGrid w:val="0"/>
          <w:color w:val="auto"/>
          <w:sz w:val="21"/>
          <w:szCs w:val="21"/>
          <w:highlight w:val="none"/>
          <w:lang w:val="en-US" w:eastAsia="zh-CN" w:bidi="ar-SA"/>
        </w:rPr>
        <w:t>7</w:t>
      </w:r>
      <w:r>
        <w:rPr>
          <w:rFonts w:ascii="宋体" w:hAnsi="宋体" w:eastAsia="宋体" w:cs="宋体"/>
          <w:snapToGrid w:val="0"/>
          <w:color w:val="auto"/>
          <w:sz w:val="21"/>
          <w:szCs w:val="21"/>
          <w:highlight w:val="none"/>
          <w:lang w:val="en-US" w:eastAsia="zh-CN" w:bidi="ar-SA"/>
        </w:rPr>
        <w:t>、</w:t>
      </w:r>
      <w:r>
        <w:rPr>
          <w:rFonts w:hint="eastAsia" w:ascii="宋体" w:hAnsi="宋体" w:cs="宋体"/>
          <w:snapToGrid w:val="0"/>
          <w:color w:val="auto"/>
          <w:sz w:val="21"/>
          <w:szCs w:val="21"/>
          <w:highlight w:val="none"/>
          <w:lang w:val="en-US" w:eastAsia="zh-CN" w:bidi="ar-SA"/>
        </w:rPr>
        <w:t>缩短交货时间30天；</w:t>
      </w:r>
    </w:p>
    <w:p w14:paraId="77980F67">
      <w:pPr>
        <w:widowControl w:val="0"/>
        <w:numPr>
          <w:ilvl w:val="0"/>
          <w:numId w:val="0"/>
        </w:numPr>
        <w:adjustRightInd w:val="0"/>
        <w:snapToGrid w:val="0"/>
        <w:spacing w:line="440" w:lineRule="exact"/>
        <w:rPr>
          <w:rFonts w:ascii="宋体" w:hAnsi="宋体" w:cs="宋体"/>
          <w:snapToGrid w:val="0"/>
          <w:color w:val="auto"/>
          <w:szCs w:val="21"/>
          <w:highlight w:val="none"/>
        </w:rPr>
      </w:pPr>
      <w:r>
        <w:rPr>
          <w:rFonts w:hint="eastAsia" w:ascii="宋体" w:hAnsi="宋体" w:cs="宋体"/>
          <w:snapToGrid w:val="0"/>
          <w:color w:val="auto"/>
          <w:sz w:val="21"/>
          <w:szCs w:val="21"/>
          <w:highlight w:val="none"/>
          <w:lang w:val="en-US" w:eastAsia="zh-CN" w:bidi="ar-SA"/>
        </w:rPr>
        <w:t>8</w:t>
      </w:r>
      <w:r>
        <w:rPr>
          <w:rFonts w:ascii="宋体" w:hAnsi="宋体" w:eastAsia="宋体" w:cs="宋体"/>
          <w:snapToGrid w:val="0"/>
          <w:color w:val="auto"/>
          <w:sz w:val="21"/>
          <w:szCs w:val="21"/>
          <w:highlight w:val="none"/>
          <w:lang w:val="en-US" w:eastAsia="zh-CN" w:bidi="ar-SA"/>
        </w:rPr>
        <w:t>、</w:t>
      </w:r>
      <w:r>
        <w:rPr>
          <w:rFonts w:hint="eastAsia" w:ascii="宋体" w:hAnsi="宋体" w:cs="宋体"/>
          <w:snapToGrid w:val="0"/>
          <w:color w:val="auto"/>
          <w:sz w:val="21"/>
          <w:szCs w:val="21"/>
          <w:highlight w:val="none"/>
          <w:lang w:val="en-US" w:eastAsia="zh-CN" w:bidi="ar-SA"/>
        </w:rPr>
        <w:t>延长保修期3年；</w:t>
      </w:r>
    </w:p>
    <w:p w14:paraId="1D3BAE10">
      <w:pPr>
        <w:rPr>
          <w:rFonts w:ascii="宋体" w:hAnsi="宋体" w:cs="宋体"/>
          <w:color w:val="auto"/>
          <w:kern w:val="2"/>
          <w:sz w:val="28"/>
          <w:szCs w:val="28"/>
          <w:highlight w:val="none"/>
        </w:rPr>
      </w:pPr>
      <w:r>
        <w:rPr>
          <w:rFonts w:hint="eastAsia" w:ascii="宋体" w:hAnsi="宋体" w:cs="宋体"/>
          <w:color w:val="auto"/>
          <w:kern w:val="2"/>
          <w:sz w:val="28"/>
          <w:szCs w:val="28"/>
          <w:highlight w:val="none"/>
        </w:rPr>
        <w:br w:type="page"/>
      </w:r>
    </w:p>
    <w:p w14:paraId="72C9F054">
      <w:pPr>
        <w:pStyle w:val="2"/>
        <w:widowControl w:val="0"/>
        <w:ind w:firstLine="0"/>
        <w:jc w:val="both"/>
        <w:rPr>
          <w:rFonts w:ascii="宋体" w:hAnsi="宋体" w:eastAsia="宋体" w:cs="宋体"/>
          <w:b/>
          <w:bCs/>
          <w:snapToGrid w:val="0"/>
          <w:color w:val="auto"/>
          <w:sz w:val="30"/>
          <w:szCs w:val="30"/>
          <w:highlight w:val="none"/>
        </w:rPr>
      </w:pPr>
      <w:r>
        <w:rPr>
          <w:rFonts w:hint="eastAsia" w:ascii="宋体" w:hAnsi="宋体" w:eastAsia="宋体" w:cs="宋体"/>
          <w:color w:val="auto"/>
          <w:kern w:val="2"/>
          <w:sz w:val="28"/>
          <w:szCs w:val="28"/>
          <w:highlight w:val="none"/>
        </w:rPr>
        <w:t>附件2：经评审的最终投标价格计算表</w:t>
      </w:r>
    </w:p>
    <w:p w14:paraId="41DC3E50">
      <w:pPr>
        <w:widowControl w:val="0"/>
        <w:adjustRightInd w:val="0"/>
        <w:snapToGrid w:val="0"/>
        <w:spacing w:line="440" w:lineRule="exact"/>
        <w:ind w:firstLine="643" w:firstLineChars="200"/>
        <w:jc w:val="center"/>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经评审的最终投标价格计算表</w:t>
      </w:r>
    </w:p>
    <w:p w14:paraId="54A12B98">
      <w:pPr>
        <w:widowControl w:val="0"/>
        <w:wordWrap w:val="0"/>
        <w:adjustRightInd w:val="0"/>
        <w:snapToGrid w:val="0"/>
        <w:spacing w:line="440" w:lineRule="exact"/>
        <w:ind w:firstLine="480" w:firstLineChars="200"/>
        <w:jc w:val="right"/>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 xml:space="preserve">单位：元    </w:t>
      </w:r>
    </w:p>
    <w:tbl>
      <w:tblPr>
        <w:tblStyle w:val="42"/>
        <w:tblW w:w="4997" w:type="pct"/>
        <w:jc w:val="center"/>
        <w:tblLayout w:type="autofit"/>
        <w:tblCellMar>
          <w:top w:w="0" w:type="dxa"/>
          <w:left w:w="108" w:type="dxa"/>
          <w:bottom w:w="0" w:type="dxa"/>
          <w:right w:w="108" w:type="dxa"/>
        </w:tblCellMar>
      </w:tblPr>
      <w:tblGrid>
        <w:gridCol w:w="931"/>
        <w:gridCol w:w="979"/>
        <w:gridCol w:w="979"/>
        <w:gridCol w:w="636"/>
        <w:gridCol w:w="636"/>
        <w:gridCol w:w="636"/>
        <w:gridCol w:w="636"/>
        <w:gridCol w:w="636"/>
        <w:gridCol w:w="669"/>
        <w:gridCol w:w="636"/>
        <w:gridCol w:w="663"/>
        <w:gridCol w:w="637"/>
        <w:gridCol w:w="607"/>
      </w:tblGrid>
      <w:tr w14:paraId="79015BAB">
        <w:tblPrEx>
          <w:tblCellMar>
            <w:top w:w="0" w:type="dxa"/>
            <w:left w:w="108" w:type="dxa"/>
            <w:bottom w:w="0" w:type="dxa"/>
            <w:right w:w="108" w:type="dxa"/>
          </w:tblCellMar>
        </w:tblPrEx>
        <w:trPr>
          <w:trHeight w:val="1478" w:hRule="exact"/>
          <w:jc w:val="center"/>
        </w:trPr>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14:paraId="1C3AE7E7">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投标人</w:t>
            </w:r>
          </w:p>
        </w:tc>
        <w:tc>
          <w:tcPr>
            <w:tcW w:w="555" w:type="pct"/>
            <w:vMerge w:val="restart"/>
            <w:tcBorders>
              <w:top w:val="single" w:color="auto" w:sz="4" w:space="0"/>
              <w:left w:val="single" w:color="auto" w:sz="4" w:space="0"/>
              <w:right w:val="single" w:color="auto" w:sz="4" w:space="0"/>
            </w:tcBorders>
            <w:noWrap w:val="0"/>
            <w:vAlign w:val="center"/>
          </w:tcPr>
          <w:p w14:paraId="2B06F933">
            <w:pPr>
              <w:widowControl w:val="0"/>
              <w:tabs>
                <w:tab w:val="left" w:pos="1354"/>
                <w:tab w:val="left" w:pos="1459"/>
                <w:tab w:val="center" w:pos="3902"/>
                <w:tab w:val="right" w:pos="7805"/>
              </w:tabs>
              <w:wordWrap w:val="0"/>
              <w:adjustRightInd w:val="0"/>
              <w:snapToGrid w:val="0"/>
              <w:spacing w:line="440" w:lineRule="exact"/>
              <w:jc w:val="center"/>
              <w:rPr>
                <w:rFonts w:hint="default" w:ascii="宋体" w:hAnsi="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招标控制价</w:t>
            </w:r>
          </w:p>
        </w:tc>
        <w:tc>
          <w:tcPr>
            <w:tcW w:w="555" w:type="pct"/>
            <w:vMerge w:val="restart"/>
            <w:tcBorders>
              <w:top w:val="single" w:color="auto" w:sz="4" w:space="0"/>
              <w:left w:val="single" w:color="auto" w:sz="4" w:space="0"/>
              <w:bottom w:val="single" w:color="auto" w:sz="4" w:space="0"/>
              <w:right w:val="single" w:color="auto" w:sz="4" w:space="0"/>
            </w:tcBorders>
            <w:noWrap w:val="0"/>
            <w:vAlign w:val="center"/>
          </w:tcPr>
          <w:p w14:paraId="41CE799C">
            <w:pPr>
              <w:widowControl w:val="0"/>
              <w:tabs>
                <w:tab w:val="left" w:pos="1354"/>
                <w:tab w:val="left" w:pos="1459"/>
                <w:tab w:val="center" w:pos="3902"/>
                <w:tab w:val="right" w:pos="7805"/>
              </w:tabs>
              <w:wordWrap w:val="0"/>
              <w:adjustRightInd w:val="0"/>
              <w:snapToGrid w:val="0"/>
              <w:spacing w:line="440" w:lineRule="exact"/>
              <w:jc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投标报价</w:t>
            </w:r>
          </w:p>
        </w:tc>
        <w:tc>
          <w:tcPr>
            <w:tcW w:w="1531" w:type="pct"/>
            <w:gridSpan w:val="5"/>
            <w:tcBorders>
              <w:top w:val="single" w:color="auto" w:sz="4" w:space="0"/>
              <w:left w:val="single" w:color="auto" w:sz="4" w:space="0"/>
              <w:bottom w:val="single" w:color="auto" w:sz="4" w:space="0"/>
              <w:right w:val="single" w:color="auto" w:sz="4" w:space="0"/>
            </w:tcBorders>
            <w:noWrap w:val="0"/>
            <w:vAlign w:val="center"/>
          </w:tcPr>
          <w:p w14:paraId="675E98E2">
            <w:pPr>
              <w:widowControl w:val="0"/>
              <w:tabs>
                <w:tab w:val="left" w:pos="1354"/>
                <w:tab w:val="left" w:pos="1459"/>
                <w:tab w:val="center" w:pos="3902"/>
                <w:tab w:val="right" w:pos="7805"/>
              </w:tabs>
              <w:wordWrap w:val="0"/>
              <w:adjustRightInd w:val="0"/>
              <w:snapToGrid w:val="0"/>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质量方面</w:t>
            </w:r>
          </w:p>
        </w:tc>
        <w:tc>
          <w:tcPr>
            <w:tcW w:w="388" w:type="pct"/>
            <w:tcBorders>
              <w:top w:val="single" w:color="auto" w:sz="4" w:space="0"/>
              <w:left w:val="single" w:color="auto" w:sz="4" w:space="0"/>
              <w:right w:val="single" w:color="auto" w:sz="4" w:space="0"/>
            </w:tcBorders>
            <w:noWrap w:val="0"/>
            <w:vAlign w:val="center"/>
          </w:tcPr>
          <w:p w14:paraId="726E7F7A">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类似业绩方面</w:t>
            </w:r>
          </w:p>
        </w:tc>
        <w:tc>
          <w:tcPr>
            <w:tcW w:w="755" w:type="pct"/>
            <w:gridSpan w:val="2"/>
            <w:tcBorders>
              <w:top w:val="single" w:color="auto" w:sz="4" w:space="0"/>
              <w:left w:val="single" w:color="auto" w:sz="4" w:space="0"/>
              <w:bottom w:val="single" w:color="auto" w:sz="4" w:space="0"/>
              <w:right w:val="single" w:color="auto" w:sz="4" w:space="0"/>
            </w:tcBorders>
            <w:noWrap w:val="0"/>
            <w:vAlign w:val="center"/>
          </w:tcPr>
          <w:p w14:paraId="5A96DF38">
            <w:pPr>
              <w:widowControl w:val="0"/>
              <w:tabs>
                <w:tab w:val="left" w:pos="1354"/>
                <w:tab w:val="left" w:pos="1459"/>
                <w:tab w:val="center" w:pos="3902"/>
                <w:tab w:val="right" w:pos="7805"/>
              </w:tabs>
              <w:wordWrap w:val="0"/>
              <w:adjustRightInd w:val="0"/>
              <w:snapToGrid w:val="0"/>
              <w:spacing w:line="44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售后服务方面</w:t>
            </w:r>
          </w:p>
        </w:tc>
        <w:tc>
          <w:tcPr>
            <w:tcW w:w="327" w:type="pct"/>
            <w:vMerge w:val="restart"/>
            <w:tcBorders>
              <w:top w:val="single" w:color="auto" w:sz="4" w:space="0"/>
              <w:left w:val="single" w:color="auto" w:sz="4" w:space="0"/>
              <w:right w:val="single" w:color="auto" w:sz="4" w:space="0"/>
            </w:tcBorders>
            <w:noWrap w:val="0"/>
            <w:vAlign w:val="center"/>
          </w:tcPr>
          <w:p w14:paraId="14E1F645">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经评审的投标价</w:t>
            </w:r>
          </w:p>
        </w:tc>
        <w:tc>
          <w:tcPr>
            <w:tcW w:w="354" w:type="pct"/>
            <w:vMerge w:val="restart"/>
            <w:tcBorders>
              <w:top w:val="single" w:color="auto" w:sz="4" w:space="0"/>
              <w:left w:val="single" w:color="auto" w:sz="4" w:space="0"/>
              <w:right w:val="single" w:color="auto" w:sz="4" w:space="0"/>
            </w:tcBorders>
            <w:noWrap w:val="0"/>
            <w:vAlign w:val="center"/>
          </w:tcPr>
          <w:p w14:paraId="2A2CA15F">
            <w:pPr>
              <w:widowControl w:val="0"/>
              <w:tabs>
                <w:tab w:val="left" w:pos="1354"/>
                <w:tab w:val="left" w:pos="1459"/>
                <w:tab w:val="center" w:pos="3902"/>
                <w:tab w:val="right" w:pos="7805"/>
              </w:tabs>
              <w:wordWrap w:val="0"/>
              <w:adjustRightInd w:val="0"/>
              <w:snapToGrid w:val="0"/>
              <w:spacing w:line="44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排名</w:t>
            </w:r>
          </w:p>
        </w:tc>
      </w:tr>
      <w:tr w14:paraId="08E50B1F">
        <w:tblPrEx>
          <w:tblCellMar>
            <w:top w:w="0" w:type="dxa"/>
            <w:left w:w="108" w:type="dxa"/>
            <w:bottom w:w="0" w:type="dxa"/>
            <w:right w:w="108" w:type="dxa"/>
          </w:tblCellMar>
        </w:tblPrEx>
        <w:trPr>
          <w:trHeight w:val="555" w:hRule="exact"/>
          <w:jc w:val="center"/>
        </w:trPr>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14:paraId="56C6BECC">
            <w:pPr>
              <w:widowControl w:val="0"/>
              <w:rPr>
                <w:rFonts w:ascii="宋体" w:hAnsi="宋体" w:cs="宋体"/>
                <w:snapToGrid w:val="0"/>
                <w:color w:val="auto"/>
                <w:szCs w:val="21"/>
                <w:highlight w:val="none"/>
              </w:rPr>
            </w:pPr>
          </w:p>
        </w:tc>
        <w:tc>
          <w:tcPr>
            <w:tcW w:w="555" w:type="pct"/>
            <w:vMerge w:val="continue"/>
            <w:tcBorders>
              <w:left w:val="single" w:color="auto" w:sz="4" w:space="0"/>
              <w:bottom w:val="single" w:color="auto" w:sz="4" w:space="0"/>
              <w:right w:val="single" w:color="auto" w:sz="4" w:space="0"/>
            </w:tcBorders>
            <w:noWrap w:val="0"/>
            <w:vAlign w:val="center"/>
          </w:tcPr>
          <w:p w14:paraId="7D14446B">
            <w:pPr>
              <w:widowControl w:val="0"/>
              <w:rPr>
                <w:rFonts w:ascii="宋体" w:hAnsi="宋体" w:cs="宋体"/>
                <w:snapToGrid w:val="0"/>
                <w:color w:val="auto"/>
                <w:szCs w:val="21"/>
                <w:highlight w:val="none"/>
              </w:rPr>
            </w:pPr>
          </w:p>
        </w:tc>
        <w:tc>
          <w:tcPr>
            <w:tcW w:w="555" w:type="pct"/>
            <w:vMerge w:val="continue"/>
            <w:tcBorders>
              <w:top w:val="single" w:color="auto" w:sz="4" w:space="0"/>
              <w:left w:val="single" w:color="auto" w:sz="4" w:space="0"/>
              <w:bottom w:val="single" w:color="auto" w:sz="4" w:space="0"/>
              <w:right w:val="single" w:color="auto" w:sz="4" w:space="0"/>
            </w:tcBorders>
            <w:noWrap w:val="0"/>
            <w:vAlign w:val="center"/>
          </w:tcPr>
          <w:p w14:paraId="6E9D0FDC">
            <w:pPr>
              <w:widowControl w:val="0"/>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1A23BB00">
            <w:pPr>
              <w:widowControl w:val="0"/>
              <w:tabs>
                <w:tab w:val="left" w:pos="1354"/>
                <w:tab w:val="left" w:pos="1459"/>
                <w:tab w:val="center" w:pos="3902"/>
                <w:tab w:val="right" w:pos="7805"/>
              </w:tabs>
              <w:wordWrap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6B236068">
            <w:pPr>
              <w:widowControl w:val="0"/>
              <w:tabs>
                <w:tab w:val="left" w:pos="1354"/>
                <w:tab w:val="left" w:pos="1459"/>
                <w:tab w:val="center" w:pos="3902"/>
                <w:tab w:val="right" w:pos="7805"/>
              </w:tabs>
              <w:wordWrap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35996903">
            <w:pPr>
              <w:widowControl w:val="0"/>
              <w:tabs>
                <w:tab w:val="left" w:pos="1354"/>
                <w:tab w:val="left" w:pos="1459"/>
                <w:tab w:val="center" w:pos="3902"/>
                <w:tab w:val="right" w:pos="7805"/>
              </w:tabs>
              <w:wordWrap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4543DF6E">
            <w:pPr>
              <w:widowControl w:val="0"/>
              <w:tabs>
                <w:tab w:val="left" w:pos="1354"/>
                <w:tab w:val="left" w:pos="1459"/>
                <w:tab w:val="center" w:pos="3902"/>
                <w:tab w:val="right" w:pos="7805"/>
              </w:tabs>
              <w:wordWrap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55E53DFD">
            <w:pPr>
              <w:widowControl w:val="0"/>
              <w:tabs>
                <w:tab w:val="left" w:pos="1354"/>
                <w:tab w:val="left" w:pos="1459"/>
                <w:tab w:val="center" w:pos="3902"/>
                <w:tab w:val="right" w:pos="7805"/>
              </w:tabs>
              <w:wordWrap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7F657868">
            <w:pPr>
              <w:widowControl w:val="0"/>
              <w:tabs>
                <w:tab w:val="left" w:pos="1354"/>
                <w:tab w:val="left" w:pos="1459"/>
                <w:tab w:val="center" w:pos="3902"/>
                <w:tab w:val="right" w:pos="7805"/>
              </w:tabs>
              <w:wordWrap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61036B3F">
            <w:pPr>
              <w:widowControl w:val="0"/>
              <w:jc w:val="center"/>
              <w:rPr>
                <w:rFonts w:hint="eastAsia" w:ascii="宋体" w:hAnsi="宋体" w:eastAsia="宋体" w:cs="宋体"/>
                <w:snapToGrid w:val="0"/>
                <w:color w:val="auto"/>
                <w:szCs w:val="21"/>
                <w:highlight w:val="none"/>
                <w:lang w:eastAsia="zh-CN"/>
              </w:rPr>
            </w:pPr>
            <w:r>
              <w:rPr>
                <w:rFonts w:hint="eastAsia" w:ascii="宋体" w:hAnsi="宋体" w:cs="宋体"/>
                <w:snapToGrid w:val="0"/>
                <w:color w:val="auto"/>
                <w:szCs w:val="21"/>
                <w:highlight w:val="none"/>
                <w:lang w:val="en-US" w:eastAsia="zh-CN"/>
              </w:rPr>
              <w:t>7</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002E153A">
            <w:pPr>
              <w:widowControl w:val="0"/>
              <w:jc w:val="center"/>
              <w:rPr>
                <w:rFonts w:hint="eastAsia"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8</w:t>
            </w:r>
          </w:p>
        </w:tc>
        <w:tc>
          <w:tcPr>
            <w:tcW w:w="327" w:type="pct"/>
            <w:vMerge w:val="continue"/>
            <w:tcBorders>
              <w:left w:val="single" w:color="auto" w:sz="4" w:space="0"/>
              <w:bottom w:val="single" w:color="auto" w:sz="4" w:space="0"/>
              <w:right w:val="single" w:color="auto" w:sz="4" w:space="0"/>
            </w:tcBorders>
            <w:noWrap w:val="0"/>
            <w:vAlign w:val="center"/>
          </w:tcPr>
          <w:p w14:paraId="0257EFFB">
            <w:pPr>
              <w:widowControl w:val="0"/>
              <w:rPr>
                <w:rFonts w:ascii="宋体" w:hAnsi="宋体" w:cs="宋体"/>
                <w:snapToGrid w:val="0"/>
                <w:color w:val="auto"/>
                <w:szCs w:val="21"/>
                <w:highlight w:val="none"/>
              </w:rPr>
            </w:pPr>
          </w:p>
        </w:tc>
        <w:tc>
          <w:tcPr>
            <w:tcW w:w="354" w:type="pct"/>
            <w:vMerge w:val="continue"/>
            <w:tcBorders>
              <w:left w:val="single" w:color="auto" w:sz="4" w:space="0"/>
              <w:bottom w:val="single" w:color="auto" w:sz="4" w:space="0"/>
              <w:right w:val="single" w:color="auto" w:sz="4" w:space="0"/>
            </w:tcBorders>
            <w:noWrap w:val="0"/>
            <w:vAlign w:val="center"/>
          </w:tcPr>
          <w:p w14:paraId="6C0FC9C9">
            <w:pPr>
              <w:widowControl w:val="0"/>
              <w:rPr>
                <w:rFonts w:ascii="宋体" w:hAnsi="宋体" w:cs="宋体"/>
                <w:snapToGrid w:val="0"/>
                <w:color w:val="auto"/>
                <w:szCs w:val="21"/>
                <w:highlight w:val="none"/>
              </w:rPr>
            </w:pPr>
          </w:p>
        </w:tc>
      </w:tr>
      <w:tr w14:paraId="7FB5D142">
        <w:tblPrEx>
          <w:tblCellMar>
            <w:top w:w="0" w:type="dxa"/>
            <w:left w:w="108" w:type="dxa"/>
            <w:bottom w:w="0" w:type="dxa"/>
            <w:right w:w="108" w:type="dxa"/>
          </w:tblCellMar>
        </w:tblPrEx>
        <w:trPr>
          <w:trHeight w:val="1584"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4A2979F8">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投标人A</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1BEBFB4">
            <w:pPr>
              <w:jc w:val="center"/>
              <w:textAlignment w:val="center"/>
              <w:rPr>
                <w:rFonts w:hint="default" w:ascii="宋体" w:hAnsi="宋体" w:cs="宋体"/>
                <w:snapToGrid w:val="0"/>
                <w:color w:val="auto"/>
                <w:szCs w:val="21"/>
                <w:highlight w:val="none"/>
                <w:lang w:val="en-US"/>
              </w:rPr>
            </w:pPr>
            <w:r>
              <w:rPr>
                <w:rFonts w:hint="eastAsia" w:ascii="宋体" w:hAnsi="宋体" w:cs="宋体"/>
                <w:snapToGrid w:val="0"/>
                <w:color w:val="auto"/>
                <w:szCs w:val="21"/>
                <w:highlight w:val="none"/>
                <w:lang w:val="en-US" w:eastAsia="zh-CN"/>
              </w:rPr>
              <w:t>5000</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68D72EE">
            <w:pPr>
              <w:jc w:val="center"/>
              <w:textAlignment w:val="center"/>
              <w:rPr>
                <w:rFonts w:ascii="宋体" w:hAnsi="宋体" w:cs="宋体"/>
                <w:snapToGrid w:val="0"/>
                <w:color w:val="auto"/>
                <w:szCs w:val="21"/>
                <w:highlight w:val="none"/>
              </w:rPr>
            </w:pPr>
            <w:r>
              <w:rPr>
                <w:rFonts w:hint="eastAsia" w:ascii="宋体" w:hAnsi="宋体" w:cs="宋体"/>
                <w:snapToGrid w:val="0"/>
                <w:color w:val="auto"/>
                <w:szCs w:val="21"/>
                <w:highlight w:val="none"/>
                <w:lang w:val="en-US" w:eastAsia="zh-CN"/>
              </w:rPr>
              <w:t>4500</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0D604400">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lang w:val="en-US" w:eastAsia="zh-CN" w:bidi="ar"/>
              </w:rPr>
              <w:t>-100</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3A728D95">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-250</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31172189">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-100</w:t>
            </w:r>
          </w:p>
        </w:tc>
        <w:tc>
          <w:tcPr>
            <w:tcW w:w="305" w:type="pct"/>
            <w:tcBorders>
              <w:top w:val="single" w:color="auto" w:sz="4" w:space="0"/>
              <w:left w:val="single" w:color="auto" w:sz="4" w:space="0"/>
              <w:bottom w:val="single" w:color="auto" w:sz="4" w:space="0"/>
              <w:right w:val="single" w:color="auto" w:sz="4" w:space="0"/>
            </w:tcBorders>
            <w:noWrap w:val="0"/>
            <w:vAlign w:val="center"/>
          </w:tcPr>
          <w:p w14:paraId="6154B70F">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-300</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0AC43BC6">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-400</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071452D5">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-600</w:t>
            </w:r>
          </w:p>
        </w:tc>
        <w:tc>
          <w:tcPr>
            <w:tcW w:w="366" w:type="pct"/>
            <w:tcBorders>
              <w:top w:val="single" w:color="auto" w:sz="4" w:space="0"/>
              <w:left w:val="single" w:color="auto" w:sz="4" w:space="0"/>
              <w:bottom w:val="single" w:color="auto" w:sz="4" w:space="0"/>
              <w:right w:val="single" w:color="auto" w:sz="4" w:space="0"/>
            </w:tcBorders>
            <w:noWrap w:val="0"/>
            <w:vAlign w:val="center"/>
          </w:tcPr>
          <w:p w14:paraId="4F098A9A">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val="en-US" w:eastAsia="zh-CN"/>
              </w:rPr>
              <w:t>100</w:t>
            </w:r>
          </w:p>
        </w:tc>
        <w:tc>
          <w:tcPr>
            <w:tcW w:w="388" w:type="pct"/>
            <w:tcBorders>
              <w:top w:val="single" w:color="auto" w:sz="4" w:space="0"/>
              <w:left w:val="single" w:color="auto" w:sz="4" w:space="0"/>
              <w:bottom w:val="single" w:color="auto" w:sz="4" w:space="0"/>
              <w:right w:val="single" w:color="auto" w:sz="4" w:space="0"/>
            </w:tcBorders>
            <w:noWrap w:val="0"/>
            <w:vAlign w:val="center"/>
          </w:tcPr>
          <w:p w14:paraId="76094BFF">
            <w:pPr>
              <w:jc w:val="center"/>
              <w:textAlignment w:val="center"/>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w:t>
            </w:r>
            <w:r>
              <w:rPr>
                <w:rFonts w:hint="default" w:ascii="宋体" w:hAnsi="宋体" w:cs="宋体"/>
                <w:snapToGrid w:val="0"/>
                <w:color w:val="auto"/>
                <w:szCs w:val="21"/>
                <w:highlight w:val="none"/>
                <w:lang w:val="en-US" w:eastAsia="zh-CN"/>
              </w:rPr>
              <w:t>150</w:t>
            </w:r>
          </w:p>
        </w:tc>
        <w:tc>
          <w:tcPr>
            <w:tcW w:w="327" w:type="pct"/>
            <w:tcBorders>
              <w:top w:val="single" w:color="auto" w:sz="4" w:space="0"/>
              <w:left w:val="single" w:color="auto" w:sz="4" w:space="0"/>
              <w:bottom w:val="single" w:color="auto" w:sz="4" w:space="0"/>
              <w:right w:val="single" w:color="auto" w:sz="4" w:space="0"/>
            </w:tcBorders>
            <w:noWrap w:val="0"/>
            <w:vAlign w:val="center"/>
          </w:tcPr>
          <w:p w14:paraId="7C194FF5">
            <w:pPr>
              <w:jc w:val="center"/>
              <w:rPr>
                <w:rFonts w:hint="default"/>
                <w:color w:val="auto"/>
                <w:highlight w:val="none"/>
                <w:lang w:val="en-US"/>
              </w:rPr>
            </w:pPr>
            <w:r>
              <w:rPr>
                <w:rFonts w:hint="eastAsia" w:ascii="宋体" w:hAnsi="宋体" w:cs="宋体"/>
                <w:snapToGrid w:val="0"/>
                <w:color w:val="auto"/>
                <w:szCs w:val="21"/>
                <w:highlight w:val="none"/>
                <w:lang w:val="en-US" w:eastAsia="zh-CN"/>
              </w:rPr>
              <w:t>2500</w:t>
            </w:r>
          </w:p>
        </w:tc>
        <w:tc>
          <w:tcPr>
            <w:tcW w:w="354" w:type="pct"/>
            <w:tcBorders>
              <w:top w:val="single" w:color="auto" w:sz="4" w:space="0"/>
              <w:left w:val="single" w:color="auto" w:sz="4" w:space="0"/>
              <w:bottom w:val="single" w:color="auto" w:sz="4" w:space="0"/>
              <w:right w:val="single" w:color="auto" w:sz="4" w:space="0"/>
            </w:tcBorders>
            <w:noWrap w:val="0"/>
            <w:vAlign w:val="center"/>
          </w:tcPr>
          <w:p w14:paraId="509EEAA6">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2C7130D5">
        <w:tblPrEx>
          <w:tblCellMar>
            <w:top w:w="0" w:type="dxa"/>
            <w:left w:w="108" w:type="dxa"/>
            <w:bottom w:w="0" w:type="dxa"/>
            <w:right w:w="108" w:type="dxa"/>
          </w:tblCellMar>
        </w:tblPrEx>
        <w:trPr>
          <w:trHeight w:val="567"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56E111A5">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投标人B</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5810D1E">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0E2E8759">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22B71F98">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01925597">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2B7E25DA">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722974CE">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4AF33CEA">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5EDFBBB9">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66" w:type="pct"/>
            <w:tcBorders>
              <w:top w:val="single" w:color="auto" w:sz="4" w:space="0"/>
              <w:left w:val="single" w:color="auto" w:sz="4" w:space="0"/>
              <w:bottom w:val="single" w:color="auto" w:sz="4" w:space="0"/>
              <w:right w:val="single" w:color="auto" w:sz="4" w:space="0"/>
            </w:tcBorders>
            <w:noWrap w:val="0"/>
            <w:vAlign w:val="center"/>
          </w:tcPr>
          <w:p w14:paraId="7AFFA40B">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01982DB0">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27" w:type="pct"/>
            <w:tcBorders>
              <w:top w:val="single" w:color="auto" w:sz="4" w:space="0"/>
              <w:left w:val="single" w:color="auto" w:sz="4" w:space="0"/>
              <w:bottom w:val="single" w:color="auto" w:sz="4" w:space="0"/>
              <w:right w:val="single" w:color="auto" w:sz="4" w:space="0"/>
            </w:tcBorders>
            <w:noWrap w:val="0"/>
            <w:vAlign w:val="center"/>
          </w:tcPr>
          <w:p w14:paraId="5E5D5C73">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noWrap w:val="0"/>
            <w:vAlign w:val="center"/>
          </w:tcPr>
          <w:p w14:paraId="2451A7CB">
            <w:pPr>
              <w:widowControl w:val="0"/>
              <w:wordWrap w:val="0"/>
              <w:adjustRightInd w:val="0"/>
              <w:snapToGrid w:val="0"/>
              <w:spacing w:line="400" w:lineRule="exact"/>
              <w:jc w:val="center"/>
              <w:rPr>
                <w:rFonts w:ascii="宋体" w:hAnsi="宋体" w:cs="宋体"/>
                <w:snapToGrid w:val="0"/>
                <w:color w:val="auto"/>
                <w:szCs w:val="21"/>
                <w:highlight w:val="none"/>
              </w:rPr>
            </w:pPr>
          </w:p>
        </w:tc>
      </w:tr>
      <w:tr w14:paraId="279AC3EF">
        <w:tblPrEx>
          <w:tblCellMar>
            <w:top w:w="0" w:type="dxa"/>
            <w:left w:w="108" w:type="dxa"/>
            <w:bottom w:w="0" w:type="dxa"/>
            <w:right w:w="108" w:type="dxa"/>
          </w:tblCellMar>
        </w:tblPrEx>
        <w:trPr>
          <w:trHeight w:val="567" w:hRule="exact"/>
          <w:jc w:val="center"/>
        </w:trPr>
        <w:tc>
          <w:tcPr>
            <w:tcW w:w="529" w:type="pct"/>
            <w:tcBorders>
              <w:top w:val="single" w:color="auto" w:sz="4" w:space="0"/>
              <w:left w:val="single" w:color="auto" w:sz="4" w:space="0"/>
              <w:bottom w:val="single" w:color="auto" w:sz="4" w:space="0"/>
              <w:right w:val="single" w:color="auto" w:sz="4" w:space="0"/>
            </w:tcBorders>
            <w:noWrap w:val="0"/>
            <w:vAlign w:val="center"/>
          </w:tcPr>
          <w:p w14:paraId="4264F159">
            <w:pPr>
              <w:widowControl w:val="0"/>
              <w:wordWrap w:val="0"/>
              <w:adjustRightInd w:val="0"/>
              <w:snapToGrid w:val="0"/>
              <w:spacing w:line="40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投标人C</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54CBB85">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4B629A90">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32E5975B">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2788BCE9">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61C968E1">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5" w:type="pct"/>
            <w:tcBorders>
              <w:top w:val="single" w:color="auto" w:sz="4" w:space="0"/>
              <w:left w:val="single" w:color="auto" w:sz="4" w:space="0"/>
              <w:bottom w:val="single" w:color="auto" w:sz="4" w:space="0"/>
              <w:right w:val="single" w:color="auto" w:sz="4" w:space="0"/>
            </w:tcBorders>
            <w:noWrap w:val="0"/>
            <w:vAlign w:val="center"/>
          </w:tcPr>
          <w:p w14:paraId="6B6AAC20">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08" w:type="pct"/>
            <w:tcBorders>
              <w:top w:val="single" w:color="auto" w:sz="4" w:space="0"/>
              <w:left w:val="single" w:color="auto" w:sz="4" w:space="0"/>
              <w:bottom w:val="single" w:color="auto" w:sz="4" w:space="0"/>
              <w:right w:val="single" w:color="auto" w:sz="4" w:space="0"/>
            </w:tcBorders>
            <w:noWrap w:val="0"/>
            <w:vAlign w:val="center"/>
          </w:tcPr>
          <w:p w14:paraId="46683A0C">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7B63F70F">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66" w:type="pct"/>
            <w:tcBorders>
              <w:top w:val="single" w:color="auto" w:sz="4" w:space="0"/>
              <w:left w:val="single" w:color="auto" w:sz="4" w:space="0"/>
              <w:bottom w:val="single" w:color="auto" w:sz="4" w:space="0"/>
              <w:right w:val="single" w:color="auto" w:sz="4" w:space="0"/>
            </w:tcBorders>
            <w:noWrap w:val="0"/>
            <w:vAlign w:val="center"/>
          </w:tcPr>
          <w:p w14:paraId="6F59E0E2">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88" w:type="pct"/>
            <w:tcBorders>
              <w:top w:val="single" w:color="auto" w:sz="4" w:space="0"/>
              <w:left w:val="single" w:color="auto" w:sz="4" w:space="0"/>
              <w:bottom w:val="single" w:color="auto" w:sz="4" w:space="0"/>
              <w:right w:val="single" w:color="auto" w:sz="4" w:space="0"/>
            </w:tcBorders>
            <w:noWrap w:val="0"/>
            <w:vAlign w:val="center"/>
          </w:tcPr>
          <w:p w14:paraId="3B35C53A">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27" w:type="pct"/>
            <w:tcBorders>
              <w:top w:val="single" w:color="auto" w:sz="4" w:space="0"/>
              <w:left w:val="single" w:color="auto" w:sz="4" w:space="0"/>
              <w:bottom w:val="single" w:color="auto" w:sz="4" w:space="0"/>
              <w:right w:val="single" w:color="auto" w:sz="4" w:space="0"/>
            </w:tcBorders>
            <w:noWrap w:val="0"/>
            <w:vAlign w:val="center"/>
          </w:tcPr>
          <w:p w14:paraId="70B5C122">
            <w:pPr>
              <w:widowControl w:val="0"/>
              <w:wordWrap w:val="0"/>
              <w:adjustRightInd w:val="0"/>
              <w:snapToGrid w:val="0"/>
              <w:spacing w:line="400" w:lineRule="exact"/>
              <w:jc w:val="center"/>
              <w:rPr>
                <w:rFonts w:ascii="宋体" w:hAnsi="宋体" w:cs="宋体"/>
                <w:snapToGrid w:val="0"/>
                <w:color w:val="auto"/>
                <w:szCs w:val="21"/>
                <w:highlight w:val="none"/>
              </w:rPr>
            </w:pPr>
          </w:p>
        </w:tc>
        <w:tc>
          <w:tcPr>
            <w:tcW w:w="354" w:type="pct"/>
            <w:tcBorders>
              <w:top w:val="single" w:color="auto" w:sz="4" w:space="0"/>
              <w:left w:val="single" w:color="auto" w:sz="4" w:space="0"/>
              <w:bottom w:val="single" w:color="auto" w:sz="4" w:space="0"/>
              <w:right w:val="single" w:color="auto" w:sz="4" w:space="0"/>
            </w:tcBorders>
            <w:noWrap w:val="0"/>
            <w:vAlign w:val="center"/>
          </w:tcPr>
          <w:p w14:paraId="7ADDF38E">
            <w:pPr>
              <w:widowControl w:val="0"/>
              <w:wordWrap w:val="0"/>
              <w:adjustRightInd w:val="0"/>
              <w:snapToGrid w:val="0"/>
              <w:spacing w:line="400" w:lineRule="exact"/>
              <w:jc w:val="center"/>
              <w:rPr>
                <w:rFonts w:ascii="宋体" w:hAnsi="宋体" w:cs="宋体"/>
                <w:snapToGrid w:val="0"/>
                <w:color w:val="auto"/>
                <w:szCs w:val="21"/>
                <w:highlight w:val="none"/>
              </w:rPr>
            </w:pPr>
          </w:p>
        </w:tc>
      </w:tr>
    </w:tbl>
    <w:p w14:paraId="528177C0">
      <w:pPr>
        <w:widowControl w:val="0"/>
        <w:adjustRightInd w:val="0"/>
        <w:snapToGrid w:val="0"/>
        <w:spacing w:line="440" w:lineRule="exact"/>
        <w:jc w:val="center"/>
        <w:rPr>
          <w:rFonts w:ascii="宋体" w:hAnsi="宋体" w:cs="宋体"/>
          <w:b/>
          <w:bCs/>
          <w:snapToGrid w:val="0"/>
          <w:color w:val="auto"/>
          <w:sz w:val="30"/>
          <w:szCs w:val="30"/>
          <w:highlight w:val="none"/>
        </w:rPr>
      </w:pPr>
    </w:p>
    <w:p w14:paraId="52642F0A">
      <w:pPr>
        <w:pStyle w:val="2"/>
        <w:widowControl w:val="0"/>
        <w:ind w:firstLine="0"/>
        <w:jc w:val="both"/>
        <w:rPr>
          <w:rFonts w:ascii="宋体" w:hAnsi="宋体" w:eastAsia="宋体" w:cs="宋体"/>
          <w:color w:val="auto"/>
          <w:highlight w:val="none"/>
        </w:rPr>
      </w:pPr>
    </w:p>
    <w:p w14:paraId="6E7CBFF8">
      <w:pPr>
        <w:pStyle w:val="6"/>
        <w:spacing w:before="159" w:beforeLines="50" w:after="159" w:afterLines="50"/>
        <w:rPr>
          <w:color w:val="auto"/>
          <w:szCs w:val="30"/>
          <w:highlight w:val="none"/>
        </w:rPr>
      </w:pPr>
      <w:r>
        <w:rPr>
          <w:rFonts w:hint="eastAsia"/>
          <w:color w:val="auto"/>
          <w:szCs w:val="30"/>
          <w:highlight w:val="none"/>
        </w:rPr>
        <w:br w:type="page"/>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3"/>
      <w:r>
        <w:rPr>
          <w:rStyle w:val="56"/>
          <w:rFonts w:hint="eastAsia"/>
          <w:b/>
          <w:color w:val="auto"/>
          <w:highlight w:val="none"/>
        </w:rPr>
        <w:t>1.评标方法</w:t>
      </w:r>
    </w:p>
    <w:p w14:paraId="20984718">
      <w:pPr>
        <w:adjustRightIn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本次评标采用经评审最低投标价法。本项目按招标文件要求进行评审并推荐中标候选人。中标人的投标应当能满足招标文件的实质性要求，并且经评审的投标价格最低，但是投标价格低于成本的除外。</w:t>
      </w:r>
    </w:p>
    <w:p w14:paraId="188F0887">
      <w:pPr>
        <w:adjustRightIn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对满足招标文件实质性要求的投标文件，按照招标文件详细评审标准规定的价格调整方法对投标价格进行调整，并按调整后的投标价格（即经评审的最终投标价格）从低到高的顺序推荐中标候选人，但投标报价低于其成本的除外。即推荐经评审的最终投标价格由低到高排序第一的投标人为第一中标候选人，推荐经评审的最终投标价格由低到高排序第二的投标人为第二中标候选人，推荐经评审的最终投标价格由低到高排序第三的投标人为第三中标候选人。经评审的最终投标价格相同的，实际投标报价低的排先；经评审的最终投标价格和实际投标报价均相同的，则由评标委员会根据评审情况自行确定推荐中标候选人顺序，并将推荐理由写入评标报告中。</w:t>
      </w:r>
    </w:p>
    <w:p w14:paraId="24BF007F">
      <w:pPr>
        <w:pStyle w:val="6"/>
        <w:spacing w:before="159" w:beforeLines="50" w:after="159" w:afterLines="50"/>
        <w:ind w:firstLine="602" w:firstLineChars="200"/>
        <w:rPr>
          <w:rStyle w:val="56"/>
          <w:b/>
          <w:color w:val="auto"/>
          <w:highlight w:val="none"/>
        </w:rPr>
      </w:pPr>
      <w:bookmarkStart w:id="184" w:name="_Toc4287"/>
      <w:bookmarkStart w:id="185" w:name="_Toc52371660"/>
      <w:r>
        <w:rPr>
          <w:rStyle w:val="56"/>
          <w:rFonts w:hint="eastAsia"/>
          <w:b/>
          <w:color w:val="auto"/>
          <w:highlight w:val="none"/>
        </w:rPr>
        <w:t>2.评审标准</w:t>
      </w:r>
      <w:bookmarkEnd w:id="184"/>
      <w:bookmarkEnd w:id="185"/>
    </w:p>
    <w:p w14:paraId="3E911646">
      <w:pPr>
        <w:pStyle w:val="7"/>
        <w:spacing w:before="159" w:beforeLines="50" w:after="159" w:afterLines="50"/>
        <w:rPr>
          <w:color w:val="auto"/>
          <w:highlight w:val="none"/>
        </w:rPr>
      </w:pPr>
      <w:r>
        <w:rPr>
          <w:rFonts w:hint="eastAsia"/>
          <w:color w:val="auto"/>
          <w:highlight w:val="none"/>
        </w:rPr>
        <w:t>2.1 初步评审标准</w:t>
      </w:r>
    </w:p>
    <w:p w14:paraId="0AE37C3D">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20B83E08">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0CB1C1C3">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2.1.3 响应性评审标准：见评标办法前附表。</w:t>
      </w:r>
    </w:p>
    <w:p w14:paraId="13139B00">
      <w:pPr>
        <w:pStyle w:val="7"/>
        <w:spacing w:before="159" w:beforeLines="50" w:after="159" w:afterLines="50"/>
        <w:rPr>
          <w:color w:val="auto"/>
          <w:highlight w:val="none"/>
        </w:rPr>
      </w:pPr>
      <w:r>
        <w:rPr>
          <w:rFonts w:hint="eastAsia"/>
          <w:color w:val="auto"/>
          <w:highlight w:val="none"/>
        </w:rPr>
        <w:t>2.2 详细评审标准</w:t>
      </w:r>
    </w:p>
    <w:p w14:paraId="33C9EE2C">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2.2.1详细评审标准：见评标办法前附表。</w:t>
      </w:r>
    </w:p>
    <w:p w14:paraId="2D05829A">
      <w:pPr>
        <w:pStyle w:val="6"/>
        <w:spacing w:before="159" w:beforeLines="50" w:after="159" w:afterLines="50"/>
        <w:rPr>
          <w:rStyle w:val="56"/>
          <w:b/>
          <w:color w:val="auto"/>
          <w:highlight w:val="none"/>
        </w:rPr>
      </w:pPr>
      <w:bookmarkStart w:id="186" w:name="_Toc52371661"/>
      <w:bookmarkStart w:id="187" w:name="_Toc16468"/>
      <w:r>
        <w:rPr>
          <w:rStyle w:val="56"/>
          <w:rFonts w:hint="eastAsia"/>
          <w:b/>
          <w:color w:val="auto"/>
          <w:highlight w:val="none"/>
        </w:rPr>
        <w:t>3.评标程序</w:t>
      </w:r>
      <w:bookmarkEnd w:id="186"/>
      <w:bookmarkEnd w:id="187"/>
    </w:p>
    <w:p w14:paraId="650D427E">
      <w:pPr>
        <w:pStyle w:val="7"/>
        <w:spacing w:before="159" w:beforeLines="50" w:after="159" w:afterLines="50"/>
        <w:rPr>
          <w:color w:val="auto"/>
          <w:highlight w:val="none"/>
        </w:rPr>
      </w:pPr>
      <w:r>
        <w:rPr>
          <w:rFonts w:hint="eastAsia"/>
          <w:color w:val="auto"/>
          <w:highlight w:val="none"/>
        </w:rPr>
        <w:t>3.1 初步评审</w:t>
      </w:r>
    </w:p>
    <w:p w14:paraId="48A726A4">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评标委员会可以要求投标人提交第一章“投标人须知”规定的有关证明和证件的原件，以便核验。评标委员会依据本章第 2.1 款规定的标准对投标文件进行初步评审。有一项不符合评审标准的，评标委员会应当否决其投标。</w:t>
      </w:r>
    </w:p>
    <w:p w14:paraId="622BD512">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6089A92F">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3347867D">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14:paraId="1F12909C">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2842B476">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1D77E8C9">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100EE599">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（3）投标报价为各分项报价金额之和，投标报价与分项报价的合价不一致的，应以各分项合价累计数为准，修正投标报价；</w:t>
      </w:r>
    </w:p>
    <w:p w14:paraId="66ED572C">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（4）如果分项报价中存在缺漏项，则视为缺漏项价格已包含在其他分项报价之中。</w:t>
      </w:r>
    </w:p>
    <w:p w14:paraId="15C169BF">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评标委员会按照本条款第（1）～（4）项的投标报价修正原则修正投标报价。投标报价评分时，如果修正后的投标报价高于投标报价，以修正后的投标报价为准参与投标报价评分，如果修正后的投标报价不高于投标报价，以投标报价为准参与投标报价评分。确定中标价时，如果修正后的投标报价低于投标报价，则修正后的投标报价为中标价，如果修正后的投标报价不低于投标报价，则投标报价为中标价。</w:t>
      </w:r>
    </w:p>
    <w:p w14:paraId="1BD15862">
      <w:pPr>
        <w:pStyle w:val="7"/>
        <w:spacing w:before="159" w:beforeLines="50" w:after="159" w:afterLines="50"/>
        <w:rPr>
          <w:color w:val="auto"/>
          <w:highlight w:val="none"/>
        </w:rPr>
      </w:pPr>
      <w:r>
        <w:rPr>
          <w:rFonts w:hint="eastAsia"/>
          <w:color w:val="auto"/>
          <w:highlight w:val="none"/>
        </w:rPr>
        <w:t>3.2 详细评审</w:t>
      </w:r>
    </w:p>
    <w:p w14:paraId="3E4A49D2">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3.2.1 评标委员会按本章第 2.2 款规定的量化因素进行评审。</w:t>
      </w:r>
    </w:p>
    <w:p w14:paraId="3A1DFFFD">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3.2.2 经评审的最终投标价格计算保留小数点后两位，小数点后第三位“四舍五入”。</w:t>
      </w:r>
    </w:p>
    <w:p w14:paraId="5F2CCA4E">
      <w:pPr>
        <w:pStyle w:val="7"/>
        <w:spacing w:before="159" w:beforeLines="50" w:after="159" w:afterLines="50"/>
        <w:rPr>
          <w:color w:val="auto"/>
          <w:highlight w:val="none"/>
        </w:rPr>
      </w:pPr>
      <w:r>
        <w:rPr>
          <w:rFonts w:hint="eastAsia"/>
          <w:color w:val="auto"/>
          <w:highlight w:val="none"/>
        </w:rPr>
        <w:t>3.3 投标文件的澄清</w:t>
      </w:r>
    </w:p>
    <w:p w14:paraId="7DE5F122">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1B395D4">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14:paraId="36788B64">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14:paraId="7EA51562">
      <w:pPr>
        <w:pStyle w:val="7"/>
        <w:spacing w:before="159" w:beforeLines="50" w:after="159" w:afterLines="50"/>
        <w:rPr>
          <w:color w:val="auto"/>
          <w:highlight w:val="none"/>
        </w:rPr>
      </w:pPr>
      <w:r>
        <w:rPr>
          <w:rFonts w:hint="eastAsia"/>
          <w:color w:val="auto"/>
          <w:highlight w:val="none"/>
        </w:rPr>
        <w:t>3.4评标结果</w:t>
      </w:r>
    </w:p>
    <w:p w14:paraId="0FB0F387">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szCs w:val="24"/>
          <w:highlight w:val="none"/>
        </w:rPr>
        <w:t>3.4.1评标委员会按经评审的最终投标价格由低到高的顺序，依次推荐为第一中标候选人、第二中标候选人、第三中标候选人，选择第一中标候选人为中标人。</w:t>
      </w:r>
      <w:r>
        <w:rPr>
          <w:rFonts w:hint="eastAsia" w:ascii="宋体" w:hAnsi="宋体" w:cs="宋体"/>
          <w:color w:val="auto"/>
          <w:sz w:val="24"/>
          <w:highlight w:val="none"/>
        </w:rPr>
        <w:t>第一中标候选人放弃中标、或因不可抗力提出不能履行合同或招标人到生产制造场地进行考察时发现实际情况与投标文件不符，招标人可以确定第二中标候选人为中标人，以此类推。</w:t>
      </w:r>
    </w:p>
    <w:p w14:paraId="59F65D37">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3.4.2 评标委员会完成评标后，应当向招标人提交书面资格审查报告、评标报告和中标候选人名单。</w:t>
      </w:r>
    </w:p>
    <w:p w14:paraId="5AA037A5">
      <w:pPr>
        <w:adjustRightInd w:val="0"/>
        <w:spacing w:line="360" w:lineRule="auto"/>
        <w:ind w:firstLine="480" w:firstLineChars="200"/>
        <w:contextualSpacing/>
        <w:rPr>
          <w:rFonts w:ascii="宋体" w:hAnsi="宋体" w:cs="宋体"/>
          <w:color w:val="auto"/>
          <w:sz w:val="24"/>
          <w:szCs w:val="24"/>
          <w:highlight w:val="none"/>
        </w:rPr>
      </w:pPr>
    </w:p>
    <w:p w14:paraId="089E4FF4">
      <w:pPr>
        <w:pStyle w:val="7"/>
        <w:spacing w:before="159" w:beforeLines="50" w:after="159" w:afterLines="50"/>
        <w:rPr>
          <w:rFonts w:cs="宋体"/>
          <w:bCs/>
          <w:color w:val="auto"/>
          <w:sz w:val="24"/>
          <w:szCs w:val="24"/>
          <w:highlight w:val="none"/>
        </w:rPr>
      </w:pPr>
      <w:r>
        <w:rPr>
          <w:rFonts w:hint="eastAsia" w:cs="宋体"/>
          <w:bCs/>
          <w:color w:val="auto"/>
          <w:sz w:val="24"/>
          <w:szCs w:val="24"/>
          <w:highlight w:val="none"/>
        </w:rPr>
        <w:br w:type="page"/>
      </w:r>
      <w:r>
        <w:rPr>
          <w:rFonts w:hint="eastAsia" w:cs="宋体"/>
          <w:bCs/>
          <w:color w:val="auto"/>
          <w:sz w:val="24"/>
          <w:szCs w:val="24"/>
          <w:highlight w:val="none"/>
        </w:rPr>
        <w:t>附件：否决性条款</w:t>
      </w:r>
    </w:p>
    <w:p w14:paraId="672EBCF7">
      <w:pPr>
        <w:pStyle w:val="143"/>
        <w:spacing w:before="159" w:beforeLines="50" w:after="159" w:afterLines="50" w:line="360" w:lineRule="auto"/>
        <w:ind w:left="0"/>
        <w:jc w:val="center"/>
        <w:rPr>
          <w:rFonts w:hAnsi="宋体" w:cs="宋体"/>
          <w:b/>
          <w:bCs/>
          <w:color w:val="auto"/>
          <w:sz w:val="32"/>
          <w:szCs w:val="32"/>
          <w:highlight w:val="none"/>
        </w:rPr>
      </w:pPr>
      <w:r>
        <w:rPr>
          <w:rFonts w:hint="eastAsia" w:hAnsi="宋体" w:cs="宋体"/>
          <w:b/>
          <w:bCs/>
          <w:color w:val="auto"/>
          <w:sz w:val="32"/>
          <w:szCs w:val="32"/>
          <w:highlight w:val="none"/>
        </w:rPr>
        <w:t>否决性条款</w:t>
      </w:r>
    </w:p>
    <w:p w14:paraId="45EF7BF0">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所有潜在投标人或投标人。</w:t>
      </w:r>
    </w:p>
    <w:p w14:paraId="64965BB5">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一、开标时，出现下列情形之一的，拒收或否决其投标，不参与后续评标：</w:t>
      </w:r>
    </w:p>
    <w:p w14:paraId="2D7DF8F8">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1、电子投标文件未在投标截止时间前成功上传并保存在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cs="宋体"/>
          <w:color w:val="auto"/>
          <w:sz w:val="24"/>
          <w:szCs w:val="24"/>
          <w:highlight w:val="none"/>
        </w:rPr>
        <w:t>电子评标系统且取得回执的；</w:t>
      </w:r>
    </w:p>
    <w:p w14:paraId="36101FFB">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2、因投标人原因造成电子投标文件未解密或逾期解密的；</w:t>
      </w:r>
    </w:p>
    <w:p w14:paraId="340374B0">
      <w:pPr>
        <w:adjustRightIn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、电子投标文件未按招标文件要求进行加密的。</w:t>
      </w:r>
    </w:p>
    <w:p w14:paraId="05D7B134">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二、评标时，出现下列情形之一的，评标委员会应否决其投标：</w:t>
      </w:r>
    </w:p>
    <w:p w14:paraId="492454A6">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1、投标人名称与营业执照或资质证书不一致；</w:t>
      </w:r>
    </w:p>
    <w:p w14:paraId="1746E761">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2、投标文件格式不符合第五章“投标文件格式”的规定，或对其格式有删减。</w:t>
      </w:r>
    </w:p>
    <w:p w14:paraId="0D95607E">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3、未提供法定代表人（单位负责人）证明；或有法定代表人（单位负责人）委托代理人时，未提供授权委托书。</w:t>
      </w:r>
    </w:p>
    <w:p w14:paraId="23472E47">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4、投标文件的签字盖章不满足下列条件：</w:t>
      </w:r>
    </w:p>
    <w:p w14:paraId="30DD217D">
      <w:pPr>
        <w:adjustRightInd w:val="0"/>
        <w:snapToGrid/>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1）投标人应使用依法设立的电子认证服务机构签发的电子签章认证证书对电子投标文件进行电子签章。该电子签章与手写签名或者盖章具有同等的法律效力。</w:t>
      </w:r>
    </w:p>
    <w:p w14:paraId="3C4B14C1">
      <w:pPr>
        <w:adjustRightInd w:val="0"/>
        <w:snapToGrid/>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格式规定盖章的页面必须盖章（可以使用电子签章），规定法定代表人或授权委托人签字的页面必须签字或签章（可以使用电子签名）。由法定代表人签字的，应附法定代表人（单位负责人）身份证明，由代理人签字的，应附法定代表人（单位负责人）身份证明和授权委托书。法定代表人（单位负责人）身份证明和授权委托书应符合“第五章 投标文件格式”的规定。</w:t>
      </w:r>
    </w:p>
    <w:p w14:paraId="3DE037E6">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5、投标文件如有涂改、行间插字或删除，改动之处未由投标人的法定代表人（单位负责人）或其授权的代理人签字或盖单位章；</w:t>
      </w:r>
    </w:p>
    <w:p w14:paraId="5C52C4AA">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6、投标报价不满足以下任一条件：</w:t>
      </w:r>
    </w:p>
    <w:p w14:paraId="6183AC99">
      <w:pPr>
        <w:adjustRightInd w:val="0"/>
        <w:snapToGrid/>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1）投标人对相同</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提交唯一报价；</w:t>
      </w:r>
    </w:p>
    <w:p w14:paraId="32425F3E">
      <w:pPr>
        <w:adjustRightInd w:val="0"/>
        <w:snapToGrid/>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2）投标报价中的单价为综合单价；</w:t>
      </w:r>
    </w:p>
    <w:p w14:paraId="31F9D00F">
      <w:pPr>
        <w:adjustRightInd w:val="0"/>
        <w:snapToGrid/>
        <w:spacing w:line="360" w:lineRule="auto"/>
        <w:ind w:left="210" w:leftChars="1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3）投标人的总投标报价不得超过总价最高投标限价；</w:t>
      </w:r>
    </w:p>
    <w:p w14:paraId="42C73538">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合同供货</w:t>
      </w:r>
      <w:r>
        <w:rPr>
          <w:rFonts w:hint="eastAsia" w:ascii="宋体" w:hAnsi="宋体" w:cs="宋体"/>
          <w:color w:val="auto"/>
          <w:sz w:val="24"/>
          <w:szCs w:val="24"/>
          <w:highlight w:val="none"/>
        </w:rPr>
        <w:t>期不符合招标文件规定；</w:t>
      </w:r>
    </w:p>
    <w:p w14:paraId="11072132">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8、交货地点不符合招标文件规定；</w:t>
      </w:r>
    </w:p>
    <w:p w14:paraId="0B6AAD9A">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9、投标有效期不符合招标文件规定；</w:t>
      </w:r>
    </w:p>
    <w:p w14:paraId="257262C0">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10、未按招标文件要求提交投标保证金；</w:t>
      </w:r>
    </w:p>
    <w:p w14:paraId="540DDAA9">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11、质量保证期不符合招标文件规定；</w:t>
      </w:r>
    </w:p>
    <w:p w14:paraId="25F1D58F">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12、招标文件“第三章合同格式”条款中有负偏差项；</w:t>
      </w:r>
    </w:p>
    <w:p w14:paraId="01A18341">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13、招标文件“第二章用户需求书”条款中有负偏差项的；</w:t>
      </w:r>
    </w:p>
    <w:p w14:paraId="7F0ABE07">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14、评标委员会要求投标人提交第一章“投标人须知”规定的有关证明和证件的原件时，投标人未在规定时间内提交或提交的有关证明和证件的原件与投标文件不一致；</w:t>
      </w:r>
    </w:p>
    <w:p w14:paraId="2BA25F21">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15、评标委员会按第四章“评标办法”第3.1.3条款规定的原则要求投标人对投标报价进行修正，并要求投标人书面澄清确认时，投标人拒不澄清确认或不完全接受评标委员会要求其澄清确认的内容； </w:t>
      </w:r>
    </w:p>
    <w:p w14:paraId="7D1C37D3">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16、评标委员会按第四章“评标办法”第3.3条款规定要求投标人在规定时间内对投标文件澄清、说明或补正时，投标人未在规定时间内提交或拒绝提交澄清、说明或补正资料；</w:t>
      </w:r>
    </w:p>
    <w:p w14:paraId="097365B3">
      <w:pPr>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17、投标人不满足“投标人须为符合《中华人民共和国招标投标法》规定的独立法人或其他组织，按国家法律经营；具备有效的营业执照。”；</w:t>
      </w:r>
    </w:p>
    <w:p w14:paraId="736D0413">
      <w:pPr>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18、投标人不满足“</w:t>
      </w:r>
      <w:r>
        <w:rPr>
          <w:rFonts w:hint="eastAsia" w:ascii="宋体" w:hAnsi="宋体" w:eastAsia="宋体" w:cs="宋体"/>
          <w:color w:val="auto"/>
          <w:sz w:val="24"/>
          <w:szCs w:val="24"/>
          <w:highlight w:val="none"/>
        </w:rPr>
        <w:t>投标人须是主要投标货物（滤布行走</w:t>
      </w:r>
      <w:r>
        <w:rPr>
          <w:rFonts w:hint="eastAsia" w:ascii="宋体" w:hAnsi="宋体" w:eastAsia="宋体" w:cs="宋体"/>
          <w:color w:val="auto"/>
          <w:sz w:val="24"/>
          <w:szCs w:val="24"/>
          <w:highlight w:val="none"/>
          <w:lang w:val="en-US" w:eastAsia="zh-CN"/>
        </w:rPr>
        <w:t>板框</w:t>
      </w:r>
      <w:r>
        <w:rPr>
          <w:rFonts w:hint="eastAsia" w:ascii="宋体" w:hAnsi="宋体" w:eastAsia="宋体" w:cs="宋体"/>
          <w:color w:val="auto"/>
          <w:sz w:val="24"/>
          <w:szCs w:val="24"/>
          <w:highlight w:val="none"/>
        </w:rPr>
        <w:t>压滤机）的制造商，或主要投标货物（滤布行走</w:t>
      </w:r>
      <w:r>
        <w:rPr>
          <w:rFonts w:hint="eastAsia" w:ascii="宋体" w:hAnsi="宋体" w:eastAsia="宋体" w:cs="宋体"/>
          <w:color w:val="auto"/>
          <w:sz w:val="24"/>
          <w:szCs w:val="24"/>
          <w:highlight w:val="none"/>
          <w:lang w:val="en-US" w:eastAsia="zh-CN"/>
        </w:rPr>
        <w:t>板框</w:t>
      </w:r>
      <w:r>
        <w:rPr>
          <w:rFonts w:hint="eastAsia" w:ascii="宋体" w:hAnsi="宋体" w:eastAsia="宋体" w:cs="宋体"/>
          <w:color w:val="auto"/>
          <w:sz w:val="24"/>
          <w:szCs w:val="24"/>
          <w:highlight w:val="none"/>
        </w:rPr>
        <w:t>压滤机）制造商委托的代理商。</w:t>
      </w:r>
    </w:p>
    <w:p w14:paraId="422113AB">
      <w:pPr>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B282AAA">
      <w:pPr>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投标人为主要投标货物的制造商，则需要出具主要投标货物的制造商声明；如投标人为主要投标货物的代理商，则须同时提供由主要投标货物制造商出具的制造商声明以及承诺对主要投标货物的质量、售后服务等负连带责任的委托书（委托书需清晰反映委托主要投标货物的品牌和型号，有效期应延续到本次招标货物的质保期满为止）。</w:t>
      </w:r>
    </w:p>
    <w:p w14:paraId="5CCC7F85">
      <w:pPr>
        <w:adjustRightInd w:val="0"/>
        <w:snapToGrid/>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2、一个制造商对同一品牌同一型号的主要投标货物（滤布行走</w:t>
      </w:r>
      <w:r>
        <w:rPr>
          <w:rFonts w:hint="eastAsia" w:ascii="宋体" w:hAnsi="宋体" w:eastAsia="宋体" w:cs="宋体"/>
          <w:color w:val="auto"/>
          <w:sz w:val="24"/>
          <w:szCs w:val="24"/>
          <w:highlight w:val="none"/>
          <w:lang w:val="en-US" w:eastAsia="zh-CN"/>
        </w:rPr>
        <w:t>板框</w:t>
      </w:r>
      <w:r>
        <w:rPr>
          <w:rFonts w:hint="eastAsia" w:ascii="宋体" w:hAnsi="宋体" w:eastAsia="宋体" w:cs="宋体"/>
          <w:color w:val="auto"/>
          <w:sz w:val="24"/>
          <w:szCs w:val="24"/>
          <w:highlight w:val="none"/>
        </w:rPr>
        <w:t>压滤机），仅能委托一个代理商参加投标。</w:t>
      </w:r>
      <w:r>
        <w:rPr>
          <w:rFonts w:hint="eastAsia" w:ascii="宋体" w:hAnsi="宋体" w:cs="宋体"/>
          <w:color w:val="auto"/>
          <w:sz w:val="24"/>
          <w:szCs w:val="24"/>
          <w:highlight w:val="none"/>
          <w:lang w:eastAsia="zh-CN"/>
        </w:rPr>
        <w:t>”</w:t>
      </w:r>
    </w:p>
    <w:p w14:paraId="14C1A39B">
      <w:pPr>
        <w:widowControl w:val="0"/>
        <w:adjustRightInd w:val="0"/>
        <w:snapToGrid/>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主要投标货物（滤布行走</w:t>
      </w:r>
      <w:r>
        <w:rPr>
          <w:rFonts w:hint="eastAsia" w:ascii="宋体" w:hAnsi="宋体" w:eastAsia="宋体" w:cs="宋体"/>
          <w:color w:val="auto"/>
          <w:sz w:val="24"/>
          <w:szCs w:val="24"/>
          <w:highlight w:val="none"/>
          <w:lang w:val="en-US" w:eastAsia="zh-CN"/>
        </w:rPr>
        <w:t>板框</w:t>
      </w:r>
      <w:r>
        <w:rPr>
          <w:rFonts w:hint="eastAsia" w:ascii="宋体" w:hAnsi="宋体" w:eastAsia="宋体" w:cs="宋体"/>
          <w:color w:val="auto"/>
          <w:sz w:val="24"/>
          <w:szCs w:val="24"/>
          <w:highlight w:val="none"/>
        </w:rPr>
        <w:t>压滤机）的制造商</w:t>
      </w:r>
      <w:r>
        <w:rPr>
          <w:rFonts w:hint="eastAsia" w:ascii="宋体" w:hAnsi="宋体" w:cs="宋体"/>
          <w:color w:val="auto"/>
          <w:sz w:val="24"/>
          <w:szCs w:val="24"/>
          <w:highlight w:val="none"/>
        </w:rPr>
        <w:t>不满足“</w:t>
      </w:r>
      <w:r>
        <w:rPr>
          <w:rFonts w:hint="eastAsia" w:ascii="宋体" w:hAnsi="宋体" w:cs="宋体"/>
          <w:color w:val="auto"/>
          <w:sz w:val="24"/>
          <w:szCs w:val="24"/>
          <w:highlight w:val="none"/>
          <w:lang w:val="en-US" w:eastAsia="zh-CN"/>
        </w:rPr>
        <w:t>投标人具有自2021年1月1日（含2021年1月1日）至本项目招标公告发布之日止完成过单份类似项目业绩。</w:t>
      </w:r>
    </w:p>
    <w:p w14:paraId="7381C756">
      <w:pPr>
        <w:widowControl w:val="0"/>
        <w:adjustRightInd w:val="0"/>
        <w:snapToGrid/>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p>
    <w:p w14:paraId="0E2B3EEC">
      <w:pPr>
        <w:widowControl w:val="0"/>
        <w:adjustRightInd w:val="0"/>
        <w:snapToGrid/>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1、类似项目业绩是指供货内容包含本次拟投标品牌滤布行走板框压滤机的供应合同业绩。</w:t>
      </w:r>
    </w:p>
    <w:p w14:paraId="12C5BC59">
      <w:pPr>
        <w:widowControl w:val="0"/>
        <w:adjustRightInd w:val="0"/>
        <w:snapToGrid/>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2、供货业绩需同时提供合同、对应发票及设备使用质量合格证明材料（如验收报告、用户出具的证明等）的扫描件，业绩时间以供货发票开具时间为准。合同必须能反映滤布行走板框压滤机的供货内容</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rPr>
        <w:t>滤布行走全自动压滤机</w:t>
      </w:r>
      <w:r>
        <w:rPr>
          <w:rFonts w:hint="eastAsia" w:ascii="宋体" w:hAnsi="宋体" w:eastAsia="宋体" w:cs="宋体"/>
          <w:color w:val="auto"/>
          <w:sz w:val="24"/>
          <w:szCs w:val="24"/>
          <w:highlight w:val="none"/>
          <w:lang w:bidi="ar"/>
        </w:rPr>
        <w:t>的品牌</w:t>
      </w:r>
      <w:r>
        <w:rPr>
          <w:rFonts w:hint="eastAsia" w:ascii="宋体" w:hAnsi="宋体" w:cs="宋体"/>
          <w:color w:val="auto"/>
          <w:sz w:val="24"/>
          <w:szCs w:val="24"/>
          <w:highlight w:val="none"/>
          <w:lang w:val="en-US" w:eastAsia="zh-CN"/>
        </w:rPr>
        <w:t>及合同签订时间，如合同不能完全反映业绩要求的全部信息，需同时提供其他证明材料扫描件，所提供的扫描件须加盖投标人公章。若投标人在投标文件中提交虚假证明材料，评标委员会将否决其投标。</w:t>
      </w:r>
      <w:r>
        <w:rPr>
          <w:rFonts w:hint="eastAsia" w:ascii="宋体" w:hAnsi="宋体" w:cs="宋体"/>
          <w:color w:val="auto"/>
          <w:sz w:val="24"/>
          <w:szCs w:val="24"/>
          <w:highlight w:val="none"/>
        </w:rPr>
        <w:t>”</w:t>
      </w:r>
    </w:p>
    <w:p w14:paraId="63FEB15A">
      <w:pPr>
        <w:widowControl w:val="0"/>
        <w:adjustRightInd w:val="0"/>
        <w:snapToGri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、未提供招标人规定格式的“《投标人声明》”；</w:t>
      </w:r>
    </w:p>
    <w:p w14:paraId="16510825">
      <w:pPr>
        <w:adjustRightInd w:val="0"/>
        <w:snapToGri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、未提供招标人规定格式的“《投标人廉洁承诺书》”；</w:t>
      </w:r>
    </w:p>
    <w:p w14:paraId="41F6B9F5">
      <w:pPr>
        <w:adjustRightInd w:val="0"/>
        <w:snapToGri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、自本项目招标公告发布之日起至本项目投标截止日期止，投标人被纳入“失信联合惩戒名单”，“失信联合惩戒名单”以“信用广州”网站公布的“黑名单”为准；</w:t>
      </w:r>
    </w:p>
    <w:p w14:paraId="2030F058">
      <w:pPr>
        <w:adjustRightInd w:val="0"/>
        <w:snapToGri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、同一投标人提交两个或以上不同的投标文件或者投标报价，但招标文件要求提交备选投标的除外；</w:t>
      </w:r>
    </w:p>
    <w:p w14:paraId="1CC85FF6">
      <w:pPr>
        <w:pStyle w:val="41"/>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4</w:t>
      </w:r>
      <w:r>
        <w:rPr>
          <w:rFonts w:ascii="宋体" w:hAnsi="宋体" w:cs="宋体"/>
          <w:color w:val="auto"/>
          <w:sz w:val="24"/>
          <w:szCs w:val="24"/>
          <w:highlight w:val="none"/>
        </w:rPr>
        <w:t>、</w:t>
      </w:r>
      <w:r>
        <w:rPr>
          <w:rFonts w:hint="eastAsia" w:ascii="宋体" w:hAnsi="宋体" w:cs="宋体"/>
          <w:color w:val="auto"/>
          <w:sz w:val="24"/>
          <w:szCs w:val="24"/>
          <w:highlight w:val="none"/>
        </w:rPr>
        <w:t>评标委员会发现投标人的报价明显低于其他投标报价，使得其投标报价可能低于其个别成本的（如投标人的投标报价经核减后价格≤0），要求该投标人作出书面说明并提供相应的证明材料。投标人不能合理说明或者不能提供相应证明材料的</w:t>
      </w:r>
      <w:r>
        <w:rPr>
          <w:rFonts w:hint="eastAsia" w:ascii="宋体" w:hAnsi="宋体" w:cs="宋体"/>
          <w:color w:val="auto"/>
          <w:sz w:val="24"/>
          <w:szCs w:val="24"/>
          <w:highlight w:val="none"/>
          <w:lang w:eastAsia="zh-CN"/>
        </w:rPr>
        <w:t>。</w:t>
      </w:r>
    </w:p>
    <w:p w14:paraId="6295A54C">
      <w:pPr>
        <w:widowControl w:val="0"/>
        <w:adjustRightInd w:val="0"/>
        <w:snapToGrid w:val="0"/>
        <w:spacing w:line="360" w:lineRule="auto"/>
        <w:ind w:firstLine="480" w:firstLineChars="200"/>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25、投标人未按技术要求</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val="en-US" w:eastAsia="zh-CN"/>
        </w:rPr>
        <w:t>技术支持资料的</w:t>
      </w:r>
      <w:r>
        <w:rPr>
          <w:rFonts w:hint="eastAsia" w:ascii="宋体" w:hAnsi="宋体" w:cs="宋体"/>
          <w:color w:val="auto"/>
          <w:sz w:val="24"/>
          <w:szCs w:val="24"/>
          <w:highlight w:val="none"/>
        </w:rPr>
        <w:t>。</w:t>
      </w:r>
    </w:p>
    <w:p w14:paraId="20B9EEE7">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、投标人所提供的供货业绩证明资料中包含</w:t>
      </w:r>
      <w:r>
        <w:rPr>
          <w:rFonts w:hint="eastAsia" w:ascii="宋体" w:hAnsi="宋体" w:cs="宋体"/>
          <w:b/>
          <w:bCs/>
          <w:color w:val="auto"/>
          <w:sz w:val="24"/>
          <w:szCs w:val="24"/>
          <w:highlight w:val="none"/>
        </w:rPr>
        <w:t>红冲</w:t>
      </w:r>
      <w:r>
        <w:rPr>
          <w:rFonts w:hint="eastAsia" w:ascii="宋体" w:hAnsi="宋体" w:cs="宋体"/>
          <w:color w:val="auto"/>
          <w:sz w:val="24"/>
          <w:szCs w:val="24"/>
          <w:highlight w:val="none"/>
        </w:rPr>
        <w:t>或</w:t>
      </w:r>
      <w:r>
        <w:rPr>
          <w:rFonts w:hint="eastAsia" w:ascii="宋体" w:hAnsi="宋体" w:cs="宋体"/>
          <w:b/>
          <w:bCs/>
          <w:color w:val="auto"/>
          <w:sz w:val="24"/>
          <w:szCs w:val="24"/>
          <w:highlight w:val="none"/>
        </w:rPr>
        <w:t>作废</w:t>
      </w:r>
      <w:r>
        <w:rPr>
          <w:rFonts w:hint="eastAsia" w:ascii="宋体" w:hAnsi="宋体" w:cs="宋体"/>
          <w:color w:val="auto"/>
          <w:sz w:val="24"/>
          <w:szCs w:val="24"/>
          <w:highlight w:val="none"/>
        </w:rPr>
        <w:t>发票的；</w:t>
      </w:r>
    </w:p>
    <w:p w14:paraId="05E0056F">
      <w:pPr>
        <w:pStyle w:val="22"/>
        <w:widowControl/>
        <w:spacing w:line="360" w:lineRule="auto"/>
        <w:ind w:right="420" w:firstLine="480" w:firstLineChars="200"/>
        <w:jc w:val="left"/>
        <w:rPr>
          <w:rFonts w:hint="eastAsia" w:ascii="宋体" w:hAnsi="宋体" w:eastAsia="宋体" w:cs="宋体"/>
          <w:b/>
          <w:bCs/>
          <w:color w:val="auto"/>
          <w:sz w:val="24"/>
          <w:szCs w:val="24"/>
          <w:highlight w:val="none"/>
          <w:lang w:eastAsia="zh-CN"/>
        </w:rPr>
      </w:pPr>
      <w:r>
        <w:rPr>
          <w:rFonts w:hint="eastAsia" w:hAnsi="宋体" w:cs="宋体"/>
          <w:color w:val="auto"/>
          <w:sz w:val="24"/>
          <w:szCs w:val="24"/>
          <w:highlight w:val="none"/>
          <w:lang w:val="en-US" w:eastAsia="zh-CN"/>
        </w:rPr>
        <w:t>27</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投标人</w:t>
      </w:r>
      <w:r>
        <w:rPr>
          <w:rFonts w:hint="eastAsia" w:ascii="宋体" w:hAnsi="宋体" w:cs="宋体"/>
          <w:b/>
          <w:bCs/>
          <w:color w:val="auto"/>
          <w:sz w:val="24"/>
          <w:szCs w:val="24"/>
          <w:highlight w:val="none"/>
          <w:lang w:val="en-US" w:eastAsia="zh-CN"/>
        </w:rPr>
        <w:t>有</w:t>
      </w:r>
      <w:r>
        <w:rPr>
          <w:rFonts w:hint="eastAsia" w:ascii="宋体" w:hAnsi="宋体" w:cs="宋体"/>
          <w:b/>
          <w:bCs/>
          <w:color w:val="auto"/>
          <w:sz w:val="24"/>
          <w:szCs w:val="24"/>
          <w:highlight w:val="none"/>
        </w:rPr>
        <w:t>串通投标</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弄虚作假、</w:t>
      </w:r>
      <w:r>
        <w:rPr>
          <w:rFonts w:hint="eastAsia" w:ascii="宋体" w:hAnsi="宋体" w:cs="宋体"/>
          <w:b/>
          <w:bCs/>
          <w:color w:val="auto"/>
          <w:sz w:val="24"/>
          <w:szCs w:val="24"/>
          <w:highlight w:val="none"/>
        </w:rPr>
        <w:t>行贿等违法行为的</w:t>
      </w:r>
      <w:r>
        <w:rPr>
          <w:rFonts w:hint="eastAsia" w:hAnsi="宋体" w:cs="宋体"/>
          <w:b/>
          <w:bCs/>
          <w:color w:val="auto"/>
          <w:sz w:val="24"/>
          <w:szCs w:val="24"/>
          <w:highlight w:val="none"/>
          <w:lang w:eastAsia="zh-CN"/>
        </w:rPr>
        <w:t>；</w:t>
      </w:r>
    </w:p>
    <w:p w14:paraId="2ADDA030">
      <w:pPr>
        <w:pStyle w:val="22"/>
        <w:widowControl/>
        <w:spacing w:line="360" w:lineRule="auto"/>
        <w:ind w:right="420" w:firstLine="482" w:firstLineChars="200"/>
        <w:jc w:val="left"/>
        <w:rPr>
          <w:rFonts w:hint="default" w:eastAsia="宋体"/>
          <w:color w:val="auto"/>
          <w:highlight w:val="none"/>
          <w:lang w:val="en-US" w:eastAsia="zh-CN"/>
        </w:rPr>
      </w:pPr>
      <w:r>
        <w:rPr>
          <w:rFonts w:hint="eastAsia" w:hAnsi="宋体" w:cs="宋体"/>
          <w:b/>
          <w:bCs/>
          <w:color w:val="auto"/>
          <w:sz w:val="24"/>
          <w:szCs w:val="24"/>
          <w:highlight w:val="none"/>
          <w:lang w:val="en-US" w:eastAsia="zh-CN"/>
        </w:rPr>
        <w:t>28、两个（含两个）以上的投标人加密打包的电子投标文件电脑机器码一致的。</w:t>
      </w:r>
    </w:p>
    <w:p w14:paraId="068AFBC6">
      <w:pPr>
        <w:adjustRightInd w:val="0"/>
        <w:snapToGrid w:val="0"/>
        <w:spacing w:line="360" w:lineRule="auto"/>
        <w:ind w:firstLine="480" w:firstLineChars="200"/>
        <w:rPr>
          <w:rFonts w:ascii="宋体" w:hAnsi="Courier New"/>
          <w:color w:val="auto"/>
          <w:highlight w:val="none"/>
        </w:rPr>
      </w:pPr>
      <w:r>
        <w:rPr>
          <w:rFonts w:hint="eastAsia" w:ascii="宋体" w:hAnsi="宋体" w:cs="宋体"/>
          <w:color w:val="auto"/>
          <w:sz w:val="24"/>
          <w:szCs w:val="24"/>
          <w:highlight w:val="none"/>
        </w:rPr>
        <w:br w:type="page"/>
      </w:r>
    </w:p>
    <w:p w14:paraId="77575ECA">
      <w:pPr>
        <w:pStyle w:val="5"/>
        <w:rPr>
          <w:color w:val="auto"/>
          <w:highlight w:val="none"/>
        </w:rPr>
      </w:pPr>
      <w:bookmarkStart w:id="188" w:name="_Toc12931"/>
      <w:bookmarkStart w:id="189" w:name="_Toc17230"/>
      <w:bookmarkStart w:id="190" w:name="_Toc45532494"/>
      <w:bookmarkStart w:id="191" w:name="_Hlk47596351"/>
      <w:r>
        <w:rPr>
          <w:rFonts w:hint="eastAsia"/>
          <w:color w:val="auto"/>
          <w:highlight w:val="none"/>
        </w:rPr>
        <w:t xml:space="preserve">第五章 </w:t>
      </w:r>
      <w:bookmarkStart w:id="192" w:name="_Toc41723938"/>
      <w:bookmarkStart w:id="193" w:name="_Toc40762376"/>
      <w:bookmarkStart w:id="194" w:name="_Toc41884708"/>
      <w:bookmarkStart w:id="195" w:name="_Toc38947808"/>
      <w:bookmarkStart w:id="196" w:name="_Toc42313174"/>
      <w:r>
        <w:rPr>
          <w:rFonts w:hint="eastAsia"/>
          <w:color w:val="auto"/>
          <w:highlight w:val="none"/>
        </w:rPr>
        <w:t>投标文件格式</w:t>
      </w:r>
      <w:bookmarkEnd w:id="188"/>
      <w:bookmarkEnd w:id="189"/>
      <w:bookmarkEnd w:id="190"/>
      <w:bookmarkEnd w:id="192"/>
      <w:bookmarkEnd w:id="193"/>
      <w:bookmarkEnd w:id="194"/>
      <w:bookmarkEnd w:id="195"/>
      <w:bookmarkEnd w:id="196"/>
      <w:bookmarkStart w:id="197" w:name="_Toc24117394"/>
      <w:bookmarkStart w:id="198" w:name="_Toc50276168"/>
      <w:bookmarkStart w:id="199" w:name="_Toc98579013"/>
      <w:bookmarkStart w:id="200" w:name="_Toc98579071"/>
      <w:bookmarkStart w:id="201" w:name="_Toc40762378"/>
      <w:bookmarkStart w:id="202" w:name="_Toc101775134"/>
      <w:bookmarkStart w:id="203" w:name="_Toc101843134"/>
      <w:bookmarkStart w:id="204" w:name="_Toc42394675"/>
      <w:bookmarkStart w:id="205" w:name="_Toc41723939"/>
      <w:bookmarkStart w:id="206" w:name="_Toc175644396"/>
      <w:bookmarkStart w:id="207" w:name="_Toc98580295"/>
      <w:bookmarkStart w:id="208" w:name="_Toc41884710"/>
      <w:bookmarkStart w:id="209" w:name="_Toc41884709"/>
      <w:bookmarkStart w:id="210" w:name="_Toc40762377"/>
      <w:bookmarkStart w:id="211" w:name="_Toc42313176"/>
      <w:bookmarkStart w:id="212" w:name="_Toc98579612"/>
      <w:bookmarkStart w:id="213" w:name="_Toc38947810"/>
      <w:bookmarkStart w:id="214" w:name="_Toc42394676"/>
      <w:bookmarkStart w:id="215" w:name="_Toc38947809"/>
      <w:bookmarkStart w:id="216" w:name="_Toc42394519"/>
      <w:bookmarkStart w:id="217" w:name="_Toc42394520"/>
      <w:bookmarkStart w:id="218" w:name="_Toc42313175"/>
      <w:bookmarkStart w:id="219" w:name="_Toc175106977"/>
      <w:bookmarkStart w:id="220" w:name="_Toc50276167"/>
      <w:bookmarkStart w:id="221" w:name="_Toc101771381"/>
      <w:bookmarkStart w:id="222" w:name="_Toc41723940"/>
      <w:bookmarkStart w:id="223" w:name="_Toc101951272"/>
    </w:p>
    <w:bookmarkEnd w:id="191"/>
    <w:p w14:paraId="371EAAA3">
      <w:pPr>
        <w:ind w:firstLine="480" w:firstLineChars="200"/>
        <w:rPr>
          <w:rFonts w:ascii="宋体" w:hAnsi="宋体" w:cs="宋体"/>
          <w:color w:val="auto"/>
          <w:sz w:val="32"/>
          <w:szCs w:val="32"/>
          <w:highlight w:val="none"/>
        </w:rPr>
      </w:pPr>
      <w:r>
        <w:rPr>
          <w:rFonts w:hint="eastAsia" w:ascii="宋体" w:hAnsi="宋体" w:cs="宋体"/>
          <w:color w:val="auto"/>
          <w:sz w:val="24"/>
          <w:szCs w:val="24"/>
          <w:highlight w:val="none"/>
        </w:rPr>
        <w:t>投标文件包括但不限于以下组成内容，请按顺序制作，本章有提供格式文件的请按格式要求提交。</w:t>
      </w:r>
    </w:p>
    <w:bookmarkEnd w:id="197"/>
    <w:tbl>
      <w:tblPr>
        <w:tblStyle w:val="42"/>
        <w:tblW w:w="8424" w:type="dxa"/>
        <w:jc w:val="center"/>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03"/>
        <w:gridCol w:w="5365"/>
        <w:gridCol w:w="1956"/>
      </w:tblGrid>
      <w:tr w14:paraId="1624E8FF">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blHeader/>
          <w:jc w:val="center"/>
        </w:trPr>
        <w:tc>
          <w:tcPr>
            <w:tcW w:w="1103" w:type="dxa"/>
            <w:tcBorders>
              <w:bottom w:val="single" w:color="666666" w:sz="2" w:space="0"/>
              <w:right w:val="single" w:color="666666" w:sz="2" w:space="0"/>
            </w:tcBorders>
            <w:shd w:val="clear" w:color="auto" w:fill="FFFFFF"/>
            <w:noWrap w:val="0"/>
            <w:tcMar>
              <w:top w:w="38" w:type="dxa"/>
              <w:left w:w="38" w:type="dxa"/>
              <w:bottom w:w="34" w:type="dxa"/>
              <w:right w:w="34" w:type="dxa"/>
            </w:tcMar>
            <w:vAlign w:val="center"/>
          </w:tcPr>
          <w:p w14:paraId="3637210A">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5365"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14:paraId="02542C3D">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文件名称</w:t>
            </w:r>
          </w:p>
        </w:tc>
        <w:tc>
          <w:tcPr>
            <w:tcW w:w="1956" w:type="dxa"/>
            <w:tcBorders>
              <w:left w:val="single" w:color="666666" w:sz="2" w:space="0"/>
              <w:bottom w:val="single" w:color="666666" w:sz="2" w:space="0"/>
              <w:right w:val="single" w:color="666666" w:sz="2" w:space="0"/>
            </w:tcBorders>
            <w:shd w:val="clear" w:color="auto" w:fill="FFFFFF"/>
            <w:noWrap w:val="0"/>
            <w:tcMar>
              <w:top w:w="38" w:type="dxa"/>
              <w:left w:w="34" w:type="dxa"/>
              <w:bottom w:w="34" w:type="dxa"/>
              <w:right w:w="34" w:type="dxa"/>
            </w:tcMar>
            <w:vAlign w:val="center"/>
          </w:tcPr>
          <w:p w14:paraId="06AC2339">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盖章要求</w:t>
            </w:r>
          </w:p>
        </w:tc>
      </w:tr>
      <w:tr w14:paraId="41E12F4F">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69CA0DAF">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6E1F5C7C">
            <w:pPr>
              <w:rPr>
                <w:rFonts w:ascii="宋体" w:hAnsi="宋体" w:cs="宋体"/>
                <w:color w:val="auto"/>
                <w:sz w:val="24"/>
                <w:szCs w:val="24"/>
                <w:highlight w:val="none"/>
              </w:rPr>
            </w:pPr>
            <w:r>
              <w:rPr>
                <w:rFonts w:hint="eastAsia" w:ascii="宋体" w:hAnsi="宋体" w:cs="宋体"/>
                <w:color w:val="auto"/>
                <w:sz w:val="24"/>
                <w:szCs w:val="24"/>
                <w:highlight w:val="none"/>
              </w:rPr>
              <w:t>封面</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03A7E7B6">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52F8B272">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42CD2A6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67E636D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投标函</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3F3EEC1">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790E0266">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7884BE53">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135A943">
            <w:pPr>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法定代表人（单位负责人）身份证明（适用于无委托代理人的情况）</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A95F5B6">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21E812EF">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2B15116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2753C210">
            <w:pPr>
              <w:rPr>
                <w:rFonts w:ascii="宋体" w:hAnsi="宋体" w:cs="宋体"/>
                <w:color w:val="auto"/>
                <w:sz w:val="24"/>
                <w:szCs w:val="24"/>
                <w:highlight w:val="none"/>
              </w:rPr>
            </w:pPr>
            <w:r>
              <w:rPr>
                <w:rFonts w:hint="eastAsia" w:ascii="宋体" w:hAnsi="宋体" w:cs="宋体"/>
                <w:color w:val="auto"/>
                <w:sz w:val="24"/>
                <w:szCs w:val="24"/>
                <w:highlight w:val="none"/>
              </w:rPr>
              <w:t>授权委托书（适用于有委托代理人的情况）</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175F3A9">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7F938F3D">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21941D89">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6D7AD00">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投标保证金</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5FF7246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1A9B40D1">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1D576F06">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25BC17E2">
            <w:pPr>
              <w:spacing w:line="360" w:lineRule="auto"/>
              <w:rPr>
                <w:rFonts w:ascii="宋体" w:hAnsi="宋体" w:cs="宋体"/>
                <w:color w:val="auto"/>
                <w:sz w:val="24"/>
                <w:szCs w:val="24"/>
                <w:highlight w:val="none"/>
              </w:rPr>
            </w:pPr>
            <w:bookmarkStart w:id="224" w:name="_Hlk49765025"/>
            <w:r>
              <w:rPr>
                <w:rFonts w:hint="eastAsia" w:ascii="宋体" w:hAnsi="宋体" w:cs="宋体"/>
                <w:color w:val="auto"/>
                <w:sz w:val="24"/>
                <w:szCs w:val="24"/>
                <w:highlight w:val="none"/>
              </w:rPr>
              <w:t>商务和技术偏差表</w:t>
            </w:r>
            <w:bookmarkEnd w:id="224"/>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5475082">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52AB9EE1">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6E156841">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EE8EF38">
            <w:pP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投标人基本情况表</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C75476B">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电子盖章</w:t>
            </w:r>
          </w:p>
        </w:tc>
      </w:tr>
      <w:tr w14:paraId="1F548D79">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7C19687A">
            <w:pPr>
              <w:jc w:val="center"/>
              <w:rPr>
                <w:rFonts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92C19BE">
            <w:pPr>
              <w:rPr>
                <w:rFonts w:ascii="宋体" w:hAnsi="宋体" w:cs="宋体"/>
                <w:color w:val="auto"/>
                <w:sz w:val="24"/>
                <w:szCs w:val="24"/>
                <w:highlight w:val="none"/>
              </w:rPr>
            </w:pPr>
            <w:r>
              <w:rPr>
                <w:rFonts w:hint="eastAsia" w:ascii="宋体" w:hAnsi="宋体" w:cs="宋体"/>
                <w:color w:val="auto"/>
                <w:sz w:val="24"/>
                <w:szCs w:val="24"/>
                <w:highlight w:val="none"/>
              </w:rPr>
              <w:t>投标货物报价表及分项报价表</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3C0D682A">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08CCFC38">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09703A1B">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D6DA215">
            <w:pPr>
              <w:rPr>
                <w:rFonts w:ascii="宋体" w:hAnsi="宋体" w:cs="宋体"/>
                <w:color w:val="auto"/>
                <w:sz w:val="24"/>
                <w:szCs w:val="24"/>
                <w:highlight w:val="none"/>
              </w:rPr>
            </w:pPr>
            <w:r>
              <w:rPr>
                <w:rFonts w:hint="eastAsia" w:ascii="宋体" w:hAnsi="宋体" w:cs="宋体"/>
                <w:color w:val="auto"/>
                <w:sz w:val="24"/>
                <w:szCs w:val="24"/>
                <w:highlight w:val="none"/>
              </w:rPr>
              <w:t>资格审查资料</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DD79C37">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3A6AC0E7">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3F573187">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D6FA68C">
            <w:pPr>
              <w:rPr>
                <w:rFonts w:ascii="宋体" w:hAnsi="宋体" w:cs="宋体"/>
                <w:color w:val="auto"/>
                <w:sz w:val="24"/>
                <w:szCs w:val="24"/>
                <w:highlight w:val="none"/>
              </w:rPr>
            </w:pPr>
            <w:r>
              <w:rPr>
                <w:rFonts w:hint="eastAsia" w:ascii="宋体" w:hAnsi="宋体" w:cs="宋体"/>
                <w:color w:val="auto"/>
                <w:sz w:val="24"/>
                <w:szCs w:val="24"/>
                <w:highlight w:val="none"/>
              </w:rPr>
              <w:t>投标货物质量标准的详细描述</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0F41F2F6">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5406E921">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71A7F27E">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926E400">
            <w:pPr>
              <w:rPr>
                <w:rFonts w:ascii="宋体" w:hAnsi="宋体" w:cs="宋体"/>
                <w:color w:val="auto"/>
                <w:sz w:val="24"/>
                <w:szCs w:val="24"/>
                <w:highlight w:val="none"/>
              </w:rPr>
            </w:pPr>
            <w:r>
              <w:rPr>
                <w:rFonts w:hint="eastAsia" w:ascii="宋体" w:hAnsi="宋体" w:cs="宋体"/>
                <w:color w:val="auto"/>
                <w:sz w:val="24"/>
                <w:szCs w:val="24"/>
                <w:highlight w:val="none"/>
              </w:rPr>
              <w:t>技术支持资料</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C05F156">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5C2B17D5">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7311E6FC">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75D28AF5">
            <w:pPr>
              <w:rPr>
                <w:rFonts w:ascii="宋体" w:hAnsi="宋体" w:cs="宋体"/>
                <w:color w:val="auto"/>
                <w:sz w:val="24"/>
                <w:szCs w:val="24"/>
                <w:highlight w:val="none"/>
              </w:rPr>
            </w:pPr>
            <w:r>
              <w:rPr>
                <w:rFonts w:hint="eastAsia" w:ascii="宋体" w:hAnsi="宋体" w:cs="宋体"/>
                <w:color w:val="auto"/>
                <w:sz w:val="24"/>
                <w:szCs w:val="24"/>
                <w:highlight w:val="none"/>
              </w:rPr>
              <w:t>量化标准评审</w:t>
            </w:r>
            <w:r>
              <w:rPr>
                <w:rFonts w:ascii="宋体" w:hAnsi="宋体" w:cs="宋体"/>
                <w:color w:val="auto"/>
                <w:sz w:val="24"/>
                <w:szCs w:val="24"/>
                <w:highlight w:val="none"/>
              </w:rPr>
              <w:t>资料</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1352DD02">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5B5014BB">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61940541">
            <w:pPr>
              <w:jc w:val="center"/>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2A508B82">
            <w:pPr>
              <w:rPr>
                <w:rFonts w:ascii="宋体" w:hAnsi="宋体" w:cs="宋体"/>
                <w:color w:val="auto"/>
                <w:sz w:val="24"/>
                <w:szCs w:val="24"/>
                <w:highlight w:val="none"/>
              </w:rPr>
            </w:pPr>
            <w:r>
              <w:rPr>
                <w:rFonts w:hint="eastAsia" w:ascii="宋体" w:hAnsi="宋体" w:cs="宋体"/>
                <w:color w:val="auto"/>
                <w:sz w:val="24"/>
                <w:szCs w:val="24"/>
                <w:highlight w:val="none"/>
              </w:rPr>
              <w:t>相关服务计划</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39C294B7">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r w14:paraId="373B5DD4">
        <w:tblPrEx>
          <w:tblBorders>
            <w:top w:val="single" w:color="666666" w:sz="6" w:space="0"/>
            <w:left w:val="single" w:color="666666" w:sz="6" w:space="0"/>
            <w:bottom w:val="single" w:color="666666" w:sz="6"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103" w:type="dxa"/>
            <w:tcBorders>
              <w:top w:val="single" w:color="666666" w:sz="2" w:space="0"/>
              <w:bottom w:val="single" w:color="666666" w:sz="2" w:space="0"/>
              <w:right w:val="single" w:color="666666" w:sz="2" w:space="0"/>
            </w:tcBorders>
            <w:shd w:val="clear" w:color="auto" w:fill="FFFFFF"/>
            <w:noWrap w:val="0"/>
            <w:tcMar>
              <w:top w:w="34" w:type="dxa"/>
              <w:left w:w="38" w:type="dxa"/>
              <w:bottom w:w="34" w:type="dxa"/>
              <w:right w:w="34" w:type="dxa"/>
            </w:tcMar>
            <w:vAlign w:val="center"/>
          </w:tcPr>
          <w:p w14:paraId="6A0769C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365"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7520C31">
            <w:pPr>
              <w:rPr>
                <w:rFonts w:ascii="宋体" w:hAnsi="宋体" w:cs="宋体"/>
                <w:color w:val="auto"/>
                <w:sz w:val="24"/>
                <w:szCs w:val="24"/>
                <w:highlight w:val="none"/>
              </w:rPr>
            </w:pPr>
            <w:r>
              <w:rPr>
                <w:rFonts w:hint="eastAsia" w:ascii="宋体" w:hAnsi="宋体" w:cs="宋体"/>
                <w:color w:val="auto"/>
                <w:sz w:val="24"/>
                <w:szCs w:val="24"/>
                <w:highlight w:val="none"/>
              </w:rPr>
              <w:t>其他资料</w:t>
            </w:r>
          </w:p>
        </w:tc>
        <w:tc>
          <w:tcPr>
            <w:tcW w:w="1956" w:type="dxa"/>
            <w:tcBorders>
              <w:top w:val="single" w:color="666666" w:sz="2" w:space="0"/>
              <w:left w:val="single" w:color="666666" w:sz="2" w:space="0"/>
              <w:bottom w:val="single" w:color="666666" w:sz="2" w:space="0"/>
              <w:right w:val="single" w:color="666666" w:sz="2" w:space="0"/>
            </w:tcBorders>
            <w:shd w:val="clear" w:color="auto" w:fill="FFFFFF"/>
            <w:noWrap w:val="0"/>
            <w:tcMar>
              <w:top w:w="34" w:type="dxa"/>
              <w:left w:w="34" w:type="dxa"/>
              <w:bottom w:w="34" w:type="dxa"/>
              <w:right w:w="34" w:type="dxa"/>
            </w:tcMar>
            <w:vAlign w:val="center"/>
          </w:tcPr>
          <w:p w14:paraId="4BFA8B5A">
            <w:pPr>
              <w:jc w:val="center"/>
              <w:rPr>
                <w:rFonts w:ascii="宋体" w:hAnsi="宋体" w:cs="宋体"/>
                <w:color w:val="auto"/>
                <w:sz w:val="24"/>
                <w:szCs w:val="24"/>
                <w:highlight w:val="none"/>
              </w:rPr>
            </w:pPr>
            <w:r>
              <w:rPr>
                <w:rFonts w:hint="eastAsia" w:ascii="宋体" w:hAnsi="宋体" w:cs="宋体"/>
                <w:color w:val="auto"/>
                <w:sz w:val="24"/>
                <w:szCs w:val="24"/>
                <w:highlight w:val="none"/>
              </w:rPr>
              <w:t>电子盖章</w:t>
            </w:r>
          </w:p>
        </w:tc>
      </w:tr>
    </w:tbl>
    <w:p w14:paraId="26D8FEB5">
      <w:pPr>
        <w:rPr>
          <w:rFonts w:ascii="宋体" w:hAnsi="宋体" w:cs="宋体"/>
          <w:color w:val="auto"/>
          <w:sz w:val="24"/>
          <w:szCs w:val="24"/>
          <w:highlight w:val="none"/>
        </w:rPr>
      </w:pPr>
      <w:bookmarkStart w:id="225" w:name="_Toc256000013"/>
    </w:p>
    <w:p w14:paraId="4B42BE7D">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0BFFD455">
      <w:pPr>
        <w:pStyle w:val="6"/>
        <w:jc w:val="center"/>
        <w:rPr>
          <w:color w:val="auto"/>
          <w:highlight w:val="none"/>
        </w:rPr>
      </w:pPr>
      <w:r>
        <w:rPr>
          <w:rFonts w:hint="eastAsia"/>
          <w:color w:val="auto"/>
          <w:highlight w:val="none"/>
        </w:rPr>
        <w:t>封  面</w:t>
      </w:r>
      <w:bookmarkEnd w:id="225"/>
    </w:p>
    <w:p w14:paraId="41EA7653">
      <w:pPr>
        <w:pStyle w:val="170"/>
        <w:spacing w:after="227"/>
        <w:ind w:firstLine="560"/>
        <w:jc w:val="center"/>
        <w:rPr>
          <w:rFonts w:hint="eastAsia" w:ascii="宋体" w:hAnsi="宋体" w:eastAsia="宋体" w:cs="宋体"/>
          <w:color w:val="auto"/>
          <w:highlight w:val="none"/>
          <w:lang w:eastAsia="zh-CN"/>
        </w:rPr>
      </w:pPr>
      <w:r>
        <w:rPr>
          <w:rFonts w:hint="eastAsia" w:ascii="宋体" w:hAnsi="宋体" w:cs="Arial"/>
          <w:b/>
          <w:color w:val="auto"/>
          <w:kern w:val="0"/>
          <w:sz w:val="40"/>
          <w:szCs w:val="44"/>
          <w:highlight w:val="none"/>
          <w:lang w:eastAsia="zh-CN"/>
        </w:rPr>
        <w:t>广州市自来水有限公司南洲水厂排泥水处理系统建设工程污泥脱水集成设备采购公开招标项目</w:t>
      </w:r>
    </w:p>
    <w:p w14:paraId="5FA4C97B">
      <w:pPr>
        <w:pStyle w:val="170"/>
        <w:spacing w:after="227"/>
        <w:ind w:firstLine="560"/>
        <w:jc w:val="both"/>
        <w:rPr>
          <w:rFonts w:ascii="宋体" w:hAnsi="宋体" w:cs="宋体"/>
          <w:color w:val="auto"/>
          <w:highlight w:val="none"/>
          <w:lang w:eastAsia="zh-CN"/>
        </w:rPr>
      </w:pPr>
      <w:r>
        <w:rPr>
          <w:rFonts w:hint="eastAsia" w:ascii="宋体" w:hAnsi="宋体" w:cs="宋体"/>
          <w:color w:val="auto"/>
          <w:highlight w:val="none"/>
          <w:lang w:eastAsia="zh-CN"/>
        </w:rPr>
        <w:t> </w:t>
      </w:r>
    </w:p>
    <w:p w14:paraId="499E99CC">
      <w:pPr>
        <w:pStyle w:val="170"/>
        <w:spacing w:after="227"/>
        <w:ind w:firstLine="560"/>
        <w:jc w:val="both"/>
        <w:rPr>
          <w:rFonts w:ascii="宋体" w:hAnsi="宋体" w:cs="宋体"/>
          <w:color w:val="auto"/>
          <w:highlight w:val="none"/>
          <w:lang w:eastAsia="zh-CN"/>
        </w:rPr>
      </w:pPr>
      <w:r>
        <w:rPr>
          <w:rFonts w:hint="eastAsia" w:ascii="宋体" w:hAnsi="宋体" w:cs="宋体"/>
          <w:color w:val="auto"/>
          <w:highlight w:val="none"/>
          <w:lang w:eastAsia="zh-CN"/>
        </w:rPr>
        <w:t> </w:t>
      </w:r>
    </w:p>
    <w:p w14:paraId="2C590F98">
      <w:pPr>
        <w:pStyle w:val="170"/>
        <w:spacing w:after="227"/>
        <w:ind w:firstLine="560"/>
        <w:jc w:val="both"/>
        <w:rPr>
          <w:rFonts w:ascii="宋体" w:hAnsi="宋体" w:cs="宋体"/>
          <w:color w:val="auto"/>
          <w:highlight w:val="none"/>
          <w:lang w:eastAsia="zh-CN"/>
        </w:rPr>
      </w:pPr>
      <w:r>
        <w:rPr>
          <w:rFonts w:hint="eastAsia" w:ascii="宋体" w:hAnsi="宋体" w:cs="宋体"/>
          <w:color w:val="auto"/>
          <w:highlight w:val="none"/>
          <w:lang w:eastAsia="zh-CN"/>
        </w:rPr>
        <w:t> </w:t>
      </w:r>
    </w:p>
    <w:p w14:paraId="6DD5E81D">
      <w:pPr>
        <w:pStyle w:val="170"/>
        <w:spacing w:after="227"/>
        <w:ind w:firstLine="560"/>
        <w:jc w:val="both"/>
        <w:rPr>
          <w:rFonts w:ascii="宋体" w:hAnsi="宋体" w:cs="宋体"/>
          <w:color w:val="auto"/>
          <w:highlight w:val="none"/>
          <w:lang w:eastAsia="zh-CN"/>
        </w:rPr>
      </w:pPr>
      <w:r>
        <w:rPr>
          <w:rFonts w:hint="eastAsia" w:ascii="宋体" w:hAnsi="宋体" w:cs="宋体"/>
          <w:color w:val="auto"/>
          <w:highlight w:val="none"/>
          <w:lang w:eastAsia="zh-CN"/>
        </w:rPr>
        <w:t> </w:t>
      </w:r>
    </w:p>
    <w:p w14:paraId="1C8A8230">
      <w:pPr>
        <w:pStyle w:val="170"/>
        <w:spacing w:after="227"/>
        <w:ind w:firstLine="560"/>
        <w:jc w:val="center"/>
        <w:rPr>
          <w:rFonts w:ascii="宋体" w:hAnsi="宋体" w:cs="宋体"/>
          <w:color w:val="auto"/>
          <w:highlight w:val="none"/>
          <w:lang w:eastAsia="zh-CN"/>
        </w:rPr>
      </w:pPr>
      <w:r>
        <w:rPr>
          <w:rStyle w:val="75"/>
          <w:rFonts w:hint="eastAsia" w:ascii="宋体" w:hAnsi="宋体" w:cs="宋体"/>
          <w:b/>
          <w:bCs/>
          <w:color w:val="auto"/>
          <w:sz w:val="44"/>
          <w:szCs w:val="44"/>
          <w:highlight w:val="none"/>
          <w:lang w:eastAsia="zh-CN"/>
        </w:rPr>
        <w:t>投标文件</w:t>
      </w:r>
    </w:p>
    <w:p w14:paraId="502500B2">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59503780">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12BDB72E">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6AE65C5C">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7185BEBB">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42628825">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3E8B90B4">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481E684E">
      <w:pPr>
        <w:pStyle w:val="170"/>
        <w:spacing w:after="227"/>
        <w:ind w:firstLine="560"/>
        <w:jc w:val="center"/>
        <w:rPr>
          <w:rFonts w:ascii="宋体" w:hAnsi="宋体" w:cs="宋体"/>
          <w:color w:val="auto"/>
          <w:highlight w:val="none"/>
          <w:lang w:eastAsia="zh-CN"/>
        </w:rPr>
      </w:pPr>
      <w:r>
        <w:rPr>
          <w:rStyle w:val="75"/>
          <w:rFonts w:hint="eastAsia" w:ascii="宋体" w:hAnsi="宋体" w:cs="宋体"/>
          <w:color w:val="auto"/>
          <w:sz w:val="28"/>
          <w:szCs w:val="28"/>
          <w:highlight w:val="none"/>
          <w:lang w:eastAsia="zh-CN"/>
        </w:rPr>
        <w:t>投标单位：___________________________</w:t>
      </w:r>
    </w:p>
    <w:p w14:paraId="10F746BD">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6FE7D058">
      <w:pPr>
        <w:pStyle w:val="170"/>
        <w:spacing w:after="227"/>
        <w:ind w:firstLine="560"/>
        <w:jc w:val="center"/>
        <w:rPr>
          <w:rFonts w:ascii="宋体" w:hAnsi="宋体" w:cs="宋体"/>
          <w:color w:val="auto"/>
          <w:highlight w:val="none"/>
          <w:lang w:eastAsia="zh-CN"/>
        </w:rPr>
      </w:pPr>
      <w:r>
        <w:rPr>
          <w:rFonts w:hint="eastAsia" w:ascii="宋体" w:hAnsi="宋体" w:cs="宋体"/>
          <w:color w:val="auto"/>
          <w:highlight w:val="none"/>
          <w:lang w:eastAsia="zh-CN"/>
        </w:rPr>
        <w:t> </w:t>
      </w:r>
    </w:p>
    <w:p w14:paraId="100BAE7F">
      <w:pPr>
        <w:jc w:val="center"/>
        <w:rPr>
          <w:rStyle w:val="75"/>
          <w:rFonts w:ascii="宋体" w:hAnsi="宋体" w:cs="宋体"/>
          <w:color w:val="auto"/>
          <w:sz w:val="28"/>
          <w:szCs w:val="28"/>
          <w:highlight w:val="none"/>
        </w:rPr>
      </w:pPr>
      <w:r>
        <w:rPr>
          <w:rStyle w:val="75"/>
          <w:rFonts w:hint="eastAsia" w:ascii="宋体" w:hAnsi="宋体" w:cs="宋体"/>
          <w:color w:val="auto"/>
          <w:sz w:val="28"/>
          <w:szCs w:val="28"/>
          <w:highlight w:val="none"/>
        </w:rPr>
        <w:t>__________年________月________日</w:t>
      </w:r>
    </w:p>
    <w:p w14:paraId="1C476266">
      <w:pPr>
        <w:pStyle w:val="6"/>
        <w:jc w:val="center"/>
        <w:rPr>
          <w:rFonts w:hint="eastAsia"/>
          <w:color w:val="auto"/>
          <w:highlight w:val="none"/>
        </w:rPr>
      </w:pPr>
    </w:p>
    <w:p w14:paraId="4E9896A9">
      <w:pPr>
        <w:pStyle w:val="6"/>
        <w:jc w:val="center"/>
        <w:rPr>
          <w:color w:val="auto"/>
          <w:sz w:val="24"/>
          <w:szCs w:val="24"/>
          <w:highlight w:val="none"/>
          <w:u w:val="single"/>
        </w:rPr>
      </w:pPr>
      <w:r>
        <w:rPr>
          <w:rFonts w:hint="eastAsia"/>
          <w:color w:val="auto"/>
          <w:highlight w:val="none"/>
        </w:rPr>
        <w:t>投标函</w:t>
      </w:r>
    </w:p>
    <w:p w14:paraId="55E76741">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广州市自来水有限公司：</w:t>
      </w:r>
    </w:p>
    <w:p w14:paraId="7B03D89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b w:val="0"/>
          <w:color w:val="auto"/>
          <w:kern w:val="0"/>
          <w:sz w:val="24"/>
          <w:szCs w:val="24"/>
          <w:highlight w:val="none"/>
          <w:u w:val="single"/>
          <w:lang w:eastAsia="zh-CN"/>
        </w:rPr>
        <w:t>广州市自来水有限公司南洲水厂排泥水处理系统建设工程污泥脱水集成设备采购公开招标项目</w:t>
      </w:r>
      <w:r>
        <w:rPr>
          <w:rFonts w:hint="eastAsia" w:ascii="宋体" w:hAnsi="宋体" w:cs="宋体"/>
          <w:color w:val="auto"/>
          <w:sz w:val="24"/>
          <w:szCs w:val="24"/>
          <w:highlight w:val="none"/>
        </w:rPr>
        <w:t>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）的投标总报价（其中，增值税税率为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）提供</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设备</w:t>
      </w:r>
      <w:r>
        <w:rPr>
          <w:rFonts w:hint="eastAsia" w:ascii="宋体" w:hAnsi="宋体" w:cs="宋体"/>
          <w:color w:val="auto"/>
          <w:sz w:val="24"/>
          <w:szCs w:val="24"/>
          <w:highlight w:val="none"/>
          <w:u w:val="single"/>
        </w:rPr>
        <w:t>名称及相关服务）</w:t>
      </w:r>
      <w:r>
        <w:rPr>
          <w:rFonts w:hint="eastAsia" w:ascii="宋体" w:hAnsi="宋体" w:cs="宋体"/>
          <w:color w:val="auto"/>
          <w:sz w:val="24"/>
          <w:szCs w:val="24"/>
          <w:highlight w:val="none"/>
        </w:rPr>
        <w:t>，并按合同约定履行义务。</w:t>
      </w:r>
    </w:p>
    <w:p w14:paraId="732BAD0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我方的投标文件包括下列内容：</w:t>
      </w:r>
    </w:p>
    <w:p w14:paraId="6CBF55AA">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封面</w:t>
      </w:r>
      <w:r>
        <w:rPr>
          <w:rFonts w:hint="eastAsia" w:ascii="宋体" w:hAnsi="宋体" w:eastAsia="宋体" w:cs="宋体"/>
          <w:color w:val="auto"/>
          <w:sz w:val="24"/>
          <w:szCs w:val="24"/>
          <w:highlight w:val="none"/>
        </w:rPr>
        <w:t>；</w:t>
      </w:r>
    </w:p>
    <w:p w14:paraId="26BB897C">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）投标函；</w:t>
      </w:r>
    </w:p>
    <w:p w14:paraId="1696DFC9">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）法定代表人（单位负责人）身份证明；</w:t>
      </w:r>
    </w:p>
    <w:p w14:paraId="24C6289F">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）授权委托书（</w:t>
      </w:r>
      <w:r>
        <w:rPr>
          <w:rFonts w:hint="eastAsia" w:ascii="宋体" w:hAnsi="宋体" w:eastAsia="宋体" w:cs="宋体"/>
          <w:color w:val="auto"/>
          <w:sz w:val="24"/>
          <w:szCs w:val="24"/>
          <w:highlight w:val="none"/>
          <w:lang w:val="en-US" w:eastAsia="zh-CN"/>
        </w:rPr>
        <w:t>适用于委托代理人的情况</w:t>
      </w:r>
      <w:r>
        <w:rPr>
          <w:rFonts w:hint="eastAsia" w:ascii="宋体" w:hAnsi="宋体" w:eastAsia="宋体" w:cs="宋体"/>
          <w:color w:val="auto"/>
          <w:sz w:val="24"/>
          <w:szCs w:val="24"/>
          <w:highlight w:val="none"/>
        </w:rPr>
        <w:t>）；</w:t>
      </w:r>
    </w:p>
    <w:p w14:paraId="4682709F">
      <w:pPr>
        <w:widowControl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投标保证金（如有）；</w:t>
      </w:r>
    </w:p>
    <w:p w14:paraId="23347917">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）商务和技术偏差表；</w:t>
      </w:r>
    </w:p>
    <w:p w14:paraId="59D180A0">
      <w:pPr>
        <w:widowControl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7）投标人基本情况表；</w:t>
      </w:r>
    </w:p>
    <w:p w14:paraId="2BEE467D">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）投标货物报价表及分项报价表；</w:t>
      </w:r>
    </w:p>
    <w:p w14:paraId="6254C786">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）资格审查资料；</w:t>
      </w:r>
    </w:p>
    <w:p w14:paraId="2B500AE4">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）投标货物质量标准的详细描述；</w:t>
      </w:r>
    </w:p>
    <w:p w14:paraId="490872BB">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）技术支持资料；</w:t>
      </w:r>
    </w:p>
    <w:p w14:paraId="6734B486">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）量化标准评审资料；</w:t>
      </w:r>
    </w:p>
    <w:p w14:paraId="689FCF6C">
      <w:pPr>
        <w:widowControl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）相关服务计划；</w:t>
      </w:r>
    </w:p>
    <w:p w14:paraId="265172E9">
      <w:pPr>
        <w:widowControl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其他资料。</w:t>
      </w:r>
    </w:p>
    <w:p w14:paraId="52F846C0">
      <w:pPr>
        <w:pStyle w:val="2"/>
        <w:rPr>
          <w:rFonts w:ascii="宋体" w:hAnsi="宋体" w:eastAsia="宋体" w:cs="宋体"/>
          <w:color w:val="auto"/>
          <w:highlight w:val="none"/>
        </w:rPr>
      </w:pPr>
      <w:r>
        <w:rPr>
          <w:rFonts w:hint="eastAsia" w:ascii="宋体" w:hAnsi="宋体" w:eastAsia="宋体" w:cs="宋体"/>
          <w:color w:val="auto"/>
          <w:sz w:val="24"/>
          <w:highlight w:val="none"/>
        </w:rPr>
        <w:t>……</w:t>
      </w:r>
    </w:p>
    <w:p w14:paraId="58B8A2F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14:paraId="564801E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3．我方承诺除商务和技术偏差表列出的偏差外，我方响应招标文件的全部要求。</w:t>
      </w:r>
    </w:p>
    <w:p w14:paraId="0923D58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4．我方承诺在招标文件规定的投标有效期内不撤销投标文件。</w:t>
      </w:r>
    </w:p>
    <w:p w14:paraId="40A9445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5．如我方中标，我方承诺：</w:t>
      </w:r>
    </w:p>
    <w:p w14:paraId="00D0679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14:paraId="5435B4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14:paraId="1290948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（3）按照招标文件要求提交履约保证金；</w:t>
      </w:r>
    </w:p>
    <w:p w14:paraId="1C3D81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（4）在合同约定的期限内完成合同规定的全部义务。</w:t>
      </w:r>
    </w:p>
    <w:p w14:paraId="2324274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 我方在此声明，所递交的投标文件及有关资料内容完整、真实和准确，且不存在第一章“投标人须知”第 1.3.4 项规定的任何一种情形。</w:t>
      </w:r>
    </w:p>
    <w:p w14:paraId="4D04BED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7．我方承诺</w:t>
      </w:r>
      <w:r>
        <w:rPr>
          <w:rFonts w:hint="eastAsia" w:ascii="宋体" w:hAnsi="宋体" w:cs="宋体"/>
          <w:color w:val="auto"/>
          <w:sz w:val="24"/>
          <w:highlight w:val="none"/>
        </w:rPr>
        <w:t>投标有效期为</w:t>
      </w:r>
      <w:r>
        <w:rPr>
          <w:rFonts w:hint="eastAsia" w:ascii="宋体" w:hAnsi="宋体" w:cs="宋体"/>
          <w:color w:val="auto"/>
          <w:sz w:val="24"/>
          <w:szCs w:val="24"/>
          <w:highlight w:val="none"/>
        </w:rPr>
        <w:t>自投标截止之日起</w:t>
      </w:r>
      <w:r>
        <w:rPr>
          <w:rFonts w:hint="eastAsia" w:ascii="宋体" w:hAnsi="宋体" w:cs="宋体"/>
          <w:color w:val="auto"/>
          <w:sz w:val="24"/>
          <w:highlight w:val="none"/>
        </w:rPr>
        <w:t>90日</w:t>
      </w:r>
      <w:r>
        <w:rPr>
          <w:rFonts w:hint="eastAsia" w:ascii="宋体" w:hAnsi="宋体" w:cs="宋体"/>
          <w:color w:val="auto"/>
          <w:sz w:val="24"/>
          <w:szCs w:val="24"/>
          <w:highlight w:val="none"/>
        </w:rPr>
        <w:t>。</w:t>
      </w:r>
    </w:p>
    <w:p w14:paraId="4C4F8D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8. </w:t>
      </w:r>
      <w:r>
        <w:rPr>
          <w:rFonts w:hint="eastAsia" w:ascii="宋体" w:hAnsi="宋体" w:cs="宋体"/>
          <w:color w:val="auto"/>
          <w:sz w:val="24"/>
          <w:highlight w:val="none"/>
        </w:rPr>
        <w:t>我方承诺完全满足招标文件要求</w:t>
      </w:r>
      <w:r>
        <w:rPr>
          <w:rFonts w:hint="eastAsia" w:ascii="宋体" w:hAnsi="宋体" w:cs="宋体"/>
          <w:color w:val="auto"/>
          <w:sz w:val="24"/>
          <w:highlight w:val="none"/>
          <w:lang w:val="en-US" w:eastAsia="zh-CN"/>
        </w:rPr>
        <w:t>的交货地点进行供货；</w:t>
      </w:r>
      <w:r>
        <w:rPr>
          <w:rFonts w:hint="eastAsia" w:hAnsi="宋体" w:cs="宋体"/>
          <w:color w:val="auto"/>
          <w:sz w:val="24"/>
          <w:szCs w:val="24"/>
          <w:highlight w:val="none"/>
          <w:lang w:eastAsia="zh-CN"/>
        </w:rPr>
        <w:t>供货期</w:t>
      </w:r>
      <w:r>
        <w:rPr>
          <w:rFonts w:hint="eastAsia" w:ascii="宋体" w:hAnsi="宋体" w:eastAsia="宋体" w:cs="宋体"/>
          <w:color w:val="auto"/>
          <w:kern w:val="2"/>
          <w:sz w:val="24"/>
          <w:highlight w:val="none"/>
        </w:rPr>
        <w:t>暂定自合同生效之日起至本项目各工程完工验收为止</w:t>
      </w:r>
      <w:r>
        <w:rPr>
          <w:rFonts w:hint="eastAsia" w:ascii="宋体" w:hAnsi="宋体" w:cs="宋体"/>
          <w:color w:val="auto"/>
          <w:kern w:val="2"/>
          <w:sz w:val="24"/>
          <w:highlight w:val="none"/>
          <w:lang w:eastAsia="zh-CN"/>
        </w:rPr>
        <w:t>，</w:t>
      </w:r>
      <w:r>
        <w:rPr>
          <w:rFonts w:hint="eastAsia" w:ascii="宋体" w:hAnsi="宋体" w:cs="宋体"/>
          <w:color w:val="auto"/>
          <w:kern w:val="2"/>
          <w:sz w:val="24"/>
          <w:highlight w:val="none"/>
          <w:lang w:val="en-US" w:eastAsia="zh-CN"/>
        </w:rPr>
        <w:t>且</w:t>
      </w:r>
      <w:r>
        <w:rPr>
          <w:rFonts w:hint="eastAsia" w:ascii="宋体" w:hAnsi="宋体" w:eastAsia="宋体" w:cs="宋体"/>
          <w:color w:val="auto"/>
          <w:kern w:val="2"/>
          <w:sz w:val="24"/>
          <w:highlight w:val="none"/>
        </w:rPr>
        <w:t>交货期根据工程施工进度，最迟交货时间不得超过业主提出供货要求后</w:t>
      </w:r>
      <w:r>
        <w:rPr>
          <w:rFonts w:hint="eastAsia" w:ascii="宋体" w:hAnsi="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lang w:val="en-US" w:eastAsia="zh-CN"/>
        </w:rPr>
        <w:t>天</w:t>
      </w:r>
      <w:r>
        <w:rPr>
          <w:rFonts w:hint="eastAsia" w:ascii="宋体" w:hAnsi="宋体" w:eastAsia="宋体" w:cs="宋体"/>
          <w:color w:val="auto"/>
          <w:kern w:val="2"/>
          <w:sz w:val="24"/>
          <w:highlight w:val="none"/>
          <w:lang w:eastAsia="zh-CN"/>
        </w:rPr>
        <w:t>；</w:t>
      </w:r>
      <w:r>
        <w:rPr>
          <w:rFonts w:hint="eastAsia" w:ascii="宋体" w:hAnsi="宋体" w:cs="宋体"/>
          <w:color w:val="auto"/>
          <w:sz w:val="24"/>
          <w:highlight w:val="none"/>
        </w:rPr>
        <w:t>质量保证期</w:t>
      </w:r>
      <w:r>
        <w:rPr>
          <w:rFonts w:hint="eastAsia" w:ascii="宋体" w:hAnsi="宋体" w:cs="宋体"/>
          <w:color w:val="auto"/>
          <w:sz w:val="24"/>
          <w:highlight w:val="none"/>
          <w:lang w:val="en-US" w:eastAsia="zh-CN"/>
        </w:rPr>
        <w:t>为</w:t>
      </w:r>
      <w:r>
        <w:rPr>
          <w:rFonts w:hint="eastAsia" w:ascii="宋体" w:hAnsi="宋体"/>
          <w:color w:val="auto"/>
          <w:sz w:val="24"/>
          <w:szCs w:val="24"/>
          <w:highlight w:val="none"/>
          <w:lang w:val="en-US" w:eastAsia="zh-CN"/>
        </w:rPr>
        <w:t>最终</w:t>
      </w:r>
      <w:r>
        <w:rPr>
          <w:rFonts w:hint="eastAsia" w:ascii="宋体" w:hAnsi="宋体"/>
          <w:color w:val="auto"/>
          <w:sz w:val="24"/>
          <w:szCs w:val="24"/>
          <w:highlight w:val="none"/>
        </w:rPr>
        <w:t>验收之日</w:t>
      </w:r>
      <w:r>
        <w:rPr>
          <w:rFonts w:hint="eastAsia" w:ascii="宋体" w:hAnsi="宋体"/>
          <w:b/>
          <w:color w:val="auto"/>
          <w:sz w:val="24"/>
          <w:szCs w:val="24"/>
          <w:highlight w:val="none"/>
        </w:rPr>
        <w:t>起</w:t>
      </w:r>
      <w:r>
        <w:rPr>
          <w:rFonts w:hint="default" w:ascii="宋体" w:hAnsi="宋体"/>
          <w:b/>
          <w:color w:val="auto"/>
          <w:sz w:val="24"/>
          <w:szCs w:val="24"/>
          <w:highlight w:val="none"/>
          <w:u w:val="single"/>
          <w:lang w:val="en-US"/>
        </w:rPr>
        <w:t xml:space="preserve">    </w:t>
      </w:r>
      <w:r>
        <w:rPr>
          <w:rFonts w:hint="eastAsia" w:ascii="宋体" w:hAnsi="宋体"/>
          <w:b/>
          <w:color w:val="auto"/>
          <w:sz w:val="24"/>
          <w:szCs w:val="24"/>
          <w:highlight w:val="none"/>
          <w:lang w:val="en-US" w:eastAsia="zh-CN"/>
        </w:rPr>
        <w:t>年</w:t>
      </w:r>
      <w:r>
        <w:rPr>
          <w:rFonts w:hint="eastAsia" w:ascii="宋体" w:hAnsi="宋体" w:cs="宋体"/>
          <w:color w:val="auto"/>
          <w:sz w:val="24"/>
          <w:szCs w:val="24"/>
          <w:highlight w:val="none"/>
        </w:rPr>
        <w:t>。</w:t>
      </w:r>
    </w:p>
    <w:p w14:paraId="71CC61A4">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u w:val="single"/>
        </w:rPr>
        <w:t>（其他补充说明）</w:t>
      </w:r>
      <w:r>
        <w:rPr>
          <w:rFonts w:hint="eastAsia" w:ascii="宋体" w:hAnsi="宋体" w:cs="宋体"/>
          <w:color w:val="auto"/>
          <w:sz w:val="24"/>
          <w:szCs w:val="24"/>
          <w:highlight w:val="none"/>
        </w:rPr>
        <w:t>。</w:t>
      </w:r>
    </w:p>
    <w:p w14:paraId="707AD732">
      <w:pPr>
        <w:spacing w:line="360" w:lineRule="auto"/>
        <w:rPr>
          <w:rFonts w:ascii="宋体" w:hAnsi="宋体" w:cs="宋体"/>
          <w:color w:val="auto"/>
          <w:sz w:val="24"/>
          <w:szCs w:val="24"/>
          <w:highlight w:val="none"/>
        </w:rPr>
      </w:pPr>
    </w:p>
    <w:p w14:paraId="5063E1B2">
      <w:pPr>
        <w:widowControl w:val="0"/>
        <w:spacing w:before="159" w:beforeLines="50" w:after="159" w:afterLines="50" w:line="360" w:lineRule="auto"/>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r>
        <w:rPr>
          <w:rFonts w:hint="eastAsia" w:ascii="宋体" w:hAnsi="宋体" w:cs="宋体"/>
          <w:color w:val="auto"/>
          <w:sz w:val="24"/>
          <w:szCs w:val="24"/>
          <w:highlight w:val="none"/>
          <w:u w:val="single"/>
        </w:rPr>
        <w:t xml:space="preserve">                             </w:t>
      </w:r>
    </w:p>
    <w:p w14:paraId="31EB4CD6">
      <w:pPr>
        <w:spacing w:line="360" w:lineRule="auto"/>
        <w:ind w:right="525" w:rightChars="250"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rPr>
        <w:tab/>
      </w:r>
      <w:r>
        <w:rPr>
          <w:rFonts w:hint="eastAsia" w:ascii="宋体" w:hAnsi="宋体" w:cs="宋体"/>
          <w:color w:val="auto"/>
          <w:sz w:val="24"/>
          <w:szCs w:val="24"/>
          <w:highlight w:val="none"/>
        </w:rPr>
        <w:t>址：</w:t>
      </w:r>
      <w:r>
        <w:rPr>
          <w:rFonts w:hint="eastAsia" w:ascii="宋体" w:hAnsi="宋体" w:cs="宋体"/>
          <w:color w:val="auto"/>
          <w:sz w:val="24"/>
          <w:szCs w:val="24"/>
          <w:highlight w:val="none"/>
          <w:u w:val="single"/>
        </w:rPr>
        <w:t xml:space="preserve">                                            </w:t>
      </w:r>
    </w:p>
    <w:p w14:paraId="2EB27159">
      <w:pPr>
        <w:spacing w:line="360" w:lineRule="auto"/>
        <w:ind w:right="525" w:rightChars="250"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网</w:t>
      </w:r>
      <w:r>
        <w:rPr>
          <w:rFonts w:hint="eastAsia" w:ascii="宋体" w:hAnsi="宋体" w:cs="宋体"/>
          <w:color w:val="auto"/>
          <w:sz w:val="24"/>
          <w:szCs w:val="24"/>
          <w:highlight w:val="none"/>
        </w:rPr>
        <w:tab/>
      </w:r>
      <w:r>
        <w:rPr>
          <w:rFonts w:hint="eastAsia" w:ascii="宋体" w:hAnsi="宋体" w:cs="宋体"/>
          <w:color w:val="auto"/>
          <w:sz w:val="24"/>
          <w:szCs w:val="24"/>
          <w:highlight w:val="none"/>
        </w:rPr>
        <w:t>址：</w:t>
      </w:r>
      <w:r>
        <w:rPr>
          <w:rFonts w:hint="eastAsia" w:ascii="宋体" w:hAnsi="宋体" w:cs="宋体"/>
          <w:color w:val="auto"/>
          <w:sz w:val="24"/>
          <w:szCs w:val="24"/>
          <w:highlight w:val="none"/>
          <w:u w:val="single"/>
        </w:rPr>
        <w:t xml:space="preserve">                                            </w:t>
      </w:r>
    </w:p>
    <w:p w14:paraId="289B4BC6">
      <w:pPr>
        <w:spacing w:line="360" w:lineRule="auto"/>
        <w:ind w:right="525" w:rightChars="250"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电</w:t>
      </w:r>
      <w:r>
        <w:rPr>
          <w:rFonts w:hint="eastAsia" w:ascii="宋体" w:hAnsi="宋体" w:cs="宋体"/>
          <w:color w:val="auto"/>
          <w:sz w:val="24"/>
          <w:szCs w:val="24"/>
          <w:highlight w:val="none"/>
        </w:rPr>
        <w:tab/>
      </w:r>
      <w:r>
        <w:rPr>
          <w:rFonts w:hint="eastAsia" w:ascii="宋体" w:hAnsi="宋体" w:cs="宋体"/>
          <w:color w:val="auto"/>
          <w:sz w:val="24"/>
          <w:szCs w:val="24"/>
          <w:highlight w:val="none"/>
        </w:rPr>
        <w:t>话：</w:t>
      </w:r>
      <w:r>
        <w:rPr>
          <w:rFonts w:hint="eastAsia" w:ascii="宋体" w:hAnsi="宋体" w:cs="宋体"/>
          <w:color w:val="auto"/>
          <w:sz w:val="24"/>
          <w:szCs w:val="24"/>
          <w:highlight w:val="none"/>
          <w:u w:val="single"/>
        </w:rPr>
        <w:t xml:space="preserve">                                            </w:t>
      </w:r>
    </w:p>
    <w:p w14:paraId="64B1C28E">
      <w:pPr>
        <w:spacing w:line="360" w:lineRule="auto"/>
        <w:ind w:right="525" w:rightChars="250"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传</w:t>
      </w:r>
      <w:r>
        <w:rPr>
          <w:rFonts w:hint="eastAsia" w:ascii="宋体" w:hAnsi="宋体" w:cs="宋体"/>
          <w:color w:val="auto"/>
          <w:sz w:val="24"/>
          <w:szCs w:val="24"/>
          <w:highlight w:val="none"/>
        </w:rPr>
        <w:tab/>
      </w:r>
      <w:r>
        <w:rPr>
          <w:rFonts w:hint="eastAsia" w:ascii="宋体" w:hAnsi="宋体" w:cs="宋体"/>
          <w:color w:val="auto"/>
          <w:sz w:val="24"/>
          <w:szCs w:val="24"/>
          <w:highlight w:val="none"/>
        </w:rPr>
        <w:t>真：</w:t>
      </w:r>
      <w:r>
        <w:rPr>
          <w:rFonts w:hint="eastAsia" w:ascii="宋体" w:hAnsi="宋体" w:cs="宋体"/>
          <w:color w:val="auto"/>
          <w:sz w:val="24"/>
          <w:szCs w:val="24"/>
          <w:highlight w:val="none"/>
          <w:u w:val="single"/>
        </w:rPr>
        <w:t xml:space="preserve">                                            </w:t>
      </w:r>
    </w:p>
    <w:p w14:paraId="2A767D14">
      <w:pPr>
        <w:spacing w:line="360" w:lineRule="auto"/>
        <w:ind w:right="525" w:rightChars="250" w:firstLine="1260" w:firstLineChars="525"/>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p>
    <w:p w14:paraId="04842545">
      <w:pPr>
        <w:spacing w:line="360" w:lineRule="auto"/>
        <w:ind w:firstLine="2640" w:firstLineChars="1100"/>
        <w:jc w:val="right"/>
        <w:rPr>
          <w:rFonts w:ascii="宋体" w:hAnsi="宋体" w:cs="宋体"/>
          <w:color w:val="auto"/>
          <w:sz w:val="24"/>
          <w:szCs w:val="24"/>
          <w:highlight w:val="none"/>
        </w:rPr>
      </w:pPr>
      <w:r>
        <w:rPr>
          <w:rFonts w:hint="eastAsia" w:ascii="宋体" w:hAnsi="宋体" w:cs="宋体"/>
          <w:color w:val="auto"/>
          <w:sz w:val="24"/>
          <w:szCs w:val="24"/>
          <w:highlight w:val="none"/>
        </w:rPr>
        <w:t>20   年   月   日</w:t>
      </w:r>
    </w:p>
    <w:p w14:paraId="4563F38A">
      <w:pPr>
        <w:spacing w:line="360" w:lineRule="auto"/>
        <w:rPr>
          <w:rFonts w:ascii="宋体" w:hAnsi="宋体" w:cs="宋体"/>
          <w:color w:val="auto"/>
          <w:szCs w:val="21"/>
          <w:highlight w:val="none"/>
        </w:rPr>
      </w:pPr>
      <w:r>
        <w:rPr>
          <w:rFonts w:hint="eastAsia" w:ascii="宋体" w:hAnsi="宋体" w:cs="宋体"/>
          <w:color w:val="auto"/>
          <w:sz w:val="24"/>
          <w:szCs w:val="24"/>
          <w:highlight w:val="none"/>
        </w:rPr>
        <w:br w:type="page"/>
      </w:r>
    </w:p>
    <w:p w14:paraId="5391191B">
      <w:pPr>
        <w:pStyle w:val="6"/>
        <w:jc w:val="center"/>
        <w:rPr>
          <w:color w:val="auto"/>
          <w:highlight w:val="none"/>
        </w:rPr>
      </w:pPr>
      <w:r>
        <w:rPr>
          <w:rFonts w:hint="eastAsia"/>
          <w:color w:val="auto"/>
          <w:highlight w:val="none"/>
        </w:rPr>
        <w:t>法定代表人（单位负责人）身份证明</w:t>
      </w:r>
    </w:p>
    <w:p w14:paraId="1475F60E">
      <w:pPr>
        <w:spacing w:before="159" w:beforeLines="50" w:after="159" w:after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BA54B87">
      <w:pPr>
        <w:spacing w:before="159" w:beforeLines="50" w:after="159" w:after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rPr>
        <w:tab/>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的法定代表人（单位负责人）。</w:t>
      </w:r>
    </w:p>
    <w:p w14:paraId="255F92C0">
      <w:pPr>
        <w:spacing w:before="159" w:beforeLines="50" w:after="159"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3A9C0065">
      <w:pPr>
        <w:spacing w:before="159" w:beforeLines="50" w:after="159" w:after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附：法定代表人（单位负责人）身份证原件扫描件或加盖公章的复印件的扫描件。</w:t>
      </w:r>
    </w:p>
    <w:p w14:paraId="5E119AB1">
      <w:pPr>
        <w:spacing w:before="159" w:beforeLines="50" w:after="159" w:afterLines="50" w:line="360" w:lineRule="auto"/>
        <w:rPr>
          <w:rFonts w:ascii="宋体" w:hAnsi="宋体" w:cs="宋体"/>
          <w:color w:val="auto"/>
          <w:sz w:val="24"/>
          <w:szCs w:val="24"/>
          <w:highlight w:val="none"/>
        </w:rPr>
      </w:pPr>
    </w:p>
    <w:p w14:paraId="743CA082">
      <w:pPr>
        <w:spacing w:before="159" w:beforeLines="50" w:after="159" w:afterLines="50" w:line="360" w:lineRule="auto"/>
        <w:ind w:firstLine="4320" w:firstLineChars="1800"/>
        <w:rPr>
          <w:rFonts w:ascii="宋体" w:hAnsi="宋体" w:cs="宋体"/>
          <w:color w:val="auto"/>
          <w:sz w:val="24"/>
          <w:szCs w:val="24"/>
          <w:highlight w:val="none"/>
        </w:rPr>
      </w:pPr>
    </w:p>
    <w:p w14:paraId="57429A51">
      <w:pPr>
        <w:spacing w:before="159" w:beforeLines="50" w:after="159" w:afterLines="50" w:line="360" w:lineRule="auto"/>
        <w:ind w:firstLine="4320" w:firstLineChars="1800"/>
        <w:rPr>
          <w:rFonts w:ascii="宋体" w:hAnsi="宋体" w:cs="宋体"/>
          <w:color w:val="auto"/>
          <w:sz w:val="24"/>
          <w:szCs w:val="24"/>
          <w:highlight w:val="none"/>
        </w:rPr>
      </w:pPr>
    </w:p>
    <w:p w14:paraId="5B387429">
      <w:pPr>
        <w:spacing w:before="159" w:beforeLines="50" w:after="159" w:afterLines="50" w:line="360" w:lineRule="auto"/>
        <w:ind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盖单位公章</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 xml:space="preserve">          </w:t>
      </w:r>
    </w:p>
    <w:p w14:paraId="0ACD4137">
      <w:pPr>
        <w:spacing w:before="159" w:beforeLines="50" w:after="159" w:afterLines="50" w:line="360" w:lineRule="auto"/>
        <w:ind w:firstLine="4440" w:firstLineChars="1850"/>
        <w:rPr>
          <w:rFonts w:ascii="宋体" w:hAnsi="宋体" w:cs="宋体"/>
          <w:color w:val="auto"/>
          <w:sz w:val="24"/>
          <w:szCs w:val="24"/>
          <w:highlight w:val="non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0F3858A">
      <w:pPr>
        <w:spacing w:before="159" w:beforeLines="50" w:after="159" w:afterLines="50" w:line="360" w:lineRule="auto"/>
        <w:ind w:firstLine="4440" w:firstLineChars="1850"/>
        <w:rPr>
          <w:rFonts w:ascii="宋体" w:hAnsi="宋体" w:cs="宋体"/>
          <w:color w:val="auto"/>
          <w:sz w:val="24"/>
          <w:szCs w:val="24"/>
          <w:highlight w:val="none"/>
        </w:rPr>
      </w:pPr>
    </w:p>
    <w:p w14:paraId="472F9BA2">
      <w:pPr>
        <w:spacing w:before="159" w:beforeLines="50" w:after="159" w:afterLines="50" w:line="360" w:lineRule="auto"/>
        <w:ind w:firstLine="4440" w:firstLineChars="1850"/>
        <w:rPr>
          <w:rFonts w:ascii="宋体" w:hAnsi="宋体" w:cs="宋体"/>
          <w:color w:val="auto"/>
          <w:sz w:val="24"/>
          <w:szCs w:val="24"/>
          <w:highlight w:val="none"/>
        </w:rPr>
      </w:pPr>
    </w:p>
    <w:p w14:paraId="03009277">
      <w:pPr>
        <w:spacing w:line="360" w:lineRule="auto"/>
        <w:rPr>
          <w:rFonts w:ascii="宋体" w:hAnsi="宋体" w:cs="宋体"/>
          <w:color w:val="auto"/>
          <w:sz w:val="28"/>
          <w:szCs w:val="28"/>
          <w:highlight w:val="none"/>
        </w:rPr>
      </w:pPr>
    </w:p>
    <w:p w14:paraId="5F128794">
      <w:pPr>
        <w:pStyle w:val="41"/>
        <w:ind w:firstLine="280"/>
        <w:rPr>
          <w:rFonts w:ascii="宋体" w:hAnsi="宋体" w:cs="宋体"/>
          <w:color w:val="auto"/>
          <w:sz w:val="28"/>
          <w:szCs w:val="28"/>
          <w:highlight w:val="none"/>
        </w:rPr>
      </w:pPr>
    </w:p>
    <w:p w14:paraId="37B001D1">
      <w:pPr>
        <w:pStyle w:val="41"/>
        <w:ind w:firstLine="280"/>
        <w:rPr>
          <w:rFonts w:ascii="宋体" w:hAnsi="宋体" w:cs="宋体"/>
          <w:color w:val="auto"/>
          <w:sz w:val="28"/>
          <w:szCs w:val="28"/>
          <w:highlight w:val="none"/>
        </w:rPr>
      </w:pPr>
    </w:p>
    <w:p w14:paraId="5EED80DB">
      <w:pPr>
        <w:pStyle w:val="41"/>
        <w:ind w:firstLine="280"/>
        <w:rPr>
          <w:rFonts w:ascii="宋体" w:hAnsi="宋体" w:cs="宋体"/>
          <w:color w:val="auto"/>
          <w:sz w:val="28"/>
          <w:szCs w:val="28"/>
          <w:highlight w:val="none"/>
        </w:rPr>
      </w:pPr>
    </w:p>
    <w:p w14:paraId="49D957B8">
      <w:pPr>
        <w:pStyle w:val="41"/>
        <w:ind w:firstLine="280"/>
        <w:rPr>
          <w:rFonts w:ascii="宋体" w:hAnsi="宋体" w:cs="宋体"/>
          <w:color w:val="auto"/>
          <w:sz w:val="28"/>
          <w:szCs w:val="28"/>
          <w:highlight w:val="none"/>
        </w:rPr>
      </w:pPr>
    </w:p>
    <w:p w14:paraId="3BB66082">
      <w:pPr>
        <w:pStyle w:val="41"/>
        <w:ind w:firstLine="280"/>
        <w:rPr>
          <w:rFonts w:ascii="宋体" w:hAnsi="宋体" w:cs="宋体"/>
          <w:color w:val="auto"/>
          <w:sz w:val="28"/>
          <w:szCs w:val="28"/>
          <w:highlight w:val="none"/>
        </w:rPr>
      </w:pPr>
    </w:p>
    <w:p w14:paraId="47B94C3F">
      <w:pPr>
        <w:pStyle w:val="41"/>
        <w:ind w:firstLine="280"/>
        <w:rPr>
          <w:rFonts w:ascii="宋体" w:hAnsi="宋体" w:cs="宋体"/>
          <w:color w:val="auto"/>
          <w:sz w:val="28"/>
          <w:szCs w:val="28"/>
          <w:highlight w:val="none"/>
        </w:rPr>
      </w:pPr>
    </w:p>
    <w:p w14:paraId="40893DED">
      <w:pPr>
        <w:rPr>
          <w:rFonts w:ascii="宋体" w:hAnsi="宋体" w:cs="宋体"/>
          <w:b/>
          <w:color w:val="auto"/>
          <w:sz w:val="28"/>
          <w:szCs w:val="28"/>
          <w:highlight w:val="none"/>
        </w:rPr>
      </w:pPr>
      <w:bookmarkStart w:id="226" w:name="_Toc500755638"/>
      <w:bookmarkStart w:id="227" w:name="_Toc500968977"/>
      <w:r>
        <w:rPr>
          <w:rFonts w:hint="eastAsia" w:ascii="宋体" w:hAnsi="宋体" w:cs="宋体"/>
          <w:b/>
          <w:color w:val="auto"/>
          <w:sz w:val="28"/>
          <w:szCs w:val="28"/>
          <w:highlight w:val="none"/>
        </w:rPr>
        <w:br w:type="page"/>
      </w:r>
    </w:p>
    <w:p w14:paraId="3DD0C340">
      <w:pPr>
        <w:pStyle w:val="6"/>
        <w:jc w:val="center"/>
        <w:rPr>
          <w:color w:val="auto"/>
          <w:sz w:val="28"/>
          <w:szCs w:val="28"/>
          <w:highlight w:val="none"/>
        </w:rPr>
      </w:pPr>
      <w:r>
        <w:rPr>
          <w:rFonts w:hint="eastAsia"/>
          <w:color w:val="auto"/>
          <w:sz w:val="28"/>
          <w:szCs w:val="28"/>
          <w:highlight w:val="none"/>
        </w:rPr>
        <w:t>授权委托书</w:t>
      </w:r>
      <w:r>
        <w:rPr>
          <w:rFonts w:hint="eastAsia"/>
          <w:color w:val="auto"/>
          <w:sz w:val="24"/>
          <w:szCs w:val="24"/>
          <w:highlight w:val="none"/>
        </w:rPr>
        <w:t>（适用于有委托代理人的情况）</w:t>
      </w:r>
    </w:p>
    <w:p w14:paraId="553FA606">
      <w:pPr>
        <w:spacing w:before="159" w:beforeLines="50" w:after="159"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（投标人名称）</w:t>
      </w:r>
      <w:r>
        <w:rPr>
          <w:rFonts w:hint="eastAsia" w:ascii="宋体" w:hAnsi="宋体" w:cs="宋体"/>
          <w:color w:val="auto"/>
          <w:sz w:val="24"/>
          <w:szCs w:val="24"/>
          <w:highlight w:val="none"/>
        </w:rPr>
        <w:t>的法定代表人（单位负责人），现委托</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为我方代理人。代理人根据授权，以我方名义签署、澄清确认、递交、撤回、修改材料采购招标项目投标文件、签订合同和处理有关事宜，其法律后果由我方承担。</w:t>
      </w:r>
      <w:r>
        <w:rPr>
          <w:rFonts w:hint="eastAsia" w:ascii="宋体" w:hAnsi="宋体" w:cs="宋体"/>
          <w:color w:val="auto"/>
          <w:sz w:val="24"/>
          <w:szCs w:val="24"/>
          <w:highlight w:val="none"/>
        </w:rPr>
        <w:tab/>
      </w:r>
    </w:p>
    <w:p w14:paraId="63B07263">
      <w:pPr>
        <w:spacing w:before="159" w:beforeLines="50" w:after="159"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w:t>
      </w:r>
    </w:p>
    <w:p w14:paraId="740A05FB">
      <w:pPr>
        <w:spacing w:before="159" w:beforeLines="50" w:after="159"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r>
        <w:rPr>
          <w:rFonts w:hint="eastAsia" w:ascii="宋体" w:hAnsi="宋体" w:cs="宋体"/>
          <w:color w:val="auto"/>
          <w:sz w:val="24"/>
          <w:szCs w:val="24"/>
          <w:highlight w:val="none"/>
        </w:rPr>
        <w:tab/>
      </w:r>
    </w:p>
    <w:p w14:paraId="3086456E">
      <w:pPr>
        <w:spacing w:before="159" w:beforeLines="50" w:after="159" w:after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附：委托代理人身份证原件扫描件或加盖公章的复印件的扫描件。</w:t>
      </w:r>
    </w:p>
    <w:p w14:paraId="6BA36E49">
      <w:pPr>
        <w:spacing w:before="159" w:beforeLines="50" w:after="159" w:afterLines="50" w:line="360" w:lineRule="auto"/>
        <w:ind w:firstLine="3158" w:firstLineChars="1316"/>
        <w:rPr>
          <w:rFonts w:hint="eastAsia" w:ascii="宋体" w:hAnsi="宋体" w:cs="宋体"/>
          <w:color w:val="auto"/>
          <w:sz w:val="24"/>
          <w:szCs w:val="24"/>
          <w:highlight w:val="none"/>
        </w:rPr>
      </w:pPr>
    </w:p>
    <w:p w14:paraId="1C12696C">
      <w:pPr>
        <w:spacing w:before="159" w:beforeLines="50" w:after="159" w:afterLines="50" w:line="360" w:lineRule="auto"/>
        <w:ind w:firstLine="3158" w:firstLineChars="1316"/>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盖单位公章</w:t>
      </w:r>
      <w:r>
        <w:rPr>
          <w:rFonts w:hint="eastAsia" w:ascii="宋体" w:hAnsi="宋体" w:cs="宋体"/>
          <w:color w:val="auto"/>
          <w:sz w:val="24"/>
          <w:szCs w:val="24"/>
          <w:highlight w:val="none"/>
          <w:u w:val="single"/>
          <w:lang w:eastAsia="zh-CN"/>
        </w:rPr>
        <w:t>）</w:t>
      </w:r>
    </w:p>
    <w:p w14:paraId="342236C2">
      <w:pPr>
        <w:spacing w:before="159" w:beforeLines="50" w:after="159" w:afterLines="50" w:line="360" w:lineRule="auto"/>
        <w:ind w:firstLine="3158" w:firstLineChars="1316"/>
        <w:rPr>
          <w:rFonts w:ascii="宋体" w:hAnsi="宋体" w:cs="宋体"/>
          <w:color w:val="auto"/>
          <w:sz w:val="24"/>
          <w:szCs w:val="24"/>
          <w:highlight w:val="none"/>
        </w:rPr>
      </w:pPr>
      <w:r>
        <w:rPr>
          <w:rFonts w:hint="eastAsia" w:ascii="宋体" w:hAnsi="宋体" w:cs="宋体"/>
          <w:color w:val="auto"/>
          <w:sz w:val="24"/>
          <w:szCs w:val="24"/>
          <w:highlight w:val="none"/>
        </w:rPr>
        <w:t>法定代表人（单位负责人）：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（签字或盖章）</w:t>
      </w:r>
    </w:p>
    <w:p w14:paraId="615C0EEA">
      <w:pPr>
        <w:spacing w:before="159" w:beforeLines="50" w:after="159" w:afterLines="50" w:line="360" w:lineRule="auto"/>
        <w:ind w:firstLine="3158" w:firstLineChars="1316"/>
        <w:rPr>
          <w:rFonts w:ascii="宋体" w:hAnsi="宋体" w:cs="宋体"/>
          <w:color w:val="auto"/>
          <w:sz w:val="24"/>
          <w:szCs w:val="24"/>
          <w:highlight w:val="none"/>
        </w:rPr>
      </w:pPr>
      <w:r>
        <w:rPr>
          <w:rFonts w:hint="eastAsia" w:ascii="宋体" w:hAnsi="宋体" w:cs="宋体"/>
          <w:color w:val="auto"/>
          <w:sz w:val="24"/>
          <w:szCs w:val="24"/>
          <w:highlight w:val="none"/>
        </w:rPr>
        <w:t>身份证号码：</w:t>
      </w:r>
    </w:p>
    <w:p w14:paraId="67896A4E">
      <w:pPr>
        <w:spacing w:before="159" w:beforeLines="50" w:after="159" w:afterLines="50" w:line="360" w:lineRule="auto"/>
        <w:ind w:firstLine="3158" w:firstLineChars="1316"/>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14:paraId="3EA78D43">
      <w:pPr>
        <w:spacing w:before="159" w:beforeLines="50" w:after="159" w:afterLines="50" w:line="360" w:lineRule="auto"/>
        <w:ind w:firstLine="3158" w:firstLineChars="1316"/>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p>
    <w:p w14:paraId="1B437E7E">
      <w:pPr>
        <w:spacing w:before="159" w:beforeLines="50" w:after="159" w:afterLines="50" w:line="360" w:lineRule="auto"/>
        <w:ind w:firstLine="3158" w:firstLineChars="1316"/>
        <w:rPr>
          <w:rFonts w:ascii="宋体" w:hAnsi="宋体" w:cs="宋体"/>
          <w:color w:val="auto"/>
          <w:sz w:val="24"/>
          <w:szCs w:val="24"/>
          <w:highlight w:val="non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84394F0">
      <w:pPr>
        <w:spacing w:line="360" w:lineRule="auto"/>
        <w:ind w:right="480"/>
        <w:jc w:val="righ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rPr>
        <w:br w:type="page"/>
      </w:r>
      <w:bookmarkEnd w:id="226"/>
      <w:bookmarkEnd w:id="227"/>
    </w:p>
    <w:p w14:paraId="258C961E">
      <w:pPr>
        <w:pStyle w:val="6"/>
        <w:jc w:val="center"/>
        <w:rPr>
          <w:color w:val="auto"/>
          <w:highlight w:val="none"/>
        </w:rPr>
      </w:pPr>
      <w:r>
        <w:rPr>
          <w:rFonts w:hint="eastAsia"/>
          <w:color w:val="auto"/>
          <w:highlight w:val="none"/>
        </w:rPr>
        <w:t>投标保证金</w:t>
      </w:r>
    </w:p>
    <w:p w14:paraId="58D68C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1、保证金如由广州交易集团有限公司（广州公共资源交易中心）代收的，缴纳情况以</w:t>
      </w:r>
      <w:r>
        <w:rPr>
          <w:rFonts w:hint="eastAsia" w:hAnsi="宋体"/>
          <w:bCs/>
          <w:color w:val="auto"/>
          <w:sz w:val="24"/>
          <w:highlight w:val="none"/>
        </w:rPr>
        <w:t>广州交易集团有限公司（广州公共资源交易中心）</w:t>
      </w:r>
      <w:r>
        <w:rPr>
          <w:rFonts w:hint="eastAsia" w:ascii="宋体" w:hAnsi="宋体" w:cs="宋体"/>
          <w:color w:val="auto"/>
          <w:sz w:val="24"/>
          <w:szCs w:val="24"/>
          <w:highlight w:val="none"/>
        </w:rPr>
        <w:t>数据库记录的信息为准。</w:t>
      </w:r>
    </w:p>
    <w:p w14:paraId="225E8BEC">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w:t>
      </w:r>
      <w:bookmarkStart w:id="228" w:name="_Toc26868744"/>
      <w:r>
        <w:rPr>
          <w:rFonts w:hint="eastAsia" w:ascii="宋体" w:hAnsi="宋体" w:cs="宋体"/>
          <w:color w:val="auto"/>
          <w:sz w:val="24"/>
          <w:szCs w:val="24"/>
          <w:highlight w:val="none"/>
        </w:rPr>
        <w:t>投标人如采用投标保函</w:t>
      </w:r>
      <w:r>
        <w:rPr>
          <w:rFonts w:hint="eastAsia" w:ascii="宋体" w:hAnsi="宋体" w:cs="宋体"/>
          <w:color w:val="auto"/>
          <w:sz w:val="24"/>
          <w:highlight w:val="none"/>
        </w:rPr>
        <w:t>、担保保函</w:t>
      </w:r>
      <w:r>
        <w:rPr>
          <w:rFonts w:hint="eastAsia" w:ascii="宋体" w:hAnsi="宋体" w:cs="宋体"/>
          <w:color w:val="auto"/>
          <w:sz w:val="24"/>
          <w:szCs w:val="24"/>
          <w:highlight w:val="none"/>
        </w:rPr>
        <w:t>或投标保证保险形式递交的，详见招标文件第一章投标人须知4.5。</w:t>
      </w:r>
    </w:p>
    <w:bookmarkEnd w:id="228"/>
    <w:p w14:paraId="33140D47">
      <w:pPr>
        <w:spacing w:line="360" w:lineRule="auto"/>
        <w:ind w:right="480"/>
        <w:jc w:val="right"/>
        <w:rPr>
          <w:rFonts w:ascii="宋体" w:hAnsi="宋体" w:cs="宋体"/>
          <w:color w:val="auto"/>
          <w:sz w:val="24"/>
          <w:szCs w:val="24"/>
          <w:highlight w:val="none"/>
          <w:shd w:val="clear" w:color="auto" w:fill="FFFFFF"/>
        </w:rPr>
      </w:pPr>
    </w:p>
    <w:p w14:paraId="40968E8A">
      <w:pPr>
        <w:pStyle w:val="6"/>
        <w:jc w:val="center"/>
        <w:rPr>
          <w:color w:val="auto"/>
          <w:sz w:val="28"/>
          <w:szCs w:val="28"/>
          <w:highlight w:val="none"/>
        </w:rPr>
      </w:pPr>
      <w:r>
        <w:rPr>
          <w:rFonts w:hint="eastAsia"/>
          <w:color w:val="auto"/>
          <w:sz w:val="24"/>
          <w:szCs w:val="24"/>
          <w:highlight w:val="none"/>
        </w:rPr>
        <w:br w:type="page"/>
      </w:r>
      <w:r>
        <w:rPr>
          <w:rFonts w:hint="eastAsia"/>
          <w:color w:val="auto"/>
          <w:sz w:val="28"/>
          <w:szCs w:val="28"/>
          <w:highlight w:val="none"/>
        </w:rPr>
        <w:t>商务和技术偏差表</w:t>
      </w:r>
    </w:p>
    <w:p w14:paraId="5C155F40">
      <w:pPr>
        <w:adjustRightInd w:val="0"/>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说明：该部分包括：合同条款偏差表和技术要求偏差表</w:t>
      </w:r>
    </w:p>
    <w:p w14:paraId="5CAC23FD">
      <w:pPr>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（一）合同条款偏差表</w:t>
      </w:r>
    </w:p>
    <w:p w14:paraId="441D18E8">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投标人需对招标文件“第三章合同格式”中认为有偏差的条款逐条进行应答并按以下要求填写附表：</w:t>
      </w:r>
    </w:p>
    <w:p w14:paraId="28E112B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①对合同条款中认为需要偏差的条款进行逐条列明，并准确描述。</w:t>
      </w:r>
    </w:p>
    <w:p w14:paraId="6310F33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②合同条款不允许负偏差，如出现负偏差，</w:t>
      </w:r>
      <w:r>
        <w:rPr>
          <w:rFonts w:hint="eastAsia" w:ascii="宋体" w:hAnsi="宋体" w:cs="宋体"/>
          <w:b/>
          <w:color w:val="auto"/>
          <w:sz w:val="24"/>
          <w:szCs w:val="24"/>
          <w:highlight w:val="none"/>
        </w:rPr>
        <w:t>评标委员会应否决其投标</w:t>
      </w:r>
      <w:r>
        <w:rPr>
          <w:rFonts w:hint="eastAsia" w:ascii="宋体" w:hAnsi="宋体" w:cs="宋体"/>
          <w:color w:val="auto"/>
          <w:sz w:val="24"/>
          <w:szCs w:val="24"/>
          <w:highlight w:val="none"/>
        </w:rPr>
        <w:t>。无论是正偏离还是负偏离，均需填写并将差异情况（包括优于采购合同的有关条款）在表格中准确描述。</w:t>
      </w:r>
    </w:p>
    <w:p w14:paraId="5C1E790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③投标人不得修改招标文件“第三章合同格式”中的条款后再做应答。</w:t>
      </w:r>
    </w:p>
    <w:p w14:paraId="24E761D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④如无偏离，可注明完全响应。</w:t>
      </w:r>
    </w:p>
    <w:tbl>
      <w:tblPr>
        <w:tblStyle w:val="4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4957"/>
        <w:gridCol w:w="1804"/>
        <w:gridCol w:w="1495"/>
      </w:tblGrid>
      <w:tr w14:paraId="3B57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593DB3D6">
            <w:pPr>
              <w:widowControl w:val="0"/>
              <w:adjustRightInd w:val="0"/>
              <w:snapToGrid w:val="0"/>
              <w:spacing w:before="159" w:beforeLines="50" w:after="159" w:afterLines="50"/>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4957" w:type="dxa"/>
            <w:noWrap w:val="0"/>
            <w:vAlign w:val="center"/>
          </w:tcPr>
          <w:p w14:paraId="0FF748AC">
            <w:pPr>
              <w:widowControl w:val="0"/>
              <w:adjustRightInd w:val="0"/>
              <w:snapToGrid w:val="0"/>
              <w:spacing w:before="159" w:beforeLines="50" w:after="159" w:afterLines="50"/>
              <w:jc w:val="center"/>
              <w:rPr>
                <w:rFonts w:ascii="宋体" w:hAnsi="宋体"/>
                <w:b/>
                <w:color w:val="auto"/>
                <w:sz w:val="24"/>
                <w:szCs w:val="24"/>
                <w:highlight w:val="none"/>
              </w:rPr>
            </w:pPr>
            <w:r>
              <w:rPr>
                <w:rFonts w:hint="eastAsia" w:ascii="宋体" w:hAnsi="宋体"/>
                <w:b/>
                <w:color w:val="auto"/>
                <w:sz w:val="24"/>
                <w:szCs w:val="24"/>
                <w:highlight w:val="none"/>
              </w:rPr>
              <w:t>“第三章合同条款及格式”中的条款</w:t>
            </w:r>
          </w:p>
        </w:tc>
        <w:tc>
          <w:tcPr>
            <w:tcW w:w="1804" w:type="dxa"/>
            <w:noWrap w:val="0"/>
            <w:vAlign w:val="center"/>
          </w:tcPr>
          <w:p w14:paraId="055BCD20">
            <w:pPr>
              <w:widowControl w:val="0"/>
              <w:adjustRightInd w:val="0"/>
              <w:snapToGrid w:val="0"/>
              <w:spacing w:before="159" w:beforeLines="50" w:after="159" w:afterLines="50"/>
              <w:jc w:val="center"/>
              <w:rPr>
                <w:rFonts w:ascii="宋体" w:hAnsi="宋体"/>
                <w:b/>
                <w:color w:val="auto"/>
                <w:sz w:val="24"/>
                <w:szCs w:val="24"/>
                <w:highlight w:val="none"/>
              </w:rPr>
            </w:pPr>
            <w:r>
              <w:rPr>
                <w:rFonts w:hint="eastAsia" w:ascii="宋体" w:hAnsi="宋体"/>
                <w:b/>
                <w:color w:val="auto"/>
                <w:sz w:val="24"/>
                <w:szCs w:val="24"/>
                <w:highlight w:val="none"/>
              </w:rPr>
              <w:t>应答情况</w:t>
            </w:r>
          </w:p>
          <w:p w14:paraId="57885CD0">
            <w:pPr>
              <w:widowControl w:val="0"/>
              <w:adjustRightInd w:val="0"/>
              <w:snapToGrid w:val="0"/>
              <w:spacing w:before="159" w:beforeLines="50" w:after="159" w:afterLines="50"/>
              <w:jc w:val="center"/>
              <w:rPr>
                <w:rFonts w:ascii="宋体" w:hAnsi="宋体"/>
                <w:b/>
                <w:color w:val="auto"/>
                <w:sz w:val="24"/>
                <w:szCs w:val="24"/>
                <w:highlight w:val="none"/>
              </w:rPr>
            </w:pPr>
            <w:r>
              <w:rPr>
                <w:rFonts w:hint="eastAsia" w:ascii="宋体" w:hAnsi="宋体"/>
                <w:b/>
                <w:color w:val="auto"/>
                <w:sz w:val="24"/>
                <w:szCs w:val="24"/>
                <w:highlight w:val="none"/>
              </w:rPr>
              <w:t>（响应/负偏差/正偏差）</w:t>
            </w:r>
          </w:p>
        </w:tc>
        <w:tc>
          <w:tcPr>
            <w:tcW w:w="1495" w:type="dxa"/>
            <w:noWrap w:val="0"/>
            <w:vAlign w:val="center"/>
          </w:tcPr>
          <w:p w14:paraId="1C57F0F6">
            <w:pPr>
              <w:widowControl w:val="0"/>
              <w:adjustRightInd w:val="0"/>
              <w:snapToGrid w:val="0"/>
              <w:spacing w:before="159" w:beforeLines="50" w:after="159" w:afterLines="50"/>
              <w:jc w:val="center"/>
              <w:rPr>
                <w:rFonts w:ascii="宋体" w:hAnsi="宋体"/>
                <w:b/>
                <w:color w:val="auto"/>
                <w:sz w:val="24"/>
                <w:szCs w:val="24"/>
                <w:highlight w:val="none"/>
              </w:rPr>
            </w:pPr>
            <w:r>
              <w:rPr>
                <w:rFonts w:hint="eastAsia" w:ascii="宋体" w:hAnsi="宋体"/>
                <w:b/>
                <w:color w:val="auto"/>
                <w:sz w:val="24"/>
                <w:szCs w:val="24"/>
                <w:highlight w:val="none"/>
              </w:rPr>
              <w:t>如有偏差，应准确描述</w:t>
            </w:r>
          </w:p>
        </w:tc>
      </w:tr>
      <w:tr w14:paraId="0313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0DC10140">
            <w:pPr>
              <w:widowControl w:val="0"/>
              <w:adjustRightInd w:val="0"/>
              <w:snapToGrid w:val="0"/>
              <w:spacing w:before="159" w:beforeLines="50" w:after="159" w:afterLines="50"/>
              <w:jc w:val="center"/>
              <w:rPr>
                <w:rFonts w:ascii="宋体" w:hAnsi="宋体"/>
                <w:b/>
                <w:color w:val="auto"/>
                <w:sz w:val="24"/>
                <w:szCs w:val="24"/>
                <w:highlight w:val="none"/>
              </w:rPr>
            </w:pPr>
            <w:r>
              <w:rPr>
                <w:rFonts w:hint="eastAsia" w:ascii="宋体" w:hAnsi="宋体"/>
                <w:b/>
                <w:color w:val="auto"/>
                <w:sz w:val="24"/>
                <w:szCs w:val="24"/>
                <w:highlight w:val="none"/>
              </w:rPr>
              <w:t>一</w:t>
            </w:r>
          </w:p>
        </w:tc>
        <w:tc>
          <w:tcPr>
            <w:tcW w:w="4957" w:type="dxa"/>
            <w:noWrap w:val="0"/>
            <w:vAlign w:val="center"/>
          </w:tcPr>
          <w:p w14:paraId="7EA4666D">
            <w:pPr>
              <w:widowControl w:val="0"/>
              <w:adjustRightInd w:val="0"/>
              <w:snapToGrid w:val="0"/>
              <w:spacing w:before="159" w:beforeLines="50" w:after="159" w:afterLines="50"/>
              <w:jc w:val="center"/>
              <w:rPr>
                <w:rFonts w:ascii="宋体" w:hAnsi="宋体"/>
                <w:b/>
                <w:color w:val="auto"/>
                <w:sz w:val="24"/>
                <w:szCs w:val="24"/>
                <w:highlight w:val="none"/>
              </w:rPr>
            </w:pPr>
          </w:p>
        </w:tc>
        <w:tc>
          <w:tcPr>
            <w:tcW w:w="1804" w:type="dxa"/>
            <w:noWrap w:val="0"/>
            <w:vAlign w:val="center"/>
          </w:tcPr>
          <w:p w14:paraId="43C77AB7">
            <w:pPr>
              <w:widowControl w:val="0"/>
              <w:adjustRightInd w:val="0"/>
              <w:snapToGrid w:val="0"/>
              <w:spacing w:before="159" w:beforeLines="50" w:after="159" w:afterLines="50"/>
              <w:jc w:val="center"/>
              <w:rPr>
                <w:rFonts w:ascii="宋体" w:hAnsi="宋体"/>
                <w:b/>
                <w:color w:val="auto"/>
                <w:sz w:val="24"/>
                <w:szCs w:val="24"/>
                <w:highlight w:val="none"/>
              </w:rPr>
            </w:pPr>
          </w:p>
        </w:tc>
        <w:tc>
          <w:tcPr>
            <w:tcW w:w="1495" w:type="dxa"/>
            <w:noWrap w:val="0"/>
            <w:vAlign w:val="center"/>
          </w:tcPr>
          <w:p w14:paraId="59424361">
            <w:pPr>
              <w:widowControl w:val="0"/>
              <w:adjustRightInd w:val="0"/>
              <w:snapToGrid w:val="0"/>
              <w:spacing w:before="159" w:beforeLines="50" w:after="159" w:afterLines="50"/>
              <w:jc w:val="center"/>
              <w:rPr>
                <w:rFonts w:ascii="宋体" w:hAnsi="宋体"/>
                <w:b/>
                <w:color w:val="auto"/>
                <w:sz w:val="24"/>
                <w:szCs w:val="24"/>
                <w:highlight w:val="none"/>
              </w:rPr>
            </w:pPr>
          </w:p>
        </w:tc>
      </w:tr>
      <w:tr w14:paraId="6D5F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3483F45C">
            <w:pPr>
              <w:widowControl w:val="0"/>
              <w:adjustRightInd w:val="0"/>
              <w:snapToGrid w:val="0"/>
              <w:spacing w:before="159" w:beforeLines="50" w:after="159" w:afterLines="50"/>
              <w:jc w:val="center"/>
              <w:rPr>
                <w:rFonts w:ascii="宋体" w:hAnsi="宋体"/>
                <w:color w:val="auto"/>
                <w:sz w:val="24"/>
                <w:szCs w:val="24"/>
                <w:highlight w:val="none"/>
              </w:rPr>
            </w:pPr>
          </w:p>
        </w:tc>
        <w:tc>
          <w:tcPr>
            <w:tcW w:w="4957" w:type="dxa"/>
            <w:noWrap w:val="0"/>
            <w:vAlign w:val="center"/>
          </w:tcPr>
          <w:p w14:paraId="407631B2">
            <w:pPr>
              <w:widowControl w:val="0"/>
              <w:adjustRightInd w:val="0"/>
              <w:snapToGrid w:val="0"/>
              <w:spacing w:before="159" w:beforeLines="50" w:after="159" w:afterLines="50"/>
              <w:jc w:val="center"/>
              <w:rPr>
                <w:rFonts w:ascii="宋体" w:hAnsi="宋体"/>
                <w:color w:val="auto"/>
                <w:sz w:val="24"/>
                <w:szCs w:val="24"/>
                <w:highlight w:val="none"/>
              </w:rPr>
            </w:pPr>
          </w:p>
        </w:tc>
        <w:tc>
          <w:tcPr>
            <w:tcW w:w="1804" w:type="dxa"/>
            <w:noWrap w:val="0"/>
            <w:vAlign w:val="center"/>
          </w:tcPr>
          <w:p w14:paraId="40F554C2">
            <w:pPr>
              <w:widowControl w:val="0"/>
              <w:adjustRightInd w:val="0"/>
              <w:snapToGrid w:val="0"/>
              <w:spacing w:before="159" w:beforeLines="50" w:after="159" w:afterLines="50"/>
              <w:jc w:val="center"/>
              <w:rPr>
                <w:rFonts w:ascii="宋体" w:hAnsi="宋体"/>
                <w:color w:val="auto"/>
                <w:sz w:val="24"/>
                <w:szCs w:val="24"/>
                <w:highlight w:val="none"/>
              </w:rPr>
            </w:pPr>
          </w:p>
        </w:tc>
        <w:tc>
          <w:tcPr>
            <w:tcW w:w="1495" w:type="dxa"/>
            <w:noWrap w:val="0"/>
            <w:vAlign w:val="center"/>
          </w:tcPr>
          <w:p w14:paraId="54B68228">
            <w:pPr>
              <w:widowControl w:val="0"/>
              <w:adjustRightInd w:val="0"/>
              <w:snapToGrid w:val="0"/>
              <w:spacing w:before="159" w:beforeLines="50" w:after="159" w:afterLines="50"/>
              <w:jc w:val="center"/>
              <w:rPr>
                <w:rFonts w:ascii="宋体" w:hAnsi="宋体"/>
                <w:color w:val="auto"/>
                <w:sz w:val="24"/>
                <w:szCs w:val="24"/>
                <w:highlight w:val="none"/>
              </w:rPr>
            </w:pPr>
          </w:p>
        </w:tc>
      </w:tr>
      <w:tr w14:paraId="3517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37D4C439">
            <w:pPr>
              <w:widowControl w:val="0"/>
              <w:adjustRightInd w:val="0"/>
              <w:snapToGrid w:val="0"/>
              <w:spacing w:before="159" w:beforeLines="50" w:after="159" w:afterLines="50"/>
              <w:jc w:val="center"/>
              <w:rPr>
                <w:rFonts w:ascii="宋体" w:hAnsi="宋体"/>
                <w:color w:val="auto"/>
                <w:sz w:val="24"/>
                <w:szCs w:val="24"/>
                <w:highlight w:val="none"/>
              </w:rPr>
            </w:pPr>
          </w:p>
        </w:tc>
        <w:tc>
          <w:tcPr>
            <w:tcW w:w="4957" w:type="dxa"/>
            <w:noWrap w:val="0"/>
            <w:vAlign w:val="center"/>
          </w:tcPr>
          <w:p w14:paraId="5FDD5B8D">
            <w:pPr>
              <w:widowControl w:val="0"/>
              <w:adjustRightInd w:val="0"/>
              <w:snapToGrid w:val="0"/>
              <w:spacing w:before="159" w:beforeLines="50" w:after="159" w:afterLines="50"/>
              <w:rPr>
                <w:rFonts w:ascii="宋体" w:hAnsi="宋体"/>
                <w:color w:val="auto"/>
                <w:sz w:val="24"/>
                <w:szCs w:val="24"/>
                <w:highlight w:val="none"/>
              </w:rPr>
            </w:pPr>
          </w:p>
        </w:tc>
        <w:tc>
          <w:tcPr>
            <w:tcW w:w="1804" w:type="dxa"/>
            <w:noWrap w:val="0"/>
            <w:vAlign w:val="center"/>
          </w:tcPr>
          <w:p w14:paraId="36FE1BE0">
            <w:pPr>
              <w:widowControl w:val="0"/>
              <w:adjustRightInd w:val="0"/>
              <w:snapToGrid w:val="0"/>
              <w:spacing w:before="159" w:beforeLines="50" w:after="159" w:afterLines="50"/>
              <w:jc w:val="center"/>
              <w:rPr>
                <w:rFonts w:ascii="宋体" w:hAnsi="宋体"/>
                <w:color w:val="auto"/>
                <w:sz w:val="24"/>
                <w:szCs w:val="24"/>
                <w:highlight w:val="none"/>
              </w:rPr>
            </w:pPr>
          </w:p>
        </w:tc>
        <w:tc>
          <w:tcPr>
            <w:tcW w:w="1495" w:type="dxa"/>
            <w:noWrap w:val="0"/>
            <w:vAlign w:val="center"/>
          </w:tcPr>
          <w:p w14:paraId="2E87745D">
            <w:pPr>
              <w:widowControl w:val="0"/>
              <w:adjustRightInd w:val="0"/>
              <w:snapToGrid w:val="0"/>
              <w:spacing w:before="159" w:beforeLines="50" w:after="159" w:afterLines="50"/>
              <w:jc w:val="center"/>
              <w:rPr>
                <w:rFonts w:ascii="宋体" w:hAnsi="宋体"/>
                <w:color w:val="auto"/>
                <w:sz w:val="24"/>
                <w:szCs w:val="24"/>
                <w:highlight w:val="none"/>
              </w:rPr>
            </w:pPr>
          </w:p>
        </w:tc>
      </w:tr>
      <w:tr w14:paraId="156D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26CB85A8">
            <w:pPr>
              <w:widowControl w:val="0"/>
              <w:adjustRightInd w:val="0"/>
              <w:snapToGrid w:val="0"/>
              <w:spacing w:before="159" w:beforeLines="50" w:after="159" w:afterLines="50"/>
              <w:jc w:val="center"/>
              <w:rPr>
                <w:rFonts w:ascii="宋体" w:hAnsi="宋体"/>
                <w:color w:val="auto"/>
                <w:sz w:val="24"/>
                <w:szCs w:val="24"/>
                <w:highlight w:val="none"/>
              </w:rPr>
            </w:pPr>
          </w:p>
        </w:tc>
        <w:tc>
          <w:tcPr>
            <w:tcW w:w="4957" w:type="dxa"/>
            <w:noWrap w:val="0"/>
            <w:vAlign w:val="center"/>
          </w:tcPr>
          <w:p w14:paraId="79A33527">
            <w:pPr>
              <w:widowControl w:val="0"/>
              <w:adjustRightInd w:val="0"/>
              <w:snapToGrid w:val="0"/>
              <w:spacing w:before="159" w:beforeLines="50" w:after="159" w:afterLines="50"/>
              <w:rPr>
                <w:rFonts w:ascii="宋体" w:hAnsi="宋体"/>
                <w:color w:val="auto"/>
                <w:sz w:val="24"/>
                <w:szCs w:val="24"/>
                <w:highlight w:val="none"/>
              </w:rPr>
            </w:pPr>
          </w:p>
        </w:tc>
        <w:tc>
          <w:tcPr>
            <w:tcW w:w="1804" w:type="dxa"/>
            <w:noWrap w:val="0"/>
            <w:vAlign w:val="center"/>
          </w:tcPr>
          <w:p w14:paraId="2BDF145E">
            <w:pPr>
              <w:widowControl w:val="0"/>
              <w:adjustRightInd w:val="0"/>
              <w:snapToGrid w:val="0"/>
              <w:spacing w:before="159" w:beforeLines="50" w:after="159" w:afterLines="50"/>
              <w:jc w:val="center"/>
              <w:rPr>
                <w:rFonts w:ascii="宋体" w:hAnsi="宋体"/>
                <w:color w:val="auto"/>
                <w:sz w:val="24"/>
                <w:szCs w:val="24"/>
                <w:highlight w:val="none"/>
              </w:rPr>
            </w:pPr>
          </w:p>
        </w:tc>
        <w:tc>
          <w:tcPr>
            <w:tcW w:w="1495" w:type="dxa"/>
            <w:noWrap w:val="0"/>
            <w:vAlign w:val="center"/>
          </w:tcPr>
          <w:p w14:paraId="13F75179">
            <w:pPr>
              <w:widowControl w:val="0"/>
              <w:adjustRightInd w:val="0"/>
              <w:snapToGrid w:val="0"/>
              <w:spacing w:before="159" w:beforeLines="50" w:after="159" w:afterLines="50"/>
              <w:jc w:val="center"/>
              <w:rPr>
                <w:rFonts w:ascii="宋体" w:hAnsi="宋体"/>
                <w:color w:val="auto"/>
                <w:sz w:val="24"/>
                <w:szCs w:val="24"/>
                <w:highlight w:val="none"/>
              </w:rPr>
            </w:pPr>
          </w:p>
        </w:tc>
      </w:tr>
      <w:tr w14:paraId="632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2E913854">
            <w:pPr>
              <w:widowControl w:val="0"/>
              <w:adjustRightInd w:val="0"/>
              <w:snapToGrid w:val="0"/>
              <w:spacing w:before="159" w:beforeLines="50" w:after="159" w:afterLines="50"/>
              <w:jc w:val="center"/>
              <w:rPr>
                <w:rFonts w:ascii="宋体" w:hAnsi="宋体"/>
                <w:color w:val="auto"/>
                <w:sz w:val="24"/>
                <w:szCs w:val="24"/>
                <w:highlight w:val="none"/>
              </w:rPr>
            </w:pPr>
          </w:p>
        </w:tc>
        <w:tc>
          <w:tcPr>
            <w:tcW w:w="4957" w:type="dxa"/>
            <w:noWrap w:val="0"/>
            <w:vAlign w:val="center"/>
          </w:tcPr>
          <w:p w14:paraId="57392F20">
            <w:pPr>
              <w:widowControl w:val="0"/>
              <w:adjustRightInd w:val="0"/>
              <w:snapToGrid w:val="0"/>
              <w:spacing w:before="159" w:beforeLines="50" w:after="159" w:afterLines="50"/>
              <w:rPr>
                <w:rFonts w:ascii="宋体" w:hAnsi="宋体"/>
                <w:color w:val="auto"/>
                <w:sz w:val="24"/>
                <w:szCs w:val="24"/>
                <w:highlight w:val="none"/>
              </w:rPr>
            </w:pPr>
          </w:p>
        </w:tc>
        <w:tc>
          <w:tcPr>
            <w:tcW w:w="1804" w:type="dxa"/>
            <w:noWrap w:val="0"/>
            <w:vAlign w:val="center"/>
          </w:tcPr>
          <w:p w14:paraId="781EEBEA">
            <w:pPr>
              <w:widowControl w:val="0"/>
              <w:adjustRightInd w:val="0"/>
              <w:snapToGrid w:val="0"/>
              <w:spacing w:before="159" w:beforeLines="50" w:after="159" w:afterLines="50"/>
              <w:jc w:val="center"/>
              <w:rPr>
                <w:rFonts w:ascii="宋体" w:hAnsi="宋体"/>
                <w:color w:val="auto"/>
                <w:sz w:val="24"/>
                <w:szCs w:val="24"/>
                <w:highlight w:val="none"/>
              </w:rPr>
            </w:pPr>
          </w:p>
        </w:tc>
        <w:tc>
          <w:tcPr>
            <w:tcW w:w="1495" w:type="dxa"/>
            <w:noWrap w:val="0"/>
            <w:vAlign w:val="center"/>
          </w:tcPr>
          <w:p w14:paraId="76B08C77">
            <w:pPr>
              <w:widowControl w:val="0"/>
              <w:adjustRightInd w:val="0"/>
              <w:snapToGrid w:val="0"/>
              <w:spacing w:before="159" w:beforeLines="50" w:after="159" w:afterLines="50"/>
              <w:jc w:val="center"/>
              <w:rPr>
                <w:rFonts w:ascii="宋体" w:hAnsi="宋体"/>
                <w:color w:val="auto"/>
                <w:sz w:val="24"/>
                <w:szCs w:val="24"/>
                <w:highlight w:val="none"/>
              </w:rPr>
            </w:pPr>
          </w:p>
        </w:tc>
      </w:tr>
      <w:tr w14:paraId="7333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center"/>
          </w:tcPr>
          <w:p w14:paraId="0FC45BD3">
            <w:pPr>
              <w:widowControl w:val="0"/>
              <w:adjustRightInd w:val="0"/>
              <w:snapToGrid w:val="0"/>
              <w:spacing w:before="159" w:beforeLines="50" w:after="159" w:afterLines="50"/>
              <w:jc w:val="center"/>
              <w:rPr>
                <w:rFonts w:ascii="宋体" w:hAnsi="宋体"/>
                <w:color w:val="auto"/>
                <w:sz w:val="24"/>
                <w:szCs w:val="24"/>
                <w:highlight w:val="none"/>
              </w:rPr>
            </w:pPr>
          </w:p>
        </w:tc>
        <w:tc>
          <w:tcPr>
            <w:tcW w:w="4957" w:type="dxa"/>
            <w:noWrap w:val="0"/>
            <w:vAlign w:val="center"/>
          </w:tcPr>
          <w:p w14:paraId="71D4FC4F">
            <w:pPr>
              <w:widowControl w:val="0"/>
              <w:adjustRightInd w:val="0"/>
              <w:snapToGrid w:val="0"/>
              <w:spacing w:before="159" w:beforeLines="50" w:after="159" w:afterLines="50"/>
              <w:rPr>
                <w:rFonts w:ascii="宋体" w:hAnsi="宋体"/>
                <w:color w:val="auto"/>
                <w:sz w:val="24"/>
                <w:szCs w:val="24"/>
                <w:highlight w:val="none"/>
              </w:rPr>
            </w:pPr>
          </w:p>
        </w:tc>
        <w:tc>
          <w:tcPr>
            <w:tcW w:w="1804" w:type="dxa"/>
            <w:noWrap w:val="0"/>
            <w:vAlign w:val="center"/>
          </w:tcPr>
          <w:p w14:paraId="55D540C9">
            <w:pPr>
              <w:widowControl w:val="0"/>
              <w:adjustRightInd w:val="0"/>
              <w:snapToGrid w:val="0"/>
              <w:spacing w:before="159" w:beforeLines="50" w:after="159" w:afterLines="50"/>
              <w:jc w:val="center"/>
              <w:rPr>
                <w:rFonts w:ascii="宋体" w:hAnsi="宋体"/>
                <w:color w:val="auto"/>
                <w:sz w:val="24"/>
                <w:szCs w:val="24"/>
                <w:highlight w:val="none"/>
              </w:rPr>
            </w:pPr>
          </w:p>
        </w:tc>
        <w:tc>
          <w:tcPr>
            <w:tcW w:w="1495" w:type="dxa"/>
            <w:noWrap w:val="0"/>
            <w:vAlign w:val="center"/>
          </w:tcPr>
          <w:p w14:paraId="2A9D0B9A">
            <w:pPr>
              <w:widowControl w:val="0"/>
              <w:adjustRightInd w:val="0"/>
              <w:snapToGrid w:val="0"/>
              <w:spacing w:before="159" w:beforeLines="50" w:after="159" w:afterLines="50"/>
              <w:jc w:val="center"/>
              <w:rPr>
                <w:rFonts w:ascii="宋体" w:hAnsi="宋体"/>
                <w:color w:val="auto"/>
                <w:sz w:val="24"/>
                <w:szCs w:val="24"/>
                <w:highlight w:val="none"/>
              </w:rPr>
            </w:pPr>
          </w:p>
        </w:tc>
      </w:tr>
    </w:tbl>
    <w:p w14:paraId="259470BE">
      <w:pPr>
        <w:widowControl w:val="0"/>
        <w:adjustRightInd w:val="0"/>
        <w:snapToGrid w:val="0"/>
        <w:spacing w:line="360" w:lineRule="auto"/>
        <w:rPr>
          <w:rFonts w:ascii="宋体" w:hAnsi="宋体"/>
          <w:b/>
          <w:color w:val="auto"/>
          <w:sz w:val="24"/>
          <w:szCs w:val="24"/>
          <w:highlight w:val="none"/>
        </w:rPr>
      </w:pPr>
    </w:p>
    <w:p w14:paraId="681D8E29">
      <w:pPr>
        <w:widowControl w:val="0"/>
        <w:adjustRightInd w:val="0"/>
        <w:snapToGrid w:val="0"/>
        <w:spacing w:line="360" w:lineRule="auto"/>
        <w:ind w:firstLine="3360" w:firstLineChars="1400"/>
        <w:rPr>
          <w:rFonts w:ascii="宋体" w:hAnsi="宋体" w:cs="宋体"/>
          <w:color w:val="auto"/>
          <w:sz w:val="24"/>
          <w:szCs w:val="24"/>
          <w:highlight w:val="none"/>
        </w:rPr>
      </w:pPr>
    </w:p>
    <w:p w14:paraId="37D37665">
      <w:pPr>
        <w:widowControl w:val="0"/>
        <w:adjustRightInd w:val="0"/>
        <w:snapToGrid w:val="0"/>
        <w:spacing w:line="360" w:lineRule="auto"/>
        <w:ind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E26CDC0">
      <w:pPr>
        <w:pStyle w:val="137"/>
        <w:rPr>
          <w:color w:val="auto"/>
          <w:highlight w:val="none"/>
        </w:rPr>
      </w:pPr>
    </w:p>
    <w:p w14:paraId="677EFE19">
      <w:pPr>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（二）技术要求偏差表</w:t>
      </w:r>
    </w:p>
    <w:p w14:paraId="7212C046">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投标人需对应招标文件“第二章用户需求书”中“技术要求”中的条款逐条应答并按以下要求填写附表</w:t>
      </w:r>
      <w:r>
        <w:rPr>
          <w:rFonts w:hint="eastAsia" w:ascii="宋体" w:hAnsi="宋体" w:cs="宋体"/>
          <w:color w:val="auto"/>
          <w:sz w:val="24"/>
          <w:szCs w:val="24"/>
          <w:highlight w:val="none"/>
          <w:lang w:eastAsia="zh-CN"/>
        </w:rPr>
        <w:t>：</w:t>
      </w:r>
    </w:p>
    <w:p w14:paraId="57670AF5">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①对技术要求中认为需要偏差的条款进行逐条列明，并准确描述。</w:t>
      </w:r>
    </w:p>
    <w:p w14:paraId="7E1C0B0F">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②技术要求不允许负偏差，如出现负偏差，评标委员会应否决其投标。无论是正偏离还是负偏离，均需填写并将差异情况（包括优于技术要求的有关条款）在表格中准确描述。</w:t>
      </w:r>
    </w:p>
    <w:p w14:paraId="119A8909">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③投标人不得修改招标文件“第二章用户需求书”中“技术要求”中的条款后再做应答。</w:t>
      </w:r>
    </w:p>
    <w:p w14:paraId="0241E5B0">
      <w:pPr>
        <w:adjustRightInd w:val="0"/>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④如无偏离，可注明完全响应。</w:t>
      </w:r>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235"/>
        <w:gridCol w:w="1609"/>
        <w:gridCol w:w="1491"/>
      </w:tblGrid>
      <w:tr w14:paraId="1C8F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5921F4F3">
            <w:pPr>
              <w:adjustRightInd w:val="0"/>
              <w:snapToGrid w:val="0"/>
              <w:spacing w:before="159" w:beforeLines="50" w:after="159"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5235" w:type="dxa"/>
            <w:noWrap w:val="0"/>
            <w:vAlign w:val="center"/>
          </w:tcPr>
          <w:p w14:paraId="0193B9B9">
            <w:pPr>
              <w:adjustRightInd w:val="0"/>
              <w:snapToGrid w:val="0"/>
              <w:spacing w:before="159" w:beforeLines="50" w:after="159"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“第二章用户需求书”中“技术要求”中的条款</w:t>
            </w:r>
          </w:p>
        </w:tc>
        <w:tc>
          <w:tcPr>
            <w:tcW w:w="1609" w:type="dxa"/>
            <w:noWrap w:val="0"/>
            <w:vAlign w:val="center"/>
          </w:tcPr>
          <w:p w14:paraId="4442B0F8">
            <w:pPr>
              <w:adjustRightInd w:val="0"/>
              <w:snapToGrid w:val="0"/>
              <w:spacing w:before="159" w:beforeLines="50" w:after="159"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应答情况</w:t>
            </w:r>
          </w:p>
          <w:p w14:paraId="200401D4">
            <w:pPr>
              <w:adjustRightInd w:val="0"/>
              <w:snapToGrid w:val="0"/>
              <w:spacing w:before="159" w:beforeLines="50" w:after="159"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（响应/负偏差/正偏差）</w:t>
            </w:r>
          </w:p>
        </w:tc>
        <w:tc>
          <w:tcPr>
            <w:tcW w:w="1491" w:type="dxa"/>
            <w:noWrap w:val="0"/>
            <w:vAlign w:val="center"/>
          </w:tcPr>
          <w:p w14:paraId="358405B9">
            <w:pPr>
              <w:adjustRightInd w:val="0"/>
              <w:snapToGrid w:val="0"/>
              <w:spacing w:before="159" w:beforeLines="50" w:after="159"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如有偏差，应详细描述</w:t>
            </w:r>
          </w:p>
        </w:tc>
      </w:tr>
      <w:tr w14:paraId="28F4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1B3C01E8">
            <w:pPr>
              <w:adjustRightInd w:val="0"/>
              <w:snapToGrid w:val="0"/>
              <w:spacing w:before="159" w:beforeLines="50" w:after="159"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一</w:t>
            </w:r>
          </w:p>
        </w:tc>
        <w:tc>
          <w:tcPr>
            <w:tcW w:w="5235" w:type="dxa"/>
            <w:noWrap w:val="0"/>
            <w:vAlign w:val="center"/>
          </w:tcPr>
          <w:p w14:paraId="6ADEEE51">
            <w:pPr>
              <w:adjustRightInd w:val="0"/>
              <w:snapToGrid w:val="0"/>
              <w:spacing w:before="159" w:beforeLines="50" w:after="159" w:afterLines="50"/>
              <w:jc w:val="center"/>
              <w:rPr>
                <w:rFonts w:ascii="宋体" w:hAnsi="宋体" w:cs="宋体"/>
                <w:b/>
                <w:color w:val="auto"/>
                <w:sz w:val="24"/>
                <w:szCs w:val="24"/>
                <w:highlight w:val="none"/>
              </w:rPr>
            </w:pPr>
          </w:p>
        </w:tc>
        <w:tc>
          <w:tcPr>
            <w:tcW w:w="1609" w:type="dxa"/>
            <w:noWrap w:val="0"/>
            <w:vAlign w:val="center"/>
          </w:tcPr>
          <w:p w14:paraId="15B1117B">
            <w:pPr>
              <w:adjustRightInd w:val="0"/>
              <w:snapToGrid w:val="0"/>
              <w:spacing w:before="159" w:beforeLines="50" w:after="159" w:afterLines="50"/>
              <w:jc w:val="center"/>
              <w:rPr>
                <w:rFonts w:ascii="宋体" w:hAnsi="宋体" w:cs="宋体"/>
                <w:b/>
                <w:color w:val="auto"/>
                <w:sz w:val="24"/>
                <w:szCs w:val="24"/>
                <w:highlight w:val="none"/>
              </w:rPr>
            </w:pPr>
          </w:p>
        </w:tc>
        <w:tc>
          <w:tcPr>
            <w:tcW w:w="1491" w:type="dxa"/>
            <w:noWrap w:val="0"/>
            <w:vAlign w:val="center"/>
          </w:tcPr>
          <w:p w14:paraId="34945036">
            <w:pPr>
              <w:adjustRightInd w:val="0"/>
              <w:snapToGrid w:val="0"/>
              <w:spacing w:before="159" w:beforeLines="50" w:after="159" w:afterLines="50"/>
              <w:jc w:val="center"/>
              <w:rPr>
                <w:rFonts w:ascii="宋体" w:hAnsi="宋体" w:cs="宋体"/>
                <w:b/>
                <w:color w:val="auto"/>
                <w:sz w:val="24"/>
                <w:szCs w:val="24"/>
                <w:highlight w:val="none"/>
              </w:rPr>
            </w:pPr>
          </w:p>
        </w:tc>
      </w:tr>
      <w:tr w14:paraId="076C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1CEB0DC2">
            <w:pPr>
              <w:adjustRightInd w:val="0"/>
              <w:snapToGrid w:val="0"/>
              <w:spacing w:before="159" w:beforeLines="50" w:after="159" w:afterLines="50"/>
              <w:jc w:val="center"/>
              <w:rPr>
                <w:rFonts w:ascii="宋体" w:hAnsi="宋体" w:cs="宋体"/>
                <w:color w:val="auto"/>
                <w:sz w:val="24"/>
                <w:szCs w:val="24"/>
                <w:highlight w:val="none"/>
              </w:rPr>
            </w:pPr>
          </w:p>
        </w:tc>
        <w:tc>
          <w:tcPr>
            <w:tcW w:w="5235" w:type="dxa"/>
            <w:noWrap w:val="0"/>
            <w:vAlign w:val="center"/>
          </w:tcPr>
          <w:p w14:paraId="2FCC6C1F">
            <w:pPr>
              <w:adjustRightInd w:val="0"/>
              <w:snapToGrid w:val="0"/>
              <w:spacing w:before="159" w:beforeLines="50" w:after="159" w:afterLines="50"/>
              <w:jc w:val="center"/>
              <w:rPr>
                <w:rFonts w:ascii="宋体" w:hAnsi="宋体" w:cs="宋体"/>
                <w:color w:val="auto"/>
                <w:sz w:val="24"/>
                <w:szCs w:val="24"/>
                <w:highlight w:val="none"/>
              </w:rPr>
            </w:pPr>
          </w:p>
        </w:tc>
        <w:tc>
          <w:tcPr>
            <w:tcW w:w="1609" w:type="dxa"/>
            <w:noWrap w:val="0"/>
            <w:vAlign w:val="center"/>
          </w:tcPr>
          <w:p w14:paraId="70B692C1">
            <w:pPr>
              <w:adjustRightInd w:val="0"/>
              <w:snapToGrid w:val="0"/>
              <w:spacing w:before="159" w:beforeLines="50" w:after="159" w:afterLines="50"/>
              <w:jc w:val="center"/>
              <w:rPr>
                <w:rFonts w:ascii="宋体" w:hAnsi="宋体" w:cs="宋体"/>
                <w:color w:val="auto"/>
                <w:sz w:val="24"/>
                <w:szCs w:val="24"/>
                <w:highlight w:val="none"/>
              </w:rPr>
            </w:pPr>
          </w:p>
        </w:tc>
        <w:tc>
          <w:tcPr>
            <w:tcW w:w="1491" w:type="dxa"/>
            <w:noWrap w:val="0"/>
            <w:vAlign w:val="center"/>
          </w:tcPr>
          <w:p w14:paraId="225E1BAD">
            <w:pPr>
              <w:adjustRightInd w:val="0"/>
              <w:snapToGrid w:val="0"/>
              <w:spacing w:before="159" w:beforeLines="50" w:after="159" w:afterLines="50"/>
              <w:jc w:val="center"/>
              <w:rPr>
                <w:rFonts w:ascii="宋体" w:hAnsi="宋体" w:cs="宋体"/>
                <w:color w:val="auto"/>
                <w:sz w:val="24"/>
                <w:szCs w:val="24"/>
                <w:highlight w:val="none"/>
              </w:rPr>
            </w:pPr>
          </w:p>
        </w:tc>
      </w:tr>
      <w:tr w14:paraId="31AC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3EFAF074">
            <w:pPr>
              <w:adjustRightInd w:val="0"/>
              <w:snapToGrid w:val="0"/>
              <w:spacing w:before="159" w:beforeLines="50" w:after="159" w:afterLines="50"/>
              <w:jc w:val="center"/>
              <w:rPr>
                <w:rFonts w:ascii="宋体" w:hAnsi="宋体" w:cs="宋体"/>
                <w:color w:val="auto"/>
                <w:sz w:val="24"/>
                <w:szCs w:val="24"/>
                <w:highlight w:val="none"/>
              </w:rPr>
            </w:pPr>
          </w:p>
        </w:tc>
        <w:tc>
          <w:tcPr>
            <w:tcW w:w="5235" w:type="dxa"/>
            <w:noWrap w:val="0"/>
            <w:vAlign w:val="center"/>
          </w:tcPr>
          <w:p w14:paraId="5E91493C">
            <w:pPr>
              <w:adjustRightInd w:val="0"/>
              <w:snapToGrid w:val="0"/>
              <w:spacing w:before="159" w:beforeLines="50" w:after="159" w:afterLines="50"/>
              <w:rPr>
                <w:rFonts w:ascii="宋体" w:hAnsi="宋体" w:cs="宋体"/>
                <w:color w:val="auto"/>
                <w:sz w:val="24"/>
                <w:szCs w:val="24"/>
                <w:highlight w:val="none"/>
              </w:rPr>
            </w:pPr>
          </w:p>
        </w:tc>
        <w:tc>
          <w:tcPr>
            <w:tcW w:w="1609" w:type="dxa"/>
            <w:noWrap w:val="0"/>
            <w:vAlign w:val="center"/>
          </w:tcPr>
          <w:p w14:paraId="1B08F4DD">
            <w:pPr>
              <w:adjustRightInd w:val="0"/>
              <w:snapToGrid w:val="0"/>
              <w:spacing w:before="159" w:beforeLines="50" w:after="159" w:afterLines="50"/>
              <w:jc w:val="center"/>
              <w:rPr>
                <w:rFonts w:ascii="宋体" w:hAnsi="宋体" w:cs="宋体"/>
                <w:color w:val="auto"/>
                <w:sz w:val="24"/>
                <w:szCs w:val="24"/>
                <w:highlight w:val="none"/>
              </w:rPr>
            </w:pPr>
          </w:p>
        </w:tc>
        <w:tc>
          <w:tcPr>
            <w:tcW w:w="1491" w:type="dxa"/>
            <w:noWrap w:val="0"/>
            <w:vAlign w:val="center"/>
          </w:tcPr>
          <w:p w14:paraId="7473F8F3">
            <w:pPr>
              <w:adjustRightInd w:val="0"/>
              <w:snapToGrid w:val="0"/>
              <w:spacing w:before="159" w:beforeLines="50" w:after="159" w:afterLines="50"/>
              <w:jc w:val="center"/>
              <w:rPr>
                <w:rFonts w:ascii="宋体" w:hAnsi="宋体" w:cs="宋体"/>
                <w:color w:val="auto"/>
                <w:sz w:val="24"/>
                <w:szCs w:val="24"/>
                <w:highlight w:val="none"/>
              </w:rPr>
            </w:pPr>
          </w:p>
        </w:tc>
      </w:tr>
      <w:tr w14:paraId="1DE3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530C326E">
            <w:pPr>
              <w:adjustRightInd w:val="0"/>
              <w:snapToGrid w:val="0"/>
              <w:spacing w:before="159" w:beforeLines="50" w:after="159" w:afterLines="50"/>
              <w:jc w:val="center"/>
              <w:rPr>
                <w:rFonts w:ascii="宋体" w:hAnsi="宋体" w:cs="宋体"/>
                <w:color w:val="auto"/>
                <w:sz w:val="24"/>
                <w:szCs w:val="24"/>
                <w:highlight w:val="none"/>
              </w:rPr>
            </w:pPr>
          </w:p>
        </w:tc>
        <w:tc>
          <w:tcPr>
            <w:tcW w:w="5235" w:type="dxa"/>
            <w:noWrap w:val="0"/>
            <w:vAlign w:val="center"/>
          </w:tcPr>
          <w:p w14:paraId="4BA76CAD">
            <w:pPr>
              <w:spacing w:line="440" w:lineRule="exact"/>
              <w:rPr>
                <w:rFonts w:ascii="宋体" w:hAnsi="宋体" w:cs="宋体"/>
                <w:color w:val="auto"/>
                <w:sz w:val="24"/>
                <w:szCs w:val="24"/>
                <w:highlight w:val="none"/>
              </w:rPr>
            </w:pPr>
          </w:p>
        </w:tc>
        <w:tc>
          <w:tcPr>
            <w:tcW w:w="1609" w:type="dxa"/>
            <w:noWrap w:val="0"/>
            <w:vAlign w:val="center"/>
          </w:tcPr>
          <w:p w14:paraId="5FFCA0B5">
            <w:pPr>
              <w:adjustRightInd w:val="0"/>
              <w:snapToGrid w:val="0"/>
              <w:spacing w:before="159" w:beforeLines="50" w:after="159" w:afterLines="50"/>
              <w:jc w:val="center"/>
              <w:rPr>
                <w:rFonts w:ascii="宋体" w:hAnsi="宋体" w:cs="宋体"/>
                <w:color w:val="auto"/>
                <w:sz w:val="24"/>
                <w:szCs w:val="24"/>
                <w:highlight w:val="none"/>
              </w:rPr>
            </w:pPr>
          </w:p>
        </w:tc>
        <w:tc>
          <w:tcPr>
            <w:tcW w:w="1491" w:type="dxa"/>
            <w:noWrap w:val="0"/>
            <w:vAlign w:val="center"/>
          </w:tcPr>
          <w:p w14:paraId="6DB56296">
            <w:pPr>
              <w:adjustRightInd w:val="0"/>
              <w:snapToGrid w:val="0"/>
              <w:spacing w:before="159" w:beforeLines="50" w:after="159" w:afterLines="50"/>
              <w:jc w:val="center"/>
              <w:rPr>
                <w:rFonts w:ascii="宋体" w:hAnsi="宋体" w:cs="宋体"/>
                <w:color w:val="auto"/>
                <w:sz w:val="24"/>
                <w:szCs w:val="24"/>
                <w:highlight w:val="none"/>
              </w:rPr>
            </w:pPr>
          </w:p>
        </w:tc>
      </w:tr>
      <w:tr w14:paraId="4660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297D6EA4">
            <w:pPr>
              <w:adjustRightInd w:val="0"/>
              <w:snapToGrid w:val="0"/>
              <w:spacing w:before="159" w:beforeLines="50" w:after="159" w:afterLines="50"/>
              <w:jc w:val="center"/>
              <w:rPr>
                <w:rFonts w:ascii="宋体" w:hAnsi="宋体" w:cs="宋体"/>
                <w:color w:val="auto"/>
                <w:sz w:val="24"/>
                <w:szCs w:val="24"/>
                <w:highlight w:val="none"/>
              </w:rPr>
            </w:pPr>
          </w:p>
        </w:tc>
        <w:tc>
          <w:tcPr>
            <w:tcW w:w="5235" w:type="dxa"/>
            <w:noWrap w:val="0"/>
            <w:vAlign w:val="center"/>
          </w:tcPr>
          <w:p w14:paraId="4E6B2D33">
            <w:pPr>
              <w:adjustRightInd w:val="0"/>
              <w:snapToGrid w:val="0"/>
              <w:spacing w:before="159" w:beforeLines="50" w:after="159" w:afterLines="50"/>
              <w:ind w:firstLine="480" w:firstLineChars="200"/>
              <w:rPr>
                <w:rFonts w:ascii="宋体" w:hAnsi="宋体" w:cs="宋体"/>
                <w:color w:val="auto"/>
                <w:sz w:val="24"/>
                <w:szCs w:val="24"/>
                <w:highlight w:val="none"/>
              </w:rPr>
            </w:pPr>
          </w:p>
        </w:tc>
        <w:tc>
          <w:tcPr>
            <w:tcW w:w="1609" w:type="dxa"/>
            <w:noWrap w:val="0"/>
            <w:vAlign w:val="center"/>
          </w:tcPr>
          <w:p w14:paraId="39CB3903">
            <w:pPr>
              <w:adjustRightInd w:val="0"/>
              <w:snapToGrid w:val="0"/>
              <w:spacing w:before="159" w:beforeLines="50" w:after="159" w:afterLines="50"/>
              <w:jc w:val="center"/>
              <w:rPr>
                <w:rFonts w:ascii="宋体" w:hAnsi="宋体" w:cs="宋体"/>
                <w:color w:val="auto"/>
                <w:sz w:val="24"/>
                <w:szCs w:val="24"/>
                <w:highlight w:val="none"/>
              </w:rPr>
            </w:pPr>
          </w:p>
        </w:tc>
        <w:tc>
          <w:tcPr>
            <w:tcW w:w="1491" w:type="dxa"/>
            <w:noWrap w:val="0"/>
            <w:vAlign w:val="center"/>
          </w:tcPr>
          <w:p w14:paraId="3D0C0E59">
            <w:pPr>
              <w:adjustRightInd w:val="0"/>
              <w:snapToGrid w:val="0"/>
              <w:spacing w:before="159" w:beforeLines="50" w:after="159" w:afterLines="50"/>
              <w:jc w:val="center"/>
              <w:rPr>
                <w:rFonts w:ascii="宋体" w:hAnsi="宋体" w:cs="宋体"/>
                <w:color w:val="auto"/>
                <w:sz w:val="24"/>
                <w:szCs w:val="24"/>
                <w:highlight w:val="none"/>
              </w:rPr>
            </w:pPr>
          </w:p>
        </w:tc>
      </w:tr>
      <w:tr w14:paraId="2784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28CBD55A">
            <w:pPr>
              <w:adjustRightInd w:val="0"/>
              <w:snapToGrid w:val="0"/>
              <w:spacing w:before="159" w:beforeLines="50" w:after="159" w:afterLines="50"/>
              <w:jc w:val="center"/>
              <w:rPr>
                <w:rFonts w:ascii="宋体" w:hAnsi="宋体" w:cs="宋体"/>
                <w:color w:val="auto"/>
                <w:sz w:val="24"/>
                <w:szCs w:val="24"/>
                <w:highlight w:val="none"/>
              </w:rPr>
            </w:pPr>
          </w:p>
        </w:tc>
        <w:tc>
          <w:tcPr>
            <w:tcW w:w="5235" w:type="dxa"/>
            <w:noWrap w:val="0"/>
            <w:vAlign w:val="center"/>
          </w:tcPr>
          <w:p w14:paraId="5C2D7622">
            <w:pPr>
              <w:adjustRightInd w:val="0"/>
              <w:snapToGrid w:val="0"/>
              <w:spacing w:before="159" w:beforeLines="50" w:after="159" w:afterLines="50"/>
              <w:rPr>
                <w:rFonts w:ascii="宋体" w:hAnsi="宋体" w:cs="宋体"/>
                <w:color w:val="auto"/>
                <w:sz w:val="24"/>
                <w:szCs w:val="24"/>
                <w:highlight w:val="none"/>
              </w:rPr>
            </w:pPr>
          </w:p>
        </w:tc>
        <w:tc>
          <w:tcPr>
            <w:tcW w:w="1609" w:type="dxa"/>
            <w:noWrap w:val="0"/>
            <w:vAlign w:val="center"/>
          </w:tcPr>
          <w:p w14:paraId="190D1A88">
            <w:pPr>
              <w:adjustRightInd w:val="0"/>
              <w:snapToGrid w:val="0"/>
              <w:spacing w:before="159" w:beforeLines="50" w:after="159" w:afterLines="50"/>
              <w:jc w:val="center"/>
              <w:rPr>
                <w:rFonts w:ascii="宋体" w:hAnsi="宋体" w:cs="宋体"/>
                <w:color w:val="auto"/>
                <w:sz w:val="24"/>
                <w:szCs w:val="24"/>
                <w:highlight w:val="none"/>
              </w:rPr>
            </w:pPr>
          </w:p>
        </w:tc>
        <w:tc>
          <w:tcPr>
            <w:tcW w:w="1491" w:type="dxa"/>
            <w:noWrap w:val="0"/>
            <w:vAlign w:val="center"/>
          </w:tcPr>
          <w:p w14:paraId="37CC80FC">
            <w:pPr>
              <w:adjustRightInd w:val="0"/>
              <w:snapToGrid w:val="0"/>
              <w:spacing w:before="159" w:beforeLines="50" w:after="159" w:afterLines="50"/>
              <w:jc w:val="center"/>
              <w:rPr>
                <w:rFonts w:ascii="宋体" w:hAnsi="宋体" w:cs="宋体"/>
                <w:color w:val="auto"/>
                <w:sz w:val="24"/>
                <w:szCs w:val="24"/>
                <w:highlight w:val="none"/>
              </w:rPr>
            </w:pPr>
          </w:p>
        </w:tc>
      </w:tr>
      <w:tr w14:paraId="3DE8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5E8AD504">
            <w:pPr>
              <w:adjustRightInd w:val="0"/>
              <w:snapToGrid w:val="0"/>
              <w:spacing w:before="159" w:beforeLines="50" w:after="159" w:afterLines="50"/>
              <w:jc w:val="center"/>
              <w:rPr>
                <w:rFonts w:ascii="宋体" w:hAnsi="宋体" w:cs="宋体"/>
                <w:color w:val="auto"/>
                <w:sz w:val="24"/>
                <w:szCs w:val="24"/>
                <w:highlight w:val="none"/>
              </w:rPr>
            </w:pPr>
          </w:p>
        </w:tc>
        <w:tc>
          <w:tcPr>
            <w:tcW w:w="5235" w:type="dxa"/>
            <w:noWrap w:val="0"/>
            <w:vAlign w:val="center"/>
          </w:tcPr>
          <w:p w14:paraId="4B1EA4DE">
            <w:pPr>
              <w:adjustRightInd w:val="0"/>
              <w:snapToGrid w:val="0"/>
              <w:spacing w:before="159" w:beforeLines="50" w:after="159" w:afterLines="50"/>
              <w:rPr>
                <w:rFonts w:ascii="宋体" w:hAnsi="宋体" w:cs="宋体"/>
                <w:color w:val="auto"/>
                <w:sz w:val="24"/>
                <w:szCs w:val="24"/>
                <w:highlight w:val="none"/>
              </w:rPr>
            </w:pPr>
          </w:p>
        </w:tc>
        <w:tc>
          <w:tcPr>
            <w:tcW w:w="1609" w:type="dxa"/>
            <w:noWrap w:val="0"/>
            <w:vAlign w:val="center"/>
          </w:tcPr>
          <w:p w14:paraId="12E221E8">
            <w:pPr>
              <w:adjustRightInd w:val="0"/>
              <w:snapToGrid w:val="0"/>
              <w:spacing w:before="159" w:beforeLines="50" w:after="159" w:afterLines="50"/>
              <w:jc w:val="center"/>
              <w:rPr>
                <w:rFonts w:ascii="宋体" w:hAnsi="宋体" w:cs="宋体"/>
                <w:color w:val="auto"/>
                <w:sz w:val="24"/>
                <w:szCs w:val="24"/>
                <w:highlight w:val="none"/>
              </w:rPr>
            </w:pPr>
          </w:p>
        </w:tc>
        <w:tc>
          <w:tcPr>
            <w:tcW w:w="1491" w:type="dxa"/>
            <w:noWrap w:val="0"/>
            <w:vAlign w:val="center"/>
          </w:tcPr>
          <w:p w14:paraId="231FC5DD">
            <w:pPr>
              <w:adjustRightInd w:val="0"/>
              <w:snapToGrid w:val="0"/>
              <w:spacing w:before="159" w:beforeLines="50" w:after="159" w:afterLines="50"/>
              <w:jc w:val="center"/>
              <w:rPr>
                <w:rFonts w:ascii="宋体" w:hAnsi="宋体" w:cs="宋体"/>
                <w:color w:val="auto"/>
                <w:sz w:val="24"/>
                <w:szCs w:val="24"/>
                <w:highlight w:val="none"/>
              </w:rPr>
            </w:pPr>
          </w:p>
        </w:tc>
      </w:tr>
    </w:tbl>
    <w:p w14:paraId="064B5099">
      <w:pPr>
        <w:adjustRightInd w:val="0"/>
        <w:snapToGrid w:val="0"/>
        <w:spacing w:line="360" w:lineRule="auto"/>
        <w:rPr>
          <w:rFonts w:ascii="宋体" w:hAnsi="宋体" w:cs="宋体"/>
          <w:b/>
          <w:color w:val="auto"/>
          <w:sz w:val="24"/>
          <w:szCs w:val="24"/>
          <w:highlight w:val="none"/>
        </w:rPr>
      </w:pPr>
    </w:p>
    <w:p w14:paraId="7F68432A">
      <w:pPr>
        <w:adjustRightInd w:val="0"/>
        <w:snapToGrid w:val="0"/>
        <w:spacing w:line="360" w:lineRule="auto"/>
        <w:ind w:firstLine="3360" w:firstLineChars="1400"/>
        <w:rPr>
          <w:rFonts w:ascii="宋体" w:hAnsi="宋体" w:cs="宋体"/>
          <w:color w:val="auto"/>
          <w:sz w:val="24"/>
          <w:szCs w:val="24"/>
          <w:highlight w:val="none"/>
        </w:rPr>
      </w:pPr>
    </w:p>
    <w:p w14:paraId="0F52A368">
      <w:pPr>
        <w:pStyle w:val="41"/>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0D35444">
      <w:pPr>
        <w:pStyle w:val="41"/>
        <w:ind w:firstLine="0" w:firstLineChars="0"/>
        <w:rPr>
          <w:rFonts w:ascii="宋体" w:hAnsi="宋体" w:cs="宋体"/>
          <w:color w:val="auto"/>
          <w:sz w:val="24"/>
          <w:szCs w:val="24"/>
          <w:highlight w:val="none"/>
        </w:rPr>
      </w:pPr>
    </w:p>
    <w:p w14:paraId="14F8F1C8">
      <w:pPr>
        <w:pStyle w:val="41"/>
        <w:ind w:firstLine="0" w:firstLineChars="0"/>
        <w:rPr>
          <w:rFonts w:ascii="宋体" w:hAnsi="宋体" w:cs="宋体"/>
          <w:color w:val="auto"/>
          <w:sz w:val="24"/>
          <w:szCs w:val="24"/>
          <w:highlight w:val="none"/>
        </w:rPr>
      </w:pPr>
    </w:p>
    <w:p w14:paraId="67FE07AE">
      <w:pPr>
        <w:widowControl/>
        <w:spacing w:line="240" w:lineRule="auto"/>
        <w:jc w:val="center"/>
        <w:outlineLvl w:val="9"/>
        <w:rPr>
          <w:rFonts w:hint="eastAsia" w:cs="宋体"/>
          <w:b/>
          <w:bCs/>
          <w:color w:val="auto"/>
          <w:sz w:val="32"/>
          <w:szCs w:val="32"/>
          <w:highlight w:val="none"/>
        </w:rPr>
      </w:pPr>
    </w:p>
    <w:p w14:paraId="3EAE7640">
      <w:pPr>
        <w:widowControl/>
        <w:spacing w:line="240" w:lineRule="auto"/>
        <w:jc w:val="center"/>
        <w:outlineLvl w:val="9"/>
        <w:rPr>
          <w:bCs/>
          <w:color w:val="auto"/>
          <w:sz w:val="24"/>
          <w:szCs w:val="24"/>
          <w:highlight w:val="none"/>
        </w:rPr>
      </w:pPr>
      <w:r>
        <w:rPr>
          <w:rFonts w:hint="eastAsia" w:cs="宋体"/>
          <w:b/>
          <w:bCs/>
          <w:color w:val="auto"/>
          <w:sz w:val="32"/>
          <w:szCs w:val="32"/>
          <w:highlight w:val="none"/>
        </w:rPr>
        <w:t>投标人基本情况表</w:t>
      </w:r>
    </w:p>
    <w:tbl>
      <w:tblPr>
        <w:tblStyle w:val="42"/>
        <w:tblpPr w:leftFromText="180" w:rightFromText="180" w:vertAnchor="text" w:horzAnchor="page" w:tblpX="1625" w:tblpY="3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1234"/>
        <w:gridCol w:w="1547"/>
        <w:gridCol w:w="1475"/>
        <w:gridCol w:w="1807"/>
      </w:tblGrid>
      <w:tr w14:paraId="3E5F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3661E0B6">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063" w:type="dxa"/>
            <w:gridSpan w:val="4"/>
            <w:noWrap w:val="0"/>
            <w:vAlign w:val="center"/>
          </w:tcPr>
          <w:p w14:paraId="6C61CF04">
            <w:pPr>
              <w:spacing w:before="159" w:beforeLines="50" w:after="159" w:afterLines="50"/>
              <w:jc w:val="center"/>
              <w:rPr>
                <w:rFonts w:ascii="宋体" w:hAnsi="宋体" w:cs="宋体"/>
                <w:color w:val="auto"/>
                <w:sz w:val="24"/>
                <w:szCs w:val="24"/>
                <w:highlight w:val="none"/>
              </w:rPr>
            </w:pPr>
          </w:p>
        </w:tc>
      </w:tr>
      <w:tr w14:paraId="26B3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63C7EC68">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2781" w:type="dxa"/>
            <w:gridSpan w:val="2"/>
            <w:noWrap w:val="0"/>
            <w:vAlign w:val="center"/>
          </w:tcPr>
          <w:p w14:paraId="10F8717D">
            <w:pPr>
              <w:spacing w:before="159" w:beforeLines="50" w:after="159" w:afterLines="50"/>
              <w:jc w:val="center"/>
              <w:rPr>
                <w:rFonts w:ascii="宋体" w:hAnsi="宋体" w:cs="宋体"/>
                <w:color w:val="auto"/>
                <w:sz w:val="24"/>
                <w:szCs w:val="24"/>
                <w:highlight w:val="none"/>
              </w:rPr>
            </w:pPr>
          </w:p>
        </w:tc>
        <w:tc>
          <w:tcPr>
            <w:tcW w:w="1475" w:type="dxa"/>
            <w:noWrap w:val="0"/>
            <w:vAlign w:val="center"/>
          </w:tcPr>
          <w:p w14:paraId="30C6D8F7">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1807" w:type="dxa"/>
            <w:noWrap w:val="0"/>
            <w:vAlign w:val="center"/>
          </w:tcPr>
          <w:p w14:paraId="019EE105">
            <w:pPr>
              <w:spacing w:before="159" w:beforeLines="50" w:after="159" w:afterLines="50"/>
              <w:jc w:val="center"/>
              <w:rPr>
                <w:rFonts w:ascii="宋体" w:hAnsi="宋体" w:cs="宋体"/>
                <w:color w:val="auto"/>
                <w:sz w:val="24"/>
                <w:szCs w:val="24"/>
                <w:highlight w:val="none"/>
              </w:rPr>
            </w:pPr>
          </w:p>
        </w:tc>
      </w:tr>
      <w:tr w14:paraId="4B5C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97" w:type="dxa"/>
            <w:noWrap w:val="0"/>
            <w:vAlign w:val="center"/>
          </w:tcPr>
          <w:p w14:paraId="38327B32">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063" w:type="dxa"/>
            <w:gridSpan w:val="4"/>
            <w:noWrap w:val="0"/>
            <w:vAlign w:val="center"/>
          </w:tcPr>
          <w:p w14:paraId="313C58F5">
            <w:pPr>
              <w:spacing w:before="159" w:beforeLines="50" w:after="159" w:afterLines="50"/>
              <w:jc w:val="center"/>
              <w:rPr>
                <w:rFonts w:ascii="宋体" w:hAnsi="宋体" w:cs="宋体"/>
                <w:color w:val="auto"/>
                <w:sz w:val="24"/>
                <w:szCs w:val="24"/>
                <w:highlight w:val="none"/>
              </w:rPr>
            </w:pPr>
          </w:p>
        </w:tc>
      </w:tr>
      <w:tr w14:paraId="68BF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997" w:type="dxa"/>
            <w:noWrap w:val="0"/>
            <w:vAlign w:val="center"/>
          </w:tcPr>
          <w:p w14:paraId="2C7AD02E">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781" w:type="dxa"/>
            <w:gridSpan w:val="2"/>
            <w:noWrap w:val="0"/>
            <w:vAlign w:val="center"/>
          </w:tcPr>
          <w:p w14:paraId="5B267F38">
            <w:pPr>
              <w:spacing w:before="159" w:beforeLines="50" w:after="159" w:afterLines="50"/>
              <w:jc w:val="center"/>
              <w:rPr>
                <w:rFonts w:ascii="宋体" w:hAnsi="宋体" w:cs="宋体"/>
                <w:color w:val="auto"/>
                <w:sz w:val="24"/>
                <w:szCs w:val="24"/>
                <w:highlight w:val="none"/>
              </w:rPr>
            </w:pPr>
          </w:p>
        </w:tc>
        <w:tc>
          <w:tcPr>
            <w:tcW w:w="1475" w:type="dxa"/>
            <w:noWrap w:val="0"/>
            <w:vAlign w:val="center"/>
          </w:tcPr>
          <w:p w14:paraId="31934BB2">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1807" w:type="dxa"/>
            <w:noWrap w:val="0"/>
            <w:vAlign w:val="center"/>
          </w:tcPr>
          <w:p w14:paraId="3299AE83">
            <w:pPr>
              <w:spacing w:before="159" w:beforeLines="50" w:after="159" w:afterLines="50"/>
              <w:jc w:val="center"/>
              <w:rPr>
                <w:rFonts w:ascii="宋体" w:hAnsi="宋体" w:cs="宋体"/>
                <w:color w:val="auto"/>
                <w:sz w:val="24"/>
                <w:szCs w:val="24"/>
                <w:highlight w:val="none"/>
              </w:rPr>
            </w:pPr>
          </w:p>
        </w:tc>
      </w:tr>
      <w:tr w14:paraId="46FF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997" w:type="dxa"/>
            <w:vMerge w:val="restart"/>
            <w:noWrap w:val="0"/>
            <w:vAlign w:val="center"/>
          </w:tcPr>
          <w:p w14:paraId="2575D8AB">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234" w:type="dxa"/>
            <w:noWrap w:val="0"/>
            <w:vAlign w:val="center"/>
          </w:tcPr>
          <w:p w14:paraId="7C0A89F5">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547" w:type="dxa"/>
            <w:noWrap w:val="0"/>
            <w:vAlign w:val="center"/>
          </w:tcPr>
          <w:p w14:paraId="128A40A6">
            <w:pPr>
              <w:spacing w:before="159" w:beforeLines="50" w:after="159" w:afterLines="50"/>
              <w:jc w:val="center"/>
              <w:rPr>
                <w:rFonts w:ascii="宋体" w:hAnsi="宋体" w:cs="宋体"/>
                <w:color w:val="auto"/>
                <w:sz w:val="24"/>
                <w:szCs w:val="24"/>
                <w:highlight w:val="none"/>
              </w:rPr>
            </w:pPr>
          </w:p>
        </w:tc>
        <w:tc>
          <w:tcPr>
            <w:tcW w:w="1475" w:type="dxa"/>
            <w:noWrap w:val="0"/>
            <w:vAlign w:val="center"/>
          </w:tcPr>
          <w:p w14:paraId="0E85C8E0">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807" w:type="dxa"/>
            <w:noWrap w:val="0"/>
            <w:vAlign w:val="center"/>
          </w:tcPr>
          <w:p w14:paraId="01F79F3D">
            <w:pPr>
              <w:spacing w:before="159" w:beforeLines="50" w:after="159" w:afterLines="50"/>
              <w:jc w:val="center"/>
              <w:rPr>
                <w:rFonts w:ascii="宋体" w:hAnsi="宋体" w:cs="宋体"/>
                <w:color w:val="auto"/>
                <w:sz w:val="24"/>
                <w:szCs w:val="24"/>
                <w:highlight w:val="none"/>
              </w:rPr>
            </w:pPr>
          </w:p>
        </w:tc>
      </w:tr>
      <w:tr w14:paraId="5A0B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997" w:type="dxa"/>
            <w:vMerge w:val="continue"/>
            <w:noWrap w:val="0"/>
            <w:vAlign w:val="center"/>
          </w:tcPr>
          <w:p w14:paraId="14216C8C">
            <w:pPr>
              <w:spacing w:before="159" w:beforeLines="50" w:after="159" w:afterLines="50"/>
              <w:jc w:val="center"/>
              <w:rPr>
                <w:rFonts w:ascii="宋体" w:hAnsi="宋体" w:cs="宋体"/>
                <w:color w:val="auto"/>
                <w:sz w:val="24"/>
                <w:szCs w:val="24"/>
                <w:highlight w:val="none"/>
              </w:rPr>
            </w:pPr>
          </w:p>
        </w:tc>
        <w:tc>
          <w:tcPr>
            <w:tcW w:w="1234" w:type="dxa"/>
            <w:noWrap w:val="0"/>
            <w:vAlign w:val="center"/>
          </w:tcPr>
          <w:p w14:paraId="520273FF">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1547" w:type="dxa"/>
            <w:noWrap w:val="0"/>
            <w:vAlign w:val="center"/>
          </w:tcPr>
          <w:p w14:paraId="487F84F8">
            <w:pPr>
              <w:spacing w:before="159" w:beforeLines="50" w:after="159" w:afterLines="50"/>
              <w:jc w:val="center"/>
              <w:rPr>
                <w:rFonts w:ascii="宋体" w:hAnsi="宋体" w:cs="宋体"/>
                <w:color w:val="auto"/>
                <w:sz w:val="24"/>
                <w:szCs w:val="24"/>
                <w:highlight w:val="none"/>
              </w:rPr>
            </w:pPr>
          </w:p>
        </w:tc>
        <w:tc>
          <w:tcPr>
            <w:tcW w:w="1475" w:type="dxa"/>
            <w:noWrap w:val="0"/>
            <w:vAlign w:val="center"/>
          </w:tcPr>
          <w:p w14:paraId="21D79A36">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1807" w:type="dxa"/>
            <w:noWrap w:val="0"/>
            <w:vAlign w:val="center"/>
          </w:tcPr>
          <w:p w14:paraId="072230F4">
            <w:pPr>
              <w:spacing w:before="159" w:beforeLines="50" w:after="159" w:afterLines="50"/>
              <w:jc w:val="center"/>
              <w:rPr>
                <w:rFonts w:ascii="宋体" w:hAnsi="宋体" w:cs="宋体"/>
                <w:color w:val="auto"/>
                <w:sz w:val="24"/>
                <w:szCs w:val="24"/>
                <w:highlight w:val="none"/>
              </w:rPr>
            </w:pPr>
          </w:p>
        </w:tc>
      </w:tr>
      <w:tr w14:paraId="7AA8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082FF640">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p w14:paraId="250AD21E">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（单位负责人）</w:t>
            </w:r>
          </w:p>
        </w:tc>
        <w:tc>
          <w:tcPr>
            <w:tcW w:w="1234" w:type="dxa"/>
            <w:noWrap w:val="0"/>
            <w:vAlign w:val="center"/>
          </w:tcPr>
          <w:p w14:paraId="2CDA546B">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547" w:type="dxa"/>
            <w:noWrap w:val="0"/>
            <w:vAlign w:val="center"/>
          </w:tcPr>
          <w:p w14:paraId="4DA4BD43">
            <w:pPr>
              <w:spacing w:before="159" w:beforeLines="50" w:after="159" w:afterLines="50"/>
              <w:jc w:val="center"/>
              <w:rPr>
                <w:rFonts w:ascii="宋体" w:hAnsi="宋体" w:cs="宋体"/>
                <w:color w:val="auto"/>
                <w:sz w:val="24"/>
                <w:szCs w:val="24"/>
                <w:highlight w:val="none"/>
              </w:rPr>
            </w:pPr>
          </w:p>
        </w:tc>
        <w:tc>
          <w:tcPr>
            <w:tcW w:w="1475" w:type="dxa"/>
            <w:noWrap w:val="0"/>
            <w:vAlign w:val="center"/>
          </w:tcPr>
          <w:p w14:paraId="2828FEAE">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807" w:type="dxa"/>
            <w:noWrap w:val="0"/>
            <w:vAlign w:val="center"/>
          </w:tcPr>
          <w:p w14:paraId="5BEFE50B">
            <w:pPr>
              <w:spacing w:before="159" w:beforeLines="50" w:after="159" w:afterLines="50"/>
              <w:jc w:val="center"/>
              <w:rPr>
                <w:rFonts w:ascii="宋体" w:hAnsi="宋体" w:cs="宋体"/>
                <w:color w:val="auto"/>
                <w:sz w:val="24"/>
                <w:szCs w:val="24"/>
                <w:highlight w:val="none"/>
              </w:rPr>
            </w:pPr>
          </w:p>
        </w:tc>
      </w:tr>
      <w:tr w14:paraId="1E17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997" w:type="dxa"/>
            <w:noWrap w:val="0"/>
            <w:vAlign w:val="center"/>
          </w:tcPr>
          <w:p w14:paraId="36955DFA">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投标人须知要求投标人需具有的各类资质证书</w:t>
            </w:r>
          </w:p>
        </w:tc>
        <w:tc>
          <w:tcPr>
            <w:tcW w:w="6063" w:type="dxa"/>
            <w:gridSpan w:val="4"/>
            <w:noWrap w:val="0"/>
            <w:vAlign w:val="center"/>
          </w:tcPr>
          <w:p w14:paraId="44AE2CE0">
            <w:pPr>
              <w:spacing w:before="159" w:beforeLines="50" w:after="159" w:afterLines="50"/>
              <w:rPr>
                <w:rFonts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14:paraId="7698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3E6E149C">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6063" w:type="dxa"/>
            <w:gridSpan w:val="4"/>
            <w:noWrap w:val="0"/>
            <w:vAlign w:val="center"/>
          </w:tcPr>
          <w:p w14:paraId="0DAC8014">
            <w:pPr>
              <w:spacing w:before="159" w:beforeLines="50" w:after="159" w:afterLines="50"/>
              <w:jc w:val="center"/>
              <w:rPr>
                <w:rFonts w:ascii="宋体" w:hAnsi="宋体" w:cs="宋体"/>
                <w:color w:val="auto"/>
                <w:sz w:val="24"/>
                <w:szCs w:val="24"/>
                <w:highlight w:val="none"/>
              </w:rPr>
            </w:pPr>
          </w:p>
        </w:tc>
      </w:tr>
      <w:tr w14:paraId="6C31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7CB1A5BC">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6063" w:type="dxa"/>
            <w:gridSpan w:val="4"/>
            <w:noWrap w:val="0"/>
            <w:vAlign w:val="center"/>
          </w:tcPr>
          <w:p w14:paraId="393A914A">
            <w:pPr>
              <w:spacing w:before="159" w:beforeLines="50" w:after="159" w:afterLines="50"/>
              <w:jc w:val="center"/>
              <w:rPr>
                <w:rFonts w:ascii="宋体" w:hAnsi="宋体" w:cs="宋体"/>
                <w:color w:val="auto"/>
                <w:sz w:val="24"/>
                <w:szCs w:val="24"/>
                <w:highlight w:val="none"/>
              </w:rPr>
            </w:pPr>
          </w:p>
        </w:tc>
      </w:tr>
      <w:tr w14:paraId="0A72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97" w:type="dxa"/>
            <w:noWrap w:val="0"/>
            <w:vAlign w:val="center"/>
          </w:tcPr>
          <w:p w14:paraId="7704DC56">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近三年营业额</w:t>
            </w:r>
          </w:p>
        </w:tc>
        <w:tc>
          <w:tcPr>
            <w:tcW w:w="6063" w:type="dxa"/>
            <w:gridSpan w:val="4"/>
            <w:noWrap w:val="0"/>
            <w:vAlign w:val="center"/>
          </w:tcPr>
          <w:p w14:paraId="32F5DBE7">
            <w:pPr>
              <w:spacing w:before="159" w:beforeLines="50" w:after="159" w:afterLines="50"/>
              <w:jc w:val="center"/>
              <w:rPr>
                <w:rFonts w:ascii="宋体" w:hAnsi="宋体" w:cs="宋体"/>
                <w:color w:val="auto"/>
                <w:sz w:val="24"/>
                <w:szCs w:val="24"/>
                <w:highlight w:val="none"/>
              </w:rPr>
            </w:pPr>
          </w:p>
        </w:tc>
      </w:tr>
      <w:tr w14:paraId="6895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38CBC5D8">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投标人关联企业情况（包括但不限于与投标人法定代表人（单位负责人）为同一人或者存在控股、管理关系的不同单位）</w:t>
            </w:r>
          </w:p>
        </w:tc>
        <w:tc>
          <w:tcPr>
            <w:tcW w:w="6063" w:type="dxa"/>
            <w:gridSpan w:val="4"/>
            <w:noWrap w:val="0"/>
            <w:vAlign w:val="center"/>
          </w:tcPr>
          <w:p w14:paraId="3B59AC35">
            <w:pPr>
              <w:spacing w:before="159" w:beforeLines="50" w:after="159" w:afterLines="50"/>
              <w:jc w:val="center"/>
              <w:rPr>
                <w:rFonts w:ascii="宋体" w:hAnsi="宋体" w:cs="宋体"/>
                <w:color w:val="auto"/>
                <w:sz w:val="24"/>
                <w:szCs w:val="24"/>
                <w:highlight w:val="none"/>
              </w:rPr>
            </w:pPr>
          </w:p>
        </w:tc>
      </w:tr>
      <w:tr w14:paraId="18D6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7AAACA11">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投标货物制造商名称</w:t>
            </w:r>
          </w:p>
        </w:tc>
        <w:tc>
          <w:tcPr>
            <w:tcW w:w="6063" w:type="dxa"/>
            <w:gridSpan w:val="4"/>
            <w:noWrap w:val="0"/>
            <w:vAlign w:val="center"/>
          </w:tcPr>
          <w:p w14:paraId="3EA9DB38">
            <w:pPr>
              <w:spacing w:before="159" w:beforeLines="50" w:after="159" w:afterLines="50"/>
              <w:jc w:val="center"/>
              <w:rPr>
                <w:rFonts w:ascii="宋体" w:hAnsi="宋体" w:cs="宋体"/>
                <w:color w:val="auto"/>
                <w:sz w:val="24"/>
                <w:szCs w:val="24"/>
                <w:highlight w:val="none"/>
              </w:rPr>
            </w:pPr>
          </w:p>
        </w:tc>
      </w:tr>
      <w:tr w14:paraId="2166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6F870362">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投标人须知要求投标货物制造商需具有的资质证书</w:t>
            </w:r>
          </w:p>
        </w:tc>
        <w:tc>
          <w:tcPr>
            <w:tcW w:w="6063" w:type="dxa"/>
            <w:gridSpan w:val="4"/>
            <w:noWrap w:val="0"/>
            <w:vAlign w:val="center"/>
          </w:tcPr>
          <w:p w14:paraId="743AFDBB">
            <w:pPr>
              <w:spacing w:before="159" w:beforeLines="50" w:after="159" w:afterLines="50"/>
              <w:jc w:val="center"/>
              <w:rPr>
                <w:rFonts w:ascii="宋体" w:hAnsi="宋体" w:cs="宋体"/>
                <w:color w:val="auto"/>
                <w:sz w:val="24"/>
                <w:szCs w:val="24"/>
                <w:highlight w:val="none"/>
              </w:rPr>
            </w:pPr>
          </w:p>
        </w:tc>
      </w:tr>
      <w:tr w14:paraId="43E8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noWrap w:val="0"/>
            <w:vAlign w:val="center"/>
          </w:tcPr>
          <w:p w14:paraId="7F845D9B">
            <w:pPr>
              <w:spacing w:before="159" w:beforeLines="50" w:after="159"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063" w:type="dxa"/>
            <w:gridSpan w:val="4"/>
            <w:noWrap w:val="0"/>
            <w:vAlign w:val="center"/>
          </w:tcPr>
          <w:p w14:paraId="61F378ED">
            <w:pPr>
              <w:spacing w:before="159" w:beforeLines="50" w:after="159" w:afterLines="50"/>
              <w:jc w:val="center"/>
              <w:rPr>
                <w:rFonts w:ascii="宋体" w:hAnsi="宋体" w:cs="宋体"/>
                <w:color w:val="auto"/>
                <w:sz w:val="24"/>
                <w:szCs w:val="24"/>
                <w:highlight w:val="none"/>
              </w:rPr>
            </w:pPr>
          </w:p>
        </w:tc>
      </w:tr>
    </w:tbl>
    <w:p w14:paraId="46025D3A">
      <w:pPr>
        <w:ind w:firstLine="480" w:firstLineChars="200"/>
        <w:rPr>
          <w:rFonts w:ascii="宋体" w:hAnsi="宋体" w:cs="宋体"/>
          <w:color w:val="auto"/>
          <w:sz w:val="24"/>
          <w:highlight w:val="none"/>
        </w:rPr>
      </w:pPr>
      <w:r>
        <w:rPr>
          <w:rFonts w:hint="eastAsia" w:ascii="宋体" w:hAnsi="宋体" w:cs="宋体"/>
          <w:color w:val="auto"/>
          <w:sz w:val="24"/>
          <w:szCs w:val="24"/>
          <w:highlight w:val="none"/>
        </w:rPr>
        <w:br w:type="page"/>
      </w:r>
    </w:p>
    <w:p w14:paraId="7B3D051B">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1.填写说明：</w:t>
      </w:r>
    </w:p>
    <w:p w14:paraId="64896CFA">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投标人应详细、完整的填写基本情况表。部分项目按下列要求填写：</w:t>
      </w:r>
    </w:p>
    <w:p w14:paraId="426AA298">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①投标人须知未要求投标人具有资质证书时，“投标人须知要求投标人需具有的各类资质证书”项应填“/”。</w:t>
      </w:r>
    </w:p>
    <w:p w14:paraId="7423BCCD">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②投标人为制造商时，“材料制造商名称”和“投标人须知要求</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rPr>
        <w:t>制造商需具有的资质证书”两项应填“/”。</w:t>
      </w:r>
    </w:p>
    <w:p w14:paraId="01F5CBFE">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③投标人为代理商时，投标人须知未要求材料制造商需具有资质证书时“投标人须知要求</w:t>
      </w:r>
      <w:r>
        <w:rPr>
          <w:rFonts w:hint="eastAsia" w:ascii="宋体" w:hAnsi="宋体" w:cs="宋体"/>
          <w:color w:val="auto"/>
          <w:sz w:val="24"/>
          <w:szCs w:val="24"/>
          <w:highlight w:val="none"/>
          <w:lang w:val="en-US" w:eastAsia="zh-CN"/>
        </w:rPr>
        <w:t>设备</w:t>
      </w:r>
      <w:r>
        <w:rPr>
          <w:rFonts w:hint="eastAsia" w:ascii="宋体" w:hAnsi="宋体" w:cs="宋体"/>
          <w:color w:val="auto"/>
          <w:sz w:val="24"/>
          <w:szCs w:val="24"/>
          <w:highlight w:val="none"/>
        </w:rPr>
        <w:t>制造商需具有的资质证书”项应填“/”。</w:t>
      </w:r>
    </w:p>
    <w:p w14:paraId="11A5D31C">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2.投标人应提交以下资料作为基本情况表的附件：</w:t>
      </w:r>
    </w:p>
    <w:p w14:paraId="5EBFEB37">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①营业执照和组织机构代码证的原件扫描件或加盖公章的复印件的扫描件（按照“三证合一”或“五证合一”登记制度进行登记的，可仅提供营业执照的原件扫描件或加盖公章的复印件的扫描件。</w:t>
      </w:r>
    </w:p>
    <w:p w14:paraId="72BB3B75">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②基本账户开户许可证或基本存款账户信息的原件扫描件。</w:t>
      </w:r>
    </w:p>
    <w:p w14:paraId="567EE18C">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③投标人的资质证书原件扫描件（投标人须知有要求时）。</w:t>
      </w:r>
    </w:p>
    <w:p w14:paraId="3EE01C47">
      <w:pPr>
        <w:widowControl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④投标货物制造商的资质证书原件扫描件（投标人须知有要求时）。</w:t>
      </w:r>
    </w:p>
    <w:p w14:paraId="39BBA40C">
      <w:pPr>
        <w:pStyle w:val="41"/>
        <w:ind w:firstLine="0" w:firstLineChars="0"/>
        <w:rPr>
          <w:rFonts w:ascii="宋体" w:hAnsi="宋体" w:cs="宋体"/>
          <w:color w:val="auto"/>
          <w:sz w:val="24"/>
          <w:szCs w:val="24"/>
          <w:highlight w:val="none"/>
        </w:rPr>
      </w:pPr>
    </w:p>
    <w:p w14:paraId="059C0598">
      <w:pPr>
        <w:pStyle w:val="41"/>
        <w:ind w:firstLine="0" w:firstLineChars="0"/>
        <w:rPr>
          <w:rFonts w:ascii="宋体" w:hAnsi="宋体" w:cs="宋体"/>
          <w:color w:val="auto"/>
          <w:sz w:val="24"/>
          <w:szCs w:val="24"/>
          <w:highlight w:val="none"/>
        </w:rPr>
      </w:pPr>
    </w:p>
    <w:p w14:paraId="32C4C1D7">
      <w:pPr>
        <w:pStyle w:val="41"/>
        <w:ind w:firstLine="0" w:firstLineChars="0"/>
        <w:rPr>
          <w:rFonts w:ascii="宋体" w:hAnsi="宋体" w:cs="宋体"/>
          <w:color w:val="auto"/>
          <w:sz w:val="24"/>
          <w:szCs w:val="24"/>
          <w:highlight w:val="none"/>
        </w:rPr>
      </w:pPr>
    </w:p>
    <w:p w14:paraId="62D7D4BE">
      <w:pPr>
        <w:pStyle w:val="41"/>
        <w:ind w:firstLine="0" w:firstLineChars="0"/>
        <w:rPr>
          <w:rFonts w:ascii="宋体" w:hAnsi="宋体" w:cs="宋体"/>
          <w:color w:val="auto"/>
          <w:sz w:val="24"/>
          <w:szCs w:val="24"/>
          <w:highlight w:val="none"/>
        </w:rPr>
      </w:pPr>
    </w:p>
    <w:p w14:paraId="3245509A">
      <w:pPr>
        <w:pStyle w:val="41"/>
        <w:ind w:firstLine="0" w:firstLineChars="0"/>
        <w:rPr>
          <w:rFonts w:ascii="宋体" w:hAnsi="宋体" w:cs="宋体"/>
          <w:color w:val="auto"/>
          <w:sz w:val="24"/>
          <w:szCs w:val="24"/>
          <w:highlight w:val="none"/>
        </w:rPr>
      </w:pPr>
    </w:p>
    <w:p w14:paraId="0E7ABC90">
      <w:pPr>
        <w:pStyle w:val="41"/>
        <w:ind w:firstLine="0" w:firstLineChars="0"/>
        <w:rPr>
          <w:rFonts w:ascii="宋体" w:hAnsi="宋体" w:cs="宋体"/>
          <w:color w:val="auto"/>
          <w:sz w:val="24"/>
          <w:szCs w:val="24"/>
          <w:highlight w:val="none"/>
        </w:rPr>
      </w:pPr>
    </w:p>
    <w:p w14:paraId="66809A27">
      <w:pPr>
        <w:pStyle w:val="41"/>
        <w:ind w:firstLine="0" w:firstLineChars="0"/>
        <w:rPr>
          <w:rFonts w:ascii="宋体" w:hAnsi="宋体" w:cs="宋体"/>
          <w:color w:val="auto"/>
          <w:sz w:val="24"/>
          <w:szCs w:val="24"/>
          <w:highlight w:val="none"/>
        </w:rPr>
      </w:pPr>
    </w:p>
    <w:p w14:paraId="412B05C4">
      <w:pPr>
        <w:pStyle w:val="41"/>
        <w:ind w:firstLine="0" w:firstLineChars="0"/>
        <w:rPr>
          <w:rFonts w:ascii="宋体" w:hAnsi="宋体" w:cs="宋体"/>
          <w:color w:val="auto"/>
          <w:sz w:val="24"/>
          <w:szCs w:val="24"/>
          <w:highlight w:val="none"/>
        </w:rPr>
      </w:pPr>
    </w:p>
    <w:p w14:paraId="51CF4682">
      <w:pPr>
        <w:pStyle w:val="41"/>
        <w:ind w:firstLine="0" w:firstLineChars="0"/>
        <w:rPr>
          <w:rFonts w:ascii="宋体" w:hAnsi="宋体" w:cs="宋体"/>
          <w:color w:val="auto"/>
          <w:sz w:val="24"/>
          <w:szCs w:val="24"/>
          <w:highlight w:val="none"/>
        </w:rPr>
      </w:pPr>
    </w:p>
    <w:p w14:paraId="5BB01418">
      <w:pPr>
        <w:pStyle w:val="41"/>
        <w:ind w:firstLine="0" w:firstLineChars="0"/>
        <w:rPr>
          <w:rFonts w:ascii="宋体" w:hAnsi="宋体" w:cs="宋体"/>
          <w:color w:val="auto"/>
          <w:sz w:val="24"/>
          <w:szCs w:val="24"/>
          <w:highlight w:val="none"/>
        </w:rPr>
      </w:pPr>
    </w:p>
    <w:p w14:paraId="621E9082">
      <w:pPr>
        <w:pStyle w:val="41"/>
        <w:ind w:firstLine="0" w:firstLineChars="0"/>
        <w:rPr>
          <w:rFonts w:ascii="宋体" w:hAnsi="宋体" w:cs="宋体"/>
          <w:color w:val="auto"/>
          <w:sz w:val="24"/>
          <w:szCs w:val="24"/>
          <w:highlight w:val="none"/>
        </w:rPr>
      </w:pPr>
    </w:p>
    <w:p w14:paraId="2B10440E">
      <w:pPr>
        <w:pStyle w:val="41"/>
        <w:ind w:firstLine="0" w:firstLineChars="0"/>
        <w:rPr>
          <w:rFonts w:ascii="宋体" w:hAnsi="宋体" w:cs="宋体"/>
          <w:color w:val="auto"/>
          <w:sz w:val="24"/>
          <w:szCs w:val="24"/>
          <w:highlight w:val="none"/>
        </w:rPr>
      </w:pPr>
    </w:p>
    <w:p w14:paraId="509F04EE">
      <w:pPr>
        <w:pStyle w:val="6"/>
        <w:jc w:val="center"/>
        <w:rPr>
          <w:color w:val="auto"/>
          <w:highlight w:val="none"/>
        </w:rPr>
      </w:pPr>
      <w:r>
        <w:rPr>
          <w:rFonts w:hint="eastAsia"/>
          <w:color w:val="auto"/>
          <w:highlight w:val="none"/>
        </w:rPr>
        <w:t>投标货物报价表及分项报价表</w:t>
      </w:r>
    </w:p>
    <w:p w14:paraId="02935F48">
      <w:pPr>
        <w:jc w:val="center"/>
        <w:rPr>
          <w:b/>
          <w:bCs/>
          <w:color w:val="auto"/>
          <w:sz w:val="28"/>
          <w:szCs w:val="24"/>
          <w:highlight w:val="none"/>
        </w:rPr>
      </w:pPr>
      <w:r>
        <w:rPr>
          <w:rFonts w:hint="eastAsia"/>
          <w:b/>
          <w:bCs/>
          <w:color w:val="auto"/>
          <w:sz w:val="28"/>
          <w:szCs w:val="28"/>
          <w:highlight w:val="none"/>
          <w:lang w:eastAsia="zh-CN"/>
        </w:rPr>
        <w:t>广州市自来水有限公司南洲水厂排泥水处理系统建设工程污泥脱水集成设备采购公开招标项目</w:t>
      </w:r>
      <w:r>
        <w:rPr>
          <w:rFonts w:hint="eastAsia"/>
          <w:b/>
          <w:bCs/>
          <w:color w:val="auto"/>
          <w:sz w:val="28"/>
          <w:szCs w:val="24"/>
          <w:highlight w:val="none"/>
        </w:rPr>
        <w:t>投标报价汇总表</w:t>
      </w:r>
    </w:p>
    <w:tbl>
      <w:tblPr>
        <w:tblStyle w:val="42"/>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015"/>
        <w:gridCol w:w="1235"/>
        <w:gridCol w:w="1485"/>
        <w:gridCol w:w="1044"/>
      </w:tblGrid>
      <w:tr w14:paraId="77C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14:paraId="62706257">
            <w:pPr>
              <w:jc w:val="center"/>
              <w:rPr>
                <w:color w:val="auto"/>
                <w:sz w:val="24"/>
                <w:szCs w:val="24"/>
                <w:highlight w:val="none"/>
              </w:rPr>
            </w:pPr>
            <w:bookmarkStart w:id="229" w:name="_Toc24820"/>
            <w:bookmarkStart w:id="230" w:name="_Toc5842"/>
            <w:bookmarkStart w:id="231" w:name="_Toc37684138"/>
            <w:bookmarkStart w:id="232" w:name="_Toc37670198"/>
            <w:r>
              <w:rPr>
                <w:rFonts w:hint="eastAsia"/>
                <w:color w:val="auto"/>
                <w:sz w:val="24"/>
                <w:szCs w:val="24"/>
                <w:highlight w:val="none"/>
              </w:rPr>
              <w:t>序号</w:t>
            </w:r>
            <w:bookmarkEnd w:id="229"/>
            <w:bookmarkEnd w:id="230"/>
            <w:bookmarkEnd w:id="231"/>
            <w:bookmarkEnd w:id="232"/>
          </w:p>
        </w:tc>
        <w:tc>
          <w:tcPr>
            <w:tcW w:w="4015" w:type="dxa"/>
            <w:noWrap w:val="0"/>
            <w:vAlign w:val="center"/>
          </w:tcPr>
          <w:p w14:paraId="19448D0C">
            <w:pPr>
              <w:jc w:val="center"/>
              <w:rPr>
                <w:color w:val="auto"/>
                <w:sz w:val="24"/>
                <w:szCs w:val="24"/>
                <w:highlight w:val="none"/>
              </w:rPr>
            </w:pPr>
            <w:bookmarkStart w:id="233" w:name="_Toc12896"/>
            <w:bookmarkStart w:id="234" w:name="_Toc37684139"/>
            <w:bookmarkStart w:id="235" w:name="_Toc23951"/>
            <w:bookmarkStart w:id="236" w:name="_Toc37670199"/>
            <w:r>
              <w:rPr>
                <w:rFonts w:hint="eastAsia"/>
                <w:color w:val="auto"/>
                <w:sz w:val="24"/>
                <w:szCs w:val="24"/>
                <w:highlight w:val="none"/>
              </w:rPr>
              <w:t>项目名称</w:t>
            </w:r>
            <w:bookmarkEnd w:id="233"/>
            <w:bookmarkEnd w:id="234"/>
            <w:bookmarkEnd w:id="235"/>
            <w:bookmarkEnd w:id="236"/>
          </w:p>
        </w:tc>
        <w:tc>
          <w:tcPr>
            <w:tcW w:w="1235" w:type="dxa"/>
            <w:noWrap w:val="0"/>
            <w:vAlign w:val="center"/>
          </w:tcPr>
          <w:p w14:paraId="7A5DAD9F">
            <w:pPr>
              <w:jc w:val="center"/>
              <w:rPr>
                <w:color w:val="auto"/>
                <w:sz w:val="24"/>
                <w:szCs w:val="24"/>
                <w:highlight w:val="none"/>
              </w:rPr>
            </w:pPr>
            <w:bookmarkStart w:id="237" w:name="_Toc37684140"/>
            <w:bookmarkStart w:id="238" w:name="_Toc16797"/>
            <w:bookmarkStart w:id="239" w:name="_Toc37670200"/>
            <w:r>
              <w:rPr>
                <w:rFonts w:hint="eastAsia"/>
                <w:color w:val="auto"/>
                <w:sz w:val="24"/>
                <w:szCs w:val="24"/>
                <w:highlight w:val="none"/>
                <w:lang w:val="en-US" w:eastAsia="zh-CN"/>
              </w:rPr>
              <w:t>合同</w:t>
            </w:r>
            <w:r>
              <w:rPr>
                <w:rFonts w:hint="eastAsia"/>
                <w:color w:val="auto"/>
                <w:sz w:val="24"/>
                <w:szCs w:val="24"/>
                <w:highlight w:val="none"/>
              </w:rPr>
              <w:t>供货期</w:t>
            </w:r>
          </w:p>
        </w:tc>
        <w:tc>
          <w:tcPr>
            <w:tcW w:w="1485" w:type="dxa"/>
            <w:noWrap w:val="0"/>
            <w:vAlign w:val="center"/>
          </w:tcPr>
          <w:p w14:paraId="024E65BA">
            <w:pPr>
              <w:jc w:val="center"/>
              <w:rPr>
                <w:color w:val="auto"/>
                <w:sz w:val="24"/>
                <w:szCs w:val="24"/>
                <w:highlight w:val="none"/>
              </w:rPr>
            </w:pPr>
            <w:bookmarkStart w:id="240" w:name="_Toc24948"/>
            <w:r>
              <w:rPr>
                <w:rFonts w:hint="eastAsia"/>
                <w:color w:val="auto"/>
                <w:sz w:val="24"/>
                <w:szCs w:val="24"/>
                <w:highlight w:val="none"/>
              </w:rPr>
              <w:t>投标总价（元）</w:t>
            </w:r>
            <w:bookmarkEnd w:id="237"/>
            <w:bookmarkEnd w:id="238"/>
            <w:bookmarkEnd w:id="239"/>
            <w:bookmarkEnd w:id="240"/>
          </w:p>
        </w:tc>
        <w:tc>
          <w:tcPr>
            <w:tcW w:w="1044" w:type="dxa"/>
            <w:noWrap w:val="0"/>
            <w:vAlign w:val="center"/>
          </w:tcPr>
          <w:p w14:paraId="2600A3DF">
            <w:pPr>
              <w:jc w:val="center"/>
              <w:rPr>
                <w:color w:val="auto"/>
                <w:sz w:val="24"/>
                <w:szCs w:val="24"/>
                <w:highlight w:val="none"/>
              </w:rPr>
            </w:pPr>
            <w:bookmarkStart w:id="241" w:name="_Toc17569"/>
            <w:bookmarkStart w:id="242" w:name="_Toc3"/>
            <w:bookmarkStart w:id="243" w:name="_Toc37670201"/>
            <w:bookmarkStart w:id="244" w:name="_Toc37684141"/>
            <w:r>
              <w:rPr>
                <w:rFonts w:hint="eastAsia"/>
                <w:color w:val="auto"/>
                <w:sz w:val="24"/>
                <w:szCs w:val="24"/>
                <w:highlight w:val="none"/>
              </w:rPr>
              <w:t>备注</w:t>
            </w:r>
            <w:bookmarkEnd w:id="241"/>
            <w:bookmarkEnd w:id="242"/>
            <w:bookmarkEnd w:id="243"/>
            <w:bookmarkEnd w:id="244"/>
          </w:p>
        </w:tc>
      </w:tr>
      <w:tr w14:paraId="1BBD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noWrap w:val="0"/>
            <w:vAlign w:val="center"/>
          </w:tcPr>
          <w:p w14:paraId="35DD6352">
            <w:pPr>
              <w:jc w:val="center"/>
              <w:rPr>
                <w:color w:val="auto"/>
                <w:sz w:val="24"/>
                <w:szCs w:val="24"/>
                <w:highlight w:val="none"/>
              </w:rPr>
            </w:pPr>
            <w:bookmarkStart w:id="245" w:name="_Toc37670202"/>
            <w:bookmarkStart w:id="246" w:name="_Toc5532"/>
            <w:bookmarkStart w:id="247" w:name="_Toc23700"/>
            <w:bookmarkStart w:id="248" w:name="_Toc37684142"/>
            <w:r>
              <w:rPr>
                <w:rFonts w:hint="eastAsia"/>
                <w:color w:val="auto"/>
                <w:sz w:val="24"/>
                <w:szCs w:val="24"/>
                <w:highlight w:val="none"/>
              </w:rPr>
              <w:t>1</w:t>
            </w:r>
            <w:bookmarkEnd w:id="245"/>
            <w:bookmarkEnd w:id="246"/>
            <w:bookmarkEnd w:id="247"/>
            <w:bookmarkEnd w:id="248"/>
          </w:p>
        </w:tc>
        <w:tc>
          <w:tcPr>
            <w:tcW w:w="4015" w:type="dxa"/>
            <w:noWrap w:val="0"/>
            <w:vAlign w:val="top"/>
          </w:tcPr>
          <w:p w14:paraId="201F7479">
            <w:pPr>
              <w:jc w:val="center"/>
              <w:rPr>
                <w:rFonts w:hint="eastAsia" w:eastAsia="宋体"/>
                <w:color w:val="auto"/>
                <w:sz w:val="24"/>
                <w:szCs w:val="24"/>
                <w:highlight w:val="none"/>
                <w:lang w:eastAsia="zh-CN"/>
              </w:rPr>
            </w:pPr>
            <w:r>
              <w:rPr>
                <w:rFonts w:hint="eastAsia"/>
                <w:color w:val="auto"/>
                <w:sz w:val="24"/>
                <w:szCs w:val="24"/>
                <w:highlight w:val="none"/>
                <w:lang w:eastAsia="zh-CN"/>
              </w:rPr>
              <w:t>广州市自来水有限公司南洲水厂排泥水处理系统建设工程污泥脱水集成设备采购公开招标项目</w:t>
            </w:r>
          </w:p>
        </w:tc>
        <w:tc>
          <w:tcPr>
            <w:tcW w:w="1235" w:type="dxa"/>
            <w:noWrap w:val="0"/>
            <w:vAlign w:val="top"/>
          </w:tcPr>
          <w:p w14:paraId="28C6CE95">
            <w:pPr>
              <w:jc w:val="center"/>
              <w:rPr>
                <w:color w:val="auto"/>
                <w:sz w:val="24"/>
                <w:szCs w:val="24"/>
                <w:highlight w:val="none"/>
              </w:rPr>
            </w:pPr>
          </w:p>
        </w:tc>
        <w:tc>
          <w:tcPr>
            <w:tcW w:w="1485" w:type="dxa"/>
            <w:noWrap w:val="0"/>
            <w:vAlign w:val="top"/>
          </w:tcPr>
          <w:p w14:paraId="57315ADA">
            <w:pPr>
              <w:jc w:val="center"/>
              <w:rPr>
                <w:color w:val="auto"/>
                <w:sz w:val="24"/>
                <w:szCs w:val="24"/>
                <w:highlight w:val="none"/>
              </w:rPr>
            </w:pPr>
          </w:p>
        </w:tc>
        <w:tc>
          <w:tcPr>
            <w:tcW w:w="1044" w:type="dxa"/>
            <w:noWrap w:val="0"/>
            <w:vAlign w:val="top"/>
          </w:tcPr>
          <w:p w14:paraId="392C5DF3">
            <w:pPr>
              <w:jc w:val="center"/>
              <w:rPr>
                <w:color w:val="auto"/>
                <w:sz w:val="24"/>
                <w:szCs w:val="24"/>
                <w:highlight w:val="none"/>
              </w:rPr>
            </w:pPr>
          </w:p>
        </w:tc>
      </w:tr>
    </w:tbl>
    <w:p w14:paraId="0633AFF7">
      <w:pPr>
        <w:jc w:val="center"/>
        <w:rPr>
          <w:rFonts w:ascii="宋体" w:hAnsi="宋体" w:cs="宋体"/>
          <w:color w:val="auto"/>
          <w:highlight w:val="none"/>
        </w:rPr>
      </w:pPr>
    </w:p>
    <w:p w14:paraId="12F03925">
      <w:pPr>
        <w:adjustRightInd w:val="0"/>
        <w:snapToGrid w:val="0"/>
        <w:spacing w:line="360" w:lineRule="auto"/>
        <w:ind w:firstLine="3360" w:firstLineChars="1400"/>
        <w:rPr>
          <w:rFonts w:ascii="宋体" w:hAnsi="宋体" w:cs="宋体"/>
          <w:color w:val="auto"/>
          <w:sz w:val="24"/>
          <w:szCs w:val="24"/>
          <w:highlight w:val="none"/>
        </w:rPr>
      </w:pPr>
    </w:p>
    <w:p w14:paraId="65833FB2">
      <w:pPr>
        <w:rPr>
          <w:rFonts w:ascii="宋体" w:hAnsi="宋体" w:cs="宋体"/>
          <w:b/>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
          <w:color w:val="auto"/>
          <w:sz w:val="24"/>
          <w:szCs w:val="24"/>
          <w:highlight w:val="none"/>
        </w:rPr>
        <w:br w:type="page"/>
      </w:r>
    </w:p>
    <w:p w14:paraId="6C54ACAD">
      <w:pPr>
        <w:adjustRightInd w:val="0"/>
        <w:snapToGrid w:val="0"/>
        <w:spacing w:line="360" w:lineRule="auto"/>
        <w:jc w:val="both"/>
        <w:rPr>
          <w:rFonts w:ascii="宋体" w:hAnsi="宋体" w:cs="宋体"/>
          <w:b/>
          <w:color w:val="auto"/>
          <w:sz w:val="24"/>
          <w:szCs w:val="24"/>
          <w:highlight w:val="none"/>
        </w:rPr>
      </w:pPr>
      <w:r>
        <w:rPr>
          <w:rFonts w:hint="eastAsia" w:ascii="宋体" w:hAnsi="宋体" w:cs="宋体"/>
          <w:b/>
          <w:color w:val="auto"/>
          <w:sz w:val="24"/>
          <w:szCs w:val="24"/>
          <w:highlight w:val="none"/>
        </w:rPr>
        <w:t>（一） 分项报价表填写说明。</w:t>
      </w:r>
    </w:p>
    <w:p w14:paraId="42E225EA">
      <w:pPr>
        <w:widowControl w:val="0"/>
        <w:spacing w:line="360" w:lineRule="auto"/>
        <w:ind w:firstLine="480"/>
        <w:rPr>
          <w:rFonts w:hint="eastAsia" w:ascii="宋体" w:hAnsi="宋体" w:cs="宋体"/>
          <w:strike w:val="0"/>
          <w:color w:val="auto"/>
          <w:sz w:val="24"/>
          <w:szCs w:val="24"/>
          <w:highlight w:val="none"/>
          <w:lang w:val="en-US" w:eastAsia="zh-CN"/>
        </w:rPr>
      </w:pPr>
      <w:r>
        <w:rPr>
          <w:rFonts w:hint="eastAsia" w:ascii="宋体" w:hAnsi="宋体" w:cs="宋体"/>
          <w:strike w:val="0"/>
          <w:color w:val="auto"/>
          <w:sz w:val="24"/>
          <w:szCs w:val="24"/>
          <w:highlight w:val="none"/>
          <w:lang w:eastAsia="zh-CN"/>
        </w:rPr>
        <w:t>1</w:t>
      </w:r>
      <w:r>
        <w:rPr>
          <w:rFonts w:hint="eastAsia" w:ascii="宋体" w:hAnsi="宋体" w:cs="宋体"/>
          <w:strike w:val="0"/>
          <w:color w:val="auto"/>
          <w:sz w:val="24"/>
          <w:szCs w:val="24"/>
          <w:highlight w:val="none"/>
          <w:lang w:val="en-US" w:eastAsia="zh-CN"/>
        </w:rPr>
        <w:t>.供应商报价应为固定综合单价，在合同执行期间内发生的国家物价及各种政策性调整，货物的响应价格均不作任何调整，涉及组装费的，按该项的相关合同条款进行结算。</w:t>
      </w:r>
    </w:p>
    <w:p w14:paraId="26BCDFEC">
      <w:pPr>
        <w:widowControl w:val="0"/>
        <w:spacing w:line="360" w:lineRule="auto"/>
        <w:ind w:firstLine="480"/>
        <w:rPr>
          <w:rFonts w:hint="eastAsia" w:ascii="宋体" w:hAnsi="宋体" w:cs="宋体"/>
          <w:strike w:val="0"/>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分析报价表中的</w:t>
      </w:r>
      <w:r>
        <w:rPr>
          <w:rFonts w:hint="eastAsia" w:ascii="宋体" w:hAnsi="宋体" w:cs="宋体"/>
          <w:strike w:val="0"/>
          <w:color w:val="auto"/>
          <w:sz w:val="24"/>
          <w:szCs w:val="24"/>
          <w:highlight w:val="none"/>
        </w:rPr>
        <w:t>综合单价指货物运输并卸货到</w:t>
      </w:r>
      <w:r>
        <w:rPr>
          <w:rFonts w:hint="eastAsia" w:ascii="宋体" w:hAnsi="宋体" w:cs="宋体"/>
          <w:strike w:val="0"/>
          <w:color w:val="auto"/>
          <w:sz w:val="24"/>
          <w:szCs w:val="24"/>
          <w:highlight w:val="none"/>
          <w:lang w:val="en-US" w:eastAsia="zh-CN"/>
        </w:rPr>
        <w:t>买方</w:t>
      </w:r>
      <w:r>
        <w:rPr>
          <w:rFonts w:hint="eastAsia" w:ascii="宋体" w:hAnsi="宋体" w:cs="宋体"/>
          <w:strike w:val="0"/>
          <w:color w:val="auto"/>
          <w:sz w:val="24"/>
          <w:szCs w:val="24"/>
          <w:highlight w:val="none"/>
        </w:rPr>
        <w:t>指定</w:t>
      </w:r>
      <w:r>
        <w:rPr>
          <w:rFonts w:hint="eastAsia" w:ascii="宋体" w:hAnsi="宋体" w:cs="宋体"/>
          <w:strike w:val="0"/>
          <w:color w:val="auto"/>
          <w:sz w:val="24"/>
          <w:szCs w:val="24"/>
          <w:highlight w:val="none"/>
          <w:lang w:val="en-US" w:eastAsia="zh-CN"/>
        </w:rPr>
        <w:t>地址</w:t>
      </w:r>
      <w:r>
        <w:rPr>
          <w:rFonts w:hint="eastAsia" w:ascii="宋体" w:hAnsi="宋体" w:cs="宋体"/>
          <w:strike w:val="0"/>
          <w:color w:val="auto"/>
          <w:sz w:val="24"/>
          <w:szCs w:val="24"/>
          <w:highlight w:val="none"/>
        </w:rPr>
        <w:t>的交货价，该价格包括但不限于：</w:t>
      </w:r>
      <w:r>
        <w:rPr>
          <w:rFonts w:hint="eastAsia" w:ascii="宋体" w:hAnsi="宋体" w:eastAsia="宋体" w:cs="宋体"/>
          <w:color w:val="auto"/>
          <w:sz w:val="24"/>
          <w:szCs w:val="24"/>
          <w:highlight w:val="none"/>
        </w:rPr>
        <w:t>货物生产前准备、设计、生产、防腐、产品检验、运输（</w:t>
      </w:r>
      <w:r>
        <w:rPr>
          <w:rFonts w:hint="eastAsia" w:ascii="宋体" w:hAnsi="宋体" w:cs="宋体"/>
          <w:color w:val="auto"/>
          <w:sz w:val="24"/>
          <w:szCs w:val="24"/>
          <w:highlight w:val="none"/>
        </w:rPr>
        <w:t>运输到业主指定交货地点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转运、</w:t>
      </w:r>
      <w:r>
        <w:rPr>
          <w:rFonts w:hint="eastAsia" w:ascii="宋体" w:hAnsi="宋体" w:eastAsia="宋体" w:cs="宋体"/>
          <w:color w:val="auto"/>
          <w:sz w:val="24"/>
          <w:szCs w:val="24"/>
          <w:highlight w:val="none"/>
        </w:rPr>
        <w:t>包装、</w:t>
      </w:r>
      <w:r>
        <w:rPr>
          <w:rFonts w:hint="eastAsia" w:ascii="宋体" w:hAnsi="宋体" w:cs="宋体"/>
          <w:color w:val="auto"/>
          <w:sz w:val="24"/>
          <w:szCs w:val="24"/>
          <w:highlight w:val="none"/>
          <w:lang w:val="en-US" w:eastAsia="zh-CN"/>
        </w:rPr>
        <w:t>保护、</w:t>
      </w:r>
      <w:r>
        <w:rPr>
          <w:rFonts w:hint="eastAsia" w:ascii="宋体" w:hAnsi="宋体" w:eastAsia="宋体" w:cs="宋体"/>
          <w:color w:val="auto"/>
          <w:sz w:val="24"/>
          <w:szCs w:val="24"/>
          <w:highlight w:val="none"/>
        </w:rPr>
        <w:t>装卸（含卸车费用）、</w:t>
      </w:r>
      <w:r>
        <w:rPr>
          <w:rFonts w:hint="eastAsia" w:ascii="宋体" w:hAnsi="宋体" w:cs="宋体"/>
          <w:color w:val="auto"/>
          <w:sz w:val="24"/>
          <w:szCs w:val="24"/>
          <w:highlight w:val="none"/>
        </w:rPr>
        <w:t>设立仓库并存储、</w:t>
      </w:r>
      <w:r>
        <w:rPr>
          <w:rFonts w:hint="eastAsia" w:ascii="宋体" w:hAnsi="宋体" w:cs="宋体"/>
          <w:color w:val="auto"/>
          <w:sz w:val="24"/>
          <w:szCs w:val="24"/>
          <w:highlight w:val="none"/>
          <w:lang w:val="en-US" w:eastAsia="zh-CN"/>
        </w:rPr>
        <w:t>指导</w:t>
      </w:r>
      <w:r>
        <w:rPr>
          <w:rFonts w:hint="eastAsia" w:ascii="宋体" w:hAnsi="宋体" w:eastAsia="宋体" w:cs="宋体"/>
          <w:color w:val="auto"/>
          <w:sz w:val="24"/>
          <w:szCs w:val="24"/>
          <w:highlight w:val="none"/>
          <w:lang w:val="en-US" w:eastAsia="zh-CN"/>
        </w:rPr>
        <w:t>安装及调试</w:t>
      </w:r>
      <w:r>
        <w:rPr>
          <w:rFonts w:hint="eastAsia" w:ascii="宋体" w:hAnsi="宋体" w:eastAsia="宋体" w:cs="宋体"/>
          <w:color w:val="auto"/>
          <w:sz w:val="24"/>
          <w:szCs w:val="24"/>
          <w:highlight w:val="none"/>
        </w:rPr>
        <w:t>（具体按“</w:t>
      </w:r>
      <w:r>
        <w:rPr>
          <w:rFonts w:hint="eastAsia" w:ascii="宋体" w:hAnsi="宋体" w:eastAsia="宋体" w:cs="宋体"/>
          <w:color w:val="auto"/>
          <w:sz w:val="24"/>
          <w:szCs w:val="24"/>
          <w:highlight w:val="none"/>
          <w:lang w:val="en-US" w:eastAsia="zh-CN"/>
        </w:rPr>
        <w:t xml:space="preserve">第二章用户需求书 </w:t>
      </w:r>
      <w:r>
        <w:rPr>
          <w:rFonts w:hint="eastAsia" w:ascii="宋体" w:hAnsi="宋体" w:eastAsia="宋体" w:cs="宋体"/>
          <w:color w:val="auto"/>
          <w:sz w:val="24"/>
          <w:szCs w:val="24"/>
          <w:highlight w:val="none"/>
        </w:rPr>
        <w:t>技术要求”）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组装</w:t>
      </w:r>
      <w:r>
        <w:rPr>
          <w:rFonts w:hint="eastAsia" w:ascii="宋体" w:hAnsi="宋体" w:eastAsia="宋体" w:cs="宋体"/>
          <w:color w:val="auto"/>
          <w:sz w:val="24"/>
          <w:szCs w:val="24"/>
          <w:highlight w:val="none"/>
        </w:rPr>
        <w:t>、验收（含出厂</w:t>
      </w:r>
      <w:r>
        <w:rPr>
          <w:rFonts w:hint="eastAsia" w:ascii="宋体" w:hAnsi="宋体" w:eastAsia="宋体" w:cs="宋体"/>
          <w:color w:val="auto"/>
          <w:sz w:val="24"/>
          <w:szCs w:val="24"/>
          <w:highlight w:val="none"/>
          <w:lang w:val="en-US" w:eastAsia="zh-CN"/>
        </w:rPr>
        <w:t>前及</w:t>
      </w:r>
      <w:r>
        <w:rPr>
          <w:rFonts w:hint="eastAsia" w:ascii="宋体" w:hAnsi="宋体" w:eastAsia="宋体" w:cs="宋体"/>
          <w:color w:val="auto"/>
          <w:sz w:val="24"/>
          <w:szCs w:val="24"/>
          <w:highlight w:val="none"/>
        </w:rPr>
        <w:t>到货</w:t>
      </w:r>
      <w:r>
        <w:rPr>
          <w:rFonts w:hint="eastAsia" w:ascii="宋体" w:hAnsi="宋体" w:eastAsia="宋体" w:cs="宋体"/>
          <w:color w:val="auto"/>
          <w:sz w:val="24"/>
          <w:szCs w:val="24"/>
          <w:highlight w:val="none"/>
          <w:lang w:val="en-US" w:eastAsia="zh-CN"/>
        </w:rPr>
        <w:t>后的</w:t>
      </w:r>
      <w:r>
        <w:rPr>
          <w:rFonts w:hint="eastAsia" w:ascii="宋体" w:hAnsi="宋体" w:eastAsia="宋体" w:cs="宋体"/>
          <w:color w:val="auto"/>
          <w:sz w:val="24"/>
          <w:szCs w:val="24"/>
          <w:highlight w:val="none"/>
        </w:rPr>
        <w:t>验收）、质量抽检、培训、常规维修工具、备品备件、相关税费、保险费、物货伴随服务（包括安装使用说明书、图纸的提供、质保期服务）</w:t>
      </w:r>
      <w:r>
        <w:rPr>
          <w:rFonts w:hint="eastAsia" w:ascii="宋体" w:hAnsi="宋体" w:eastAsia="宋体" w:cs="宋体"/>
          <w:color w:val="auto"/>
          <w:sz w:val="24"/>
          <w:szCs w:val="24"/>
          <w:highlight w:val="none"/>
          <w:lang w:val="en-US" w:eastAsia="zh-CN"/>
        </w:rPr>
        <w:t>等全部费用</w:t>
      </w:r>
      <w:r>
        <w:rPr>
          <w:rFonts w:hint="eastAsia" w:ascii="宋体" w:hAnsi="宋体" w:cs="宋体"/>
          <w:color w:val="auto"/>
          <w:sz w:val="24"/>
          <w:szCs w:val="24"/>
          <w:highlight w:val="none"/>
        </w:rPr>
        <w:t>。</w:t>
      </w:r>
    </w:p>
    <w:p w14:paraId="0C8D469F">
      <w:pPr>
        <w:widowControl w:val="0"/>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.供应商响应报价的总价不得高于响应总价最高报价值。响应总价最高报价值详见本采购项目的限价公布函。</w:t>
      </w:r>
    </w:p>
    <w:p w14:paraId="61C14C25">
      <w:pPr>
        <w:widowControl w:val="0"/>
        <w:spacing w:line="360" w:lineRule="auto"/>
        <w:ind w:firstLine="480"/>
        <w:rPr>
          <w:rFonts w:ascii="宋体" w:hAnsi="宋体" w:cs="宋体"/>
          <w:color w:val="auto"/>
          <w:sz w:val="24"/>
          <w:szCs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以下表中的货物数量只为参考，结算以</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实际需要的货物标号及数量核算。</w:t>
      </w:r>
    </w:p>
    <w:p w14:paraId="111C61E1">
      <w:pPr>
        <w:widowControl w:val="0"/>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.以下报价表中没有填报综合单价的货物，买方在合同实施过程中将不予支付，并认为该货物的综合单价或价格已包含在以上报价表中其他货物的综合单价或价格中。</w:t>
      </w:r>
    </w:p>
    <w:p w14:paraId="4F0E2375">
      <w:pPr>
        <w:widowControl w:val="0"/>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设备</w:t>
      </w:r>
      <w:r>
        <w:rPr>
          <w:rFonts w:hint="eastAsia" w:ascii="宋体" w:hAnsi="宋体" w:cs="宋体"/>
          <w:color w:val="auto"/>
          <w:sz w:val="24"/>
          <w:highlight w:val="none"/>
        </w:rPr>
        <w:t>配有专用工具时，应在 “专用工具明细表” 详细填写，其费用应包含在</w:t>
      </w:r>
      <w:r>
        <w:rPr>
          <w:rFonts w:hint="eastAsia" w:ascii="宋体" w:hAnsi="宋体" w:cs="宋体"/>
          <w:color w:val="auto"/>
          <w:sz w:val="24"/>
          <w:highlight w:val="none"/>
          <w:lang w:val="en-US" w:eastAsia="zh-CN"/>
        </w:rPr>
        <w:t>设备</w:t>
      </w:r>
      <w:r>
        <w:rPr>
          <w:rFonts w:hint="eastAsia" w:ascii="宋体" w:hAnsi="宋体" w:cs="宋体"/>
          <w:color w:val="auto"/>
          <w:sz w:val="24"/>
          <w:highlight w:val="none"/>
        </w:rPr>
        <w:t>综合单价中</w:t>
      </w:r>
      <w:r>
        <w:rPr>
          <w:rFonts w:hint="eastAsia" w:ascii="宋体" w:hAnsi="宋体" w:cs="宋体"/>
          <w:color w:val="auto"/>
          <w:sz w:val="24"/>
          <w:highlight w:val="none"/>
          <w:lang w:val="en-US" w:eastAsia="zh-CN"/>
        </w:rPr>
        <w:t>。</w:t>
      </w:r>
    </w:p>
    <w:p w14:paraId="11A0F0B8">
      <w:pPr>
        <w:spacing w:line="360" w:lineRule="auto"/>
        <w:rPr>
          <w:rFonts w:ascii="宋体" w:hAnsi="宋体" w:cs="宋体"/>
          <w:b/>
          <w:color w:val="auto"/>
          <w:sz w:val="24"/>
          <w:szCs w:val="24"/>
          <w:highlight w:val="none"/>
        </w:rPr>
        <w:sectPr>
          <w:footerReference r:id="rId5" w:type="first"/>
          <w:footerReference r:id="rId4" w:type="default"/>
          <w:pgSz w:w="11905" w:h="16838"/>
          <w:pgMar w:top="1417" w:right="1417" w:bottom="1417" w:left="1417" w:header="850" w:footer="686" w:gutter="0"/>
          <w:cols w:space="720" w:num="1"/>
          <w:titlePg/>
          <w:docGrid w:type="lines" w:linePitch="319" w:charSpace="0"/>
        </w:sectPr>
      </w:pPr>
    </w:p>
    <w:p w14:paraId="3F178E3C">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（二）分项报价表</w:t>
      </w:r>
    </w:p>
    <w:p w14:paraId="010F7724">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广州市自来水有限公司南洲水厂排泥水处理系统建设工程污泥脱水集成设备采购公开招标项目</w:t>
      </w:r>
    </w:p>
    <w:p w14:paraId="772D1FEC">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采购货物分项报价一览表</w:t>
      </w:r>
    </w:p>
    <w:p w14:paraId="438873C4">
      <w:pPr>
        <w:spacing w:line="360" w:lineRule="auto"/>
        <w:jc w:val="right"/>
        <w:rPr>
          <w:rFonts w:ascii="宋体" w:hAnsi="宋体" w:cs="宋体"/>
          <w:color w:val="auto"/>
          <w:highlight w:val="none"/>
        </w:rPr>
      </w:pPr>
      <w:r>
        <w:rPr>
          <w:rFonts w:hint="eastAsia" w:ascii="宋体" w:hAnsi="宋体" w:cs="宋体"/>
          <w:color w:val="auto"/>
          <w:sz w:val="24"/>
          <w:szCs w:val="24"/>
          <w:highlight w:val="none"/>
        </w:rPr>
        <w:t>单位：人民币元</w:t>
      </w:r>
    </w:p>
    <w:tbl>
      <w:tblPr>
        <w:tblStyle w:val="42"/>
        <w:tblW w:w="14556"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5"/>
        <w:gridCol w:w="1304"/>
        <w:gridCol w:w="5"/>
        <w:gridCol w:w="1170"/>
        <w:gridCol w:w="5"/>
        <w:gridCol w:w="1260"/>
        <w:gridCol w:w="6"/>
        <w:gridCol w:w="1020"/>
        <w:gridCol w:w="1291"/>
        <w:gridCol w:w="5"/>
        <w:gridCol w:w="1280"/>
        <w:gridCol w:w="1567"/>
        <w:gridCol w:w="1534"/>
        <w:gridCol w:w="889"/>
        <w:gridCol w:w="889"/>
        <w:gridCol w:w="1174"/>
        <w:gridCol w:w="635"/>
      </w:tblGrid>
      <w:tr w14:paraId="31E0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07" w:type="dxa"/>
            <w:noWrap w:val="0"/>
            <w:vAlign w:val="center"/>
          </w:tcPr>
          <w:p w14:paraId="57581414">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序号</w:t>
            </w:r>
          </w:p>
        </w:tc>
        <w:tc>
          <w:tcPr>
            <w:tcW w:w="1319" w:type="dxa"/>
            <w:gridSpan w:val="2"/>
            <w:noWrap w:val="0"/>
            <w:vAlign w:val="center"/>
          </w:tcPr>
          <w:p w14:paraId="0E276C95">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货物名称</w:t>
            </w:r>
          </w:p>
        </w:tc>
        <w:tc>
          <w:tcPr>
            <w:tcW w:w="1175" w:type="dxa"/>
            <w:gridSpan w:val="2"/>
            <w:noWrap w:val="0"/>
            <w:vAlign w:val="center"/>
          </w:tcPr>
          <w:p w14:paraId="0675A6AC">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规格</w:t>
            </w:r>
          </w:p>
        </w:tc>
        <w:tc>
          <w:tcPr>
            <w:tcW w:w="1265" w:type="dxa"/>
            <w:gridSpan w:val="2"/>
            <w:noWrap w:val="0"/>
            <w:vAlign w:val="center"/>
          </w:tcPr>
          <w:p w14:paraId="4EDE4B8C">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数量</w:t>
            </w:r>
          </w:p>
        </w:tc>
        <w:tc>
          <w:tcPr>
            <w:tcW w:w="1026" w:type="dxa"/>
            <w:gridSpan w:val="2"/>
            <w:noWrap w:val="0"/>
            <w:vAlign w:val="center"/>
          </w:tcPr>
          <w:p w14:paraId="72D435AE">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单位</w:t>
            </w:r>
          </w:p>
        </w:tc>
        <w:tc>
          <w:tcPr>
            <w:tcW w:w="1291" w:type="dxa"/>
            <w:noWrap w:val="0"/>
            <w:vAlign w:val="center"/>
          </w:tcPr>
          <w:p w14:paraId="3DA056E7">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使用商标</w:t>
            </w:r>
          </w:p>
        </w:tc>
        <w:tc>
          <w:tcPr>
            <w:tcW w:w="1285" w:type="dxa"/>
            <w:gridSpan w:val="2"/>
            <w:noWrap w:val="0"/>
            <w:vAlign w:val="center"/>
          </w:tcPr>
          <w:p w14:paraId="43E9E3AB">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产地/制造商</w:t>
            </w:r>
          </w:p>
        </w:tc>
        <w:tc>
          <w:tcPr>
            <w:tcW w:w="1567" w:type="dxa"/>
            <w:noWrap w:val="0"/>
            <w:vAlign w:val="center"/>
          </w:tcPr>
          <w:p w14:paraId="2A5848C0">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综合单价</w:t>
            </w:r>
          </w:p>
        </w:tc>
        <w:tc>
          <w:tcPr>
            <w:tcW w:w="1534" w:type="dxa"/>
            <w:noWrap w:val="0"/>
            <w:vAlign w:val="center"/>
          </w:tcPr>
          <w:p w14:paraId="0A7FD0E7">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合价</w:t>
            </w:r>
          </w:p>
        </w:tc>
        <w:tc>
          <w:tcPr>
            <w:tcW w:w="889" w:type="dxa"/>
            <w:noWrap w:val="0"/>
            <w:vAlign w:val="center"/>
          </w:tcPr>
          <w:p w14:paraId="55BE947D">
            <w:pPr>
              <w:widowControl w:val="0"/>
              <w:jc w:val="center"/>
              <w:outlineLvl w:val="9"/>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响应报价下浮率</w:t>
            </w:r>
          </w:p>
        </w:tc>
        <w:tc>
          <w:tcPr>
            <w:tcW w:w="889" w:type="dxa"/>
            <w:noWrap w:val="0"/>
            <w:vAlign w:val="center"/>
          </w:tcPr>
          <w:p w14:paraId="10DAF76F">
            <w:pPr>
              <w:widowControl w:val="0"/>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合同供货期</w:t>
            </w:r>
          </w:p>
        </w:tc>
        <w:tc>
          <w:tcPr>
            <w:tcW w:w="1174" w:type="dxa"/>
            <w:noWrap w:val="0"/>
            <w:vAlign w:val="center"/>
          </w:tcPr>
          <w:p w14:paraId="4C6F7FF7">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交货地点</w:t>
            </w:r>
          </w:p>
        </w:tc>
        <w:tc>
          <w:tcPr>
            <w:tcW w:w="635" w:type="dxa"/>
            <w:noWrap w:val="0"/>
            <w:vAlign w:val="center"/>
          </w:tcPr>
          <w:p w14:paraId="4708BA51">
            <w:pPr>
              <w:widowControl w:val="0"/>
              <w:jc w:val="center"/>
              <w:outlineLvl w:val="9"/>
              <w:rPr>
                <w:rFonts w:ascii="宋体" w:hAnsi="宋体" w:eastAsia="宋体" w:cs="宋体"/>
                <w:color w:val="auto"/>
                <w:highlight w:val="none"/>
              </w:rPr>
            </w:pPr>
            <w:r>
              <w:rPr>
                <w:rFonts w:hint="eastAsia" w:ascii="宋体" w:hAnsi="宋体" w:eastAsia="宋体" w:cs="宋体"/>
                <w:color w:val="auto"/>
                <w:highlight w:val="none"/>
              </w:rPr>
              <w:t>备注</w:t>
            </w:r>
          </w:p>
        </w:tc>
      </w:tr>
      <w:tr w14:paraId="5E4B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79F4E35B">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309" w:type="dxa"/>
            <w:gridSpan w:val="2"/>
            <w:noWrap w:val="0"/>
            <w:vAlign w:val="center"/>
          </w:tcPr>
          <w:p w14:paraId="2D1E185C">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滤布行走式板框压滤机</w:t>
            </w:r>
          </w:p>
        </w:tc>
        <w:tc>
          <w:tcPr>
            <w:tcW w:w="1175" w:type="dxa"/>
            <w:gridSpan w:val="2"/>
            <w:noWrap w:val="0"/>
            <w:vAlign w:val="center"/>
          </w:tcPr>
          <w:p w14:paraId="6BEBD088">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滤板尺寸1500X1500mm，进料压力0.5MPa，挤压压力≥1.5MPa，不高于1.6MPa。N≥13.2KW。（包含液压站等）</w:t>
            </w:r>
          </w:p>
        </w:tc>
        <w:tc>
          <w:tcPr>
            <w:tcW w:w="1266" w:type="dxa"/>
            <w:gridSpan w:val="2"/>
            <w:noWrap w:val="0"/>
            <w:vAlign w:val="center"/>
          </w:tcPr>
          <w:p w14:paraId="4591B660">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701DB725">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6840706F">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73FEB3BC">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29321049">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1C786F66">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CAA8E9E">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4F16992A">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2E743A8">
            <w:pPr>
              <w:widowControl w:val="0"/>
              <w:jc w:val="center"/>
              <w:outlineLvl w:val="9"/>
              <w:rPr>
                <w:rFonts w:hint="eastAsia" w:ascii="宋体" w:hAnsi="宋体" w:eastAsia="宋体" w:cs="宋体"/>
                <w:color w:val="auto"/>
                <w:highlight w:val="none"/>
              </w:rPr>
            </w:pPr>
          </w:p>
        </w:tc>
        <w:tc>
          <w:tcPr>
            <w:tcW w:w="635" w:type="dxa"/>
            <w:noWrap w:val="0"/>
            <w:vAlign w:val="center"/>
          </w:tcPr>
          <w:p w14:paraId="79E1619C">
            <w:pPr>
              <w:widowControl w:val="0"/>
              <w:jc w:val="center"/>
              <w:outlineLvl w:val="9"/>
              <w:rPr>
                <w:rFonts w:hint="eastAsia" w:ascii="宋体" w:hAnsi="宋体" w:eastAsia="宋体" w:cs="宋体"/>
                <w:color w:val="auto"/>
                <w:highlight w:val="none"/>
              </w:rPr>
            </w:pPr>
          </w:p>
        </w:tc>
      </w:tr>
      <w:tr w14:paraId="4A91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28A13B4D">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309" w:type="dxa"/>
            <w:gridSpan w:val="2"/>
            <w:noWrap w:val="0"/>
            <w:vAlign w:val="center"/>
          </w:tcPr>
          <w:p w14:paraId="637059F2">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离心泵（高压冲洗水）</w:t>
            </w:r>
          </w:p>
        </w:tc>
        <w:tc>
          <w:tcPr>
            <w:tcW w:w="1175" w:type="dxa"/>
            <w:gridSpan w:val="2"/>
            <w:noWrap w:val="0"/>
            <w:vAlign w:val="center"/>
          </w:tcPr>
          <w:p w14:paraId="535A5439">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Q=80m³/h；H=100m；N=18.5kw</w:t>
            </w:r>
          </w:p>
        </w:tc>
        <w:tc>
          <w:tcPr>
            <w:tcW w:w="1266" w:type="dxa"/>
            <w:gridSpan w:val="2"/>
            <w:noWrap w:val="0"/>
            <w:vAlign w:val="center"/>
          </w:tcPr>
          <w:p w14:paraId="065913D7">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3579A2DF">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7BA2591E">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46BBEAB6">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691D8E26">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7B79227E">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0CB64AE6">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4396F1C9">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795FECBA">
            <w:pPr>
              <w:widowControl w:val="0"/>
              <w:jc w:val="center"/>
              <w:outlineLvl w:val="9"/>
              <w:rPr>
                <w:rFonts w:hint="eastAsia" w:ascii="宋体" w:hAnsi="宋体" w:eastAsia="宋体" w:cs="宋体"/>
                <w:color w:val="auto"/>
                <w:highlight w:val="none"/>
              </w:rPr>
            </w:pPr>
          </w:p>
        </w:tc>
        <w:tc>
          <w:tcPr>
            <w:tcW w:w="635" w:type="dxa"/>
            <w:noWrap w:val="0"/>
            <w:vAlign w:val="center"/>
          </w:tcPr>
          <w:p w14:paraId="0AA484AF">
            <w:pPr>
              <w:widowControl w:val="0"/>
              <w:jc w:val="center"/>
              <w:outlineLvl w:val="9"/>
              <w:rPr>
                <w:rFonts w:hint="eastAsia" w:ascii="宋体" w:hAnsi="宋体" w:eastAsia="宋体" w:cs="宋体"/>
                <w:color w:val="auto"/>
                <w:highlight w:val="none"/>
              </w:rPr>
            </w:pPr>
          </w:p>
        </w:tc>
      </w:tr>
      <w:tr w14:paraId="0212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5EDAEB15">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309" w:type="dxa"/>
            <w:gridSpan w:val="2"/>
            <w:noWrap w:val="0"/>
            <w:vAlign w:val="center"/>
          </w:tcPr>
          <w:p w14:paraId="22947B64">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离心泵（压榨）</w:t>
            </w:r>
          </w:p>
        </w:tc>
        <w:tc>
          <w:tcPr>
            <w:tcW w:w="1175" w:type="dxa"/>
            <w:gridSpan w:val="2"/>
            <w:noWrap w:val="0"/>
            <w:vAlign w:val="center"/>
          </w:tcPr>
          <w:p w14:paraId="129AAB00">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Q=16m³/h；H=160m；N=11kw</w:t>
            </w:r>
          </w:p>
        </w:tc>
        <w:tc>
          <w:tcPr>
            <w:tcW w:w="1266" w:type="dxa"/>
            <w:gridSpan w:val="2"/>
            <w:noWrap w:val="0"/>
            <w:vAlign w:val="center"/>
          </w:tcPr>
          <w:p w14:paraId="451EAFCF">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2F4AFF54">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4175E6DD">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4701B0B7">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71E4DA9C">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3E39F435">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498838E2">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3D5DB0D0">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1A47C409">
            <w:pPr>
              <w:widowControl w:val="0"/>
              <w:jc w:val="center"/>
              <w:outlineLvl w:val="9"/>
              <w:rPr>
                <w:rFonts w:hint="eastAsia" w:ascii="宋体" w:hAnsi="宋体" w:eastAsia="宋体" w:cs="宋体"/>
                <w:color w:val="auto"/>
                <w:highlight w:val="none"/>
              </w:rPr>
            </w:pPr>
          </w:p>
        </w:tc>
        <w:tc>
          <w:tcPr>
            <w:tcW w:w="635" w:type="dxa"/>
            <w:noWrap w:val="0"/>
            <w:vAlign w:val="center"/>
          </w:tcPr>
          <w:p w14:paraId="18D327F0">
            <w:pPr>
              <w:widowControl w:val="0"/>
              <w:jc w:val="center"/>
              <w:outlineLvl w:val="9"/>
              <w:rPr>
                <w:rFonts w:hint="eastAsia" w:ascii="宋体" w:hAnsi="宋体" w:eastAsia="宋体" w:cs="宋体"/>
                <w:color w:val="auto"/>
                <w:highlight w:val="none"/>
              </w:rPr>
            </w:pPr>
          </w:p>
        </w:tc>
      </w:tr>
      <w:tr w14:paraId="3C40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1825FE03">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309" w:type="dxa"/>
            <w:gridSpan w:val="2"/>
            <w:noWrap w:val="0"/>
            <w:vAlign w:val="center"/>
          </w:tcPr>
          <w:p w14:paraId="7CC1208C">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螺杆式空气压缩机</w:t>
            </w:r>
          </w:p>
        </w:tc>
        <w:tc>
          <w:tcPr>
            <w:tcW w:w="1175" w:type="dxa"/>
            <w:gridSpan w:val="2"/>
            <w:noWrap w:val="0"/>
            <w:vAlign w:val="center"/>
          </w:tcPr>
          <w:p w14:paraId="4EAFE6B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Q=3.0m³/min，P=0.1MPa，N=22kW</w:t>
            </w:r>
          </w:p>
        </w:tc>
        <w:tc>
          <w:tcPr>
            <w:tcW w:w="1266" w:type="dxa"/>
            <w:gridSpan w:val="2"/>
            <w:noWrap w:val="0"/>
            <w:vAlign w:val="center"/>
          </w:tcPr>
          <w:p w14:paraId="3458C08E">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6EBABE30">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37062B42">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6C342697">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43608201">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60709457">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43056D12">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581D95A8">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D4CAB11">
            <w:pPr>
              <w:widowControl w:val="0"/>
              <w:jc w:val="center"/>
              <w:outlineLvl w:val="9"/>
              <w:rPr>
                <w:rFonts w:hint="eastAsia" w:ascii="宋体" w:hAnsi="宋体" w:eastAsia="宋体" w:cs="宋体"/>
                <w:color w:val="auto"/>
                <w:highlight w:val="none"/>
              </w:rPr>
            </w:pPr>
          </w:p>
        </w:tc>
        <w:tc>
          <w:tcPr>
            <w:tcW w:w="635" w:type="dxa"/>
            <w:noWrap w:val="0"/>
            <w:vAlign w:val="center"/>
          </w:tcPr>
          <w:p w14:paraId="4B42BEA6">
            <w:pPr>
              <w:widowControl w:val="0"/>
              <w:jc w:val="center"/>
              <w:outlineLvl w:val="9"/>
              <w:rPr>
                <w:rFonts w:hint="eastAsia" w:ascii="宋体" w:hAnsi="宋体" w:eastAsia="宋体" w:cs="宋体"/>
                <w:color w:val="auto"/>
                <w:highlight w:val="none"/>
              </w:rPr>
            </w:pPr>
          </w:p>
        </w:tc>
      </w:tr>
      <w:tr w14:paraId="5354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7D90EAB7">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309" w:type="dxa"/>
            <w:gridSpan w:val="2"/>
            <w:noWrap w:val="0"/>
            <w:vAlign w:val="center"/>
          </w:tcPr>
          <w:p w14:paraId="0F97A6E5">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冷干机</w:t>
            </w:r>
          </w:p>
        </w:tc>
        <w:tc>
          <w:tcPr>
            <w:tcW w:w="1175" w:type="dxa"/>
            <w:gridSpan w:val="2"/>
            <w:noWrap w:val="0"/>
            <w:vAlign w:val="center"/>
          </w:tcPr>
          <w:p w14:paraId="115B167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Q=1.0m³/min，P=0.1MPa，N=0.75kW</w:t>
            </w:r>
          </w:p>
        </w:tc>
        <w:tc>
          <w:tcPr>
            <w:tcW w:w="1266" w:type="dxa"/>
            <w:gridSpan w:val="2"/>
            <w:noWrap w:val="0"/>
            <w:vAlign w:val="center"/>
          </w:tcPr>
          <w:p w14:paraId="005B04C1">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549F6B4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4667AB50">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6E6AEDEB">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3664CF7E">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7E31FFFD">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A2E88AA">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60C28D43">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49453256">
            <w:pPr>
              <w:widowControl w:val="0"/>
              <w:jc w:val="center"/>
              <w:outlineLvl w:val="9"/>
              <w:rPr>
                <w:rFonts w:hint="eastAsia" w:ascii="宋体" w:hAnsi="宋体" w:eastAsia="宋体" w:cs="宋体"/>
                <w:color w:val="auto"/>
                <w:highlight w:val="none"/>
              </w:rPr>
            </w:pPr>
          </w:p>
        </w:tc>
        <w:tc>
          <w:tcPr>
            <w:tcW w:w="635" w:type="dxa"/>
            <w:noWrap w:val="0"/>
            <w:vAlign w:val="center"/>
          </w:tcPr>
          <w:p w14:paraId="41873516">
            <w:pPr>
              <w:widowControl w:val="0"/>
              <w:jc w:val="center"/>
              <w:outlineLvl w:val="9"/>
              <w:rPr>
                <w:rFonts w:hint="eastAsia" w:ascii="宋体" w:hAnsi="宋体" w:eastAsia="宋体" w:cs="宋体"/>
                <w:color w:val="auto"/>
                <w:highlight w:val="none"/>
              </w:rPr>
            </w:pPr>
          </w:p>
        </w:tc>
      </w:tr>
      <w:tr w14:paraId="5F8A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7FD370FD">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1309" w:type="dxa"/>
            <w:gridSpan w:val="2"/>
            <w:noWrap w:val="0"/>
            <w:vAlign w:val="center"/>
          </w:tcPr>
          <w:p w14:paraId="5911C3B2">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储气罐</w:t>
            </w:r>
          </w:p>
        </w:tc>
        <w:tc>
          <w:tcPr>
            <w:tcW w:w="1175" w:type="dxa"/>
            <w:gridSpan w:val="2"/>
            <w:noWrap w:val="0"/>
            <w:vAlign w:val="center"/>
          </w:tcPr>
          <w:p w14:paraId="6194FDA3">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V=8m³，P=0.1MPa</w:t>
            </w:r>
          </w:p>
        </w:tc>
        <w:tc>
          <w:tcPr>
            <w:tcW w:w="1266" w:type="dxa"/>
            <w:gridSpan w:val="2"/>
            <w:noWrap w:val="0"/>
            <w:vAlign w:val="center"/>
          </w:tcPr>
          <w:p w14:paraId="6BB5ECA2">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54D41570">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个</w:t>
            </w:r>
          </w:p>
        </w:tc>
        <w:tc>
          <w:tcPr>
            <w:tcW w:w="1296" w:type="dxa"/>
            <w:gridSpan w:val="2"/>
            <w:noWrap w:val="0"/>
            <w:vAlign w:val="center"/>
          </w:tcPr>
          <w:p w14:paraId="688EAABC">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6BF817FF">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2DBEC11A">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03100448">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4CA6B060">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05055C21">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2E4B02F8">
            <w:pPr>
              <w:widowControl w:val="0"/>
              <w:jc w:val="center"/>
              <w:outlineLvl w:val="9"/>
              <w:rPr>
                <w:rFonts w:hint="eastAsia" w:ascii="宋体" w:hAnsi="宋体" w:eastAsia="宋体" w:cs="宋体"/>
                <w:color w:val="auto"/>
                <w:highlight w:val="none"/>
              </w:rPr>
            </w:pPr>
          </w:p>
        </w:tc>
        <w:tc>
          <w:tcPr>
            <w:tcW w:w="635" w:type="dxa"/>
            <w:noWrap w:val="0"/>
            <w:vAlign w:val="center"/>
          </w:tcPr>
          <w:p w14:paraId="2ECFB722">
            <w:pPr>
              <w:widowControl w:val="0"/>
              <w:jc w:val="center"/>
              <w:outlineLvl w:val="9"/>
              <w:rPr>
                <w:rFonts w:hint="eastAsia" w:ascii="宋体" w:hAnsi="宋体" w:eastAsia="宋体" w:cs="宋体"/>
                <w:color w:val="auto"/>
                <w:highlight w:val="none"/>
              </w:rPr>
            </w:pPr>
          </w:p>
        </w:tc>
      </w:tr>
      <w:tr w14:paraId="6EDE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36729502">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1309" w:type="dxa"/>
            <w:gridSpan w:val="2"/>
            <w:noWrap w:val="0"/>
            <w:vAlign w:val="center"/>
          </w:tcPr>
          <w:p w14:paraId="37B624F6">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储气罐</w:t>
            </w:r>
          </w:p>
        </w:tc>
        <w:tc>
          <w:tcPr>
            <w:tcW w:w="1175" w:type="dxa"/>
            <w:gridSpan w:val="2"/>
            <w:noWrap w:val="0"/>
            <w:vAlign w:val="center"/>
          </w:tcPr>
          <w:p w14:paraId="111E5C5D">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V=1m³，P=0.1MPa</w:t>
            </w:r>
          </w:p>
        </w:tc>
        <w:tc>
          <w:tcPr>
            <w:tcW w:w="1266" w:type="dxa"/>
            <w:gridSpan w:val="2"/>
            <w:noWrap w:val="0"/>
            <w:vAlign w:val="center"/>
          </w:tcPr>
          <w:p w14:paraId="4E8283B9">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2</w:t>
            </w:r>
          </w:p>
        </w:tc>
        <w:tc>
          <w:tcPr>
            <w:tcW w:w="1020" w:type="dxa"/>
            <w:noWrap w:val="0"/>
            <w:vAlign w:val="center"/>
          </w:tcPr>
          <w:p w14:paraId="50A83FD4">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个</w:t>
            </w:r>
          </w:p>
        </w:tc>
        <w:tc>
          <w:tcPr>
            <w:tcW w:w="1296" w:type="dxa"/>
            <w:gridSpan w:val="2"/>
            <w:noWrap w:val="0"/>
            <w:vAlign w:val="center"/>
          </w:tcPr>
          <w:p w14:paraId="5530D1EF">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5FE15E7F">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602AA652">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5AD7F125">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0DFA9819">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4FE3891A">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2FB1EA73">
            <w:pPr>
              <w:widowControl w:val="0"/>
              <w:jc w:val="center"/>
              <w:outlineLvl w:val="9"/>
              <w:rPr>
                <w:rFonts w:hint="eastAsia" w:ascii="宋体" w:hAnsi="宋体" w:eastAsia="宋体" w:cs="宋体"/>
                <w:color w:val="auto"/>
                <w:highlight w:val="none"/>
              </w:rPr>
            </w:pPr>
          </w:p>
        </w:tc>
        <w:tc>
          <w:tcPr>
            <w:tcW w:w="635" w:type="dxa"/>
            <w:noWrap w:val="0"/>
            <w:vAlign w:val="center"/>
          </w:tcPr>
          <w:p w14:paraId="26F2BC02">
            <w:pPr>
              <w:widowControl w:val="0"/>
              <w:jc w:val="center"/>
              <w:outlineLvl w:val="9"/>
              <w:rPr>
                <w:rFonts w:hint="eastAsia" w:ascii="宋体" w:hAnsi="宋体" w:eastAsia="宋体" w:cs="宋体"/>
                <w:color w:val="auto"/>
                <w:highlight w:val="none"/>
              </w:rPr>
            </w:pPr>
          </w:p>
        </w:tc>
      </w:tr>
      <w:tr w14:paraId="6113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7D95F26A">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309" w:type="dxa"/>
            <w:gridSpan w:val="2"/>
            <w:noWrap w:val="0"/>
            <w:vAlign w:val="center"/>
          </w:tcPr>
          <w:p w14:paraId="562DC4EF">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螺杆泵</w:t>
            </w:r>
          </w:p>
        </w:tc>
        <w:tc>
          <w:tcPr>
            <w:tcW w:w="1175" w:type="dxa"/>
            <w:gridSpan w:val="2"/>
            <w:noWrap w:val="0"/>
            <w:vAlign w:val="center"/>
          </w:tcPr>
          <w:p w14:paraId="099FF1F2">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Q=130m³/h，H=60m，N=30kW</w:t>
            </w:r>
          </w:p>
        </w:tc>
        <w:tc>
          <w:tcPr>
            <w:tcW w:w="1266" w:type="dxa"/>
            <w:gridSpan w:val="2"/>
            <w:noWrap w:val="0"/>
            <w:vAlign w:val="center"/>
          </w:tcPr>
          <w:p w14:paraId="051631A4">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12E870B7">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6CF266C3">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DD4FC21">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710301F0">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4ABB3DCC">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3DBB36AA">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3BF130DC">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27EA9C56">
            <w:pPr>
              <w:widowControl w:val="0"/>
              <w:jc w:val="center"/>
              <w:outlineLvl w:val="9"/>
              <w:rPr>
                <w:rFonts w:hint="eastAsia" w:ascii="宋体" w:hAnsi="宋体" w:eastAsia="宋体" w:cs="宋体"/>
                <w:color w:val="auto"/>
                <w:highlight w:val="none"/>
              </w:rPr>
            </w:pPr>
          </w:p>
        </w:tc>
        <w:tc>
          <w:tcPr>
            <w:tcW w:w="635" w:type="dxa"/>
            <w:noWrap w:val="0"/>
            <w:vAlign w:val="center"/>
          </w:tcPr>
          <w:p w14:paraId="7014D24D">
            <w:pPr>
              <w:widowControl w:val="0"/>
              <w:jc w:val="center"/>
              <w:outlineLvl w:val="9"/>
              <w:rPr>
                <w:rFonts w:hint="eastAsia" w:ascii="宋体" w:hAnsi="宋体" w:eastAsia="宋体" w:cs="宋体"/>
                <w:color w:val="auto"/>
                <w:highlight w:val="none"/>
              </w:rPr>
            </w:pPr>
          </w:p>
        </w:tc>
      </w:tr>
      <w:tr w14:paraId="28BB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6317F049">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309" w:type="dxa"/>
            <w:gridSpan w:val="2"/>
            <w:noWrap w:val="0"/>
            <w:vAlign w:val="center"/>
          </w:tcPr>
          <w:p w14:paraId="6947A835">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真空泵</w:t>
            </w:r>
          </w:p>
        </w:tc>
        <w:tc>
          <w:tcPr>
            <w:tcW w:w="1175" w:type="dxa"/>
            <w:gridSpan w:val="2"/>
            <w:noWrap w:val="0"/>
            <w:vAlign w:val="center"/>
          </w:tcPr>
          <w:p w14:paraId="05843FA3">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Q=3.5m³/h；P=-93.3KPa；N=7.5kw</w:t>
            </w:r>
          </w:p>
        </w:tc>
        <w:tc>
          <w:tcPr>
            <w:tcW w:w="1266" w:type="dxa"/>
            <w:gridSpan w:val="2"/>
            <w:noWrap w:val="0"/>
            <w:vAlign w:val="center"/>
          </w:tcPr>
          <w:p w14:paraId="674805E2">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18DEAC57">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2CC87785">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6BFBA51F">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694C2CEC">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6C9A8F17">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3564F034">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47ACD4C6">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665FFCFE">
            <w:pPr>
              <w:widowControl w:val="0"/>
              <w:jc w:val="center"/>
              <w:outlineLvl w:val="9"/>
              <w:rPr>
                <w:rFonts w:hint="eastAsia" w:ascii="宋体" w:hAnsi="宋体" w:eastAsia="宋体" w:cs="宋体"/>
                <w:color w:val="auto"/>
                <w:highlight w:val="none"/>
              </w:rPr>
            </w:pPr>
          </w:p>
        </w:tc>
        <w:tc>
          <w:tcPr>
            <w:tcW w:w="635" w:type="dxa"/>
            <w:noWrap w:val="0"/>
            <w:vAlign w:val="center"/>
          </w:tcPr>
          <w:p w14:paraId="341EB62E">
            <w:pPr>
              <w:widowControl w:val="0"/>
              <w:jc w:val="center"/>
              <w:outlineLvl w:val="9"/>
              <w:rPr>
                <w:rFonts w:hint="eastAsia" w:ascii="宋体" w:hAnsi="宋体" w:eastAsia="宋体" w:cs="宋体"/>
                <w:color w:val="auto"/>
                <w:highlight w:val="none"/>
              </w:rPr>
            </w:pPr>
          </w:p>
        </w:tc>
      </w:tr>
      <w:tr w14:paraId="2E6A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45FA7B37">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1309" w:type="dxa"/>
            <w:gridSpan w:val="2"/>
            <w:noWrap w:val="0"/>
            <w:vAlign w:val="center"/>
          </w:tcPr>
          <w:p w14:paraId="4BB21260">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储水箱</w:t>
            </w:r>
          </w:p>
        </w:tc>
        <w:tc>
          <w:tcPr>
            <w:tcW w:w="1175" w:type="dxa"/>
            <w:gridSpan w:val="2"/>
            <w:noWrap w:val="0"/>
            <w:vAlign w:val="center"/>
          </w:tcPr>
          <w:p w14:paraId="532A0DCB">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10m³，带自动进水装置,罐体为不锈钢材质</w:t>
            </w:r>
          </w:p>
        </w:tc>
        <w:tc>
          <w:tcPr>
            <w:tcW w:w="1266" w:type="dxa"/>
            <w:gridSpan w:val="2"/>
            <w:noWrap w:val="0"/>
            <w:vAlign w:val="center"/>
          </w:tcPr>
          <w:p w14:paraId="4CD5A0B1">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1AA782A1">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3129D3AD">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F540397">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73BBE40D">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3B0935D1">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7F74D13A">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6BF76B11">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8F2F8C8">
            <w:pPr>
              <w:widowControl w:val="0"/>
              <w:jc w:val="center"/>
              <w:outlineLvl w:val="9"/>
              <w:rPr>
                <w:rFonts w:hint="eastAsia" w:ascii="宋体" w:hAnsi="宋体" w:eastAsia="宋体" w:cs="宋体"/>
                <w:color w:val="auto"/>
                <w:highlight w:val="none"/>
              </w:rPr>
            </w:pPr>
          </w:p>
        </w:tc>
        <w:tc>
          <w:tcPr>
            <w:tcW w:w="635" w:type="dxa"/>
            <w:noWrap w:val="0"/>
            <w:vAlign w:val="center"/>
          </w:tcPr>
          <w:p w14:paraId="077BE0DE">
            <w:pPr>
              <w:widowControl w:val="0"/>
              <w:jc w:val="center"/>
              <w:outlineLvl w:val="9"/>
              <w:rPr>
                <w:rFonts w:hint="eastAsia" w:ascii="宋体" w:hAnsi="宋体" w:eastAsia="宋体" w:cs="宋体"/>
                <w:color w:val="auto"/>
                <w:highlight w:val="none"/>
              </w:rPr>
            </w:pPr>
          </w:p>
        </w:tc>
      </w:tr>
      <w:tr w14:paraId="4601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7D9AEBA2">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1309" w:type="dxa"/>
            <w:gridSpan w:val="2"/>
            <w:noWrap w:val="0"/>
            <w:vAlign w:val="center"/>
          </w:tcPr>
          <w:p w14:paraId="44D8D062">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导料斗</w:t>
            </w:r>
          </w:p>
        </w:tc>
        <w:tc>
          <w:tcPr>
            <w:tcW w:w="1175" w:type="dxa"/>
            <w:gridSpan w:val="2"/>
            <w:noWrap w:val="0"/>
            <w:vAlign w:val="center"/>
          </w:tcPr>
          <w:p w14:paraId="207030E0">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板框机配套</w:t>
            </w:r>
          </w:p>
        </w:tc>
        <w:tc>
          <w:tcPr>
            <w:tcW w:w="1266" w:type="dxa"/>
            <w:gridSpan w:val="2"/>
            <w:noWrap w:val="0"/>
            <w:vAlign w:val="center"/>
          </w:tcPr>
          <w:p w14:paraId="30BD19A5">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6861EBF8">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0DD3F62A">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7A3F19BF">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09A0399A">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5DFC63B1">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54A2C057">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094CF85F">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18E23949">
            <w:pPr>
              <w:widowControl w:val="0"/>
              <w:jc w:val="center"/>
              <w:outlineLvl w:val="9"/>
              <w:rPr>
                <w:rFonts w:hint="eastAsia" w:ascii="宋体" w:hAnsi="宋体" w:eastAsia="宋体" w:cs="宋体"/>
                <w:color w:val="auto"/>
                <w:highlight w:val="none"/>
              </w:rPr>
            </w:pPr>
          </w:p>
        </w:tc>
        <w:tc>
          <w:tcPr>
            <w:tcW w:w="635" w:type="dxa"/>
            <w:noWrap w:val="0"/>
            <w:vAlign w:val="center"/>
          </w:tcPr>
          <w:p w14:paraId="6FBDACFA">
            <w:pPr>
              <w:widowControl w:val="0"/>
              <w:jc w:val="center"/>
              <w:outlineLvl w:val="9"/>
              <w:rPr>
                <w:rFonts w:hint="eastAsia" w:ascii="宋体" w:hAnsi="宋体" w:eastAsia="宋体" w:cs="宋体"/>
                <w:color w:val="auto"/>
                <w:highlight w:val="none"/>
              </w:rPr>
            </w:pPr>
          </w:p>
        </w:tc>
      </w:tr>
      <w:tr w14:paraId="090E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7AF30657">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1309" w:type="dxa"/>
            <w:gridSpan w:val="2"/>
            <w:noWrap w:val="0"/>
            <w:vAlign w:val="center"/>
          </w:tcPr>
          <w:p w14:paraId="7C5111D5">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PAM一体制备装置</w:t>
            </w:r>
          </w:p>
        </w:tc>
        <w:tc>
          <w:tcPr>
            <w:tcW w:w="1175" w:type="dxa"/>
            <w:gridSpan w:val="2"/>
            <w:noWrap w:val="0"/>
            <w:vAlign w:val="center"/>
          </w:tcPr>
          <w:p w14:paraId="460737BD">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制备能力6000L/h，制备浓度0.1~0.3% ，P=5kw</w:t>
            </w:r>
          </w:p>
        </w:tc>
        <w:tc>
          <w:tcPr>
            <w:tcW w:w="1266" w:type="dxa"/>
            <w:gridSpan w:val="2"/>
            <w:noWrap w:val="0"/>
            <w:vAlign w:val="center"/>
          </w:tcPr>
          <w:p w14:paraId="7782A7B1">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2</w:t>
            </w:r>
          </w:p>
        </w:tc>
        <w:tc>
          <w:tcPr>
            <w:tcW w:w="1020" w:type="dxa"/>
            <w:noWrap w:val="0"/>
            <w:vAlign w:val="center"/>
          </w:tcPr>
          <w:p w14:paraId="1C6941ED">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6AEE98E1">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4B2D6FCA">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0AFEB504">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5D7CAF5C">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2123B805">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57651CA1">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BBDA6C8">
            <w:pPr>
              <w:widowControl w:val="0"/>
              <w:jc w:val="center"/>
              <w:outlineLvl w:val="9"/>
              <w:rPr>
                <w:rFonts w:hint="eastAsia" w:ascii="宋体" w:hAnsi="宋体" w:eastAsia="宋体" w:cs="宋体"/>
                <w:color w:val="auto"/>
                <w:highlight w:val="none"/>
              </w:rPr>
            </w:pPr>
          </w:p>
        </w:tc>
        <w:tc>
          <w:tcPr>
            <w:tcW w:w="635" w:type="dxa"/>
            <w:noWrap w:val="0"/>
            <w:vAlign w:val="center"/>
          </w:tcPr>
          <w:p w14:paraId="4BC2F1A5">
            <w:pPr>
              <w:widowControl w:val="0"/>
              <w:jc w:val="center"/>
              <w:outlineLvl w:val="9"/>
              <w:rPr>
                <w:rFonts w:hint="eastAsia" w:ascii="宋体" w:hAnsi="宋体" w:eastAsia="宋体" w:cs="宋体"/>
                <w:color w:val="auto"/>
                <w:highlight w:val="none"/>
              </w:rPr>
            </w:pPr>
          </w:p>
        </w:tc>
      </w:tr>
      <w:tr w14:paraId="1D69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6AA5CED6">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309" w:type="dxa"/>
            <w:gridSpan w:val="2"/>
            <w:noWrap w:val="0"/>
            <w:vAlign w:val="center"/>
          </w:tcPr>
          <w:p w14:paraId="30659B9F">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螺杆泵（PAM投加）</w:t>
            </w:r>
          </w:p>
        </w:tc>
        <w:tc>
          <w:tcPr>
            <w:tcW w:w="1175" w:type="dxa"/>
            <w:gridSpan w:val="2"/>
            <w:noWrap w:val="0"/>
            <w:vAlign w:val="center"/>
          </w:tcPr>
          <w:p w14:paraId="372A5541">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Q=8m³/h，H=60m，N=2.2kW</w:t>
            </w:r>
          </w:p>
        </w:tc>
        <w:tc>
          <w:tcPr>
            <w:tcW w:w="1266" w:type="dxa"/>
            <w:gridSpan w:val="2"/>
            <w:noWrap w:val="0"/>
            <w:vAlign w:val="center"/>
          </w:tcPr>
          <w:p w14:paraId="74D871D8">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486892F8">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76A4103D">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0776D38F">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593D231A">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23391047">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552ACF5D">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4448011A">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47A2ED55">
            <w:pPr>
              <w:widowControl w:val="0"/>
              <w:jc w:val="center"/>
              <w:outlineLvl w:val="9"/>
              <w:rPr>
                <w:rFonts w:hint="eastAsia" w:ascii="宋体" w:hAnsi="宋体" w:eastAsia="宋体" w:cs="宋体"/>
                <w:color w:val="auto"/>
                <w:highlight w:val="none"/>
              </w:rPr>
            </w:pPr>
          </w:p>
        </w:tc>
        <w:tc>
          <w:tcPr>
            <w:tcW w:w="635" w:type="dxa"/>
            <w:noWrap w:val="0"/>
            <w:vAlign w:val="center"/>
          </w:tcPr>
          <w:p w14:paraId="598612D1">
            <w:pPr>
              <w:widowControl w:val="0"/>
              <w:jc w:val="center"/>
              <w:outlineLvl w:val="9"/>
              <w:rPr>
                <w:rFonts w:hint="eastAsia" w:ascii="宋体" w:hAnsi="宋体" w:eastAsia="宋体" w:cs="宋体"/>
                <w:color w:val="auto"/>
                <w:highlight w:val="none"/>
              </w:rPr>
            </w:pPr>
          </w:p>
        </w:tc>
      </w:tr>
      <w:tr w14:paraId="4B47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37401302">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1309" w:type="dxa"/>
            <w:gridSpan w:val="2"/>
            <w:noWrap w:val="0"/>
            <w:vAlign w:val="center"/>
          </w:tcPr>
          <w:p w14:paraId="4C8730EC">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螺杆泵（PAM投加）</w:t>
            </w:r>
          </w:p>
        </w:tc>
        <w:tc>
          <w:tcPr>
            <w:tcW w:w="1175" w:type="dxa"/>
            <w:gridSpan w:val="2"/>
            <w:noWrap w:val="0"/>
            <w:vAlign w:val="center"/>
          </w:tcPr>
          <w:p w14:paraId="5219DEA6">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Q=0.27m³/h，H=40m，N=0.55kW</w:t>
            </w:r>
          </w:p>
        </w:tc>
        <w:tc>
          <w:tcPr>
            <w:tcW w:w="1266" w:type="dxa"/>
            <w:gridSpan w:val="2"/>
            <w:noWrap w:val="0"/>
            <w:vAlign w:val="center"/>
          </w:tcPr>
          <w:p w14:paraId="59345961">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2</w:t>
            </w:r>
          </w:p>
        </w:tc>
        <w:tc>
          <w:tcPr>
            <w:tcW w:w="1020" w:type="dxa"/>
            <w:noWrap w:val="0"/>
            <w:vAlign w:val="center"/>
          </w:tcPr>
          <w:p w14:paraId="5808B2E1">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台</w:t>
            </w:r>
          </w:p>
        </w:tc>
        <w:tc>
          <w:tcPr>
            <w:tcW w:w="1296" w:type="dxa"/>
            <w:gridSpan w:val="2"/>
            <w:noWrap w:val="0"/>
            <w:vAlign w:val="center"/>
          </w:tcPr>
          <w:p w14:paraId="75F3BE7D">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40993BA">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2D88928A">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36457C08">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65BA88D8">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172446DA">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12490F73">
            <w:pPr>
              <w:widowControl w:val="0"/>
              <w:jc w:val="center"/>
              <w:outlineLvl w:val="9"/>
              <w:rPr>
                <w:rFonts w:hint="eastAsia" w:ascii="宋体" w:hAnsi="宋体" w:eastAsia="宋体" w:cs="宋体"/>
                <w:color w:val="auto"/>
                <w:highlight w:val="none"/>
              </w:rPr>
            </w:pPr>
          </w:p>
        </w:tc>
        <w:tc>
          <w:tcPr>
            <w:tcW w:w="635" w:type="dxa"/>
            <w:noWrap w:val="0"/>
            <w:vAlign w:val="center"/>
          </w:tcPr>
          <w:p w14:paraId="28FFC2BC">
            <w:pPr>
              <w:widowControl w:val="0"/>
              <w:jc w:val="center"/>
              <w:outlineLvl w:val="9"/>
              <w:rPr>
                <w:rFonts w:hint="eastAsia" w:ascii="宋体" w:hAnsi="宋体" w:eastAsia="宋体" w:cs="宋体"/>
                <w:color w:val="auto"/>
                <w:highlight w:val="none"/>
              </w:rPr>
            </w:pPr>
          </w:p>
        </w:tc>
      </w:tr>
      <w:tr w14:paraId="22D7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4FFB1BA7">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309" w:type="dxa"/>
            <w:gridSpan w:val="2"/>
            <w:noWrap w:val="0"/>
            <w:vAlign w:val="center"/>
          </w:tcPr>
          <w:p w14:paraId="76D2FC0E">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导料斗螺旋输送机</w:t>
            </w:r>
          </w:p>
        </w:tc>
        <w:tc>
          <w:tcPr>
            <w:tcW w:w="1175" w:type="dxa"/>
            <w:gridSpan w:val="2"/>
            <w:noWrap w:val="0"/>
            <w:vAlign w:val="center"/>
          </w:tcPr>
          <w:p w14:paraId="0346EF7B">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Q=20m³/h，L=12m，P=7.5kw</w:t>
            </w:r>
          </w:p>
        </w:tc>
        <w:tc>
          <w:tcPr>
            <w:tcW w:w="1266" w:type="dxa"/>
            <w:gridSpan w:val="2"/>
            <w:noWrap w:val="0"/>
            <w:vAlign w:val="center"/>
          </w:tcPr>
          <w:p w14:paraId="5E457905">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4111B71B">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0AE9FF60">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4909AA67">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5DDC7615">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43A001BD">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FAE351C">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2F4378BC">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72036E5E">
            <w:pPr>
              <w:widowControl w:val="0"/>
              <w:jc w:val="center"/>
              <w:outlineLvl w:val="9"/>
              <w:rPr>
                <w:rFonts w:hint="eastAsia" w:ascii="宋体" w:hAnsi="宋体" w:eastAsia="宋体" w:cs="宋体"/>
                <w:color w:val="auto"/>
                <w:highlight w:val="none"/>
              </w:rPr>
            </w:pPr>
          </w:p>
        </w:tc>
        <w:tc>
          <w:tcPr>
            <w:tcW w:w="635" w:type="dxa"/>
            <w:noWrap w:val="0"/>
            <w:vAlign w:val="center"/>
          </w:tcPr>
          <w:p w14:paraId="757F5345">
            <w:pPr>
              <w:widowControl w:val="0"/>
              <w:jc w:val="center"/>
              <w:outlineLvl w:val="9"/>
              <w:rPr>
                <w:rFonts w:hint="eastAsia" w:ascii="宋体" w:hAnsi="宋体" w:eastAsia="宋体" w:cs="宋体"/>
                <w:color w:val="auto"/>
                <w:highlight w:val="none"/>
              </w:rPr>
            </w:pPr>
          </w:p>
        </w:tc>
      </w:tr>
      <w:tr w14:paraId="6105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6F3DCE94">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1309" w:type="dxa"/>
            <w:gridSpan w:val="2"/>
            <w:noWrap w:val="0"/>
            <w:vAlign w:val="center"/>
          </w:tcPr>
          <w:p w14:paraId="19866D90">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料仓进料螺旋输送机</w:t>
            </w:r>
          </w:p>
        </w:tc>
        <w:tc>
          <w:tcPr>
            <w:tcW w:w="1175" w:type="dxa"/>
            <w:gridSpan w:val="2"/>
            <w:noWrap w:val="0"/>
            <w:vAlign w:val="center"/>
          </w:tcPr>
          <w:p w14:paraId="7FFDA2CA">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Q=20m³/h，L=14m，P=7.5kw</w:t>
            </w:r>
          </w:p>
        </w:tc>
        <w:tc>
          <w:tcPr>
            <w:tcW w:w="1266" w:type="dxa"/>
            <w:gridSpan w:val="2"/>
            <w:noWrap w:val="0"/>
            <w:vAlign w:val="center"/>
          </w:tcPr>
          <w:p w14:paraId="227B0F2D">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095BC61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6C9B8A2F">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FF07EEC">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558F98F4">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36E1C4BA">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014B2EFF">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7465BD32">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2EB5C04A">
            <w:pPr>
              <w:widowControl w:val="0"/>
              <w:jc w:val="center"/>
              <w:outlineLvl w:val="9"/>
              <w:rPr>
                <w:rFonts w:hint="eastAsia" w:ascii="宋体" w:hAnsi="宋体" w:eastAsia="宋体" w:cs="宋体"/>
                <w:color w:val="auto"/>
                <w:highlight w:val="none"/>
              </w:rPr>
            </w:pPr>
          </w:p>
        </w:tc>
        <w:tc>
          <w:tcPr>
            <w:tcW w:w="635" w:type="dxa"/>
            <w:noWrap w:val="0"/>
            <w:vAlign w:val="center"/>
          </w:tcPr>
          <w:p w14:paraId="055BA714">
            <w:pPr>
              <w:widowControl w:val="0"/>
              <w:jc w:val="center"/>
              <w:outlineLvl w:val="9"/>
              <w:rPr>
                <w:rFonts w:hint="eastAsia" w:ascii="宋体" w:hAnsi="宋体" w:eastAsia="宋体" w:cs="宋体"/>
                <w:color w:val="auto"/>
                <w:highlight w:val="none"/>
              </w:rPr>
            </w:pPr>
          </w:p>
        </w:tc>
      </w:tr>
      <w:tr w14:paraId="7754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501D81FF">
            <w:pPr>
              <w:keepNext w:val="0"/>
              <w:keepLines w:val="0"/>
              <w:widowControl/>
              <w:suppressLineNumbers w:val="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1309" w:type="dxa"/>
            <w:gridSpan w:val="2"/>
            <w:noWrap w:val="0"/>
            <w:vAlign w:val="center"/>
          </w:tcPr>
          <w:p w14:paraId="1F6AB81C">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料仓</w:t>
            </w:r>
          </w:p>
        </w:tc>
        <w:tc>
          <w:tcPr>
            <w:tcW w:w="1175" w:type="dxa"/>
            <w:gridSpan w:val="2"/>
            <w:noWrap w:val="0"/>
            <w:vAlign w:val="center"/>
          </w:tcPr>
          <w:p w14:paraId="6B8E1853">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100方， 5.5kw*4</w:t>
            </w:r>
          </w:p>
        </w:tc>
        <w:tc>
          <w:tcPr>
            <w:tcW w:w="1266" w:type="dxa"/>
            <w:gridSpan w:val="2"/>
            <w:noWrap w:val="0"/>
            <w:vAlign w:val="center"/>
          </w:tcPr>
          <w:p w14:paraId="48AD19AE">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523C306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086D4DE3">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6C16CE25">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3CC5ED14">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488FFC8F">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299A5B7">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56E25994">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3C4C86C">
            <w:pPr>
              <w:widowControl w:val="0"/>
              <w:jc w:val="center"/>
              <w:outlineLvl w:val="9"/>
              <w:rPr>
                <w:rFonts w:hint="eastAsia" w:ascii="宋体" w:hAnsi="宋体" w:eastAsia="宋体" w:cs="宋体"/>
                <w:color w:val="auto"/>
                <w:highlight w:val="none"/>
              </w:rPr>
            </w:pPr>
          </w:p>
        </w:tc>
        <w:tc>
          <w:tcPr>
            <w:tcW w:w="635" w:type="dxa"/>
            <w:noWrap w:val="0"/>
            <w:vAlign w:val="center"/>
          </w:tcPr>
          <w:p w14:paraId="2EC6BD9C">
            <w:pPr>
              <w:widowControl w:val="0"/>
              <w:jc w:val="center"/>
              <w:outlineLvl w:val="9"/>
              <w:rPr>
                <w:rFonts w:hint="eastAsia" w:ascii="宋体" w:hAnsi="宋体" w:eastAsia="宋体" w:cs="宋体"/>
                <w:color w:val="auto"/>
                <w:highlight w:val="none"/>
              </w:rPr>
            </w:pPr>
          </w:p>
        </w:tc>
      </w:tr>
      <w:tr w14:paraId="5D9D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18EBF199">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18</w:t>
            </w:r>
          </w:p>
        </w:tc>
        <w:tc>
          <w:tcPr>
            <w:tcW w:w="1309" w:type="dxa"/>
            <w:gridSpan w:val="2"/>
            <w:noWrap w:val="0"/>
            <w:vAlign w:val="center"/>
          </w:tcPr>
          <w:p w14:paraId="0688C341">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配套管道、管件</w:t>
            </w:r>
          </w:p>
        </w:tc>
        <w:tc>
          <w:tcPr>
            <w:tcW w:w="1175" w:type="dxa"/>
            <w:gridSpan w:val="2"/>
            <w:noWrap w:val="0"/>
            <w:vAlign w:val="center"/>
          </w:tcPr>
          <w:p w14:paraId="67E34014">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配套管道、管件</w:t>
            </w:r>
          </w:p>
        </w:tc>
        <w:tc>
          <w:tcPr>
            <w:tcW w:w="1266" w:type="dxa"/>
            <w:gridSpan w:val="2"/>
            <w:noWrap w:val="0"/>
            <w:vAlign w:val="center"/>
          </w:tcPr>
          <w:p w14:paraId="77222BC6">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010EE9D4">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项</w:t>
            </w:r>
          </w:p>
        </w:tc>
        <w:tc>
          <w:tcPr>
            <w:tcW w:w="1296" w:type="dxa"/>
            <w:gridSpan w:val="2"/>
            <w:noWrap w:val="0"/>
            <w:vAlign w:val="center"/>
          </w:tcPr>
          <w:p w14:paraId="450A6E90">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4CEF6BCD">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7D58A0AB">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6B3C04E4">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CAEC5B7">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0C14243E">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15507F71">
            <w:pPr>
              <w:widowControl w:val="0"/>
              <w:jc w:val="center"/>
              <w:outlineLvl w:val="9"/>
              <w:rPr>
                <w:rFonts w:hint="eastAsia" w:ascii="宋体" w:hAnsi="宋体" w:eastAsia="宋体" w:cs="宋体"/>
                <w:color w:val="auto"/>
                <w:highlight w:val="none"/>
              </w:rPr>
            </w:pPr>
          </w:p>
        </w:tc>
        <w:tc>
          <w:tcPr>
            <w:tcW w:w="635" w:type="dxa"/>
            <w:noWrap w:val="0"/>
            <w:vAlign w:val="center"/>
          </w:tcPr>
          <w:p w14:paraId="6FDEBA51">
            <w:pPr>
              <w:widowControl w:val="0"/>
              <w:jc w:val="center"/>
              <w:outlineLvl w:val="9"/>
              <w:rPr>
                <w:rFonts w:hint="eastAsia" w:ascii="宋体" w:hAnsi="宋体" w:eastAsia="宋体" w:cs="宋体"/>
                <w:color w:val="auto"/>
                <w:highlight w:val="none"/>
              </w:rPr>
            </w:pPr>
          </w:p>
        </w:tc>
      </w:tr>
      <w:tr w14:paraId="4EE2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33182F54">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w:t>
            </w:r>
          </w:p>
        </w:tc>
        <w:tc>
          <w:tcPr>
            <w:tcW w:w="1309" w:type="dxa"/>
            <w:gridSpan w:val="2"/>
            <w:noWrap w:val="0"/>
            <w:vAlign w:val="center"/>
          </w:tcPr>
          <w:p w14:paraId="23A3626A">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配套阀门</w:t>
            </w:r>
          </w:p>
        </w:tc>
        <w:tc>
          <w:tcPr>
            <w:tcW w:w="1175" w:type="dxa"/>
            <w:gridSpan w:val="2"/>
            <w:noWrap w:val="0"/>
            <w:vAlign w:val="center"/>
          </w:tcPr>
          <w:p w14:paraId="5917B60C">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配套阀门</w:t>
            </w:r>
          </w:p>
        </w:tc>
        <w:tc>
          <w:tcPr>
            <w:tcW w:w="1266" w:type="dxa"/>
            <w:gridSpan w:val="2"/>
            <w:noWrap w:val="0"/>
            <w:vAlign w:val="center"/>
          </w:tcPr>
          <w:p w14:paraId="5923CA1C">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64896CCD">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项</w:t>
            </w:r>
          </w:p>
        </w:tc>
        <w:tc>
          <w:tcPr>
            <w:tcW w:w="1296" w:type="dxa"/>
            <w:gridSpan w:val="2"/>
            <w:noWrap w:val="0"/>
            <w:vAlign w:val="center"/>
          </w:tcPr>
          <w:p w14:paraId="09B4E63E">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65073DF9">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1A8912FE">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1316E9BB">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6ABFDCD3">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2D1D458E">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666A6E91">
            <w:pPr>
              <w:widowControl w:val="0"/>
              <w:jc w:val="center"/>
              <w:outlineLvl w:val="9"/>
              <w:rPr>
                <w:rFonts w:hint="eastAsia" w:ascii="宋体" w:hAnsi="宋体" w:eastAsia="宋体" w:cs="宋体"/>
                <w:color w:val="auto"/>
                <w:highlight w:val="none"/>
              </w:rPr>
            </w:pPr>
          </w:p>
        </w:tc>
        <w:tc>
          <w:tcPr>
            <w:tcW w:w="635" w:type="dxa"/>
            <w:noWrap w:val="0"/>
            <w:vAlign w:val="center"/>
          </w:tcPr>
          <w:p w14:paraId="2F212B6C">
            <w:pPr>
              <w:widowControl w:val="0"/>
              <w:jc w:val="center"/>
              <w:outlineLvl w:val="9"/>
              <w:rPr>
                <w:rFonts w:hint="eastAsia" w:ascii="宋体" w:hAnsi="宋体" w:eastAsia="宋体" w:cs="宋体"/>
                <w:color w:val="auto"/>
                <w:highlight w:val="none"/>
              </w:rPr>
            </w:pPr>
          </w:p>
        </w:tc>
      </w:tr>
      <w:tr w14:paraId="0303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429E09EA">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w:t>
            </w:r>
          </w:p>
        </w:tc>
        <w:tc>
          <w:tcPr>
            <w:tcW w:w="1309" w:type="dxa"/>
            <w:gridSpan w:val="2"/>
            <w:noWrap w:val="0"/>
            <w:vAlign w:val="center"/>
          </w:tcPr>
          <w:p w14:paraId="2E22DCC1">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电气自控、仪表</w:t>
            </w:r>
          </w:p>
        </w:tc>
        <w:tc>
          <w:tcPr>
            <w:tcW w:w="1175" w:type="dxa"/>
            <w:gridSpan w:val="2"/>
            <w:noWrap w:val="0"/>
            <w:vAlign w:val="center"/>
          </w:tcPr>
          <w:p w14:paraId="1C2F9140">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电气自控、仪表</w:t>
            </w:r>
          </w:p>
        </w:tc>
        <w:tc>
          <w:tcPr>
            <w:tcW w:w="1266" w:type="dxa"/>
            <w:gridSpan w:val="2"/>
            <w:noWrap w:val="0"/>
            <w:vAlign w:val="center"/>
          </w:tcPr>
          <w:p w14:paraId="4D994CFF">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5979FFA1">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项</w:t>
            </w:r>
          </w:p>
        </w:tc>
        <w:tc>
          <w:tcPr>
            <w:tcW w:w="1296" w:type="dxa"/>
            <w:gridSpan w:val="2"/>
            <w:noWrap w:val="0"/>
            <w:vAlign w:val="center"/>
          </w:tcPr>
          <w:p w14:paraId="7AF38C15">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760386C0">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0580FBCA">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624DC26C">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2D8E1A0B">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177B347B">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1BAF2B5E">
            <w:pPr>
              <w:widowControl w:val="0"/>
              <w:jc w:val="center"/>
              <w:outlineLvl w:val="9"/>
              <w:rPr>
                <w:rFonts w:hint="eastAsia" w:ascii="宋体" w:hAnsi="宋体" w:eastAsia="宋体" w:cs="宋体"/>
                <w:color w:val="auto"/>
                <w:highlight w:val="none"/>
              </w:rPr>
            </w:pPr>
          </w:p>
        </w:tc>
        <w:tc>
          <w:tcPr>
            <w:tcW w:w="635" w:type="dxa"/>
            <w:noWrap w:val="0"/>
            <w:vAlign w:val="center"/>
          </w:tcPr>
          <w:p w14:paraId="1310F46B">
            <w:pPr>
              <w:widowControl w:val="0"/>
              <w:jc w:val="center"/>
              <w:outlineLvl w:val="9"/>
              <w:rPr>
                <w:rFonts w:hint="eastAsia" w:ascii="宋体" w:hAnsi="宋体" w:eastAsia="宋体" w:cs="宋体"/>
                <w:color w:val="auto"/>
                <w:highlight w:val="none"/>
              </w:rPr>
            </w:pPr>
          </w:p>
        </w:tc>
      </w:tr>
      <w:tr w14:paraId="33F0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6630232E">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309" w:type="dxa"/>
            <w:gridSpan w:val="2"/>
            <w:noWrap w:val="0"/>
            <w:vAlign w:val="center"/>
          </w:tcPr>
          <w:p w14:paraId="11385713">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低压配电柜</w:t>
            </w:r>
          </w:p>
        </w:tc>
        <w:tc>
          <w:tcPr>
            <w:tcW w:w="1175" w:type="dxa"/>
            <w:gridSpan w:val="2"/>
            <w:noWrap w:val="0"/>
            <w:vAlign w:val="center"/>
          </w:tcPr>
          <w:p w14:paraId="18FFB84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800X1000X2000(宽 X 深 X 高)</w:t>
            </w:r>
          </w:p>
        </w:tc>
        <w:tc>
          <w:tcPr>
            <w:tcW w:w="1266" w:type="dxa"/>
            <w:gridSpan w:val="2"/>
            <w:noWrap w:val="0"/>
            <w:vAlign w:val="center"/>
          </w:tcPr>
          <w:p w14:paraId="06FDB026">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6259377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56CEC66B">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C0C3F89">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260362D4">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1430A118">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16792D3">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5C383667">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B970772">
            <w:pPr>
              <w:widowControl w:val="0"/>
              <w:jc w:val="center"/>
              <w:outlineLvl w:val="9"/>
              <w:rPr>
                <w:rFonts w:hint="eastAsia" w:ascii="宋体" w:hAnsi="宋体" w:eastAsia="宋体" w:cs="宋体"/>
                <w:color w:val="auto"/>
                <w:highlight w:val="none"/>
              </w:rPr>
            </w:pPr>
          </w:p>
        </w:tc>
        <w:tc>
          <w:tcPr>
            <w:tcW w:w="635" w:type="dxa"/>
            <w:noWrap w:val="0"/>
            <w:vAlign w:val="center"/>
          </w:tcPr>
          <w:p w14:paraId="3213842F">
            <w:pPr>
              <w:widowControl w:val="0"/>
              <w:jc w:val="center"/>
              <w:outlineLvl w:val="9"/>
              <w:rPr>
                <w:rFonts w:hint="eastAsia" w:ascii="宋体" w:hAnsi="宋体" w:eastAsia="宋体" w:cs="宋体"/>
                <w:color w:val="auto"/>
                <w:highlight w:val="none"/>
              </w:rPr>
            </w:pPr>
          </w:p>
        </w:tc>
      </w:tr>
      <w:tr w14:paraId="68CC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33CCFD28">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1309" w:type="dxa"/>
            <w:gridSpan w:val="2"/>
            <w:noWrap w:val="0"/>
            <w:vAlign w:val="center"/>
          </w:tcPr>
          <w:p w14:paraId="181F7AC7">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污泥脱水 PLC 站</w:t>
            </w:r>
          </w:p>
        </w:tc>
        <w:tc>
          <w:tcPr>
            <w:tcW w:w="1175" w:type="dxa"/>
            <w:gridSpan w:val="2"/>
            <w:noWrap w:val="0"/>
            <w:vAlign w:val="center"/>
          </w:tcPr>
          <w:p w14:paraId="71A06FED">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可编程控制器系统(含 CPU、电源、通讯、本地 I/O 模块等)支持工业以太网、远程 I/O 连接及不少于 4 种各 2 通道现场总线接口；(Modbus，Profibus-DP，DeviceNet，RS485 等按实需组合)控制机柜 2200Hx800Wx800D(mm)IP5412 寸汉化彩色触摸屏(IP54)，USB，以太网。机架式，支持冗余</w:t>
            </w:r>
          </w:p>
        </w:tc>
        <w:tc>
          <w:tcPr>
            <w:tcW w:w="1266" w:type="dxa"/>
            <w:gridSpan w:val="2"/>
            <w:noWrap w:val="0"/>
            <w:vAlign w:val="center"/>
          </w:tcPr>
          <w:p w14:paraId="131429DD">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0EF30EE7">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6E78CF40">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09DF7521">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7E5A9C15">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30610051">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4BA8AEC3">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424C2C50">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0A6C8AA4">
            <w:pPr>
              <w:widowControl w:val="0"/>
              <w:jc w:val="center"/>
              <w:outlineLvl w:val="9"/>
              <w:rPr>
                <w:rFonts w:hint="eastAsia" w:ascii="宋体" w:hAnsi="宋体" w:eastAsia="宋体" w:cs="宋体"/>
                <w:color w:val="auto"/>
                <w:highlight w:val="none"/>
              </w:rPr>
            </w:pPr>
          </w:p>
        </w:tc>
        <w:tc>
          <w:tcPr>
            <w:tcW w:w="635" w:type="dxa"/>
            <w:noWrap w:val="0"/>
            <w:vAlign w:val="center"/>
          </w:tcPr>
          <w:p w14:paraId="4C5941E5">
            <w:pPr>
              <w:widowControl w:val="0"/>
              <w:jc w:val="center"/>
              <w:outlineLvl w:val="9"/>
              <w:rPr>
                <w:rFonts w:hint="eastAsia" w:ascii="宋体" w:hAnsi="宋体" w:eastAsia="宋体" w:cs="宋体"/>
                <w:color w:val="auto"/>
                <w:highlight w:val="none"/>
              </w:rPr>
            </w:pPr>
          </w:p>
        </w:tc>
      </w:tr>
      <w:tr w14:paraId="768C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17A017EB">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1309" w:type="dxa"/>
            <w:gridSpan w:val="2"/>
            <w:noWrap w:val="0"/>
            <w:vAlign w:val="center"/>
          </w:tcPr>
          <w:p w14:paraId="434BF1ED">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中控室</w:t>
            </w:r>
          </w:p>
        </w:tc>
        <w:tc>
          <w:tcPr>
            <w:tcW w:w="1175" w:type="dxa"/>
            <w:gridSpan w:val="2"/>
            <w:noWrap w:val="0"/>
            <w:vAlign w:val="center"/>
          </w:tcPr>
          <w:p w14:paraId="0A225A7A">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1、显示器;27 寸；2、操作站：CPU 酷睿 i7，内存 DDR416G，硬盘 1T+256G，独立显卡 4G 显存；3、交换机：导轨式，24 电口（不少于 4 个 PoE口），4 光口千兆工业以太网 POE 交换机（支持光纤环网，网管型）；</w:t>
            </w:r>
          </w:p>
        </w:tc>
        <w:tc>
          <w:tcPr>
            <w:tcW w:w="1266" w:type="dxa"/>
            <w:gridSpan w:val="2"/>
            <w:noWrap w:val="0"/>
            <w:vAlign w:val="center"/>
          </w:tcPr>
          <w:p w14:paraId="17F1F1F4">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7D6D1DCB">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583EFBC2">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2B3873DA">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6D01BC41">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2BEB34D9">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4AF7BE1C">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5DD6AFF3">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433FF725">
            <w:pPr>
              <w:widowControl w:val="0"/>
              <w:jc w:val="center"/>
              <w:outlineLvl w:val="9"/>
              <w:rPr>
                <w:rFonts w:hint="eastAsia" w:ascii="宋体" w:hAnsi="宋体" w:eastAsia="宋体" w:cs="宋体"/>
                <w:color w:val="auto"/>
                <w:highlight w:val="none"/>
              </w:rPr>
            </w:pPr>
          </w:p>
        </w:tc>
        <w:tc>
          <w:tcPr>
            <w:tcW w:w="635" w:type="dxa"/>
            <w:noWrap w:val="0"/>
            <w:vAlign w:val="center"/>
          </w:tcPr>
          <w:p w14:paraId="2EF27FC8">
            <w:pPr>
              <w:widowControl w:val="0"/>
              <w:jc w:val="center"/>
              <w:outlineLvl w:val="9"/>
              <w:rPr>
                <w:rFonts w:hint="eastAsia" w:ascii="宋体" w:hAnsi="宋体" w:eastAsia="宋体" w:cs="宋体"/>
                <w:color w:val="auto"/>
                <w:highlight w:val="none"/>
              </w:rPr>
            </w:pPr>
          </w:p>
        </w:tc>
      </w:tr>
      <w:tr w14:paraId="5596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6200C4BE">
            <w:pPr>
              <w:keepNext w:val="0"/>
              <w:keepLines w:val="0"/>
              <w:widowControl/>
              <w:suppressLineNumbers w:val="0"/>
              <w:jc w:val="center"/>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1309" w:type="dxa"/>
            <w:gridSpan w:val="2"/>
            <w:noWrap w:val="0"/>
            <w:vAlign w:val="center"/>
          </w:tcPr>
          <w:p w14:paraId="494B9777">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不间断电源(含后备电池组)</w:t>
            </w:r>
          </w:p>
        </w:tc>
        <w:tc>
          <w:tcPr>
            <w:tcW w:w="1175" w:type="dxa"/>
            <w:gridSpan w:val="2"/>
            <w:noWrap w:val="0"/>
            <w:vAlign w:val="center"/>
          </w:tcPr>
          <w:p w14:paraId="72713CF3">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在线式，3KVA，60min 备电，RS48通讯</w:t>
            </w:r>
          </w:p>
        </w:tc>
        <w:tc>
          <w:tcPr>
            <w:tcW w:w="1266" w:type="dxa"/>
            <w:gridSpan w:val="2"/>
            <w:noWrap w:val="0"/>
            <w:vAlign w:val="center"/>
          </w:tcPr>
          <w:p w14:paraId="5990974D">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3E2682D6">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1AD30176">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35F784EC">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43BDC1EB">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39FE9222">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042019A0">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76176EFF">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72966227">
            <w:pPr>
              <w:widowControl w:val="0"/>
              <w:jc w:val="center"/>
              <w:outlineLvl w:val="9"/>
              <w:rPr>
                <w:rFonts w:hint="eastAsia" w:ascii="宋体" w:hAnsi="宋体" w:eastAsia="宋体" w:cs="宋体"/>
                <w:color w:val="auto"/>
                <w:highlight w:val="none"/>
              </w:rPr>
            </w:pPr>
          </w:p>
        </w:tc>
        <w:tc>
          <w:tcPr>
            <w:tcW w:w="635" w:type="dxa"/>
            <w:noWrap w:val="0"/>
            <w:vAlign w:val="center"/>
          </w:tcPr>
          <w:p w14:paraId="09829478">
            <w:pPr>
              <w:widowControl w:val="0"/>
              <w:jc w:val="center"/>
              <w:outlineLvl w:val="9"/>
              <w:rPr>
                <w:rFonts w:hint="eastAsia" w:ascii="宋体" w:hAnsi="宋体" w:eastAsia="宋体" w:cs="宋体"/>
                <w:color w:val="auto"/>
                <w:highlight w:val="none"/>
              </w:rPr>
            </w:pPr>
          </w:p>
        </w:tc>
      </w:tr>
      <w:tr w14:paraId="52CB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396A7D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1309" w:type="dxa"/>
            <w:gridSpan w:val="2"/>
            <w:noWrap w:val="0"/>
            <w:vAlign w:val="center"/>
          </w:tcPr>
          <w:p w14:paraId="4F0F9424">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有害气体检测系统</w:t>
            </w:r>
          </w:p>
        </w:tc>
        <w:tc>
          <w:tcPr>
            <w:tcW w:w="1175" w:type="dxa"/>
            <w:gridSpan w:val="2"/>
            <w:noWrap w:val="0"/>
            <w:vAlign w:val="center"/>
          </w:tcPr>
          <w:p w14:paraId="6E6000ED">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氧气、氨气、甲烷、硫化氢</w:t>
            </w:r>
          </w:p>
        </w:tc>
        <w:tc>
          <w:tcPr>
            <w:tcW w:w="1266" w:type="dxa"/>
            <w:gridSpan w:val="2"/>
            <w:noWrap w:val="0"/>
            <w:vAlign w:val="center"/>
          </w:tcPr>
          <w:p w14:paraId="7A59CCCE">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53A559F8">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项</w:t>
            </w:r>
          </w:p>
        </w:tc>
        <w:tc>
          <w:tcPr>
            <w:tcW w:w="1296" w:type="dxa"/>
            <w:gridSpan w:val="2"/>
            <w:noWrap w:val="0"/>
            <w:vAlign w:val="center"/>
          </w:tcPr>
          <w:p w14:paraId="0A604A33">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352DD57F">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7B46FC07">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7B21765E">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5CAF2C9B">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33A40B05">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AF0370B">
            <w:pPr>
              <w:widowControl w:val="0"/>
              <w:jc w:val="center"/>
              <w:outlineLvl w:val="9"/>
              <w:rPr>
                <w:rFonts w:hint="eastAsia" w:ascii="宋体" w:hAnsi="宋体" w:eastAsia="宋体" w:cs="宋体"/>
                <w:color w:val="auto"/>
                <w:highlight w:val="none"/>
              </w:rPr>
            </w:pPr>
          </w:p>
        </w:tc>
        <w:tc>
          <w:tcPr>
            <w:tcW w:w="635" w:type="dxa"/>
            <w:noWrap w:val="0"/>
            <w:vAlign w:val="center"/>
          </w:tcPr>
          <w:p w14:paraId="20D5C583">
            <w:pPr>
              <w:widowControl w:val="0"/>
              <w:jc w:val="center"/>
              <w:outlineLvl w:val="9"/>
              <w:rPr>
                <w:rFonts w:hint="eastAsia" w:ascii="宋体" w:hAnsi="宋体" w:eastAsia="宋体" w:cs="宋体"/>
                <w:color w:val="auto"/>
                <w:highlight w:val="none"/>
              </w:rPr>
            </w:pPr>
          </w:p>
        </w:tc>
      </w:tr>
      <w:tr w14:paraId="135C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253C85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1309" w:type="dxa"/>
            <w:gridSpan w:val="2"/>
            <w:noWrap w:val="0"/>
            <w:vAlign w:val="center"/>
          </w:tcPr>
          <w:p w14:paraId="1592132E">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配套电缆、电缆桥架、安装辅材</w:t>
            </w:r>
          </w:p>
        </w:tc>
        <w:tc>
          <w:tcPr>
            <w:tcW w:w="1175" w:type="dxa"/>
            <w:gridSpan w:val="2"/>
            <w:noWrap w:val="0"/>
            <w:vAlign w:val="center"/>
          </w:tcPr>
          <w:p w14:paraId="364F39BC">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配套</w:t>
            </w:r>
          </w:p>
        </w:tc>
        <w:tc>
          <w:tcPr>
            <w:tcW w:w="1266" w:type="dxa"/>
            <w:gridSpan w:val="2"/>
            <w:noWrap w:val="0"/>
            <w:vAlign w:val="center"/>
          </w:tcPr>
          <w:p w14:paraId="35DFF29A">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234E3003">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项</w:t>
            </w:r>
          </w:p>
        </w:tc>
        <w:tc>
          <w:tcPr>
            <w:tcW w:w="1296" w:type="dxa"/>
            <w:gridSpan w:val="2"/>
            <w:noWrap w:val="0"/>
            <w:vAlign w:val="center"/>
          </w:tcPr>
          <w:p w14:paraId="6B6C10C4">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796FD9D">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0994D13B">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660D7B9B">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5605DEE2">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2524E882">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5D092A5C">
            <w:pPr>
              <w:widowControl w:val="0"/>
              <w:jc w:val="center"/>
              <w:outlineLvl w:val="9"/>
              <w:rPr>
                <w:rFonts w:hint="eastAsia" w:ascii="宋体" w:hAnsi="宋体" w:eastAsia="宋体" w:cs="宋体"/>
                <w:color w:val="auto"/>
                <w:highlight w:val="none"/>
              </w:rPr>
            </w:pPr>
          </w:p>
        </w:tc>
        <w:tc>
          <w:tcPr>
            <w:tcW w:w="635" w:type="dxa"/>
            <w:noWrap w:val="0"/>
            <w:vAlign w:val="center"/>
          </w:tcPr>
          <w:p w14:paraId="0A20C252">
            <w:pPr>
              <w:widowControl w:val="0"/>
              <w:jc w:val="center"/>
              <w:outlineLvl w:val="9"/>
              <w:rPr>
                <w:rFonts w:hint="eastAsia" w:ascii="宋体" w:hAnsi="宋体" w:eastAsia="宋体" w:cs="宋体"/>
                <w:color w:val="auto"/>
                <w:highlight w:val="none"/>
              </w:rPr>
            </w:pPr>
          </w:p>
        </w:tc>
      </w:tr>
      <w:tr w14:paraId="6E3E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359892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27</w:t>
            </w:r>
          </w:p>
        </w:tc>
        <w:tc>
          <w:tcPr>
            <w:tcW w:w="1309" w:type="dxa"/>
            <w:gridSpan w:val="2"/>
            <w:noWrap w:val="0"/>
            <w:vAlign w:val="center"/>
          </w:tcPr>
          <w:p w14:paraId="63382D0B">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电磁流量计</w:t>
            </w:r>
          </w:p>
        </w:tc>
        <w:tc>
          <w:tcPr>
            <w:tcW w:w="1175" w:type="dxa"/>
            <w:gridSpan w:val="2"/>
            <w:noWrap w:val="0"/>
            <w:vAlign w:val="center"/>
          </w:tcPr>
          <w:p w14:paraId="44217C53">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DN150，Q=0~150m³/h</w:t>
            </w:r>
          </w:p>
        </w:tc>
        <w:tc>
          <w:tcPr>
            <w:tcW w:w="1266" w:type="dxa"/>
            <w:gridSpan w:val="2"/>
            <w:noWrap w:val="0"/>
            <w:vAlign w:val="center"/>
          </w:tcPr>
          <w:p w14:paraId="3CEEE1A3">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6781B92C">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2D403653">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F6DBB7C">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1EB83205">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46062D4D">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5B6FBC1C">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7FC80771">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221DB6E7">
            <w:pPr>
              <w:widowControl w:val="0"/>
              <w:jc w:val="center"/>
              <w:outlineLvl w:val="9"/>
              <w:rPr>
                <w:rFonts w:hint="eastAsia" w:ascii="宋体" w:hAnsi="宋体" w:eastAsia="宋体" w:cs="宋体"/>
                <w:color w:val="auto"/>
                <w:highlight w:val="none"/>
              </w:rPr>
            </w:pPr>
          </w:p>
        </w:tc>
        <w:tc>
          <w:tcPr>
            <w:tcW w:w="635" w:type="dxa"/>
            <w:noWrap w:val="0"/>
            <w:vAlign w:val="center"/>
          </w:tcPr>
          <w:p w14:paraId="4817A1A2">
            <w:pPr>
              <w:widowControl w:val="0"/>
              <w:jc w:val="center"/>
              <w:outlineLvl w:val="9"/>
              <w:rPr>
                <w:rFonts w:hint="eastAsia" w:ascii="宋体" w:hAnsi="宋体" w:eastAsia="宋体" w:cs="宋体"/>
                <w:color w:val="auto"/>
                <w:highlight w:val="none"/>
              </w:rPr>
            </w:pPr>
          </w:p>
        </w:tc>
      </w:tr>
      <w:tr w14:paraId="1E6B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34DB94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w:t>
            </w:r>
          </w:p>
        </w:tc>
        <w:tc>
          <w:tcPr>
            <w:tcW w:w="1309" w:type="dxa"/>
            <w:gridSpan w:val="2"/>
            <w:noWrap w:val="0"/>
            <w:vAlign w:val="center"/>
          </w:tcPr>
          <w:p w14:paraId="3920AE60">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电磁流量计</w:t>
            </w:r>
          </w:p>
        </w:tc>
        <w:tc>
          <w:tcPr>
            <w:tcW w:w="1175" w:type="dxa"/>
            <w:gridSpan w:val="2"/>
            <w:noWrap w:val="0"/>
            <w:vAlign w:val="center"/>
          </w:tcPr>
          <w:p w14:paraId="294852AA">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DN65，Q=0~15m³/h</w:t>
            </w:r>
          </w:p>
        </w:tc>
        <w:tc>
          <w:tcPr>
            <w:tcW w:w="1266" w:type="dxa"/>
            <w:gridSpan w:val="2"/>
            <w:noWrap w:val="0"/>
            <w:vAlign w:val="center"/>
          </w:tcPr>
          <w:p w14:paraId="7886FCFF">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4</w:t>
            </w:r>
          </w:p>
        </w:tc>
        <w:tc>
          <w:tcPr>
            <w:tcW w:w="1020" w:type="dxa"/>
            <w:noWrap w:val="0"/>
            <w:vAlign w:val="center"/>
          </w:tcPr>
          <w:p w14:paraId="4C1781AC">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7A876E10">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291568F3">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74F697D1">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2B7081D1">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FF82CF8">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77AD923D">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3DAF1B99">
            <w:pPr>
              <w:widowControl w:val="0"/>
              <w:jc w:val="center"/>
              <w:outlineLvl w:val="9"/>
              <w:rPr>
                <w:rFonts w:hint="eastAsia" w:ascii="宋体" w:hAnsi="宋体" w:eastAsia="宋体" w:cs="宋体"/>
                <w:color w:val="auto"/>
                <w:highlight w:val="none"/>
              </w:rPr>
            </w:pPr>
          </w:p>
        </w:tc>
        <w:tc>
          <w:tcPr>
            <w:tcW w:w="635" w:type="dxa"/>
            <w:noWrap w:val="0"/>
            <w:vAlign w:val="center"/>
          </w:tcPr>
          <w:p w14:paraId="72DBED88">
            <w:pPr>
              <w:widowControl w:val="0"/>
              <w:jc w:val="center"/>
              <w:outlineLvl w:val="9"/>
              <w:rPr>
                <w:rFonts w:hint="eastAsia" w:ascii="宋体" w:hAnsi="宋体" w:eastAsia="宋体" w:cs="宋体"/>
                <w:color w:val="auto"/>
                <w:highlight w:val="none"/>
              </w:rPr>
            </w:pPr>
          </w:p>
        </w:tc>
      </w:tr>
      <w:tr w14:paraId="3DEE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008F79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29</w:t>
            </w:r>
          </w:p>
        </w:tc>
        <w:tc>
          <w:tcPr>
            <w:tcW w:w="1309" w:type="dxa"/>
            <w:gridSpan w:val="2"/>
            <w:noWrap w:val="0"/>
            <w:vAlign w:val="center"/>
          </w:tcPr>
          <w:p w14:paraId="33521EC8">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电磁流量计</w:t>
            </w:r>
          </w:p>
        </w:tc>
        <w:tc>
          <w:tcPr>
            <w:tcW w:w="1175" w:type="dxa"/>
            <w:gridSpan w:val="2"/>
            <w:noWrap w:val="0"/>
            <w:vAlign w:val="center"/>
          </w:tcPr>
          <w:p w14:paraId="003C705B">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DN50，Q=0~1m³/h</w:t>
            </w:r>
          </w:p>
        </w:tc>
        <w:tc>
          <w:tcPr>
            <w:tcW w:w="1266" w:type="dxa"/>
            <w:gridSpan w:val="2"/>
            <w:noWrap w:val="0"/>
            <w:vAlign w:val="center"/>
          </w:tcPr>
          <w:p w14:paraId="4924105E">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52113DCB">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套</w:t>
            </w:r>
          </w:p>
        </w:tc>
        <w:tc>
          <w:tcPr>
            <w:tcW w:w="1296" w:type="dxa"/>
            <w:gridSpan w:val="2"/>
            <w:noWrap w:val="0"/>
            <w:vAlign w:val="center"/>
          </w:tcPr>
          <w:p w14:paraId="4E641907">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0A3988E4">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0E966301">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4899EB8E">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671E17BC">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3B9F387B">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785872E2">
            <w:pPr>
              <w:widowControl w:val="0"/>
              <w:jc w:val="center"/>
              <w:outlineLvl w:val="9"/>
              <w:rPr>
                <w:rFonts w:hint="eastAsia" w:ascii="宋体" w:hAnsi="宋体" w:eastAsia="宋体" w:cs="宋体"/>
                <w:color w:val="auto"/>
                <w:highlight w:val="none"/>
              </w:rPr>
            </w:pPr>
          </w:p>
        </w:tc>
        <w:tc>
          <w:tcPr>
            <w:tcW w:w="635" w:type="dxa"/>
            <w:noWrap w:val="0"/>
            <w:vAlign w:val="center"/>
          </w:tcPr>
          <w:p w14:paraId="6131B02C">
            <w:pPr>
              <w:widowControl w:val="0"/>
              <w:jc w:val="center"/>
              <w:outlineLvl w:val="9"/>
              <w:rPr>
                <w:rFonts w:hint="eastAsia" w:ascii="宋体" w:hAnsi="宋体" w:eastAsia="宋体" w:cs="宋体"/>
                <w:color w:val="auto"/>
                <w:highlight w:val="none"/>
              </w:rPr>
            </w:pPr>
          </w:p>
        </w:tc>
      </w:tr>
      <w:tr w14:paraId="4441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570944F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w:t>
            </w:r>
          </w:p>
        </w:tc>
        <w:tc>
          <w:tcPr>
            <w:tcW w:w="1309" w:type="dxa"/>
            <w:gridSpan w:val="2"/>
            <w:noWrap w:val="0"/>
            <w:vAlign w:val="center"/>
          </w:tcPr>
          <w:p w14:paraId="07C7CDD7">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应急洗涤设施</w:t>
            </w:r>
          </w:p>
        </w:tc>
        <w:tc>
          <w:tcPr>
            <w:tcW w:w="1175" w:type="dxa"/>
            <w:gridSpan w:val="2"/>
            <w:noWrap w:val="0"/>
            <w:vAlign w:val="center"/>
          </w:tcPr>
          <w:p w14:paraId="616357D5">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材质：SUS304</w:t>
            </w:r>
          </w:p>
        </w:tc>
        <w:tc>
          <w:tcPr>
            <w:tcW w:w="1266" w:type="dxa"/>
            <w:gridSpan w:val="2"/>
            <w:noWrap w:val="0"/>
            <w:vAlign w:val="center"/>
          </w:tcPr>
          <w:p w14:paraId="3C90DED5">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3</w:t>
            </w:r>
          </w:p>
        </w:tc>
        <w:tc>
          <w:tcPr>
            <w:tcW w:w="1020" w:type="dxa"/>
            <w:noWrap w:val="0"/>
            <w:vAlign w:val="center"/>
          </w:tcPr>
          <w:p w14:paraId="4CB52B3C">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个</w:t>
            </w:r>
          </w:p>
        </w:tc>
        <w:tc>
          <w:tcPr>
            <w:tcW w:w="1296" w:type="dxa"/>
            <w:gridSpan w:val="2"/>
            <w:noWrap w:val="0"/>
            <w:vAlign w:val="center"/>
          </w:tcPr>
          <w:p w14:paraId="740F11B7">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136FF883">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5A41674F">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72E851A6">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1F651B90">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5737222C">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4EDD8C0C">
            <w:pPr>
              <w:widowControl w:val="0"/>
              <w:jc w:val="center"/>
              <w:outlineLvl w:val="9"/>
              <w:rPr>
                <w:rFonts w:hint="eastAsia" w:ascii="宋体" w:hAnsi="宋体" w:eastAsia="宋体" w:cs="宋体"/>
                <w:color w:val="auto"/>
                <w:highlight w:val="none"/>
              </w:rPr>
            </w:pPr>
          </w:p>
        </w:tc>
        <w:tc>
          <w:tcPr>
            <w:tcW w:w="635" w:type="dxa"/>
            <w:noWrap w:val="0"/>
            <w:vAlign w:val="center"/>
          </w:tcPr>
          <w:p w14:paraId="72D03BBD">
            <w:pPr>
              <w:widowControl w:val="0"/>
              <w:jc w:val="center"/>
              <w:outlineLvl w:val="9"/>
              <w:rPr>
                <w:rFonts w:hint="eastAsia" w:ascii="宋体" w:hAnsi="宋体" w:eastAsia="宋体" w:cs="宋体"/>
                <w:color w:val="auto"/>
                <w:highlight w:val="none"/>
              </w:rPr>
            </w:pPr>
          </w:p>
        </w:tc>
      </w:tr>
      <w:tr w14:paraId="75AD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404EFD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1309" w:type="dxa"/>
            <w:gridSpan w:val="2"/>
            <w:noWrap w:val="0"/>
            <w:vAlign w:val="center"/>
          </w:tcPr>
          <w:p w14:paraId="19E75101">
            <w:pPr>
              <w:keepNext w:val="0"/>
              <w:keepLines w:val="0"/>
              <w:widowControl w:val="0"/>
              <w:suppressLineNumbers w:val="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热浸钢格栅盖板</w:t>
            </w:r>
          </w:p>
        </w:tc>
        <w:tc>
          <w:tcPr>
            <w:tcW w:w="1175" w:type="dxa"/>
            <w:gridSpan w:val="2"/>
            <w:noWrap w:val="0"/>
            <w:vAlign w:val="center"/>
          </w:tcPr>
          <w:p w14:paraId="461B3E78">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材质：热镀锌，规格G505/30/100，实际尺寸按现场制作为准</w:t>
            </w:r>
          </w:p>
        </w:tc>
        <w:tc>
          <w:tcPr>
            <w:tcW w:w="1266" w:type="dxa"/>
            <w:gridSpan w:val="2"/>
            <w:noWrap w:val="0"/>
            <w:vAlign w:val="center"/>
          </w:tcPr>
          <w:p w14:paraId="5E3C15C0">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17.3</w:t>
            </w:r>
          </w:p>
        </w:tc>
        <w:tc>
          <w:tcPr>
            <w:tcW w:w="1020" w:type="dxa"/>
            <w:noWrap w:val="0"/>
            <w:vAlign w:val="center"/>
          </w:tcPr>
          <w:p w14:paraId="311D091E">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w:t>
            </w:r>
          </w:p>
        </w:tc>
        <w:tc>
          <w:tcPr>
            <w:tcW w:w="1296" w:type="dxa"/>
            <w:gridSpan w:val="2"/>
            <w:noWrap w:val="0"/>
            <w:vAlign w:val="center"/>
          </w:tcPr>
          <w:p w14:paraId="31BC2745">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72D494D2">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05732AF1">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2B663749">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5BDA5564">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21610E07">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77C47153">
            <w:pPr>
              <w:widowControl w:val="0"/>
              <w:jc w:val="center"/>
              <w:outlineLvl w:val="9"/>
              <w:rPr>
                <w:rFonts w:hint="eastAsia" w:ascii="宋体" w:hAnsi="宋体" w:eastAsia="宋体" w:cs="宋体"/>
                <w:color w:val="auto"/>
                <w:highlight w:val="none"/>
              </w:rPr>
            </w:pPr>
          </w:p>
        </w:tc>
        <w:tc>
          <w:tcPr>
            <w:tcW w:w="635" w:type="dxa"/>
            <w:noWrap w:val="0"/>
            <w:vAlign w:val="center"/>
          </w:tcPr>
          <w:p w14:paraId="08DE5AB5">
            <w:pPr>
              <w:widowControl w:val="0"/>
              <w:jc w:val="center"/>
              <w:outlineLvl w:val="9"/>
              <w:rPr>
                <w:rFonts w:hint="eastAsia" w:ascii="宋体" w:hAnsi="宋体" w:eastAsia="宋体" w:cs="宋体"/>
                <w:color w:val="auto"/>
                <w:highlight w:val="none"/>
              </w:rPr>
            </w:pPr>
          </w:p>
        </w:tc>
      </w:tr>
      <w:tr w14:paraId="2CE1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2" w:type="dxa"/>
            <w:gridSpan w:val="2"/>
            <w:noWrap w:val="0"/>
            <w:vAlign w:val="center"/>
          </w:tcPr>
          <w:p w14:paraId="214274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p>
        </w:tc>
        <w:tc>
          <w:tcPr>
            <w:tcW w:w="1309" w:type="dxa"/>
            <w:gridSpan w:val="2"/>
            <w:noWrap w:val="0"/>
            <w:vAlign w:val="center"/>
          </w:tcPr>
          <w:p w14:paraId="5FFB775D">
            <w:pPr>
              <w:keepNext w:val="0"/>
              <w:keepLines w:val="0"/>
              <w:widowControl w:val="0"/>
              <w:suppressLineNumbers w:val="0"/>
              <w:adjustRightInd/>
              <w:spacing w:line="240" w:lineRule="auto"/>
              <w:ind w:left="0" w:leftChars="0" w:firstLine="0" w:firstLineChars="0"/>
              <w:jc w:val="center"/>
              <w:textAlignment w:val="auto"/>
              <w:outlineLvl w:val="9"/>
              <w:rPr>
                <w:rFonts w:hint="eastAsia" w:ascii="宋体" w:hAnsi="宋体" w:eastAsia="宋体" w:cs="宋体"/>
                <w:b w:val="0"/>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组装费</w:t>
            </w:r>
          </w:p>
        </w:tc>
        <w:tc>
          <w:tcPr>
            <w:tcW w:w="1175" w:type="dxa"/>
            <w:gridSpan w:val="2"/>
            <w:noWrap w:val="0"/>
            <w:vAlign w:val="center"/>
          </w:tcPr>
          <w:p w14:paraId="2E916D74">
            <w:pPr>
              <w:keepNext w:val="0"/>
              <w:keepLines w:val="0"/>
              <w:widowControl w:val="0"/>
              <w:suppressLineNumbers w:val="0"/>
              <w:adjustRightInd/>
              <w:spacing w:line="240" w:lineRule="auto"/>
              <w:ind w:left="0" w:leftChars="0" w:firstLine="0" w:firstLineChars="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配套组装费</w:t>
            </w:r>
          </w:p>
        </w:tc>
        <w:tc>
          <w:tcPr>
            <w:tcW w:w="1266" w:type="dxa"/>
            <w:gridSpan w:val="2"/>
            <w:noWrap w:val="0"/>
            <w:vAlign w:val="center"/>
          </w:tcPr>
          <w:p w14:paraId="4F716466">
            <w:pPr>
              <w:keepNext w:val="0"/>
              <w:keepLines w:val="0"/>
              <w:widowControl w:val="0"/>
              <w:suppressLineNumbers w:val="0"/>
              <w:jc w:val="center"/>
              <w:textAlignment w:val="auto"/>
              <w:outlineLvl w:val="9"/>
              <w:rPr>
                <w:rFonts w:hint="eastAsia" w:ascii="宋体" w:hAnsi="宋体" w:eastAsia="宋体" w:cs="宋体"/>
                <w:i w:val="0"/>
                <w:iCs w:val="0"/>
                <w:color w:val="auto"/>
                <w:kern w:val="0"/>
                <w:sz w:val="21"/>
                <w:szCs w:val="22"/>
                <w:highlight w:val="none"/>
                <w:u w:val="none"/>
                <w:lang w:val="en-US" w:eastAsia="zh-CN" w:bidi="ar-SA"/>
              </w:rPr>
            </w:pPr>
            <w:r>
              <w:rPr>
                <w:rFonts w:hint="eastAsia" w:ascii="宋体" w:hAnsi="宋体" w:eastAsia="宋体" w:cs="宋体"/>
                <w:i w:val="0"/>
                <w:iCs w:val="0"/>
                <w:color w:val="auto"/>
                <w:kern w:val="0"/>
                <w:sz w:val="21"/>
                <w:szCs w:val="22"/>
                <w:highlight w:val="none"/>
                <w:u w:val="none"/>
                <w:lang w:val="en-US" w:eastAsia="zh-CN" w:bidi="ar"/>
              </w:rPr>
              <w:t>1</w:t>
            </w:r>
          </w:p>
        </w:tc>
        <w:tc>
          <w:tcPr>
            <w:tcW w:w="1020" w:type="dxa"/>
            <w:noWrap w:val="0"/>
            <w:vAlign w:val="center"/>
          </w:tcPr>
          <w:p w14:paraId="68E85FF4">
            <w:pPr>
              <w:keepNext w:val="0"/>
              <w:keepLines w:val="0"/>
              <w:widowControl w:val="0"/>
              <w:suppressLineNumbers w:val="0"/>
              <w:jc w:val="center"/>
              <w:textAlignment w:val="auto"/>
              <w:outlineLvl w:val="9"/>
              <w:rPr>
                <w:rFonts w:hint="eastAsia" w:ascii="宋体" w:hAnsi="宋体" w:eastAsia="宋体" w:cs="宋体"/>
                <w:b w:val="0"/>
                <w:i w:val="0"/>
                <w:color w:val="auto"/>
                <w:kern w:val="0"/>
                <w:sz w:val="21"/>
                <w:szCs w:val="22"/>
                <w:highlight w:val="none"/>
                <w:u w:val="none"/>
                <w:lang w:val="en-US" w:eastAsia="zh-CN" w:bidi="ar"/>
              </w:rPr>
            </w:pPr>
            <w:r>
              <w:rPr>
                <w:rFonts w:hint="eastAsia" w:ascii="宋体" w:hAnsi="宋体" w:eastAsia="宋体" w:cs="宋体"/>
                <w:i w:val="0"/>
                <w:iCs w:val="0"/>
                <w:color w:val="auto"/>
                <w:kern w:val="0"/>
                <w:sz w:val="21"/>
                <w:szCs w:val="22"/>
                <w:highlight w:val="none"/>
                <w:u w:val="none"/>
                <w:lang w:val="en-US" w:eastAsia="zh-CN" w:bidi="ar"/>
              </w:rPr>
              <w:t>项</w:t>
            </w:r>
          </w:p>
        </w:tc>
        <w:tc>
          <w:tcPr>
            <w:tcW w:w="1296" w:type="dxa"/>
            <w:gridSpan w:val="2"/>
            <w:noWrap w:val="0"/>
            <w:vAlign w:val="center"/>
          </w:tcPr>
          <w:p w14:paraId="1FBA33A4">
            <w:pPr>
              <w:widowControl w:val="0"/>
              <w:jc w:val="center"/>
              <w:outlineLvl w:val="9"/>
              <w:rPr>
                <w:rFonts w:hint="eastAsia" w:ascii="宋体" w:hAnsi="宋体" w:eastAsia="宋体" w:cs="宋体"/>
                <w:color w:val="auto"/>
                <w:szCs w:val="22"/>
                <w:highlight w:val="none"/>
              </w:rPr>
            </w:pPr>
          </w:p>
        </w:tc>
        <w:tc>
          <w:tcPr>
            <w:tcW w:w="1280" w:type="dxa"/>
            <w:noWrap w:val="0"/>
            <w:vAlign w:val="center"/>
          </w:tcPr>
          <w:p w14:paraId="52515669">
            <w:pPr>
              <w:widowControl w:val="0"/>
              <w:jc w:val="center"/>
              <w:outlineLvl w:val="9"/>
              <w:rPr>
                <w:rFonts w:hint="eastAsia" w:ascii="宋体" w:hAnsi="宋体" w:eastAsia="宋体" w:cs="宋体"/>
                <w:color w:val="auto"/>
                <w:szCs w:val="22"/>
                <w:highlight w:val="none"/>
              </w:rPr>
            </w:pPr>
          </w:p>
        </w:tc>
        <w:tc>
          <w:tcPr>
            <w:tcW w:w="1567" w:type="dxa"/>
            <w:noWrap w:val="0"/>
            <w:vAlign w:val="center"/>
          </w:tcPr>
          <w:p w14:paraId="52ED8677">
            <w:pPr>
              <w:widowControl w:val="0"/>
              <w:jc w:val="center"/>
              <w:outlineLvl w:val="9"/>
              <w:rPr>
                <w:rFonts w:hint="eastAsia" w:ascii="宋体" w:hAnsi="宋体" w:eastAsia="宋体" w:cs="宋体"/>
                <w:color w:val="auto"/>
                <w:szCs w:val="22"/>
                <w:highlight w:val="none"/>
              </w:rPr>
            </w:pPr>
          </w:p>
        </w:tc>
        <w:tc>
          <w:tcPr>
            <w:tcW w:w="1534" w:type="dxa"/>
            <w:noWrap w:val="0"/>
            <w:vAlign w:val="center"/>
          </w:tcPr>
          <w:p w14:paraId="6B6745E0">
            <w:pPr>
              <w:widowControl w:val="0"/>
              <w:jc w:val="center"/>
              <w:outlineLvl w:val="9"/>
              <w:rPr>
                <w:rFonts w:hint="eastAsia" w:ascii="宋体" w:hAnsi="宋体" w:eastAsia="宋体" w:cs="宋体"/>
                <w:color w:val="auto"/>
                <w:szCs w:val="22"/>
                <w:highlight w:val="none"/>
              </w:rPr>
            </w:pPr>
          </w:p>
        </w:tc>
        <w:tc>
          <w:tcPr>
            <w:tcW w:w="889" w:type="dxa"/>
            <w:noWrap w:val="0"/>
            <w:vAlign w:val="center"/>
          </w:tcPr>
          <w:p w14:paraId="74281F80">
            <w:pPr>
              <w:widowControl w:val="0"/>
              <w:jc w:val="center"/>
              <w:outlineLvl w:val="9"/>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w:t>
            </w:r>
          </w:p>
        </w:tc>
        <w:tc>
          <w:tcPr>
            <w:tcW w:w="889" w:type="dxa"/>
            <w:noWrap w:val="0"/>
            <w:vAlign w:val="center"/>
          </w:tcPr>
          <w:p w14:paraId="4D70FCC5">
            <w:pPr>
              <w:widowControl w:val="0"/>
              <w:jc w:val="center"/>
              <w:outlineLvl w:val="9"/>
              <w:rPr>
                <w:rFonts w:hint="eastAsia" w:ascii="宋体" w:hAnsi="宋体" w:eastAsia="宋体" w:cs="宋体"/>
                <w:color w:val="auto"/>
                <w:szCs w:val="22"/>
                <w:highlight w:val="none"/>
              </w:rPr>
            </w:pPr>
          </w:p>
        </w:tc>
        <w:tc>
          <w:tcPr>
            <w:tcW w:w="1174" w:type="dxa"/>
            <w:noWrap w:val="0"/>
            <w:vAlign w:val="center"/>
          </w:tcPr>
          <w:p w14:paraId="2E7A687E">
            <w:pPr>
              <w:widowControl w:val="0"/>
              <w:jc w:val="center"/>
              <w:outlineLvl w:val="9"/>
              <w:rPr>
                <w:rFonts w:hint="eastAsia" w:ascii="宋体" w:hAnsi="宋体" w:eastAsia="宋体" w:cs="宋体"/>
                <w:color w:val="auto"/>
                <w:highlight w:val="none"/>
              </w:rPr>
            </w:pPr>
          </w:p>
        </w:tc>
        <w:tc>
          <w:tcPr>
            <w:tcW w:w="635" w:type="dxa"/>
            <w:noWrap w:val="0"/>
            <w:vAlign w:val="center"/>
          </w:tcPr>
          <w:p w14:paraId="6FB69FDB">
            <w:pPr>
              <w:widowControl w:val="0"/>
              <w:jc w:val="center"/>
              <w:outlineLvl w:val="9"/>
              <w:rPr>
                <w:rFonts w:hint="eastAsia" w:ascii="宋体" w:hAnsi="宋体" w:eastAsia="宋体" w:cs="宋体"/>
                <w:color w:val="auto"/>
                <w:highlight w:val="none"/>
              </w:rPr>
            </w:pPr>
          </w:p>
        </w:tc>
      </w:tr>
      <w:tr w14:paraId="1D58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35" w:type="dxa"/>
            <w:gridSpan w:val="13"/>
            <w:noWrap w:val="0"/>
            <w:vAlign w:val="center"/>
          </w:tcPr>
          <w:p w14:paraId="4844546B">
            <w:pPr>
              <w:widowControl w:val="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合计投标总价：</w:t>
            </w:r>
          </w:p>
        </w:tc>
        <w:tc>
          <w:tcPr>
            <w:tcW w:w="4486" w:type="dxa"/>
            <w:gridSpan w:val="4"/>
            <w:noWrap w:val="0"/>
            <w:vAlign w:val="top"/>
          </w:tcPr>
          <w:p w14:paraId="71CB3CDC">
            <w:pPr>
              <w:widowControl w:val="0"/>
              <w:jc w:val="center"/>
              <w:outlineLvl w:val="9"/>
              <w:rPr>
                <w:rFonts w:hint="eastAsia" w:ascii="宋体" w:hAnsi="宋体" w:eastAsia="宋体" w:cs="宋体"/>
                <w:color w:val="auto"/>
                <w:highlight w:val="none"/>
              </w:rPr>
            </w:pPr>
          </w:p>
        </w:tc>
        <w:tc>
          <w:tcPr>
            <w:tcW w:w="635" w:type="dxa"/>
            <w:noWrap w:val="0"/>
            <w:vAlign w:val="top"/>
          </w:tcPr>
          <w:p w14:paraId="44342869">
            <w:pPr>
              <w:widowControl w:val="0"/>
              <w:jc w:val="center"/>
              <w:outlineLvl w:val="9"/>
              <w:rPr>
                <w:rFonts w:hint="eastAsia" w:ascii="宋体" w:hAnsi="宋体" w:eastAsia="宋体" w:cs="宋体"/>
                <w:color w:val="auto"/>
                <w:highlight w:val="none"/>
              </w:rPr>
            </w:pPr>
          </w:p>
        </w:tc>
      </w:tr>
    </w:tbl>
    <w:p w14:paraId="53333E9B">
      <w:pPr>
        <w:adjustRightInd w:val="0"/>
        <w:snapToGrid w:val="0"/>
        <w:spacing w:line="360" w:lineRule="auto"/>
        <w:ind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03E7EDF">
      <w:pPr>
        <w:adjustRightInd w:val="0"/>
        <w:snapToGrid w:val="0"/>
        <w:spacing w:line="360" w:lineRule="auto"/>
        <w:ind w:firstLine="3373" w:firstLineChars="1400"/>
        <w:rPr>
          <w:rFonts w:ascii="宋体" w:hAnsi="宋体" w:cs="宋体"/>
          <w:b/>
          <w:color w:val="auto"/>
          <w:sz w:val="24"/>
          <w:szCs w:val="24"/>
          <w:highlight w:val="none"/>
        </w:rPr>
        <w:sectPr>
          <w:pgSz w:w="16838" w:h="11905" w:orient="landscape"/>
          <w:pgMar w:top="1417" w:right="1417" w:bottom="1417" w:left="1417" w:header="850" w:footer="686" w:gutter="0"/>
          <w:cols w:space="720" w:num="1"/>
          <w:titlePg/>
          <w:docGrid w:type="lines" w:linePitch="323" w:charSpace="0"/>
        </w:sectPr>
      </w:pPr>
    </w:p>
    <w:p w14:paraId="37A06626">
      <w:pPr>
        <w:rPr>
          <w:rFonts w:ascii="宋体" w:hAnsi="宋体" w:cs="宋体"/>
          <w:b/>
          <w:color w:val="auto"/>
          <w:sz w:val="28"/>
          <w:szCs w:val="28"/>
          <w:highlight w:val="none"/>
        </w:rPr>
      </w:pPr>
    </w:p>
    <w:p w14:paraId="2F7EFF38">
      <w:pPr>
        <w:pStyle w:val="6"/>
        <w:jc w:val="center"/>
        <w:rPr>
          <w:color w:val="auto"/>
          <w:highlight w:val="none"/>
        </w:rPr>
      </w:pPr>
      <w:r>
        <w:rPr>
          <w:rFonts w:hint="eastAsia"/>
          <w:color w:val="auto"/>
          <w:highlight w:val="none"/>
        </w:rPr>
        <w:t>资格审查资料</w:t>
      </w:r>
    </w:p>
    <w:p w14:paraId="7608CB7B">
      <w:pPr>
        <w:pStyle w:val="143"/>
        <w:numPr>
          <w:ilvl w:val="0"/>
          <w:numId w:val="0"/>
        </w:numPr>
        <w:spacing w:line="360" w:lineRule="auto"/>
        <w:ind w:left="447" w:leftChars="213" w:firstLine="0" w:firstLineChars="0"/>
        <w:rPr>
          <w:rFonts w:hint="eastAsia" w:hAnsi="宋体" w:cs="Arial"/>
          <w:color w:val="auto"/>
          <w:sz w:val="24"/>
          <w:szCs w:val="24"/>
          <w:highlight w:val="none"/>
        </w:rPr>
      </w:pPr>
      <w:r>
        <w:rPr>
          <w:rFonts w:hint="eastAsia" w:hAnsi="宋体" w:cs="Arial"/>
          <w:color w:val="auto"/>
          <w:sz w:val="24"/>
          <w:szCs w:val="24"/>
          <w:highlight w:val="none"/>
          <w:lang w:eastAsia="zh-CN"/>
        </w:rPr>
        <w:t>（</w:t>
      </w:r>
      <w:r>
        <w:rPr>
          <w:rFonts w:hint="eastAsia" w:hAnsi="宋体" w:cs="Arial"/>
          <w:color w:val="auto"/>
          <w:sz w:val="24"/>
          <w:szCs w:val="24"/>
          <w:highlight w:val="none"/>
          <w:lang w:val="en-US" w:eastAsia="zh-CN"/>
        </w:rPr>
        <w:t>一）投标人资格条件需符合招标公告第2项投标人资格要求。</w:t>
      </w:r>
    </w:p>
    <w:p w14:paraId="75BB3F26">
      <w:pPr>
        <w:adjustRightInd w:val="0"/>
        <w:snapToGrid w:val="0"/>
        <w:spacing w:line="360" w:lineRule="auto"/>
        <w:ind w:firstLine="3360" w:firstLineChars="1400"/>
        <w:rPr>
          <w:rFonts w:ascii="宋体" w:hAnsi="宋体" w:cs="宋体"/>
          <w:color w:val="auto"/>
          <w:sz w:val="24"/>
          <w:szCs w:val="24"/>
          <w:highlight w:val="none"/>
        </w:rPr>
      </w:pPr>
    </w:p>
    <w:p w14:paraId="0688359D">
      <w:pPr>
        <w:adjustRightInd w:val="0"/>
        <w:snapToGrid w:val="0"/>
        <w:spacing w:line="360" w:lineRule="auto"/>
        <w:ind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4EE30B7">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178C6DA0">
      <w:pPr>
        <w:pStyle w:val="7"/>
        <w:rPr>
          <w:rFonts w:cs="宋体"/>
          <w:bCs/>
          <w:color w:val="auto"/>
          <w:sz w:val="24"/>
          <w:szCs w:val="24"/>
          <w:highlight w:val="none"/>
        </w:rPr>
      </w:pPr>
      <w:r>
        <w:rPr>
          <w:rFonts w:hint="eastAsia" w:cs="宋体"/>
          <w:color w:val="auto"/>
          <w:sz w:val="24"/>
          <w:szCs w:val="24"/>
          <w:highlight w:val="none"/>
        </w:rPr>
        <w:t>（二）</w:t>
      </w:r>
      <w:r>
        <w:rPr>
          <w:rStyle w:val="57"/>
          <w:rFonts w:hint="eastAsia"/>
          <w:bCs/>
          <w:color w:val="auto"/>
          <w:sz w:val="24"/>
          <w:szCs w:val="24"/>
          <w:highlight w:val="none"/>
        </w:rPr>
        <w:t>近年完成的类似投标货物的供货业绩情况表</w:t>
      </w:r>
    </w:p>
    <w:p w14:paraId="20A589B7">
      <w:pPr>
        <w:pStyle w:val="2"/>
        <w:ind w:firstLine="0"/>
        <w:rPr>
          <w:color w:val="auto"/>
          <w:highlight w:val="none"/>
        </w:rPr>
      </w:pPr>
      <w:r>
        <w:rPr>
          <w:rFonts w:hint="eastAsia" w:ascii="宋体" w:hAnsi="宋体" w:cs="宋体"/>
          <w:b/>
          <w:color w:val="auto"/>
          <w:sz w:val="24"/>
          <w:highlight w:val="none"/>
        </w:rPr>
        <w:t>说明：该部分类似投标货物的供货业绩情况适用于资格评审。</w:t>
      </w:r>
    </w:p>
    <w:p w14:paraId="1B544523">
      <w:pPr>
        <w:widowControl w:val="0"/>
        <w:spacing w:before="161" w:beforeLines="50" w:after="161" w:afterLines="50"/>
        <w:rPr>
          <w:rFonts w:ascii="宋体" w:hAnsi="宋体" w:cs="宋体"/>
          <w:color w:val="auto"/>
          <w:sz w:val="24"/>
          <w:szCs w:val="24"/>
          <w:highlight w:val="none"/>
        </w:rPr>
      </w:pPr>
      <w:r>
        <w:rPr>
          <w:rFonts w:hint="eastAsia" w:ascii="宋体" w:hAnsi="宋体" w:cs="宋体"/>
          <w:color w:val="auto"/>
          <w:sz w:val="24"/>
          <w:szCs w:val="24"/>
          <w:highlight w:val="none"/>
        </w:rPr>
        <w:t>1.近年完成的</w:t>
      </w:r>
      <w:bookmarkStart w:id="249" w:name="_Hlk100838313"/>
      <w:r>
        <w:rPr>
          <w:rFonts w:hint="eastAsia" w:ascii="宋体" w:hAnsi="宋体" w:cs="宋体"/>
          <w:color w:val="auto"/>
          <w:sz w:val="24"/>
          <w:szCs w:val="24"/>
          <w:highlight w:val="none"/>
        </w:rPr>
        <w:t>类似投标货物的供货业绩</w:t>
      </w:r>
      <w:bookmarkEnd w:id="249"/>
      <w:r>
        <w:rPr>
          <w:rFonts w:hint="eastAsia" w:ascii="宋体" w:hAnsi="宋体" w:cs="宋体"/>
          <w:color w:val="auto"/>
          <w:sz w:val="24"/>
          <w:szCs w:val="24"/>
          <w:highlight w:val="none"/>
        </w:rPr>
        <w:t>汇总表</w:t>
      </w:r>
    </w:p>
    <w:tbl>
      <w:tblPr>
        <w:tblStyle w:val="4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56"/>
        <w:gridCol w:w="1324"/>
        <w:gridCol w:w="1316"/>
        <w:gridCol w:w="2941"/>
        <w:gridCol w:w="1505"/>
      </w:tblGrid>
      <w:tr w14:paraId="581A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52C195C">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456" w:type="dxa"/>
            <w:noWrap w:val="0"/>
            <w:vAlign w:val="center"/>
          </w:tcPr>
          <w:p w14:paraId="4A68FDFB">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合同名称</w:t>
            </w:r>
          </w:p>
        </w:tc>
        <w:tc>
          <w:tcPr>
            <w:tcW w:w="1324" w:type="dxa"/>
            <w:noWrap w:val="0"/>
            <w:vAlign w:val="center"/>
          </w:tcPr>
          <w:p w14:paraId="78446CB1">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卖方</w:t>
            </w:r>
          </w:p>
        </w:tc>
        <w:tc>
          <w:tcPr>
            <w:tcW w:w="1316" w:type="dxa"/>
            <w:noWrap w:val="0"/>
            <w:vAlign w:val="center"/>
          </w:tcPr>
          <w:p w14:paraId="70EF4898">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买方</w:t>
            </w:r>
          </w:p>
        </w:tc>
        <w:tc>
          <w:tcPr>
            <w:tcW w:w="2941" w:type="dxa"/>
            <w:noWrap w:val="0"/>
            <w:vAlign w:val="center"/>
          </w:tcPr>
          <w:p w14:paraId="0B06792D">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供货金额</w:t>
            </w:r>
          </w:p>
          <w:p w14:paraId="7982B9E2">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（人民币元）</w:t>
            </w:r>
          </w:p>
        </w:tc>
        <w:tc>
          <w:tcPr>
            <w:tcW w:w="1505" w:type="dxa"/>
            <w:noWrap w:val="0"/>
            <w:vAlign w:val="center"/>
          </w:tcPr>
          <w:p w14:paraId="052C3833">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4140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F34136A">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456" w:type="dxa"/>
            <w:noWrap w:val="0"/>
            <w:vAlign w:val="center"/>
          </w:tcPr>
          <w:p w14:paraId="2178593C">
            <w:pPr>
              <w:widowControl w:val="0"/>
              <w:spacing w:before="161" w:beforeLines="50" w:after="161" w:afterLines="50"/>
              <w:jc w:val="center"/>
              <w:rPr>
                <w:rFonts w:ascii="宋体" w:hAnsi="宋体" w:cs="宋体"/>
                <w:color w:val="auto"/>
                <w:sz w:val="24"/>
                <w:szCs w:val="24"/>
                <w:highlight w:val="none"/>
              </w:rPr>
            </w:pPr>
          </w:p>
        </w:tc>
        <w:tc>
          <w:tcPr>
            <w:tcW w:w="1324" w:type="dxa"/>
            <w:noWrap w:val="0"/>
            <w:vAlign w:val="center"/>
          </w:tcPr>
          <w:p w14:paraId="3D4D8C28">
            <w:pPr>
              <w:widowControl w:val="0"/>
              <w:spacing w:before="161" w:beforeLines="50" w:after="161" w:afterLines="50"/>
              <w:jc w:val="center"/>
              <w:rPr>
                <w:rFonts w:ascii="宋体" w:hAnsi="宋体" w:cs="宋体"/>
                <w:color w:val="auto"/>
                <w:sz w:val="24"/>
                <w:szCs w:val="24"/>
                <w:highlight w:val="none"/>
              </w:rPr>
            </w:pPr>
          </w:p>
        </w:tc>
        <w:tc>
          <w:tcPr>
            <w:tcW w:w="1316" w:type="dxa"/>
            <w:noWrap w:val="0"/>
            <w:vAlign w:val="center"/>
          </w:tcPr>
          <w:p w14:paraId="02FD3943">
            <w:pPr>
              <w:widowControl w:val="0"/>
              <w:spacing w:before="161" w:beforeLines="50" w:after="161" w:afterLines="50"/>
              <w:jc w:val="center"/>
              <w:rPr>
                <w:rFonts w:ascii="宋体" w:hAnsi="宋体" w:cs="宋体"/>
                <w:color w:val="auto"/>
                <w:sz w:val="24"/>
                <w:szCs w:val="24"/>
                <w:highlight w:val="none"/>
              </w:rPr>
            </w:pPr>
          </w:p>
        </w:tc>
        <w:tc>
          <w:tcPr>
            <w:tcW w:w="2941" w:type="dxa"/>
            <w:noWrap w:val="0"/>
            <w:vAlign w:val="center"/>
          </w:tcPr>
          <w:p w14:paraId="4CAF83F3">
            <w:pPr>
              <w:widowControl w:val="0"/>
              <w:spacing w:before="161" w:beforeLines="50" w:after="161" w:afterLines="50"/>
              <w:jc w:val="center"/>
              <w:rPr>
                <w:rFonts w:ascii="宋体" w:hAnsi="宋体" w:cs="宋体"/>
                <w:color w:val="auto"/>
                <w:sz w:val="24"/>
                <w:szCs w:val="24"/>
                <w:highlight w:val="none"/>
              </w:rPr>
            </w:pPr>
          </w:p>
        </w:tc>
        <w:tc>
          <w:tcPr>
            <w:tcW w:w="1505" w:type="dxa"/>
            <w:noWrap w:val="0"/>
            <w:vAlign w:val="center"/>
          </w:tcPr>
          <w:p w14:paraId="28EA1BEA">
            <w:pPr>
              <w:widowControl w:val="0"/>
              <w:contextualSpacing/>
              <w:rPr>
                <w:rFonts w:ascii="宋体" w:hAnsi="宋体" w:cs="宋体"/>
                <w:color w:val="auto"/>
                <w:highlight w:val="none"/>
              </w:rPr>
            </w:pPr>
          </w:p>
        </w:tc>
      </w:tr>
      <w:tr w14:paraId="22A1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2F0B143">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456" w:type="dxa"/>
            <w:noWrap w:val="0"/>
            <w:vAlign w:val="center"/>
          </w:tcPr>
          <w:p w14:paraId="3C092BBB">
            <w:pPr>
              <w:widowControl w:val="0"/>
              <w:spacing w:before="161" w:beforeLines="50" w:after="161" w:afterLines="50"/>
              <w:jc w:val="center"/>
              <w:rPr>
                <w:rFonts w:ascii="宋体" w:hAnsi="宋体" w:cs="宋体"/>
                <w:color w:val="auto"/>
                <w:sz w:val="24"/>
                <w:szCs w:val="24"/>
                <w:highlight w:val="none"/>
              </w:rPr>
            </w:pPr>
          </w:p>
        </w:tc>
        <w:tc>
          <w:tcPr>
            <w:tcW w:w="1324" w:type="dxa"/>
            <w:noWrap w:val="0"/>
            <w:vAlign w:val="center"/>
          </w:tcPr>
          <w:p w14:paraId="7B31944D">
            <w:pPr>
              <w:widowControl w:val="0"/>
              <w:spacing w:before="161" w:beforeLines="50" w:after="161" w:afterLines="50"/>
              <w:jc w:val="center"/>
              <w:rPr>
                <w:rFonts w:ascii="宋体" w:hAnsi="宋体" w:cs="宋体"/>
                <w:color w:val="auto"/>
                <w:sz w:val="24"/>
                <w:szCs w:val="24"/>
                <w:highlight w:val="none"/>
              </w:rPr>
            </w:pPr>
          </w:p>
        </w:tc>
        <w:tc>
          <w:tcPr>
            <w:tcW w:w="1316" w:type="dxa"/>
            <w:noWrap w:val="0"/>
            <w:vAlign w:val="center"/>
          </w:tcPr>
          <w:p w14:paraId="6BA7B6D3">
            <w:pPr>
              <w:widowControl w:val="0"/>
              <w:spacing w:before="161" w:beforeLines="50" w:after="161" w:afterLines="50"/>
              <w:jc w:val="center"/>
              <w:rPr>
                <w:rFonts w:ascii="宋体" w:hAnsi="宋体" w:cs="宋体"/>
                <w:color w:val="auto"/>
                <w:sz w:val="24"/>
                <w:szCs w:val="24"/>
                <w:highlight w:val="none"/>
              </w:rPr>
            </w:pPr>
          </w:p>
        </w:tc>
        <w:tc>
          <w:tcPr>
            <w:tcW w:w="2941" w:type="dxa"/>
            <w:noWrap w:val="0"/>
            <w:vAlign w:val="center"/>
          </w:tcPr>
          <w:p w14:paraId="49BBA4BF">
            <w:pPr>
              <w:widowControl w:val="0"/>
              <w:spacing w:before="161" w:beforeLines="50" w:after="161" w:afterLines="50"/>
              <w:jc w:val="center"/>
              <w:rPr>
                <w:rFonts w:ascii="宋体" w:hAnsi="宋体" w:cs="宋体"/>
                <w:color w:val="auto"/>
                <w:sz w:val="24"/>
                <w:szCs w:val="24"/>
                <w:highlight w:val="none"/>
              </w:rPr>
            </w:pPr>
          </w:p>
        </w:tc>
        <w:tc>
          <w:tcPr>
            <w:tcW w:w="1505" w:type="dxa"/>
            <w:noWrap w:val="0"/>
            <w:vAlign w:val="center"/>
          </w:tcPr>
          <w:p w14:paraId="765E0855">
            <w:pPr>
              <w:widowControl w:val="0"/>
              <w:contextualSpacing/>
              <w:rPr>
                <w:rFonts w:ascii="宋体" w:hAnsi="宋体" w:cs="宋体"/>
                <w:color w:val="auto"/>
                <w:highlight w:val="none"/>
              </w:rPr>
            </w:pPr>
          </w:p>
        </w:tc>
      </w:tr>
      <w:tr w14:paraId="4FDC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633B112B">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456" w:type="dxa"/>
            <w:noWrap w:val="0"/>
            <w:vAlign w:val="center"/>
          </w:tcPr>
          <w:p w14:paraId="5258D5E2">
            <w:pPr>
              <w:widowControl w:val="0"/>
              <w:spacing w:before="161" w:beforeLines="50" w:after="161" w:afterLines="50"/>
              <w:jc w:val="center"/>
              <w:rPr>
                <w:rFonts w:ascii="宋体" w:hAnsi="宋体" w:cs="宋体"/>
                <w:color w:val="auto"/>
                <w:sz w:val="24"/>
                <w:szCs w:val="24"/>
                <w:highlight w:val="none"/>
              </w:rPr>
            </w:pPr>
          </w:p>
        </w:tc>
        <w:tc>
          <w:tcPr>
            <w:tcW w:w="1324" w:type="dxa"/>
            <w:noWrap w:val="0"/>
            <w:vAlign w:val="center"/>
          </w:tcPr>
          <w:p w14:paraId="6E759CD4">
            <w:pPr>
              <w:widowControl w:val="0"/>
              <w:spacing w:before="161" w:beforeLines="50" w:after="161" w:afterLines="50"/>
              <w:jc w:val="center"/>
              <w:rPr>
                <w:rFonts w:ascii="宋体" w:hAnsi="宋体" w:cs="宋体"/>
                <w:color w:val="auto"/>
                <w:sz w:val="24"/>
                <w:szCs w:val="24"/>
                <w:highlight w:val="none"/>
              </w:rPr>
            </w:pPr>
          </w:p>
        </w:tc>
        <w:tc>
          <w:tcPr>
            <w:tcW w:w="1316" w:type="dxa"/>
            <w:noWrap w:val="0"/>
            <w:vAlign w:val="center"/>
          </w:tcPr>
          <w:p w14:paraId="47FC07A6">
            <w:pPr>
              <w:widowControl w:val="0"/>
              <w:spacing w:before="161" w:beforeLines="50" w:after="161" w:afterLines="50"/>
              <w:jc w:val="center"/>
              <w:rPr>
                <w:rFonts w:ascii="宋体" w:hAnsi="宋体" w:cs="宋体"/>
                <w:color w:val="auto"/>
                <w:sz w:val="24"/>
                <w:szCs w:val="24"/>
                <w:highlight w:val="none"/>
              </w:rPr>
            </w:pPr>
          </w:p>
        </w:tc>
        <w:tc>
          <w:tcPr>
            <w:tcW w:w="2941" w:type="dxa"/>
            <w:noWrap w:val="0"/>
            <w:vAlign w:val="center"/>
          </w:tcPr>
          <w:p w14:paraId="317F2BD7">
            <w:pPr>
              <w:widowControl w:val="0"/>
              <w:spacing w:before="161" w:beforeLines="50" w:after="161" w:afterLines="50"/>
              <w:jc w:val="center"/>
              <w:rPr>
                <w:rFonts w:ascii="宋体" w:hAnsi="宋体" w:cs="宋体"/>
                <w:color w:val="auto"/>
                <w:sz w:val="24"/>
                <w:szCs w:val="24"/>
                <w:highlight w:val="none"/>
              </w:rPr>
            </w:pPr>
          </w:p>
        </w:tc>
        <w:tc>
          <w:tcPr>
            <w:tcW w:w="1505" w:type="dxa"/>
            <w:noWrap w:val="0"/>
            <w:vAlign w:val="center"/>
          </w:tcPr>
          <w:p w14:paraId="502FB381">
            <w:pPr>
              <w:widowControl w:val="0"/>
              <w:contextualSpacing/>
              <w:rPr>
                <w:rFonts w:ascii="宋体" w:hAnsi="宋体" w:cs="宋体"/>
                <w:color w:val="auto"/>
                <w:highlight w:val="none"/>
              </w:rPr>
            </w:pPr>
          </w:p>
        </w:tc>
      </w:tr>
      <w:tr w14:paraId="061B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59EA0AD7">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456" w:type="dxa"/>
            <w:noWrap w:val="0"/>
            <w:vAlign w:val="center"/>
          </w:tcPr>
          <w:p w14:paraId="49E148CB">
            <w:pPr>
              <w:widowControl w:val="0"/>
              <w:spacing w:before="161" w:beforeLines="50" w:after="161" w:afterLines="50"/>
              <w:jc w:val="center"/>
              <w:rPr>
                <w:rFonts w:ascii="宋体" w:hAnsi="宋体" w:cs="宋体"/>
                <w:color w:val="auto"/>
                <w:sz w:val="24"/>
                <w:szCs w:val="24"/>
                <w:highlight w:val="none"/>
              </w:rPr>
            </w:pPr>
          </w:p>
        </w:tc>
        <w:tc>
          <w:tcPr>
            <w:tcW w:w="1324" w:type="dxa"/>
            <w:noWrap w:val="0"/>
            <w:vAlign w:val="center"/>
          </w:tcPr>
          <w:p w14:paraId="11CD6187">
            <w:pPr>
              <w:widowControl w:val="0"/>
              <w:spacing w:before="161" w:beforeLines="50" w:after="161" w:afterLines="50"/>
              <w:jc w:val="center"/>
              <w:rPr>
                <w:rFonts w:ascii="宋体" w:hAnsi="宋体" w:cs="宋体"/>
                <w:color w:val="auto"/>
                <w:sz w:val="24"/>
                <w:szCs w:val="24"/>
                <w:highlight w:val="none"/>
              </w:rPr>
            </w:pPr>
          </w:p>
        </w:tc>
        <w:tc>
          <w:tcPr>
            <w:tcW w:w="1316" w:type="dxa"/>
            <w:noWrap w:val="0"/>
            <w:vAlign w:val="center"/>
          </w:tcPr>
          <w:p w14:paraId="5134CA42">
            <w:pPr>
              <w:widowControl w:val="0"/>
              <w:spacing w:before="161" w:beforeLines="50" w:after="161" w:afterLines="50"/>
              <w:jc w:val="center"/>
              <w:rPr>
                <w:rFonts w:ascii="宋体" w:hAnsi="宋体" w:cs="宋体"/>
                <w:color w:val="auto"/>
                <w:sz w:val="24"/>
                <w:szCs w:val="24"/>
                <w:highlight w:val="none"/>
              </w:rPr>
            </w:pPr>
          </w:p>
        </w:tc>
        <w:tc>
          <w:tcPr>
            <w:tcW w:w="2941" w:type="dxa"/>
            <w:noWrap w:val="0"/>
            <w:vAlign w:val="center"/>
          </w:tcPr>
          <w:p w14:paraId="453B5BFB">
            <w:pPr>
              <w:widowControl w:val="0"/>
              <w:spacing w:before="161" w:beforeLines="50" w:after="161" w:afterLines="50"/>
              <w:jc w:val="center"/>
              <w:rPr>
                <w:rFonts w:ascii="宋体" w:hAnsi="宋体" w:cs="宋体"/>
                <w:color w:val="auto"/>
                <w:sz w:val="24"/>
                <w:szCs w:val="24"/>
                <w:highlight w:val="none"/>
              </w:rPr>
            </w:pPr>
          </w:p>
        </w:tc>
        <w:tc>
          <w:tcPr>
            <w:tcW w:w="1505" w:type="dxa"/>
            <w:noWrap w:val="0"/>
            <w:vAlign w:val="center"/>
          </w:tcPr>
          <w:p w14:paraId="357BB4F6">
            <w:pPr>
              <w:widowControl w:val="0"/>
              <w:contextualSpacing/>
              <w:rPr>
                <w:rFonts w:ascii="宋体" w:hAnsi="宋体" w:cs="宋体"/>
                <w:color w:val="auto"/>
                <w:highlight w:val="none"/>
              </w:rPr>
            </w:pPr>
          </w:p>
        </w:tc>
      </w:tr>
    </w:tbl>
    <w:p w14:paraId="15F7AA87">
      <w:pPr>
        <w:pStyle w:val="41"/>
        <w:ind w:firstLine="241"/>
        <w:rPr>
          <w:rFonts w:ascii="宋体" w:hAnsi="宋体" w:cs="宋体"/>
          <w:b/>
          <w:color w:val="auto"/>
          <w:sz w:val="24"/>
          <w:szCs w:val="24"/>
          <w:highlight w:val="none"/>
        </w:rPr>
      </w:pPr>
    </w:p>
    <w:p w14:paraId="3007D7F4">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Cs/>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Cs/>
          <w:color w:val="auto"/>
          <w:sz w:val="24"/>
          <w:szCs w:val="24"/>
          <w:highlight w:val="none"/>
          <w:lang w:val="en-US" w:eastAsia="zh-CN"/>
        </w:rPr>
        <w:t>具体要求详见招标公告</w:t>
      </w:r>
      <w:r>
        <w:rPr>
          <w:rFonts w:hint="eastAsia" w:ascii="宋体" w:hAnsi="宋体" w:cs="宋体"/>
          <w:bCs/>
          <w:color w:val="auto"/>
          <w:sz w:val="24"/>
          <w:szCs w:val="24"/>
          <w:highlight w:val="none"/>
        </w:rPr>
        <w:t>第2点投标人资格要求中 2.3要求。</w:t>
      </w:r>
    </w:p>
    <w:p w14:paraId="7A87460D">
      <w:pPr>
        <w:ind w:firstLine="480" w:firstLineChars="200"/>
        <w:rPr>
          <w:rFonts w:ascii="宋体" w:hAnsi="宋体" w:cs="宋体"/>
          <w:color w:val="auto"/>
          <w:sz w:val="24"/>
          <w:szCs w:val="24"/>
          <w:highlight w:val="none"/>
        </w:rPr>
      </w:pPr>
    </w:p>
    <w:p w14:paraId="14BBCC20">
      <w:pPr>
        <w:widowControl w:val="0"/>
        <w:spacing w:line="312" w:lineRule="auto"/>
        <w:rPr>
          <w:rFonts w:ascii="宋体" w:hAnsi="宋体"/>
          <w:color w:val="auto"/>
          <w:sz w:val="24"/>
          <w:szCs w:val="24"/>
          <w:highlight w:val="none"/>
        </w:rPr>
      </w:pPr>
    </w:p>
    <w:p w14:paraId="04169309">
      <w:pPr>
        <w:widowControl w:val="0"/>
        <w:spacing w:line="312" w:lineRule="auto"/>
        <w:rPr>
          <w:rFonts w:ascii="宋体" w:hAnsi="宋体"/>
          <w:color w:val="auto"/>
          <w:sz w:val="24"/>
          <w:szCs w:val="24"/>
          <w:highlight w:val="none"/>
        </w:rPr>
      </w:pPr>
    </w:p>
    <w:p w14:paraId="5BEDA85B">
      <w:pPr>
        <w:widowControl w:val="0"/>
        <w:spacing w:line="312" w:lineRule="auto"/>
        <w:rPr>
          <w:rFonts w:ascii="宋体" w:hAnsi="宋体"/>
          <w:color w:val="auto"/>
          <w:sz w:val="24"/>
          <w:szCs w:val="24"/>
          <w:highlight w:val="none"/>
        </w:rPr>
      </w:pPr>
    </w:p>
    <w:p w14:paraId="63AC15D7">
      <w:pPr>
        <w:widowControl w:val="0"/>
        <w:spacing w:line="312" w:lineRule="auto"/>
        <w:rPr>
          <w:rFonts w:ascii="宋体" w:hAnsi="宋体"/>
          <w:color w:val="auto"/>
          <w:sz w:val="24"/>
          <w:szCs w:val="24"/>
          <w:highlight w:val="none"/>
        </w:rPr>
      </w:pPr>
    </w:p>
    <w:p w14:paraId="23F4DCEA">
      <w:pPr>
        <w:widowControl w:val="0"/>
        <w:spacing w:line="312" w:lineRule="auto"/>
        <w:rPr>
          <w:rFonts w:ascii="宋体" w:hAnsi="宋体"/>
          <w:color w:val="auto"/>
          <w:sz w:val="24"/>
          <w:szCs w:val="24"/>
          <w:highlight w:val="none"/>
        </w:rPr>
      </w:pPr>
    </w:p>
    <w:p w14:paraId="3EE85A24">
      <w:pPr>
        <w:widowControl w:val="0"/>
        <w:spacing w:line="312" w:lineRule="auto"/>
        <w:rPr>
          <w:rFonts w:ascii="宋体" w:hAnsi="宋体"/>
          <w:color w:val="auto"/>
          <w:sz w:val="24"/>
          <w:szCs w:val="24"/>
          <w:highlight w:val="none"/>
        </w:rPr>
      </w:pPr>
    </w:p>
    <w:p w14:paraId="02E84FA1">
      <w:pPr>
        <w:widowControl w:val="0"/>
        <w:spacing w:line="312" w:lineRule="auto"/>
        <w:rPr>
          <w:rFonts w:ascii="宋体" w:hAnsi="宋体"/>
          <w:color w:val="auto"/>
          <w:sz w:val="24"/>
          <w:szCs w:val="24"/>
          <w:highlight w:val="none"/>
        </w:rPr>
      </w:pPr>
    </w:p>
    <w:p w14:paraId="5FB7B30E">
      <w:pPr>
        <w:widowControl w:val="0"/>
        <w:spacing w:line="312" w:lineRule="auto"/>
        <w:rPr>
          <w:rFonts w:ascii="宋体" w:hAnsi="宋体"/>
          <w:color w:val="auto"/>
          <w:sz w:val="24"/>
          <w:szCs w:val="24"/>
          <w:highlight w:val="none"/>
        </w:rPr>
      </w:pPr>
    </w:p>
    <w:p w14:paraId="7AB9811B">
      <w:pPr>
        <w:widowControl w:val="0"/>
        <w:spacing w:line="312" w:lineRule="auto"/>
        <w:rPr>
          <w:rFonts w:ascii="宋体" w:hAnsi="宋体"/>
          <w:color w:val="auto"/>
          <w:sz w:val="24"/>
          <w:szCs w:val="24"/>
          <w:highlight w:val="none"/>
        </w:rPr>
      </w:pPr>
    </w:p>
    <w:p w14:paraId="5680A165">
      <w:pPr>
        <w:widowControl w:val="0"/>
        <w:spacing w:line="312" w:lineRule="auto"/>
        <w:rPr>
          <w:rFonts w:hint="eastAsia" w:ascii="宋体" w:hAnsi="宋体"/>
          <w:color w:val="auto"/>
          <w:sz w:val="24"/>
          <w:szCs w:val="24"/>
          <w:highlight w:val="none"/>
        </w:rPr>
      </w:pPr>
    </w:p>
    <w:p w14:paraId="352A9253">
      <w:pPr>
        <w:widowControl w:val="0"/>
        <w:spacing w:line="312" w:lineRule="auto"/>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2.近年完成的类似投标货物的供货业绩明细表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适用于资格评审</w:t>
      </w:r>
      <w:r>
        <w:rPr>
          <w:rFonts w:hint="eastAsia" w:ascii="宋体" w:hAnsi="宋体" w:cs="宋体"/>
          <w:b w:val="0"/>
          <w:bCs w:val="0"/>
          <w:color w:val="auto"/>
          <w:sz w:val="24"/>
          <w:szCs w:val="24"/>
          <w:highlight w:val="none"/>
          <w:lang w:eastAsia="zh-CN"/>
        </w:rPr>
        <w:t>）</w:t>
      </w:r>
    </w:p>
    <w:p w14:paraId="5AD9C436">
      <w:pPr>
        <w:widowControl w:val="0"/>
        <w:spacing w:line="312"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填写说明：</w:t>
      </w:r>
    </w:p>
    <w:p w14:paraId="583BB781">
      <w:pPr>
        <w:widowControl w:val="0"/>
        <w:spacing w:line="312"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1）投标人应按“1. 近年完成的类似投标货物的供货业绩汇总表”中类似投标货物的供货业绩逐项填写该表，每项完成的类似投标货物的供货业绩填写一个表，并分别附相应的销售合同和供货发票。</w:t>
      </w:r>
    </w:p>
    <w:p w14:paraId="71EFED1F">
      <w:pPr>
        <w:widowControl w:val="0"/>
        <w:spacing w:line="312" w:lineRule="auto"/>
        <w:ind w:firstLine="638" w:firstLineChars="266"/>
        <w:rPr>
          <w:color w:val="auto"/>
          <w:highlight w:val="none"/>
        </w:rPr>
      </w:pPr>
      <w:r>
        <w:rPr>
          <w:rFonts w:hint="eastAsia" w:ascii="宋体" w:hAnsi="宋体"/>
          <w:color w:val="auto"/>
          <w:sz w:val="24"/>
          <w:szCs w:val="24"/>
          <w:highlight w:val="none"/>
        </w:rPr>
        <w:t>2）如果供货业绩为投标货物制造商的供货业绩时，该表所附销售合同和供货发票需经投标货物制造商盖公章。</w:t>
      </w:r>
    </w:p>
    <w:tbl>
      <w:tblPr>
        <w:tblStyle w:val="4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867"/>
      </w:tblGrid>
      <w:tr w14:paraId="783B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54553C35">
            <w:pPr>
              <w:widowControl w:val="0"/>
              <w:spacing w:before="161" w:beforeLines="50" w:after="161" w:afterLines="50"/>
              <w:jc w:val="center"/>
              <w:rPr>
                <w:rFonts w:ascii="宋体" w:hAnsi="宋体" w:cs="宋体"/>
                <w:color w:val="auto"/>
                <w:sz w:val="24"/>
                <w:szCs w:val="24"/>
                <w:highlight w:val="none"/>
              </w:rPr>
            </w:pPr>
            <w:r>
              <w:rPr>
                <w:rFonts w:hint="eastAsia" w:ascii="宋体" w:hAnsi="宋体" w:cs="Calibri"/>
                <w:color w:val="auto"/>
                <w:sz w:val="24"/>
                <w:szCs w:val="24"/>
                <w:highlight w:val="none"/>
              </w:rPr>
              <w:t>对应“1. 近年完成的类似投标货物的供货业绩汇总表”中的序号</w:t>
            </w:r>
            <w:r>
              <w:rPr>
                <w:rFonts w:ascii="宋体" w:hAnsi="宋体" w:cs="宋体"/>
                <w:color w:val="auto"/>
                <w:sz w:val="24"/>
                <w:szCs w:val="24"/>
                <w:highlight w:val="none"/>
              </w:rPr>
              <w:t xml:space="preserve"> </w:t>
            </w:r>
          </w:p>
        </w:tc>
        <w:tc>
          <w:tcPr>
            <w:tcW w:w="6867" w:type="dxa"/>
            <w:noWrap w:val="0"/>
            <w:vAlign w:val="center"/>
          </w:tcPr>
          <w:p w14:paraId="1CA875C9">
            <w:pPr>
              <w:widowControl w:val="0"/>
              <w:spacing w:before="161" w:beforeLines="50" w:after="161" w:afterLines="50"/>
              <w:jc w:val="center"/>
              <w:rPr>
                <w:rFonts w:ascii="宋体" w:hAnsi="宋体" w:cs="Calibri"/>
                <w:color w:val="auto"/>
                <w:sz w:val="24"/>
                <w:szCs w:val="24"/>
                <w:highlight w:val="none"/>
              </w:rPr>
            </w:pPr>
            <w:r>
              <w:rPr>
                <w:rFonts w:hint="eastAsia" w:ascii="宋体" w:hAnsi="宋体" w:cs="Calibri"/>
                <w:color w:val="auto"/>
                <w:sz w:val="24"/>
                <w:szCs w:val="24"/>
                <w:highlight w:val="none"/>
              </w:rPr>
              <w:t>序号</w:t>
            </w:r>
            <w:r>
              <w:rPr>
                <w:rFonts w:hint="eastAsia" w:ascii="宋体" w:hAnsi="宋体" w:cs="Calibri"/>
                <w:color w:val="auto"/>
                <w:sz w:val="24"/>
                <w:szCs w:val="24"/>
                <w:highlight w:val="none"/>
                <w:u w:val="single"/>
              </w:rPr>
              <w:t xml:space="preserve">   </w:t>
            </w:r>
            <w:r>
              <w:rPr>
                <w:rFonts w:hint="eastAsia" w:ascii="宋体" w:hAnsi="宋体" w:cs="Calibri"/>
                <w:color w:val="auto"/>
                <w:sz w:val="24"/>
                <w:szCs w:val="24"/>
                <w:highlight w:val="none"/>
              </w:rPr>
              <w:t>业绩</w:t>
            </w:r>
          </w:p>
        </w:tc>
      </w:tr>
      <w:tr w14:paraId="328C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7150AE86">
            <w:pPr>
              <w:widowControl w:val="0"/>
              <w:spacing w:before="161" w:beforeLines="50" w:after="161" w:afterLines="50"/>
              <w:jc w:val="center"/>
              <w:rPr>
                <w:rFonts w:ascii="宋体" w:hAnsi="宋体" w:cs="Calibri"/>
                <w:color w:val="auto"/>
                <w:sz w:val="24"/>
                <w:szCs w:val="24"/>
                <w:highlight w:val="none"/>
              </w:rPr>
            </w:pPr>
            <w:r>
              <w:rPr>
                <w:rFonts w:hint="eastAsia" w:ascii="宋体" w:hAnsi="宋体" w:cs="Calibri"/>
                <w:color w:val="auto"/>
                <w:sz w:val="24"/>
                <w:szCs w:val="24"/>
                <w:highlight w:val="none"/>
              </w:rPr>
              <w:t>合同名称</w:t>
            </w:r>
          </w:p>
        </w:tc>
        <w:tc>
          <w:tcPr>
            <w:tcW w:w="6867" w:type="dxa"/>
            <w:noWrap w:val="0"/>
            <w:vAlign w:val="center"/>
          </w:tcPr>
          <w:p w14:paraId="617F16EC">
            <w:pPr>
              <w:widowControl w:val="0"/>
              <w:spacing w:before="161" w:beforeLines="50" w:after="161" w:afterLines="50"/>
              <w:jc w:val="center"/>
              <w:rPr>
                <w:rFonts w:ascii="宋体" w:hAnsi="宋体" w:cs="Calibri"/>
                <w:color w:val="auto"/>
                <w:sz w:val="24"/>
                <w:szCs w:val="24"/>
                <w:highlight w:val="none"/>
              </w:rPr>
            </w:pPr>
          </w:p>
        </w:tc>
      </w:tr>
      <w:tr w14:paraId="59CE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2A718AF4">
            <w:pPr>
              <w:widowControl w:val="0"/>
              <w:spacing w:before="161" w:beforeLines="50" w:after="161" w:afterLines="50"/>
              <w:jc w:val="center"/>
              <w:rPr>
                <w:rFonts w:cs="Calibri"/>
                <w:color w:val="auto"/>
                <w:sz w:val="24"/>
                <w:szCs w:val="24"/>
                <w:highlight w:val="none"/>
              </w:rPr>
            </w:pPr>
            <w:r>
              <w:rPr>
                <w:rFonts w:hint="eastAsia" w:cs="Calibri"/>
                <w:color w:val="auto"/>
                <w:sz w:val="24"/>
                <w:szCs w:val="24"/>
                <w:highlight w:val="none"/>
                <w:lang w:val="en-US" w:eastAsia="zh-CN"/>
              </w:rPr>
              <w:t>设备</w:t>
            </w:r>
            <w:r>
              <w:rPr>
                <w:rFonts w:hint="eastAsia" w:cs="Calibri"/>
                <w:color w:val="auto"/>
                <w:sz w:val="24"/>
                <w:szCs w:val="24"/>
                <w:highlight w:val="none"/>
              </w:rPr>
              <w:t>名称</w:t>
            </w:r>
          </w:p>
        </w:tc>
        <w:tc>
          <w:tcPr>
            <w:tcW w:w="6867" w:type="dxa"/>
            <w:noWrap w:val="0"/>
            <w:vAlign w:val="center"/>
          </w:tcPr>
          <w:p w14:paraId="3C56A295">
            <w:pPr>
              <w:widowControl w:val="0"/>
              <w:spacing w:before="161" w:beforeLines="50" w:after="161" w:afterLines="50"/>
              <w:jc w:val="center"/>
              <w:rPr>
                <w:rFonts w:ascii="宋体" w:hAnsi="宋体" w:cs="Calibri"/>
                <w:color w:val="auto"/>
                <w:sz w:val="24"/>
                <w:szCs w:val="24"/>
                <w:highlight w:val="none"/>
              </w:rPr>
            </w:pPr>
          </w:p>
        </w:tc>
      </w:tr>
      <w:tr w14:paraId="5B7E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6DD2FC52">
            <w:pPr>
              <w:widowControl w:val="0"/>
              <w:spacing w:before="161" w:beforeLines="50" w:after="161" w:afterLines="50"/>
              <w:jc w:val="center"/>
              <w:rPr>
                <w:rFonts w:ascii="宋体" w:hAnsi="宋体" w:cs="宋体"/>
                <w:color w:val="auto"/>
                <w:sz w:val="24"/>
                <w:szCs w:val="24"/>
                <w:highlight w:val="none"/>
              </w:rPr>
            </w:pPr>
            <w:r>
              <w:rPr>
                <w:rFonts w:hint="eastAsia" w:cs="Calibri"/>
                <w:color w:val="auto"/>
                <w:sz w:val="24"/>
                <w:szCs w:val="24"/>
                <w:highlight w:val="none"/>
              </w:rPr>
              <w:t>规格</w:t>
            </w:r>
          </w:p>
        </w:tc>
        <w:tc>
          <w:tcPr>
            <w:tcW w:w="6867" w:type="dxa"/>
            <w:noWrap w:val="0"/>
            <w:vAlign w:val="center"/>
          </w:tcPr>
          <w:p w14:paraId="49FD42F4">
            <w:pPr>
              <w:widowControl w:val="0"/>
              <w:spacing w:before="161" w:beforeLines="50" w:after="161" w:afterLines="50"/>
              <w:jc w:val="center"/>
              <w:rPr>
                <w:rFonts w:ascii="宋体" w:hAnsi="宋体" w:cs="Calibri"/>
                <w:color w:val="auto"/>
                <w:sz w:val="24"/>
                <w:szCs w:val="24"/>
                <w:highlight w:val="none"/>
              </w:rPr>
            </w:pPr>
          </w:p>
        </w:tc>
      </w:tr>
      <w:tr w14:paraId="54B0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533E9CAB">
            <w:pPr>
              <w:widowControl w:val="0"/>
              <w:spacing w:before="161" w:beforeLines="50" w:after="161" w:afterLines="50"/>
              <w:jc w:val="center"/>
              <w:rPr>
                <w:rFonts w:ascii="宋体" w:hAnsi="宋体" w:cs="宋体"/>
                <w:color w:val="auto"/>
                <w:sz w:val="24"/>
                <w:szCs w:val="24"/>
                <w:highlight w:val="none"/>
              </w:rPr>
            </w:pPr>
            <w:r>
              <w:rPr>
                <w:rFonts w:hint="eastAsia" w:cs="Calibri"/>
                <w:color w:val="auto"/>
                <w:sz w:val="24"/>
                <w:szCs w:val="24"/>
                <w:highlight w:val="none"/>
              </w:rPr>
              <w:t>卖方名称</w:t>
            </w:r>
          </w:p>
        </w:tc>
        <w:tc>
          <w:tcPr>
            <w:tcW w:w="6867" w:type="dxa"/>
            <w:noWrap w:val="0"/>
            <w:vAlign w:val="center"/>
          </w:tcPr>
          <w:p w14:paraId="0F8CE871">
            <w:pPr>
              <w:widowControl w:val="0"/>
              <w:spacing w:before="161" w:beforeLines="50" w:after="161" w:afterLines="50"/>
              <w:jc w:val="center"/>
              <w:rPr>
                <w:rFonts w:ascii="宋体" w:hAnsi="宋体" w:cs="Calibri"/>
                <w:color w:val="auto"/>
                <w:sz w:val="24"/>
                <w:szCs w:val="24"/>
                <w:highlight w:val="none"/>
              </w:rPr>
            </w:pPr>
          </w:p>
        </w:tc>
      </w:tr>
      <w:tr w14:paraId="28B7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00E4D9F4">
            <w:pPr>
              <w:widowControl w:val="0"/>
              <w:spacing w:before="161" w:beforeLines="50" w:after="161" w:afterLines="50"/>
              <w:jc w:val="center"/>
              <w:rPr>
                <w:rFonts w:ascii="宋体" w:hAnsi="宋体" w:cs="宋体"/>
                <w:color w:val="auto"/>
                <w:sz w:val="24"/>
                <w:szCs w:val="24"/>
                <w:highlight w:val="none"/>
              </w:rPr>
            </w:pPr>
            <w:r>
              <w:rPr>
                <w:rFonts w:hint="eastAsia" w:cs="Calibri"/>
                <w:color w:val="auto"/>
                <w:sz w:val="24"/>
                <w:szCs w:val="24"/>
                <w:highlight w:val="none"/>
              </w:rPr>
              <w:t>买方名称</w:t>
            </w:r>
          </w:p>
        </w:tc>
        <w:tc>
          <w:tcPr>
            <w:tcW w:w="6867" w:type="dxa"/>
            <w:noWrap w:val="0"/>
            <w:vAlign w:val="center"/>
          </w:tcPr>
          <w:p w14:paraId="3C42188E">
            <w:pPr>
              <w:widowControl w:val="0"/>
              <w:spacing w:before="161" w:beforeLines="50" w:after="161" w:afterLines="50"/>
              <w:jc w:val="center"/>
              <w:rPr>
                <w:rFonts w:ascii="宋体" w:hAnsi="宋体" w:cs="Calibri"/>
                <w:color w:val="auto"/>
                <w:sz w:val="24"/>
                <w:szCs w:val="24"/>
                <w:highlight w:val="none"/>
              </w:rPr>
            </w:pPr>
          </w:p>
        </w:tc>
      </w:tr>
      <w:tr w14:paraId="0942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02101A0C">
            <w:pPr>
              <w:widowControl w:val="0"/>
              <w:spacing w:before="161" w:beforeLines="50" w:after="161" w:afterLines="50"/>
              <w:jc w:val="center"/>
              <w:rPr>
                <w:rFonts w:ascii="宋体" w:hAnsi="宋体" w:cs="宋体"/>
                <w:color w:val="auto"/>
                <w:sz w:val="24"/>
                <w:szCs w:val="24"/>
                <w:highlight w:val="none"/>
              </w:rPr>
            </w:pPr>
            <w:r>
              <w:rPr>
                <w:rFonts w:hint="eastAsia" w:cs="Calibri"/>
                <w:color w:val="auto"/>
                <w:sz w:val="24"/>
                <w:szCs w:val="24"/>
                <w:highlight w:val="none"/>
              </w:rPr>
              <w:t>买方联系人及电话</w:t>
            </w:r>
          </w:p>
        </w:tc>
        <w:tc>
          <w:tcPr>
            <w:tcW w:w="6867" w:type="dxa"/>
            <w:noWrap w:val="0"/>
            <w:vAlign w:val="center"/>
          </w:tcPr>
          <w:p w14:paraId="6E227E89">
            <w:pPr>
              <w:widowControl w:val="0"/>
              <w:spacing w:before="161" w:beforeLines="50" w:after="161" w:afterLines="50"/>
              <w:jc w:val="center"/>
              <w:rPr>
                <w:rFonts w:ascii="宋体" w:hAnsi="宋体" w:cs="Calibri"/>
                <w:color w:val="auto"/>
                <w:sz w:val="24"/>
                <w:szCs w:val="24"/>
                <w:highlight w:val="none"/>
              </w:rPr>
            </w:pPr>
          </w:p>
        </w:tc>
      </w:tr>
      <w:tr w14:paraId="2C32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40E17127">
            <w:pPr>
              <w:widowControl w:val="0"/>
              <w:spacing w:before="161" w:beforeLines="50" w:after="161" w:afterLines="50"/>
              <w:jc w:val="center"/>
              <w:rPr>
                <w:rFonts w:ascii="宋体" w:hAnsi="宋体" w:cs="宋体"/>
                <w:color w:val="auto"/>
                <w:sz w:val="24"/>
                <w:szCs w:val="24"/>
                <w:highlight w:val="none"/>
              </w:rPr>
            </w:pPr>
            <w:r>
              <w:rPr>
                <w:rFonts w:hint="eastAsia" w:cs="Calibri"/>
                <w:color w:val="auto"/>
                <w:sz w:val="24"/>
                <w:szCs w:val="24"/>
                <w:highlight w:val="none"/>
              </w:rPr>
              <w:t>签约合同价</w:t>
            </w:r>
          </w:p>
        </w:tc>
        <w:tc>
          <w:tcPr>
            <w:tcW w:w="6867" w:type="dxa"/>
            <w:noWrap w:val="0"/>
            <w:vAlign w:val="center"/>
          </w:tcPr>
          <w:p w14:paraId="1F1CA2ED">
            <w:pPr>
              <w:widowControl w:val="0"/>
              <w:spacing w:before="161" w:beforeLines="50" w:after="161" w:afterLines="50"/>
              <w:jc w:val="center"/>
              <w:rPr>
                <w:rFonts w:ascii="宋体" w:hAnsi="宋体" w:cs="Calibri"/>
                <w:color w:val="auto"/>
                <w:sz w:val="24"/>
                <w:szCs w:val="24"/>
                <w:highlight w:val="none"/>
              </w:rPr>
            </w:pPr>
          </w:p>
        </w:tc>
      </w:tr>
      <w:tr w14:paraId="73D4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6C0F01E7">
            <w:pPr>
              <w:widowControl w:val="0"/>
              <w:spacing w:before="161" w:beforeLines="50" w:after="161" w:afterLines="50"/>
              <w:jc w:val="center"/>
              <w:rPr>
                <w:rFonts w:cs="Calibri"/>
                <w:color w:val="auto"/>
                <w:sz w:val="24"/>
                <w:szCs w:val="24"/>
                <w:highlight w:val="none"/>
              </w:rPr>
            </w:pPr>
            <w:r>
              <w:rPr>
                <w:rFonts w:hint="eastAsia" w:cs="Calibri"/>
                <w:color w:val="auto"/>
                <w:sz w:val="24"/>
                <w:szCs w:val="24"/>
                <w:highlight w:val="none"/>
              </w:rPr>
              <w:t>供货金额</w:t>
            </w:r>
          </w:p>
        </w:tc>
        <w:tc>
          <w:tcPr>
            <w:tcW w:w="6867" w:type="dxa"/>
            <w:noWrap w:val="0"/>
            <w:vAlign w:val="center"/>
          </w:tcPr>
          <w:p w14:paraId="4DE8ECBE">
            <w:pPr>
              <w:widowControl w:val="0"/>
              <w:spacing w:before="161" w:beforeLines="50" w:after="161" w:afterLines="50"/>
              <w:jc w:val="center"/>
              <w:rPr>
                <w:rFonts w:ascii="宋体" w:hAnsi="宋体" w:cs="Calibri"/>
                <w:color w:val="auto"/>
                <w:sz w:val="24"/>
                <w:szCs w:val="24"/>
                <w:highlight w:val="none"/>
              </w:rPr>
            </w:pPr>
          </w:p>
        </w:tc>
      </w:tr>
      <w:tr w14:paraId="3CD3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2193" w:type="dxa"/>
            <w:noWrap w:val="0"/>
            <w:vAlign w:val="center"/>
          </w:tcPr>
          <w:p w14:paraId="01324CF2">
            <w:pPr>
              <w:widowControl w:val="0"/>
              <w:spacing w:before="161" w:beforeLines="50" w:after="161" w:afterLines="50"/>
              <w:jc w:val="center"/>
              <w:rPr>
                <w:rFonts w:ascii="宋体" w:hAnsi="宋体" w:cs="宋体"/>
                <w:color w:val="auto"/>
                <w:sz w:val="24"/>
                <w:szCs w:val="24"/>
                <w:highlight w:val="none"/>
              </w:rPr>
            </w:pPr>
            <w:r>
              <w:rPr>
                <w:rFonts w:hint="eastAsia" w:cs="Calibri"/>
                <w:color w:val="auto"/>
                <w:sz w:val="24"/>
                <w:szCs w:val="24"/>
                <w:highlight w:val="none"/>
              </w:rPr>
              <w:t>项目概况及投标人履约情况</w:t>
            </w:r>
          </w:p>
        </w:tc>
        <w:tc>
          <w:tcPr>
            <w:tcW w:w="6867" w:type="dxa"/>
            <w:noWrap w:val="0"/>
            <w:vAlign w:val="center"/>
          </w:tcPr>
          <w:p w14:paraId="1D366FA8">
            <w:pPr>
              <w:widowControl w:val="0"/>
              <w:spacing w:before="161" w:beforeLines="50" w:after="161" w:afterLines="50"/>
              <w:jc w:val="center"/>
              <w:rPr>
                <w:rFonts w:ascii="宋体" w:hAnsi="宋体" w:cs="Calibri"/>
                <w:color w:val="auto"/>
                <w:sz w:val="24"/>
                <w:szCs w:val="24"/>
                <w:highlight w:val="none"/>
              </w:rPr>
            </w:pPr>
          </w:p>
        </w:tc>
      </w:tr>
      <w:tr w14:paraId="1DEC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dxa"/>
            <w:noWrap w:val="0"/>
            <w:vAlign w:val="center"/>
          </w:tcPr>
          <w:p w14:paraId="6272AB14">
            <w:pPr>
              <w:widowControl w:val="0"/>
              <w:spacing w:before="161" w:beforeLines="50" w:after="161" w:afterLines="50"/>
              <w:jc w:val="center"/>
              <w:rPr>
                <w:rFonts w:ascii="宋体" w:hAnsi="宋体" w:cs="宋体"/>
                <w:color w:val="auto"/>
                <w:sz w:val="24"/>
                <w:szCs w:val="24"/>
                <w:highlight w:val="none"/>
              </w:rPr>
            </w:pPr>
            <w:r>
              <w:rPr>
                <w:rFonts w:hint="eastAsia" w:cs="Calibri"/>
                <w:color w:val="auto"/>
                <w:sz w:val="24"/>
                <w:szCs w:val="24"/>
                <w:highlight w:val="none"/>
              </w:rPr>
              <w:t>备注</w:t>
            </w:r>
          </w:p>
        </w:tc>
        <w:tc>
          <w:tcPr>
            <w:tcW w:w="6867" w:type="dxa"/>
            <w:noWrap w:val="0"/>
            <w:vAlign w:val="center"/>
          </w:tcPr>
          <w:p w14:paraId="01BC4766">
            <w:pPr>
              <w:widowControl w:val="0"/>
              <w:spacing w:before="161" w:beforeLines="50" w:after="161" w:afterLines="50"/>
              <w:jc w:val="center"/>
              <w:rPr>
                <w:rFonts w:ascii="宋体" w:hAnsi="宋体" w:cs="Calibri"/>
                <w:color w:val="auto"/>
                <w:sz w:val="24"/>
                <w:szCs w:val="24"/>
                <w:highlight w:val="none"/>
              </w:rPr>
            </w:pPr>
          </w:p>
        </w:tc>
      </w:tr>
    </w:tbl>
    <w:p w14:paraId="74F5F00F">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664DCC4C">
      <w:pPr>
        <w:pStyle w:val="41"/>
        <w:ind w:firstLine="241"/>
        <w:outlineLvl w:val="2"/>
        <w:rPr>
          <w:rFonts w:ascii="宋体" w:hAnsi="宋体" w:cs="宋体"/>
          <w:color w:val="auto"/>
          <w:sz w:val="24"/>
          <w:szCs w:val="24"/>
          <w:highlight w:val="none"/>
        </w:rPr>
      </w:pPr>
      <w:r>
        <w:rPr>
          <w:rFonts w:hint="eastAsia" w:ascii="宋体" w:hAnsi="宋体" w:cs="宋体"/>
          <w:b/>
          <w:color w:val="auto"/>
          <w:sz w:val="24"/>
          <w:szCs w:val="24"/>
          <w:highlight w:val="none"/>
        </w:rPr>
        <w:t>（三）投标人声明</w:t>
      </w:r>
    </w:p>
    <w:p w14:paraId="4053E174">
      <w:pPr>
        <w:spacing w:line="360" w:lineRule="auto"/>
        <w:contextualSpacing/>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投标人声明</w:t>
      </w:r>
    </w:p>
    <w:p w14:paraId="26DB83F2">
      <w:pPr>
        <w:widowControl w:val="0"/>
        <w:spacing w:line="360" w:lineRule="auto"/>
        <w:contextualSpacing/>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289E941E">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本公司就参加</w:t>
      </w:r>
      <w:r>
        <w:rPr>
          <w:rFonts w:hint="eastAsia" w:ascii="宋体" w:hAnsi="宋体" w:cs="宋体"/>
          <w:b/>
          <w:bCs/>
          <w:color w:val="auto"/>
          <w:sz w:val="24"/>
          <w:szCs w:val="24"/>
          <w:highlight w:val="none"/>
          <w:u w:val="single"/>
          <w:lang w:eastAsia="zh-CN"/>
        </w:rPr>
        <w:t>广州市自来水有限公司南洲水厂排泥水处理系统建设工程污泥脱水集成设备采购公开招标项目</w:t>
      </w:r>
      <w:r>
        <w:rPr>
          <w:rFonts w:hint="eastAsia" w:ascii="宋体" w:hAnsi="宋体" w:cs="宋体"/>
          <w:color w:val="auto"/>
          <w:sz w:val="24"/>
          <w:szCs w:val="24"/>
          <w:highlight w:val="none"/>
        </w:rPr>
        <w:t>投标工作，作出郑重声明：</w:t>
      </w:r>
    </w:p>
    <w:p w14:paraId="475F5F20">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一、本公司保证投标投标登记及其后提供的一切材料都是真实的。</w:t>
      </w:r>
    </w:p>
    <w:p w14:paraId="37564C84">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二、本公司保证在本项目投标中不与其他单位围标、串标，不出让投标资格，不向招标人或评标委员会成员行贿。</w:t>
      </w:r>
    </w:p>
    <w:p w14:paraId="67B0A5B5">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三、本公司保证不存在以下情形之一：</w:t>
      </w:r>
    </w:p>
    <w:p w14:paraId="64878CDC">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（1）与招标人存在利害关系且可能影响招标公正性；</w:t>
      </w:r>
    </w:p>
    <w:p w14:paraId="35E246F8">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（2）与本招标项目的其他投标人为同一个单位负责人；</w:t>
      </w:r>
    </w:p>
    <w:p w14:paraId="05007FE2">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（3）与本招标项目的其他投标人存在控股、管理关系；</w:t>
      </w:r>
    </w:p>
    <w:p w14:paraId="5FD40290">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（4）与本招标项目其他投标人代理同一个制造商同一品牌同一型号的材料投标；</w:t>
      </w:r>
    </w:p>
    <w:p w14:paraId="53F576C7">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（5）为本招标项目提供过设计、编制技术规范和其他文件的咨询服务；</w:t>
      </w:r>
    </w:p>
    <w:p w14:paraId="4A39B0C2">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（6）为本工程项目的相关监理人，或者与本工程项目的相关监理人存在隶属关系或者其他利害关系；</w:t>
      </w:r>
    </w:p>
    <w:p w14:paraId="439C37F5">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（7）为本招标项目的代建人；</w:t>
      </w:r>
    </w:p>
    <w:p w14:paraId="44ED9FEC">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（8）为本招标项目的招标代理机构；</w:t>
      </w:r>
    </w:p>
    <w:p w14:paraId="23ABFC2C">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（9）与本招标项目的监理人或代建人或招标代理机构同为一个法定代表人；</w:t>
      </w:r>
    </w:p>
    <w:p w14:paraId="4B1660D1">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（10）与本招标项目的监理人或代建人或招标代理机构存在控股或参股关系；</w:t>
      </w:r>
    </w:p>
    <w:p w14:paraId="3ED675BB">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（11）被依法暂停或者取消投标资格；</w:t>
      </w:r>
    </w:p>
    <w:p w14:paraId="40DC836B">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（12）被责令停产停业、暂扣或者吊销许可证、暂扣或者吊销执照；</w:t>
      </w:r>
    </w:p>
    <w:p w14:paraId="254109EB">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（13）进入清算程序，或被宣告破产，或其他丧失履约能力的情形；</w:t>
      </w:r>
    </w:p>
    <w:p w14:paraId="0505A4A3">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（14）在最近三年内发生重大产品质量问题（以相关行业主管部门的行政处罚决定或司法机关出具的有关法律文书为准）；</w:t>
      </w:r>
    </w:p>
    <w:p w14:paraId="1CE9A4A2">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（15）被工商行政管理机关在全国企业信用信息公示系统中列入严重违法失信企业名单；</w:t>
      </w:r>
    </w:p>
    <w:p w14:paraId="50A4167B">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（16）被最高人民法院在“信用中国”网站（www.creditchina.gov.cn）或各级信用信息共享平台中列入失信被执行人名单；</w:t>
      </w:r>
    </w:p>
    <w:p w14:paraId="6A5F2506">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（17）被“信用广州”网站纳入失信被执行人名单（黑名单）；</w:t>
      </w:r>
    </w:p>
    <w:p w14:paraId="3CEB3FE8">
      <w:pPr>
        <w:widowControl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（18）法律法规或招标公告规定的其他情形。</w:t>
      </w:r>
    </w:p>
    <w:p w14:paraId="743DE71D">
      <w:pPr>
        <w:widowControl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四、本公司承诺，中标后不转包或违法分包，在服务过程中，严格执行安全生产相关管理规定。</w:t>
      </w:r>
    </w:p>
    <w:p w14:paraId="08C709CB">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五、如我司通过本项目的资格审查或成为本项目中标候选人，我司同意并授权招标人将我司响应招标文件（或资格预审文件）资格能力条件（资质、营业执照等证书名称、等级、编号，人员、业绩）、投标文件商务部分（报价清单、施工方案等内容除外）等资料进行公示。</w:t>
      </w:r>
    </w:p>
    <w:p w14:paraId="576D303E">
      <w:pPr>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2155B7D4">
      <w:pPr>
        <w:spacing w:line="360" w:lineRule="auto"/>
        <w:ind w:firstLine="600" w:firstLineChars="250"/>
        <w:contextualSpacing/>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4177CEE7">
      <w:pPr>
        <w:spacing w:line="360" w:lineRule="auto"/>
        <w:ind w:firstLine="3840" w:firstLineChars="1600"/>
        <w:contextualSpacing/>
        <w:rPr>
          <w:rFonts w:ascii="宋体" w:hAnsi="宋体" w:cs="宋体"/>
          <w:color w:val="auto"/>
          <w:sz w:val="24"/>
          <w:szCs w:val="24"/>
          <w:highlight w:val="none"/>
        </w:rPr>
      </w:pPr>
    </w:p>
    <w:p w14:paraId="47BA211E">
      <w:pPr>
        <w:spacing w:line="360" w:lineRule="auto"/>
        <w:ind w:firstLine="3840" w:firstLineChars="1600"/>
        <w:contextualSpacing/>
        <w:rPr>
          <w:rFonts w:ascii="宋体" w:hAnsi="宋体" w:cs="宋体"/>
          <w:color w:val="auto"/>
          <w:sz w:val="24"/>
          <w:szCs w:val="24"/>
          <w:highlight w:val="none"/>
        </w:rPr>
      </w:pPr>
    </w:p>
    <w:p w14:paraId="082102F9">
      <w:pPr>
        <w:spacing w:line="360" w:lineRule="auto"/>
        <w:ind w:firstLine="3840" w:firstLineChars="1600"/>
        <w:contextualSpacing/>
        <w:rPr>
          <w:rFonts w:ascii="宋体" w:hAnsi="宋体" w:cs="宋体"/>
          <w:color w:val="auto"/>
          <w:sz w:val="24"/>
          <w:szCs w:val="24"/>
          <w:highlight w:val="none"/>
        </w:rPr>
      </w:pPr>
    </w:p>
    <w:p w14:paraId="6C5AE02E">
      <w:pPr>
        <w:widowControl w:val="0"/>
        <w:spacing w:before="161" w:beforeLines="50" w:after="161" w:afterLines="50" w:line="360" w:lineRule="auto"/>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2079D597">
      <w:pPr>
        <w:widowControl w:val="0"/>
        <w:spacing w:line="360" w:lineRule="auto"/>
        <w:ind w:firstLine="2940" w:firstLineChars="1225"/>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5D715623">
      <w:pPr>
        <w:spacing w:line="360" w:lineRule="auto"/>
        <w:ind w:firstLine="3840" w:firstLineChars="1600"/>
        <w:contextualSpacing/>
        <w:rPr>
          <w:rFonts w:ascii="宋体" w:hAnsi="宋体" w:cs="宋体"/>
          <w:color w:val="auto"/>
          <w:sz w:val="24"/>
          <w:szCs w:val="24"/>
          <w:highlight w:val="none"/>
        </w:rPr>
      </w:pPr>
    </w:p>
    <w:p w14:paraId="69B9EB3A">
      <w:pPr>
        <w:spacing w:line="360" w:lineRule="auto"/>
        <w:ind w:firstLine="3840" w:firstLineChars="1600"/>
        <w:contextualSpacing/>
        <w:rPr>
          <w:rFonts w:ascii="宋体" w:hAnsi="宋体" w:cs="宋体"/>
          <w:color w:val="auto"/>
          <w:sz w:val="24"/>
          <w:szCs w:val="24"/>
          <w:highlight w:val="none"/>
        </w:rPr>
      </w:pPr>
    </w:p>
    <w:p w14:paraId="1B3C7F6D">
      <w:pPr>
        <w:spacing w:line="360" w:lineRule="auto"/>
        <w:ind w:firstLine="3840" w:firstLineChars="1600"/>
        <w:contextualSpacing/>
        <w:rPr>
          <w:rFonts w:ascii="宋体" w:hAnsi="宋体" w:cs="宋体"/>
          <w:color w:val="auto"/>
          <w:sz w:val="24"/>
          <w:szCs w:val="24"/>
          <w:highlight w:val="none"/>
        </w:rPr>
      </w:pPr>
    </w:p>
    <w:p w14:paraId="4577741F">
      <w:pPr>
        <w:spacing w:line="360" w:lineRule="auto"/>
        <w:ind w:firstLine="3840" w:firstLineChars="1600"/>
        <w:contextualSpacing/>
        <w:rPr>
          <w:rFonts w:ascii="宋体" w:hAnsi="宋体" w:cs="宋体"/>
          <w:color w:val="auto"/>
          <w:sz w:val="24"/>
          <w:szCs w:val="24"/>
          <w:highlight w:val="none"/>
        </w:rPr>
      </w:pPr>
    </w:p>
    <w:p w14:paraId="4B50F31D">
      <w:pPr>
        <w:pStyle w:val="2"/>
        <w:rPr>
          <w:rFonts w:ascii="宋体" w:hAnsi="宋体" w:eastAsia="宋体" w:cs="宋体"/>
          <w:color w:val="auto"/>
          <w:highlight w:val="none"/>
        </w:rPr>
      </w:pPr>
    </w:p>
    <w:p w14:paraId="49B81BCE">
      <w:pPr>
        <w:outlineLvl w:val="2"/>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（四）</w:t>
      </w:r>
      <w:r>
        <w:rPr>
          <w:rFonts w:hint="eastAsia" w:ascii="宋体" w:hAnsi="宋体" w:cs="宋体"/>
          <w:b/>
          <w:color w:val="auto"/>
          <w:sz w:val="24"/>
          <w:highlight w:val="none"/>
        </w:rPr>
        <w:t>投标人廉洁承诺书</w:t>
      </w:r>
    </w:p>
    <w:p w14:paraId="7E1C2E91">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投标人廉洁承诺书</w:t>
      </w:r>
    </w:p>
    <w:p w14:paraId="51BB97F1">
      <w:pPr>
        <w:spacing w:line="360" w:lineRule="auto"/>
        <w:rPr>
          <w:rFonts w:ascii="宋体" w:hAnsi="宋体" w:cs="宋体"/>
          <w:color w:val="auto"/>
          <w:highlight w:val="none"/>
        </w:rPr>
      </w:pPr>
    </w:p>
    <w:p w14:paraId="011ED31E">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本招标项目招标人及招标监管机构：</w:t>
      </w:r>
    </w:p>
    <w:p w14:paraId="5639935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本公司参加了</w:t>
      </w:r>
      <w:r>
        <w:rPr>
          <w:rFonts w:hint="eastAsia" w:ascii="宋体" w:hAnsi="宋体" w:cs="宋体"/>
          <w:b/>
          <w:bCs/>
          <w:color w:val="auto"/>
          <w:sz w:val="24"/>
          <w:szCs w:val="24"/>
          <w:highlight w:val="none"/>
          <w:u w:val="single"/>
          <w:lang w:eastAsia="zh-CN"/>
        </w:rPr>
        <w:t>广州市自来水有限公司南洲水厂排泥水处理系统建设工程污泥脱水集成设备采购公开招标项目</w:t>
      </w:r>
      <w:r>
        <w:rPr>
          <w:rFonts w:hint="eastAsia" w:ascii="宋体" w:hAnsi="宋体" w:cs="宋体"/>
          <w:color w:val="auto"/>
          <w:sz w:val="24"/>
          <w:szCs w:val="24"/>
          <w:highlight w:val="none"/>
        </w:rPr>
        <w:t>的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38BD30D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一、自觉遵守国家有关法律法规及廉洁规定。    </w:t>
      </w:r>
    </w:p>
    <w:p w14:paraId="33C292EF">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二、不与招标单位工作人员串通投标，损害国家利益、企业利益以及他人的合法利益。</w:t>
      </w:r>
    </w:p>
    <w:p w14:paraId="2F2605A6">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三、不与其他单位围标、串标，不出让投标资格，不向招标人或评标委员会成员行贿。    </w:t>
      </w:r>
    </w:p>
    <w:p w14:paraId="313B7036">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四、不以任何名义向参与招标、评标工作的有关人员提供高消费宴请及娱乐活动和赠送回扣、红包、礼金、购物卡、有价证券、贵重物品和好处费、感谢费等。</w:t>
      </w:r>
    </w:p>
    <w:p w14:paraId="594AE8F7">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五、不以任何名义接受或暗示为参与招标、评标工作的有关人员装修住房、婚丧嫁取、配偶子女的工作安排以及境内外旅游等提供方便。</w:t>
      </w:r>
    </w:p>
    <w:p w14:paraId="0FBD0CA8">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六、不以谋取非正当利益为目的，擅自与参与招标、评标工作的有关人员就业务问题进行私下商谈或者达成利益默契。</w:t>
      </w:r>
    </w:p>
    <w:p w14:paraId="318C2706">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七、按法律规定及合同约定保修合同工程，履行本合同所约定的全部义务。</w:t>
      </w:r>
    </w:p>
    <w:p w14:paraId="0988AB40">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八、坚决杜绝转包、违法分包、挂靠等违法违规行为，保证发包人免于承担因本公司违反法律或相关规定而引起的任何责任。未经发包人同意，不将本项目服务的任何部分或任何工作分包给第三方；依法分包服务的承包人应具有相应承包资格及能力。</w:t>
      </w:r>
    </w:p>
    <w:p w14:paraId="4E15EB11">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九、自觉接受政府有关部门、发包人或其上级主管部门和监理单位等对本工程的监督，并无条件配合政府有关部门、发包人或其上级主管部门指定审计机构开展审计工作。</w:t>
      </w:r>
    </w:p>
    <w:p w14:paraId="1784B05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十、本公司理解并接受服务实施过程即可同步进行审计或监督工作，接受对服务实施全过程审计，包括且不限于服务计量、服务范围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5CFC7560">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十一、如因转包、违法分包（含现场施工作业或管理人员被发现不属于总承包单位或已经备案的依法分包单位人员的情形）、挂靠、项目管理不到位、工人工资纠纷等违反合同的行为，发包人或其上级主管部门有权立即开展调查，本公司无条件配合，相关费用由本公司负责。经核查属实，本公司自觉接受相应处罚。</w:t>
      </w:r>
    </w:p>
    <w:p w14:paraId="1A683342">
      <w:pPr>
        <w:spacing w:line="440" w:lineRule="exact"/>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14:paraId="0DEC4FBF">
      <w:pPr>
        <w:spacing w:line="440" w:lineRule="exact"/>
        <w:ind w:firstLine="480"/>
        <w:rPr>
          <w:rFonts w:ascii="宋体" w:hAnsi="宋体" w:cs="宋体"/>
          <w:color w:val="auto"/>
          <w:sz w:val="24"/>
          <w:szCs w:val="24"/>
          <w:highlight w:val="none"/>
        </w:rPr>
      </w:pPr>
    </w:p>
    <w:p w14:paraId="3284576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6E63BB02">
      <w:pPr>
        <w:spacing w:line="360" w:lineRule="auto"/>
        <w:rPr>
          <w:rFonts w:ascii="宋体" w:hAnsi="宋体" w:cs="宋体"/>
          <w:color w:val="auto"/>
          <w:sz w:val="24"/>
          <w:szCs w:val="24"/>
          <w:highlight w:val="none"/>
        </w:rPr>
      </w:pPr>
    </w:p>
    <w:p w14:paraId="34BE2B3C">
      <w:pPr>
        <w:spacing w:line="360" w:lineRule="auto"/>
        <w:rPr>
          <w:rFonts w:ascii="宋体" w:hAnsi="宋体" w:cs="宋体"/>
          <w:color w:val="auto"/>
          <w:sz w:val="24"/>
          <w:szCs w:val="24"/>
          <w:highlight w:val="none"/>
        </w:rPr>
      </w:pPr>
    </w:p>
    <w:p w14:paraId="58BC5AE4">
      <w:pPr>
        <w:spacing w:line="360" w:lineRule="auto"/>
        <w:rPr>
          <w:rFonts w:ascii="宋体" w:hAnsi="宋体" w:cs="宋体"/>
          <w:color w:val="auto"/>
          <w:sz w:val="24"/>
          <w:szCs w:val="24"/>
          <w:highlight w:val="none"/>
        </w:rPr>
      </w:pPr>
    </w:p>
    <w:p w14:paraId="1E3BBD82">
      <w:pPr>
        <w:widowControl w:val="0"/>
        <w:spacing w:before="161" w:beforeLines="50" w:after="161" w:afterLines="50" w:line="360" w:lineRule="auto"/>
        <w:ind w:firstLine="2880" w:firstLineChars="1200"/>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（单位公章）</w:t>
      </w:r>
    </w:p>
    <w:p w14:paraId="35D71493">
      <w:pPr>
        <w:widowControl w:val="0"/>
        <w:spacing w:line="360" w:lineRule="auto"/>
        <w:ind w:firstLine="2940" w:firstLineChars="1225"/>
        <w:rPr>
          <w:rFonts w:ascii="宋体" w:hAnsi="宋体" w:cs="宋体"/>
          <w:color w:val="auto"/>
          <w:sz w:val="24"/>
          <w:szCs w:val="24"/>
          <w:highlight w:val="none"/>
        </w:rPr>
      </w:pPr>
      <w:r>
        <w:rPr>
          <w:rFonts w:hint="eastAsia" w:ascii="宋体" w:hAnsi="宋体" w:cs="宋体"/>
          <w:color w:val="auto"/>
          <w:sz w:val="24"/>
          <w:szCs w:val="24"/>
          <w:highlight w:val="none"/>
        </w:rPr>
        <w:t>日      期：</w:t>
      </w:r>
    </w:p>
    <w:p w14:paraId="5DC863A9">
      <w:pPr>
        <w:pStyle w:val="2"/>
        <w:rPr>
          <w:rFonts w:ascii="宋体" w:hAnsi="宋体" w:eastAsia="宋体" w:cs="宋体"/>
          <w:color w:val="auto"/>
          <w:highlight w:val="none"/>
        </w:rPr>
      </w:pPr>
    </w:p>
    <w:p w14:paraId="0279E738">
      <w:pPr>
        <w:pStyle w:val="2"/>
        <w:rPr>
          <w:rFonts w:ascii="宋体" w:hAnsi="宋体" w:eastAsia="宋体" w:cs="宋体"/>
          <w:color w:val="auto"/>
          <w:highlight w:val="none"/>
        </w:rPr>
      </w:pPr>
    </w:p>
    <w:p w14:paraId="46B4523A">
      <w:pPr>
        <w:pStyle w:val="2"/>
        <w:rPr>
          <w:rFonts w:ascii="宋体" w:hAnsi="宋体" w:eastAsia="宋体" w:cs="宋体"/>
          <w:color w:val="auto"/>
          <w:highlight w:val="none"/>
        </w:rPr>
      </w:pPr>
    </w:p>
    <w:p w14:paraId="49440585">
      <w:pPr>
        <w:pStyle w:val="2"/>
        <w:rPr>
          <w:rFonts w:ascii="宋体" w:hAnsi="宋体" w:eastAsia="宋体" w:cs="宋体"/>
          <w:color w:val="auto"/>
          <w:highlight w:val="none"/>
        </w:rPr>
      </w:pPr>
    </w:p>
    <w:p w14:paraId="73170524">
      <w:pPr>
        <w:pStyle w:val="2"/>
        <w:rPr>
          <w:rFonts w:ascii="宋体" w:hAnsi="宋体" w:eastAsia="宋体" w:cs="宋体"/>
          <w:color w:val="auto"/>
          <w:highlight w:val="none"/>
        </w:rPr>
      </w:pPr>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13516F23">
      <w:pPr>
        <w:adjustRightInd w:val="0"/>
        <w:snapToGrid w:val="0"/>
        <w:spacing w:line="360" w:lineRule="auto"/>
        <w:ind w:right="420"/>
        <w:rPr>
          <w:rFonts w:ascii="宋体" w:hAnsi="宋体" w:cs="宋体"/>
          <w:color w:val="auto"/>
          <w:szCs w:val="21"/>
          <w:highlight w:val="none"/>
        </w:rPr>
      </w:pPr>
    </w:p>
    <w:p w14:paraId="4889A52F">
      <w:pPr>
        <w:pStyle w:val="41"/>
        <w:ind w:firstLine="210"/>
        <w:rPr>
          <w:rFonts w:ascii="宋体" w:hAnsi="宋体" w:cs="宋体"/>
          <w:color w:val="auto"/>
          <w:highlight w:val="none"/>
        </w:rPr>
      </w:pPr>
    </w:p>
    <w:p w14:paraId="755B650F">
      <w:pPr>
        <w:pStyle w:val="41"/>
        <w:ind w:firstLine="210"/>
        <w:rPr>
          <w:rFonts w:ascii="宋体" w:hAnsi="宋体" w:cs="宋体"/>
          <w:color w:val="auto"/>
          <w:highlight w:val="none"/>
        </w:rPr>
      </w:pPr>
    </w:p>
    <w:p w14:paraId="53AF6B11">
      <w:pPr>
        <w:pStyle w:val="41"/>
        <w:ind w:firstLine="210"/>
        <w:rPr>
          <w:rFonts w:ascii="宋体" w:hAnsi="宋体" w:cs="宋体"/>
          <w:color w:val="auto"/>
          <w:highlight w:val="none"/>
        </w:rPr>
      </w:pPr>
    </w:p>
    <w:p w14:paraId="1AD8DAD9">
      <w:pPr>
        <w:pStyle w:val="41"/>
        <w:ind w:firstLine="210"/>
        <w:rPr>
          <w:rFonts w:ascii="宋体" w:hAnsi="宋体" w:cs="宋体"/>
          <w:color w:val="auto"/>
          <w:highlight w:val="none"/>
        </w:rPr>
      </w:pPr>
    </w:p>
    <w:p w14:paraId="1FA2795C">
      <w:pPr>
        <w:rPr>
          <w:color w:val="auto"/>
          <w:highlight w:val="none"/>
        </w:rPr>
      </w:pPr>
      <w:r>
        <w:rPr>
          <w:rFonts w:hint="eastAsia"/>
          <w:color w:val="auto"/>
          <w:highlight w:val="none"/>
        </w:rPr>
        <w:br w:type="page"/>
      </w:r>
    </w:p>
    <w:p w14:paraId="5575B3B4">
      <w:pPr>
        <w:pStyle w:val="6"/>
        <w:jc w:val="center"/>
        <w:rPr>
          <w:color w:val="auto"/>
          <w:szCs w:val="22"/>
          <w:highlight w:val="none"/>
        </w:rPr>
      </w:pPr>
      <w:r>
        <w:rPr>
          <w:rFonts w:hint="eastAsia"/>
          <w:color w:val="auto"/>
          <w:highlight w:val="none"/>
        </w:rPr>
        <w:t>投标货物质量标准的详细描述（格式自拟）</w:t>
      </w:r>
    </w:p>
    <w:p w14:paraId="0E79094D">
      <w:pPr>
        <w:jc w:val="center"/>
        <w:outlineLvl w:val="9"/>
        <w:rPr>
          <w:color w:val="auto"/>
          <w:szCs w:val="22"/>
          <w:highlight w:val="none"/>
        </w:rPr>
      </w:pPr>
    </w:p>
    <w:p w14:paraId="09A9213F">
      <w:pPr>
        <w:jc w:val="center"/>
        <w:outlineLvl w:val="9"/>
        <w:rPr>
          <w:color w:val="auto"/>
          <w:szCs w:val="22"/>
          <w:highlight w:val="none"/>
        </w:rPr>
      </w:pPr>
    </w:p>
    <w:p w14:paraId="7A06F536">
      <w:pPr>
        <w:jc w:val="center"/>
        <w:outlineLvl w:val="9"/>
        <w:rPr>
          <w:color w:val="auto"/>
          <w:szCs w:val="22"/>
          <w:highlight w:val="none"/>
        </w:rPr>
      </w:pPr>
    </w:p>
    <w:p w14:paraId="728550A4">
      <w:pPr>
        <w:jc w:val="center"/>
        <w:outlineLvl w:val="9"/>
        <w:rPr>
          <w:color w:val="auto"/>
          <w:szCs w:val="22"/>
          <w:highlight w:val="none"/>
        </w:rPr>
      </w:pPr>
    </w:p>
    <w:p w14:paraId="0AC749C7">
      <w:pPr>
        <w:jc w:val="center"/>
        <w:outlineLvl w:val="9"/>
        <w:rPr>
          <w:color w:val="auto"/>
          <w:szCs w:val="22"/>
          <w:highlight w:val="none"/>
        </w:rPr>
      </w:pPr>
    </w:p>
    <w:p w14:paraId="22DA9065">
      <w:pPr>
        <w:jc w:val="center"/>
        <w:outlineLvl w:val="9"/>
        <w:rPr>
          <w:color w:val="auto"/>
          <w:szCs w:val="22"/>
          <w:highlight w:val="none"/>
        </w:rPr>
      </w:pPr>
    </w:p>
    <w:p w14:paraId="7C4F247B">
      <w:pPr>
        <w:jc w:val="center"/>
        <w:outlineLvl w:val="9"/>
        <w:rPr>
          <w:color w:val="auto"/>
          <w:szCs w:val="22"/>
          <w:highlight w:val="none"/>
        </w:rPr>
      </w:pPr>
    </w:p>
    <w:p w14:paraId="061DF799">
      <w:pPr>
        <w:jc w:val="center"/>
        <w:outlineLvl w:val="9"/>
        <w:rPr>
          <w:color w:val="auto"/>
          <w:szCs w:val="22"/>
          <w:highlight w:val="none"/>
        </w:rPr>
      </w:pPr>
    </w:p>
    <w:p w14:paraId="0110D879">
      <w:pPr>
        <w:jc w:val="center"/>
        <w:outlineLvl w:val="9"/>
        <w:rPr>
          <w:color w:val="auto"/>
          <w:szCs w:val="22"/>
          <w:highlight w:val="none"/>
        </w:rPr>
      </w:pPr>
    </w:p>
    <w:p w14:paraId="65D21F2E">
      <w:pPr>
        <w:jc w:val="center"/>
        <w:outlineLvl w:val="9"/>
        <w:rPr>
          <w:color w:val="auto"/>
          <w:szCs w:val="22"/>
          <w:highlight w:val="none"/>
        </w:rPr>
      </w:pPr>
    </w:p>
    <w:p w14:paraId="2EFF4B05">
      <w:pPr>
        <w:jc w:val="center"/>
        <w:outlineLvl w:val="9"/>
        <w:rPr>
          <w:color w:val="auto"/>
          <w:szCs w:val="22"/>
          <w:highlight w:val="none"/>
        </w:rPr>
      </w:pPr>
    </w:p>
    <w:p w14:paraId="4BCB2182">
      <w:pPr>
        <w:jc w:val="center"/>
        <w:outlineLvl w:val="9"/>
        <w:rPr>
          <w:color w:val="auto"/>
          <w:szCs w:val="22"/>
          <w:highlight w:val="none"/>
        </w:rPr>
      </w:pPr>
    </w:p>
    <w:p w14:paraId="7E534987">
      <w:pPr>
        <w:jc w:val="center"/>
        <w:outlineLvl w:val="9"/>
        <w:rPr>
          <w:color w:val="auto"/>
          <w:szCs w:val="22"/>
          <w:highlight w:val="none"/>
        </w:rPr>
      </w:pPr>
    </w:p>
    <w:p w14:paraId="3BD68627">
      <w:pPr>
        <w:outlineLvl w:val="9"/>
        <w:rPr>
          <w:rFonts w:ascii="宋体" w:hAnsi="宋体" w:cs="宋体"/>
          <w:b/>
          <w:color w:val="auto"/>
          <w:szCs w:val="22"/>
          <w:highlight w:val="none"/>
        </w:rPr>
      </w:pPr>
      <w:r>
        <w:rPr>
          <w:rFonts w:hint="eastAsia" w:ascii="宋体" w:hAnsi="宋体" w:cs="宋体"/>
          <w:b/>
          <w:color w:val="auto"/>
          <w:szCs w:val="22"/>
          <w:highlight w:val="none"/>
        </w:rPr>
        <w:br w:type="page"/>
      </w:r>
    </w:p>
    <w:p w14:paraId="395AC1A2">
      <w:pPr>
        <w:pStyle w:val="6"/>
        <w:jc w:val="center"/>
        <w:rPr>
          <w:color w:val="auto"/>
          <w:highlight w:val="none"/>
        </w:rPr>
      </w:pPr>
      <w:r>
        <w:rPr>
          <w:rFonts w:hint="eastAsia"/>
          <w:color w:val="auto"/>
          <w:szCs w:val="22"/>
          <w:highlight w:val="none"/>
        </w:rPr>
        <w:t>技术支持资料（格式自拟）</w:t>
      </w:r>
    </w:p>
    <w:p w14:paraId="203FDB9E">
      <w:pPr>
        <w:pStyle w:val="15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auto"/>
          <w:sz w:val="32"/>
          <w:szCs w:val="32"/>
          <w:highlight w:val="none"/>
        </w:rPr>
      </w:pPr>
    </w:p>
    <w:p w14:paraId="06CCDA34">
      <w:pPr>
        <w:rPr>
          <w:color w:val="auto"/>
          <w:highlight w:val="none"/>
        </w:rPr>
      </w:pPr>
      <w:r>
        <w:rPr>
          <w:rFonts w:hint="eastAsia"/>
          <w:color w:val="auto"/>
          <w:highlight w:val="none"/>
        </w:rPr>
        <w:br w:type="page"/>
      </w:r>
    </w:p>
    <w:p w14:paraId="6580D7C7">
      <w:pPr>
        <w:pStyle w:val="6"/>
        <w:jc w:val="center"/>
        <w:rPr>
          <w:rFonts w:hint="default" w:eastAsia="宋体"/>
          <w:color w:val="auto"/>
          <w:szCs w:val="22"/>
          <w:highlight w:val="none"/>
          <w:lang w:val="en-US" w:eastAsia="zh-CN"/>
        </w:rPr>
      </w:pPr>
      <w:r>
        <w:rPr>
          <w:rFonts w:hint="eastAsia"/>
          <w:bCs/>
          <w:color w:val="auto"/>
          <w:highlight w:val="none"/>
        </w:rPr>
        <w:t>量化标准评审资料</w:t>
      </w:r>
      <w:r>
        <w:rPr>
          <w:rFonts w:hint="eastAsia"/>
          <w:bCs/>
          <w:color w:val="auto"/>
          <w:highlight w:val="none"/>
          <w:lang w:eastAsia="zh-CN"/>
        </w:rPr>
        <w:t>（</w:t>
      </w:r>
      <w:r>
        <w:rPr>
          <w:rFonts w:hint="eastAsia"/>
          <w:bCs/>
          <w:color w:val="auto"/>
          <w:highlight w:val="none"/>
          <w:lang w:val="en-US" w:eastAsia="zh-CN"/>
        </w:rPr>
        <w:t>如有）</w:t>
      </w:r>
    </w:p>
    <w:p w14:paraId="080F037F">
      <w:pPr>
        <w:pStyle w:val="6"/>
        <w:rPr>
          <w:color w:val="auto"/>
          <w:sz w:val="24"/>
          <w:szCs w:val="24"/>
          <w:highlight w:val="none"/>
        </w:rPr>
      </w:pPr>
      <w:r>
        <w:rPr>
          <w:rFonts w:hint="eastAsia"/>
          <w:color w:val="auto"/>
          <w:sz w:val="24"/>
          <w:szCs w:val="24"/>
          <w:highlight w:val="none"/>
        </w:rPr>
        <w:t>（一）近年完成的类似投标货物的供货业绩情况表</w:t>
      </w:r>
    </w:p>
    <w:p w14:paraId="689C0DD1">
      <w:pPr>
        <w:widowControl w:val="0"/>
        <w:spacing w:before="161" w:beforeLines="50" w:after="161" w:afterLines="50"/>
        <w:rPr>
          <w:rFonts w:ascii="宋体" w:hAnsi="宋体"/>
          <w:b/>
          <w:color w:val="auto"/>
          <w:sz w:val="24"/>
          <w:szCs w:val="24"/>
          <w:highlight w:val="none"/>
        </w:rPr>
      </w:pPr>
      <w:r>
        <w:rPr>
          <w:rFonts w:hint="eastAsia" w:ascii="宋体" w:hAnsi="宋体" w:cs="宋体"/>
          <w:b/>
          <w:color w:val="auto"/>
          <w:sz w:val="24"/>
          <w:szCs w:val="24"/>
          <w:highlight w:val="none"/>
        </w:rPr>
        <w:t>说明：该部分类似投标货物的供货业绩情况适用于量化标准评审。</w:t>
      </w:r>
    </w:p>
    <w:p w14:paraId="425DF08C">
      <w:pPr>
        <w:widowControl w:val="0"/>
        <w:numPr>
          <w:ilvl w:val="0"/>
          <w:numId w:val="5"/>
        </w:numPr>
        <w:spacing w:before="161" w:beforeLines="50" w:after="161" w:afterLines="50"/>
        <w:rPr>
          <w:rFonts w:ascii="宋体" w:hAnsi="宋体" w:cs="宋体"/>
          <w:color w:val="auto"/>
          <w:sz w:val="24"/>
          <w:szCs w:val="24"/>
          <w:highlight w:val="none"/>
        </w:rPr>
      </w:pPr>
      <w:r>
        <w:rPr>
          <w:rFonts w:hint="eastAsia" w:ascii="宋体" w:hAnsi="宋体" w:cs="宋体"/>
          <w:color w:val="auto"/>
          <w:sz w:val="24"/>
          <w:szCs w:val="24"/>
          <w:highlight w:val="none"/>
        </w:rPr>
        <w:t>近年完成的类似投标货物的供货业绩汇总表</w:t>
      </w:r>
    </w:p>
    <w:tbl>
      <w:tblPr>
        <w:tblStyle w:val="42"/>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302"/>
        <w:gridCol w:w="761"/>
        <w:gridCol w:w="847"/>
        <w:gridCol w:w="847"/>
        <w:gridCol w:w="907"/>
        <w:gridCol w:w="1754"/>
        <w:gridCol w:w="1020"/>
        <w:gridCol w:w="654"/>
      </w:tblGrid>
      <w:tr w14:paraId="18F8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14:paraId="36D3C543">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302" w:type="dxa"/>
            <w:noWrap w:val="0"/>
            <w:vAlign w:val="center"/>
          </w:tcPr>
          <w:p w14:paraId="43F3A6C2">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合同名称</w:t>
            </w:r>
          </w:p>
        </w:tc>
        <w:tc>
          <w:tcPr>
            <w:tcW w:w="761" w:type="dxa"/>
            <w:noWrap w:val="0"/>
            <w:vAlign w:val="center"/>
          </w:tcPr>
          <w:p w14:paraId="6B95F4E8">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卖方</w:t>
            </w:r>
          </w:p>
        </w:tc>
        <w:tc>
          <w:tcPr>
            <w:tcW w:w="847" w:type="dxa"/>
            <w:noWrap w:val="0"/>
            <w:vAlign w:val="center"/>
          </w:tcPr>
          <w:p w14:paraId="796A62D4">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买方</w:t>
            </w:r>
          </w:p>
        </w:tc>
        <w:tc>
          <w:tcPr>
            <w:tcW w:w="847" w:type="dxa"/>
            <w:noWrap w:val="0"/>
            <w:vAlign w:val="center"/>
          </w:tcPr>
          <w:p w14:paraId="3DD09D54">
            <w:pPr>
              <w:widowControl w:val="0"/>
              <w:spacing w:before="161" w:beforeLines="50" w:after="161" w:afterLines="50"/>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品牌</w:t>
            </w:r>
          </w:p>
        </w:tc>
        <w:tc>
          <w:tcPr>
            <w:tcW w:w="907" w:type="dxa"/>
            <w:noWrap w:val="0"/>
            <w:vAlign w:val="center"/>
          </w:tcPr>
          <w:p w14:paraId="21E109C4">
            <w:pPr>
              <w:widowControl w:val="0"/>
              <w:spacing w:before="161" w:beforeLines="50" w:after="161" w:afterLines="5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滤板腔数</w:t>
            </w:r>
          </w:p>
        </w:tc>
        <w:tc>
          <w:tcPr>
            <w:tcW w:w="1754" w:type="dxa"/>
            <w:noWrap w:val="0"/>
            <w:vAlign w:val="center"/>
          </w:tcPr>
          <w:p w14:paraId="547225ED">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供货发票金额</w:t>
            </w:r>
          </w:p>
          <w:p w14:paraId="33FEB88B">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（人民币元）</w:t>
            </w:r>
          </w:p>
        </w:tc>
        <w:tc>
          <w:tcPr>
            <w:tcW w:w="1020" w:type="dxa"/>
            <w:noWrap w:val="0"/>
            <w:vAlign w:val="center"/>
          </w:tcPr>
          <w:p w14:paraId="232B4F49">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完成时间</w:t>
            </w:r>
          </w:p>
        </w:tc>
        <w:tc>
          <w:tcPr>
            <w:tcW w:w="654" w:type="dxa"/>
            <w:noWrap w:val="0"/>
            <w:vAlign w:val="center"/>
          </w:tcPr>
          <w:p w14:paraId="2C259CBB">
            <w:pPr>
              <w:widowControl w:val="0"/>
              <w:spacing w:before="161" w:beforeLines="50" w:after="161" w:afterLines="50"/>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52D1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14:paraId="1547979C">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302" w:type="dxa"/>
            <w:noWrap w:val="0"/>
            <w:vAlign w:val="center"/>
          </w:tcPr>
          <w:p w14:paraId="0E83E813">
            <w:pPr>
              <w:widowControl w:val="0"/>
              <w:spacing w:before="161" w:beforeLines="50" w:after="161" w:afterLines="50"/>
              <w:jc w:val="center"/>
              <w:rPr>
                <w:rFonts w:ascii="宋体" w:hAnsi="宋体" w:cs="宋体"/>
                <w:color w:val="auto"/>
                <w:sz w:val="24"/>
                <w:szCs w:val="24"/>
                <w:highlight w:val="none"/>
              </w:rPr>
            </w:pPr>
          </w:p>
        </w:tc>
        <w:tc>
          <w:tcPr>
            <w:tcW w:w="761" w:type="dxa"/>
            <w:noWrap w:val="0"/>
            <w:vAlign w:val="center"/>
          </w:tcPr>
          <w:p w14:paraId="28471BD1">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09A393B2">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73A0B52B">
            <w:pPr>
              <w:widowControl w:val="0"/>
              <w:spacing w:before="161" w:beforeLines="50" w:after="161" w:afterLines="50"/>
              <w:jc w:val="center"/>
              <w:rPr>
                <w:rFonts w:ascii="宋体" w:hAnsi="宋体" w:cs="宋体"/>
                <w:color w:val="auto"/>
                <w:sz w:val="24"/>
                <w:szCs w:val="24"/>
                <w:highlight w:val="none"/>
              </w:rPr>
            </w:pPr>
          </w:p>
        </w:tc>
        <w:tc>
          <w:tcPr>
            <w:tcW w:w="907" w:type="dxa"/>
            <w:noWrap w:val="0"/>
            <w:vAlign w:val="center"/>
          </w:tcPr>
          <w:p w14:paraId="084642E5">
            <w:pPr>
              <w:widowControl w:val="0"/>
              <w:spacing w:before="161" w:beforeLines="50" w:after="161" w:afterLines="50"/>
              <w:jc w:val="center"/>
              <w:rPr>
                <w:rFonts w:ascii="宋体" w:hAnsi="宋体" w:cs="宋体"/>
                <w:color w:val="auto"/>
                <w:sz w:val="24"/>
                <w:szCs w:val="24"/>
                <w:highlight w:val="none"/>
              </w:rPr>
            </w:pPr>
          </w:p>
        </w:tc>
        <w:tc>
          <w:tcPr>
            <w:tcW w:w="1754" w:type="dxa"/>
            <w:noWrap w:val="0"/>
            <w:vAlign w:val="center"/>
          </w:tcPr>
          <w:p w14:paraId="315977BD">
            <w:pPr>
              <w:widowControl w:val="0"/>
              <w:spacing w:before="161" w:beforeLines="50" w:after="161" w:afterLines="50"/>
              <w:jc w:val="center"/>
              <w:rPr>
                <w:rFonts w:ascii="宋体" w:hAnsi="宋体" w:cs="宋体"/>
                <w:color w:val="auto"/>
                <w:sz w:val="24"/>
                <w:szCs w:val="24"/>
                <w:highlight w:val="none"/>
              </w:rPr>
            </w:pPr>
          </w:p>
        </w:tc>
        <w:tc>
          <w:tcPr>
            <w:tcW w:w="1020" w:type="dxa"/>
            <w:noWrap w:val="0"/>
            <w:vAlign w:val="center"/>
          </w:tcPr>
          <w:p w14:paraId="4BFB1A3F">
            <w:pPr>
              <w:widowControl w:val="0"/>
              <w:spacing w:before="161" w:beforeLines="50" w:after="161" w:afterLines="50"/>
              <w:jc w:val="center"/>
              <w:rPr>
                <w:rFonts w:ascii="宋体" w:hAnsi="宋体" w:cs="宋体"/>
                <w:color w:val="auto"/>
                <w:sz w:val="24"/>
                <w:szCs w:val="24"/>
                <w:highlight w:val="none"/>
              </w:rPr>
            </w:pPr>
          </w:p>
        </w:tc>
        <w:tc>
          <w:tcPr>
            <w:tcW w:w="654" w:type="dxa"/>
            <w:noWrap w:val="0"/>
            <w:vAlign w:val="center"/>
          </w:tcPr>
          <w:p w14:paraId="63DCE1E5">
            <w:pPr>
              <w:widowControl w:val="0"/>
              <w:contextualSpacing/>
              <w:rPr>
                <w:rFonts w:ascii="宋体" w:hAnsi="宋体" w:cs="宋体"/>
                <w:color w:val="auto"/>
                <w:highlight w:val="none"/>
              </w:rPr>
            </w:pPr>
          </w:p>
        </w:tc>
      </w:tr>
      <w:tr w14:paraId="24E0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14:paraId="129BAC64">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302" w:type="dxa"/>
            <w:noWrap w:val="0"/>
            <w:vAlign w:val="center"/>
          </w:tcPr>
          <w:p w14:paraId="2B1F378E">
            <w:pPr>
              <w:widowControl w:val="0"/>
              <w:spacing w:before="161" w:beforeLines="50" w:after="161" w:afterLines="50"/>
              <w:jc w:val="center"/>
              <w:rPr>
                <w:rFonts w:ascii="宋体" w:hAnsi="宋体" w:cs="宋体"/>
                <w:color w:val="auto"/>
                <w:sz w:val="24"/>
                <w:szCs w:val="24"/>
                <w:highlight w:val="none"/>
              </w:rPr>
            </w:pPr>
          </w:p>
        </w:tc>
        <w:tc>
          <w:tcPr>
            <w:tcW w:w="761" w:type="dxa"/>
            <w:noWrap w:val="0"/>
            <w:vAlign w:val="center"/>
          </w:tcPr>
          <w:p w14:paraId="166EEC13">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11F041AA">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669F7DC0">
            <w:pPr>
              <w:widowControl w:val="0"/>
              <w:spacing w:before="161" w:beforeLines="50" w:after="161" w:afterLines="50"/>
              <w:jc w:val="center"/>
              <w:rPr>
                <w:rFonts w:ascii="宋体" w:hAnsi="宋体" w:cs="宋体"/>
                <w:color w:val="auto"/>
                <w:sz w:val="24"/>
                <w:szCs w:val="24"/>
                <w:highlight w:val="none"/>
              </w:rPr>
            </w:pPr>
          </w:p>
        </w:tc>
        <w:tc>
          <w:tcPr>
            <w:tcW w:w="907" w:type="dxa"/>
            <w:noWrap w:val="0"/>
            <w:vAlign w:val="center"/>
          </w:tcPr>
          <w:p w14:paraId="3483F8A6">
            <w:pPr>
              <w:widowControl w:val="0"/>
              <w:spacing w:before="161" w:beforeLines="50" w:after="161" w:afterLines="50"/>
              <w:jc w:val="center"/>
              <w:rPr>
                <w:rFonts w:ascii="宋体" w:hAnsi="宋体" w:cs="宋体"/>
                <w:color w:val="auto"/>
                <w:sz w:val="24"/>
                <w:szCs w:val="24"/>
                <w:highlight w:val="none"/>
              </w:rPr>
            </w:pPr>
          </w:p>
        </w:tc>
        <w:tc>
          <w:tcPr>
            <w:tcW w:w="1754" w:type="dxa"/>
            <w:noWrap w:val="0"/>
            <w:vAlign w:val="center"/>
          </w:tcPr>
          <w:p w14:paraId="2438929F">
            <w:pPr>
              <w:widowControl w:val="0"/>
              <w:spacing w:before="161" w:beforeLines="50" w:after="161" w:afterLines="50"/>
              <w:jc w:val="center"/>
              <w:rPr>
                <w:rFonts w:ascii="宋体" w:hAnsi="宋体" w:cs="宋体"/>
                <w:color w:val="auto"/>
                <w:sz w:val="24"/>
                <w:szCs w:val="24"/>
                <w:highlight w:val="none"/>
              </w:rPr>
            </w:pPr>
          </w:p>
        </w:tc>
        <w:tc>
          <w:tcPr>
            <w:tcW w:w="1020" w:type="dxa"/>
            <w:noWrap w:val="0"/>
            <w:vAlign w:val="center"/>
          </w:tcPr>
          <w:p w14:paraId="076B10EA">
            <w:pPr>
              <w:widowControl w:val="0"/>
              <w:spacing w:before="161" w:beforeLines="50" w:after="161" w:afterLines="50"/>
              <w:jc w:val="center"/>
              <w:rPr>
                <w:rFonts w:ascii="宋体" w:hAnsi="宋体" w:cs="宋体"/>
                <w:color w:val="auto"/>
                <w:sz w:val="24"/>
                <w:szCs w:val="24"/>
                <w:highlight w:val="none"/>
              </w:rPr>
            </w:pPr>
          </w:p>
        </w:tc>
        <w:tc>
          <w:tcPr>
            <w:tcW w:w="654" w:type="dxa"/>
            <w:noWrap w:val="0"/>
            <w:vAlign w:val="center"/>
          </w:tcPr>
          <w:p w14:paraId="3B55DFB5">
            <w:pPr>
              <w:widowControl w:val="0"/>
              <w:contextualSpacing/>
              <w:rPr>
                <w:rFonts w:ascii="宋体" w:hAnsi="宋体" w:cs="宋体"/>
                <w:color w:val="auto"/>
                <w:highlight w:val="none"/>
              </w:rPr>
            </w:pPr>
          </w:p>
        </w:tc>
      </w:tr>
      <w:tr w14:paraId="3065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14:paraId="4EEFC81F">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302" w:type="dxa"/>
            <w:noWrap w:val="0"/>
            <w:vAlign w:val="center"/>
          </w:tcPr>
          <w:p w14:paraId="23CE4F2A">
            <w:pPr>
              <w:widowControl w:val="0"/>
              <w:spacing w:before="161" w:beforeLines="50" w:after="161" w:afterLines="50"/>
              <w:jc w:val="center"/>
              <w:rPr>
                <w:rFonts w:ascii="宋体" w:hAnsi="宋体" w:cs="宋体"/>
                <w:color w:val="auto"/>
                <w:sz w:val="24"/>
                <w:szCs w:val="24"/>
                <w:highlight w:val="none"/>
              </w:rPr>
            </w:pPr>
          </w:p>
        </w:tc>
        <w:tc>
          <w:tcPr>
            <w:tcW w:w="761" w:type="dxa"/>
            <w:noWrap w:val="0"/>
            <w:vAlign w:val="center"/>
          </w:tcPr>
          <w:p w14:paraId="068A3E13">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5C2B10E1">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5D5BCD51">
            <w:pPr>
              <w:widowControl w:val="0"/>
              <w:spacing w:before="161" w:beforeLines="50" w:after="161" w:afterLines="50"/>
              <w:jc w:val="center"/>
              <w:rPr>
                <w:rFonts w:ascii="宋体" w:hAnsi="宋体" w:cs="宋体"/>
                <w:color w:val="auto"/>
                <w:sz w:val="24"/>
                <w:szCs w:val="24"/>
                <w:highlight w:val="none"/>
              </w:rPr>
            </w:pPr>
          </w:p>
        </w:tc>
        <w:tc>
          <w:tcPr>
            <w:tcW w:w="907" w:type="dxa"/>
            <w:noWrap w:val="0"/>
            <w:vAlign w:val="center"/>
          </w:tcPr>
          <w:p w14:paraId="34FD7CD6">
            <w:pPr>
              <w:widowControl w:val="0"/>
              <w:spacing w:before="161" w:beforeLines="50" w:after="161" w:afterLines="50"/>
              <w:jc w:val="center"/>
              <w:rPr>
                <w:rFonts w:ascii="宋体" w:hAnsi="宋体" w:cs="宋体"/>
                <w:color w:val="auto"/>
                <w:sz w:val="24"/>
                <w:szCs w:val="24"/>
                <w:highlight w:val="none"/>
              </w:rPr>
            </w:pPr>
          </w:p>
        </w:tc>
        <w:tc>
          <w:tcPr>
            <w:tcW w:w="1754" w:type="dxa"/>
            <w:noWrap w:val="0"/>
            <w:vAlign w:val="center"/>
          </w:tcPr>
          <w:p w14:paraId="0B439189">
            <w:pPr>
              <w:widowControl w:val="0"/>
              <w:spacing w:before="161" w:beforeLines="50" w:after="161" w:afterLines="50"/>
              <w:jc w:val="center"/>
              <w:rPr>
                <w:rFonts w:ascii="宋体" w:hAnsi="宋体" w:cs="宋体"/>
                <w:color w:val="auto"/>
                <w:sz w:val="24"/>
                <w:szCs w:val="24"/>
                <w:highlight w:val="none"/>
              </w:rPr>
            </w:pPr>
          </w:p>
        </w:tc>
        <w:tc>
          <w:tcPr>
            <w:tcW w:w="1020" w:type="dxa"/>
            <w:noWrap w:val="0"/>
            <w:vAlign w:val="center"/>
          </w:tcPr>
          <w:p w14:paraId="2126EBAB">
            <w:pPr>
              <w:widowControl w:val="0"/>
              <w:spacing w:before="161" w:beforeLines="50" w:after="161" w:afterLines="50"/>
              <w:jc w:val="center"/>
              <w:rPr>
                <w:rFonts w:ascii="宋体" w:hAnsi="宋体" w:cs="宋体"/>
                <w:color w:val="auto"/>
                <w:sz w:val="24"/>
                <w:szCs w:val="24"/>
                <w:highlight w:val="none"/>
              </w:rPr>
            </w:pPr>
          </w:p>
        </w:tc>
        <w:tc>
          <w:tcPr>
            <w:tcW w:w="654" w:type="dxa"/>
            <w:noWrap w:val="0"/>
            <w:vAlign w:val="center"/>
          </w:tcPr>
          <w:p w14:paraId="02FF7A8D">
            <w:pPr>
              <w:widowControl w:val="0"/>
              <w:contextualSpacing/>
              <w:rPr>
                <w:rFonts w:ascii="宋体" w:hAnsi="宋体" w:cs="宋体"/>
                <w:color w:val="auto"/>
                <w:highlight w:val="none"/>
              </w:rPr>
            </w:pPr>
          </w:p>
        </w:tc>
      </w:tr>
      <w:tr w14:paraId="6CB4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14:paraId="39228626">
            <w:pPr>
              <w:widowControl w:val="0"/>
              <w:spacing w:before="161" w:beforeLines="50" w:after="161" w:afterLines="5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302" w:type="dxa"/>
            <w:noWrap w:val="0"/>
            <w:vAlign w:val="center"/>
          </w:tcPr>
          <w:p w14:paraId="5EE11D70">
            <w:pPr>
              <w:widowControl w:val="0"/>
              <w:spacing w:before="161" w:beforeLines="50" w:after="161" w:afterLines="50"/>
              <w:jc w:val="center"/>
              <w:rPr>
                <w:rFonts w:ascii="宋体" w:hAnsi="宋体" w:cs="宋体"/>
                <w:color w:val="auto"/>
                <w:sz w:val="24"/>
                <w:szCs w:val="24"/>
                <w:highlight w:val="none"/>
              </w:rPr>
            </w:pPr>
          </w:p>
        </w:tc>
        <w:tc>
          <w:tcPr>
            <w:tcW w:w="761" w:type="dxa"/>
            <w:noWrap w:val="0"/>
            <w:vAlign w:val="center"/>
          </w:tcPr>
          <w:p w14:paraId="1FE3FB4B">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49B1418A">
            <w:pPr>
              <w:widowControl w:val="0"/>
              <w:spacing w:before="161" w:beforeLines="50" w:after="161" w:afterLines="50"/>
              <w:jc w:val="center"/>
              <w:rPr>
                <w:rFonts w:ascii="宋体" w:hAnsi="宋体" w:cs="宋体"/>
                <w:color w:val="auto"/>
                <w:sz w:val="24"/>
                <w:szCs w:val="24"/>
                <w:highlight w:val="none"/>
              </w:rPr>
            </w:pPr>
          </w:p>
        </w:tc>
        <w:tc>
          <w:tcPr>
            <w:tcW w:w="847" w:type="dxa"/>
            <w:noWrap w:val="0"/>
            <w:vAlign w:val="center"/>
          </w:tcPr>
          <w:p w14:paraId="76D6B884">
            <w:pPr>
              <w:widowControl w:val="0"/>
              <w:spacing w:before="161" w:beforeLines="50" w:after="161" w:afterLines="50"/>
              <w:jc w:val="center"/>
              <w:rPr>
                <w:rFonts w:ascii="宋体" w:hAnsi="宋体" w:cs="宋体"/>
                <w:color w:val="auto"/>
                <w:sz w:val="24"/>
                <w:szCs w:val="24"/>
                <w:highlight w:val="none"/>
              </w:rPr>
            </w:pPr>
          </w:p>
        </w:tc>
        <w:tc>
          <w:tcPr>
            <w:tcW w:w="907" w:type="dxa"/>
            <w:noWrap w:val="0"/>
            <w:vAlign w:val="center"/>
          </w:tcPr>
          <w:p w14:paraId="5922CB6F">
            <w:pPr>
              <w:widowControl w:val="0"/>
              <w:spacing w:before="161" w:beforeLines="50" w:after="161" w:afterLines="50"/>
              <w:jc w:val="center"/>
              <w:rPr>
                <w:rFonts w:ascii="宋体" w:hAnsi="宋体" w:cs="宋体"/>
                <w:color w:val="auto"/>
                <w:sz w:val="24"/>
                <w:szCs w:val="24"/>
                <w:highlight w:val="none"/>
              </w:rPr>
            </w:pPr>
          </w:p>
        </w:tc>
        <w:tc>
          <w:tcPr>
            <w:tcW w:w="1754" w:type="dxa"/>
            <w:noWrap w:val="0"/>
            <w:vAlign w:val="center"/>
          </w:tcPr>
          <w:p w14:paraId="481F4D30">
            <w:pPr>
              <w:widowControl w:val="0"/>
              <w:spacing w:before="161" w:beforeLines="50" w:after="161" w:afterLines="50"/>
              <w:jc w:val="center"/>
              <w:rPr>
                <w:rFonts w:ascii="宋体" w:hAnsi="宋体" w:cs="宋体"/>
                <w:color w:val="auto"/>
                <w:sz w:val="24"/>
                <w:szCs w:val="24"/>
                <w:highlight w:val="none"/>
              </w:rPr>
            </w:pPr>
          </w:p>
        </w:tc>
        <w:tc>
          <w:tcPr>
            <w:tcW w:w="1020" w:type="dxa"/>
            <w:noWrap w:val="0"/>
            <w:vAlign w:val="center"/>
          </w:tcPr>
          <w:p w14:paraId="120B166F">
            <w:pPr>
              <w:widowControl w:val="0"/>
              <w:spacing w:before="161" w:beforeLines="50" w:after="161" w:afterLines="50"/>
              <w:jc w:val="center"/>
              <w:rPr>
                <w:rFonts w:ascii="宋体" w:hAnsi="宋体" w:cs="宋体"/>
                <w:color w:val="auto"/>
                <w:sz w:val="24"/>
                <w:szCs w:val="24"/>
                <w:highlight w:val="none"/>
              </w:rPr>
            </w:pPr>
          </w:p>
        </w:tc>
        <w:tc>
          <w:tcPr>
            <w:tcW w:w="654" w:type="dxa"/>
            <w:noWrap w:val="0"/>
            <w:vAlign w:val="center"/>
          </w:tcPr>
          <w:p w14:paraId="3BA4BCBA">
            <w:pPr>
              <w:widowControl w:val="0"/>
              <w:contextualSpacing/>
              <w:rPr>
                <w:rFonts w:ascii="宋体" w:hAnsi="宋体" w:cs="宋体"/>
                <w:color w:val="auto"/>
                <w:highlight w:val="none"/>
              </w:rPr>
            </w:pPr>
          </w:p>
        </w:tc>
      </w:tr>
    </w:tbl>
    <w:p w14:paraId="207164F7">
      <w:pPr>
        <w:widowControl w:val="0"/>
        <w:spacing w:line="312" w:lineRule="auto"/>
        <w:ind w:firstLine="440" w:firstLineChars="200"/>
        <w:rPr>
          <w:rFonts w:ascii="宋体" w:hAnsi="宋体" w:cs="宋体"/>
          <w:color w:val="auto"/>
          <w:sz w:val="22"/>
          <w:szCs w:val="22"/>
          <w:highlight w:val="none"/>
        </w:rPr>
      </w:pPr>
    </w:p>
    <w:p w14:paraId="38B77BF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注：类似项目业绩具体要求详见评标办法中各包组要求。</w:t>
      </w:r>
    </w:p>
    <w:p w14:paraId="5C853A80">
      <w:pPr>
        <w:pStyle w:val="2"/>
        <w:ind w:firstLine="0"/>
        <w:rPr>
          <w:rFonts w:hint="eastAsia" w:ascii="宋体" w:hAnsi="宋体" w:cs="仿宋_GB2312"/>
          <w:color w:val="auto"/>
          <w:sz w:val="24"/>
          <w:highlight w:val="none"/>
        </w:rPr>
      </w:pPr>
    </w:p>
    <w:p w14:paraId="1913ED46">
      <w:pPr>
        <w:pStyle w:val="2"/>
        <w:ind w:firstLine="0"/>
        <w:rPr>
          <w:rFonts w:hint="eastAsia" w:ascii="宋体" w:hAnsi="宋体" w:cs="仿宋_GB2312"/>
          <w:color w:val="auto"/>
          <w:sz w:val="24"/>
          <w:highlight w:val="none"/>
        </w:rPr>
      </w:pPr>
    </w:p>
    <w:p w14:paraId="05C9C3F6">
      <w:pPr>
        <w:rPr>
          <w:rFonts w:ascii="宋体" w:hAnsi="宋体"/>
          <w:color w:val="auto"/>
          <w:sz w:val="24"/>
          <w:szCs w:val="24"/>
          <w:highlight w:val="none"/>
        </w:rPr>
      </w:pPr>
      <w:r>
        <w:rPr>
          <w:rFonts w:hint="eastAsia" w:ascii="宋体" w:hAnsi="宋体"/>
          <w:color w:val="auto"/>
          <w:sz w:val="24"/>
          <w:szCs w:val="24"/>
          <w:highlight w:val="none"/>
        </w:rPr>
        <w:br w:type="page"/>
      </w:r>
    </w:p>
    <w:p w14:paraId="675D1EFB">
      <w:pPr>
        <w:widowControl w:val="0"/>
        <w:spacing w:line="312" w:lineRule="auto"/>
        <w:ind w:firstLine="638" w:firstLineChars="266"/>
        <w:rPr>
          <w:rFonts w:ascii="宋体" w:hAnsi="宋体"/>
          <w:color w:val="auto"/>
          <w:sz w:val="24"/>
          <w:szCs w:val="24"/>
          <w:highlight w:val="none"/>
        </w:rPr>
      </w:pPr>
      <w:r>
        <w:rPr>
          <w:rFonts w:hint="eastAsia" w:ascii="宋体" w:hAnsi="宋体"/>
          <w:color w:val="auto"/>
          <w:sz w:val="24"/>
          <w:szCs w:val="24"/>
          <w:highlight w:val="none"/>
        </w:rPr>
        <w:t>2.近年完成的类似投标货物的供货业绩明细表</w:t>
      </w:r>
    </w:p>
    <w:p w14:paraId="7DACA4B0">
      <w:pPr>
        <w:widowControl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填写说明：</w:t>
      </w:r>
    </w:p>
    <w:p w14:paraId="4A000664">
      <w:pPr>
        <w:widowControl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1）投标人应按“1. 近年完成的类似投标货物的供货业绩汇总表”中类似投标货物的供货业绩逐项填写该表，每项完成的类似投标货物的供货业绩填写一个表，并分别附相应的销售合同和供货发票。</w:t>
      </w:r>
    </w:p>
    <w:p w14:paraId="5373E522">
      <w:pPr>
        <w:widowControl w:val="0"/>
        <w:spacing w:line="312"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2）如果供货业绩为投标货物制造商的供货业绩时，该表所附销售合同和供货发票需经投标货物制造商盖公章。</w:t>
      </w:r>
    </w:p>
    <w:tbl>
      <w:tblPr>
        <w:tblStyle w:val="4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6867"/>
      </w:tblGrid>
      <w:tr w14:paraId="6AA2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07DF1E9A">
            <w:pPr>
              <w:widowControl w:val="0"/>
              <w:spacing w:before="161" w:beforeLines="50" w:after="161" w:afterLines="50"/>
              <w:jc w:val="center"/>
              <w:rPr>
                <w:rFonts w:ascii="宋体" w:hAnsi="宋体" w:cs="宋体"/>
                <w:color w:val="auto"/>
                <w:sz w:val="24"/>
                <w:szCs w:val="24"/>
                <w:highlight w:val="none"/>
              </w:rPr>
            </w:pPr>
            <w:r>
              <w:rPr>
                <w:rFonts w:hint="eastAsia" w:ascii="宋体" w:hAnsi="宋体"/>
                <w:color w:val="auto"/>
                <w:sz w:val="24"/>
                <w:szCs w:val="24"/>
                <w:highlight w:val="none"/>
              </w:rPr>
              <w:t>对应“1. 近年完成的类似投标货物的供货业绩汇总表”中的序号</w:t>
            </w:r>
            <w:r>
              <w:rPr>
                <w:rFonts w:ascii="宋体" w:hAnsi="宋体" w:cs="宋体"/>
                <w:color w:val="auto"/>
                <w:sz w:val="24"/>
                <w:szCs w:val="24"/>
                <w:highlight w:val="none"/>
              </w:rPr>
              <w:t xml:space="preserve"> </w:t>
            </w:r>
          </w:p>
        </w:tc>
        <w:tc>
          <w:tcPr>
            <w:tcW w:w="6867" w:type="dxa"/>
            <w:noWrap w:val="0"/>
            <w:vAlign w:val="center"/>
          </w:tcPr>
          <w:p w14:paraId="14013361">
            <w:pPr>
              <w:widowControl w:val="0"/>
              <w:spacing w:before="161" w:beforeLines="50" w:after="161" w:afterLines="50"/>
              <w:jc w:val="center"/>
              <w:rPr>
                <w:rFonts w:ascii="宋体" w:hAnsi="宋体"/>
                <w:color w:val="auto"/>
                <w:sz w:val="24"/>
                <w:szCs w:val="24"/>
                <w:highlight w:val="none"/>
              </w:rPr>
            </w:pPr>
            <w:r>
              <w:rPr>
                <w:rFonts w:hint="eastAsia" w:ascii="宋体" w:hAnsi="宋体" w:cs="宋体"/>
                <w:b/>
                <w:bCs/>
                <w:color w:val="auto"/>
                <w:sz w:val="24"/>
                <w:szCs w:val="24"/>
                <w:highlight w:val="none"/>
                <w:u w:val="single"/>
              </w:rPr>
              <w:t xml:space="preserve">（业绩序号）    </w:t>
            </w:r>
            <w:r>
              <w:rPr>
                <w:rFonts w:hint="eastAsia" w:ascii="宋体" w:hAnsi="宋体" w:cs="宋体"/>
                <w:b/>
                <w:bCs/>
                <w:color w:val="auto"/>
                <w:sz w:val="24"/>
                <w:szCs w:val="24"/>
                <w:highlight w:val="none"/>
              </w:rPr>
              <w:t>业绩</w:t>
            </w:r>
          </w:p>
        </w:tc>
      </w:tr>
      <w:tr w14:paraId="3598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6A8AA7A7">
            <w:pPr>
              <w:widowControl w:val="0"/>
              <w:spacing w:before="161" w:beforeLines="50" w:after="161" w:afterLines="50"/>
              <w:jc w:val="center"/>
              <w:rPr>
                <w:rFonts w:ascii="宋体" w:hAnsi="宋体"/>
                <w:color w:val="auto"/>
                <w:sz w:val="24"/>
                <w:szCs w:val="24"/>
                <w:highlight w:val="none"/>
              </w:rPr>
            </w:pPr>
            <w:r>
              <w:rPr>
                <w:rFonts w:hint="eastAsia" w:ascii="宋体" w:hAnsi="宋体"/>
                <w:color w:val="auto"/>
                <w:sz w:val="24"/>
                <w:szCs w:val="24"/>
                <w:highlight w:val="none"/>
              </w:rPr>
              <w:t>合同名称</w:t>
            </w:r>
          </w:p>
        </w:tc>
        <w:tc>
          <w:tcPr>
            <w:tcW w:w="6867" w:type="dxa"/>
            <w:noWrap w:val="0"/>
            <w:vAlign w:val="center"/>
          </w:tcPr>
          <w:p w14:paraId="2D52140F">
            <w:pPr>
              <w:widowControl w:val="0"/>
              <w:spacing w:before="161" w:beforeLines="50" w:after="161" w:afterLines="50"/>
              <w:jc w:val="center"/>
              <w:rPr>
                <w:rFonts w:ascii="宋体" w:hAnsi="宋体"/>
                <w:color w:val="auto"/>
                <w:sz w:val="24"/>
                <w:szCs w:val="24"/>
                <w:highlight w:val="none"/>
              </w:rPr>
            </w:pPr>
          </w:p>
        </w:tc>
      </w:tr>
      <w:tr w14:paraId="49E1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62569CDE">
            <w:pPr>
              <w:widowControl w:val="0"/>
              <w:spacing w:before="161" w:beforeLines="50" w:after="161" w:afterLines="50"/>
              <w:jc w:val="center"/>
              <w:rPr>
                <w:color w:val="auto"/>
                <w:sz w:val="24"/>
                <w:szCs w:val="24"/>
                <w:highlight w:val="none"/>
              </w:rPr>
            </w:pPr>
            <w:r>
              <w:rPr>
                <w:rFonts w:hint="eastAsia"/>
                <w:color w:val="auto"/>
                <w:sz w:val="24"/>
                <w:szCs w:val="24"/>
                <w:highlight w:val="none"/>
              </w:rPr>
              <w:t>材料名称</w:t>
            </w:r>
          </w:p>
        </w:tc>
        <w:tc>
          <w:tcPr>
            <w:tcW w:w="6867" w:type="dxa"/>
            <w:noWrap w:val="0"/>
            <w:vAlign w:val="center"/>
          </w:tcPr>
          <w:p w14:paraId="0EF7193C">
            <w:pPr>
              <w:widowControl w:val="0"/>
              <w:spacing w:before="161" w:beforeLines="50" w:after="161" w:afterLines="50"/>
              <w:jc w:val="center"/>
              <w:rPr>
                <w:rFonts w:ascii="宋体" w:hAnsi="宋体"/>
                <w:color w:val="auto"/>
                <w:sz w:val="24"/>
                <w:szCs w:val="24"/>
                <w:highlight w:val="none"/>
              </w:rPr>
            </w:pPr>
          </w:p>
        </w:tc>
      </w:tr>
      <w:tr w14:paraId="4FE7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0CCAAA78">
            <w:pPr>
              <w:widowControl w:val="0"/>
              <w:spacing w:before="161" w:beforeLines="50" w:after="161" w:afterLines="50"/>
              <w:jc w:val="center"/>
              <w:rPr>
                <w:rFonts w:ascii="宋体" w:hAnsi="宋体" w:cs="宋体"/>
                <w:color w:val="auto"/>
                <w:sz w:val="24"/>
                <w:szCs w:val="24"/>
                <w:highlight w:val="none"/>
              </w:rPr>
            </w:pPr>
            <w:r>
              <w:rPr>
                <w:rFonts w:hint="eastAsia"/>
                <w:color w:val="auto"/>
                <w:sz w:val="24"/>
                <w:szCs w:val="24"/>
                <w:highlight w:val="none"/>
              </w:rPr>
              <w:t>规格</w:t>
            </w:r>
          </w:p>
        </w:tc>
        <w:tc>
          <w:tcPr>
            <w:tcW w:w="6867" w:type="dxa"/>
            <w:noWrap w:val="0"/>
            <w:vAlign w:val="center"/>
          </w:tcPr>
          <w:p w14:paraId="13EEF216">
            <w:pPr>
              <w:widowControl w:val="0"/>
              <w:spacing w:before="161" w:beforeLines="50" w:after="161" w:afterLines="50"/>
              <w:jc w:val="center"/>
              <w:rPr>
                <w:rFonts w:ascii="宋体" w:hAnsi="宋体"/>
                <w:color w:val="auto"/>
                <w:sz w:val="24"/>
                <w:szCs w:val="24"/>
                <w:highlight w:val="none"/>
              </w:rPr>
            </w:pPr>
          </w:p>
        </w:tc>
      </w:tr>
      <w:tr w14:paraId="2080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617E2C0C">
            <w:pPr>
              <w:widowControl w:val="0"/>
              <w:spacing w:before="161" w:beforeLines="50" w:after="161" w:afterLines="50"/>
              <w:jc w:val="center"/>
              <w:rPr>
                <w:rFonts w:ascii="宋体" w:hAnsi="宋体" w:cs="宋体"/>
                <w:color w:val="auto"/>
                <w:sz w:val="24"/>
                <w:szCs w:val="24"/>
                <w:highlight w:val="none"/>
              </w:rPr>
            </w:pPr>
            <w:r>
              <w:rPr>
                <w:rFonts w:hint="eastAsia"/>
                <w:color w:val="auto"/>
                <w:sz w:val="24"/>
                <w:szCs w:val="24"/>
                <w:highlight w:val="none"/>
              </w:rPr>
              <w:t>卖方名称</w:t>
            </w:r>
          </w:p>
        </w:tc>
        <w:tc>
          <w:tcPr>
            <w:tcW w:w="6867" w:type="dxa"/>
            <w:noWrap w:val="0"/>
            <w:vAlign w:val="center"/>
          </w:tcPr>
          <w:p w14:paraId="65242594">
            <w:pPr>
              <w:widowControl w:val="0"/>
              <w:spacing w:before="161" w:beforeLines="50" w:after="161" w:afterLines="50"/>
              <w:jc w:val="center"/>
              <w:rPr>
                <w:rFonts w:ascii="宋体" w:hAnsi="宋体"/>
                <w:color w:val="auto"/>
                <w:sz w:val="24"/>
                <w:szCs w:val="24"/>
                <w:highlight w:val="none"/>
              </w:rPr>
            </w:pPr>
          </w:p>
        </w:tc>
      </w:tr>
      <w:tr w14:paraId="15A2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79ED69A7">
            <w:pPr>
              <w:widowControl w:val="0"/>
              <w:spacing w:before="161" w:beforeLines="50" w:after="161" w:afterLines="50"/>
              <w:jc w:val="center"/>
              <w:rPr>
                <w:rFonts w:ascii="宋体" w:hAnsi="宋体" w:cs="宋体"/>
                <w:color w:val="auto"/>
                <w:sz w:val="24"/>
                <w:szCs w:val="24"/>
                <w:highlight w:val="none"/>
              </w:rPr>
            </w:pPr>
            <w:r>
              <w:rPr>
                <w:rFonts w:hint="eastAsia"/>
                <w:color w:val="auto"/>
                <w:sz w:val="24"/>
                <w:szCs w:val="24"/>
                <w:highlight w:val="none"/>
              </w:rPr>
              <w:t>买方名称</w:t>
            </w:r>
          </w:p>
        </w:tc>
        <w:tc>
          <w:tcPr>
            <w:tcW w:w="6867" w:type="dxa"/>
            <w:noWrap w:val="0"/>
            <w:vAlign w:val="center"/>
          </w:tcPr>
          <w:p w14:paraId="6DE07FE0">
            <w:pPr>
              <w:widowControl w:val="0"/>
              <w:spacing w:before="161" w:beforeLines="50" w:after="161" w:afterLines="50"/>
              <w:jc w:val="center"/>
              <w:rPr>
                <w:rFonts w:ascii="宋体" w:hAnsi="宋体"/>
                <w:color w:val="auto"/>
                <w:sz w:val="24"/>
                <w:szCs w:val="24"/>
                <w:highlight w:val="none"/>
              </w:rPr>
            </w:pPr>
          </w:p>
        </w:tc>
      </w:tr>
      <w:tr w14:paraId="6BEC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0D03E0CF">
            <w:pPr>
              <w:widowControl w:val="0"/>
              <w:spacing w:before="161" w:beforeLines="50" w:after="161" w:afterLines="50"/>
              <w:jc w:val="center"/>
              <w:rPr>
                <w:rFonts w:ascii="宋体" w:hAnsi="宋体" w:cs="宋体"/>
                <w:color w:val="auto"/>
                <w:sz w:val="24"/>
                <w:szCs w:val="24"/>
                <w:highlight w:val="none"/>
              </w:rPr>
            </w:pPr>
            <w:r>
              <w:rPr>
                <w:rFonts w:hint="eastAsia"/>
                <w:color w:val="auto"/>
                <w:sz w:val="24"/>
                <w:szCs w:val="24"/>
                <w:highlight w:val="none"/>
              </w:rPr>
              <w:t>买方联系人及电话</w:t>
            </w:r>
          </w:p>
        </w:tc>
        <w:tc>
          <w:tcPr>
            <w:tcW w:w="6867" w:type="dxa"/>
            <w:noWrap w:val="0"/>
            <w:vAlign w:val="center"/>
          </w:tcPr>
          <w:p w14:paraId="427A5DB1">
            <w:pPr>
              <w:widowControl w:val="0"/>
              <w:spacing w:before="161" w:beforeLines="50" w:after="161" w:afterLines="50"/>
              <w:jc w:val="center"/>
              <w:rPr>
                <w:rFonts w:ascii="宋体" w:hAnsi="宋体"/>
                <w:color w:val="auto"/>
                <w:sz w:val="24"/>
                <w:szCs w:val="24"/>
                <w:highlight w:val="none"/>
              </w:rPr>
            </w:pPr>
          </w:p>
        </w:tc>
      </w:tr>
      <w:tr w14:paraId="663B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17416C94">
            <w:pPr>
              <w:widowControl w:val="0"/>
              <w:spacing w:before="161" w:beforeLines="50" w:after="161" w:afterLines="50"/>
              <w:jc w:val="center"/>
              <w:rPr>
                <w:rFonts w:ascii="宋体" w:hAnsi="宋体" w:cs="宋体"/>
                <w:color w:val="auto"/>
                <w:sz w:val="24"/>
                <w:szCs w:val="24"/>
                <w:highlight w:val="none"/>
              </w:rPr>
            </w:pPr>
            <w:r>
              <w:rPr>
                <w:rFonts w:hint="eastAsia"/>
                <w:color w:val="auto"/>
                <w:sz w:val="24"/>
                <w:szCs w:val="24"/>
                <w:highlight w:val="none"/>
              </w:rPr>
              <w:t>合同发票金额</w:t>
            </w:r>
          </w:p>
        </w:tc>
        <w:tc>
          <w:tcPr>
            <w:tcW w:w="6867" w:type="dxa"/>
            <w:noWrap w:val="0"/>
            <w:vAlign w:val="center"/>
          </w:tcPr>
          <w:p w14:paraId="1CC74500">
            <w:pPr>
              <w:widowControl w:val="0"/>
              <w:spacing w:before="161" w:beforeLines="50" w:after="161" w:afterLines="50"/>
              <w:jc w:val="center"/>
              <w:rPr>
                <w:rFonts w:ascii="宋体" w:hAnsi="宋体"/>
                <w:color w:val="auto"/>
                <w:sz w:val="24"/>
                <w:szCs w:val="24"/>
                <w:highlight w:val="none"/>
              </w:rPr>
            </w:pPr>
          </w:p>
        </w:tc>
      </w:tr>
      <w:tr w14:paraId="7F58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4A476199">
            <w:pPr>
              <w:widowControl w:val="0"/>
              <w:spacing w:before="161" w:beforeLines="50" w:after="161" w:afterLines="50"/>
              <w:jc w:val="center"/>
              <w:rPr>
                <w:color w:val="auto"/>
                <w:sz w:val="24"/>
                <w:szCs w:val="24"/>
                <w:highlight w:val="none"/>
              </w:rPr>
            </w:pPr>
            <w:r>
              <w:rPr>
                <w:rFonts w:hint="eastAsia"/>
                <w:color w:val="auto"/>
                <w:sz w:val="24"/>
                <w:szCs w:val="24"/>
                <w:highlight w:val="none"/>
              </w:rPr>
              <w:t>完成时间</w:t>
            </w:r>
          </w:p>
        </w:tc>
        <w:tc>
          <w:tcPr>
            <w:tcW w:w="6867" w:type="dxa"/>
            <w:noWrap w:val="0"/>
            <w:vAlign w:val="center"/>
          </w:tcPr>
          <w:p w14:paraId="71A4246D">
            <w:pPr>
              <w:widowControl w:val="0"/>
              <w:spacing w:before="161" w:beforeLines="50" w:after="161" w:afterLines="50"/>
              <w:jc w:val="center"/>
              <w:rPr>
                <w:rFonts w:ascii="宋体" w:hAnsi="宋体"/>
                <w:color w:val="auto"/>
                <w:sz w:val="24"/>
                <w:szCs w:val="24"/>
                <w:highlight w:val="none"/>
              </w:rPr>
            </w:pPr>
          </w:p>
        </w:tc>
      </w:tr>
      <w:tr w14:paraId="5390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193" w:type="dxa"/>
            <w:noWrap w:val="0"/>
            <w:vAlign w:val="center"/>
          </w:tcPr>
          <w:p w14:paraId="326E05A1">
            <w:pPr>
              <w:widowControl w:val="0"/>
              <w:spacing w:before="161" w:beforeLines="50" w:after="161" w:afterLines="50"/>
              <w:jc w:val="center"/>
              <w:rPr>
                <w:rFonts w:ascii="宋体" w:hAnsi="宋体" w:cs="宋体"/>
                <w:color w:val="auto"/>
                <w:sz w:val="24"/>
                <w:szCs w:val="24"/>
                <w:highlight w:val="none"/>
              </w:rPr>
            </w:pPr>
            <w:r>
              <w:rPr>
                <w:rFonts w:hint="eastAsia"/>
                <w:color w:val="auto"/>
                <w:sz w:val="24"/>
                <w:szCs w:val="24"/>
                <w:highlight w:val="none"/>
              </w:rPr>
              <w:t>项目概况及投标人履约情况</w:t>
            </w:r>
          </w:p>
        </w:tc>
        <w:tc>
          <w:tcPr>
            <w:tcW w:w="6867" w:type="dxa"/>
            <w:noWrap w:val="0"/>
            <w:vAlign w:val="center"/>
          </w:tcPr>
          <w:p w14:paraId="23DC98E4">
            <w:pPr>
              <w:widowControl w:val="0"/>
              <w:spacing w:before="161" w:beforeLines="50" w:after="161" w:afterLines="50"/>
              <w:jc w:val="center"/>
              <w:rPr>
                <w:rFonts w:ascii="宋体" w:hAnsi="宋体"/>
                <w:color w:val="auto"/>
                <w:sz w:val="24"/>
                <w:szCs w:val="24"/>
                <w:highlight w:val="none"/>
              </w:rPr>
            </w:pPr>
          </w:p>
        </w:tc>
      </w:tr>
      <w:tr w14:paraId="4A9F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noWrap w:val="0"/>
            <w:vAlign w:val="center"/>
          </w:tcPr>
          <w:p w14:paraId="29320DB3">
            <w:pPr>
              <w:widowControl w:val="0"/>
              <w:spacing w:before="161" w:beforeLines="50" w:after="161" w:afterLines="50"/>
              <w:jc w:val="center"/>
              <w:rPr>
                <w:rFonts w:ascii="宋体" w:hAnsi="宋体" w:cs="宋体"/>
                <w:color w:val="auto"/>
                <w:sz w:val="24"/>
                <w:szCs w:val="24"/>
                <w:highlight w:val="none"/>
              </w:rPr>
            </w:pPr>
            <w:r>
              <w:rPr>
                <w:rFonts w:hint="eastAsia"/>
                <w:color w:val="auto"/>
                <w:sz w:val="24"/>
                <w:szCs w:val="24"/>
                <w:highlight w:val="none"/>
              </w:rPr>
              <w:t>备注</w:t>
            </w:r>
          </w:p>
        </w:tc>
        <w:tc>
          <w:tcPr>
            <w:tcW w:w="6867" w:type="dxa"/>
            <w:noWrap w:val="0"/>
            <w:vAlign w:val="center"/>
          </w:tcPr>
          <w:p w14:paraId="3D7146B4">
            <w:pPr>
              <w:widowControl w:val="0"/>
              <w:spacing w:before="161" w:beforeLines="50" w:after="161" w:afterLines="50"/>
              <w:jc w:val="center"/>
              <w:rPr>
                <w:rFonts w:ascii="宋体" w:hAnsi="宋体"/>
                <w:color w:val="auto"/>
                <w:sz w:val="24"/>
                <w:szCs w:val="24"/>
                <w:highlight w:val="none"/>
              </w:rPr>
            </w:pPr>
          </w:p>
        </w:tc>
      </w:tr>
    </w:tbl>
    <w:p w14:paraId="51C05DE5">
      <w:pPr>
        <w:adjustRightInd w:val="0"/>
        <w:snapToGrid w:val="0"/>
        <w:rPr>
          <w:rFonts w:ascii="仿宋_GB2312" w:hAnsi="仿宋_GB2312" w:eastAsia="仿宋_GB2312" w:cs="仿宋_GB2312"/>
          <w:color w:val="auto"/>
          <w:sz w:val="24"/>
          <w:highlight w:val="none"/>
        </w:rPr>
      </w:pPr>
    </w:p>
    <w:p w14:paraId="298D06D0">
      <w:pPr>
        <w:rPr>
          <w:rFonts w:ascii="宋体" w:hAnsi="宋体" w:cs="宋体"/>
          <w:color w:val="auto"/>
          <w:sz w:val="24"/>
          <w:szCs w:val="24"/>
          <w:highlight w:val="none"/>
        </w:rPr>
      </w:pPr>
    </w:p>
    <w:p w14:paraId="30ED0412">
      <w:pPr>
        <w:pStyle w:val="6"/>
        <w:jc w:val="center"/>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rPr>
        <w:t>相关服务计划</w:t>
      </w:r>
      <w:r>
        <w:rPr>
          <w:rFonts w:hint="eastAsia"/>
          <w:color w:val="auto"/>
          <w:sz w:val="28"/>
          <w:szCs w:val="28"/>
          <w:highlight w:val="none"/>
        </w:rPr>
        <w:t>（格式自拟）</w:t>
      </w:r>
    </w:p>
    <w:p w14:paraId="7ABEFE85">
      <w:pPr>
        <w:spacing w:line="360" w:lineRule="auto"/>
        <w:ind w:firstLine="480" w:firstLineChars="200"/>
        <w:rPr>
          <w:rFonts w:ascii="宋体" w:hAnsi="宋体" w:cs="宋体"/>
          <w:color w:val="auto"/>
          <w:sz w:val="24"/>
          <w:szCs w:val="24"/>
          <w:highlight w:val="none"/>
        </w:rPr>
      </w:pPr>
    </w:p>
    <w:p w14:paraId="654E8ECC">
      <w:pPr>
        <w:pStyle w:val="2"/>
        <w:ind w:firstLine="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1、质量保证措施</w:t>
      </w:r>
    </w:p>
    <w:p w14:paraId="455EFAAA">
      <w:pPr>
        <w:pStyle w:val="2"/>
        <w:ind w:firstLine="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2、售后服务方案</w:t>
      </w:r>
    </w:p>
    <w:p w14:paraId="5AC23A71">
      <w:pPr>
        <w:pStyle w:val="2"/>
        <w:ind w:firstLine="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w:t>
      </w:r>
    </w:p>
    <w:p w14:paraId="5E4ECE86">
      <w:pPr>
        <w:pStyle w:val="6"/>
        <w:numPr>
          <w:ilvl w:val="0"/>
          <w:numId w:val="0"/>
        </w:numPr>
        <w:jc w:val="center"/>
        <w:rPr>
          <w:rFonts w:hint="eastAsia"/>
          <w:color w:val="auto"/>
          <w:highlight w:val="none"/>
        </w:rPr>
      </w:pPr>
      <w:r>
        <w:rPr>
          <w:rFonts w:hint="eastAsia" w:ascii="Times New Roman" w:hAnsi="Times New Roman" w:eastAsia="宋体" w:cs="Times New Roman"/>
          <w:color w:val="auto"/>
          <w:sz w:val="24"/>
          <w:highlight w:val="none"/>
        </w:rPr>
        <w:br w:type="page"/>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其他资料</w:t>
      </w:r>
    </w:p>
    <w:p w14:paraId="75144D75">
      <w:pPr>
        <w:pStyle w:val="5"/>
        <w:numPr>
          <w:ilvl w:val="0"/>
          <w:numId w:val="0"/>
        </w:numPr>
        <w:jc w:val="cente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t>承诺函</w:t>
      </w:r>
    </w:p>
    <w:p w14:paraId="4DB05BDF">
      <w:pPr>
        <w:spacing w:line="360" w:lineRule="auto"/>
        <w:jc w:val="left"/>
        <w:rPr>
          <w:rFonts w:hint="eastAsia" w:ascii="宋体" w:hAnsi="宋体"/>
          <w:color w:val="auto"/>
          <w:sz w:val="28"/>
          <w:szCs w:val="21"/>
          <w:highlight w:val="none"/>
        </w:rPr>
      </w:pPr>
      <w:r>
        <w:rPr>
          <w:rFonts w:hint="eastAsia" w:ascii="宋体" w:hAnsi="宋体"/>
          <w:color w:val="auto"/>
          <w:sz w:val="28"/>
          <w:szCs w:val="21"/>
          <w:highlight w:val="none"/>
        </w:rPr>
        <w:t>广州市自来水有限公司：</w:t>
      </w:r>
    </w:p>
    <w:p w14:paraId="39D16C32">
      <w:pPr>
        <w:spacing w:line="360" w:lineRule="auto"/>
        <w:ind w:firstLine="480"/>
        <w:jc w:val="left"/>
        <w:rPr>
          <w:rFonts w:hint="eastAsia" w:ascii="宋体" w:hAnsi="宋体"/>
          <w:color w:val="auto"/>
          <w:sz w:val="28"/>
          <w:szCs w:val="21"/>
          <w:highlight w:val="none"/>
        </w:rPr>
      </w:pPr>
      <w:r>
        <w:rPr>
          <w:rFonts w:hint="eastAsia" w:ascii="宋体" w:hAnsi="宋体"/>
          <w:color w:val="auto"/>
          <w:sz w:val="28"/>
          <w:szCs w:val="21"/>
          <w:highlight w:val="none"/>
        </w:rPr>
        <w:t>我司</w:t>
      </w:r>
      <w:r>
        <w:rPr>
          <w:rFonts w:hint="eastAsia" w:ascii="宋体" w:hAnsi="宋体"/>
          <w:color w:val="auto"/>
          <w:sz w:val="28"/>
          <w:szCs w:val="21"/>
          <w:highlight w:val="none"/>
          <w:lang w:val="en-US" w:eastAsia="zh-CN"/>
        </w:rPr>
        <w:t>参与</w:t>
      </w:r>
      <w:r>
        <w:rPr>
          <w:rFonts w:hint="eastAsia" w:ascii="宋体" w:hAnsi="宋体" w:cs="Times New Roman"/>
          <w:color w:val="auto"/>
          <w:sz w:val="28"/>
          <w:szCs w:val="28"/>
          <w:highlight w:val="none"/>
          <w:u w:val="none"/>
          <w:lang w:val="en-US" w:eastAsia="zh-CN"/>
        </w:rPr>
        <w:t>广州市自来水有限公司南洲水厂排泥水处理系统建设工程污泥脱水集成设备采购公开招标项目</w:t>
      </w:r>
      <w:r>
        <w:rPr>
          <w:rFonts w:hint="eastAsia" w:ascii="宋体" w:hAnsi="宋体"/>
          <w:color w:val="auto"/>
          <w:sz w:val="28"/>
          <w:szCs w:val="21"/>
          <w:highlight w:val="none"/>
          <w:u w:val="none"/>
          <w:lang w:val="en-US" w:eastAsia="zh-CN"/>
        </w:rPr>
        <w:t>投标，并作出以下</w:t>
      </w:r>
      <w:r>
        <w:rPr>
          <w:rFonts w:hint="eastAsia" w:ascii="宋体" w:hAnsi="宋体"/>
          <w:color w:val="auto"/>
          <w:sz w:val="28"/>
          <w:szCs w:val="21"/>
          <w:highlight w:val="none"/>
        </w:rPr>
        <w:t xml:space="preserve">承诺： </w:t>
      </w:r>
    </w:p>
    <w:p w14:paraId="4A2A7274">
      <w:pPr>
        <w:spacing w:line="360" w:lineRule="auto"/>
        <w:ind w:firstLine="480"/>
        <w:jc w:val="both"/>
        <w:rPr>
          <w:rFonts w:hint="eastAsia" w:ascii="宋体" w:hAnsi="宋体"/>
          <w:color w:val="auto"/>
          <w:sz w:val="28"/>
          <w:szCs w:val="21"/>
          <w:highlight w:val="none"/>
          <w:lang w:val="en-US" w:eastAsia="zh-CN"/>
        </w:rPr>
      </w:pPr>
      <w:r>
        <w:rPr>
          <w:rFonts w:hint="eastAsia" w:ascii="宋体" w:hAnsi="宋体"/>
          <w:color w:val="auto"/>
          <w:sz w:val="28"/>
          <w:szCs w:val="21"/>
          <w:highlight w:val="none"/>
        </w:rPr>
        <w:t>拟投标滤布行走全自</w:t>
      </w:r>
      <w:r>
        <w:rPr>
          <w:rFonts w:hint="eastAsia" w:ascii="宋体" w:hAnsi="宋体"/>
          <w:color w:val="auto"/>
          <w:sz w:val="28"/>
          <w:szCs w:val="21"/>
          <w:highlight w:val="none"/>
          <w:lang w:val="en-US" w:eastAsia="zh-CN"/>
        </w:rPr>
        <w:t>动压滤机在</w:t>
      </w:r>
      <w:r>
        <w:rPr>
          <w:rFonts w:hint="eastAsia" w:ascii="宋体" w:hAnsi="宋体"/>
          <w:color w:val="auto"/>
          <w:sz w:val="28"/>
          <w:szCs w:val="21"/>
          <w:highlight w:val="none"/>
        </w:rPr>
        <w:t>不添加石灰情况下</w:t>
      </w:r>
      <w:r>
        <w:rPr>
          <w:rFonts w:hint="eastAsia" w:ascii="宋体" w:hAnsi="宋体"/>
          <w:color w:val="auto"/>
          <w:sz w:val="28"/>
          <w:szCs w:val="21"/>
          <w:highlight w:val="none"/>
          <w:lang w:eastAsia="zh-CN"/>
        </w:rPr>
        <w:t>，</w:t>
      </w:r>
      <w:r>
        <w:rPr>
          <w:rFonts w:hint="eastAsia" w:ascii="宋体" w:hAnsi="宋体"/>
          <w:color w:val="auto"/>
          <w:sz w:val="28"/>
          <w:szCs w:val="21"/>
          <w:highlight w:val="none"/>
          <w:lang w:val="en-US" w:eastAsia="zh-CN"/>
        </w:rPr>
        <w:t>使用国内生产的符合《水处理剂 阴离子和非离子型聚丙烯酰胺》（GB/T 17514-2017）要求的所有阴离子型聚丙烯酰胺均能够达到以下效果：</w:t>
      </w:r>
    </w:p>
    <w:p w14:paraId="383117DF">
      <w:pPr>
        <w:spacing w:line="360" w:lineRule="auto"/>
        <w:ind w:firstLine="480"/>
        <w:jc w:val="left"/>
        <w:rPr>
          <w:rFonts w:hint="eastAsia" w:ascii="宋体" w:hAnsi="宋体" w:cs="Times New Roman"/>
          <w:color w:val="auto"/>
          <w:sz w:val="28"/>
          <w:szCs w:val="21"/>
          <w:highlight w:val="none"/>
          <w:lang w:eastAsia="zh-CN"/>
        </w:rPr>
      </w:pPr>
      <w:r>
        <w:rPr>
          <w:rFonts w:hint="eastAsia" w:ascii="宋体" w:hAnsi="宋体"/>
          <w:color w:val="auto"/>
          <w:sz w:val="28"/>
          <w:szCs w:val="21"/>
          <w:highlight w:val="none"/>
          <w:lang w:val="en-US" w:eastAsia="zh-CN"/>
        </w:rPr>
        <w:t>1、</w:t>
      </w:r>
      <w:r>
        <w:rPr>
          <w:rFonts w:hint="eastAsia" w:ascii="宋体" w:hAnsi="宋体"/>
          <w:color w:val="auto"/>
          <w:sz w:val="28"/>
          <w:szCs w:val="21"/>
          <w:highlight w:val="none"/>
        </w:rPr>
        <w:t>脱水后泥饼含</w:t>
      </w:r>
      <w:r>
        <w:rPr>
          <w:rFonts w:hint="eastAsia" w:ascii="宋体" w:hAnsi="宋体" w:cs="Times New Roman"/>
          <w:color w:val="auto"/>
          <w:sz w:val="28"/>
          <w:szCs w:val="21"/>
          <w:highlight w:val="none"/>
        </w:rPr>
        <w:t>水率≤</w:t>
      </w:r>
      <w:r>
        <w:rPr>
          <w:rFonts w:hint="eastAsia" w:ascii="宋体" w:hAnsi="宋体" w:cs="Times New Roman"/>
          <w:color w:val="auto"/>
          <w:sz w:val="28"/>
          <w:szCs w:val="21"/>
          <w:highlight w:val="none"/>
          <w:u w:val="single"/>
        </w:rPr>
        <w:t xml:space="preserve">        </w:t>
      </w:r>
      <w:r>
        <w:rPr>
          <w:rFonts w:hint="eastAsia" w:ascii="宋体" w:hAnsi="宋体" w:cs="Times New Roman"/>
          <w:color w:val="auto"/>
          <w:sz w:val="28"/>
          <w:szCs w:val="21"/>
          <w:highlight w:val="none"/>
          <w:lang w:val="en-US" w:eastAsia="zh-CN"/>
        </w:rPr>
        <w:t>%</w:t>
      </w:r>
      <w:r>
        <w:rPr>
          <w:rFonts w:hint="eastAsia" w:ascii="宋体" w:hAnsi="宋体" w:cs="Times New Roman"/>
          <w:color w:val="auto"/>
          <w:sz w:val="28"/>
          <w:szCs w:val="21"/>
          <w:highlight w:val="none"/>
          <w:lang w:eastAsia="zh-CN"/>
        </w:rPr>
        <w:t>。</w:t>
      </w:r>
    </w:p>
    <w:p w14:paraId="6F50AA0C">
      <w:pPr>
        <w:spacing w:line="360" w:lineRule="auto"/>
        <w:ind w:firstLine="480"/>
        <w:rPr>
          <w:rFonts w:hint="eastAsia" w:ascii="宋体" w:hAnsi="宋体"/>
          <w:color w:val="auto"/>
          <w:sz w:val="28"/>
          <w:szCs w:val="21"/>
          <w:highlight w:val="none"/>
          <w:lang w:val="en-US" w:eastAsia="zh-CN"/>
        </w:rPr>
      </w:pPr>
      <w:r>
        <w:rPr>
          <w:rFonts w:hint="eastAsia" w:ascii="宋体" w:hAnsi="宋体"/>
          <w:color w:val="auto"/>
          <w:sz w:val="28"/>
          <w:szCs w:val="21"/>
          <w:highlight w:val="none"/>
          <w:lang w:val="en-US" w:eastAsia="zh-CN"/>
        </w:rPr>
        <w:t>2、</w:t>
      </w:r>
      <w:r>
        <w:rPr>
          <w:rFonts w:hint="eastAsia" w:ascii="宋体" w:hAnsi="宋体" w:cs="Times New Roman"/>
          <w:color w:val="auto"/>
          <w:sz w:val="28"/>
          <w:szCs w:val="21"/>
          <w:highlight w:val="none"/>
          <w:lang w:eastAsia="zh-CN"/>
        </w:rPr>
        <w:t>加药量（干剂量）占总干泥量的百分比≤</w:t>
      </w:r>
      <w:r>
        <w:rPr>
          <w:rFonts w:hint="eastAsia" w:ascii="宋体" w:hAnsi="宋体" w:cs="Times New Roman"/>
          <w:color w:val="auto"/>
          <w:sz w:val="28"/>
          <w:szCs w:val="21"/>
          <w:highlight w:val="none"/>
          <w:u w:val="single"/>
          <w:lang w:val="en-US" w:eastAsia="zh-CN"/>
        </w:rPr>
        <w:t xml:space="preserve">        </w:t>
      </w:r>
      <w:r>
        <w:rPr>
          <w:rFonts w:hint="eastAsia" w:ascii="宋体" w:hAnsi="宋体" w:cs="Times New Roman"/>
          <w:color w:val="auto"/>
          <w:sz w:val="28"/>
          <w:szCs w:val="21"/>
          <w:highlight w:val="none"/>
          <w:lang w:val="en-US" w:eastAsia="zh-CN"/>
        </w:rPr>
        <w:t>%</w:t>
      </w:r>
      <w:r>
        <w:rPr>
          <w:rFonts w:hint="eastAsia" w:ascii="宋体" w:hAnsi="宋体" w:cs="Times New Roman"/>
          <w:color w:val="auto"/>
          <w:sz w:val="28"/>
          <w:szCs w:val="21"/>
          <w:highlight w:val="none"/>
          <w:lang w:eastAsia="zh-CN"/>
        </w:rPr>
        <w:t>。</w:t>
      </w:r>
    </w:p>
    <w:p w14:paraId="6773D420">
      <w:pPr>
        <w:spacing w:line="360" w:lineRule="auto"/>
        <w:ind w:firstLine="48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特此</w:t>
      </w:r>
      <w:r>
        <w:rPr>
          <w:rFonts w:hint="eastAsia" w:ascii="宋体" w:hAnsi="宋体"/>
          <w:color w:val="auto"/>
          <w:sz w:val="28"/>
          <w:szCs w:val="21"/>
          <w:highlight w:val="none"/>
          <w:lang w:val="en-US" w:eastAsia="zh-CN"/>
        </w:rPr>
        <w:t>承诺</w:t>
      </w:r>
      <w:r>
        <w:rPr>
          <w:rFonts w:hint="eastAsia" w:ascii="宋体" w:hAnsi="宋体"/>
          <w:color w:val="auto"/>
          <w:sz w:val="28"/>
          <w:szCs w:val="21"/>
          <w:highlight w:val="none"/>
          <w:lang w:eastAsia="zh-CN"/>
        </w:rPr>
        <w:t>。</w:t>
      </w:r>
    </w:p>
    <w:p w14:paraId="2059E1EB">
      <w:pPr>
        <w:autoSpaceDE w:val="0"/>
        <w:autoSpaceDN w:val="0"/>
        <w:adjustRightInd w:val="0"/>
        <w:spacing w:before="177" w:after="177" w:line="360" w:lineRule="auto"/>
        <w:ind w:firstLine="4480" w:firstLineChars="1600"/>
        <w:jc w:val="both"/>
        <w:rPr>
          <w:rFonts w:hint="eastAsia" w:ascii="宋体" w:hAnsi="宋体"/>
          <w:color w:val="auto"/>
          <w:sz w:val="28"/>
          <w:szCs w:val="21"/>
          <w:highlight w:val="none"/>
        </w:rPr>
      </w:pPr>
      <w:r>
        <w:rPr>
          <w:rFonts w:hint="eastAsia" w:ascii="宋体" w:hAnsi="宋体"/>
          <w:color w:val="auto"/>
          <w:sz w:val="28"/>
          <w:szCs w:val="21"/>
          <w:highlight w:val="none"/>
        </w:rPr>
        <w:t>投标人名称及公章：</w:t>
      </w:r>
    </w:p>
    <w:p w14:paraId="2700D50C">
      <w:pPr>
        <w:autoSpaceDE w:val="0"/>
        <w:autoSpaceDN w:val="0"/>
        <w:adjustRightInd w:val="0"/>
        <w:spacing w:before="177" w:after="177" w:line="360" w:lineRule="auto"/>
        <w:ind w:firstLine="4480" w:firstLineChars="1600"/>
        <w:jc w:val="both"/>
        <w:rPr>
          <w:rFonts w:hint="eastAsia" w:ascii="宋体" w:hAnsi="宋体" w:cs="Arial"/>
          <w:color w:val="auto"/>
          <w:kern w:val="0"/>
          <w:sz w:val="28"/>
          <w:szCs w:val="21"/>
          <w:highlight w:val="none"/>
        </w:rPr>
      </w:pPr>
      <w:r>
        <w:rPr>
          <w:rFonts w:hint="eastAsia" w:ascii="宋体" w:hAnsi="宋体"/>
          <w:color w:val="auto"/>
          <w:sz w:val="28"/>
          <w:szCs w:val="21"/>
          <w:highlight w:val="none"/>
          <w:lang w:val="en-US" w:eastAsia="zh-CN"/>
        </w:rPr>
        <w:t>制造商名称及公章：</w:t>
      </w:r>
      <w:r>
        <w:rPr>
          <w:rFonts w:hint="eastAsia" w:ascii="宋体" w:hAnsi="宋体"/>
          <w:color w:val="auto"/>
          <w:sz w:val="28"/>
          <w:szCs w:val="21"/>
          <w:highlight w:val="none"/>
          <w:u w:val="none"/>
          <w:lang w:val="en-US" w:eastAsia="zh-CN"/>
        </w:rPr>
        <w:t xml:space="preserve"> </w:t>
      </w:r>
      <w:r>
        <w:rPr>
          <w:rFonts w:hint="eastAsia" w:ascii="宋体" w:hAnsi="宋体"/>
          <w:color w:val="auto"/>
          <w:sz w:val="28"/>
          <w:szCs w:val="21"/>
          <w:highlight w:val="none"/>
          <w:u w:val="none"/>
        </w:rPr>
        <w:t xml:space="preserve">                  </w:t>
      </w:r>
      <w:r>
        <w:rPr>
          <w:rFonts w:hint="eastAsia" w:ascii="宋体" w:hAnsi="宋体" w:cs="Arial"/>
          <w:color w:val="auto"/>
          <w:kern w:val="0"/>
          <w:sz w:val="28"/>
          <w:szCs w:val="21"/>
          <w:highlight w:val="none"/>
          <w:u w:val="none"/>
        </w:rPr>
        <w:t xml:space="preserve"> </w:t>
      </w:r>
    </w:p>
    <w:p w14:paraId="72BE3B12">
      <w:pPr>
        <w:autoSpaceDE w:val="0"/>
        <w:autoSpaceDN w:val="0"/>
        <w:adjustRightInd w:val="0"/>
        <w:spacing w:before="177" w:after="177" w:line="360" w:lineRule="auto"/>
        <w:ind w:firstLine="470"/>
        <w:jc w:val="center"/>
        <w:rPr>
          <w:rFonts w:hint="eastAsia" w:ascii="宋体" w:hAnsi="宋体"/>
          <w:color w:val="auto"/>
          <w:sz w:val="28"/>
          <w:szCs w:val="21"/>
          <w:highlight w:val="none"/>
        </w:rPr>
      </w:pPr>
      <w:r>
        <w:rPr>
          <w:rFonts w:hint="eastAsia" w:ascii="宋体" w:hAnsi="宋体" w:cs="Arial"/>
          <w:color w:val="auto"/>
          <w:sz w:val="28"/>
          <w:szCs w:val="21"/>
          <w:highlight w:val="none"/>
          <w:lang w:val="en-US" w:eastAsia="zh-CN"/>
        </w:rPr>
        <w:t xml:space="preserve">                       </w:t>
      </w:r>
      <w:r>
        <w:rPr>
          <w:rFonts w:hint="eastAsia" w:hAnsi="宋体" w:cs="宋体"/>
          <w:color w:val="auto"/>
          <w:kern w:val="24"/>
          <w:sz w:val="28"/>
          <w:szCs w:val="28"/>
          <w:highlight w:val="none"/>
        </w:rPr>
        <w:t>日期</w:t>
      </w:r>
      <w:r>
        <w:rPr>
          <w:rFonts w:hint="eastAsia" w:hAnsi="宋体" w:cs="Arial"/>
          <w:color w:val="auto"/>
          <w:kern w:val="0"/>
          <w:sz w:val="28"/>
          <w:szCs w:val="28"/>
          <w:highlight w:val="none"/>
        </w:rPr>
        <w:t>：</w:t>
      </w:r>
      <w:r>
        <w:rPr>
          <w:rFonts w:hint="eastAsia" w:hAnsi="宋体" w:cs="宋体"/>
          <w:color w:val="auto"/>
          <w:kern w:val="24"/>
          <w:sz w:val="28"/>
          <w:szCs w:val="28"/>
          <w:highlight w:val="none"/>
          <w:u w:val="single"/>
        </w:rPr>
        <w:t xml:space="preserve">     </w:t>
      </w:r>
      <w:r>
        <w:rPr>
          <w:rFonts w:hint="eastAsia" w:cs="宋体"/>
          <w:color w:val="auto"/>
          <w:kern w:val="24"/>
          <w:sz w:val="28"/>
          <w:szCs w:val="28"/>
          <w:highlight w:val="none"/>
          <w:u w:val="single"/>
          <w:lang w:val="en-US" w:eastAsia="zh-CN"/>
        </w:rPr>
        <w:t xml:space="preserve"> </w:t>
      </w:r>
      <w:r>
        <w:rPr>
          <w:rFonts w:hint="eastAsia" w:hAnsi="宋体" w:cs="宋体"/>
          <w:color w:val="auto"/>
          <w:kern w:val="24"/>
          <w:sz w:val="28"/>
          <w:szCs w:val="28"/>
          <w:highlight w:val="none"/>
          <w:u w:val="single"/>
        </w:rPr>
        <w:t xml:space="preserve"> </w:t>
      </w:r>
      <w:r>
        <w:rPr>
          <w:rFonts w:hint="eastAsia" w:hAnsi="宋体" w:cs="宋体"/>
          <w:color w:val="auto"/>
          <w:kern w:val="24"/>
          <w:sz w:val="28"/>
          <w:szCs w:val="28"/>
          <w:highlight w:val="none"/>
        </w:rPr>
        <w:t>年</w:t>
      </w:r>
      <w:r>
        <w:rPr>
          <w:rFonts w:hint="eastAsia" w:hAnsi="宋体" w:cs="宋体"/>
          <w:color w:val="auto"/>
          <w:kern w:val="24"/>
          <w:sz w:val="28"/>
          <w:szCs w:val="28"/>
          <w:highlight w:val="none"/>
          <w:u w:val="single"/>
        </w:rPr>
        <w:t xml:space="preserve">  </w:t>
      </w:r>
      <w:r>
        <w:rPr>
          <w:rFonts w:hint="eastAsia" w:cs="宋体"/>
          <w:color w:val="auto"/>
          <w:kern w:val="24"/>
          <w:sz w:val="28"/>
          <w:szCs w:val="28"/>
          <w:highlight w:val="none"/>
          <w:u w:val="single"/>
          <w:lang w:val="en-US" w:eastAsia="zh-CN"/>
        </w:rPr>
        <w:t xml:space="preserve"> </w:t>
      </w:r>
      <w:r>
        <w:rPr>
          <w:rFonts w:hint="eastAsia" w:hAnsi="宋体" w:cs="宋体"/>
          <w:color w:val="auto"/>
          <w:kern w:val="24"/>
          <w:sz w:val="28"/>
          <w:szCs w:val="28"/>
          <w:highlight w:val="none"/>
          <w:u w:val="single"/>
        </w:rPr>
        <w:t xml:space="preserve"> </w:t>
      </w:r>
      <w:r>
        <w:rPr>
          <w:rFonts w:hint="eastAsia" w:hAnsi="宋体" w:cs="宋体"/>
          <w:color w:val="auto"/>
          <w:kern w:val="24"/>
          <w:sz w:val="28"/>
          <w:szCs w:val="28"/>
          <w:highlight w:val="none"/>
        </w:rPr>
        <w:t>月</w:t>
      </w:r>
      <w:r>
        <w:rPr>
          <w:rFonts w:hint="eastAsia" w:hAnsi="宋体" w:cs="宋体"/>
          <w:color w:val="auto"/>
          <w:kern w:val="24"/>
          <w:sz w:val="28"/>
          <w:szCs w:val="28"/>
          <w:highlight w:val="none"/>
          <w:u w:val="single"/>
        </w:rPr>
        <w:t xml:space="preserve">    </w:t>
      </w:r>
      <w:r>
        <w:rPr>
          <w:rFonts w:hint="eastAsia" w:hAnsi="宋体" w:cs="宋体"/>
          <w:color w:val="auto"/>
          <w:kern w:val="24"/>
          <w:sz w:val="28"/>
          <w:szCs w:val="28"/>
          <w:highlight w:val="none"/>
        </w:rPr>
        <w:t>日</w:t>
      </w:r>
      <w:r>
        <w:rPr>
          <w:rFonts w:hint="eastAsia" w:ascii="宋体" w:hAnsi="宋体" w:cs="Arial"/>
          <w:color w:val="auto"/>
          <w:sz w:val="28"/>
          <w:szCs w:val="21"/>
          <w:highlight w:val="none"/>
          <w:u w:val="none"/>
        </w:rPr>
        <w:t xml:space="preserve">  </w:t>
      </w:r>
      <w:r>
        <w:rPr>
          <w:rFonts w:hint="eastAsia" w:ascii="宋体" w:hAnsi="宋体" w:cs="Arial"/>
          <w:color w:val="auto"/>
          <w:sz w:val="28"/>
          <w:szCs w:val="21"/>
          <w:highlight w:val="none"/>
          <w:u w:val="single"/>
        </w:rPr>
        <w:t xml:space="preserve">                    </w:t>
      </w:r>
    </w:p>
    <w:p w14:paraId="2FA7A1C9">
      <w:pPr>
        <w:pStyle w:val="6"/>
        <w:jc w:val="center"/>
        <w:rPr>
          <w:color w:val="auto"/>
          <w:highlight w:val="none"/>
        </w:rPr>
      </w:pPr>
      <w:r>
        <w:rPr>
          <w:rFonts w:hint="eastAsia" w:hAnsi="宋体" w:cs="宋体"/>
          <w:color w:val="auto"/>
          <w:kern w:val="24"/>
          <w:sz w:val="28"/>
          <w:szCs w:val="28"/>
          <w:highlight w:val="none"/>
        </w:rPr>
        <w:t xml:space="preserve">  </w:t>
      </w:r>
      <w:r>
        <w:rPr>
          <w:rFonts w:hint="eastAsia" w:cs="宋体"/>
          <w:color w:val="auto"/>
          <w:kern w:val="24"/>
          <w:sz w:val="28"/>
          <w:szCs w:val="28"/>
          <w:highlight w:val="none"/>
          <w:lang w:val="en-US" w:eastAsia="zh-CN"/>
        </w:rPr>
        <w:t xml:space="preserve">                         </w:t>
      </w:r>
    </w:p>
    <w:p w14:paraId="7F91C155">
      <w:pPr>
        <w:numPr>
          <w:ilvl w:val="0"/>
          <w:numId w:val="0"/>
        </w:numPr>
        <w:adjustRightInd w:val="0"/>
        <w:spacing w:after="120" w:line="360" w:lineRule="auto"/>
        <w:ind w:left="0" w:leftChars="0" w:firstLine="420"/>
        <w:jc w:val="center"/>
        <w:textAlignment w:val="baseline"/>
        <w:rPr>
          <w:rFonts w:hint="eastAsia" w:ascii="宋体" w:hAnsi="宋体" w:eastAsia="宋体" w:cs="宋体"/>
          <w:color w:val="auto"/>
          <w:sz w:val="36"/>
          <w:szCs w:val="36"/>
          <w:highlight w:val="none"/>
          <w:lang w:val="en-US" w:eastAsia="zh-CN" w:bidi="ar-SA"/>
        </w:rPr>
      </w:pPr>
      <w:r>
        <w:rPr>
          <w:rFonts w:hint="eastAsia" w:ascii="宋体" w:hAnsi="宋体" w:cs="Times New Roman"/>
          <w:color w:val="auto"/>
          <w:sz w:val="36"/>
          <w:szCs w:val="36"/>
          <w:highlight w:val="none"/>
          <w:lang w:val="en-US" w:eastAsia="zh-CN"/>
        </w:rPr>
        <w:br w:type="page"/>
      </w:r>
      <w:r>
        <w:rPr>
          <w:rFonts w:hint="eastAsia" w:ascii="宋体" w:hAnsi="宋体" w:eastAsia="宋体" w:cs="Times New Roman"/>
          <w:b/>
          <w:color w:val="auto"/>
          <w:sz w:val="36"/>
          <w:szCs w:val="36"/>
          <w:highlight w:val="none"/>
          <w:lang w:val="en-US" w:eastAsia="zh-CN" w:bidi="ar-SA"/>
        </w:rPr>
        <w:t>承诺函</w:t>
      </w:r>
    </w:p>
    <w:p w14:paraId="552CA642">
      <w:pPr>
        <w:spacing w:line="360" w:lineRule="auto"/>
        <w:jc w:val="left"/>
        <w:rPr>
          <w:rFonts w:hint="eastAsia" w:ascii="宋体" w:hAnsi="宋体" w:eastAsia="宋体" w:cs="Times New Roman"/>
          <w:color w:val="auto"/>
          <w:sz w:val="28"/>
          <w:szCs w:val="28"/>
          <w:highlight w:val="none"/>
        </w:rPr>
      </w:pPr>
    </w:p>
    <w:p w14:paraId="273D5571">
      <w:pPr>
        <w:spacing w:line="360" w:lineRule="auto"/>
        <w:jc w:val="left"/>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广州市自来水有限公司：</w:t>
      </w:r>
    </w:p>
    <w:p w14:paraId="0279D479">
      <w:pPr>
        <w:spacing w:line="360" w:lineRule="auto"/>
        <w:ind w:firstLine="480"/>
        <w:jc w:val="left"/>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u w:val="none"/>
        </w:rPr>
        <w:t>我司</w:t>
      </w:r>
      <w:r>
        <w:rPr>
          <w:rFonts w:hint="eastAsia" w:ascii="宋体" w:hAnsi="宋体" w:eastAsia="宋体" w:cs="Times New Roman"/>
          <w:color w:val="auto"/>
          <w:sz w:val="28"/>
          <w:szCs w:val="28"/>
          <w:highlight w:val="none"/>
          <w:u w:val="none"/>
          <w:lang w:val="en-US" w:eastAsia="zh-CN"/>
        </w:rPr>
        <w:t>参与</w:t>
      </w:r>
      <w:r>
        <w:rPr>
          <w:rFonts w:hint="eastAsia" w:ascii="宋体" w:hAnsi="宋体" w:cs="Times New Roman"/>
          <w:color w:val="auto"/>
          <w:sz w:val="28"/>
          <w:szCs w:val="28"/>
          <w:highlight w:val="none"/>
          <w:u w:val="none"/>
          <w:lang w:val="en-US" w:eastAsia="zh-CN"/>
        </w:rPr>
        <w:t>广州市自来水有限公司南洲水厂排泥水处理系统建设工程污泥脱水集成设备采购公开招标项目</w:t>
      </w:r>
      <w:r>
        <w:rPr>
          <w:rFonts w:hint="eastAsia" w:ascii="宋体" w:hAnsi="宋体" w:eastAsia="宋体" w:cs="Times New Roman"/>
          <w:color w:val="auto"/>
          <w:sz w:val="28"/>
          <w:szCs w:val="28"/>
          <w:highlight w:val="none"/>
          <w:u w:val="none"/>
          <w:lang w:val="en-US" w:eastAsia="zh-CN"/>
        </w:rPr>
        <w:t>投标，并作出以下</w:t>
      </w:r>
      <w:r>
        <w:rPr>
          <w:rFonts w:hint="eastAsia" w:ascii="宋体" w:hAnsi="宋体" w:eastAsia="宋体" w:cs="Times New Roman"/>
          <w:color w:val="auto"/>
          <w:sz w:val="28"/>
          <w:szCs w:val="28"/>
          <w:highlight w:val="none"/>
        </w:rPr>
        <w:t xml:space="preserve">承诺： </w:t>
      </w:r>
    </w:p>
    <w:p w14:paraId="7DCC8C82">
      <w:pPr>
        <w:spacing w:line="360" w:lineRule="auto"/>
        <w:ind w:firstLine="480"/>
        <w:jc w:val="left"/>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我司承诺承诺最迟交货时间不得超过业主提出供货要求后</w:t>
      </w:r>
      <w:r>
        <w:rPr>
          <w:rFonts w:hint="eastAsia" w:ascii="宋体" w:hAnsi="宋体" w:cs="Times New Roman"/>
          <w:color w:val="auto"/>
          <w:sz w:val="28"/>
          <w:szCs w:val="28"/>
          <w:highlight w:val="none"/>
          <w:lang w:val="en-US" w:eastAsia="zh-CN"/>
        </w:rPr>
        <w:t>2个月</w:t>
      </w:r>
      <w:r>
        <w:rPr>
          <w:rFonts w:hint="eastAsia" w:ascii="宋体" w:hAnsi="宋体" w:eastAsia="宋体" w:cs="Times New Roman"/>
          <w:color w:val="auto"/>
          <w:sz w:val="28"/>
          <w:szCs w:val="28"/>
          <w:highlight w:val="none"/>
          <w:lang w:val="en-US" w:eastAsia="zh-CN"/>
        </w:rPr>
        <w:t>的基础上，再缩短</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lang w:val="en-US" w:eastAsia="zh-CN"/>
        </w:rPr>
        <w:t>天。</w:t>
      </w:r>
    </w:p>
    <w:p w14:paraId="3BE3D49A">
      <w:pPr>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特此证明</w:t>
      </w:r>
    </w:p>
    <w:p w14:paraId="7B2A6DBB">
      <w:pPr>
        <w:rPr>
          <w:rFonts w:hint="eastAsia" w:ascii="宋体" w:hAnsi="宋体" w:eastAsia="宋体" w:cs="Times New Roman"/>
          <w:color w:val="auto"/>
          <w:sz w:val="28"/>
          <w:szCs w:val="28"/>
          <w:highlight w:val="none"/>
        </w:rPr>
      </w:pPr>
    </w:p>
    <w:p w14:paraId="30A1E742">
      <w:pPr>
        <w:rPr>
          <w:rFonts w:hint="eastAsia" w:ascii="宋体" w:hAnsi="宋体" w:eastAsia="宋体" w:cs="Times New Roman"/>
          <w:color w:val="auto"/>
          <w:sz w:val="28"/>
          <w:szCs w:val="28"/>
          <w:highlight w:val="none"/>
        </w:rPr>
      </w:pPr>
    </w:p>
    <w:p w14:paraId="1202FE92">
      <w:pPr>
        <w:rPr>
          <w:rFonts w:hint="eastAsia" w:ascii="宋体" w:hAnsi="宋体" w:eastAsia="宋体" w:cs="Times New Roman"/>
          <w:color w:val="auto"/>
          <w:sz w:val="28"/>
          <w:szCs w:val="28"/>
          <w:highlight w:val="none"/>
        </w:rPr>
      </w:pPr>
    </w:p>
    <w:p w14:paraId="2ACF135C">
      <w:pPr>
        <w:rPr>
          <w:rFonts w:hint="eastAsia" w:ascii="宋体" w:hAnsi="宋体" w:eastAsia="宋体" w:cs="Times New Roman"/>
          <w:color w:val="auto"/>
          <w:sz w:val="28"/>
          <w:szCs w:val="28"/>
          <w:highlight w:val="none"/>
        </w:rPr>
      </w:pPr>
    </w:p>
    <w:p w14:paraId="7A305478">
      <w:pPr>
        <w:autoSpaceDE w:val="0"/>
        <w:autoSpaceDN w:val="0"/>
        <w:adjustRightInd w:val="0"/>
        <w:spacing w:before="177" w:after="177" w:line="360" w:lineRule="auto"/>
        <w:ind w:firstLine="47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投标人名称及公章：</w:t>
      </w:r>
    </w:p>
    <w:p w14:paraId="10666F9A">
      <w:pPr>
        <w:autoSpaceDE w:val="0"/>
        <w:autoSpaceDN w:val="0"/>
        <w:adjustRightInd w:val="0"/>
        <w:spacing w:before="177" w:after="177" w:line="360" w:lineRule="auto"/>
        <w:ind w:firstLine="470"/>
        <w:jc w:val="center"/>
        <w:rPr>
          <w:rFonts w:hint="eastAsia" w:ascii="宋体" w:hAnsi="宋体" w:eastAsia="宋体" w:cs="Arial"/>
          <w:color w:val="auto"/>
          <w:kern w:val="0"/>
          <w:sz w:val="28"/>
          <w:szCs w:val="28"/>
          <w:highlight w:val="none"/>
        </w:rPr>
      </w:pPr>
      <w:r>
        <w:rPr>
          <w:rFonts w:hint="eastAsia" w:ascii="宋体" w:hAnsi="宋体" w:eastAsia="宋体" w:cs="Times New Roman"/>
          <w:color w:val="auto"/>
          <w:sz w:val="28"/>
          <w:szCs w:val="28"/>
          <w:highlight w:val="none"/>
          <w:lang w:val="en-US" w:eastAsia="zh-CN"/>
        </w:rPr>
        <w:t>制造商名称及公章：</w:t>
      </w:r>
      <w:r>
        <w:rPr>
          <w:rFonts w:hint="eastAsia" w:ascii="宋体" w:hAnsi="宋体" w:eastAsia="宋体" w:cs="Times New Roman"/>
          <w:color w:val="auto"/>
          <w:sz w:val="28"/>
          <w:szCs w:val="28"/>
          <w:highlight w:val="none"/>
          <w:u w:val="single"/>
        </w:rPr>
        <w:t xml:space="preserve">                                      </w:t>
      </w:r>
      <w:r>
        <w:rPr>
          <w:rFonts w:hint="eastAsia" w:ascii="宋体" w:hAnsi="宋体" w:eastAsia="宋体" w:cs="Arial"/>
          <w:color w:val="auto"/>
          <w:kern w:val="0"/>
          <w:sz w:val="28"/>
          <w:szCs w:val="28"/>
          <w:highlight w:val="none"/>
          <w:u w:val="single"/>
        </w:rPr>
        <w:t xml:space="preserve"> </w:t>
      </w:r>
    </w:p>
    <w:p w14:paraId="73CC3F73">
      <w:pPr>
        <w:autoSpaceDE w:val="0"/>
        <w:autoSpaceDN w:val="0"/>
        <w:adjustRightInd w:val="0"/>
        <w:spacing w:before="177" w:after="177" w:line="360" w:lineRule="auto"/>
        <w:ind w:firstLine="470"/>
        <w:jc w:val="center"/>
        <w:rPr>
          <w:rFonts w:ascii="Times New Roman" w:hAnsi="宋体" w:eastAsia="宋体" w:cs="宋体"/>
          <w:color w:val="auto"/>
          <w:kern w:val="24"/>
          <w:sz w:val="28"/>
          <w:szCs w:val="28"/>
          <w:highlight w:val="none"/>
        </w:rPr>
      </w:pPr>
      <w:r>
        <w:rPr>
          <w:rFonts w:hint="eastAsia" w:ascii="宋体" w:hAnsi="宋体" w:eastAsia="宋体" w:cs="Arial"/>
          <w:color w:val="auto"/>
          <w:sz w:val="28"/>
          <w:szCs w:val="28"/>
          <w:highlight w:val="none"/>
          <w:lang w:val="en-US" w:eastAsia="zh-CN"/>
        </w:rPr>
        <w:t xml:space="preserve">              </w:t>
      </w:r>
      <w:r>
        <w:rPr>
          <w:rFonts w:hint="eastAsia" w:ascii="宋体" w:hAnsi="宋体" w:eastAsia="宋体" w:cs="Arial"/>
          <w:color w:val="auto"/>
          <w:sz w:val="28"/>
          <w:szCs w:val="28"/>
          <w:highlight w:val="none"/>
          <w:u w:val="single"/>
          <w:lang w:val="en-US" w:eastAsia="zh-CN"/>
        </w:rPr>
        <w:t xml:space="preserve">    </w:t>
      </w:r>
      <w:r>
        <w:rPr>
          <w:rFonts w:hint="eastAsia" w:ascii="Times New Roman" w:hAnsi="宋体" w:eastAsia="宋体" w:cs="宋体"/>
          <w:color w:val="auto"/>
          <w:kern w:val="24"/>
          <w:sz w:val="28"/>
          <w:szCs w:val="28"/>
          <w:highlight w:val="none"/>
        </w:rPr>
        <w:t>日期</w:t>
      </w:r>
      <w:r>
        <w:rPr>
          <w:rFonts w:hint="eastAsia" w:ascii="Times New Roman" w:hAnsi="宋体" w:eastAsia="宋体" w:cs="Arial"/>
          <w:color w:val="auto"/>
          <w:kern w:val="0"/>
          <w:sz w:val="28"/>
          <w:szCs w:val="28"/>
          <w:highlight w:val="none"/>
        </w:rPr>
        <w:t>：</w:t>
      </w:r>
      <w:r>
        <w:rPr>
          <w:rFonts w:hint="eastAsia" w:ascii="Times New Roman" w:hAnsi="宋体" w:eastAsia="宋体" w:cs="宋体"/>
          <w:color w:val="auto"/>
          <w:kern w:val="24"/>
          <w:sz w:val="28"/>
          <w:szCs w:val="28"/>
          <w:highlight w:val="none"/>
          <w:u w:val="single"/>
        </w:rPr>
        <w:t xml:space="preserve">         </w:t>
      </w:r>
      <w:r>
        <w:rPr>
          <w:rFonts w:hint="eastAsia" w:ascii="Times New Roman" w:hAnsi="宋体" w:eastAsia="宋体" w:cs="宋体"/>
          <w:color w:val="auto"/>
          <w:kern w:val="24"/>
          <w:sz w:val="28"/>
          <w:szCs w:val="28"/>
          <w:highlight w:val="none"/>
        </w:rPr>
        <w:t>年</w:t>
      </w:r>
      <w:r>
        <w:rPr>
          <w:rFonts w:hint="eastAsia" w:ascii="Times New Roman" w:hAnsi="宋体" w:eastAsia="宋体" w:cs="宋体"/>
          <w:color w:val="auto"/>
          <w:kern w:val="24"/>
          <w:sz w:val="28"/>
          <w:szCs w:val="28"/>
          <w:highlight w:val="none"/>
          <w:u w:val="single"/>
        </w:rPr>
        <w:t xml:space="preserve">       </w:t>
      </w:r>
      <w:r>
        <w:rPr>
          <w:rFonts w:hint="eastAsia" w:ascii="Times New Roman" w:hAnsi="宋体" w:eastAsia="宋体" w:cs="宋体"/>
          <w:color w:val="auto"/>
          <w:kern w:val="24"/>
          <w:sz w:val="28"/>
          <w:szCs w:val="28"/>
          <w:highlight w:val="none"/>
        </w:rPr>
        <w:t>月</w:t>
      </w:r>
      <w:r>
        <w:rPr>
          <w:rFonts w:hint="eastAsia" w:ascii="Times New Roman" w:hAnsi="宋体" w:eastAsia="宋体" w:cs="宋体"/>
          <w:color w:val="auto"/>
          <w:kern w:val="24"/>
          <w:sz w:val="28"/>
          <w:szCs w:val="28"/>
          <w:highlight w:val="none"/>
          <w:u w:val="single"/>
        </w:rPr>
        <w:t xml:space="preserve">        </w:t>
      </w:r>
      <w:r>
        <w:rPr>
          <w:rFonts w:hint="eastAsia" w:ascii="Times New Roman" w:hAnsi="宋体" w:eastAsia="宋体" w:cs="宋体"/>
          <w:color w:val="auto"/>
          <w:kern w:val="24"/>
          <w:sz w:val="28"/>
          <w:szCs w:val="28"/>
          <w:highlight w:val="none"/>
        </w:rPr>
        <w:t>日</w:t>
      </w:r>
    </w:p>
    <w:p w14:paraId="2D31638B">
      <w:pPr>
        <w:rPr>
          <w:rFonts w:ascii="Times New Roman" w:hAnsi="Times New Roman" w:eastAsia="宋体" w:cs="Times New Roman"/>
          <w:color w:val="auto"/>
          <w:highlight w:val="none"/>
        </w:rPr>
      </w:pPr>
    </w:p>
    <w:p w14:paraId="3147FBA6">
      <w:pPr>
        <w:rPr>
          <w:rFonts w:ascii="宋体" w:hAnsi="宋体" w:eastAsia="宋体" w:cs="宋体"/>
          <w:color w:val="auto"/>
          <w:sz w:val="24"/>
          <w:szCs w:val="24"/>
          <w:highlight w:val="none"/>
        </w:rPr>
      </w:pPr>
    </w:p>
    <w:p w14:paraId="66FC2236">
      <w:pPr>
        <w:ind w:firstLine="281"/>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br w:type="page"/>
      </w:r>
    </w:p>
    <w:p w14:paraId="3E14B210">
      <w:pPr>
        <w:numPr>
          <w:ilvl w:val="0"/>
          <w:numId w:val="0"/>
        </w:numPr>
        <w:adjustRightInd w:val="0"/>
        <w:spacing w:after="120" w:line="360" w:lineRule="auto"/>
        <w:ind w:left="0" w:leftChars="0" w:firstLine="420"/>
        <w:jc w:val="center"/>
        <w:textAlignment w:val="baseline"/>
        <w:rPr>
          <w:rFonts w:hint="eastAsia" w:ascii="宋体" w:hAnsi="宋体" w:eastAsia="宋体" w:cs="宋体"/>
          <w:color w:val="auto"/>
          <w:sz w:val="36"/>
          <w:szCs w:val="36"/>
          <w:highlight w:val="none"/>
          <w:lang w:val="en-US" w:eastAsia="zh-CN" w:bidi="ar-SA"/>
        </w:rPr>
      </w:pPr>
      <w:r>
        <w:rPr>
          <w:rFonts w:hint="eastAsia" w:ascii="宋体" w:hAnsi="宋体" w:eastAsia="宋体" w:cs="Times New Roman"/>
          <w:b/>
          <w:color w:val="auto"/>
          <w:sz w:val="36"/>
          <w:szCs w:val="36"/>
          <w:highlight w:val="none"/>
          <w:lang w:val="en-US" w:eastAsia="zh-CN" w:bidi="ar-SA"/>
        </w:rPr>
        <w:t>承诺函</w:t>
      </w:r>
    </w:p>
    <w:p w14:paraId="22F4644E">
      <w:pPr>
        <w:spacing w:line="360" w:lineRule="auto"/>
        <w:jc w:val="left"/>
        <w:rPr>
          <w:rFonts w:hint="eastAsia" w:ascii="宋体" w:hAnsi="宋体" w:eastAsia="宋体" w:cs="Times New Roman"/>
          <w:color w:val="auto"/>
          <w:sz w:val="28"/>
          <w:szCs w:val="28"/>
          <w:highlight w:val="none"/>
        </w:rPr>
      </w:pPr>
    </w:p>
    <w:p w14:paraId="6F809D46">
      <w:pPr>
        <w:spacing w:line="360" w:lineRule="auto"/>
        <w:jc w:val="left"/>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广州市自来水有限公司：</w:t>
      </w:r>
    </w:p>
    <w:p w14:paraId="72688348">
      <w:pPr>
        <w:spacing w:line="360" w:lineRule="auto"/>
        <w:ind w:firstLine="480"/>
        <w:jc w:val="left"/>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u w:val="none"/>
        </w:rPr>
        <w:t>我司</w:t>
      </w:r>
      <w:r>
        <w:rPr>
          <w:rFonts w:hint="eastAsia" w:ascii="宋体" w:hAnsi="宋体" w:eastAsia="宋体" w:cs="Times New Roman"/>
          <w:color w:val="auto"/>
          <w:sz w:val="28"/>
          <w:szCs w:val="28"/>
          <w:highlight w:val="none"/>
          <w:u w:val="none"/>
          <w:lang w:val="en-US" w:eastAsia="zh-CN"/>
        </w:rPr>
        <w:t>参与</w:t>
      </w:r>
      <w:r>
        <w:rPr>
          <w:rFonts w:hint="eastAsia" w:ascii="宋体" w:hAnsi="宋体" w:cs="Times New Roman"/>
          <w:color w:val="auto"/>
          <w:sz w:val="28"/>
          <w:szCs w:val="28"/>
          <w:highlight w:val="none"/>
          <w:u w:val="none"/>
          <w:lang w:val="en-US" w:eastAsia="zh-CN"/>
        </w:rPr>
        <w:t>广州市自来水有限公司南洲水厂排泥水处理系统建设工程污泥脱水集成设备采购公开招标项目</w:t>
      </w:r>
      <w:r>
        <w:rPr>
          <w:rFonts w:hint="eastAsia" w:ascii="宋体" w:hAnsi="宋体" w:eastAsia="宋体" w:cs="Times New Roman"/>
          <w:color w:val="auto"/>
          <w:sz w:val="28"/>
          <w:szCs w:val="28"/>
          <w:highlight w:val="none"/>
          <w:u w:val="none"/>
          <w:lang w:val="en-US" w:eastAsia="zh-CN"/>
        </w:rPr>
        <w:t>投标，并作出以下</w:t>
      </w:r>
      <w:r>
        <w:rPr>
          <w:rFonts w:hint="eastAsia" w:ascii="宋体" w:hAnsi="宋体" w:eastAsia="宋体" w:cs="Times New Roman"/>
          <w:color w:val="auto"/>
          <w:sz w:val="28"/>
          <w:szCs w:val="28"/>
          <w:highlight w:val="none"/>
        </w:rPr>
        <w:t xml:space="preserve">承诺： </w:t>
      </w:r>
    </w:p>
    <w:p w14:paraId="20DA8489">
      <w:pPr>
        <w:spacing w:line="360" w:lineRule="auto"/>
        <w:ind w:firstLine="480"/>
        <w:jc w:val="left"/>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eastAsia="zh-CN"/>
        </w:rPr>
        <w:t>我</w:t>
      </w:r>
      <w:r>
        <w:rPr>
          <w:rFonts w:hint="eastAsia" w:ascii="宋体" w:hAnsi="宋体" w:eastAsia="宋体" w:cs="Times New Roman"/>
          <w:color w:val="auto"/>
          <w:sz w:val="28"/>
          <w:szCs w:val="28"/>
          <w:highlight w:val="none"/>
          <w:lang w:val="en-US" w:eastAsia="zh-CN"/>
        </w:rPr>
        <w:t>司</w:t>
      </w:r>
      <w:r>
        <w:rPr>
          <w:rFonts w:hint="eastAsia" w:ascii="宋体" w:hAnsi="宋体" w:eastAsia="宋体" w:cs="Times New Roman"/>
          <w:color w:val="auto"/>
          <w:sz w:val="28"/>
          <w:szCs w:val="28"/>
          <w:highlight w:val="none"/>
          <w:lang w:eastAsia="zh-CN"/>
        </w:rPr>
        <w:t>承诺承诺产品质量保证期在3年的基础上</w:t>
      </w:r>
      <w:r>
        <w:rPr>
          <w:rFonts w:hint="eastAsia" w:ascii="宋体" w:hAnsi="宋体" w:eastAsia="宋体" w:cs="Times New Roman"/>
          <w:color w:val="auto"/>
          <w:sz w:val="28"/>
          <w:szCs w:val="28"/>
          <w:highlight w:val="none"/>
          <w:lang w:val="en-US" w:eastAsia="zh-CN"/>
        </w:rPr>
        <w:t>再延长</w:t>
      </w:r>
      <w:r>
        <w:rPr>
          <w:rFonts w:hint="eastAsia" w:ascii="宋体" w:hAnsi="宋体" w:eastAsia="宋体" w:cs="Times New Roman"/>
          <w:color w:val="auto"/>
          <w:sz w:val="28"/>
          <w:szCs w:val="28"/>
          <w:highlight w:val="none"/>
          <w:u w:val="single"/>
          <w:lang w:val="en-US" w:eastAsia="zh-CN"/>
        </w:rPr>
        <w:t xml:space="preserve">      </w:t>
      </w:r>
      <w:r>
        <w:rPr>
          <w:rFonts w:hint="eastAsia" w:ascii="宋体" w:hAnsi="宋体" w:eastAsia="宋体" w:cs="Times New Roman"/>
          <w:color w:val="auto"/>
          <w:sz w:val="28"/>
          <w:szCs w:val="28"/>
          <w:highlight w:val="none"/>
          <w:lang w:eastAsia="zh-CN"/>
        </w:rPr>
        <w:t>年。</w:t>
      </w:r>
    </w:p>
    <w:p w14:paraId="2894AFF4">
      <w:pPr>
        <w:spacing w:line="360" w:lineRule="auto"/>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 xml:space="preserve">    特此证明</w:t>
      </w:r>
    </w:p>
    <w:p w14:paraId="6A8EC45C">
      <w:pPr>
        <w:rPr>
          <w:rFonts w:hint="eastAsia" w:ascii="宋体" w:hAnsi="宋体" w:eastAsia="宋体" w:cs="Times New Roman"/>
          <w:color w:val="auto"/>
          <w:sz w:val="28"/>
          <w:szCs w:val="28"/>
          <w:highlight w:val="none"/>
        </w:rPr>
      </w:pPr>
    </w:p>
    <w:p w14:paraId="1124D4CE">
      <w:pPr>
        <w:rPr>
          <w:rFonts w:hint="eastAsia" w:ascii="宋体" w:hAnsi="宋体" w:eastAsia="宋体" w:cs="Times New Roman"/>
          <w:color w:val="auto"/>
          <w:sz w:val="28"/>
          <w:szCs w:val="28"/>
          <w:highlight w:val="none"/>
        </w:rPr>
      </w:pPr>
    </w:p>
    <w:p w14:paraId="7CCC1EB6">
      <w:pPr>
        <w:rPr>
          <w:rFonts w:hint="eastAsia" w:ascii="宋体" w:hAnsi="宋体" w:eastAsia="宋体" w:cs="Times New Roman"/>
          <w:color w:val="auto"/>
          <w:sz w:val="28"/>
          <w:szCs w:val="28"/>
          <w:highlight w:val="none"/>
        </w:rPr>
      </w:pPr>
    </w:p>
    <w:p w14:paraId="0DC0B63E">
      <w:pPr>
        <w:rPr>
          <w:rFonts w:hint="eastAsia" w:ascii="宋体" w:hAnsi="宋体" w:eastAsia="宋体" w:cs="Times New Roman"/>
          <w:color w:val="auto"/>
          <w:sz w:val="28"/>
          <w:szCs w:val="28"/>
          <w:highlight w:val="none"/>
        </w:rPr>
      </w:pPr>
    </w:p>
    <w:p w14:paraId="2B1DB661">
      <w:pPr>
        <w:autoSpaceDE w:val="0"/>
        <w:autoSpaceDN w:val="0"/>
        <w:adjustRightInd w:val="0"/>
        <w:spacing w:before="177" w:after="177" w:line="360" w:lineRule="auto"/>
        <w:ind w:firstLine="47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投标人名称及公章：</w:t>
      </w:r>
    </w:p>
    <w:p w14:paraId="26C75663">
      <w:pPr>
        <w:autoSpaceDE w:val="0"/>
        <w:autoSpaceDN w:val="0"/>
        <w:adjustRightInd w:val="0"/>
        <w:spacing w:before="177" w:after="177" w:line="360" w:lineRule="auto"/>
        <w:ind w:firstLine="470"/>
        <w:jc w:val="center"/>
        <w:rPr>
          <w:rFonts w:hint="eastAsia" w:ascii="宋体" w:hAnsi="宋体" w:eastAsia="宋体" w:cs="Arial"/>
          <w:color w:val="auto"/>
          <w:kern w:val="0"/>
          <w:sz w:val="28"/>
          <w:szCs w:val="28"/>
          <w:highlight w:val="none"/>
        </w:rPr>
      </w:pPr>
      <w:r>
        <w:rPr>
          <w:rFonts w:hint="eastAsia" w:ascii="宋体" w:hAnsi="宋体" w:eastAsia="宋体" w:cs="Times New Roman"/>
          <w:color w:val="auto"/>
          <w:sz w:val="28"/>
          <w:szCs w:val="28"/>
          <w:highlight w:val="none"/>
          <w:lang w:val="en-US" w:eastAsia="zh-CN"/>
        </w:rPr>
        <w:t>制造商名称及公章：</w:t>
      </w:r>
      <w:r>
        <w:rPr>
          <w:rFonts w:hint="eastAsia" w:ascii="宋体" w:hAnsi="宋体" w:eastAsia="宋体" w:cs="Times New Roman"/>
          <w:color w:val="auto"/>
          <w:sz w:val="28"/>
          <w:szCs w:val="28"/>
          <w:highlight w:val="none"/>
          <w:u w:val="single"/>
        </w:rPr>
        <w:t xml:space="preserve">                                      </w:t>
      </w:r>
      <w:r>
        <w:rPr>
          <w:rFonts w:hint="eastAsia" w:ascii="宋体" w:hAnsi="宋体" w:eastAsia="宋体" w:cs="Arial"/>
          <w:color w:val="auto"/>
          <w:kern w:val="0"/>
          <w:sz w:val="28"/>
          <w:szCs w:val="28"/>
          <w:highlight w:val="none"/>
          <w:u w:val="single"/>
        </w:rPr>
        <w:t xml:space="preserve"> </w:t>
      </w:r>
    </w:p>
    <w:p w14:paraId="1E8A7B51">
      <w:pPr>
        <w:autoSpaceDE w:val="0"/>
        <w:autoSpaceDN w:val="0"/>
        <w:adjustRightInd w:val="0"/>
        <w:spacing w:before="177" w:after="177" w:line="360" w:lineRule="auto"/>
        <w:ind w:firstLine="470"/>
        <w:jc w:val="center"/>
        <w:rPr>
          <w:rFonts w:hint="eastAsia" w:ascii="Times New Roman" w:hAnsi="宋体" w:eastAsia="宋体" w:cs="宋体"/>
          <w:color w:val="auto"/>
          <w:kern w:val="24"/>
          <w:sz w:val="28"/>
          <w:szCs w:val="28"/>
          <w:highlight w:val="none"/>
        </w:rPr>
      </w:pPr>
      <w:r>
        <w:rPr>
          <w:rFonts w:hint="eastAsia" w:ascii="宋体" w:hAnsi="宋体" w:eastAsia="宋体" w:cs="Arial"/>
          <w:color w:val="auto"/>
          <w:sz w:val="28"/>
          <w:szCs w:val="28"/>
          <w:highlight w:val="none"/>
          <w:lang w:val="en-US" w:eastAsia="zh-CN"/>
        </w:rPr>
        <w:t xml:space="preserve">              </w:t>
      </w:r>
      <w:r>
        <w:rPr>
          <w:rFonts w:hint="eastAsia" w:ascii="宋体" w:hAnsi="宋体" w:eastAsia="宋体" w:cs="Arial"/>
          <w:color w:val="auto"/>
          <w:sz w:val="28"/>
          <w:szCs w:val="28"/>
          <w:highlight w:val="none"/>
          <w:u w:val="single"/>
          <w:lang w:val="en-US" w:eastAsia="zh-CN"/>
        </w:rPr>
        <w:t xml:space="preserve">    </w:t>
      </w:r>
      <w:r>
        <w:rPr>
          <w:rFonts w:hint="eastAsia" w:ascii="Times New Roman" w:hAnsi="宋体" w:eastAsia="宋体" w:cs="宋体"/>
          <w:color w:val="auto"/>
          <w:kern w:val="24"/>
          <w:sz w:val="28"/>
          <w:szCs w:val="28"/>
          <w:highlight w:val="none"/>
        </w:rPr>
        <w:t>日期</w:t>
      </w:r>
      <w:r>
        <w:rPr>
          <w:rFonts w:hint="eastAsia" w:ascii="Times New Roman" w:hAnsi="宋体" w:eastAsia="宋体" w:cs="Arial"/>
          <w:color w:val="auto"/>
          <w:kern w:val="0"/>
          <w:sz w:val="28"/>
          <w:szCs w:val="28"/>
          <w:highlight w:val="none"/>
        </w:rPr>
        <w:t>：</w:t>
      </w:r>
      <w:r>
        <w:rPr>
          <w:rFonts w:hint="eastAsia" w:ascii="Times New Roman" w:hAnsi="宋体" w:eastAsia="宋体" w:cs="宋体"/>
          <w:color w:val="auto"/>
          <w:kern w:val="24"/>
          <w:sz w:val="28"/>
          <w:szCs w:val="28"/>
          <w:highlight w:val="none"/>
          <w:u w:val="single"/>
        </w:rPr>
        <w:t xml:space="preserve">         </w:t>
      </w:r>
      <w:r>
        <w:rPr>
          <w:rFonts w:hint="eastAsia" w:ascii="Times New Roman" w:hAnsi="宋体" w:eastAsia="宋体" w:cs="宋体"/>
          <w:color w:val="auto"/>
          <w:kern w:val="24"/>
          <w:sz w:val="28"/>
          <w:szCs w:val="28"/>
          <w:highlight w:val="none"/>
        </w:rPr>
        <w:t>年</w:t>
      </w:r>
      <w:r>
        <w:rPr>
          <w:rFonts w:hint="eastAsia" w:ascii="Times New Roman" w:hAnsi="宋体" w:eastAsia="宋体" w:cs="宋体"/>
          <w:color w:val="auto"/>
          <w:kern w:val="24"/>
          <w:sz w:val="28"/>
          <w:szCs w:val="28"/>
          <w:highlight w:val="none"/>
          <w:u w:val="single"/>
        </w:rPr>
        <w:t xml:space="preserve">       </w:t>
      </w:r>
      <w:r>
        <w:rPr>
          <w:rFonts w:hint="eastAsia" w:ascii="Times New Roman" w:hAnsi="宋体" w:eastAsia="宋体" w:cs="宋体"/>
          <w:color w:val="auto"/>
          <w:kern w:val="24"/>
          <w:sz w:val="28"/>
          <w:szCs w:val="28"/>
          <w:highlight w:val="none"/>
        </w:rPr>
        <w:t>月</w:t>
      </w:r>
      <w:r>
        <w:rPr>
          <w:rFonts w:hint="eastAsia" w:ascii="Times New Roman" w:hAnsi="宋体" w:eastAsia="宋体" w:cs="宋体"/>
          <w:color w:val="auto"/>
          <w:kern w:val="24"/>
          <w:sz w:val="28"/>
          <w:szCs w:val="28"/>
          <w:highlight w:val="none"/>
          <w:u w:val="single"/>
        </w:rPr>
        <w:t xml:space="preserve">        </w:t>
      </w:r>
      <w:r>
        <w:rPr>
          <w:rFonts w:hint="eastAsia" w:ascii="Times New Roman" w:hAnsi="宋体" w:eastAsia="宋体" w:cs="宋体"/>
          <w:color w:val="auto"/>
          <w:kern w:val="24"/>
          <w:sz w:val="28"/>
          <w:szCs w:val="28"/>
          <w:highlight w:val="none"/>
        </w:rPr>
        <w:t>日</w:t>
      </w:r>
    </w:p>
    <w:p w14:paraId="4A2A801E">
      <w:pPr>
        <w:rPr>
          <w:color w:val="auto"/>
          <w:highlight w:val="none"/>
        </w:rPr>
      </w:pPr>
    </w:p>
    <w:sectPr>
      <w:pgSz w:w="11905" w:h="16838"/>
      <w:pgMar w:top="1417" w:right="1417" w:bottom="1417" w:left="1417" w:header="850" w:footer="686" w:gutter="0"/>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FA68137-43C7-459D-B67C-6EB3F8528BA6}"/>
  </w:font>
  <w:font w:name="黑体">
    <w:panose1 w:val="02010609060101010101"/>
    <w:charset w:val="86"/>
    <w:family w:val="auto"/>
    <w:pitch w:val="default"/>
    <w:sig w:usb0="800002BF" w:usb1="38CF7CFA" w:usb2="00000016" w:usb3="00000000" w:csb0="00040001" w:csb1="00000000"/>
    <w:embedRegular r:id="rId2" w:fontKey="{6D6BA560-761A-470C-BEBD-21D515C51B63}"/>
  </w:font>
  <w:font w:name="Courier New">
    <w:panose1 w:val="02070309020205020404"/>
    <w:charset w:val="01"/>
    <w:family w:val="modern"/>
    <w:pitch w:val="default"/>
    <w:sig w:usb0="E0002AFF" w:usb1="C0007843" w:usb2="00000009" w:usb3="00000000" w:csb0="400001FF" w:csb1="FFFF0000"/>
    <w:embedRegular r:id="rId3" w:fontKey="{097CE263-E765-4A79-9162-5471466C259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B9E6E3AF-3A9A-4B46-B048-AAAAC267ADC0}"/>
  </w:font>
  <w:font w:name="等线">
    <w:altName w:val="微软雅黑"/>
    <w:panose1 w:val="02010600030101010101"/>
    <w:charset w:val="86"/>
    <w:family w:val="auto"/>
    <w:pitch w:val="default"/>
    <w:sig w:usb0="00000000" w:usb1="00000000" w:usb2="00000016" w:usb3="00000000" w:csb0="0004000F" w:csb1="00000000"/>
  </w:font>
  <w:font w:name="方正楷体_GB2312">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00000" w:csb1="00000000"/>
    <w:embedRegular r:id="rId5" w:fontKey="{88C311DB-40E0-4978-960C-4EF92C6F25AF}"/>
  </w:font>
  <w:font w:name="方正小标宋简体">
    <w:panose1 w:val="02000000000000000000"/>
    <w:charset w:val="86"/>
    <w:family w:val="auto"/>
    <w:pitch w:val="default"/>
    <w:sig w:usb0="00000001" w:usb1="08000000" w:usb2="00000000" w:usb3="00000000" w:csb0="00040000" w:csb1="00000000"/>
    <w:embedRegular r:id="rId6" w:fontKey="{A4076F00-1EE9-4A7C-AC6F-95EDDEA3D852}"/>
  </w:font>
  <w:font w:name="Wingdings 2">
    <w:panose1 w:val="05020102010507070707"/>
    <w:charset w:val="02"/>
    <w:family w:val="roman"/>
    <w:pitch w:val="default"/>
    <w:sig w:usb0="00000000" w:usb1="00000000" w:usb2="00000000" w:usb3="00000000" w:csb0="80000000" w:csb1="00000000"/>
    <w:embedRegular r:id="rId7" w:fontKey="{DABD5001-7C99-422E-925B-7F510433D56C}"/>
  </w:font>
  <w:font w:name="仿宋">
    <w:panose1 w:val="02010609060101010101"/>
    <w:charset w:val="86"/>
    <w:family w:val="auto"/>
    <w:pitch w:val="default"/>
    <w:sig w:usb0="800002BF" w:usb1="38CF7CFA" w:usb2="00000016" w:usb3="00000000" w:csb0="00040001" w:csb1="00000000"/>
    <w:embedRegular r:id="rId8" w:fontKey="{72F8B07C-1ACA-440F-9125-E564C9256DD6}"/>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CDEC1">
    <w:pPr>
      <w:pStyle w:val="27"/>
      <w:jc w:val="center"/>
      <w:rPr>
        <w:rFonts w:ascii="宋体" w:hAnsi="宋体" w:cs="宋体"/>
      </w:rPr>
    </w:pPr>
    <w:r>
      <w:rPr>
        <w:rFonts w:hint="eastAsia" w:ascii="宋体" w:hAnsi="宋体" w:cs="宋体"/>
        <w:b/>
        <w:sz w:val="24"/>
        <w:szCs w:val="24"/>
      </w:rPr>
      <w:fldChar w:fldCharType="begin"/>
    </w:r>
    <w:r>
      <w:rPr>
        <w:rFonts w:hint="eastAsia" w:ascii="宋体" w:hAnsi="宋体" w:cs="宋体"/>
        <w:b/>
      </w:rPr>
      <w:instrText xml:space="preserve">PAGE</w:instrText>
    </w:r>
    <w:r>
      <w:rPr>
        <w:rFonts w:hint="eastAsia" w:ascii="宋体" w:hAnsi="宋体" w:cs="宋体"/>
        <w:b/>
        <w:sz w:val="24"/>
        <w:szCs w:val="24"/>
      </w:rPr>
      <w:fldChar w:fldCharType="separate"/>
    </w:r>
    <w:r>
      <w:rPr>
        <w:rFonts w:ascii="宋体" w:hAnsi="宋体" w:cs="宋体"/>
        <w:b/>
      </w:rPr>
      <w:t>1</w:t>
    </w:r>
    <w:r>
      <w:rPr>
        <w:rFonts w:hint="eastAsia" w:ascii="宋体" w:hAnsi="宋体" w:cs="宋体"/>
        <w:b/>
        <w:sz w:val="24"/>
        <w:szCs w:val="24"/>
      </w:rPr>
      <w:fldChar w:fldCharType="end"/>
    </w:r>
  </w:p>
  <w:p w14:paraId="438D0DAF">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D306">
    <w:pPr>
      <w:pStyle w:val="27"/>
      <w:tabs>
        <w:tab w:val="center" w:pos="4595"/>
        <w:tab w:val="left" w:pos="7366"/>
      </w:tabs>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4650" cy="154940"/>
              <wp:effectExtent l="0" t="0" r="0" b="0"/>
              <wp:wrapNone/>
              <wp:docPr id="3" name="文本框 6"/>
              <wp:cNvGraphicFramePr/>
              <a:graphic xmlns:a="http://schemas.openxmlformats.org/drawingml/2006/main">
                <a:graphicData uri="http://schemas.microsoft.com/office/word/2010/wordprocessingShape">
                  <wps:wsp>
                    <wps:cNvSpPr txBox="1"/>
                    <wps:spPr>
                      <a:xfrm>
                        <a:off x="0" y="0"/>
                        <a:ext cx="374650" cy="154940"/>
                      </a:xfrm>
                      <a:prstGeom prst="rect">
                        <a:avLst/>
                      </a:prstGeom>
                      <a:noFill/>
                      <a:ln>
                        <a:noFill/>
                      </a:ln>
                      <a:effectLst/>
                    </wps:spPr>
                    <wps:txbx>
                      <w:txbxContent>
                        <w:p w14:paraId="29B58FE1">
                          <w:pPr>
                            <w:pStyle w:val="27"/>
                            <w:jc w:val="center"/>
                          </w:pPr>
                          <w:r>
                            <w:fldChar w:fldCharType="begin"/>
                          </w:r>
                          <w:r>
                            <w:instrText xml:space="preserve">PAGE   \* MERGEFORMAT</w:instrText>
                          </w:r>
                          <w:r>
                            <w:fldChar w:fldCharType="separate"/>
                          </w:r>
                          <w:r>
                            <w:rPr>
                              <w:lang w:val="zh-CN"/>
                            </w:rPr>
                            <w:t>116</w:t>
                          </w:r>
                          <w:r>
                            <w:fldChar w:fldCharType="end"/>
                          </w:r>
                        </w:p>
                      </w:txbxContent>
                    </wps:txbx>
                    <wps:bodyPr vert="horz" wrap="square" lIns="0" tIns="0" rIns="0" bIns="0" anchor="t" anchorCtr="0">
                      <a:spAutoFit/>
                    </wps:bodyPr>
                  </wps:wsp>
                </a:graphicData>
              </a:graphic>
            </wp:anchor>
          </w:drawing>
        </mc:Choice>
        <mc:Fallback>
          <w:pict>
            <v:shape id="文本框 6" o:spid="_x0000_s1026" o:spt="202" type="#_x0000_t202" style="position:absolute;left:0pt;margin-top:0pt;height:12.2pt;width:29.5pt;mso-position-horizontal:center;mso-position-horizontal-relative:margin;z-index:251659264;mso-width-relative:page;mso-height-relative:page;" filled="f" stroked="f" coordsize="21600,21600" o:gfxdata="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L5NDSAAAAAwEAAA8A&#10;AAAAAAAAAQAgAAAAIgAAAGRycy9kb3ducmV2LnhtbFBLAQIUABQAAAAIAIdO4kDCyq0Z5AEAAMAD&#10;AAAOAAAAAAAAAAEAIAAAACEBAABkcnMvZTJvRG9jLnhtbFBLBQYAAAAABgAGAFkBAAB3BQAAAAA=&#10;">
              <v:fill on="f" focussize="0,0"/>
              <v:stroke on="f"/>
              <v:imagedata o:title=""/>
              <o:lock v:ext="edit" aspectratio="f"/>
              <v:textbox inset="0mm,0mm,0mm,0mm" style="mso-fit-shape-to-text:t;">
                <w:txbxContent>
                  <w:p w14:paraId="29B58FE1">
                    <w:pPr>
                      <w:pStyle w:val="27"/>
                      <w:jc w:val="center"/>
                    </w:pPr>
                    <w:r>
                      <w:fldChar w:fldCharType="begin"/>
                    </w:r>
                    <w:r>
                      <w:instrText xml:space="preserve">PAGE   \* MERGEFORMAT</w:instrText>
                    </w:r>
                    <w:r>
                      <w:fldChar w:fldCharType="separate"/>
                    </w:r>
                    <w:r>
                      <w:rPr>
                        <w:lang w:val="zh-CN"/>
                      </w:rPr>
                      <w:t>116</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6773711A">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5ADC9">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4AFE6A">
                          <w:pPr>
                            <w:pStyle w:val="27"/>
                            <w:jc w:val="center"/>
                          </w:pPr>
                          <w:r>
                            <w:fldChar w:fldCharType="begin"/>
                          </w:r>
                          <w:r>
                            <w:instrText xml:space="preserve">PAGE   \* MERGEFORMAT</w:instrText>
                          </w:r>
                          <w:r>
                            <w:fldChar w:fldCharType="separate"/>
                          </w:r>
                          <w:r>
                            <w:rPr>
                              <w:lang w:val="zh-CN"/>
                            </w:rPr>
                            <w:t>101</w:t>
                          </w:r>
                          <w:r>
                            <w:rPr>
                              <w:lang w:val="zh-CN"/>
                            </w:rP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IAld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JozJyxd+Pn7t/OPX+efX9nL&#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cUgCV2wEAAMADAAAOAAAAAAAAAAEA&#10;IAAAAB4BAABkcnMvZTJvRG9jLnhtbFBLBQYAAAAABgAGAFkBAABrBQAAAAA=&#10;">
              <v:fill on="f" focussize="0,0"/>
              <v:stroke on="f"/>
              <v:imagedata o:title=""/>
              <o:lock v:ext="edit" aspectratio="f"/>
              <v:textbox inset="0mm,0mm,0mm,0mm" style="mso-fit-shape-to-text:t;">
                <w:txbxContent>
                  <w:p w14:paraId="3E4AFE6A">
                    <w:pPr>
                      <w:pStyle w:val="27"/>
                      <w:jc w:val="center"/>
                    </w:pPr>
                    <w:r>
                      <w:fldChar w:fldCharType="begin"/>
                    </w:r>
                    <w:r>
                      <w:instrText xml:space="preserve">PAGE   \* MERGEFORMAT</w:instrText>
                    </w:r>
                    <w:r>
                      <w:fldChar w:fldCharType="separate"/>
                    </w:r>
                    <w:r>
                      <w:rPr>
                        <w:lang w:val="zh-CN"/>
                      </w:rPr>
                      <w:t>101</w:t>
                    </w:r>
                    <w:r>
                      <w:rPr>
                        <w:lang w:val="zh-CN"/>
                      </w:rPr>
                      <w:fldChar w:fldCharType="end"/>
                    </w:r>
                  </w:p>
                </w:txbxContent>
              </v:textbox>
            </v:shape>
          </w:pict>
        </mc:Fallback>
      </mc:AlternateContent>
    </w:r>
  </w:p>
  <w:p w14:paraId="0F0DC104">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2F621"/>
    <w:multiLevelType w:val="multilevel"/>
    <w:tmpl w:val="E162F621"/>
    <w:lvl w:ilvl="0" w:tentative="0">
      <w:start w:val="1"/>
      <w:numFmt w:val="decimal"/>
      <w:lvlText w:val="%1"/>
      <w:lvlJc w:val="left"/>
      <w:pPr>
        <w:ind w:left="425" w:hanging="425"/>
      </w:pPr>
      <w:rPr>
        <w:rFonts w:hint="default" w:ascii="宋体" w:hAnsi="宋体" w:eastAsia="宋体" w:cs="宋体"/>
      </w:rPr>
    </w:lvl>
    <w:lvl w:ilvl="1" w:tentative="0">
      <w:start w:val="1"/>
      <w:numFmt w:val="decimal"/>
      <w:pStyle w:val="164"/>
      <w:suff w:val="space"/>
      <w:lvlText w:val="%1.%2"/>
      <w:lvlJc w:val="left"/>
      <w:pPr>
        <w:tabs>
          <w:tab w:val="left" w:pos="0"/>
        </w:tabs>
        <w:ind w:left="0" w:firstLine="0"/>
      </w:pPr>
      <w:rPr>
        <w:rFonts w:hint="default" w:ascii="黑体" w:hAnsi="黑体" w:eastAsia="黑体" w:cs="黑体"/>
      </w:rPr>
    </w:lvl>
    <w:lvl w:ilvl="2" w:tentative="0">
      <w:start w:val="1"/>
      <w:numFmt w:val="decimal"/>
      <w:pStyle w:val="169"/>
      <w:lvlText w:val="%1.%2.%3"/>
      <w:lvlJc w:val="left"/>
      <w:pPr>
        <w:tabs>
          <w:tab w:val="left" w:pos="0"/>
        </w:tabs>
        <w:ind w:left="0" w:firstLine="0"/>
      </w:pPr>
      <w:rPr>
        <w:rFonts w:hint="default" w:ascii="宋体" w:hAnsi="宋体" w:eastAsia="黑体" w:cs="宋体"/>
      </w:rPr>
    </w:lvl>
    <w:lvl w:ilvl="3" w:tentative="0">
      <w:start w:val="1"/>
      <w:numFmt w:val="decimal"/>
      <w:lvlText w:val="%1.%2.%3.%4"/>
      <w:lvlJc w:val="left"/>
      <w:pPr>
        <w:tabs>
          <w:tab w:val="left" w:pos="0"/>
        </w:tabs>
        <w:ind w:left="0" w:firstLine="567"/>
      </w:pPr>
      <w:rPr>
        <w:rFonts w:hint="default" w:ascii="宋体" w:hAnsi="宋体" w:eastAsia="宋体" w:cs="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2136B89"/>
    <w:multiLevelType w:val="singleLevel"/>
    <w:tmpl w:val="22136B89"/>
    <w:lvl w:ilvl="0" w:tentative="0">
      <w:start w:val="1"/>
      <w:numFmt w:val="decimal"/>
      <w:suff w:val="space"/>
      <w:lvlText w:val="%1."/>
      <w:lvlJc w:val="left"/>
    </w:lvl>
  </w:abstractNum>
  <w:abstractNum w:abstractNumId="2">
    <w:nsid w:val="3487AA4A"/>
    <w:multiLevelType w:val="multilevel"/>
    <w:tmpl w:val="3487AA4A"/>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rPr>
        <w:rFonts w:hint="default" w:ascii="宋体" w:hAnsi="宋体" w:eastAsia="宋体" w:cs="宋体"/>
      </w:rPr>
    </w:lvl>
    <w:lvl w:ilvl="3" w:tentative="0">
      <w:start w:val="1"/>
      <w:numFmt w:val="decimal"/>
      <w:pStyle w:val="141"/>
      <w:lvlText w:val="%1.%2.%3.%4"/>
      <w:lvlJc w:val="left"/>
      <w:pPr>
        <w:ind w:left="1984" w:hanging="708"/>
      </w:pPr>
      <w:rPr>
        <w:rFonts w:hint="default" w:ascii="宋体" w:hAnsi="宋体" w:eastAsia="宋体" w:cs="宋体"/>
      </w:rPr>
    </w:lvl>
    <w:lvl w:ilvl="4" w:tentative="0">
      <w:start w:val="1"/>
      <w:numFmt w:val="decimal"/>
      <w:lvlText w:val="%1.%2.%3.%4.%5"/>
      <w:lvlJc w:val="left"/>
      <w:pPr>
        <w:ind w:left="2551" w:hanging="850"/>
      </w:pPr>
      <w:rPr>
        <w:rFonts w:hint="default" w:ascii="宋体" w:hAnsi="宋体" w:eastAsia="宋体" w:cs="宋体"/>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1301EBE"/>
    <w:multiLevelType w:val="multilevel"/>
    <w:tmpl w:val="41301E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20C2AF"/>
    <w:multiLevelType w:val="multilevel"/>
    <w:tmpl w:val="5620C2AF"/>
    <w:lvl w:ilvl="0" w:tentative="0">
      <w:start w:val="1"/>
      <w:numFmt w:val="decimal"/>
      <w:pStyle w:val="156"/>
      <w:lvlText w:val="%1"/>
      <w:lvlJc w:val="left"/>
      <w:pPr>
        <w:ind w:left="425" w:hanging="425"/>
      </w:pPr>
      <w:rPr>
        <w:rFonts w:hint="default" w:ascii="宋体" w:hAnsi="宋体" w:eastAsia="宋体" w:cs="宋体"/>
      </w:rPr>
    </w:lvl>
    <w:lvl w:ilvl="1" w:tentative="0">
      <w:start w:val="1"/>
      <w:numFmt w:val="decimal"/>
      <w:lvlText w:val="%1.%2"/>
      <w:lvlJc w:val="left"/>
      <w:pPr>
        <w:ind w:left="987" w:hanging="567"/>
      </w:pPr>
      <w:rPr>
        <w:rFonts w:hint="default" w:ascii="宋体" w:hAnsi="宋体" w:eastAsia="宋体" w:cs="宋体"/>
      </w:rPr>
    </w:lvl>
    <w:lvl w:ilvl="2" w:tentative="0">
      <w:start w:val="1"/>
      <w:numFmt w:val="decimal"/>
      <w:lvlText w:val="%1.%2.%3"/>
      <w:lvlJc w:val="left"/>
      <w:pPr>
        <w:ind w:left="987" w:hanging="567"/>
      </w:pPr>
      <w:rPr>
        <w:rFonts w:hint="default" w:ascii="宋体" w:hAnsi="宋体" w:eastAsia="宋体" w:cs="宋体"/>
      </w:rPr>
    </w:lvl>
    <w:lvl w:ilvl="3" w:tentative="0">
      <w:start w:val="1"/>
      <w:numFmt w:val="decimal"/>
      <w:lvlText w:val="%1.%2.%3.%4"/>
      <w:lvlJc w:val="left"/>
      <w:pPr>
        <w:ind w:left="1984" w:hanging="708"/>
      </w:pPr>
      <w:rPr>
        <w:rFonts w:hint="default" w:ascii="宋体" w:hAnsi="宋体" w:eastAsia="宋体" w:cs="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hyphenationZone w:val="36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NzIzNDc2ZTE1OGMyN2Y0YzYyYjMxYzRkMTkxNTYifQ=="/>
  </w:docVars>
  <w:rsids>
    <w:rsidRoot w:val="00172A27"/>
    <w:rsid w:val="0000001E"/>
    <w:rsid w:val="000005F1"/>
    <w:rsid w:val="000035A2"/>
    <w:rsid w:val="00003F75"/>
    <w:rsid w:val="00004EC3"/>
    <w:rsid w:val="000053EE"/>
    <w:rsid w:val="00005C60"/>
    <w:rsid w:val="000073F3"/>
    <w:rsid w:val="0001084B"/>
    <w:rsid w:val="0001244B"/>
    <w:rsid w:val="00012D19"/>
    <w:rsid w:val="00012DEB"/>
    <w:rsid w:val="00013EA0"/>
    <w:rsid w:val="000146D6"/>
    <w:rsid w:val="0001586D"/>
    <w:rsid w:val="00015883"/>
    <w:rsid w:val="0001604A"/>
    <w:rsid w:val="000165A7"/>
    <w:rsid w:val="00017577"/>
    <w:rsid w:val="00017782"/>
    <w:rsid w:val="0002196B"/>
    <w:rsid w:val="00021989"/>
    <w:rsid w:val="00021F48"/>
    <w:rsid w:val="0002245D"/>
    <w:rsid w:val="00022B5E"/>
    <w:rsid w:val="00022F68"/>
    <w:rsid w:val="00024269"/>
    <w:rsid w:val="00024F4C"/>
    <w:rsid w:val="00025091"/>
    <w:rsid w:val="00026DD0"/>
    <w:rsid w:val="00027691"/>
    <w:rsid w:val="000308FA"/>
    <w:rsid w:val="00030924"/>
    <w:rsid w:val="000309A3"/>
    <w:rsid w:val="00030EAA"/>
    <w:rsid w:val="00032257"/>
    <w:rsid w:val="00032388"/>
    <w:rsid w:val="0003267F"/>
    <w:rsid w:val="00032D64"/>
    <w:rsid w:val="000342E0"/>
    <w:rsid w:val="00034D23"/>
    <w:rsid w:val="000357ED"/>
    <w:rsid w:val="00035A78"/>
    <w:rsid w:val="00035D6A"/>
    <w:rsid w:val="00036A69"/>
    <w:rsid w:val="00036B7B"/>
    <w:rsid w:val="000378BC"/>
    <w:rsid w:val="0004071B"/>
    <w:rsid w:val="00040BE6"/>
    <w:rsid w:val="000419B9"/>
    <w:rsid w:val="00042145"/>
    <w:rsid w:val="0004317E"/>
    <w:rsid w:val="000446BF"/>
    <w:rsid w:val="00044E81"/>
    <w:rsid w:val="000463BA"/>
    <w:rsid w:val="00046E0A"/>
    <w:rsid w:val="000473A4"/>
    <w:rsid w:val="00050126"/>
    <w:rsid w:val="00050293"/>
    <w:rsid w:val="00050568"/>
    <w:rsid w:val="00050ECE"/>
    <w:rsid w:val="0005232B"/>
    <w:rsid w:val="000526F1"/>
    <w:rsid w:val="00053398"/>
    <w:rsid w:val="000538A0"/>
    <w:rsid w:val="00053C1D"/>
    <w:rsid w:val="000547A5"/>
    <w:rsid w:val="00054820"/>
    <w:rsid w:val="00054F4D"/>
    <w:rsid w:val="000554F4"/>
    <w:rsid w:val="000559CE"/>
    <w:rsid w:val="00055C7A"/>
    <w:rsid w:val="00055E2C"/>
    <w:rsid w:val="000560BB"/>
    <w:rsid w:val="000564EE"/>
    <w:rsid w:val="00056B74"/>
    <w:rsid w:val="00061091"/>
    <w:rsid w:val="000615B7"/>
    <w:rsid w:val="0006174E"/>
    <w:rsid w:val="00061D1B"/>
    <w:rsid w:val="00061E51"/>
    <w:rsid w:val="00062766"/>
    <w:rsid w:val="00063017"/>
    <w:rsid w:val="00065C22"/>
    <w:rsid w:val="00070862"/>
    <w:rsid w:val="0007094F"/>
    <w:rsid w:val="00071D8B"/>
    <w:rsid w:val="00071F48"/>
    <w:rsid w:val="000724C7"/>
    <w:rsid w:val="00073297"/>
    <w:rsid w:val="00073370"/>
    <w:rsid w:val="00074502"/>
    <w:rsid w:val="00076DE4"/>
    <w:rsid w:val="00077248"/>
    <w:rsid w:val="00077BDF"/>
    <w:rsid w:val="00080530"/>
    <w:rsid w:val="000812ED"/>
    <w:rsid w:val="00081AC3"/>
    <w:rsid w:val="000825C4"/>
    <w:rsid w:val="00082D16"/>
    <w:rsid w:val="0008388F"/>
    <w:rsid w:val="00083D86"/>
    <w:rsid w:val="0008469D"/>
    <w:rsid w:val="000846FF"/>
    <w:rsid w:val="00084C9D"/>
    <w:rsid w:val="00084DA7"/>
    <w:rsid w:val="000860C0"/>
    <w:rsid w:val="00086124"/>
    <w:rsid w:val="00086D1B"/>
    <w:rsid w:val="000870B6"/>
    <w:rsid w:val="00087502"/>
    <w:rsid w:val="00087B73"/>
    <w:rsid w:val="00087E8F"/>
    <w:rsid w:val="0009037D"/>
    <w:rsid w:val="00092F42"/>
    <w:rsid w:val="00094D19"/>
    <w:rsid w:val="00095C05"/>
    <w:rsid w:val="00096FB2"/>
    <w:rsid w:val="00097CA8"/>
    <w:rsid w:val="00097D9C"/>
    <w:rsid w:val="000A0CC9"/>
    <w:rsid w:val="000A10AC"/>
    <w:rsid w:val="000A198D"/>
    <w:rsid w:val="000A32FB"/>
    <w:rsid w:val="000A391D"/>
    <w:rsid w:val="000A4BC2"/>
    <w:rsid w:val="000A4DC2"/>
    <w:rsid w:val="000B0DF0"/>
    <w:rsid w:val="000B2851"/>
    <w:rsid w:val="000B3516"/>
    <w:rsid w:val="000B3DEC"/>
    <w:rsid w:val="000B6831"/>
    <w:rsid w:val="000B6B14"/>
    <w:rsid w:val="000B6BC0"/>
    <w:rsid w:val="000C0CA6"/>
    <w:rsid w:val="000C1365"/>
    <w:rsid w:val="000C256C"/>
    <w:rsid w:val="000C3BA3"/>
    <w:rsid w:val="000C4469"/>
    <w:rsid w:val="000C4638"/>
    <w:rsid w:val="000C4B9B"/>
    <w:rsid w:val="000C5C95"/>
    <w:rsid w:val="000C7969"/>
    <w:rsid w:val="000C7F00"/>
    <w:rsid w:val="000D070E"/>
    <w:rsid w:val="000D1524"/>
    <w:rsid w:val="000D1A6F"/>
    <w:rsid w:val="000D1F7D"/>
    <w:rsid w:val="000D46A0"/>
    <w:rsid w:val="000D4921"/>
    <w:rsid w:val="000D529E"/>
    <w:rsid w:val="000D74FC"/>
    <w:rsid w:val="000D752D"/>
    <w:rsid w:val="000E114B"/>
    <w:rsid w:val="000E12C2"/>
    <w:rsid w:val="000E1D5B"/>
    <w:rsid w:val="000E2346"/>
    <w:rsid w:val="000E2E2D"/>
    <w:rsid w:val="000E4B50"/>
    <w:rsid w:val="000E5A67"/>
    <w:rsid w:val="000E71E4"/>
    <w:rsid w:val="000E7F3C"/>
    <w:rsid w:val="000F0E91"/>
    <w:rsid w:val="000F10AE"/>
    <w:rsid w:val="000F22EA"/>
    <w:rsid w:val="000F2596"/>
    <w:rsid w:val="000F5A39"/>
    <w:rsid w:val="000F6674"/>
    <w:rsid w:val="000F7782"/>
    <w:rsid w:val="000F7B09"/>
    <w:rsid w:val="00100329"/>
    <w:rsid w:val="00101BD4"/>
    <w:rsid w:val="00101C0D"/>
    <w:rsid w:val="001024B3"/>
    <w:rsid w:val="00105DAB"/>
    <w:rsid w:val="001105FF"/>
    <w:rsid w:val="00112C45"/>
    <w:rsid w:val="001132A5"/>
    <w:rsid w:val="0011386D"/>
    <w:rsid w:val="00114A35"/>
    <w:rsid w:val="0011506C"/>
    <w:rsid w:val="00115C43"/>
    <w:rsid w:val="00116000"/>
    <w:rsid w:val="001160AF"/>
    <w:rsid w:val="00116634"/>
    <w:rsid w:val="00116810"/>
    <w:rsid w:val="00116863"/>
    <w:rsid w:val="00116A12"/>
    <w:rsid w:val="00117BD7"/>
    <w:rsid w:val="00120AF3"/>
    <w:rsid w:val="00120B55"/>
    <w:rsid w:val="00120D0A"/>
    <w:rsid w:val="00121A87"/>
    <w:rsid w:val="00122A17"/>
    <w:rsid w:val="00122FE7"/>
    <w:rsid w:val="0012391A"/>
    <w:rsid w:val="00125233"/>
    <w:rsid w:val="001263CD"/>
    <w:rsid w:val="001274F4"/>
    <w:rsid w:val="001302C9"/>
    <w:rsid w:val="00130517"/>
    <w:rsid w:val="00130C6F"/>
    <w:rsid w:val="00131991"/>
    <w:rsid w:val="00131EDE"/>
    <w:rsid w:val="00132F08"/>
    <w:rsid w:val="001333F1"/>
    <w:rsid w:val="001343E5"/>
    <w:rsid w:val="00134433"/>
    <w:rsid w:val="0013468E"/>
    <w:rsid w:val="00136257"/>
    <w:rsid w:val="00136A47"/>
    <w:rsid w:val="0013715C"/>
    <w:rsid w:val="00137790"/>
    <w:rsid w:val="00137817"/>
    <w:rsid w:val="00140D11"/>
    <w:rsid w:val="00142498"/>
    <w:rsid w:val="0014252A"/>
    <w:rsid w:val="00142AAB"/>
    <w:rsid w:val="00143812"/>
    <w:rsid w:val="00143D93"/>
    <w:rsid w:val="00146C84"/>
    <w:rsid w:val="00147EEB"/>
    <w:rsid w:val="00151007"/>
    <w:rsid w:val="00152651"/>
    <w:rsid w:val="00153413"/>
    <w:rsid w:val="001538E4"/>
    <w:rsid w:val="00154434"/>
    <w:rsid w:val="00154A89"/>
    <w:rsid w:val="00154AAE"/>
    <w:rsid w:val="00155817"/>
    <w:rsid w:val="00155924"/>
    <w:rsid w:val="00156269"/>
    <w:rsid w:val="001564B2"/>
    <w:rsid w:val="00157111"/>
    <w:rsid w:val="00160D48"/>
    <w:rsid w:val="00163CA9"/>
    <w:rsid w:val="00163EFF"/>
    <w:rsid w:val="00163FEA"/>
    <w:rsid w:val="00164E56"/>
    <w:rsid w:val="00166755"/>
    <w:rsid w:val="001668B8"/>
    <w:rsid w:val="00167593"/>
    <w:rsid w:val="00167832"/>
    <w:rsid w:val="001679E4"/>
    <w:rsid w:val="001701D2"/>
    <w:rsid w:val="00172A27"/>
    <w:rsid w:val="00172FC7"/>
    <w:rsid w:val="001735AA"/>
    <w:rsid w:val="00173D14"/>
    <w:rsid w:val="001749DD"/>
    <w:rsid w:val="00175B95"/>
    <w:rsid w:val="00176F36"/>
    <w:rsid w:val="001803E4"/>
    <w:rsid w:val="001804D5"/>
    <w:rsid w:val="00181A32"/>
    <w:rsid w:val="00181FE3"/>
    <w:rsid w:val="00182167"/>
    <w:rsid w:val="001831A3"/>
    <w:rsid w:val="001838E1"/>
    <w:rsid w:val="00183AEA"/>
    <w:rsid w:val="00183C32"/>
    <w:rsid w:val="001843F5"/>
    <w:rsid w:val="00185150"/>
    <w:rsid w:val="001858C5"/>
    <w:rsid w:val="00187170"/>
    <w:rsid w:val="00187AFB"/>
    <w:rsid w:val="00190615"/>
    <w:rsid w:val="001909DE"/>
    <w:rsid w:val="00193248"/>
    <w:rsid w:val="00193487"/>
    <w:rsid w:val="00194C01"/>
    <w:rsid w:val="001975C0"/>
    <w:rsid w:val="001A1EAA"/>
    <w:rsid w:val="001A29B9"/>
    <w:rsid w:val="001A2AA9"/>
    <w:rsid w:val="001A310F"/>
    <w:rsid w:val="001A35B4"/>
    <w:rsid w:val="001A3823"/>
    <w:rsid w:val="001A4733"/>
    <w:rsid w:val="001A4F40"/>
    <w:rsid w:val="001A60D3"/>
    <w:rsid w:val="001A7215"/>
    <w:rsid w:val="001B1D17"/>
    <w:rsid w:val="001B2437"/>
    <w:rsid w:val="001B2A51"/>
    <w:rsid w:val="001B30D9"/>
    <w:rsid w:val="001B3172"/>
    <w:rsid w:val="001B3272"/>
    <w:rsid w:val="001B36F1"/>
    <w:rsid w:val="001B3733"/>
    <w:rsid w:val="001B38F8"/>
    <w:rsid w:val="001B4212"/>
    <w:rsid w:val="001B6218"/>
    <w:rsid w:val="001B691A"/>
    <w:rsid w:val="001B6E9D"/>
    <w:rsid w:val="001B6EEC"/>
    <w:rsid w:val="001C03BB"/>
    <w:rsid w:val="001C2922"/>
    <w:rsid w:val="001C3856"/>
    <w:rsid w:val="001C3A74"/>
    <w:rsid w:val="001C5F68"/>
    <w:rsid w:val="001C6789"/>
    <w:rsid w:val="001C6B8F"/>
    <w:rsid w:val="001C6CC4"/>
    <w:rsid w:val="001C7BAA"/>
    <w:rsid w:val="001D0A4E"/>
    <w:rsid w:val="001D1F59"/>
    <w:rsid w:val="001D27EB"/>
    <w:rsid w:val="001D2FD7"/>
    <w:rsid w:val="001D3BA6"/>
    <w:rsid w:val="001D3C8E"/>
    <w:rsid w:val="001D54D0"/>
    <w:rsid w:val="001D5925"/>
    <w:rsid w:val="001D5D74"/>
    <w:rsid w:val="001D6356"/>
    <w:rsid w:val="001D6E3A"/>
    <w:rsid w:val="001E004D"/>
    <w:rsid w:val="001E04DD"/>
    <w:rsid w:val="001E3442"/>
    <w:rsid w:val="001E35D9"/>
    <w:rsid w:val="001E42E8"/>
    <w:rsid w:val="001E44DD"/>
    <w:rsid w:val="001E55DE"/>
    <w:rsid w:val="001E5DD5"/>
    <w:rsid w:val="001E6280"/>
    <w:rsid w:val="001E687E"/>
    <w:rsid w:val="001E6D66"/>
    <w:rsid w:val="001E7D52"/>
    <w:rsid w:val="001F09E1"/>
    <w:rsid w:val="001F0B3A"/>
    <w:rsid w:val="001F2779"/>
    <w:rsid w:val="001F386D"/>
    <w:rsid w:val="001F3ED4"/>
    <w:rsid w:val="001F4FE0"/>
    <w:rsid w:val="001F4FFC"/>
    <w:rsid w:val="001F5406"/>
    <w:rsid w:val="001F5805"/>
    <w:rsid w:val="001F5AA1"/>
    <w:rsid w:val="001F5CA1"/>
    <w:rsid w:val="001F5EEB"/>
    <w:rsid w:val="001F686C"/>
    <w:rsid w:val="001F6DDF"/>
    <w:rsid w:val="001F6DEF"/>
    <w:rsid w:val="001F7F82"/>
    <w:rsid w:val="002011DA"/>
    <w:rsid w:val="00201736"/>
    <w:rsid w:val="00202349"/>
    <w:rsid w:val="002054C4"/>
    <w:rsid w:val="00206DA4"/>
    <w:rsid w:val="00207B67"/>
    <w:rsid w:val="0021005C"/>
    <w:rsid w:val="0021030F"/>
    <w:rsid w:val="002109E8"/>
    <w:rsid w:val="00210E45"/>
    <w:rsid w:val="00210F79"/>
    <w:rsid w:val="002112BA"/>
    <w:rsid w:val="0021151D"/>
    <w:rsid w:val="002125DA"/>
    <w:rsid w:val="0021352E"/>
    <w:rsid w:val="00213881"/>
    <w:rsid w:val="00214A7D"/>
    <w:rsid w:val="002171BA"/>
    <w:rsid w:val="00217279"/>
    <w:rsid w:val="002204CF"/>
    <w:rsid w:val="00220DDE"/>
    <w:rsid w:val="0022145F"/>
    <w:rsid w:val="00221B57"/>
    <w:rsid w:val="0022229F"/>
    <w:rsid w:val="00222C78"/>
    <w:rsid w:val="002255B4"/>
    <w:rsid w:val="002258A1"/>
    <w:rsid w:val="00225B74"/>
    <w:rsid w:val="00233DF0"/>
    <w:rsid w:val="0023404E"/>
    <w:rsid w:val="00234573"/>
    <w:rsid w:val="002359E6"/>
    <w:rsid w:val="0023602E"/>
    <w:rsid w:val="00237F2B"/>
    <w:rsid w:val="00237FA1"/>
    <w:rsid w:val="00240AB7"/>
    <w:rsid w:val="00240F45"/>
    <w:rsid w:val="0024416F"/>
    <w:rsid w:val="002442E6"/>
    <w:rsid w:val="00244838"/>
    <w:rsid w:val="00244D7A"/>
    <w:rsid w:val="00245090"/>
    <w:rsid w:val="002462E8"/>
    <w:rsid w:val="0025051E"/>
    <w:rsid w:val="00250BC2"/>
    <w:rsid w:val="002511AA"/>
    <w:rsid w:val="0025130F"/>
    <w:rsid w:val="00251DC1"/>
    <w:rsid w:val="00252FD5"/>
    <w:rsid w:val="00253BC3"/>
    <w:rsid w:val="00253C7F"/>
    <w:rsid w:val="00253CF3"/>
    <w:rsid w:val="0025544D"/>
    <w:rsid w:val="002561D9"/>
    <w:rsid w:val="002563EC"/>
    <w:rsid w:val="002565BA"/>
    <w:rsid w:val="00256745"/>
    <w:rsid w:val="00256C8E"/>
    <w:rsid w:val="00260402"/>
    <w:rsid w:val="0026294A"/>
    <w:rsid w:val="00262A61"/>
    <w:rsid w:val="00263612"/>
    <w:rsid w:val="00264210"/>
    <w:rsid w:val="0026756B"/>
    <w:rsid w:val="00267574"/>
    <w:rsid w:val="00267DC9"/>
    <w:rsid w:val="00270387"/>
    <w:rsid w:val="00270ACA"/>
    <w:rsid w:val="00270BC1"/>
    <w:rsid w:val="00270D85"/>
    <w:rsid w:val="002720CD"/>
    <w:rsid w:val="0027396C"/>
    <w:rsid w:val="00274AF7"/>
    <w:rsid w:val="0027525B"/>
    <w:rsid w:val="002765CF"/>
    <w:rsid w:val="00276C25"/>
    <w:rsid w:val="00276D6B"/>
    <w:rsid w:val="00276E5F"/>
    <w:rsid w:val="00281733"/>
    <w:rsid w:val="00282A3C"/>
    <w:rsid w:val="00285F97"/>
    <w:rsid w:val="00290820"/>
    <w:rsid w:val="00292A6F"/>
    <w:rsid w:val="00292D12"/>
    <w:rsid w:val="002946BA"/>
    <w:rsid w:val="002952E2"/>
    <w:rsid w:val="00295CE5"/>
    <w:rsid w:val="00296B7D"/>
    <w:rsid w:val="0029797A"/>
    <w:rsid w:val="00297D6C"/>
    <w:rsid w:val="002A0AF0"/>
    <w:rsid w:val="002A26D7"/>
    <w:rsid w:val="002A451D"/>
    <w:rsid w:val="002A4B29"/>
    <w:rsid w:val="002A7609"/>
    <w:rsid w:val="002A7C8F"/>
    <w:rsid w:val="002A7DD2"/>
    <w:rsid w:val="002B000D"/>
    <w:rsid w:val="002B02C0"/>
    <w:rsid w:val="002B1B9D"/>
    <w:rsid w:val="002B25FC"/>
    <w:rsid w:val="002B27FE"/>
    <w:rsid w:val="002B32D5"/>
    <w:rsid w:val="002B45AA"/>
    <w:rsid w:val="002B4F2C"/>
    <w:rsid w:val="002B5B23"/>
    <w:rsid w:val="002B66ED"/>
    <w:rsid w:val="002B6EC7"/>
    <w:rsid w:val="002C014F"/>
    <w:rsid w:val="002C1DC2"/>
    <w:rsid w:val="002C1E16"/>
    <w:rsid w:val="002C302B"/>
    <w:rsid w:val="002C36F6"/>
    <w:rsid w:val="002C3C6E"/>
    <w:rsid w:val="002C485F"/>
    <w:rsid w:val="002C54EF"/>
    <w:rsid w:val="002C5714"/>
    <w:rsid w:val="002C676B"/>
    <w:rsid w:val="002C6AB1"/>
    <w:rsid w:val="002C6F4B"/>
    <w:rsid w:val="002C72F4"/>
    <w:rsid w:val="002C7F5E"/>
    <w:rsid w:val="002D10FA"/>
    <w:rsid w:val="002D11A2"/>
    <w:rsid w:val="002D3A75"/>
    <w:rsid w:val="002D60AA"/>
    <w:rsid w:val="002D665A"/>
    <w:rsid w:val="002E49D7"/>
    <w:rsid w:val="002E4A58"/>
    <w:rsid w:val="002E4EEE"/>
    <w:rsid w:val="002E62D3"/>
    <w:rsid w:val="002E6739"/>
    <w:rsid w:val="002E72DB"/>
    <w:rsid w:val="002F0FFD"/>
    <w:rsid w:val="002F28CB"/>
    <w:rsid w:val="002F2DCA"/>
    <w:rsid w:val="002F31FD"/>
    <w:rsid w:val="002F4482"/>
    <w:rsid w:val="002F523D"/>
    <w:rsid w:val="002F61EF"/>
    <w:rsid w:val="002F630E"/>
    <w:rsid w:val="002F69E9"/>
    <w:rsid w:val="0030347F"/>
    <w:rsid w:val="00303528"/>
    <w:rsid w:val="003035E6"/>
    <w:rsid w:val="00307C72"/>
    <w:rsid w:val="00310321"/>
    <w:rsid w:val="00311D3C"/>
    <w:rsid w:val="0031227D"/>
    <w:rsid w:val="00312854"/>
    <w:rsid w:val="00312DA7"/>
    <w:rsid w:val="003131A0"/>
    <w:rsid w:val="0031418B"/>
    <w:rsid w:val="003146ED"/>
    <w:rsid w:val="00315589"/>
    <w:rsid w:val="00315C60"/>
    <w:rsid w:val="0031662D"/>
    <w:rsid w:val="00317A3C"/>
    <w:rsid w:val="003205DF"/>
    <w:rsid w:val="00320F1B"/>
    <w:rsid w:val="003224BF"/>
    <w:rsid w:val="00322912"/>
    <w:rsid w:val="00322C10"/>
    <w:rsid w:val="00322D1E"/>
    <w:rsid w:val="00324BB7"/>
    <w:rsid w:val="00325FC7"/>
    <w:rsid w:val="00326038"/>
    <w:rsid w:val="00326654"/>
    <w:rsid w:val="00326D64"/>
    <w:rsid w:val="00330D60"/>
    <w:rsid w:val="00333A9E"/>
    <w:rsid w:val="003358D3"/>
    <w:rsid w:val="00336D0D"/>
    <w:rsid w:val="003422A5"/>
    <w:rsid w:val="003437FC"/>
    <w:rsid w:val="00344201"/>
    <w:rsid w:val="0034426F"/>
    <w:rsid w:val="003452B6"/>
    <w:rsid w:val="003466C3"/>
    <w:rsid w:val="00347286"/>
    <w:rsid w:val="0034773E"/>
    <w:rsid w:val="0035101F"/>
    <w:rsid w:val="003512A3"/>
    <w:rsid w:val="00351377"/>
    <w:rsid w:val="00351640"/>
    <w:rsid w:val="00352BC7"/>
    <w:rsid w:val="00353306"/>
    <w:rsid w:val="003545BA"/>
    <w:rsid w:val="00364CA1"/>
    <w:rsid w:val="0036545A"/>
    <w:rsid w:val="003662D3"/>
    <w:rsid w:val="00366754"/>
    <w:rsid w:val="003704BD"/>
    <w:rsid w:val="003706F1"/>
    <w:rsid w:val="00370942"/>
    <w:rsid w:val="00370AD7"/>
    <w:rsid w:val="00370D8B"/>
    <w:rsid w:val="00373C6C"/>
    <w:rsid w:val="00373E2C"/>
    <w:rsid w:val="003740FF"/>
    <w:rsid w:val="003768E6"/>
    <w:rsid w:val="00380D1D"/>
    <w:rsid w:val="003827F6"/>
    <w:rsid w:val="00383042"/>
    <w:rsid w:val="00383955"/>
    <w:rsid w:val="00385C7A"/>
    <w:rsid w:val="00385FD4"/>
    <w:rsid w:val="003863B2"/>
    <w:rsid w:val="003868B0"/>
    <w:rsid w:val="00386CD0"/>
    <w:rsid w:val="00386FF0"/>
    <w:rsid w:val="003900B6"/>
    <w:rsid w:val="00391BD5"/>
    <w:rsid w:val="00392669"/>
    <w:rsid w:val="00393076"/>
    <w:rsid w:val="003938CE"/>
    <w:rsid w:val="00393E36"/>
    <w:rsid w:val="00394109"/>
    <w:rsid w:val="0039410F"/>
    <w:rsid w:val="00394E63"/>
    <w:rsid w:val="00395BA9"/>
    <w:rsid w:val="00396150"/>
    <w:rsid w:val="0039623C"/>
    <w:rsid w:val="00397DE5"/>
    <w:rsid w:val="00397E63"/>
    <w:rsid w:val="003A0F19"/>
    <w:rsid w:val="003A18E4"/>
    <w:rsid w:val="003A2775"/>
    <w:rsid w:val="003A389D"/>
    <w:rsid w:val="003A6D0D"/>
    <w:rsid w:val="003B0CB8"/>
    <w:rsid w:val="003B0E6B"/>
    <w:rsid w:val="003B0E9A"/>
    <w:rsid w:val="003B1FC1"/>
    <w:rsid w:val="003B24C5"/>
    <w:rsid w:val="003B2880"/>
    <w:rsid w:val="003B4F01"/>
    <w:rsid w:val="003B55B3"/>
    <w:rsid w:val="003B64F6"/>
    <w:rsid w:val="003B7504"/>
    <w:rsid w:val="003B76AB"/>
    <w:rsid w:val="003C0466"/>
    <w:rsid w:val="003C086A"/>
    <w:rsid w:val="003C1FFC"/>
    <w:rsid w:val="003C3C07"/>
    <w:rsid w:val="003C3D6E"/>
    <w:rsid w:val="003C41F8"/>
    <w:rsid w:val="003C4F9D"/>
    <w:rsid w:val="003C5BE9"/>
    <w:rsid w:val="003C62C2"/>
    <w:rsid w:val="003C75B3"/>
    <w:rsid w:val="003C78A7"/>
    <w:rsid w:val="003C78ED"/>
    <w:rsid w:val="003D0E2F"/>
    <w:rsid w:val="003D2046"/>
    <w:rsid w:val="003D24CB"/>
    <w:rsid w:val="003D2E16"/>
    <w:rsid w:val="003D2E67"/>
    <w:rsid w:val="003D4ECE"/>
    <w:rsid w:val="003D585F"/>
    <w:rsid w:val="003D5C81"/>
    <w:rsid w:val="003D7AFF"/>
    <w:rsid w:val="003D7EFC"/>
    <w:rsid w:val="003E0C85"/>
    <w:rsid w:val="003E0FE3"/>
    <w:rsid w:val="003E1065"/>
    <w:rsid w:val="003E1568"/>
    <w:rsid w:val="003E178C"/>
    <w:rsid w:val="003E2ED0"/>
    <w:rsid w:val="003E3524"/>
    <w:rsid w:val="003E3E7D"/>
    <w:rsid w:val="003E46BA"/>
    <w:rsid w:val="003E481E"/>
    <w:rsid w:val="003E5371"/>
    <w:rsid w:val="003E7B79"/>
    <w:rsid w:val="003E7CE6"/>
    <w:rsid w:val="003F2754"/>
    <w:rsid w:val="003F28EF"/>
    <w:rsid w:val="003F2B55"/>
    <w:rsid w:val="003F4195"/>
    <w:rsid w:val="003F465A"/>
    <w:rsid w:val="003F46FE"/>
    <w:rsid w:val="003F4BFD"/>
    <w:rsid w:val="003F4FED"/>
    <w:rsid w:val="003F5C9F"/>
    <w:rsid w:val="003F703C"/>
    <w:rsid w:val="003F79C1"/>
    <w:rsid w:val="003F7FB7"/>
    <w:rsid w:val="0040046D"/>
    <w:rsid w:val="00400496"/>
    <w:rsid w:val="00401397"/>
    <w:rsid w:val="0040215E"/>
    <w:rsid w:val="00402811"/>
    <w:rsid w:val="00402885"/>
    <w:rsid w:val="00403265"/>
    <w:rsid w:val="00403CFD"/>
    <w:rsid w:val="00404216"/>
    <w:rsid w:val="00405471"/>
    <w:rsid w:val="00407410"/>
    <w:rsid w:val="00407A97"/>
    <w:rsid w:val="004105C1"/>
    <w:rsid w:val="0041168E"/>
    <w:rsid w:val="00412164"/>
    <w:rsid w:val="00413010"/>
    <w:rsid w:val="00413130"/>
    <w:rsid w:val="00413E8E"/>
    <w:rsid w:val="004143CB"/>
    <w:rsid w:val="004161C9"/>
    <w:rsid w:val="00417552"/>
    <w:rsid w:val="004205A0"/>
    <w:rsid w:val="00420C14"/>
    <w:rsid w:val="00421735"/>
    <w:rsid w:val="0042405B"/>
    <w:rsid w:val="00424A4B"/>
    <w:rsid w:val="004267A8"/>
    <w:rsid w:val="0042787C"/>
    <w:rsid w:val="00433925"/>
    <w:rsid w:val="004339E1"/>
    <w:rsid w:val="00433D41"/>
    <w:rsid w:val="0043458E"/>
    <w:rsid w:val="004374D1"/>
    <w:rsid w:val="00437E15"/>
    <w:rsid w:val="004403B5"/>
    <w:rsid w:val="0044041D"/>
    <w:rsid w:val="00442FBF"/>
    <w:rsid w:val="00443016"/>
    <w:rsid w:val="0044311A"/>
    <w:rsid w:val="00443431"/>
    <w:rsid w:val="00443667"/>
    <w:rsid w:val="00443757"/>
    <w:rsid w:val="00444B0E"/>
    <w:rsid w:val="00445A4E"/>
    <w:rsid w:val="00450CC1"/>
    <w:rsid w:val="004512A0"/>
    <w:rsid w:val="00451800"/>
    <w:rsid w:val="004520CF"/>
    <w:rsid w:val="0045279B"/>
    <w:rsid w:val="00455B6A"/>
    <w:rsid w:val="0045758B"/>
    <w:rsid w:val="0046065D"/>
    <w:rsid w:val="004609BF"/>
    <w:rsid w:val="00460DC9"/>
    <w:rsid w:val="00462A26"/>
    <w:rsid w:val="00463AA6"/>
    <w:rsid w:val="004647E7"/>
    <w:rsid w:val="0046557A"/>
    <w:rsid w:val="00465DB4"/>
    <w:rsid w:val="00467287"/>
    <w:rsid w:val="00467D26"/>
    <w:rsid w:val="00470A51"/>
    <w:rsid w:val="004721E5"/>
    <w:rsid w:val="004723D0"/>
    <w:rsid w:val="0047271D"/>
    <w:rsid w:val="00472BB7"/>
    <w:rsid w:val="00473EDD"/>
    <w:rsid w:val="004741C2"/>
    <w:rsid w:val="00474B2F"/>
    <w:rsid w:val="00474F67"/>
    <w:rsid w:val="004752A7"/>
    <w:rsid w:val="00475628"/>
    <w:rsid w:val="00477C24"/>
    <w:rsid w:val="00484E10"/>
    <w:rsid w:val="0048563E"/>
    <w:rsid w:val="00486916"/>
    <w:rsid w:val="004876D6"/>
    <w:rsid w:val="00490F7D"/>
    <w:rsid w:val="00492023"/>
    <w:rsid w:val="00492EB3"/>
    <w:rsid w:val="00493097"/>
    <w:rsid w:val="004934B6"/>
    <w:rsid w:val="00493A64"/>
    <w:rsid w:val="00493CE5"/>
    <w:rsid w:val="00493F69"/>
    <w:rsid w:val="004A1048"/>
    <w:rsid w:val="004A1A9A"/>
    <w:rsid w:val="004A2039"/>
    <w:rsid w:val="004A24F1"/>
    <w:rsid w:val="004A2B25"/>
    <w:rsid w:val="004A343A"/>
    <w:rsid w:val="004A3D5A"/>
    <w:rsid w:val="004A4779"/>
    <w:rsid w:val="004A483A"/>
    <w:rsid w:val="004A4976"/>
    <w:rsid w:val="004A6AB3"/>
    <w:rsid w:val="004B18FF"/>
    <w:rsid w:val="004B1D1A"/>
    <w:rsid w:val="004B2C1D"/>
    <w:rsid w:val="004B6014"/>
    <w:rsid w:val="004B7631"/>
    <w:rsid w:val="004C0109"/>
    <w:rsid w:val="004C0ABF"/>
    <w:rsid w:val="004C0E88"/>
    <w:rsid w:val="004C144E"/>
    <w:rsid w:val="004C1C8C"/>
    <w:rsid w:val="004C1CAC"/>
    <w:rsid w:val="004C210B"/>
    <w:rsid w:val="004C2932"/>
    <w:rsid w:val="004C4A62"/>
    <w:rsid w:val="004C57BD"/>
    <w:rsid w:val="004C60B7"/>
    <w:rsid w:val="004C61CC"/>
    <w:rsid w:val="004C64FA"/>
    <w:rsid w:val="004C66BF"/>
    <w:rsid w:val="004C6C13"/>
    <w:rsid w:val="004C70EB"/>
    <w:rsid w:val="004D14EF"/>
    <w:rsid w:val="004D266F"/>
    <w:rsid w:val="004D296D"/>
    <w:rsid w:val="004D31AF"/>
    <w:rsid w:val="004D435B"/>
    <w:rsid w:val="004D6894"/>
    <w:rsid w:val="004D784F"/>
    <w:rsid w:val="004D7CDE"/>
    <w:rsid w:val="004E02C8"/>
    <w:rsid w:val="004E03D5"/>
    <w:rsid w:val="004E09D2"/>
    <w:rsid w:val="004E158E"/>
    <w:rsid w:val="004E17C7"/>
    <w:rsid w:val="004E223E"/>
    <w:rsid w:val="004E2273"/>
    <w:rsid w:val="004E22B6"/>
    <w:rsid w:val="004E48C0"/>
    <w:rsid w:val="004E5910"/>
    <w:rsid w:val="004E597E"/>
    <w:rsid w:val="004E5AEA"/>
    <w:rsid w:val="004E740F"/>
    <w:rsid w:val="004F02E9"/>
    <w:rsid w:val="004F0976"/>
    <w:rsid w:val="004F1D37"/>
    <w:rsid w:val="004F27CC"/>
    <w:rsid w:val="004F2EBA"/>
    <w:rsid w:val="004F319C"/>
    <w:rsid w:val="004F361F"/>
    <w:rsid w:val="004F4198"/>
    <w:rsid w:val="004F4F7E"/>
    <w:rsid w:val="004F56A9"/>
    <w:rsid w:val="004F6975"/>
    <w:rsid w:val="0050025E"/>
    <w:rsid w:val="0050117A"/>
    <w:rsid w:val="005028E0"/>
    <w:rsid w:val="00502C1A"/>
    <w:rsid w:val="00502E4B"/>
    <w:rsid w:val="00504722"/>
    <w:rsid w:val="00505437"/>
    <w:rsid w:val="0050700F"/>
    <w:rsid w:val="00507B11"/>
    <w:rsid w:val="00511E05"/>
    <w:rsid w:val="00512FF1"/>
    <w:rsid w:val="0051346B"/>
    <w:rsid w:val="0051377C"/>
    <w:rsid w:val="00514535"/>
    <w:rsid w:val="005161B8"/>
    <w:rsid w:val="0051664E"/>
    <w:rsid w:val="00516CF0"/>
    <w:rsid w:val="005170E2"/>
    <w:rsid w:val="00517CC6"/>
    <w:rsid w:val="00517F12"/>
    <w:rsid w:val="00520660"/>
    <w:rsid w:val="0052192C"/>
    <w:rsid w:val="005225FE"/>
    <w:rsid w:val="0052271A"/>
    <w:rsid w:val="00523056"/>
    <w:rsid w:val="005234A4"/>
    <w:rsid w:val="00523DA1"/>
    <w:rsid w:val="00524399"/>
    <w:rsid w:val="00524730"/>
    <w:rsid w:val="00524EDF"/>
    <w:rsid w:val="00525C41"/>
    <w:rsid w:val="00526E8F"/>
    <w:rsid w:val="00526F27"/>
    <w:rsid w:val="005273C2"/>
    <w:rsid w:val="00530A37"/>
    <w:rsid w:val="00530A9E"/>
    <w:rsid w:val="0053114A"/>
    <w:rsid w:val="00531C99"/>
    <w:rsid w:val="0053221D"/>
    <w:rsid w:val="00532BC4"/>
    <w:rsid w:val="005330CF"/>
    <w:rsid w:val="00533208"/>
    <w:rsid w:val="005367B6"/>
    <w:rsid w:val="00543305"/>
    <w:rsid w:val="005439ED"/>
    <w:rsid w:val="00543B13"/>
    <w:rsid w:val="005442B6"/>
    <w:rsid w:val="00544D5F"/>
    <w:rsid w:val="00545A5C"/>
    <w:rsid w:val="00545D97"/>
    <w:rsid w:val="0054714D"/>
    <w:rsid w:val="00547386"/>
    <w:rsid w:val="00551751"/>
    <w:rsid w:val="00551EA2"/>
    <w:rsid w:val="00552C34"/>
    <w:rsid w:val="00553F31"/>
    <w:rsid w:val="00554594"/>
    <w:rsid w:val="00554D90"/>
    <w:rsid w:val="00555AD5"/>
    <w:rsid w:val="00555BCB"/>
    <w:rsid w:val="00556C4E"/>
    <w:rsid w:val="00557188"/>
    <w:rsid w:val="00557C9E"/>
    <w:rsid w:val="00560280"/>
    <w:rsid w:val="0056031E"/>
    <w:rsid w:val="0056172D"/>
    <w:rsid w:val="00563C32"/>
    <w:rsid w:val="00564131"/>
    <w:rsid w:val="00564AC0"/>
    <w:rsid w:val="00564C32"/>
    <w:rsid w:val="00564D63"/>
    <w:rsid w:val="00566579"/>
    <w:rsid w:val="00566762"/>
    <w:rsid w:val="00566A95"/>
    <w:rsid w:val="005679C9"/>
    <w:rsid w:val="00567B80"/>
    <w:rsid w:val="00572C6F"/>
    <w:rsid w:val="005738C0"/>
    <w:rsid w:val="00573EE3"/>
    <w:rsid w:val="00574821"/>
    <w:rsid w:val="00574872"/>
    <w:rsid w:val="00575623"/>
    <w:rsid w:val="00575B24"/>
    <w:rsid w:val="00576D5F"/>
    <w:rsid w:val="00577E51"/>
    <w:rsid w:val="005801F0"/>
    <w:rsid w:val="0058097E"/>
    <w:rsid w:val="00580DB2"/>
    <w:rsid w:val="00581201"/>
    <w:rsid w:val="00582169"/>
    <w:rsid w:val="00582E19"/>
    <w:rsid w:val="00583211"/>
    <w:rsid w:val="005838EE"/>
    <w:rsid w:val="00583FE6"/>
    <w:rsid w:val="00584133"/>
    <w:rsid w:val="005846E8"/>
    <w:rsid w:val="00584BD6"/>
    <w:rsid w:val="00585E09"/>
    <w:rsid w:val="00587104"/>
    <w:rsid w:val="00590F18"/>
    <w:rsid w:val="0059147E"/>
    <w:rsid w:val="00592903"/>
    <w:rsid w:val="005929D0"/>
    <w:rsid w:val="0059324A"/>
    <w:rsid w:val="00594583"/>
    <w:rsid w:val="005945B9"/>
    <w:rsid w:val="00595C6F"/>
    <w:rsid w:val="00596577"/>
    <w:rsid w:val="005971F4"/>
    <w:rsid w:val="005A217F"/>
    <w:rsid w:val="005A3991"/>
    <w:rsid w:val="005A3EC3"/>
    <w:rsid w:val="005A450A"/>
    <w:rsid w:val="005A6316"/>
    <w:rsid w:val="005A6616"/>
    <w:rsid w:val="005A6A46"/>
    <w:rsid w:val="005A7237"/>
    <w:rsid w:val="005B0091"/>
    <w:rsid w:val="005B044C"/>
    <w:rsid w:val="005B2420"/>
    <w:rsid w:val="005B2E09"/>
    <w:rsid w:val="005B2F4B"/>
    <w:rsid w:val="005B381A"/>
    <w:rsid w:val="005B3CA8"/>
    <w:rsid w:val="005B489E"/>
    <w:rsid w:val="005B67A6"/>
    <w:rsid w:val="005B76FB"/>
    <w:rsid w:val="005C02CA"/>
    <w:rsid w:val="005C14FC"/>
    <w:rsid w:val="005C159E"/>
    <w:rsid w:val="005C1C24"/>
    <w:rsid w:val="005C2B30"/>
    <w:rsid w:val="005C3AEC"/>
    <w:rsid w:val="005C422D"/>
    <w:rsid w:val="005C433A"/>
    <w:rsid w:val="005C5318"/>
    <w:rsid w:val="005C6197"/>
    <w:rsid w:val="005C7E53"/>
    <w:rsid w:val="005D0811"/>
    <w:rsid w:val="005D18E6"/>
    <w:rsid w:val="005D1A01"/>
    <w:rsid w:val="005D2EDB"/>
    <w:rsid w:val="005D4DC4"/>
    <w:rsid w:val="005D5801"/>
    <w:rsid w:val="005D622F"/>
    <w:rsid w:val="005D65F9"/>
    <w:rsid w:val="005D68A0"/>
    <w:rsid w:val="005D6B13"/>
    <w:rsid w:val="005D7004"/>
    <w:rsid w:val="005E1ADC"/>
    <w:rsid w:val="005E2E8D"/>
    <w:rsid w:val="005E3110"/>
    <w:rsid w:val="005E31E9"/>
    <w:rsid w:val="005E4267"/>
    <w:rsid w:val="005E4A13"/>
    <w:rsid w:val="005E5D6F"/>
    <w:rsid w:val="005E5E04"/>
    <w:rsid w:val="005E6635"/>
    <w:rsid w:val="005E6D16"/>
    <w:rsid w:val="005E6F8F"/>
    <w:rsid w:val="005E72B4"/>
    <w:rsid w:val="005E7C8A"/>
    <w:rsid w:val="005F0D62"/>
    <w:rsid w:val="005F16FA"/>
    <w:rsid w:val="005F1A27"/>
    <w:rsid w:val="005F1E3C"/>
    <w:rsid w:val="005F401F"/>
    <w:rsid w:val="005F47A2"/>
    <w:rsid w:val="005F491B"/>
    <w:rsid w:val="005F716A"/>
    <w:rsid w:val="005F79D2"/>
    <w:rsid w:val="006011F4"/>
    <w:rsid w:val="00601CEF"/>
    <w:rsid w:val="0060267D"/>
    <w:rsid w:val="00602A35"/>
    <w:rsid w:val="0060376C"/>
    <w:rsid w:val="0060412F"/>
    <w:rsid w:val="00604C30"/>
    <w:rsid w:val="006070B5"/>
    <w:rsid w:val="006116F5"/>
    <w:rsid w:val="00611923"/>
    <w:rsid w:val="00611E1C"/>
    <w:rsid w:val="00612DAD"/>
    <w:rsid w:val="00614010"/>
    <w:rsid w:val="006145CB"/>
    <w:rsid w:val="00616412"/>
    <w:rsid w:val="00617404"/>
    <w:rsid w:val="00617476"/>
    <w:rsid w:val="00617F6D"/>
    <w:rsid w:val="0062276C"/>
    <w:rsid w:val="0062276F"/>
    <w:rsid w:val="00622DCD"/>
    <w:rsid w:val="00623FE4"/>
    <w:rsid w:val="0062489D"/>
    <w:rsid w:val="0062575C"/>
    <w:rsid w:val="00625F60"/>
    <w:rsid w:val="00626A33"/>
    <w:rsid w:val="00627079"/>
    <w:rsid w:val="00627939"/>
    <w:rsid w:val="00631A02"/>
    <w:rsid w:val="00631A93"/>
    <w:rsid w:val="006320AA"/>
    <w:rsid w:val="00633AFC"/>
    <w:rsid w:val="00633FD6"/>
    <w:rsid w:val="006353B3"/>
    <w:rsid w:val="0063540B"/>
    <w:rsid w:val="00635FC8"/>
    <w:rsid w:val="00636B5D"/>
    <w:rsid w:val="00641A3F"/>
    <w:rsid w:val="00643B2A"/>
    <w:rsid w:val="006448E1"/>
    <w:rsid w:val="00645A94"/>
    <w:rsid w:val="006464ED"/>
    <w:rsid w:val="00647D56"/>
    <w:rsid w:val="00650D95"/>
    <w:rsid w:val="00653A1A"/>
    <w:rsid w:val="00654706"/>
    <w:rsid w:val="00654E70"/>
    <w:rsid w:val="0065511F"/>
    <w:rsid w:val="00655343"/>
    <w:rsid w:val="00655B3C"/>
    <w:rsid w:val="00655FB2"/>
    <w:rsid w:val="0065718E"/>
    <w:rsid w:val="00657905"/>
    <w:rsid w:val="00657991"/>
    <w:rsid w:val="00660649"/>
    <w:rsid w:val="006610EB"/>
    <w:rsid w:val="0066119E"/>
    <w:rsid w:val="00661C12"/>
    <w:rsid w:val="006621B4"/>
    <w:rsid w:val="00663493"/>
    <w:rsid w:val="00663826"/>
    <w:rsid w:val="00664525"/>
    <w:rsid w:val="00664599"/>
    <w:rsid w:val="00664AFF"/>
    <w:rsid w:val="0067072C"/>
    <w:rsid w:val="00670D05"/>
    <w:rsid w:val="00671AB0"/>
    <w:rsid w:val="00671EB7"/>
    <w:rsid w:val="006735F8"/>
    <w:rsid w:val="006764EE"/>
    <w:rsid w:val="00676DB8"/>
    <w:rsid w:val="00676EEF"/>
    <w:rsid w:val="006806C4"/>
    <w:rsid w:val="006810FA"/>
    <w:rsid w:val="0068278E"/>
    <w:rsid w:val="00683344"/>
    <w:rsid w:val="006834E3"/>
    <w:rsid w:val="00683BDD"/>
    <w:rsid w:val="00684286"/>
    <w:rsid w:val="0068451C"/>
    <w:rsid w:val="006855E4"/>
    <w:rsid w:val="00685871"/>
    <w:rsid w:val="00687C10"/>
    <w:rsid w:val="0069166A"/>
    <w:rsid w:val="00691C26"/>
    <w:rsid w:val="00691D3D"/>
    <w:rsid w:val="0069303E"/>
    <w:rsid w:val="00693596"/>
    <w:rsid w:val="00693A1D"/>
    <w:rsid w:val="006952B4"/>
    <w:rsid w:val="0069546E"/>
    <w:rsid w:val="00695997"/>
    <w:rsid w:val="00696125"/>
    <w:rsid w:val="006A07A0"/>
    <w:rsid w:val="006A1912"/>
    <w:rsid w:val="006A287E"/>
    <w:rsid w:val="006A3ED5"/>
    <w:rsid w:val="006A475E"/>
    <w:rsid w:val="006A48E4"/>
    <w:rsid w:val="006A4BAA"/>
    <w:rsid w:val="006B0831"/>
    <w:rsid w:val="006B0A60"/>
    <w:rsid w:val="006B0A72"/>
    <w:rsid w:val="006B1E91"/>
    <w:rsid w:val="006B3081"/>
    <w:rsid w:val="006B33E1"/>
    <w:rsid w:val="006B48F0"/>
    <w:rsid w:val="006B6587"/>
    <w:rsid w:val="006B700F"/>
    <w:rsid w:val="006B701D"/>
    <w:rsid w:val="006C075C"/>
    <w:rsid w:val="006C1B35"/>
    <w:rsid w:val="006C1C86"/>
    <w:rsid w:val="006C1E0F"/>
    <w:rsid w:val="006C273E"/>
    <w:rsid w:val="006C2802"/>
    <w:rsid w:val="006C2886"/>
    <w:rsid w:val="006C38F0"/>
    <w:rsid w:val="006C39D0"/>
    <w:rsid w:val="006C3C41"/>
    <w:rsid w:val="006C3ECE"/>
    <w:rsid w:val="006C4521"/>
    <w:rsid w:val="006C54D0"/>
    <w:rsid w:val="006C7481"/>
    <w:rsid w:val="006D15B8"/>
    <w:rsid w:val="006D2D01"/>
    <w:rsid w:val="006D338F"/>
    <w:rsid w:val="006D33E8"/>
    <w:rsid w:val="006D4943"/>
    <w:rsid w:val="006D4D31"/>
    <w:rsid w:val="006D5952"/>
    <w:rsid w:val="006D61B6"/>
    <w:rsid w:val="006D6321"/>
    <w:rsid w:val="006D65AE"/>
    <w:rsid w:val="006D6633"/>
    <w:rsid w:val="006D68CB"/>
    <w:rsid w:val="006D6A79"/>
    <w:rsid w:val="006D6E48"/>
    <w:rsid w:val="006D765B"/>
    <w:rsid w:val="006D7803"/>
    <w:rsid w:val="006E0232"/>
    <w:rsid w:val="006E0768"/>
    <w:rsid w:val="006E0DFE"/>
    <w:rsid w:val="006E1408"/>
    <w:rsid w:val="006E494F"/>
    <w:rsid w:val="006E525F"/>
    <w:rsid w:val="006E5517"/>
    <w:rsid w:val="006E555E"/>
    <w:rsid w:val="006E71A4"/>
    <w:rsid w:val="006E78BB"/>
    <w:rsid w:val="006F0480"/>
    <w:rsid w:val="006F20DB"/>
    <w:rsid w:val="006F316B"/>
    <w:rsid w:val="006F35BF"/>
    <w:rsid w:val="006F6766"/>
    <w:rsid w:val="006F7B88"/>
    <w:rsid w:val="007000DC"/>
    <w:rsid w:val="0070148B"/>
    <w:rsid w:val="007017E4"/>
    <w:rsid w:val="00701B22"/>
    <w:rsid w:val="007020BA"/>
    <w:rsid w:val="00702117"/>
    <w:rsid w:val="00703342"/>
    <w:rsid w:val="007033CE"/>
    <w:rsid w:val="007034E2"/>
    <w:rsid w:val="007038C2"/>
    <w:rsid w:val="0070463A"/>
    <w:rsid w:val="007063BA"/>
    <w:rsid w:val="00706433"/>
    <w:rsid w:val="00706A1C"/>
    <w:rsid w:val="007071E2"/>
    <w:rsid w:val="007078E9"/>
    <w:rsid w:val="00707F91"/>
    <w:rsid w:val="00715C96"/>
    <w:rsid w:val="00715CBB"/>
    <w:rsid w:val="00716890"/>
    <w:rsid w:val="00717543"/>
    <w:rsid w:val="007175F6"/>
    <w:rsid w:val="0072036F"/>
    <w:rsid w:val="00720991"/>
    <w:rsid w:val="00720BBE"/>
    <w:rsid w:val="00720F40"/>
    <w:rsid w:val="00721AE8"/>
    <w:rsid w:val="00721D60"/>
    <w:rsid w:val="00721E33"/>
    <w:rsid w:val="00722729"/>
    <w:rsid w:val="00724036"/>
    <w:rsid w:val="00724757"/>
    <w:rsid w:val="00726D1E"/>
    <w:rsid w:val="00727027"/>
    <w:rsid w:val="00727972"/>
    <w:rsid w:val="00727E9F"/>
    <w:rsid w:val="00730349"/>
    <w:rsid w:val="00731249"/>
    <w:rsid w:val="00731321"/>
    <w:rsid w:val="0073136C"/>
    <w:rsid w:val="007316E7"/>
    <w:rsid w:val="00731A01"/>
    <w:rsid w:val="00732DDA"/>
    <w:rsid w:val="007331C8"/>
    <w:rsid w:val="00733A45"/>
    <w:rsid w:val="00734A51"/>
    <w:rsid w:val="0074013C"/>
    <w:rsid w:val="00740449"/>
    <w:rsid w:val="00741897"/>
    <w:rsid w:val="00742BC7"/>
    <w:rsid w:val="007441F1"/>
    <w:rsid w:val="00746AAA"/>
    <w:rsid w:val="007476F4"/>
    <w:rsid w:val="0075020A"/>
    <w:rsid w:val="00752113"/>
    <w:rsid w:val="00753665"/>
    <w:rsid w:val="00753A8D"/>
    <w:rsid w:val="00753E03"/>
    <w:rsid w:val="00754BC6"/>
    <w:rsid w:val="00756D1D"/>
    <w:rsid w:val="007574ED"/>
    <w:rsid w:val="00760B97"/>
    <w:rsid w:val="00761CA6"/>
    <w:rsid w:val="00762506"/>
    <w:rsid w:val="00764629"/>
    <w:rsid w:val="00765F06"/>
    <w:rsid w:val="00766A68"/>
    <w:rsid w:val="00767E38"/>
    <w:rsid w:val="00770E21"/>
    <w:rsid w:val="007710EF"/>
    <w:rsid w:val="0077127D"/>
    <w:rsid w:val="00771D47"/>
    <w:rsid w:val="00771F67"/>
    <w:rsid w:val="00772043"/>
    <w:rsid w:val="007740F1"/>
    <w:rsid w:val="00777834"/>
    <w:rsid w:val="00780175"/>
    <w:rsid w:val="00780952"/>
    <w:rsid w:val="00780E1B"/>
    <w:rsid w:val="007830A3"/>
    <w:rsid w:val="00784A76"/>
    <w:rsid w:val="00786E9D"/>
    <w:rsid w:val="00787142"/>
    <w:rsid w:val="007873D0"/>
    <w:rsid w:val="00787C72"/>
    <w:rsid w:val="007906B6"/>
    <w:rsid w:val="00790BF7"/>
    <w:rsid w:val="00790F19"/>
    <w:rsid w:val="00790F3F"/>
    <w:rsid w:val="007920E6"/>
    <w:rsid w:val="00792CD2"/>
    <w:rsid w:val="00793186"/>
    <w:rsid w:val="007938E5"/>
    <w:rsid w:val="00794A38"/>
    <w:rsid w:val="0079506C"/>
    <w:rsid w:val="0079559D"/>
    <w:rsid w:val="007956EA"/>
    <w:rsid w:val="007968B0"/>
    <w:rsid w:val="00796AA1"/>
    <w:rsid w:val="00796B27"/>
    <w:rsid w:val="00796B7C"/>
    <w:rsid w:val="00796F74"/>
    <w:rsid w:val="007974D7"/>
    <w:rsid w:val="00797C64"/>
    <w:rsid w:val="007A016F"/>
    <w:rsid w:val="007A0C76"/>
    <w:rsid w:val="007A1124"/>
    <w:rsid w:val="007A1226"/>
    <w:rsid w:val="007A2BBC"/>
    <w:rsid w:val="007A3DB4"/>
    <w:rsid w:val="007A4809"/>
    <w:rsid w:val="007A49E4"/>
    <w:rsid w:val="007A4E26"/>
    <w:rsid w:val="007A5016"/>
    <w:rsid w:val="007A6255"/>
    <w:rsid w:val="007A66B8"/>
    <w:rsid w:val="007B1882"/>
    <w:rsid w:val="007B1C6C"/>
    <w:rsid w:val="007B1FCB"/>
    <w:rsid w:val="007B457A"/>
    <w:rsid w:val="007B497E"/>
    <w:rsid w:val="007B538B"/>
    <w:rsid w:val="007B561D"/>
    <w:rsid w:val="007B58ED"/>
    <w:rsid w:val="007B5E0C"/>
    <w:rsid w:val="007B62BE"/>
    <w:rsid w:val="007B66FF"/>
    <w:rsid w:val="007B6C27"/>
    <w:rsid w:val="007B7650"/>
    <w:rsid w:val="007C04CB"/>
    <w:rsid w:val="007C0955"/>
    <w:rsid w:val="007C0A19"/>
    <w:rsid w:val="007C1756"/>
    <w:rsid w:val="007C187D"/>
    <w:rsid w:val="007C3935"/>
    <w:rsid w:val="007C4398"/>
    <w:rsid w:val="007C49A4"/>
    <w:rsid w:val="007C4F54"/>
    <w:rsid w:val="007C58B8"/>
    <w:rsid w:val="007C6450"/>
    <w:rsid w:val="007C7936"/>
    <w:rsid w:val="007C7F71"/>
    <w:rsid w:val="007D04E4"/>
    <w:rsid w:val="007D4D03"/>
    <w:rsid w:val="007D58DE"/>
    <w:rsid w:val="007D60BA"/>
    <w:rsid w:val="007D694A"/>
    <w:rsid w:val="007D6F31"/>
    <w:rsid w:val="007D7688"/>
    <w:rsid w:val="007E0E6A"/>
    <w:rsid w:val="007E0EF2"/>
    <w:rsid w:val="007E1596"/>
    <w:rsid w:val="007E2031"/>
    <w:rsid w:val="007E2331"/>
    <w:rsid w:val="007E2FCC"/>
    <w:rsid w:val="007E3A2F"/>
    <w:rsid w:val="007E3E74"/>
    <w:rsid w:val="007E4C7B"/>
    <w:rsid w:val="007E59FF"/>
    <w:rsid w:val="007E5BED"/>
    <w:rsid w:val="007E6026"/>
    <w:rsid w:val="007E62B4"/>
    <w:rsid w:val="007E72ED"/>
    <w:rsid w:val="007E7E57"/>
    <w:rsid w:val="007F013B"/>
    <w:rsid w:val="007F1407"/>
    <w:rsid w:val="007F15F3"/>
    <w:rsid w:val="007F166D"/>
    <w:rsid w:val="007F1FBB"/>
    <w:rsid w:val="007F3A94"/>
    <w:rsid w:val="007F3BC4"/>
    <w:rsid w:val="007F73CC"/>
    <w:rsid w:val="007F75A6"/>
    <w:rsid w:val="00802841"/>
    <w:rsid w:val="00803140"/>
    <w:rsid w:val="00803B53"/>
    <w:rsid w:val="00804387"/>
    <w:rsid w:val="00804DA6"/>
    <w:rsid w:val="00805D55"/>
    <w:rsid w:val="0080629B"/>
    <w:rsid w:val="00806426"/>
    <w:rsid w:val="00807969"/>
    <w:rsid w:val="00807F22"/>
    <w:rsid w:val="0081058A"/>
    <w:rsid w:val="00811317"/>
    <w:rsid w:val="00812B17"/>
    <w:rsid w:val="008137DB"/>
    <w:rsid w:val="008141B3"/>
    <w:rsid w:val="008158C0"/>
    <w:rsid w:val="00816A1D"/>
    <w:rsid w:val="00816DC3"/>
    <w:rsid w:val="008202D1"/>
    <w:rsid w:val="00820F99"/>
    <w:rsid w:val="008214B0"/>
    <w:rsid w:val="00821F89"/>
    <w:rsid w:val="0082243A"/>
    <w:rsid w:val="008224BC"/>
    <w:rsid w:val="0082322F"/>
    <w:rsid w:val="00823812"/>
    <w:rsid w:val="00823B5D"/>
    <w:rsid w:val="00823EC6"/>
    <w:rsid w:val="00824330"/>
    <w:rsid w:val="008247EF"/>
    <w:rsid w:val="00824E70"/>
    <w:rsid w:val="00825FF4"/>
    <w:rsid w:val="00826AD5"/>
    <w:rsid w:val="00827140"/>
    <w:rsid w:val="008279BA"/>
    <w:rsid w:val="00830F55"/>
    <w:rsid w:val="00830FC6"/>
    <w:rsid w:val="008330CB"/>
    <w:rsid w:val="00833D19"/>
    <w:rsid w:val="00833E35"/>
    <w:rsid w:val="008345AF"/>
    <w:rsid w:val="00834BB9"/>
    <w:rsid w:val="0083611C"/>
    <w:rsid w:val="00836567"/>
    <w:rsid w:val="00837017"/>
    <w:rsid w:val="00840DF4"/>
    <w:rsid w:val="00842248"/>
    <w:rsid w:val="00842A39"/>
    <w:rsid w:val="00843751"/>
    <w:rsid w:val="00843A55"/>
    <w:rsid w:val="008441D5"/>
    <w:rsid w:val="00847DBC"/>
    <w:rsid w:val="00847E05"/>
    <w:rsid w:val="00850840"/>
    <w:rsid w:val="00851C72"/>
    <w:rsid w:val="00851DDA"/>
    <w:rsid w:val="00852771"/>
    <w:rsid w:val="0085292D"/>
    <w:rsid w:val="00853C2E"/>
    <w:rsid w:val="00854C92"/>
    <w:rsid w:val="00855624"/>
    <w:rsid w:val="00855B31"/>
    <w:rsid w:val="00856C88"/>
    <w:rsid w:val="0085717C"/>
    <w:rsid w:val="008573A6"/>
    <w:rsid w:val="00857F3A"/>
    <w:rsid w:val="0086003C"/>
    <w:rsid w:val="00860BF1"/>
    <w:rsid w:val="00860D14"/>
    <w:rsid w:val="00860F2B"/>
    <w:rsid w:val="00862508"/>
    <w:rsid w:val="00863A77"/>
    <w:rsid w:val="00866875"/>
    <w:rsid w:val="00866AF5"/>
    <w:rsid w:val="0087079B"/>
    <w:rsid w:val="00870E20"/>
    <w:rsid w:val="008712B7"/>
    <w:rsid w:val="00871416"/>
    <w:rsid w:val="00871ED9"/>
    <w:rsid w:val="00874E4E"/>
    <w:rsid w:val="00875740"/>
    <w:rsid w:val="00875C73"/>
    <w:rsid w:val="00876A4B"/>
    <w:rsid w:val="00876CAC"/>
    <w:rsid w:val="0087782D"/>
    <w:rsid w:val="008778E6"/>
    <w:rsid w:val="008822E8"/>
    <w:rsid w:val="0088311E"/>
    <w:rsid w:val="0088647F"/>
    <w:rsid w:val="00892061"/>
    <w:rsid w:val="008921B4"/>
    <w:rsid w:val="00892442"/>
    <w:rsid w:val="00892668"/>
    <w:rsid w:val="00893C2A"/>
    <w:rsid w:val="00894CE2"/>
    <w:rsid w:val="0089526B"/>
    <w:rsid w:val="00895705"/>
    <w:rsid w:val="008957C9"/>
    <w:rsid w:val="00895FC3"/>
    <w:rsid w:val="008960D1"/>
    <w:rsid w:val="00896321"/>
    <w:rsid w:val="00896CD6"/>
    <w:rsid w:val="008970C8"/>
    <w:rsid w:val="008972D5"/>
    <w:rsid w:val="00897776"/>
    <w:rsid w:val="00897CA0"/>
    <w:rsid w:val="008A04BE"/>
    <w:rsid w:val="008A1330"/>
    <w:rsid w:val="008A14EA"/>
    <w:rsid w:val="008A15D5"/>
    <w:rsid w:val="008A1F31"/>
    <w:rsid w:val="008A20A8"/>
    <w:rsid w:val="008A418A"/>
    <w:rsid w:val="008A49C0"/>
    <w:rsid w:val="008A6F48"/>
    <w:rsid w:val="008B0D75"/>
    <w:rsid w:val="008B1433"/>
    <w:rsid w:val="008B336D"/>
    <w:rsid w:val="008B3505"/>
    <w:rsid w:val="008B4410"/>
    <w:rsid w:val="008B5B34"/>
    <w:rsid w:val="008B7104"/>
    <w:rsid w:val="008C183A"/>
    <w:rsid w:val="008C4948"/>
    <w:rsid w:val="008C4D39"/>
    <w:rsid w:val="008C556A"/>
    <w:rsid w:val="008C5766"/>
    <w:rsid w:val="008C5D0D"/>
    <w:rsid w:val="008D03DD"/>
    <w:rsid w:val="008D16F3"/>
    <w:rsid w:val="008D1B5E"/>
    <w:rsid w:val="008D3AC0"/>
    <w:rsid w:val="008D3E05"/>
    <w:rsid w:val="008D4EAA"/>
    <w:rsid w:val="008D549D"/>
    <w:rsid w:val="008E029E"/>
    <w:rsid w:val="008E0642"/>
    <w:rsid w:val="008E1921"/>
    <w:rsid w:val="008E20A3"/>
    <w:rsid w:val="008E2594"/>
    <w:rsid w:val="008E459E"/>
    <w:rsid w:val="008E50B3"/>
    <w:rsid w:val="008E58EA"/>
    <w:rsid w:val="008E5D7C"/>
    <w:rsid w:val="008E5DBD"/>
    <w:rsid w:val="008E70E1"/>
    <w:rsid w:val="008F29D9"/>
    <w:rsid w:val="008F4315"/>
    <w:rsid w:val="008F6D82"/>
    <w:rsid w:val="008F7D4F"/>
    <w:rsid w:val="00900973"/>
    <w:rsid w:val="00900A36"/>
    <w:rsid w:val="00900C58"/>
    <w:rsid w:val="00902417"/>
    <w:rsid w:val="00902462"/>
    <w:rsid w:val="00902B6D"/>
    <w:rsid w:val="0090300C"/>
    <w:rsid w:val="0090499A"/>
    <w:rsid w:val="00904A11"/>
    <w:rsid w:val="00904DF6"/>
    <w:rsid w:val="009054CD"/>
    <w:rsid w:val="00905589"/>
    <w:rsid w:val="00907484"/>
    <w:rsid w:val="00907E48"/>
    <w:rsid w:val="00911643"/>
    <w:rsid w:val="00911CBC"/>
    <w:rsid w:val="0091289E"/>
    <w:rsid w:val="009133AB"/>
    <w:rsid w:val="00913511"/>
    <w:rsid w:val="009135FC"/>
    <w:rsid w:val="00915931"/>
    <w:rsid w:val="009163A0"/>
    <w:rsid w:val="00916E6A"/>
    <w:rsid w:val="009219ED"/>
    <w:rsid w:val="0092209C"/>
    <w:rsid w:val="00922476"/>
    <w:rsid w:val="009224ED"/>
    <w:rsid w:val="00922783"/>
    <w:rsid w:val="00923214"/>
    <w:rsid w:val="00923417"/>
    <w:rsid w:val="00926034"/>
    <w:rsid w:val="009275FC"/>
    <w:rsid w:val="0093219A"/>
    <w:rsid w:val="00932F08"/>
    <w:rsid w:val="00933662"/>
    <w:rsid w:val="009337C3"/>
    <w:rsid w:val="00933C8D"/>
    <w:rsid w:val="009341C3"/>
    <w:rsid w:val="00935AA8"/>
    <w:rsid w:val="00936F8F"/>
    <w:rsid w:val="00937758"/>
    <w:rsid w:val="00937EB4"/>
    <w:rsid w:val="00940CB4"/>
    <w:rsid w:val="0094305D"/>
    <w:rsid w:val="00943F40"/>
    <w:rsid w:val="009446CB"/>
    <w:rsid w:val="00944E95"/>
    <w:rsid w:val="009455C1"/>
    <w:rsid w:val="009455D0"/>
    <w:rsid w:val="00947E19"/>
    <w:rsid w:val="00950169"/>
    <w:rsid w:val="0095038A"/>
    <w:rsid w:val="00950652"/>
    <w:rsid w:val="00950710"/>
    <w:rsid w:val="00950CB3"/>
    <w:rsid w:val="00950FC1"/>
    <w:rsid w:val="00951D5C"/>
    <w:rsid w:val="009537EA"/>
    <w:rsid w:val="00955119"/>
    <w:rsid w:val="00955248"/>
    <w:rsid w:val="00960D48"/>
    <w:rsid w:val="00961AA6"/>
    <w:rsid w:val="00963F57"/>
    <w:rsid w:val="009657C8"/>
    <w:rsid w:val="00965971"/>
    <w:rsid w:val="00965BF1"/>
    <w:rsid w:val="00967E22"/>
    <w:rsid w:val="00970932"/>
    <w:rsid w:val="009710E4"/>
    <w:rsid w:val="00971380"/>
    <w:rsid w:val="00971D10"/>
    <w:rsid w:val="0097210C"/>
    <w:rsid w:val="009734A1"/>
    <w:rsid w:val="009735B8"/>
    <w:rsid w:val="00973D77"/>
    <w:rsid w:val="009741DB"/>
    <w:rsid w:val="00975183"/>
    <w:rsid w:val="00975B83"/>
    <w:rsid w:val="00976EA2"/>
    <w:rsid w:val="009771BF"/>
    <w:rsid w:val="00977FBA"/>
    <w:rsid w:val="0098024E"/>
    <w:rsid w:val="00981525"/>
    <w:rsid w:val="009819C2"/>
    <w:rsid w:val="00982F48"/>
    <w:rsid w:val="0098308B"/>
    <w:rsid w:val="009833A2"/>
    <w:rsid w:val="00983ACD"/>
    <w:rsid w:val="009840D2"/>
    <w:rsid w:val="009854ED"/>
    <w:rsid w:val="0098575B"/>
    <w:rsid w:val="009877B0"/>
    <w:rsid w:val="0098792F"/>
    <w:rsid w:val="00990323"/>
    <w:rsid w:val="00990AF5"/>
    <w:rsid w:val="00990BA2"/>
    <w:rsid w:val="00991163"/>
    <w:rsid w:val="00991EA9"/>
    <w:rsid w:val="00991FCC"/>
    <w:rsid w:val="00992BBF"/>
    <w:rsid w:val="00992E2B"/>
    <w:rsid w:val="0099322D"/>
    <w:rsid w:val="009936CD"/>
    <w:rsid w:val="0099430A"/>
    <w:rsid w:val="009944FA"/>
    <w:rsid w:val="00994ED6"/>
    <w:rsid w:val="00997DE4"/>
    <w:rsid w:val="009A106F"/>
    <w:rsid w:val="009A3138"/>
    <w:rsid w:val="009A3749"/>
    <w:rsid w:val="009A3C94"/>
    <w:rsid w:val="009A4201"/>
    <w:rsid w:val="009A49E4"/>
    <w:rsid w:val="009A4BEB"/>
    <w:rsid w:val="009A547C"/>
    <w:rsid w:val="009A702D"/>
    <w:rsid w:val="009B0525"/>
    <w:rsid w:val="009B17DA"/>
    <w:rsid w:val="009B2C3B"/>
    <w:rsid w:val="009B3757"/>
    <w:rsid w:val="009B3983"/>
    <w:rsid w:val="009B48DD"/>
    <w:rsid w:val="009B513F"/>
    <w:rsid w:val="009B7268"/>
    <w:rsid w:val="009B7697"/>
    <w:rsid w:val="009B7CCF"/>
    <w:rsid w:val="009C042A"/>
    <w:rsid w:val="009C0918"/>
    <w:rsid w:val="009C0B56"/>
    <w:rsid w:val="009C163D"/>
    <w:rsid w:val="009C3F42"/>
    <w:rsid w:val="009C42DF"/>
    <w:rsid w:val="009C4329"/>
    <w:rsid w:val="009C44EC"/>
    <w:rsid w:val="009C4C29"/>
    <w:rsid w:val="009C4CF0"/>
    <w:rsid w:val="009C57F9"/>
    <w:rsid w:val="009C5812"/>
    <w:rsid w:val="009C6D64"/>
    <w:rsid w:val="009C6DB0"/>
    <w:rsid w:val="009C7AAB"/>
    <w:rsid w:val="009D0138"/>
    <w:rsid w:val="009D0DF9"/>
    <w:rsid w:val="009D1DF0"/>
    <w:rsid w:val="009D1F39"/>
    <w:rsid w:val="009D22B9"/>
    <w:rsid w:val="009D2EB5"/>
    <w:rsid w:val="009D42C9"/>
    <w:rsid w:val="009D4397"/>
    <w:rsid w:val="009D45FA"/>
    <w:rsid w:val="009D65C3"/>
    <w:rsid w:val="009E081B"/>
    <w:rsid w:val="009E2576"/>
    <w:rsid w:val="009E3D01"/>
    <w:rsid w:val="009E486C"/>
    <w:rsid w:val="009E498D"/>
    <w:rsid w:val="009E4BCA"/>
    <w:rsid w:val="009E5858"/>
    <w:rsid w:val="009E6329"/>
    <w:rsid w:val="009E657F"/>
    <w:rsid w:val="009F0C15"/>
    <w:rsid w:val="009F24FA"/>
    <w:rsid w:val="009F2E08"/>
    <w:rsid w:val="009F367B"/>
    <w:rsid w:val="009F418C"/>
    <w:rsid w:val="009F615C"/>
    <w:rsid w:val="009F6B8C"/>
    <w:rsid w:val="009F6B95"/>
    <w:rsid w:val="009F7A15"/>
    <w:rsid w:val="00A00646"/>
    <w:rsid w:val="00A01749"/>
    <w:rsid w:val="00A02008"/>
    <w:rsid w:val="00A02B2C"/>
    <w:rsid w:val="00A042DC"/>
    <w:rsid w:val="00A0464B"/>
    <w:rsid w:val="00A051F4"/>
    <w:rsid w:val="00A06C75"/>
    <w:rsid w:val="00A06F63"/>
    <w:rsid w:val="00A07144"/>
    <w:rsid w:val="00A07E0B"/>
    <w:rsid w:val="00A07EC6"/>
    <w:rsid w:val="00A110CB"/>
    <w:rsid w:val="00A11D2D"/>
    <w:rsid w:val="00A12025"/>
    <w:rsid w:val="00A12AB7"/>
    <w:rsid w:val="00A130C8"/>
    <w:rsid w:val="00A13FF2"/>
    <w:rsid w:val="00A14BE5"/>
    <w:rsid w:val="00A16146"/>
    <w:rsid w:val="00A166E5"/>
    <w:rsid w:val="00A21029"/>
    <w:rsid w:val="00A2160A"/>
    <w:rsid w:val="00A21A06"/>
    <w:rsid w:val="00A21B63"/>
    <w:rsid w:val="00A225D2"/>
    <w:rsid w:val="00A226BC"/>
    <w:rsid w:val="00A27279"/>
    <w:rsid w:val="00A3080B"/>
    <w:rsid w:val="00A30B36"/>
    <w:rsid w:val="00A30FCB"/>
    <w:rsid w:val="00A33053"/>
    <w:rsid w:val="00A3468D"/>
    <w:rsid w:val="00A34690"/>
    <w:rsid w:val="00A34862"/>
    <w:rsid w:val="00A357C2"/>
    <w:rsid w:val="00A36962"/>
    <w:rsid w:val="00A36D7B"/>
    <w:rsid w:val="00A37EB5"/>
    <w:rsid w:val="00A40767"/>
    <w:rsid w:val="00A408C2"/>
    <w:rsid w:val="00A40FCE"/>
    <w:rsid w:val="00A41F8B"/>
    <w:rsid w:val="00A43D10"/>
    <w:rsid w:val="00A46CD0"/>
    <w:rsid w:val="00A470C9"/>
    <w:rsid w:val="00A50119"/>
    <w:rsid w:val="00A504BE"/>
    <w:rsid w:val="00A5156A"/>
    <w:rsid w:val="00A526FD"/>
    <w:rsid w:val="00A52A1D"/>
    <w:rsid w:val="00A53983"/>
    <w:rsid w:val="00A548F3"/>
    <w:rsid w:val="00A54AE7"/>
    <w:rsid w:val="00A569C4"/>
    <w:rsid w:val="00A56AD3"/>
    <w:rsid w:val="00A56E94"/>
    <w:rsid w:val="00A57D16"/>
    <w:rsid w:val="00A61646"/>
    <w:rsid w:val="00A61FD6"/>
    <w:rsid w:val="00A6354E"/>
    <w:rsid w:val="00A642A9"/>
    <w:rsid w:val="00A650A0"/>
    <w:rsid w:val="00A658E2"/>
    <w:rsid w:val="00A658E9"/>
    <w:rsid w:val="00A65F80"/>
    <w:rsid w:val="00A66DB1"/>
    <w:rsid w:val="00A706CD"/>
    <w:rsid w:val="00A70B46"/>
    <w:rsid w:val="00A711BA"/>
    <w:rsid w:val="00A71728"/>
    <w:rsid w:val="00A72DE4"/>
    <w:rsid w:val="00A73B7F"/>
    <w:rsid w:val="00A7441A"/>
    <w:rsid w:val="00A76AB5"/>
    <w:rsid w:val="00A77C45"/>
    <w:rsid w:val="00A800B2"/>
    <w:rsid w:val="00A8052A"/>
    <w:rsid w:val="00A80B06"/>
    <w:rsid w:val="00A817FD"/>
    <w:rsid w:val="00A81E2C"/>
    <w:rsid w:val="00A826C0"/>
    <w:rsid w:val="00A8304D"/>
    <w:rsid w:val="00A83718"/>
    <w:rsid w:val="00A84A14"/>
    <w:rsid w:val="00A85392"/>
    <w:rsid w:val="00A85589"/>
    <w:rsid w:val="00A86730"/>
    <w:rsid w:val="00A86E52"/>
    <w:rsid w:val="00A8703C"/>
    <w:rsid w:val="00A87406"/>
    <w:rsid w:val="00A875EA"/>
    <w:rsid w:val="00A87B29"/>
    <w:rsid w:val="00A900AD"/>
    <w:rsid w:val="00A91AF1"/>
    <w:rsid w:val="00A92A92"/>
    <w:rsid w:val="00A935E2"/>
    <w:rsid w:val="00A94EFD"/>
    <w:rsid w:val="00A95CB0"/>
    <w:rsid w:val="00A96564"/>
    <w:rsid w:val="00A973C0"/>
    <w:rsid w:val="00A97BCD"/>
    <w:rsid w:val="00AA161F"/>
    <w:rsid w:val="00AA16CE"/>
    <w:rsid w:val="00AA243D"/>
    <w:rsid w:val="00AA2577"/>
    <w:rsid w:val="00AA55D9"/>
    <w:rsid w:val="00AA61E6"/>
    <w:rsid w:val="00AA64EE"/>
    <w:rsid w:val="00AA6B7E"/>
    <w:rsid w:val="00AA7AC5"/>
    <w:rsid w:val="00AA7DD9"/>
    <w:rsid w:val="00AA7ED8"/>
    <w:rsid w:val="00AB0D9A"/>
    <w:rsid w:val="00AB0F1E"/>
    <w:rsid w:val="00AB1BF5"/>
    <w:rsid w:val="00AB208C"/>
    <w:rsid w:val="00AB3A7C"/>
    <w:rsid w:val="00AB4830"/>
    <w:rsid w:val="00AB5168"/>
    <w:rsid w:val="00AB516D"/>
    <w:rsid w:val="00AB64C6"/>
    <w:rsid w:val="00AB6994"/>
    <w:rsid w:val="00AB69F3"/>
    <w:rsid w:val="00AC12C4"/>
    <w:rsid w:val="00AC17AB"/>
    <w:rsid w:val="00AC1A2E"/>
    <w:rsid w:val="00AC42B8"/>
    <w:rsid w:val="00AC4549"/>
    <w:rsid w:val="00AC4857"/>
    <w:rsid w:val="00AC5373"/>
    <w:rsid w:val="00AC5C91"/>
    <w:rsid w:val="00AD074A"/>
    <w:rsid w:val="00AD0B21"/>
    <w:rsid w:val="00AD200C"/>
    <w:rsid w:val="00AD3045"/>
    <w:rsid w:val="00AD3AE1"/>
    <w:rsid w:val="00AD3E09"/>
    <w:rsid w:val="00AD3E79"/>
    <w:rsid w:val="00AE2C7C"/>
    <w:rsid w:val="00AE3404"/>
    <w:rsid w:val="00AE565F"/>
    <w:rsid w:val="00AE6586"/>
    <w:rsid w:val="00AE67B6"/>
    <w:rsid w:val="00AE6B76"/>
    <w:rsid w:val="00AE7AAE"/>
    <w:rsid w:val="00AE7C1F"/>
    <w:rsid w:val="00AF28DF"/>
    <w:rsid w:val="00AF2C30"/>
    <w:rsid w:val="00AF2FDA"/>
    <w:rsid w:val="00AF7701"/>
    <w:rsid w:val="00B0078C"/>
    <w:rsid w:val="00B01B85"/>
    <w:rsid w:val="00B02B1D"/>
    <w:rsid w:val="00B0443C"/>
    <w:rsid w:val="00B06972"/>
    <w:rsid w:val="00B070A4"/>
    <w:rsid w:val="00B0773D"/>
    <w:rsid w:val="00B10201"/>
    <w:rsid w:val="00B11DF7"/>
    <w:rsid w:val="00B132ED"/>
    <w:rsid w:val="00B14217"/>
    <w:rsid w:val="00B145D6"/>
    <w:rsid w:val="00B149A8"/>
    <w:rsid w:val="00B15163"/>
    <w:rsid w:val="00B15D6C"/>
    <w:rsid w:val="00B17543"/>
    <w:rsid w:val="00B17EAA"/>
    <w:rsid w:val="00B21352"/>
    <w:rsid w:val="00B214D8"/>
    <w:rsid w:val="00B226E3"/>
    <w:rsid w:val="00B2443E"/>
    <w:rsid w:val="00B246E4"/>
    <w:rsid w:val="00B253DE"/>
    <w:rsid w:val="00B26444"/>
    <w:rsid w:val="00B26B3C"/>
    <w:rsid w:val="00B26F59"/>
    <w:rsid w:val="00B2707B"/>
    <w:rsid w:val="00B27924"/>
    <w:rsid w:val="00B27E2B"/>
    <w:rsid w:val="00B32502"/>
    <w:rsid w:val="00B3335F"/>
    <w:rsid w:val="00B33F73"/>
    <w:rsid w:val="00B353BD"/>
    <w:rsid w:val="00B35AFA"/>
    <w:rsid w:val="00B366EE"/>
    <w:rsid w:val="00B3701A"/>
    <w:rsid w:val="00B40846"/>
    <w:rsid w:val="00B40CB1"/>
    <w:rsid w:val="00B416E6"/>
    <w:rsid w:val="00B41EA9"/>
    <w:rsid w:val="00B4251C"/>
    <w:rsid w:val="00B449E3"/>
    <w:rsid w:val="00B45600"/>
    <w:rsid w:val="00B459EC"/>
    <w:rsid w:val="00B46284"/>
    <w:rsid w:val="00B4638C"/>
    <w:rsid w:val="00B46714"/>
    <w:rsid w:val="00B46869"/>
    <w:rsid w:val="00B46A9D"/>
    <w:rsid w:val="00B52EAA"/>
    <w:rsid w:val="00B5626D"/>
    <w:rsid w:val="00B562CD"/>
    <w:rsid w:val="00B564B5"/>
    <w:rsid w:val="00B5734A"/>
    <w:rsid w:val="00B5776A"/>
    <w:rsid w:val="00B60CD3"/>
    <w:rsid w:val="00B61D1D"/>
    <w:rsid w:val="00B63D51"/>
    <w:rsid w:val="00B650D9"/>
    <w:rsid w:val="00B651AD"/>
    <w:rsid w:val="00B653FE"/>
    <w:rsid w:val="00B6646A"/>
    <w:rsid w:val="00B66D54"/>
    <w:rsid w:val="00B66D61"/>
    <w:rsid w:val="00B70D73"/>
    <w:rsid w:val="00B719E5"/>
    <w:rsid w:val="00B71FA3"/>
    <w:rsid w:val="00B73ADA"/>
    <w:rsid w:val="00B7492A"/>
    <w:rsid w:val="00B74D9E"/>
    <w:rsid w:val="00B7507E"/>
    <w:rsid w:val="00B76480"/>
    <w:rsid w:val="00B771DE"/>
    <w:rsid w:val="00B810EA"/>
    <w:rsid w:val="00B82816"/>
    <w:rsid w:val="00B830C8"/>
    <w:rsid w:val="00B83969"/>
    <w:rsid w:val="00B83C5E"/>
    <w:rsid w:val="00B841ED"/>
    <w:rsid w:val="00B85F31"/>
    <w:rsid w:val="00B86921"/>
    <w:rsid w:val="00B86BB2"/>
    <w:rsid w:val="00B87B63"/>
    <w:rsid w:val="00B91A8C"/>
    <w:rsid w:val="00B92BE0"/>
    <w:rsid w:val="00B953A2"/>
    <w:rsid w:val="00B96F98"/>
    <w:rsid w:val="00B972CD"/>
    <w:rsid w:val="00B97324"/>
    <w:rsid w:val="00B97339"/>
    <w:rsid w:val="00B97F1F"/>
    <w:rsid w:val="00BA0A6E"/>
    <w:rsid w:val="00BA0C74"/>
    <w:rsid w:val="00BA0F12"/>
    <w:rsid w:val="00BA24A4"/>
    <w:rsid w:val="00BA2D89"/>
    <w:rsid w:val="00BA3365"/>
    <w:rsid w:val="00BA38FB"/>
    <w:rsid w:val="00BA3CE7"/>
    <w:rsid w:val="00BA40D0"/>
    <w:rsid w:val="00BB00C3"/>
    <w:rsid w:val="00BB0B1D"/>
    <w:rsid w:val="00BB13ED"/>
    <w:rsid w:val="00BB2236"/>
    <w:rsid w:val="00BB46EB"/>
    <w:rsid w:val="00BB4C7A"/>
    <w:rsid w:val="00BB54AD"/>
    <w:rsid w:val="00BB65F7"/>
    <w:rsid w:val="00BB6600"/>
    <w:rsid w:val="00BB7B22"/>
    <w:rsid w:val="00BB7D6D"/>
    <w:rsid w:val="00BC0904"/>
    <w:rsid w:val="00BC1016"/>
    <w:rsid w:val="00BC21D9"/>
    <w:rsid w:val="00BC29F6"/>
    <w:rsid w:val="00BC3271"/>
    <w:rsid w:val="00BC39A0"/>
    <w:rsid w:val="00BC4AC6"/>
    <w:rsid w:val="00BC4B9F"/>
    <w:rsid w:val="00BC63DC"/>
    <w:rsid w:val="00BC68E8"/>
    <w:rsid w:val="00BC781F"/>
    <w:rsid w:val="00BC78EB"/>
    <w:rsid w:val="00BC7C23"/>
    <w:rsid w:val="00BD0040"/>
    <w:rsid w:val="00BD0C87"/>
    <w:rsid w:val="00BD0F98"/>
    <w:rsid w:val="00BD15D4"/>
    <w:rsid w:val="00BD1E5F"/>
    <w:rsid w:val="00BD2960"/>
    <w:rsid w:val="00BD3079"/>
    <w:rsid w:val="00BD32DD"/>
    <w:rsid w:val="00BD4671"/>
    <w:rsid w:val="00BD49C3"/>
    <w:rsid w:val="00BD59E1"/>
    <w:rsid w:val="00BD5C54"/>
    <w:rsid w:val="00BD6289"/>
    <w:rsid w:val="00BD62A0"/>
    <w:rsid w:val="00BD7C48"/>
    <w:rsid w:val="00BE2545"/>
    <w:rsid w:val="00BE2A2B"/>
    <w:rsid w:val="00BE4817"/>
    <w:rsid w:val="00BE5997"/>
    <w:rsid w:val="00BE6858"/>
    <w:rsid w:val="00BE6A72"/>
    <w:rsid w:val="00BF0068"/>
    <w:rsid w:val="00BF09FC"/>
    <w:rsid w:val="00BF4280"/>
    <w:rsid w:val="00BF51F3"/>
    <w:rsid w:val="00BF60F5"/>
    <w:rsid w:val="00BF665B"/>
    <w:rsid w:val="00C016EB"/>
    <w:rsid w:val="00C01D44"/>
    <w:rsid w:val="00C024FF"/>
    <w:rsid w:val="00C027FA"/>
    <w:rsid w:val="00C0329B"/>
    <w:rsid w:val="00C0487E"/>
    <w:rsid w:val="00C049CF"/>
    <w:rsid w:val="00C0677E"/>
    <w:rsid w:val="00C07325"/>
    <w:rsid w:val="00C079E1"/>
    <w:rsid w:val="00C10E9E"/>
    <w:rsid w:val="00C11609"/>
    <w:rsid w:val="00C1210D"/>
    <w:rsid w:val="00C134CE"/>
    <w:rsid w:val="00C14116"/>
    <w:rsid w:val="00C14394"/>
    <w:rsid w:val="00C14BD7"/>
    <w:rsid w:val="00C168B5"/>
    <w:rsid w:val="00C17CCB"/>
    <w:rsid w:val="00C2020D"/>
    <w:rsid w:val="00C20BFA"/>
    <w:rsid w:val="00C2138A"/>
    <w:rsid w:val="00C22B85"/>
    <w:rsid w:val="00C23170"/>
    <w:rsid w:val="00C232FA"/>
    <w:rsid w:val="00C233DC"/>
    <w:rsid w:val="00C23D2A"/>
    <w:rsid w:val="00C24F5D"/>
    <w:rsid w:val="00C25254"/>
    <w:rsid w:val="00C26479"/>
    <w:rsid w:val="00C26A61"/>
    <w:rsid w:val="00C26E2C"/>
    <w:rsid w:val="00C2740D"/>
    <w:rsid w:val="00C300EA"/>
    <w:rsid w:val="00C3232D"/>
    <w:rsid w:val="00C34165"/>
    <w:rsid w:val="00C34209"/>
    <w:rsid w:val="00C3482B"/>
    <w:rsid w:val="00C35A77"/>
    <w:rsid w:val="00C35E93"/>
    <w:rsid w:val="00C36B28"/>
    <w:rsid w:val="00C40C74"/>
    <w:rsid w:val="00C42FEB"/>
    <w:rsid w:val="00C45AE7"/>
    <w:rsid w:val="00C45AF3"/>
    <w:rsid w:val="00C46034"/>
    <w:rsid w:val="00C5210A"/>
    <w:rsid w:val="00C52B4E"/>
    <w:rsid w:val="00C5327F"/>
    <w:rsid w:val="00C5374B"/>
    <w:rsid w:val="00C54CDE"/>
    <w:rsid w:val="00C56177"/>
    <w:rsid w:val="00C56475"/>
    <w:rsid w:val="00C5699F"/>
    <w:rsid w:val="00C57226"/>
    <w:rsid w:val="00C57E3D"/>
    <w:rsid w:val="00C60298"/>
    <w:rsid w:val="00C604A7"/>
    <w:rsid w:val="00C60983"/>
    <w:rsid w:val="00C6379A"/>
    <w:rsid w:val="00C63D3D"/>
    <w:rsid w:val="00C65479"/>
    <w:rsid w:val="00C666A7"/>
    <w:rsid w:val="00C673FB"/>
    <w:rsid w:val="00C678C1"/>
    <w:rsid w:val="00C70F42"/>
    <w:rsid w:val="00C71199"/>
    <w:rsid w:val="00C71E04"/>
    <w:rsid w:val="00C72235"/>
    <w:rsid w:val="00C72C15"/>
    <w:rsid w:val="00C7356A"/>
    <w:rsid w:val="00C7477E"/>
    <w:rsid w:val="00C754E9"/>
    <w:rsid w:val="00C77101"/>
    <w:rsid w:val="00C77375"/>
    <w:rsid w:val="00C77A55"/>
    <w:rsid w:val="00C817C3"/>
    <w:rsid w:val="00C83223"/>
    <w:rsid w:val="00C8322F"/>
    <w:rsid w:val="00C835DE"/>
    <w:rsid w:val="00C83738"/>
    <w:rsid w:val="00C838AE"/>
    <w:rsid w:val="00C83DF9"/>
    <w:rsid w:val="00C84F1C"/>
    <w:rsid w:val="00C85823"/>
    <w:rsid w:val="00C86569"/>
    <w:rsid w:val="00C868BB"/>
    <w:rsid w:val="00C90961"/>
    <w:rsid w:val="00C90D46"/>
    <w:rsid w:val="00C93168"/>
    <w:rsid w:val="00C93783"/>
    <w:rsid w:val="00C9394F"/>
    <w:rsid w:val="00C93D8D"/>
    <w:rsid w:val="00C9414E"/>
    <w:rsid w:val="00C945D7"/>
    <w:rsid w:val="00C94E47"/>
    <w:rsid w:val="00C95B36"/>
    <w:rsid w:val="00C97E59"/>
    <w:rsid w:val="00CA0AF8"/>
    <w:rsid w:val="00CA16D7"/>
    <w:rsid w:val="00CA3009"/>
    <w:rsid w:val="00CA356F"/>
    <w:rsid w:val="00CA44A2"/>
    <w:rsid w:val="00CA4C0E"/>
    <w:rsid w:val="00CA564C"/>
    <w:rsid w:val="00CA61EA"/>
    <w:rsid w:val="00CA6D82"/>
    <w:rsid w:val="00CA74B7"/>
    <w:rsid w:val="00CA7639"/>
    <w:rsid w:val="00CB1013"/>
    <w:rsid w:val="00CB112E"/>
    <w:rsid w:val="00CB2456"/>
    <w:rsid w:val="00CB26E7"/>
    <w:rsid w:val="00CB2816"/>
    <w:rsid w:val="00CB2AB6"/>
    <w:rsid w:val="00CB3788"/>
    <w:rsid w:val="00CB3A1F"/>
    <w:rsid w:val="00CB3ABA"/>
    <w:rsid w:val="00CB3E78"/>
    <w:rsid w:val="00CB426C"/>
    <w:rsid w:val="00CB43BA"/>
    <w:rsid w:val="00CB58C4"/>
    <w:rsid w:val="00CB7F03"/>
    <w:rsid w:val="00CC017F"/>
    <w:rsid w:val="00CC15E0"/>
    <w:rsid w:val="00CC1BD2"/>
    <w:rsid w:val="00CC291E"/>
    <w:rsid w:val="00CC319A"/>
    <w:rsid w:val="00CC4644"/>
    <w:rsid w:val="00CC4B35"/>
    <w:rsid w:val="00CC50F9"/>
    <w:rsid w:val="00CC5D98"/>
    <w:rsid w:val="00CC6E3C"/>
    <w:rsid w:val="00CC6EAA"/>
    <w:rsid w:val="00CD0BA3"/>
    <w:rsid w:val="00CD155A"/>
    <w:rsid w:val="00CD1E36"/>
    <w:rsid w:val="00CD20AE"/>
    <w:rsid w:val="00CD29CE"/>
    <w:rsid w:val="00CD2E29"/>
    <w:rsid w:val="00CD5436"/>
    <w:rsid w:val="00CD6BAA"/>
    <w:rsid w:val="00CD6C1F"/>
    <w:rsid w:val="00CE0EAA"/>
    <w:rsid w:val="00CE2035"/>
    <w:rsid w:val="00CE2452"/>
    <w:rsid w:val="00CE2587"/>
    <w:rsid w:val="00CE2C5B"/>
    <w:rsid w:val="00CE3107"/>
    <w:rsid w:val="00CE3F29"/>
    <w:rsid w:val="00CE4F8B"/>
    <w:rsid w:val="00CE580E"/>
    <w:rsid w:val="00CE5D31"/>
    <w:rsid w:val="00CE6C05"/>
    <w:rsid w:val="00CF1811"/>
    <w:rsid w:val="00CF1E0A"/>
    <w:rsid w:val="00CF3409"/>
    <w:rsid w:val="00CF3C0B"/>
    <w:rsid w:val="00CF5B7B"/>
    <w:rsid w:val="00CF615D"/>
    <w:rsid w:val="00CF66CE"/>
    <w:rsid w:val="00CF67CE"/>
    <w:rsid w:val="00CF6877"/>
    <w:rsid w:val="00CF6CF4"/>
    <w:rsid w:val="00CF784F"/>
    <w:rsid w:val="00D0185A"/>
    <w:rsid w:val="00D02C3B"/>
    <w:rsid w:val="00D031CC"/>
    <w:rsid w:val="00D03387"/>
    <w:rsid w:val="00D04304"/>
    <w:rsid w:val="00D070D4"/>
    <w:rsid w:val="00D0788A"/>
    <w:rsid w:val="00D07EA4"/>
    <w:rsid w:val="00D10A51"/>
    <w:rsid w:val="00D12538"/>
    <w:rsid w:val="00D12798"/>
    <w:rsid w:val="00D15DE9"/>
    <w:rsid w:val="00D16404"/>
    <w:rsid w:val="00D20EAB"/>
    <w:rsid w:val="00D21064"/>
    <w:rsid w:val="00D21A34"/>
    <w:rsid w:val="00D237A4"/>
    <w:rsid w:val="00D23B47"/>
    <w:rsid w:val="00D247B6"/>
    <w:rsid w:val="00D24D0E"/>
    <w:rsid w:val="00D27120"/>
    <w:rsid w:val="00D27F47"/>
    <w:rsid w:val="00D3187E"/>
    <w:rsid w:val="00D32AC6"/>
    <w:rsid w:val="00D32CA8"/>
    <w:rsid w:val="00D3302F"/>
    <w:rsid w:val="00D3418A"/>
    <w:rsid w:val="00D346FF"/>
    <w:rsid w:val="00D357CD"/>
    <w:rsid w:val="00D35EEB"/>
    <w:rsid w:val="00D40C2D"/>
    <w:rsid w:val="00D411D7"/>
    <w:rsid w:val="00D41A23"/>
    <w:rsid w:val="00D42D5F"/>
    <w:rsid w:val="00D44360"/>
    <w:rsid w:val="00D44875"/>
    <w:rsid w:val="00D45A0F"/>
    <w:rsid w:val="00D45B6F"/>
    <w:rsid w:val="00D45C21"/>
    <w:rsid w:val="00D465E3"/>
    <w:rsid w:val="00D4693C"/>
    <w:rsid w:val="00D47080"/>
    <w:rsid w:val="00D4752B"/>
    <w:rsid w:val="00D47FBA"/>
    <w:rsid w:val="00D50294"/>
    <w:rsid w:val="00D513C3"/>
    <w:rsid w:val="00D5167E"/>
    <w:rsid w:val="00D51DA1"/>
    <w:rsid w:val="00D5217E"/>
    <w:rsid w:val="00D52EB8"/>
    <w:rsid w:val="00D53A1B"/>
    <w:rsid w:val="00D543A2"/>
    <w:rsid w:val="00D56376"/>
    <w:rsid w:val="00D56543"/>
    <w:rsid w:val="00D60119"/>
    <w:rsid w:val="00D60974"/>
    <w:rsid w:val="00D6112F"/>
    <w:rsid w:val="00D6114C"/>
    <w:rsid w:val="00D63185"/>
    <w:rsid w:val="00D643EF"/>
    <w:rsid w:val="00D66331"/>
    <w:rsid w:val="00D67A48"/>
    <w:rsid w:val="00D709F7"/>
    <w:rsid w:val="00D720B7"/>
    <w:rsid w:val="00D72862"/>
    <w:rsid w:val="00D73D75"/>
    <w:rsid w:val="00D75F40"/>
    <w:rsid w:val="00D76365"/>
    <w:rsid w:val="00D767E3"/>
    <w:rsid w:val="00D76988"/>
    <w:rsid w:val="00D77A42"/>
    <w:rsid w:val="00D77DE4"/>
    <w:rsid w:val="00D801F9"/>
    <w:rsid w:val="00D81DD1"/>
    <w:rsid w:val="00D81EFC"/>
    <w:rsid w:val="00D82322"/>
    <w:rsid w:val="00D82720"/>
    <w:rsid w:val="00D83B50"/>
    <w:rsid w:val="00D83CF8"/>
    <w:rsid w:val="00D85030"/>
    <w:rsid w:val="00D86195"/>
    <w:rsid w:val="00D91EF6"/>
    <w:rsid w:val="00D92275"/>
    <w:rsid w:val="00D923FF"/>
    <w:rsid w:val="00D9287E"/>
    <w:rsid w:val="00D92B10"/>
    <w:rsid w:val="00D947C2"/>
    <w:rsid w:val="00D967D8"/>
    <w:rsid w:val="00D9710E"/>
    <w:rsid w:val="00DA0309"/>
    <w:rsid w:val="00DA060D"/>
    <w:rsid w:val="00DA424E"/>
    <w:rsid w:val="00DA444B"/>
    <w:rsid w:val="00DA452F"/>
    <w:rsid w:val="00DA46C3"/>
    <w:rsid w:val="00DA4D65"/>
    <w:rsid w:val="00DA5C70"/>
    <w:rsid w:val="00DA5E45"/>
    <w:rsid w:val="00DA5FC4"/>
    <w:rsid w:val="00DA7D43"/>
    <w:rsid w:val="00DB0A3A"/>
    <w:rsid w:val="00DB0AF2"/>
    <w:rsid w:val="00DB4FB7"/>
    <w:rsid w:val="00DB5427"/>
    <w:rsid w:val="00DB5A0D"/>
    <w:rsid w:val="00DB6A05"/>
    <w:rsid w:val="00DB6B6B"/>
    <w:rsid w:val="00DB741F"/>
    <w:rsid w:val="00DB7AFE"/>
    <w:rsid w:val="00DC0F93"/>
    <w:rsid w:val="00DC118F"/>
    <w:rsid w:val="00DC295A"/>
    <w:rsid w:val="00DC3213"/>
    <w:rsid w:val="00DC3783"/>
    <w:rsid w:val="00DC3924"/>
    <w:rsid w:val="00DC4C69"/>
    <w:rsid w:val="00DC5890"/>
    <w:rsid w:val="00DC76BA"/>
    <w:rsid w:val="00DC771E"/>
    <w:rsid w:val="00DC7D66"/>
    <w:rsid w:val="00DD17EE"/>
    <w:rsid w:val="00DD18DB"/>
    <w:rsid w:val="00DD2BA8"/>
    <w:rsid w:val="00DD2FBB"/>
    <w:rsid w:val="00DD3837"/>
    <w:rsid w:val="00DD3E82"/>
    <w:rsid w:val="00DD41EC"/>
    <w:rsid w:val="00DD4400"/>
    <w:rsid w:val="00DD472E"/>
    <w:rsid w:val="00DD6C05"/>
    <w:rsid w:val="00DD709D"/>
    <w:rsid w:val="00DD70FE"/>
    <w:rsid w:val="00DD78DD"/>
    <w:rsid w:val="00DE1A4C"/>
    <w:rsid w:val="00DE23D3"/>
    <w:rsid w:val="00DE377D"/>
    <w:rsid w:val="00DE4A58"/>
    <w:rsid w:val="00DE5638"/>
    <w:rsid w:val="00DE66F6"/>
    <w:rsid w:val="00DE78E3"/>
    <w:rsid w:val="00DF1CD6"/>
    <w:rsid w:val="00DF1CF5"/>
    <w:rsid w:val="00DF2B7C"/>
    <w:rsid w:val="00DF381C"/>
    <w:rsid w:val="00DF49F9"/>
    <w:rsid w:val="00DF4C78"/>
    <w:rsid w:val="00DF6808"/>
    <w:rsid w:val="00DF68BD"/>
    <w:rsid w:val="00DF7771"/>
    <w:rsid w:val="00E00EE7"/>
    <w:rsid w:val="00E04F31"/>
    <w:rsid w:val="00E07A1F"/>
    <w:rsid w:val="00E106D1"/>
    <w:rsid w:val="00E111D8"/>
    <w:rsid w:val="00E114C3"/>
    <w:rsid w:val="00E12EFD"/>
    <w:rsid w:val="00E1315D"/>
    <w:rsid w:val="00E1373F"/>
    <w:rsid w:val="00E13748"/>
    <w:rsid w:val="00E138E0"/>
    <w:rsid w:val="00E145E6"/>
    <w:rsid w:val="00E15DD9"/>
    <w:rsid w:val="00E16487"/>
    <w:rsid w:val="00E173C6"/>
    <w:rsid w:val="00E177DF"/>
    <w:rsid w:val="00E20D5A"/>
    <w:rsid w:val="00E2112C"/>
    <w:rsid w:val="00E2180E"/>
    <w:rsid w:val="00E227F3"/>
    <w:rsid w:val="00E23DD9"/>
    <w:rsid w:val="00E26B93"/>
    <w:rsid w:val="00E277D1"/>
    <w:rsid w:val="00E301D9"/>
    <w:rsid w:val="00E30A62"/>
    <w:rsid w:val="00E336EC"/>
    <w:rsid w:val="00E33934"/>
    <w:rsid w:val="00E3579D"/>
    <w:rsid w:val="00E36906"/>
    <w:rsid w:val="00E36F82"/>
    <w:rsid w:val="00E37C02"/>
    <w:rsid w:val="00E37C54"/>
    <w:rsid w:val="00E40113"/>
    <w:rsid w:val="00E4060C"/>
    <w:rsid w:val="00E4326A"/>
    <w:rsid w:val="00E4494A"/>
    <w:rsid w:val="00E47487"/>
    <w:rsid w:val="00E47DDB"/>
    <w:rsid w:val="00E50433"/>
    <w:rsid w:val="00E52F62"/>
    <w:rsid w:val="00E548D2"/>
    <w:rsid w:val="00E55378"/>
    <w:rsid w:val="00E60CB3"/>
    <w:rsid w:val="00E62EA3"/>
    <w:rsid w:val="00E6384F"/>
    <w:rsid w:val="00E640A0"/>
    <w:rsid w:val="00E6691C"/>
    <w:rsid w:val="00E67AB6"/>
    <w:rsid w:val="00E714F7"/>
    <w:rsid w:val="00E71BF8"/>
    <w:rsid w:val="00E72223"/>
    <w:rsid w:val="00E72297"/>
    <w:rsid w:val="00E72D82"/>
    <w:rsid w:val="00E72EEA"/>
    <w:rsid w:val="00E73F7C"/>
    <w:rsid w:val="00E74FC3"/>
    <w:rsid w:val="00E76D12"/>
    <w:rsid w:val="00E77390"/>
    <w:rsid w:val="00E77C1A"/>
    <w:rsid w:val="00E824C8"/>
    <w:rsid w:val="00E83B1D"/>
    <w:rsid w:val="00E85C93"/>
    <w:rsid w:val="00E85D45"/>
    <w:rsid w:val="00E85E01"/>
    <w:rsid w:val="00E87606"/>
    <w:rsid w:val="00E876A7"/>
    <w:rsid w:val="00E914D4"/>
    <w:rsid w:val="00E91970"/>
    <w:rsid w:val="00E963D3"/>
    <w:rsid w:val="00E963FB"/>
    <w:rsid w:val="00E96502"/>
    <w:rsid w:val="00EA25E1"/>
    <w:rsid w:val="00EA4690"/>
    <w:rsid w:val="00EA6BD5"/>
    <w:rsid w:val="00EA7071"/>
    <w:rsid w:val="00EA7F9B"/>
    <w:rsid w:val="00EB01C7"/>
    <w:rsid w:val="00EB1043"/>
    <w:rsid w:val="00EB27FC"/>
    <w:rsid w:val="00EB2E38"/>
    <w:rsid w:val="00EB2EB4"/>
    <w:rsid w:val="00EB3583"/>
    <w:rsid w:val="00EB4F26"/>
    <w:rsid w:val="00EB54F1"/>
    <w:rsid w:val="00EB65D9"/>
    <w:rsid w:val="00EC01BE"/>
    <w:rsid w:val="00EC0E45"/>
    <w:rsid w:val="00EC0EA3"/>
    <w:rsid w:val="00EC11F1"/>
    <w:rsid w:val="00EC1B31"/>
    <w:rsid w:val="00EC26A0"/>
    <w:rsid w:val="00EC287B"/>
    <w:rsid w:val="00EC3093"/>
    <w:rsid w:val="00EC3C7E"/>
    <w:rsid w:val="00EC6A23"/>
    <w:rsid w:val="00EC6C1D"/>
    <w:rsid w:val="00ED02D9"/>
    <w:rsid w:val="00ED0EEA"/>
    <w:rsid w:val="00ED1AA4"/>
    <w:rsid w:val="00ED1E2C"/>
    <w:rsid w:val="00ED2163"/>
    <w:rsid w:val="00ED2938"/>
    <w:rsid w:val="00ED3198"/>
    <w:rsid w:val="00ED46BE"/>
    <w:rsid w:val="00ED5563"/>
    <w:rsid w:val="00ED5DE7"/>
    <w:rsid w:val="00ED6681"/>
    <w:rsid w:val="00ED6B4E"/>
    <w:rsid w:val="00ED792E"/>
    <w:rsid w:val="00ED7B7A"/>
    <w:rsid w:val="00ED7D0A"/>
    <w:rsid w:val="00ED7E63"/>
    <w:rsid w:val="00ED7E93"/>
    <w:rsid w:val="00EE04B1"/>
    <w:rsid w:val="00EE0AC6"/>
    <w:rsid w:val="00EE1E4B"/>
    <w:rsid w:val="00EE2C66"/>
    <w:rsid w:val="00EE3EA6"/>
    <w:rsid w:val="00EE40CE"/>
    <w:rsid w:val="00EE5607"/>
    <w:rsid w:val="00EE5828"/>
    <w:rsid w:val="00EE6648"/>
    <w:rsid w:val="00EE6E06"/>
    <w:rsid w:val="00EF0EE3"/>
    <w:rsid w:val="00EF22A5"/>
    <w:rsid w:val="00EF22EA"/>
    <w:rsid w:val="00EF29F6"/>
    <w:rsid w:val="00EF46E5"/>
    <w:rsid w:val="00EF4799"/>
    <w:rsid w:val="00EF6C2D"/>
    <w:rsid w:val="00EF6C72"/>
    <w:rsid w:val="00EF6D5A"/>
    <w:rsid w:val="00F00880"/>
    <w:rsid w:val="00F009F3"/>
    <w:rsid w:val="00F00DD8"/>
    <w:rsid w:val="00F00E08"/>
    <w:rsid w:val="00F0168C"/>
    <w:rsid w:val="00F02E86"/>
    <w:rsid w:val="00F05AA3"/>
    <w:rsid w:val="00F05E13"/>
    <w:rsid w:val="00F066A9"/>
    <w:rsid w:val="00F0688D"/>
    <w:rsid w:val="00F06D64"/>
    <w:rsid w:val="00F131D7"/>
    <w:rsid w:val="00F16630"/>
    <w:rsid w:val="00F166DF"/>
    <w:rsid w:val="00F173A0"/>
    <w:rsid w:val="00F173E4"/>
    <w:rsid w:val="00F216A0"/>
    <w:rsid w:val="00F2246F"/>
    <w:rsid w:val="00F23ECB"/>
    <w:rsid w:val="00F24216"/>
    <w:rsid w:val="00F24836"/>
    <w:rsid w:val="00F25959"/>
    <w:rsid w:val="00F26762"/>
    <w:rsid w:val="00F27729"/>
    <w:rsid w:val="00F30782"/>
    <w:rsid w:val="00F30E00"/>
    <w:rsid w:val="00F30EA0"/>
    <w:rsid w:val="00F30FE4"/>
    <w:rsid w:val="00F32164"/>
    <w:rsid w:val="00F324EA"/>
    <w:rsid w:val="00F34330"/>
    <w:rsid w:val="00F35038"/>
    <w:rsid w:val="00F408A1"/>
    <w:rsid w:val="00F40902"/>
    <w:rsid w:val="00F40913"/>
    <w:rsid w:val="00F40B52"/>
    <w:rsid w:val="00F40F75"/>
    <w:rsid w:val="00F41027"/>
    <w:rsid w:val="00F42DED"/>
    <w:rsid w:val="00F43B75"/>
    <w:rsid w:val="00F43BAF"/>
    <w:rsid w:val="00F43CEA"/>
    <w:rsid w:val="00F441EC"/>
    <w:rsid w:val="00F459DD"/>
    <w:rsid w:val="00F46A25"/>
    <w:rsid w:val="00F47432"/>
    <w:rsid w:val="00F47A3D"/>
    <w:rsid w:val="00F47DE4"/>
    <w:rsid w:val="00F50A95"/>
    <w:rsid w:val="00F53621"/>
    <w:rsid w:val="00F53A78"/>
    <w:rsid w:val="00F54D9C"/>
    <w:rsid w:val="00F550E8"/>
    <w:rsid w:val="00F56240"/>
    <w:rsid w:val="00F56DA4"/>
    <w:rsid w:val="00F57915"/>
    <w:rsid w:val="00F57F71"/>
    <w:rsid w:val="00F61F77"/>
    <w:rsid w:val="00F6241F"/>
    <w:rsid w:val="00F62DD2"/>
    <w:rsid w:val="00F64053"/>
    <w:rsid w:val="00F64F1D"/>
    <w:rsid w:val="00F65033"/>
    <w:rsid w:val="00F679C8"/>
    <w:rsid w:val="00F71694"/>
    <w:rsid w:val="00F71713"/>
    <w:rsid w:val="00F72A19"/>
    <w:rsid w:val="00F72D28"/>
    <w:rsid w:val="00F73AF4"/>
    <w:rsid w:val="00F748D7"/>
    <w:rsid w:val="00F757CE"/>
    <w:rsid w:val="00F757D6"/>
    <w:rsid w:val="00F757E7"/>
    <w:rsid w:val="00F75B6F"/>
    <w:rsid w:val="00F77B79"/>
    <w:rsid w:val="00F81226"/>
    <w:rsid w:val="00F82A90"/>
    <w:rsid w:val="00F82C55"/>
    <w:rsid w:val="00F836B9"/>
    <w:rsid w:val="00F83E78"/>
    <w:rsid w:val="00F83F0D"/>
    <w:rsid w:val="00F84394"/>
    <w:rsid w:val="00F86DF4"/>
    <w:rsid w:val="00F91065"/>
    <w:rsid w:val="00F92D2F"/>
    <w:rsid w:val="00F934EA"/>
    <w:rsid w:val="00F9353E"/>
    <w:rsid w:val="00F93C48"/>
    <w:rsid w:val="00F941C5"/>
    <w:rsid w:val="00F95300"/>
    <w:rsid w:val="00F9593F"/>
    <w:rsid w:val="00F96577"/>
    <w:rsid w:val="00F97184"/>
    <w:rsid w:val="00F97C1F"/>
    <w:rsid w:val="00FA1B0B"/>
    <w:rsid w:val="00FA29D3"/>
    <w:rsid w:val="00FA3515"/>
    <w:rsid w:val="00FA4C6E"/>
    <w:rsid w:val="00FA616E"/>
    <w:rsid w:val="00FA63F8"/>
    <w:rsid w:val="00FA6686"/>
    <w:rsid w:val="00FA6EC0"/>
    <w:rsid w:val="00FA77A5"/>
    <w:rsid w:val="00FA7D12"/>
    <w:rsid w:val="00FB0056"/>
    <w:rsid w:val="00FB0FD5"/>
    <w:rsid w:val="00FB18AA"/>
    <w:rsid w:val="00FB2649"/>
    <w:rsid w:val="00FB2FFD"/>
    <w:rsid w:val="00FB4F5D"/>
    <w:rsid w:val="00FB5E6C"/>
    <w:rsid w:val="00FB683B"/>
    <w:rsid w:val="00FB7FD8"/>
    <w:rsid w:val="00FC261C"/>
    <w:rsid w:val="00FC386E"/>
    <w:rsid w:val="00FC3918"/>
    <w:rsid w:val="00FC3BAD"/>
    <w:rsid w:val="00FC3CCC"/>
    <w:rsid w:val="00FC4DC8"/>
    <w:rsid w:val="00FC51E6"/>
    <w:rsid w:val="00FC5CBC"/>
    <w:rsid w:val="00FD012A"/>
    <w:rsid w:val="00FD2C1B"/>
    <w:rsid w:val="00FD5296"/>
    <w:rsid w:val="00FD73B0"/>
    <w:rsid w:val="00FD746C"/>
    <w:rsid w:val="00FD7CB3"/>
    <w:rsid w:val="00FE07BD"/>
    <w:rsid w:val="00FE0806"/>
    <w:rsid w:val="00FE0AD7"/>
    <w:rsid w:val="00FE104F"/>
    <w:rsid w:val="00FE1242"/>
    <w:rsid w:val="00FE1D3B"/>
    <w:rsid w:val="00FE2CFC"/>
    <w:rsid w:val="00FE37B7"/>
    <w:rsid w:val="00FE3A14"/>
    <w:rsid w:val="00FE50EC"/>
    <w:rsid w:val="00FE53A1"/>
    <w:rsid w:val="00FE57FA"/>
    <w:rsid w:val="00FE6639"/>
    <w:rsid w:val="00FF0106"/>
    <w:rsid w:val="00FF22F7"/>
    <w:rsid w:val="00FF3BD8"/>
    <w:rsid w:val="00FF3FB1"/>
    <w:rsid w:val="00FF5178"/>
    <w:rsid w:val="00FF6747"/>
    <w:rsid w:val="00FF6EC3"/>
    <w:rsid w:val="00FF72B9"/>
    <w:rsid w:val="00FF7A39"/>
    <w:rsid w:val="01082F21"/>
    <w:rsid w:val="01214D5C"/>
    <w:rsid w:val="015C34CC"/>
    <w:rsid w:val="016A26AC"/>
    <w:rsid w:val="0180041F"/>
    <w:rsid w:val="018C1DA4"/>
    <w:rsid w:val="019A3AF9"/>
    <w:rsid w:val="01B4610F"/>
    <w:rsid w:val="01B519A9"/>
    <w:rsid w:val="01B666C0"/>
    <w:rsid w:val="01EF3171"/>
    <w:rsid w:val="027B71A3"/>
    <w:rsid w:val="02BA21E0"/>
    <w:rsid w:val="033F2728"/>
    <w:rsid w:val="03592D96"/>
    <w:rsid w:val="036C5C32"/>
    <w:rsid w:val="03756ABF"/>
    <w:rsid w:val="0385163A"/>
    <w:rsid w:val="039117D4"/>
    <w:rsid w:val="03C14D65"/>
    <w:rsid w:val="03C3060C"/>
    <w:rsid w:val="03C55327"/>
    <w:rsid w:val="03D61B67"/>
    <w:rsid w:val="03F56888"/>
    <w:rsid w:val="046C4A06"/>
    <w:rsid w:val="04AE367F"/>
    <w:rsid w:val="04BC0CAD"/>
    <w:rsid w:val="05022DFB"/>
    <w:rsid w:val="054B5371"/>
    <w:rsid w:val="054F2456"/>
    <w:rsid w:val="05642E52"/>
    <w:rsid w:val="058A40EC"/>
    <w:rsid w:val="05B12B95"/>
    <w:rsid w:val="05DA06AC"/>
    <w:rsid w:val="06483DCA"/>
    <w:rsid w:val="065D535C"/>
    <w:rsid w:val="065F7326"/>
    <w:rsid w:val="068B5060"/>
    <w:rsid w:val="068D109E"/>
    <w:rsid w:val="068D55DA"/>
    <w:rsid w:val="06BB62C8"/>
    <w:rsid w:val="06F9554A"/>
    <w:rsid w:val="0735533F"/>
    <w:rsid w:val="07745C68"/>
    <w:rsid w:val="07927613"/>
    <w:rsid w:val="07BE0D22"/>
    <w:rsid w:val="08264B89"/>
    <w:rsid w:val="084743DD"/>
    <w:rsid w:val="08680148"/>
    <w:rsid w:val="089C6935"/>
    <w:rsid w:val="089F1695"/>
    <w:rsid w:val="08B41A24"/>
    <w:rsid w:val="08C124C5"/>
    <w:rsid w:val="08DE5F8F"/>
    <w:rsid w:val="08F70DAF"/>
    <w:rsid w:val="092232AD"/>
    <w:rsid w:val="092B5474"/>
    <w:rsid w:val="094E0243"/>
    <w:rsid w:val="096560CC"/>
    <w:rsid w:val="097A0617"/>
    <w:rsid w:val="097D7EDC"/>
    <w:rsid w:val="09CA0B05"/>
    <w:rsid w:val="09FA4CE8"/>
    <w:rsid w:val="09FB7B29"/>
    <w:rsid w:val="0A5C2A41"/>
    <w:rsid w:val="0A642C32"/>
    <w:rsid w:val="0A851326"/>
    <w:rsid w:val="0A9E7D8F"/>
    <w:rsid w:val="0AA440E2"/>
    <w:rsid w:val="0AC22F1B"/>
    <w:rsid w:val="0AE3324A"/>
    <w:rsid w:val="0AEC1D46"/>
    <w:rsid w:val="0B0A6183"/>
    <w:rsid w:val="0B407E95"/>
    <w:rsid w:val="0BD75BB1"/>
    <w:rsid w:val="0BE70F30"/>
    <w:rsid w:val="0C7D22B4"/>
    <w:rsid w:val="0CEA3D9B"/>
    <w:rsid w:val="0CF021E0"/>
    <w:rsid w:val="0CF476FC"/>
    <w:rsid w:val="0CFB0AA1"/>
    <w:rsid w:val="0CFE5E42"/>
    <w:rsid w:val="0D3F7B35"/>
    <w:rsid w:val="0DA94F7A"/>
    <w:rsid w:val="0DE46363"/>
    <w:rsid w:val="0DE565F4"/>
    <w:rsid w:val="0E42071F"/>
    <w:rsid w:val="0E6035F6"/>
    <w:rsid w:val="0E63372C"/>
    <w:rsid w:val="0E8B0C2E"/>
    <w:rsid w:val="0E9D794C"/>
    <w:rsid w:val="0EBB70C4"/>
    <w:rsid w:val="0EE26B02"/>
    <w:rsid w:val="0EE55FF8"/>
    <w:rsid w:val="0F100611"/>
    <w:rsid w:val="0F172FCD"/>
    <w:rsid w:val="0F375DFC"/>
    <w:rsid w:val="0F4B433D"/>
    <w:rsid w:val="0FDB3799"/>
    <w:rsid w:val="0FDF10D4"/>
    <w:rsid w:val="10155791"/>
    <w:rsid w:val="103A4848"/>
    <w:rsid w:val="105C2B7D"/>
    <w:rsid w:val="1079617B"/>
    <w:rsid w:val="10AD4765"/>
    <w:rsid w:val="10C60B09"/>
    <w:rsid w:val="112272DA"/>
    <w:rsid w:val="11577E72"/>
    <w:rsid w:val="11810FA8"/>
    <w:rsid w:val="11830A6F"/>
    <w:rsid w:val="11891977"/>
    <w:rsid w:val="118C287B"/>
    <w:rsid w:val="11A90A66"/>
    <w:rsid w:val="11B561B5"/>
    <w:rsid w:val="11D904B8"/>
    <w:rsid w:val="11EE03D0"/>
    <w:rsid w:val="1200476F"/>
    <w:rsid w:val="12140B36"/>
    <w:rsid w:val="12600281"/>
    <w:rsid w:val="12666CFC"/>
    <w:rsid w:val="12902BC2"/>
    <w:rsid w:val="129F1BAA"/>
    <w:rsid w:val="12C01F28"/>
    <w:rsid w:val="12E96888"/>
    <w:rsid w:val="12F87F8D"/>
    <w:rsid w:val="13416E87"/>
    <w:rsid w:val="134C7641"/>
    <w:rsid w:val="135E1061"/>
    <w:rsid w:val="13602D79"/>
    <w:rsid w:val="136D1016"/>
    <w:rsid w:val="137E3451"/>
    <w:rsid w:val="1387025F"/>
    <w:rsid w:val="13B70AAB"/>
    <w:rsid w:val="13DF3ADA"/>
    <w:rsid w:val="14011A1D"/>
    <w:rsid w:val="141A627B"/>
    <w:rsid w:val="141E19B3"/>
    <w:rsid w:val="145127E8"/>
    <w:rsid w:val="145C7D16"/>
    <w:rsid w:val="147859FB"/>
    <w:rsid w:val="1496293B"/>
    <w:rsid w:val="14C75E7F"/>
    <w:rsid w:val="150B559B"/>
    <w:rsid w:val="151B0496"/>
    <w:rsid w:val="15230E00"/>
    <w:rsid w:val="153538BA"/>
    <w:rsid w:val="154E775A"/>
    <w:rsid w:val="155B6E97"/>
    <w:rsid w:val="15A9236A"/>
    <w:rsid w:val="15AB431C"/>
    <w:rsid w:val="15AF54A9"/>
    <w:rsid w:val="15B61C78"/>
    <w:rsid w:val="15EE0BD9"/>
    <w:rsid w:val="15FA0A52"/>
    <w:rsid w:val="165E41F0"/>
    <w:rsid w:val="1661102B"/>
    <w:rsid w:val="16897580"/>
    <w:rsid w:val="16E14B92"/>
    <w:rsid w:val="17431B01"/>
    <w:rsid w:val="178D610E"/>
    <w:rsid w:val="179766B3"/>
    <w:rsid w:val="179D449D"/>
    <w:rsid w:val="1808794C"/>
    <w:rsid w:val="181670D9"/>
    <w:rsid w:val="18842D05"/>
    <w:rsid w:val="18F23982"/>
    <w:rsid w:val="19277699"/>
    <w:rsid w:val="192B6C5D"/>
    <w:rsid w:val="1941462B"/>
    <w:rsid w:val="196F036D"/>
    <w:rsid w:val="199E125D"/>
    <w:rsid w:val="19B73C12"/>
    <w:rsid w:val="19D85FE7"/>
    <w:rsid w:val="1A2A6CF8"/>
    <w:rsid w:val="1A6D3FBD"/>
    <w:rsid w:val="1A9E31F3"/>
    <w:rsid w:val="1AC0520D"/>
    <w:rsid w:val="1ADB69F2"/>
    <w:rsid w:val="1ADD6684"/>
    <w:rsid w:val="1B2107F1"/>
    <w:rsid w:val="1B451E4E"/>
    <w:rsid w:val="1B83003E"/>
    <w:rsid w:val="1B97609C"/>
    <w:rsid w:val="1B9F6522"/>
    <w:rsid w:val="1BCB6ED8"/>
    <w:rsid w:val="1C3D5C46"/>
    <w:rsid w:val="1C9A60EC"/>
    <w:rsid w:val="1CB37368"/>
    <w:rsid w:val="1CC974E2"/>
    <w:rsid w:val="1CDA2FE8"/>
    <w:rsid w:val="1CE73A67"/>
    <w:rsid w:val="1CFE63A5"/>
    <w:rsid w:val="1D1F4413"/>
    <w:rsid w:val="1D97044A"/>
    <w:rsid w:val="1DC36E3E"/>
    <w:rsid w:val="1DF953E0"/>
    <w:rsid w:val="1E0C0176"/>
    <w:rsid w:val="1E182767"/>
    <w:rsid w:val="1E1C1F51"/>
    <w:rsid w:val="1E4D2CDB"/>
    <w:rsid w:val="1E570D46"/>
    <w:rsid w:val="1E5E47D2"/>
    <w:rsid w:val="1E6A7FB6"/>
    <w:rsid w:val="1E7D364E"/>
    <w:rsid w:val="1E8E7AF8"/>
    <w:rsid w:val="1EC15835"/>
    <w:rsid w:val="1EC37AB8"/>
    <w:rsid w:val="1EDC4283"/>
    <w:rsid w:val="1EEC1236"/>
    <w:rsid w:val="1F34563D"/>
    <w:rsid w:val="1F9E72B3"/>
    <w:rsid w:val="1FB61E31"/>
    <w:rsid w:val="1FD7118D"/>
    <w:rsid w:val="1FF362B7"/>
    <w:rsid w:val="201341C3"/>
    <w:rsid w:val="20A93A55"/>
    <w:rsid w:val="20CD78FE"/>
    <w:rsid w:val="211A48F3"/>
    <w:rsid w:val="21236207"/>
    <w:rsid w:val="21455E12"/>
    <w:rsid w:val="214801C6"/>
    <w:rsid w:val="2199283E"/>
    <w:rsid w:val="219A6365"/>
    <w:rsid w:val="219D7C28"/>
    <w:rsid w:val="21C65F75"/>
    <w:rsid w:val="22087D58"/>
    <w:rsid w:val="22295AD0"/>
    <w:rsid w:val="22306079"/>
    <w:rsid w:val="223A612D"/>
    <w:rsid w:val="224031F1"/>
    <w:rsid w:val="22452DF5"/>
    <w:rsid w:val="225857A6"/>
    <w:rsid w:val="227025B7"/>
    <w:rsid w:val="227E3482"/>
    <w:rsid w:val="22B818B7"/>
    <w:rsid w:val="22F1158C"/>
    <w:rsid w:val="23141E1C"/>
    <w:rsid w:val="23423C90"/>
    <w:rsid w:val="234A01E8"/>
    <w:rsid w:val="235A68CC"/>
    <w:rsid w:val="23967847"/>
    <w:rsid w:val="23DE4135"/>
    <w:rsid w:val="24304F82"/>
    <w:rsid w:val="24360AD3"/>
    <w:rsid w:val="2451633B"/>
    <w:rsid w:val="24702459"/>
    <w:rsid w:val="2472601F"/>
    <w:rsid w:val="248B6EF7"/>
    <w:rsid w:val="248C70E1"/>
    <w:rsid w:val="24DD793C"/>
    <w:rsid w:val="24FA3957"/>
    <w:rsid w:val="252E0DDE"/>
    <w:rsid w:val="25484006"/>
    <w:rsid w:val="25683024"/>
    <w:rsid w:val="257A162F"/>
    <w:rsid w:val="259C1702"/>
    <w:rsid w:val="259C37BF"/>
    <w:rsid w:val="25AB4F81"/>
    <w:rsid w:val="25B914EC"/>
    <w:rsid w:val="25B94321"/>
    <w:rsid w:val="25F47C79"/>
    <w:rsid w:val="260B6686"/>
    <w:rsid w:val="260E0930"/>
    <w:rsid w:val="263122FE"/>
    <w:rsid w:val="26D703BB"/>
    <w:rsid w:val="27076EF2"/>
    <w:rsid w:val="272777BF"/>
    <w:rsid w:val="278E6C71"/>
    <w:rsid w:val="27E731A4"/>
    <w:rsid w:val="27E83FC6"/>
    <w:rsid w:val="28716ED4"/>
    <w:rsid w:val="28854C66"/>
    <w:rsid w:val="28A13818"/>
    <w:rsid w:val="28A14636"/>
    <w:rsid w:val="28DE0127"/>
    <w:rsid w:val="28E374EB"/>
    <w:rsid w:val="28FE163B"/>
    <w:rsid w:val="29101CCC"/>
    <w:rsid w:val="291963E6"/>
    <w:rsid w:val="292032F2"/>
    <w:rsid w:val="294E3913"/>
    <w:rsid w:val="2988758D"/>
    <w:rsid w:val="29C87D71"/>
    <w:rsid w:val="29E44063"/>
    <w:rsid w:val="29E825A9"/>
    <w:rsid w:val="2A03554D"/>
    <w:rsid w:val="2A231871"/>
    <w:rsid w:val="2A4112A0"/>
    <w:rsid w:val="2A570DB1"/>
    <w:rsid w:val="2A5A6759"/>
    <w:rsid w:val="2A5C0A55"/>
    <w:rsid w:val="2A6F6CAF"/>
    <w:rsid w:val="2A79785F"/>
    <w:rsid w:val="2AA66A22"/>
    <w:rsid w:val="2ABA24CE"/>
    <w:rsid w:val="2AE01A8B"/>
    <w:rsid w:val="2AED2D78"/>
    <w:rsid w:val="2AF63F7A"/>
    <w:rsid w:val="2B1C56EE"/>
    <w:rsid w:val="2B571578"/>
    <w:rsid w:val="2B5D17D7"/>
    <w:rsid w:val="2B7E31FB"/>
    <w:rsid w:val="2B8248DE"/>
    <w:rsid w:val="2B9271C2"/>
    <w:rsid w:val="2BA2171D"/>
    <w:rsid w:val="2BDA0670"/>
    <w:rsid w:val="2C1311BD"/>
    <w:rsid w:val="2C3E7CEF"/>
    <w:rsid w:val="2C484FFD"/>
    <w:rsid w:val="2C614423"/>
    <w:rsid w:val="2C740FC6"/>
    <w:rsid w:val="2CDA7095"/>
    <w:rsid w:val="2CFA3055"/>
    <w:rsid w:val="2D066844"/>
    <w:rsid w:val="2D564730"/>
    <w:rsid w:val="2D7B2F3A"/>
    <w:rsid w:val="2D91659B"/>
    <w:rsid w:val="2DBB5721"/>
    <w:rsid w:val="2DCE2DB0"/>
    <w:rsid w:val="2DEA4AD6"/>
    <w:rsid w:val="2E5F5866"/>
    <w:rsid w:val="2E8F7FCD"/>
    <w:rsid w:val="2E9D66C0"/>
    <w:rsid w:val="2EBE4A3C"/>
    <w:rsid w:val="2EC03B05"/>
    <w:rsid w:val="2F6D3E8E"/>
    <w:rsid w:val="2F865774"/>
    <w:rsid w:val="2FB26F13"/>
    <w:rsid w:val="2FCF149C"/>
    <w:rsid w:val="2FDA4CBF"/>
    <w:rsid w:val="2FDD0663"/>
    <w:rsid w:val="2FED23CB"/>
    <w:rsid w:val="303344E6"/>
    <w:rsid w:val="303A06A2"/>
    <w:rsid w:val="3046385A"/>
    <w:rsid w:val="3059724B"/>
    <w:rsid w:val="30D11BBB"/>
    <w:rsid w:val="30E61508"/>
    <w:rsid w:val="3112096E"/>
    <w:rsid w:val="314F5523"/>
    <w:rsid w:val="316B5F87"/>
    <w:rsid w:val="31A9133B"/>
    <w:rsid w:val="31B513CD"/>
    <w:rsid w:val="31C112FA"/>
    <w:rsid w:val="31C3610C"/>
    <w:rsid w:val="31CB114F"/>
    <w:rsid w:val="31D92EE4"/>
    <w:rsid w:val="31E84F2E"/>
    <w:rsid w:val="321E3342"/>
    <w:rsid w:val="3236453F"/>
    <w:rsid w:val="326D6ED4"/>
    <w:rsid w:val="32736D26"/>
    <w:rsid w:val="32B87B67"/>
    <w:rsid w:val="32BE6D23"/>
    <w:rsid w:val="32C83D55"/>
    <w:rsid w:val="32DB1F55"/>
    <w:rsid w:val="330701CF"/>
    <w:rsid w:val="330D53DF"/>
    <w:rsid w:val="33152817"/>
    <w:rsid w:val="337A410B"/>
    <w:rsid w:val="33AE06F6"/>
    <w:rsid w:val="33D31E48"/>
    <w:rsid w:val="33FC5905"/>
    <w:rsid w:val="33FD5E07"/>
    <w:rsid w:val="340F6C61"/>
    <w:rsid w:val="346E6803"/>
    <w:rsid w:val="348F0E26"/>
    <w:rsid w:val="34A670B1"/>
    <w:rsid w:val="34B57530"/>
    <w:rsid w:val="34E3352F"/>
    <w:rsid w:val="34F65DF3"/>
    <w:rsid w:val="350E5FAD"/>
    <w:rsid w:val="3530433A"/>
    <w:rsid w:val="356E5B3C"/>
    <w:rsid w:val="358514CF"/>
    <w:rsid w:val="35A67660"/>
    <w:rsid w:val="35BE5F8E"/>
    <w:rsid w:val="3606197A"/>
    <w:rsid w:val="360A4309"/>
    <w:rsid w:val="365F2D55"/>
    <w:rsid w:val="366F1F06"/>
    <w:rsid w:val="367736D7"/>
    <w:rsid w:val="367A2085"/>
    <w:rsid w:val="36882A6C"/>
    <w:rsid w:val="36D13829"/>
    <w:rsid w:val="36E06DAA"/>
    <w:rsid w:val="370956A1"/>
    <w:rsid w:val="37181ED8"/>
    <w:rsid w:val="374D0577"/>
    <w:rsid w:val="375E2997"/>
    <w:rsid w:val="375E5008"/>
    <w:rsid w:val="37624D19"/>
    <w:rsid w:val="37714221"/>
    <w:rsid w:val="37757079"/>
    <w:rsid w:val="37D667F9"/>
    <w:rsid w:val="37E33064"/>
    <w:rsid w:val="37EE725D"/>
    <w:rsid w:val="37F266B5"/>
    <w:rsid w:val="380A047D"/>
    <w:rsid w:val="38241589"/>
    <w:rsid w:val="38267331"/>
    <w:rsid w:val="385E1608"/>
    <w:rsid w:val="38793EFF"/>
    <w:rsid w:val="38A26C62"/>
    <w:rsid w:val="38D704F1"/>
    <w:rsid w:val="38FF1464"/>
    <w:rsid w:val="38FF7F03"/>
    <w:rsid w:val="39057624"/>
    <w:rsid w:val="392F5820"/>
    <w:rsid w:val="39333B77"/>
    <w:rsid w:val="393E7586"/>
    <w:rsid w:val="396E1417"/>
    <w:rsid w:val="39712762"/>
    <w:rsid w:val="3983211B"/>
    <w:rsid w:val="3991394E"/>
    <w:rsid w:val="39934AF3"/>
    <w:rsid w:val="39C41D19"/>
    <w:rsid w:val="39F93B68"/>
    <w:rsid w:val="3A106AAE"/>
    <w:rsid w:val="3A2D3BA1"/>
    <w:rsid w:val="3A2F7549"/>
    <w:rsid w:val="3A3000B7"/>
    <w:rsid w:val="3A443853"/>
    <w:rsid w:val="3A9D21EC"/>
    <w:rsid w:val="3B40257B"/>
    <w:rsid w:val="3B693880"/>
    <w:rsid w:val="3B897C77"/>
    <w:rsid w:val="3BB43871"/>
    <w:rsid w:val="3BD52575"/>
    <w:rsid w:val="3C2854E9"/>
    <w:rsid w:val="3C393E38"/>
    <w:rsid w:val="3C99467D"/>
    <w:rsid w:val="3CFF6A97"/>
    <w:rsid w:val="3D314466"/>
    <w:rsid w:val="3D5E4F3B"/>
    <w:rsid w:val="3D6C40A1"/>
    <w:rsid w:val="3D8526B5"/>
    <w:rsid w:val="3D8979EF"/>
    <w:rsid w:val="3D9D1CFA"/>
    <w:rsid w:val="3DC82BD4"/>
    <w:rsid w:val="3DE348D3"/>
    <w:rsid w:val="3DED1E99"/>
    <w:rsid w:val="3E551AEA"/>
    <w:rsid w:val="3E834C59"/>
    <w:rsid w:val="3EAB2900"/>
    <w:rsid w:val="3EB72B54"/>
    <w:rsid w:val="3EC80C00"/>
    <w:rsid w:val="3EC8448D"/>
    <w:rsid w:val="3F286B88"/>
    <w:rsid w:val="3F3A613C"/>
    <w:rsid w:val="3F6A47FA"/>
    <w:rsid w:val="3F6B27CE"/>
    <w:rsid w:val="3FB7608A"/>
    <w:rsid w:val="3FEA0330"/>
    <w:rsid w:val="3FF8796E"/>
    <w:rsid w:val="403A1960"/>
    <w:rsid w:val="404A69D2"/>
    <w:rsid w:val="404D3DF4"/>
    <w:rsid w:val="40554CF2"/>
    <w:rsid w:val="40667BFB"/>
    <w:rsid w:val="40962E54"/>
    <w:rsid w:val="40AA056E"/>
    <w:rsid w:val="40C60001"/>
    <w:rsid w:val="40DE176C"/>
    <w:rsid w:val="410002CA"/>
    <w:rsid w:val="41575EBB"/>
    <w:rsid w:val="415F7B62"/>
    <w:rsid w:val="418455CE"/>
    <w:rsid w:val="41AE4F3C"/>
    <w:rsid w:val="41B11ADD"/>
    <w:rsid w:val="41B34FDE"/>
    <w:rsid w:val="41EC6FB9"/>
    <w:rsid w:val="41F366B9"/>
    <w:rsid w:val="421871A6"/>
    <w:rsid w:val="42320E00"/>
    <w:rsid w:val="425471A3"/>
    <w:rsid w:val="428E62C2"/>
    <w:rsid w:val="42915E41"/>
    <w:rsid w:val="429C480A"/>
    <w:rsid w:val="42DD0DB4"/>
    <w:rsid w:val="43060A65"/>
    <w:rsid w:val="431010F0"/>
    <w:rsid w:val="432602A9"/>
    <w:rsid w:val="434F017C"/>
    <w:rsid w:val="436025CA"/>
    <w:rsid w:val="43642E1C"/>
    <w:rsid w:val="43805C0B"/>
    <w:rsid w:val="43A11C8B"/>
    <w:rsid w:val="43E1775F"/>
    <w:rsid w:val="43F77933"/>
    <w:rsid w:val="4404311A"/>
    <w:rsid w:val="44444445"/>
    <w:rsid w:val="446839B3"/>
    <w:rsid w:val="446A27BC"/>
    <w:rsid w:val="446C4AD7"/>
    <w:rsid w:val="446D41CA"/>
    <w:rsid w:val="44764A7E"/>
    <w:rsid w:val="44804BB7"/>
    <w:rsid w:val="449825D3"/>
    <w:rsid w:val="449F687A"/>
    <w:rsid w:val="44B038A8"/>
    <w:rsid w:val="44DD72C9"/>
    <w:rsid w:val="450477EB"/>
    <w:rsid w:val="4505336B"/>
    <w:rsid w:val="45062AE3"/>
    <w:rsid w:val="45183C66"/>
    <w:rsid w:val="452A3695"/>
    <w:rsid w:val="453431DE"/>
    <w:rsid w:val="45426211"/>
    <w:rsid w:val="4550386B"/>
    <w:rsid w:val="458E1338"/>
    <w:rsid w:val="45C17927"/>
    <w:rsid w:val="46037736"/>
    <w:rsid w:val="460D2FD0"/>
    <w:rsid w:val="46150C4A"/>
    <w:rsid w:val="4634536F"/>
    <w:rsid w:val="46697A4B"/>
    <w:rsid w:val="468B0AD2"/>
    <w:rsid w:val="468E1EA0"/>
    <w:rsid w:val="46F6593A"/>
    <w:rsid w:val="46FA3F26"/>
    <w:rsid w:val="46FD5F85"/>
    <w:rsid w:val="470F32CA"/>
    <w:rsid w:val="478946E7"/>
    <w:rsid w:val="47A82DCE"/>
    <w:rsid w:val="47CA56E4"/>
    <w:rsid w:val="48237E89"/>
    <w:rsid w:val="48384BC6"/>
    <w:rsid w:val="488F35B0"/>
    <w:rsid w:val="48C7588B"/>
    <w:rsid w:val="48CE4AE8"/>
    <w:rsid w:val="48DE1602"/>
    <w:rsid w:val="48FA3EBF"/>
    <w:rsid w:val="49151CA0"/>
    <w:rsid w:val="49197E08"/>
    <w:rsid w:val="499E20DB"/>
    <w:rsid w:val="49F97844"/>
    <w:rsid w:val="4A45195C"/>
    <w:rsid w:val="4AB0663D"/>
    <w:rsid w:val="4B5C49EB"/>
    <w:rsid w:val="4B7F2C4C"/>
    <w:rsid w:val="4BB656DA"/>
    <w:rsid w:val="4BC02131"/>
    <w:rsid w:val="4BDA2023"/>
    <w:rsid w:val="4BE742D7"/>
    <w:rsid w:val="4C17568B"/>
    <w:rsid w:val="4C201DD4"/>
    <w:rsid w:val="4C242D73"/>
    <w:rsid w:val="4C285091"/>
    <w:rsid w:val="4C4F5262"/>
    <w:rsid w:val="4C540576"/>
    <w:rsid w:val="4C8E67A3"/>
    <w:rsid w:val="4C9D09AF"/>
    <w:rsid w:val="4CB5788A"/>
    <w:rsid w:val="4CF27128"/>
    <w:rsid w:val="4D074C6A"/>
    <w:rsid w:val="4D5F7F1A"/>
    <w:rsid w:val="4D7B3D69"/>
    <w:rsid w:val="4DA64574"/>
    <w:rsid w:val="4DC572DA"/>
    <w:rsid w:val="4DE84616"/>
    <w:rsid w:val="4E014A19"/>
    <w:rsid w:val="4E1A25DA"/>
    <w:rsid w:val="4E252869"/>
    <w:rsid w:val="4E2D287F"/>
    <w:rsid w:val="4E3E619C"/>
    <w:rsid w:val="4E665B72"/>
    <w:rsid w:val="4E6E4490"/>
    <w:rsid w:val="4E74636C"/>
    <w:rsid w:val="4E8567CB"/>
    <w:rsid w:val="4EEF030F"/>
    <w:rsid w:val="4EFB6416"/>
    <w:rsid w:val="4F0040A4"/>
    <w:rsid w:val="4F041CEE"/>
    <w:rsid w:val="4F2153E0"/>
    <w:rsid w:val="4F2C5C04"/>
    <w:rsid w:val="4F3576A7"/>
    <w:rsid w:val="4FF133BF"/>
    <w:rsid w:val="4FFB01D2"/>
    <w:rsid w:val="4FFF16C9"/>
    <w:rsid w:val="500C21E8"/>
    <w:rsid w:val="5011408C"/>
    <w:rsid w:val="50247CDA"/>
    <w:rsid w:val="502C2316"/>
    <w:rsid w:val="504577B9"/>
    <w:rsid w:val="50797923"/>
    <w:rsid w:val="50815A42"/>
    <w:rsid w:val="508936AE"/>
    <w:rsid w:val="512551E7"/>
    <w:rsid w:val="512D6A24"/>
    <w:rsid w:val="51471838"/>
    <w:rsid w:val="518B2003"/>
    <w:rsid w:val="519314DF"/>
    <w:rsid w:val="5197736D"/>
    <w:rsid w:val="519B6306"/>
    <w:rsid w:val="51B7326E"/>
    <w:rsid w:val="51DE504C"/>
    <w:rsid w:val="51FD2C8D"/>
    <w:rsid w:val="520319D2"/>
    <w:rsid w:val="520A574E"/>
    <w:rsid w:val="52182752"/>
    <w:rsid w:val="527F6D7A"/>
    <w:rsid w:val="5299793A"/>
    <w:rsid w:val="53190E8E"/>
    <w:rsid w:val="5343618F"/>
    <w:rsid w:val="5351101A"/>
    <w:rsid w:val="53947994"/>
    <w:rsid w:val="53C54F4C"/>
    <w:rsid w:val="542F3893"/>
    <w:rsid w:val="544A6359"/>
    <w:rsid w:val="545D0467"/>
    <w:rsid w:val="547C68F0"/>
    <w:rsid w:val="5495674F"/>
    <w:rsid w:val="54B64E81"/>
    <w:rsid w:val="54E85A23"/>
    <w:rsid w:val="55311BA6"/>
    <w:rsid w:val="55332E6F"/>
    <w:rsid w:val="55576AB1"/>
    <w:rsid w:val="55771E1F"/>
    <w:rsid w:val="558455B7"/>
    <w:rsid w:val="558469AC"/>
    <w:rsid w:val="55A31D8E"/>
    <w:rsid w:val="55C509A5"/>
    <w:rsid w:val="55D90295"/>
    <w:rsid w:val="55DC4B53"/>
    <w:rsid w:val="56010207"/>
    <w:rsid w:val="56114701"/>
    <w:rsid w:val="561358D7"/>
    <w:rsid w:val="562348FF"/>
    <w:rsid w:val="56265C7D"/>
    <w:rsid w:val="562A3987"/>
    <w:rsid w:val="562E79C4"/>
    <w:rsid w:val="56317BF9"/>
    <w:rsid w:val="56533804"/>
    <w:rsid w:val="565C7234"/>
    <w:rsid w:val="56630D7F"/>
    <w:rsid w:val="56647672"/>
    <w:rsid w:val="56AC431C"/>
    <w:rsid w:val="56D21B55"/>
    <w:rsid w:val="56F92616"/>
    <w:rsid w:val="573D6F49"/>
    <w:rsid w:val="576E7BAE"/>
    <w:rsid w:val="577B690A"/>
    <w:rsid w:val="578679F9"/>
    <w:rsid w:val="57A6026F"/>
    <w:rsid w:val="58005035"/>
    <w:rsid w:val="5803127F"/>
    <w:rsid w:val="583F2720"/>
    <w:rsid w:val="58740F4D"/>
    <w:rsid w:val="58865CCA"/>
    <w:rsid w:val="58A03D3E"/>
    <w:rsid w:val="58AB7E82"/>
    <w:rsid w:val="58B328E2"/>
    <w:rsid w:val="58C03320"/>
    <w:rsid w:val="58CC7C1A"/>
    <w:rsid w:val="58CE3242"/>
    <w:rsid w:val="59221E80"/>
    <w:rsid w:val="59287009"/>
    <w:rsid w:val="592A15B4"/>
    <w:rsid w:val="592A1634"/>
    <w:rsid w:val="59363754"/>
    <w:rsid w:val="59486CBC"/>
    <w:rsid w:val="59817333"/>
    <w:rsid w:val="59A57D21"/>
    <w:rsid w:val="59A951AE"/>
    <w:rsid w:val="59B711DC"/>
    <w:rsid w:val="59BD4B6D"/>
    <w:rsid w:val="59CE1503"/>
    <w:rsid w:val="59F527B6"/>
    <w:rsid w:val="5A6E1E6A"/>
    <w:rsid w:val="5A78467D"/>
    <w:rsid w:val="5A833D43"/>
    <w:rsid w:val="5A9F31C8"/>
    <w:rsid w:val="5AA835CD"/>
    <w:rsid w:val="5ACE6967"/>
    <w:rsid w:val="5ADD173D"/>
    <w:rsid w:val="5AF10A08"/>
    <w:rsid w:val="5AF700F0"/>
    <w:rsid w:val="5AFF3A36"/>
    <w:rsid w:val="5B1B07BB"/>
    <w:rsid w:val="5B8A5421"/>
    <w:rsid w:val="5BA55DC0"/>
    <w:rsid w:val="5BCD60C8"/>
    <w:rsid w:val="5C275CD6"/>
    <w:rsid w:val="5C701D69"/>
    <w:rsid w:val="5CA36080"/>
    <w:rsid w:val="5CB01BCD"/>
    <w:rsid w:val="5CB747FD"/>
    <w:rsid w:val="5CCE0E4B"/>
    <w:rsid w:val="5CE3598A"/>
    <w:rsid w:val="5D204973"/>
    <w:rsid w:val="5D3E72CC"/>
    <w:rsid w:val="5D4558E2"/>
    <w:rsid w:val="5D457201"/>
    <w:rsid w:val="5D471829"/>
    <w:rsid w:val="5D7A151B"/>
    <w:rsid w:val="5D931FE1"/>
    <w:rsid w:val="5DBA6809"/>
    <w:rsid w:val="5DDB1B0A"/>
    <w:rsid w:val="5E162F9C"/>
    <w:rsid w:val="5E491DB0"/>
    <w:rsid w:val="5E4F4700"/>
    <w:rsid w:val="5EAC34EC"/>
    <w:rsid w:val="5EB30C7C"/>
    <w:rsid w:val="5ECF76E4"/>
    <w:rsid w:val="5EF3152F"/>
    <w:rsid w:val="5F683CCB"/>
    <w:rsid w:val="5F9E573F"/>
    <w:rsid w:val="5FB85E71"/>
    <w:rsid w:val="5FE904B0"/>
    <w:rsid w:val="601C6487"/>
    <w:rsid w:val="603D12A8"/>
    <w:rsid w:val="607D28FA"/>
    <w:rsid w:val="60E54077"/>
    <w:rsid w:val="60ED4415"/>
    <w:rsid w:val="60F32F76"/>
    <w:rsid w:val="610852E6"/>
    <w:rsid w:val="614D43BE"/>
    <w:rsid w:val="6151193B"/>
    <w:rsid w:val="61A30FEA"/>
    <w:rsid w:val="61DF0E94"/>
    <w:rsid w:val="620547E1"/>
    <w:rsid w:val="62151DA9"/>
    <w:rsid w:val="62287742"/>
    <w:rsid w:val="625B3CDA"/>
    <w:rsid w:val="62857B39"/>
    <w:rsid w:val="62B80579"/>
    <w:rsid w:val="62BD2580"/>
    <w:rsid w:val="62D9313E"/>
    <w:rsid w:val="62D94BD9"/>
    <w:rsid w:val="630D6063"/>
    <w:rsid w:val="630F2E87"/>
    <w:rsid w:val="632162B1"/>
    <w:rsid w:val="634B2D8A"/>
    <w:rsid w:val="63534FDD"/>
    <w:rsid w:val="63826F67"/>
    <w:rsid w:val="638C4663"/>
    <w:rsid w:val="639147FD"/>
    <w:rsid w:val="63C35974"/>
    <w:rsid w:val="63C61A1E"/>
    <w:rsid w:val="63F913D9"/>
    <w:rsid w:val="640A2838"/>
    <w:rsid w:val="643248A8"/>
    <w:rsid w:val="64405B52"/>
    <w:rsid w:val="646744A2"/>
    <w:rsid w:val="6476386E"/>
    <w:rsid w:val="64964CB5"/>
    <w:rsid w:val="64D0412F"/>
    <w:rsid w:val="64F10A38"/>
    <w:rsid w:val="64FC3A3A"/>
    <w:rsid w:val="65111B00"/>
    <w:rsid w:val="651729E6"/>
    <w:rsid w:val="653F6340"/>
    <w:rsid w:val="65797EC8"/>
    <w:rsid w:val="65AC2D54"/>
    <w:rsid w:val="661209C2"/>
    <w:rsid w:val="66177DB9"/>
    <w:rsid w:val="6687011C"/>
    <w:rsid w:val="66A12FE9"/>
    <w:rsid w:val="66AB75B4"/>
    <w:rsid w:val="66BD2D5A"/>
    <w:rsid w:val="66C8504F"/>
    <w:rsid w:val="670E43D6"/>
    <w:rsid w:val="675306D7"/>
    <w:rsid w:val="679D43EB"/>
    <w:rsid w:val="67A755AC"/>
    <w:rsid w:val="67A95C43"/>
    <w:rsid w:val="67AC4971"/>
    <w:rsid w:val="67DE7F52"/>
    <w:rsid w:val="67E62B65"/>
    <w:rsid w:val="680F5324"/>
    <w:rsid w:val="682145A3"/>
    <w:rsid w:val="684D14CD"/>
    <w:rsid w:val="6856216C"/>
    <w:rsid w:val="685929E2"/>
    <w:rsid w:val="68C52F15"/>
    <w:rsid w:val="68C617F4"/>
    <w:rsid w:val="68D32D0F"/>
    <w:rsid w:val="68D832D0"/>
    <w:rsid w:val="68F04EBD"/>
    <w:rsid w:val="695A44F9"/>
    <w:rsid w:val="6A0054A9"/>
    <w:rsid w:val="6A0E36C1"/>
    <w:rsid w:val="6A3657DC"/>
    <w:rsid w:val="6A592426"/>
    <w:rsid w:val="6A651792"/>
    <w:rsid w:val="6AE01FA6"/>
    <w:rsid w:val="6AE85CC0"/>
    <w:rsid w:val="6AF44E8B"/>
    <w:rsid w:val="6AFC057B"/>
    <w:rsid w:val="6B5549E0"/>
    <w:rsid w:val="6BA20565"/>
    <w:rsid w:val="6BA46527"/>
    <w:rsid w:val="6BAC003F"/>
    <w:rsid w:val="6BE12AD7"/>
    <w:rsid w:val="6C041438"/>
    <w:rsid w:val="6C562949"/>
    <w:rsid w:val="6C93041F"/>
    <w:rsid w:val="6CBF0FDA"/>
    <w:rsid w:val="6CDF1345"/>
    <w:rsid w:val="6CDF5B5C"/>
    <w:rsid w:val="6CEC09CA"/>
    <w:rsid w:val="6D0665D9"/>
    <w:rsid w:val="6D8D24BE"/>
    <w:rsid w:val="6D996BB9"/>
    <w:rsid w:val="6DA864BD"/>
    <w:rsid w:val="6DAA452D"/>
    <w:rsid w:val="6DE84271"/>
    <w:rsid w:val="6DF02F39"/>
    <w:rsid w:val="6DF43A4F"/>
    <w:rsid w:val="6DF56723"/>
    <w:rsid w:val="6E217E67"/>
    <w:rsid w:val="6E2C7302"/>
    <w:rsid w:val="6E407C99"/>
    <w:rsid w:val="6E5C109F"/>
    <w:rsid w:val="6E625FC5"/>
    <w:rsid w:val="6E6F7294"/>
    <w:rsid w:val="6E7361E8"/>
    <w:rsid w:val="6E755800"/>
    <w:rsid w:val="6E894481"/>
    <w:rsid w:val="6EDB1834"/>
    <w:rsid w:val="6EEE50E6"/>
    <w:rsid w:val="6EF410D7"/>
    <w:rsid w:val="6F1310E1"/>
    <w:rsid w:val="6F1541A6"/>
    <w:rsid w:val="6F325EA6"/>
    <w:rsid w:val="6F3C482C"/>
    <w:rsid w:val="6F4F6D65"/>
    <w:rsid w:val="6F6D49E6"/>
    <w:rsid w:val="6FC478B5"/>
    <w:rsid w:val="6FD8223B"/>
    <w:rsid w:val="6FEF7AF1"/>
    <w:rsid w:val="701A2263"/>
    <w:rsid w:val="702A04BD"/>
    <w:rsid w:val="70406A76"/>
    <w:rsid w:val="70412AA9"/>
    <w:rsid w:val="70567587"/>
    <w:rsid w:val="705B5186"/>
    <w:rsid w:val="707177BE"/>
    <w:rsid w:val="70774AD9"/>
    <w:rsid w:val="707B1B22"/>
    <w:rsid w:val="70C4426E"/>
    <w:rsid w:val="70CC5F53"/>
    <w:rsid w:val="70F21A5A"/>
    <w:rsid w:val="711830B5"/>
    <w:rsid w:val="71223536"/>
    <w:rsid w:val="71235557"/>
    <w:rsid w:val="71320622"/>
    <w:rsid w:val="71325EE7"/>
    <w:rsid w:val="71327C95"/>
    <w:rsid w:val="71361C3C"/>
    <w:rsid w:val="71612E49"/>
    <w:rsid w:val="71613784"/>
    <w:rsid w:val="716C1ABC"/>
    <w:rsid w:val="718F66C6"/>
    <w:rsid w:val="71BB3271"/>
    <w:rsid w:val="71C0655F"/>
    <w:rsid w:val="71DB20DB"/>
    <w:rsid w:val="720F19CD"/>
    <w:rsid w:val="722D399E"/>
    <w:rsid w:val="72647073"/>
    <w:rsid w:val="729853EF"/>
    <w:rsid w:val="72A86C49"/>
    <w:rsid w:val="72AF2871"/>
    <w:rsid w:val="72F164D9"/>
    <w:rsid w:val="73454CA7"/>
    <w:rsid w:val="734C1288"/>
    <w:rsid w:val="738F5872"/>
    <w:rsid w:val="73BD6648"/>
    <w:rsid w:val="740A2F15"/>
    <w:rsid w:val="741F23F4"/>
    <w:rsid w:val="74481E01"/>
    <w:rsid w:val="745E0DFA"/>
    <w:rsid w:val="746D5E72"/>
    <w:rsid w:val="746F7BAC"/>
    <w:rsid w:val="74793E2D"/>
    <w:rsid w:val="74826A4B"/>
    <w:rsid w:val="7487043D"/>
    <w:rsid w:val="74976FD2"/>
    <w:rsid w:val="74A84019"/>
    <w:rsid w:val="74BD7DB7"/>
    <w:rsid w:val="74C37678"/>
    <w:rsid w:val="74CE6771"/>
    <w:rsid w:val="74D91B87"/>
    <w:rsid w:val="75396296"/>
    <w:rsid w:val="753E59B5"/>
    <w:rsid w:val="754029F6"/>
    <w:rsid w:val="75480844"/>
    <w:rsid w:val="75562E77"/>
    <w:rsid w:val="755C08DA"/>
    <w:rsid w:val="7563323C"/>
    <w:rsid w:val="7572472A"/>
    <w:rsid w:val="75C2750F"/>
    <w:rsid w:val="75C8506C"/>
    <w:rsid w:val="75E7445F"/>
    <w:rsid w:val="76813BAB"/>
    <w:rsid w:val="768218E8"/>
    <w:rsid w:val="768C7D7F"/>
    <w:rsid w:val="76BD3A39"/>
    <w:rsid w:val="76D14817"/>
    <w:rsid w:val="778B7C87"/>
    <w:rsid w:val="77B358E9"/>
    <w:rsid w:val="77BE5957"/>
    <w:rsid w:val="77E33C32"/>
    <w:rsid w:val="77F17704"/>
    <w:rsid w:val="77F7474E"/>
    <w:rsid w:val="781D7AA8"/>
    <w:rsid w:val="78240D0C"/>
    <w:rsid w:val="78407C6B"/>
    <w:rsid w:val="784E7DA4"/>
    <w:rsid w:val="78990434"/>
    <w:rsid w:val="78B25DFA"/>
    <w:rsid w:val="78BB1D12"/>
    <w:rsid w:val="78DB2F4C"/>
    <w:rsid w:val="78EF0693"/>
    <w:rsid w:val="78F817C4"/>
    <w:rsid w:val="79206F6D"/>
    <w:rsid w:val="79294073"/>
    <w:rsid w:val="792A43D8"/>
    <w:rsid w:val="792B20C1"/>
    <w:rsid w:val="79314908"/>
    <w:rsid w:val="79346E73"/>
    <w:rsid w:val="79370CAF"/>
    <w:rsid w:val="79432FDC"/>
    <w:rsid w:val="794A2A3F"/>
    <w:rsid w:val="795567BD"/>
    <w:rsid w:val="795D502D"/>
    <w:rsid w:val="79A17042"/>
    <w:rsid w:val="79AD2705"/>
    <w:rsid w:val="79BF7F62"/>
    <w:rsid w:val="79E27A66"/>
    <w:rsid w:val="7A095B60"/>
    <w:rsid w:val="7A0A7459"/>
    <w:rsid w:val="7A5248CB"/>
    <w:rsid w:val="7A6373CB"/>
    <w:rsid w:val="7A767E77"/>
    <w:rsid w:val="7A8C3B20"/>
    <w:rsid w:val="7AAD00F5"/>
    <w:rsid w:val="7ABE2599"/>
    <w:rsid w:val="7ACB6585"/>
    <w:rsid w:val="7AF07854"/>
    <w:rsid w:val="7AF4707F"/>
    <w:rsid w:val="7B206E8C"/>
    <w:rsid w:val="7B302F75"/>
    <w:rsid w:val="7B3068B7"/>
    <w:rsid w:val="7B564DC7"/>
    <w:rsid w:val="7B7F32D7"/>
    <w:rsid w:val="7B876D2E"/>
    <w:rsid w:val="7B9C4FB3"/>
    <w:rsid w:val="7BB030AB"/>
    <w:rsid w:val="7BB61D4D"/>
    <w:rsid w:val="7BB77D6D"/>
    <w:rsid w:val="7BC15DF1"/>
    <w:rsid w:val="7C163DBC"/>
    <w:rsid w:val="7C2572F0"/>
    <w:rsid w:val="7C947A56"/>
    <w:rsid w:val="7CB65C1E"/>
    <w:rsid w:val="7CD6061D"/>
    <w:rsid w:val="7CFB02C7"/>
    <w:rsid w:val="7D5036CA"/>
    <w:rsid w:val="7D8F5F09"/>
    <w:rsid w:val="7DAF75BF"/>
    <w:rsid w:val="7DBC7F2E"/>
    <w:rsid w:val="7E7B3DE6"/>
    <w:rsid w:val="7E7E6405"/>
    <w:rsid w:val="7E99110A"/>
    <w:rsid w:val="7EA539CF"/>
    <w:rsid w:val="7EBC783A"/>
    <w:rsid w:val="7EBF6CFA"/>
    <w:rsid w:val="7EC04082"/>
    <w:rsid w:val="7EC939A3"/>
    <w:rsid w:val="7F0145A4"/>
    <w:rsid w:val="7F2464E8"/>
    <w:rsid w:val="7F422514"/>
    <w:rsid w:val="7F5D1B03"/>
    <w:rsid w:val="7F783EB2"/>
    <w:rsid w:val="7F7D0851"/>
    <w:rsid w:val="7F887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55"/>
    <w:qFormat/>
    <w:uiPriority w:val="9"/>
    <w:pPr>
      <w:keepNext/>
      <w:keepLines/>
      <w:spacing w:before="220" w:after="210" w:line="576" w:lineRule="auto"/>
      <w:jc w:val="center"/>
      <w:outlineLvl w:val="0"/>
    </w:pPr>
    <w:rPr>
      <w:b/>
      <w:bCs/>
      <w:kern w:val="44"/>
      <w:sz w:val="36"/>
      <w:szCs w:val="44"/>
    </w:rPr>
  </w:style>
  <w:style w:type="paragraph" w:styleId="6">
    <w:name w:val="heading 2"/>
    <w:basedOn w:val="1"/>
    <w:next w:val="1"/>
    <w:link w:val="56"/>
    <w:qFormat/>
    <w:uiPriority w:val="9"/>
    <w:pPr>
      <w:keepNext/>
      <w:keepLines/>
      <w:adjustRightInd w:val="0"/>
      <w:snapToGrid w:val="0"/>
      <w:spacing w:before="120" w:after="120" w:line="360" w:lineRule="auto"/>
      <w:outlineLvl w:val="1"/>
    </w:pPr>
    <w:rPr>
      <w:rFonts w:ascii="宋体" w:hAnsi="宋体" w:cs="宋体"/>
      <w:b/>
      <w:sz w:val="30"/>
    </w:rPr>
  </w:style>
  <w:style w:type="paragraph" w:styleId="7">
    <w:name w:val="heading 3"/>
    <w:basedOn w:val="1"/>
    <w:next w:val="1"/>
    <w:link w:val="57"/>
    <w:qFormat/>
    <w:uiPriority w:val="9"/>
    <w:pPr>
      <w:widowControl w:val="0"/>
      <w:tabs>
        <w:tab w:val="left" w:pos="851"/>
      </w:tabs>
      <w:autoSpaceDE w:val="0"/>
      <w:autoSpaceDN w:val="0"/>
      <w:adjustRightInd w:val="0"/>
      <w:snapToGrid w:val="0"/>
      <w:spacing w:before="120" w:after="120" w:line="360" w:lineRule="auto"/>
      <w:outlineLvl w:val="2"/>
    </w:pPr>
    <w:rPr>
      <w:rFonts w:ascii="宋体" w:hAnsi="宋体"/>
      <w:b/>
      <w:sz w:val="28"/>
    </w:rPr>
  </w:style>
  <w:style w:type="paragraph" w:styleId="8">
    <w:name w:val="heading 4"/>
    <w:basedOn w:val="1"/>
    <w:next w:val="9"/>
    <w:link w:val="58"/>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10">
    <w:name w:val="heading 5"/>
    <w:basedOn w:val="1"/>
    <w:next w:val="9"/>
    <w:qFormat/>
    <w:uiPriority w:val="0"/>
    <w:pPr>
      <w:keepNext/>
      <w:widowControl w:val="0"/>
      <w:autoSpaceDE w:val="0"/>
      <w:autoSpaceDN w:val="0"/>
      <w:adjustRightInd w:val="0"/>
      <w:snapToGrid w:val="0"/>
      <w:spacing w:before="280" w:after="290" w:line="374" w:lineRule="auto"/>
      <w:jc w:val="both"/>
      <w:outlineLvl w:val="4"/>
    </w:pPr>
    <w:rPr>
      <w:rFonts w:ascii="宋体" w:cs="宋体"/>
      <w:b/>
      <w:color w:val="000000"/>
      <w:sz w:val="28"/>
    </w:rPr>
  </w:style>
  <w:style w:type="paragraph" w:styleId="11">
    <w:name w:val="heading 6"/>
    <w:basedOn w:val="1"/>
    <w:next w:val="9"/>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12">
    <w:name w:val="heading 7"/>
    <w:basedOn w:val="1"/>
    <w:next w:val="9"/>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3">
    <w:name w:val="heading 8"/>
    <w:basedOn w:val="1"/>
    <w:next w:val="9"/>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4">
    <w:name w:val="heading 9"/>
    <w:basedOn w:val="1"/>
    <w:next w:val="9"/>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60" w:lineRule="auto"/>
      <w:ind w:left="0" w:leftChars="0" w:firstLine="420"/>
      <w:textAlignment w:val="baseline"/>
    </w:pPr>
    <w:rPr>
      <w:rFonts w:eastAsia="等线"/>
      <w:color w:val="000000"/>
      <w:szCs w:val="24"/>
    </w:rPr>
  </w:style>
  <w:style w:type="paragraph" w:styleId="3">
    <w:name w:val="Body Text Indent"/>
    <w:basedOn w:val="1"/>
    <w:next w:val="4"/>
    <w:link w:val="54"/>
    <w:qFormat/>
    <w:uiPriority w:val="0"/>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9">
    <w:name w:val="Normal Indent"/>
    <w:basedOn w:val="1"/>
    <w:next w:val="1"/>
    <w:link w:val="59"/>
    <w:qFormat/>
    <w:uiPriority w:val="0"/>
    <w:pPr>
      <w:ind w:firstLine="420"/>
    </w:pPr>
  </w:style>
  <w:style w:type="paragraph" w:styleId="15">
    <w:name w:val="toc 7"/>
    <w:basedOn w:val="1"/>
    <w:next w:val="1"/>
    <w:link w:val="60"/>
    <w:unhideWhenUsed/>
    <w:qFormat/>
    <w:uiPriority w:val="0"/>
    <w:pPr>
      <w:widowControl w:val="0"/>
      <w:ind w:left="2520" w:leftChars="1200"/>
      <w:jc w:val="both"/>
    </w:pPr>
    <w:rPr>
      <w:rFonts w:ascii="Calibri" w:hAnsi="Calibri"/>
      <w:kern w:val="2"/>
      <w:szCs w:val="22"/>
    </w:rPr>
  </w:style>
  <w:style w:type="paragraph" w:styleId="16">
    <w:name w:val="Document Map"/>
    <w:basedOn w:val="1"/>
    <w:link w:val="61"/>
    <w:qFormat/>
    <w:uiPriority w:val="0"/>
    <w:rPr>
      <w:rFonts w:ascii="宋体"/>
      <w:sz w:val="18"/>
      <w:szCs w:val="18"/>
    </w:rPr>
  </w:style>
  <w:style w:type="paragraph" w:styleId="17">
    <w:name w:val="annotation text"/>
    <w:basedOn w:val="1"/>
    <w:link w:val="62"/>
    <w:qFormat/>
    <w:uiPriority w:val="0"/>
    <w:pPr>
      <w:widowControl w:val="0"/>
    </w:pPr>
  </w:style>
  <w:style w:type="paragraph" w:styleId="18">
    <w:name w:val="Body Text 3"/>
    <w:basedOn w:val="1"/>
    <w:link w:val="63"/>
    <w:qFormat/>
    <w:uiPriority w:val="0"/>
    <w:pPr>
      <w:spacing w:after="120"/>
    </w:pPr>
    <w:rPr>
      <w:sz w:val="16"/>
      <w:szCs w:val="16"/>
    </w:rPr>
  </w:style>
  <w:style w:type="paragraph" w:styleId="19">
    <w:name w:val="Body Text"/>
    <w:basedOn w:val="1"/>
    <w:next w:val="1"/>
    <w:link w:val="64"/>
    <w:qFormat/>
    <w:uiPriority w:val="0"/>
    <w:pPr>
      <w:spacing w:after="120"/>
    </w:pPr>
  </w:style>
  <w:style w:type="paragraph" w:styleId="20">
    <w:name w:val="toc 5"/>
    <w:basedOn w:val="1"/>
    <w:next w:val="1"/>
    <w:unhideWhenUsed/>
    <w:qFormat/>
    <w:uiPriority w:val="0"/>
    <w:pPr>
      <w:widowControl w:val="0"/>
      <w:ind w:left="1680" w:leftChars="800"/>
      <w:jc w:val="both"/>
    </w:pPr>
    <w:rPr>
      <w:rFonts w:ascii="Calibri" w:hAnsi="Calibri"/>
      <w:kern w:val="2"/>
      <w:szCs w:val="22"/>
    </w:rPr>
  </w:style>
  <w:style w:type="paragraph" w:styleId="21">
    <w:name w:val="toc 3"/>
    <w:basedOn w:val="1"/>
    <w:next w:val="1"/>
    <w:qFormat/>
    <w:uiPriority w:val="0"/>
    <w:pPr>
      <w:ind w:left="840" w:leftChars="400"/>
    </w:pPr>
  </w:style>
  <w:style w:type="paragraph" w:styleId="22">
    <w:name w:val="Plain Text"/>
    <w:basedOn w:val="1"/>
    <w:link w:val="65"/>
    <w:qFormat/>
    <w:uiPriority w:val="99"/>
    <w:rPr>
      <w:rFonts w:ascii="宋体" w:hAnsi="Courier New"/>
      <w:szCs w:val="21"/>
    </w:rPr>
  </w:style>
  <w:style w:type="paragraph" w:styleId="23">
    <w:name w:val="toc 8"/>
    <w:basedOn w:val="1"/>
    <w:next w:val="1"/>
    <w:unhideWhenUsed/>
    <w:qFormat/>
    <w:uiPriority w:val="0"/>
    <w:pPr>
      <w:widowControl w:val="0"/>
      <w:ind w:left="2940" w:leftChars="1400"/>
      <w:jc w:val="both"/>
    </w:pPr>
    <w:rPr>
      <w:rFonts w:ascii="Calibri" w:hAnsi="Calibri"/>
      <w:kern w:val="2"/>
      <w:szCs w:val="22"/>
    </w:rPr>
  </w:style>
  <w:style w:type="paragraph" w:styleId="24">
    <w:name w:val="Date"/>
    <w:basedOn w:val="1"/>
    <w:next w:val="1"/>
    <w:qFormat/>
    <w:uiPriority w:val="0"/>
    <w:pPr>
      <w:widowControl w:val="0"/>
      <w:jc w:val="both"/>
    </w:pPr>
    <w:rPr>
      <w:rFonts w:ascii="方正楷体_GB2312" w:eastAsia="方正楷体_GB2312"/>
      <w:kern w:val="2"/>
      <w:sz w:val="28"/>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66"/>
    <w:qFormat/>
    <w:uiPriority w:val="0"/>
    <w:rPr>
      <w:sz w:val="18"/>
      <w:szCs w:val="18"/>
    </w:rPr>
  </w:style>
  <w:style w:type="paragraph" w:styleId="27">
    <w:name w:val="footer"/>
    <w:basedOn w:val="1"/>
    <w:link w:val="67"/>
    <w:qFormat/>
    <w:uiPriority w:val="0"/>
    <w:pPr>
      <w:tabs>
        <w:tab w:val="center" w:pos="4153"/>
        <w:tab w:val="right" w:pos="8306"/>
      </w:tabs>
      <w:snapToGrid w:val="0"/>
    </w:pPr>
    <w:rPr>
      <w:sz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link w:val="69"/>
    <w:qFormat/>
    <w:uiPriority w:val="39"/>
    <w:pPr>
      <w:spacing w:line="360" w:lineRule="auto"/>
      <w:ind w:left="824" w:hanging="824"/>
    </w:pPr>
    <w:rPr>
      <w:rFonts w:ascii="宋体"/>
    </w:rPr>
  </w:style>
  <w:style w:type="paragraph" w:styleId="30">
    <w:name w:val="toc 4"/>
    <w:basedOn w:val="1"/>
    <w:next w:val="1"/>
    <w:unhideWhenUsed/>
    <w:qFormat/>
    <w:uiPriority w:val="0"/>
    <w:pPr>
      <w:widowControl w:val="0"/>
      <w:ind w:left="1260" w:leftChars="600"/>
      <w:jc w:val="both"/>
    </w:pPr>
    <w:rPr>
      <w:rFonts w:ascii="Calibri" w:hAnsi="Calibri"/>
      <w:kern w:val="2"/>
      <w:szCs w:val="22"/>
    </w:rPr>
  </w:style>
  <w:style w:type="paragraph" w:styleId="31">
    <w:name w:val="footnote text"/>
    <w:basedOn w:val="1"/>
    <w:qFormat/>
    <w:uiPriority w:val="0"/>
    <w:pPr>
      <w:snapToGrid w:val="0"/>
    </w:pPr>
    <w:rPr>
      <w:sz w:val="18"/>
    </w:rPr>
  </w:style>
  <w:style w:type="paragraph" w:styleId="32">
    <w:name w:val="toc 6"/>
    <w:basedOn w:val="1"/>
    <w:next w:val="1"/>
    <w:unhideWhenUsed/>
    <w:qFormat/>
    <w:uiPriority w:val="0"/>
    <w:pPr>
      <w:widowControl w:val="0"/>
      <w:ind w:left="2100" w:leftChars="1000"/>
      <w:jc w:val="both"/>
    </w:pPr>
    <w:rPr>
      <w:rFonts w:ascii="Calibri" w:hAnsi="Calibri"/>
      <w:kern w:val="2"/>
      <w:szCs w:val="22"/>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39"/>
    <w:pPr>
      <w:tabs>
        <w:tab w:val="right" w:leader="dot" w:pos="9402"/>
      </w:tabs>
      <w:spacing w:line="360" w:lineRule="auto"/>
      <w:ind w:left="993" w:leftChars="202" w:hanging="569" w:hangingChars="237"/>
    </w:pPr>
  </w:style>
  <w:style w:type="paragraph" w:styleId="35">
    <w:name w:val="toc 9"/>
    <w:basedOn w:val="1"/>
    <w:next w:val="1"/>
    <w:unhideWhenUsed/>
    <w:qFormat/>
    <w:uiPriority w:val="0"/>
    <w:pPr>
      <w:widowControl w:val="0"/>
      <w:ind w:left="3360" w:leftChars="1600"/>
      <w:jc w:val="both"/>
    </w:pPr>
    <w:rPr>
      <w:rFonts w:ascii="Calibri" w:hAnsi="Calibri"/>
      <w:kern w:val="2"/>
      <w:szCs w:val="22"/>
    </w:rPr>
  </w:style>
  <w:style w:type="paragraph" w:styleId="36">
    <w:name w:val="Body Text 2"/>
    <w:basedOn w:val="1"/>
    <w:qFormat/>
    <w:uiPriority w:val="0"/>
    <w:pPr>
      <w:spacing w:after="120" w:line="480" w:lineRule="auto"/>
    </w:pPr>
  </w:style>
  <w:style w:type="paragraph" w:styleId="37">
    <w:name w:val="HTML Preformatted"/>
    <w:basedOn w:val="1"/>
    <w:qFormat/>
    <w:uiPriority w:val="0"/>
    <w:rPr>
      <w:rFonts w:ascii="黑体" w:hAnsi="Courier New" w:eastAsia="黑体" w:cs="Courier New"/>
      <w:sz w:val="20"/>
      <w:szCs w:val="21"/>
    </w:rPr>
  </w:style>
  <w:style w:type="paragraph" w:styleId="38">
    <w:name w:val="Normal (Web)"/>
    <w:basedOn w:val="1"/>
    <w:qFormat/>
    <w:uiPriority w:val="0"/>
    <w:pPr>
      <w:spacing w:before="100" w:beforeAutospacing="1" w:after="100" w:afterAutospacing="1"/>
    </w:pPr>
    <w:rPr>
      <w:rFonts w:ascii="宋体" w:hAnsi="宋体" w:cs="宋体"/>
      <w:sz w:val="24"/>
      <w:szCs w:val="24"/>
    </w:rPr>
  </w:style>
  <w:style w:type="paragraph" w:styleId="39">
    <w:name w:val="Title"/>
    <w:basedOn w:val="1"/>
    <w:next w:val="1"/>
    <w:link w:val="70"/>
    <w:qFormat/>
    <w:uiPriority w:val="10"/>
    <w:pPr>
      <w:keepNext/>
      <w:widowControl w:val="0"/>
      <w:spacing w:beforeLines="100"/>
      <w:jc w:val="center"/>
    </w:pPr>
    <w:rPr>
      <w:rFonts w:ascii="方正楷体_GB2312" w:eastAsia="方正楷体_GB2312"/>
      <w:bCs/>
      <w:kern w:val="2"/>
      <w:sz w:val="28"/>
      <w:szCs w:val="32"/>
    </w:rPr>
  </w:style>
  <w:style w:type="paragraph" w:styleId="40">
    <w:name w:val="annotation subject"/>
    <w:basedOn w:val="17"/>
    <w:next w:val="17"/>
    <w:link w:val="71"/>
    <w:qFormat/>
    <w:uiPriority w:val="0"/>
    <w:pPr>
      <w:widowControl/>
    </w:pPr>
    <w:rPr>
      <w:b/>
      <w:bCs/>
      <w:kern w:val="2"/>
      <w:szCs w:val="24"/>
    </w:rPr>
  </w:style>
  <w:style w:type="paragraph" w:styleId="41">
    <w:name w:val="Body Text First Indent"/>
    <w:basedOn w:val="19"/>
    <w:unhideWhenUsed/>
    <w:qFormat/>
    <w:uiPriority w:val="99"/>
    <w:pPr>
      <w:widowControl w:val="0"/>
      <w:ind w:firstLine="420" w:firstLineChars="100"/>
      <w:jc w:val="both"/>
    </w:pPr>
    <w:rPr>
      <w:szCs w:val="21"/>
    </w:rPr>
  </w:style>
  <w:style w:type="table" w:styleId="43">
    <w:name w:val="Table Grid"/>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unhideWhenUsed/>
    <w:qFormat/>
    <w:uiPriority w:val="99"/>
    <w:rPr>
      <w:rFonts w:ascii="微软雅黑" w:hAnsi="微软雅黑" w:eastAsia="微软雅黑" w:cs="微软雅黑"/>
      <w:color w:val="333333"/>
      <w:sz w:val="21"/>
      <w:szCs w:val="21"/>
      <w:u w:val="none"/>
    </w:rPr>
  </w:style>
  <w:style w:type="character" w:styleId="48">
    <w:name w:val="HTML Definition"/>
    <w:basedOn w:val="44"/>
    <w:unhideWhenUsed/>
    <w:qFormat/>
    <w:uiPriority w:val="0"/>
    <w:rPr>
      <w:i/>
      <w:iCs/>
    </w:rPr>
  </w:style>
  <w:style w:type="character" w:styleId="49">
    <w:name w:val="Hyperlink"/>
    <w:qFormat/>
    <w:uiPriority w:val="99"/>
    <w:rPr>
      <w:color w:val="0000FF"/>
      <w:u w:val="single"/>
    </w:rPr>
  </w:style>
  <w:style w:type="character" w:styleId="50">
    <w:name w:val="HTML Code"/>
    <w:basedOn w:val="44"/>
    <w:unhideWhenUsed/>
    <w:qFormat/>
    <w:uiPriority w:val="0"/>
    <w:rPr>
      <w:rFonts w:hint="default" w:ascii="Consolas" w:hAnsi="Consolas" w:eastAsia="Consolas" w:cs="Consolas"/>
      <w:color w:val="C7254E"/>
      <w:sz w:val="21"/>
      <w:szCs w:val="21"/>
      <w:bdr w:val="single" w:color="E1E1E1" w:sz="6" w:space="0"/>
      <w:shd w:val="clear" w:color="auto" w:fill="F9F2F4"/>
    </w:rPr>
  </w:style>
  <w:style w:type="character" w:styleId="51">
    <w:name w:val="annotation reference"/>
    <w:qFormat/>
    <w:uiPriority w:val="0"/>
    <w:rPr>
      <w:sz w:val="21"/>
      <w:szCs w:val="21"/>
    </w:rPr>
  </w:style>
  <w:style w:type="character" w:styleId="52">
    <w:name w:val="HTML Keyboard"/>
    <w:basedOn w:val="44"/>
    <w:unhideWhenUsed/>
    <w:qFormat/>
    <w:uiPriority w:val="0"/>
    <w:rPr>
      <w:rFonts w:ascii="Consolas" w:hAnsi="Consolas" w:eastAsia="Consolas" w:cs="Consolas"/>
      <w:color w:val="FFFFFF"/>
      <w:sz w:val="21"/>
      <w:szCs w:val="21"/>
      <w:shd w:val="clear" w:color="auto" w:fill="333333"/>
    </w:rPr>
  </w:style>
  <w:style w:type="character" w:styleId="53">
    <w:name w:val="HTML Sample"/>
    <w:basedOn w:val="44"/>
    <w:unhideWhenUsed/>
    <w:qFormat/>
    <w:uiPriority w:val="0"/>
    <w:rPr>
      <w:rFonts w:hint="default" w:ascii="Consolas" w:hAnsi="Consolas" w:eastAsia="Consolas" w:cs="Consolas"/>
      <w:sz w:val="21"/>
      <w:szCs w:val="21"/>
    </w:rPr>
  </w:style>
  <w:style w:type="character" w:customStyle="1" w:styleId="54">
    <w:name w:val="正文文本缩进 Char"/>
    <w:link w:val="3"/>
    <w:qFormat/>
    <w:uiPriority w:val="0"/>
    <w:rPr>
      <w:sz w:val="21"/>
    </w:rPr>
  </w:style>
  <w:style w:type="character" w:customStyle="1" w:styleId="55">
    <w:name w:val="标题 1 Char"/>
    <w:link w:val="5"/>
    <w:qFormat/>
    <w:uiPriority w:val="0"/>
    <w:rPr>
      <w:rFonts w:eastAsia="宋体"/>
      <w:b/>
      <w:bCs/>
      <w:kern w:val="44"/>
      <w:sz w:val="36"/>
      <w:szCs w:val="44"/>
    </w:rPr>
  </w:style>
  <w:style w:type="character" w:customStyle="1" w:styleId="56">
    <w:name w:val="标题 2 Char"/>
    <w:link w:val="6"/>
    <w:qFormat/>
    <w:uiPriority w:val="0"/>
    <w:rPr>
      <w:rFonts w:ascii="宋体" w:hAnsi="宋体" w:eastAsia="宋体" w:cs="宋体"/>
      <w:b/>
      <w:sz w:val="30"/>
    </w:rPr>
  </w:style>
  <w:style w:type="character" w:customStyle="1" w:styleId="57">
    <w:name w:val="标题 3 Char2"/>
    <w:link w:val="7"/>
    <w:qFormat/>
    <w:uiPriority w:val="9"/>
    <w:rPr>
      <w:rFonts w:ascii="宋体" w:cs="宋体"/>
      <w:sz w:val="21"/>
    </w:rPr>
  </w:style>
  <w:style w:type="character" w:customStyle="1" w:styleId="58">
    <w:name w:val="标题 4 Char"/>
    <w:link w:val="8"/>
    <w:qFormat/>
    <w:uiPriority w:val="0"/>
    <w:rPr>
      <w:rFonts w:ascii="宋体" w:hAnsi="Arial" w:cs="宋体"/>
      <w:color w:val="000000"/>
      <w:sz w:val="21"/>
    </w:rPr>
  </w:style>
  <w:style w:type="character" w:customStyle="1" w:styleId="59">
    <w:name w:val="正文缩进 Char"/>
    <w:link w:val="9"/>
    <w:qFormat/>
    <w:uiPriority w:val="0"/>
    <w:rPr>
      <w:rFonts w:eastAsia="宋体"/>
      <w:sz w:val="21"/>
      <w:lang w:val="en-US" w:eastAsia="zh-CN" w:bidi="ar-SA"/>
    </w:rPr>
  </w:style>
  <w:style w:type="character" w:customStyle="1" w:styleId="60">
    <w:name w:val="目录 7 Char"/>
    <w:link w:val="15"/>
    <w:qFormat/>
    <w:uiPriority w:val="0"/>
    <w:rPr>
      <w:rFonts w:ascii="Calibri" w:hAnsi="Calibri"/>
      <w:kern w:val="2"/>
      <w:szCs w:val="22"/>
    </w:rPr>
  </w:style>
  <w:style w:type="character" w:customStyle="1" w:styleId="61">
    <w:name w:val="文档结构图 Char"/>
    <w:link w:val="16"/>
    <w:qFormat/>
    <w:uiPriority w:val="0"/>
    <w:rPr>
      <w:rFonts w:ascii="宋体"/>
      <w:sz w:val="18"/>
      <w:szCs w:val="18"/>
    </w:rPr>
  </w:style>
  <w:style w:type="character" w:customStyle="1" w:styleId="62">
    <w:name w:val="批注文字 Char1"/>
    <w:link w:val="17"/>
    <w:qFormat/>
    <w:uiPriority w:val="0"/>
    <w:rPr>
      <w:sz w:val="21"/>
    </w:rPr>
  </w:style>
  <w:style w:type="character" w:customStyle="1" w:styleId="63">
    <w:name w:val="正文文本 3 Char"/>
    <w:link w:val="18"/>
    <w:qFormat/>
    <w:uiPriority w:val="0"/>
    <w:rPr>
      <w:sz w:val="16"/>
      <w:szCs w:val="16"/>
    </w:rPr>
  </w:style>
  <w:style w:type="character" w:customStyle="1" w:styleId="64">
    <w:name w:val="正文文本 Char"/>
    <w:basedOn w:val="44"/>
    <w:link w:val="19"/>
    <w:qFormat/>
    <w:uiPriority w:val="0"/>
    <w:rPr>
      <w:rFonts w:hint="default" w:ascii="Times New Roman" w:hAnsi="Times New Roman" w:cs="Times New Roman"/>
      <w:sz w:val="21"/>
    </w:rPr>
  </w:style>
  <w:style w:type="character" w:customStyle="1" w:styleId="65">
    <w:name w:val="纯文本 Char"/>
    <w:link w:val="22"/>
    <w:qFormat/>
    <w:locked/>
    <w:uiPriority w:val="99"/>
    <w:rPr>
      <w:rFonts w:ascii="宋体" w:hAnsi="Courier New" w:cs="Courier New"/>
      <w:sz w:val="21"/>
      <w:szCs w:val="21"/>
    </w:rPr>
  </w:style>
  <w:style w:type="character" w:customStyle="1" w:styleId="66">
    <w:name w:val="批注框文本 Char"/>
    <w:link w:val="26"/>
    <w:qFormat/>
    <w:uiPriority w:val="0"/>
    <w:rPr>
      <w:rFonts w:eastAsia="宋体"/>
      <w:sz w:val="18"/>
      <w:szCs w:val="18"/>
      <w:lang w:val="en-US" w:eastAsia="zh-CN" w:bidi="ar-SA"/>
    </w:rPr>
  </w:style>
  <w:style w:type="character" w:customStyle="1" w:styleId="67">
    <w:name w:val="页脚 Char"/>
    <w:link w:val="27"/>
    <w:qFormat/>
    <w:uiPriority w:val="99"/>
    <w:rPr>
      <w:sz w:val="18"/>
    </w:rPr>
  </w:style>
  <w:style w:type="character" w:customStyle="1" w:styleId="68">
    <w:name w:val="页眉 Char"/>
    <w:link w:val="28"/>
    <w:qFormat/>
    <w:uiPriority w:val="99"/>
    <w:rPr>
      <w:sz w:val="18"/>
    </w:rPr>
  </w:style>
  <w:style w:type="character" w:customStyle="1" w:styleId="69">
    <w:name w:val="目录 1 Char"/>
    <w:link w:val="29"/>
    <w:qFormat/>
    <w:uiPriority w:val="39"/>
    <w:rPr>
      <w:rFonts w:ascii="宋体"/>
    </w:rPr>
  </w:style>
  <w:style w:type="character" w:customStyle="1" w:styleId="70">
    <w:name w:val="标题 Char"/>
    <w:link w:val="39"/>
    <w:qFormat/>
    <w:uiPriority w:val="10"/>
    <w:rPr>
      <w:rFonts w:ascii="方正楷体_GB2312" w:eastAsia="方正楷体_GB2312"/>
      <w:bCs/>
      <w:kern w:val="2"/>
      <w:sz w:val="28"/>
      <w:szCs w:val="32"/>
    </w:rPr>
  </w:style>
  <w:style w:type="character" w:customStyle="1" w:styleId="71">
    <w:name w:val="批注主题 Char"/>
    <w:link w:val="40"/>
    <w:qFormat/>
    <w:uiPriority w:val="0"/>
    <w:rPr>
      <w:b/>
      <w:bCs/>
      <w:kern w:val="2"/>
      <w:sz w:val="21"/>
      <w:szCs w:val="24"/>
    </w:rPr>
  </w:style>
  <w:style w:type="character" w:customStyle="1" w:styleId="72">
    <w:name w:val="hover31"/>
    <w:basedOn w:val="44"/>
    <w:qFormat/>
    <w:uiPriority w:val="0"/>
    <w:rPr>
      <w:shd w:val="clear" w:color="auto" w:fill="EEEEEE"/>
    </w:rPr>
  </w:style>
  <w:style w:type="character" w:customStyle="1" w:styleId="73">
    <w:name w:val="hover32"/>
    <w:basedOn w:val="44"/>
    <w:qFormat/>
    <w:uiPriority w:val="0"/>
    <w:rPr>
      <w:shd w:val="clear" w:color="auto" w:fill="EEEEEE"/>
    </w:rPr>
  </w:style>
  <w:style w:type="character" w:customStyle="1" w:styleId="74">
    <w:name w:val="hour_am"/>
    <w:basedOn w:val="44"/>
    <w:qFormat/>
    <w:uiPriority w:val="0"/>
  </w:style>
  <w:style w:type="character" w:customStyle="1" w:styleId="75">
    <w:name w:val="span_a0"/>
    <w:basedOn w:val="44"/>
    <w:qFormat/>
    <w:uiPriority w:val="0"/>
  </w:style>
  <w:style w:type="character" w:customStyle="1" w:styleId="76">
    <w:name w:val="checked"/>
    <w:basedOn w:val="44"/>
    <w:qFormat/>
    <w:uiPriority w:val="0"/>
  </w:style>
  <w:style w:type="character" w:customStyle="1" w:styleId="77">
    <w:name w:val="hover30"/>
    <w:basedOn w:val="44"/>
    <w:qFormat/>
    <w:uiPriority w:val="0"/>
    <w:rPr>
      <w:shd w:val="clear" w:color="auto" w:fill="EEEEEE"/>
    </w:rPr>
  </w:style>
  <w:style w:type="character" w:customStyle="1" w:styleId="78">
    <w:name w:val="标题 3 字符1"/>
    <w:qFormat/>
    <w:uiPriority w:val="0"/>
    <w:rPr>
      <w:rFonts w:ascii="宋体" w:cs="宋体"/>
      <w:sz w:val="21"/>
    </w:rPr>
  </w:style>
  <w:style w:type="character" w:customStyle="1" w:styleId="79">
    <w:name w:val="hour_pm"/>
    <w:basedOn w:val="44"/>
    <w:qFormat/>
    <w:uiPriority w:val="0"/>
  </w:style>
  <w:style w:type="character" w:customStyle="1" w:styleId="80">
    <w:name w:val="font31"/>
    <w:qFormat/>
    <w:uiPriority w:val="0"/>
    <w:rPr>
      <w:rFonts w:hint="eastAsia" w:ascii="宋体" w:hAnsi="宋体" w:eastAsia="宋体" w:cs="宋体"/>
      <w:b/>
      <w:color w:val="000000"/>
      <w:sz w:val="22"/>
      <w:szCs w:val="22"/>
      <w:u w:val="none"/>
    </w:rPr>
  </w:style>
  <w:style w:type="character" w:customStyle="1" w:styleId="81">
    <w:name w:val="样式1 Char_0"/>
    <w:link w:val="82"/>
    <w:qFormat/>
    <w:uiPriority w:val="0"/>
    <w:rPr>
      <w:rFonts w:ascii="宋体" w:hAnsi="Arial"/>
      <w:b/>
      <w:sz w:val="32"/>
    </w:rPr>
  </w:style>
  <w:style w:type="paragraph" w:customStyle="1" w:styleId="82">
    <w:name w:val="样式1_0_0"/>
    <w:basedOn w:val="1"/>
    <w:link w:val="81"/>
    <w:qFormat/>
    <w:uiPriority w:val="0"/>
    <w:pPr>
      <w:keepNext/>
      <w:keepLines/>
      <w:tabs>
        <w:tab w:val="left" w:pos="420"/>
      </w:tabs>
      <w:adjustRightInd w:val="0"/>
      <w:snapToGrid w:val="0"/>
      <w:spacing w:line="360" w:lineRule="auto"/>
      <w:ind w:left="420" w:hanging="420"/>
      <w:jc w:val="center"/>
      <w:outlineLvl w:val="1"/>
    </w:pPr>
    <w:rPr>
      <w:rFonts w:ascii="宋体" w:hAnsi="Arial"/>
      <w:b/>
      <w:sz w:val="32"/>
    </w:rPr>
  </w:style>
  <w:style w:type="character" w:customStyle="1" w:styleId="83">
    <w:name w:val="未处理的提及2"/>
    <w:unhideWhenUsed/>
    <w:qFormat/>
    <w:uiPriority w:val="99"/>
    <w:rPr>
      <w:color w:val="605E5C"/>
      <w:shd w:val="clear" w:color="auto" w:fill="E1DFDD"/>
    </w:rPr>
  </w:style>
  <w:style w:type="character" w:customStyle="1" w:styleId="84">
    <w:name w:val="p141_0"/>
    <w:qFormat/>
    <w:uiPriority w:val="0"/>
    <w:rPr>
      <w:rFonts w:ascii="Calibri" w:hAnsi="Calibri"/>
      <w:sz w:val="21"/>
      <w:szCs w:val="21"/>
    </w:rPr>
  </w:style>
  <w:style w:type="character" w:customStyle="1" w:styleId="85">
    <w:name w:val="layui-laypage-curr"/>
    <w:basedOn w:val="44"/>
    <w:qFormat/>
    <w:uiPriority w:val="0"/>
  </w:style>
  <w:style w:type="character" w:customStyle="1" w:styleId="86">
    <w:name w:val="16"/>
    <w:qFormat/>
    <w:uiPriority w:val="0"/>
    <w:rPr>
      <w:szCs w:val="24"/>
    </w:rPr>
  </w:style>
  <w:style w:type="character" w:customStyle="1" w:styleId="87">
    <w:name w:val="访问过的超链接1"/>
    <w:qFormat/>
    <w:uiPriority w:val="99"/>
    <w:rPr>
      <w:color w:val="800080"/>
      <w:u w:val="single"/>
    </w:rPr>
  </w:style>
  <w:style w:type="character" w:customStyle="1" w:styleId="88">
    <w:name w:val="old"/>
    <w:basedOn w:val="44"/>
    <w:qFormat/>
    <w:uiPriority w:val="0"/>
    <w:rPr>
      <w:color w:val="999999"/>
    </w:rPr>
  </w:style>
  <w:style w:type="character" w:customStyle="1" w:styleId="89">
    <w:name w:val="标题 3 Char"/>
    <w:qFormat/>
    <w:uiPriority w:val="0"/>
    <w:rPr>
      <w:rFonts w:ascii="宋体" w:hAnsi="宋体" w:eastAsia="宋体" w:cs="宋体"/>
      <w:b/>
      <w:sz w:val="28"/>
    </w:rPr>
  </w:style>
  <w:style w:type="character" w:customStyle="1" w:styleId="90">
    <w:name w:val="正文缩进 字符1"/>
    <w:qFormat/>
    <w:uiPriority w:val="0"/>
    <w:rPr>
      <w:rFonts w:eastAsia="宋体"/>
      <w:sz w:val="21"/>
      <w:lang w:val="en-US" w:eastAsia="zh-CN" w:bidi="ar-SA"/>
    </w:rPr>
  </w:style>
  <w:style w:type="character" w:customStyle="1" w:styleId="91">
    <w:name w:val="批注文字 Char"/>
    <w:qFormat/>
    <w:uiPriority w:val="0"/>
    <w:rPr>
      <w:kern w:val="2"/>
      <w:sz w:val="21"/>
      <w:szCs w:val="24"/>
    </w:rPr>
  </w:style>
  <w:style w:type="character" w:customStyle="1" w:styleId="92">
    <w:name w:val="ll1"/>
    <w:qFormat/>
    <w:uiPriority w:val="0"/>
    <w:rPr>
      <w:spacing w:val="31680"/>
    </w:rPr>
  </w:style>
  <w:style w:type="character" w:customStyle="1" w:styleId="93">
    <w:name w:val="样式1 Char"/>
    <w:link w:val="94"/>
    <w:qFormat/>
    <w:uiPriority w:val="0"/>
    <w:rPr>
      <w:rFonts w:ascii="宋体" w:hAnsi="Arial"/>
      <w:b/>
      <w:sz w:val="32"/>
    </w:rPr>
  </w:style>
  <w:style w:type="paragraph" w:customStyle="1" w:styleId="94">
    <w:name w:val="样式1_0"/>
    <w:basedOn w:val="1"/>
    <w:link w:val="93"/>
    <w:qFormat/>
    <w:uiPriority w:val="0"/>
    <w:pPr>
      <w:keepNext/>
      <w:keepLines/>
      <w:tabs>
        <w:tab w:val="left" w:pos="420"/>
      </w:tabs>
      <w:adjustRightInd w:val="0"/>
      <w:snapToGrid w:val="0"/>
      <w:spacing w:line="360" w:lineRule="auto"/>
      <w:ind w:left="420" w:hanging="420"/>
      <w:jc w:val="center"/>
      <w:outlineLvl w:val="1"/>
    </w:pPr>
    <w:rPr>
      <w:rFonts w:ascii="宋体" w:hAnsi="Arial"/>
      <w:b/>
      <w:sz w:val="32"/>
    </w:rPr>
  </w:style>
  <w:style w:type="character" w:customStyle="1" w:styleId="95">
    <w:name w:val="hover33"/>
    <w:basedOn w:val="44"/>
    <w:qFormat/>
    <w:uiPriority w:val="0"/>
    <w:rPr>
      <w:color w:val="999999"/>
      <w:shd w:val="clear" w:color="auto" w:fill="EEEEEE"/>
    </w:rPr>
  </w:style>
  <w:style w:type="character" w:customStyle="1" w:styleId="96">
    <w:name w:val="未处理的提及1"/>
    <w:unhideWhenUsed/>
    <w:qFormat/>
    <w:uiPriority w:val="99"/>
    <w:rPr>
      <w:color w:val="605E5C"/>
      <w:shd w:val="clear" w:color="auto" w:fill="E1DFDD"/>
    </w:rPr>
  </w:style>
  <w:style w:type="character" w:customStyle="1" w:styleId="97">
    <w:name w:val="样式2 Char Char"/>
    <w:link w:val="98"/>
    <w:qFormat/>
    <w:uiPriority w:val="0"/>
    <w:rPr>
      <w:rFonts w:ascii="宋体" w:hAnsi="宋体"/>
      <w:kern w:val="2"/>
      <w:sz w:val="28"/>
      <w:szCs w:val="28"/>
    </w:rPr>
  </w:style>
  <w:style w:type="paragraph" w:customStyle="1" w:styleId="98">
    <w:name w:val="样式2"/>
    <w:basedOn w:val="1"/>
    <w:link w:val="97"/>
    <w:qFormat/>
    <w:uiPriority w:val="0"/>
    <w:pPr>
      <w:widowControl w:val="0"/>
      <w:tabs>
        <w:tab w:val="left" w:pos="-720"/>
        <w:tab w:val="left" w:pos="-180"/>
        <w:tab w:val="left" w:pos="2160"/>
        <w:tab w:val="left" w:pos="4800"/>
        <w:tab w:val="left" w:pos="6600"/>
        <w:tab w:val="left" w:pos="7800"/>
      </w:tabs>
      <w:adjustRightInd w:val="0"/>
      <w:snapToGrid w:val="0"/>
      <w:spacing w:line="288" w:lineRule="auto"/>
      <w:ind w:firstLine="599" w:firstLineChars="200"/>
      <w:outlineLvl w:val="8"/>
    </w:pPr>
    <w:rPr>
      <w:rFonts w:ascii="宋体" w:hAnsi="宋体"/>
      <w:kern w:val="2"/>
      <w:sz w:val="28"/>
      <w:szCs w:val="28"/>
    </w:rPr>
  </w:style>
  <w:style w:type="character" w:customStyle="1" w:styleId="99">
    <w:name w:val="checked1"/>
    <w:basedOn w:val="44"/>
    <w:qFormat/>
    <w:uiPriority w:val="0"/>
  </w:style>
  <w:style w:type="character" w:customStyle="1" w:styleId="100">
    <w:name w:val="标题 字符"/>
    <w:qFormat/>
    <w:uiPriority w:val="0"/>
    <w:rPr>
      <w:rFonts w:ascii="Cambria" w:hAnsi="Cambria" w:eastAsia="宋体" w:cs="Times New Roman"/>
      <w:b/>
      <w:bCs/>
      <w:sz w:val="32"/>
      <w:szCs w:val="32"/>
    </w:rPr>
  </w:style>
  <w:style w:type="character" w:customStyle="1" w:styleId="101">
    <w:name w:val="标题 3 Char1"/>
    <w:qFormat/>
    <w:uiPriority w:val="0"/>
    <w:rPr>
      <w:rFonts w:ascii="宋体" w:cs="宋体"/>
      <w:sz w:val="21"/>
    </w:rPr>
  </w:style>
  <w:style w:type="character" w:customStyle="1" w:styleId="102">
    <w:name w:val="filename"/>
    <w:basedOn w:val="44"/>
    <w:qFormat/>
    <w:uiPriority w:val="0"/>
    <w:rPr>
      <w:color w:val="777777"/>
      <w:sz w:val="16"/>
      <w:szCs w:val="16"/>
    </w:rPr>
  </w:style>
  <w:style w:type="character" w:customStyle="1" w:styleId="103">
    <w:name w:val="p141"/>
    <w:qFormat/>
    <w:uiPriority w:val="0"/>
    <w:rPr>
      <w:sz w:val="21"/>
      <w:szCs w:val="21"/>
    </w:rPr>
  </w:style>
  <w:style w:type="character" w:customStyle="1" w:styleId="104">
    <w:name w:val="old1"/>
    <w:basedOn w:val="44"/>
    <w:qFormat/>
    <w:uiPriority w:val="0"/>
    <w:rPr>
      <w:color w:val="999999"/>
      <w:shd w:val="clear" w:color="auto" w:fill="EEEEEE"/>
    </w:rPr>
  </w:style>
  <w:style w:type="character" w:customStyle="1" w:styleId="105">
    <w:name w:val="未处理的提及"/>
    <w:qFormat/>
    <w:uiPriority w:val="0"/>
    <w:rPr>
      <w:color w:val="605E5C"/>
      <w:shd w:val="clear" w:color="auto" w:fill="E1DFDD"/>
    </w:rPr>
  </w:style>
  <w:style w:type="character" w:customStyle="1" w:styleId="106">
    <w:name w:val="本文正文 Char1 Char Char Char Char Char Char Char Char Char Char Char Char Char Char Char Char Char Char Char Char Char Char Char Char Char Char"/>
    <w:link w:val="107"/>
    <w:qFormat/>
    <w:uiPriority w:val="0"/>
    <w:rPr>
      <w:rFonts w:ascii="宋体" w:hAnsi="宋体"/>
      <w:sz w:val="24"/>
    </w:rPr>
  </w:style>
  <w:style w:type="paragraph" w:customStyle="1" w:styleId="107">
    <w:name w:val="本文正文 Char1 Char Char Char Char Char Char Char Char Char Char Char Char Char Char Char Char Char Char Char Char Char Char Char Char"/>
    <w:basedOn w:val="1"/>
    <w:link w:val="106"/>
    <w:qFormat/>
    <w:uiPriority w:val="0"/>
    <w:pPr>
      <w:spacing w:line="480" w:lineRule="exact"/>
      <w:ind w:firstLine="200" w:firstLineChars="200"/>
    </w:pPr>
    <w:rPr>
      <w:rFonts w:ascii="宋体" w:hAnsi="宋体"/>
      <w:sz w:val="24"/>
    </w:rPr>
  </w:style>
  <w:style w:type="character" w:customStyle="1" w:styleId="108">
    <w:name w:val="正文缩进 Char1"/>
    <w:qFormat/>
    <w:uiPriority w:val="99"/>
    <w:rPr>
      <w:rFonts w:eastAsia="宋体"/>
      <w:sz w:val="21"/>
      <w:lang w:val="en-US" w:eastAsia="zh-CN" w:bidi="ar-SA"/>
    </w:rPr>
  </w:style>
  <w:style w:type="character" w:customStyle="1" w:styleId="109">
    <w:name w:val="hover29"/>
    <w:basedOn w:val="44"/>
    <w:qFormat/>
    <w:uiPriority w:val="0"/>
    <w:rPr>
      <w:shd w:val="clear" w:color="auto" w:fill="EEEEEE"/>
    </w:rPr>
  </w:style>
  <w:style w:type="character" w:customStyle="1" w:styleId="110">
    <w:name w:val="font21"/>
    <w:basedOn w:val="44"/>
    <w:qFormat/>
    <w:uiPriority w:val="0"/>
    <w:rPr>
      <w:rFonts w:hint="eastAsia" w:ascii="宋体" w:hAnsi="宋体" w:eastAsia="宋体" w:cs="宋体"/>
      <w:color w:val="000000"/>
      <w:sz w:val="21"/>
      <w:szCs w:val="21"/>
      <w:u w:val="none"/>
    </w:rPr>
  </w:style>
  <w:style w:type="character" w:customStyle="1" w:styleId="111">
    <w:name w:val="标题 5 Char"/>
    <w:qFormat/>
    <w:uiPriority w:val="0"/>
    <w:rPr>
      <w:rFonts w:eastAsia="宋体"/>
      <w:kern w:val="2"/>
      <w:sz w:val="28"/>
      <w:lang w:val="en-US" w:eastAsia="zh-CN" w:bidi="ar-SA"/>
    </w:rPr>
  </w:style>
  <w:style w:type="character" w:customStyle="1" w:styleId="112">
    <w:name w:val="wf1"/>
    <w:qFormat/>
    <w:uiPriority w:val="0"/>
    <w:rPr>
      <w:rFonts w:hint="eastAsia" w:ascii="宋体" w:hAnsi="宋体" w:eastAsia="宋体"/>
      <w:sz w:val="24"/>
      <w:szCs w:val="24"/>
    </w:rPr>
  </w:style>
  <w:style w:type="character" w:customStyle="1" w:styleId="113">
    <w:name w:val="action"/>
    <w:basedOn w:val="44"/>
    <w:qFormat/>
    <w:uiPriority w:val="0"/>
    <w:rPr>
      <w:b/>
      <w:bCs/>
      <w:sz w:val="16"/>
      <w:szCs w:val="16"/>
      <w:shd w:val="clear" w:color="auto" w:fill="FFFFFF"/>
    </w:rPr>
  </w:style>
  <w:style w:type="character" w:customStyle="1" w:styleId="114">
    <w:name w:val="new"/>
    <w:basedOn w:val="44"/>
    <w:qFormat/>
    <w:uiPriority w:val="0"/>
    <w:rPr>
      <w:color w:val="999999"/>
    </w:rPr>
  </w:style>
  <w:style w:type="paragraph" w:customStyle="1" w:styleId="115">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116">
    <w:name w:val="p0"/>
    <w:basedOn w:val="1"/>
    <w:qFormat/>
    <w:uiPriority w:val="0"/>
    <w:pPr>
      <w:jc w:val="both"/>
    </w:pPr>
    <w:rPr>
      <w:szCs w:val="21"/>
    </w:rPr>
  </w:style>
  <w:style w:type="paragraph" w:styleId="117">
    <w:name w:val="List Paragraph"/>
    <w:basedOn w:val="1"/>
    <w:qFormat/>
    <w:uiPriority w:val="34"/>
    <w:pPr>
      <w:ind w:firstLine="420" w:firstLineChars="200"/>
    </w:pPr>
  </w:style>
  <w:style w:type="paragraph" w:customStyle="1" w:styleId="118">
    <w:name w:val="Char Char Char Char Char1 Char"/>
    <w:basedOn w:val="1"/>
    <w:qFormat/>
    <w:uiPriority w:val="0"/>
    <w:pPr>
      <w:widowControl w:val="0"/>
      <w:jc w:val="both"/>
    </w:pPr>
    <w:rPr>
      <w:rFonts w:ascii="Tahoma" w:hAnsi="Tahoma"/>
      <w:kern w:val="2"/>
      <w:sz w:val="24"/>
    </w:rPr>
  </w:style>
  <w:style w:type="paragraph" w:customStyle="1" w:styleId="119">
    <w:name w:val="表格小五"/>
    <w:qFormat/>
    <w:locked/>
    <w:uiPriority w:val="0"/>
    <w:pPr>
      <w:widowControl w:val="0"/>
      <w:adjustRightInd w:val="0"/>
      <w:snapToGrid w:val="0"/>
      <w:spacing w:line="360" w:lineRule="auto"/>
      <w:ind w:firstLine="0" w:firstLineChars="0"/>
      <w:jc w:val="center"/>
    </w:pPr>
    <w:rPr>
      <w:rFonts w:ascii="Times New Roman" w:hAnsi="Times New Roman" w:eastAsia="宋体" w:cs="Times New Roman"/>
      <w:kern w:val="0"/>
      <w:sz w:val="18"/>
      <w:szCs w:val="28"/>
      <w:lang w:val="en-US" w:eastAsia="en-US" w:bidi="en-US"/>
    </w:rPr>
  </w:style>
  <w:style w:type="paragraph" w:customStyle="1" w:styleId="120">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1">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22">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3">
    <w:name w:val="Char Char Char1 Char"/>
    <w:basedOn w:val="1"/>
    <w:qFormat/>
    <w:uiPriority w:val="0"/>
    <w:pPr>
      <w:widowControl w:val="0"/>
      <w:jc w:val="both"/>
    </w:pPr>
    <w:rPr>
      <w:rFonts w:ascii="Tahoma" w:hAnsi="Tahoma"/>
      <w:kern w:val="2"/>
      <w:sz w:val="24"/>
    </w:rPr>
  </w:style>
  <w:style w:type="paragraph" w:customStyle="1" w:styleId="124">
    <w:name w:val="修订2"/>
    <w:unhideWhenUsed/>
    <w:qFormat/>
    <w:uiPriority w:val="99"/>
    <w:rPr>
      <w:rFonts w:ascii="Calibri" w:hAnsi="Calibri" w:eastAsia="宋体" w:cs="Times New Roman"/>
      <w:kern w:val="2"/>
      <w:sz w:val="21"/>
      <w:szCs w:val="24"/>
      <w:lang w:val="en-US" w:eastAsia="zh-CN" w:bidi="ar-SA"/>
    </w:rPr>
  </w:style>
  <w:style w:type="paragraph" w:customStyle="1" w:styleId="125">
    <w:name w:val="图"/>
    <w:basedOn w:val="1"/>
    <w:qFormat/>
    <w:uiPriority w:val="0"/>
    <w:pPr>
      <w:keepNext/>
      <w:widowControl w:val="0"/>
      <w:adjustRightInd w:val="0"/>
      <w:spacing w:before="60" w:after="60" w:line="300" w:lineRule="auto"/>
      <w:jc w:val="center"/>
      <w:textAlignment w:val="center"/>
    </w:pPr>
    <w:rPr>
      <w:spacing w:val="20"/>
      <w:sz w:val="24"/>
    </w:rPr>
  </w:style>
  <w:style w:type="paragraph" w:customStyle="1" w:styleId="126">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Char Char Char Char Char Char Char Char Char Char2"/>
    <w:basedOn w:val="1"/>
    <w:qFormat/>
    <w:uiPriority w:val="0"/>
    <w:pPr>
      <w:widowControl w:val="0"/>
      <w:jc w:val="both"/>
    </w:pPr>
    <w:rPr>
      <w:rFonts w:ascii="Tahoma" w:hAnsi="Tahoma"/>
      <w:kern w:val="2"/>
      <w:sz w:val="24"/>
    </w:rPr>
  </w:style>
  <w:style w:type="paragraph" w:customStyle="1" w:styleId="129">
    <w:name w:val="修订1"/>
    <w:semiHidden/>
    <w:qFormat/>
    <w:uiPriority w:val="99"/>
    <w:rPr>
      <w:rFonts w:ascii="Times New Roman" w:hAnsi="Times New Roman" w:eastAsia="宋体" w:cs="Times New Roman"/>
      <w:sz w:val="21"/>
      <w:lang w:val="en-US" w:eastAsia="zh-CN" w:bidi="ar-SA"/>
    </w:rPr>
  </w:style>
  <w:style w:type="paragraph" w:customStyle="1" w:styleId="130">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31">
    <w:name w:val="Char Char Char Char1"/>
    <w:basedOn w:val="1"/>
    <w:qFormat/>
    <w:uiPriority w:val="0"/>
    <w:pPr>
      <w:tabs>
        <w:tab w:val="left" w:pos="965"/>
      </w:tabs>
      <w:spacing w:after="160" w:line="240" w:lineRule="exact"/>
      <w:ind w:left="965" w:hanging="425"/>
    </w:pPr>
    <w:rPr>
      <w:rFonts w:ascii="Verdana" w:hAnsi="Verdana"/>
      <w:lang w:eastAsia="en-US"/>
    </w:rPr>
  </w:style>
  <w:style w:type="paragraph" w:customStyle="1" w:styleId="132">
    <w:name w:val="font8"/>
    <w:basedOn w:val="1"/>
    <w:qFormat/>
    <w:uiPriority w:val="0"/>
    <w:pPr>
      <w:spacing w:before="100" w:beforeAutospacing="1" w:after="100" w:afterAutospacing="1"/>
    </w:pPr>
    <w:rPr>
      <w:b/>
      <w:bCs/>
      <w:sz w:val="36"/>
      <w:szCs w:val="36"/>
    </w:rPr>
  </w:style>
  <w:style w:type="paragraph" w:customStyle="1" w:styleId="133">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4">
    <w:name w:val="列出段落1"/>
    <w:basedOn w:val="1"/>
    <w:qFormat/>
    <w:uiPriority w:val="34"/>
    <w:pPr>
      <w:ind w:firstLine="420" w:firstLineChars="200"/>
    </w:pPr>
  </w:style>
  <w:style w:type="paragraph" w:customStyle="1" w:styleId="135">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36">
    <w:name w:val="font6"/>
    <w:basedOn w:val="1"/>
    <w:qFormat/>
    <w:uiPriority w:val="0"/>
    <w:pPr>
      <w:spacing w:before="100" w:beforeAutospacing="1" w:after="100" w:afterAutospacing="1"/>
    </w:pPr>
    <w:rPr>
      <w:sz w:val="24"/>
      <w:szCs w:val="24"/>
    </w:rPr>
  </w:style>
  <w:style w:type="paragraph" w:customStyle="1" w:styleId="137">
    <w:name w:val="Default"/>
    <w:next w:val="3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8">
    <w:name w:val="Char11"/>
    <w:basedOn w:val="1"/>
    <w:qFormat/>
    <w:uiPriority w:val="0"/>
    <w:pPr>
      <w:widowControl w:val="0"/>
      <w:jc w:val="both"/>
    </w:pPr>
    <w:rPr>
      <w:rFonts w:ascii="Tahoma" w:hAnsi="Tahoma"/>
      <w:kern w:val="2"/>
      <w:sz w:val="24"/>
    </w:rPr>
  </w:style>
  <w:style w:type="paragraph" w:customStyle="1" w:styleId="13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_Style 172"/>
    <w:basedOn w:val="1"/>
    <w:next w:val="1"/>
    <w:unhideWhenUsed/>
    <w:qFormat/>
    <w:uiPriority w:val="39"/>
    <w:pPr>
      <w:widowControl w:val="0"/>
      <w:ind w:left="2100" w:leftChars="1000" w:firstLine="200" w:firstLineChars="200"/>
      <w:jc w:val="both"/>
    </w:pPr>
    <w:rPr>
      <w:rFonts w:ascii="方正楷体_GB2312" w:eastAsia="方正楷体_GB2312"/>
      <w:kern w:val="2"/>
      <w:sz w:val="32"/>
      <w:szCs w:val="22"/>
    </w:rPr>
  </w:style>
  <w:style w:type="paragraph" w:customStyle="1" w:styleId="141">
    <w:name w:val="四部标题"/>
    <w:qFormat/>
    <w:uiPriority w:val="0"/>
    <w:pPr>
      <w:widowControl w:val="0"/>
      <w:numPr>
        <w:ilvl w:val="3"/>
        <w:numId w:val="1"/>
      </w:numPr>
      <w:adjustRightInd w:val="0"/>
      <w:snapToGrid w:val="0"/>
      <w:spacing w:beforeLines="50" w:afterLines="20" w:line="360" w:lineRule="auto"/>
      <w:ind w:firstLine="0" w:firstLineChars="0"/>
      <w:jc w:val="left"/>
      <w:outlineLvl w:val="3"/>
    </w:pPr>
    <w:rPr>
      <w:rFonts w:ascii="黑体" w:hAnsi="黑体" w:eastAsia="黑体" w:cs="黑体"/>
      <w:b/>
      <w:kern w:val="2"/>
      <w:sz w:val="24"/>
      <w:szCs w:val="24"/>
      <w:lang w:val="en-US" w:eastAsia="zh-CN" w:bidi="ar-SA"/>
    </w:rPr>
  </w:style>
  <w:style w:type="paragraph" w:customStyle="1" w:styleId="142">
    <w:name w:val="页脚2"/>
    <w:basedOn w:val="1"/>
    <w:qFormat/>
    <w:uiPriority w:val="0"/>
    <w:pPr>
      <w:pBdr>
        <w:top w:val="single" w:color="auto" w:sz="6" w:space="0"/>
      </w:pBdr>
      <w:jc w:val="right"/>
      <w:textAlignment w:val="center"/>
    </w:pPr>
    <w:rPr>
      <w:rFonts w:ascii="宋体" w:hAnsi="宋体"/>
      <w:sz w:val="18"/>
    </w:rPr>
  </w:style>
  <w:style w:type="paragraph" w:customStyle="1" w:styleId="143">
    <w:name w:val="1"/>
    <w:basedOn w:val="1"/>
    <w:next w:val="22"/>
    <w:qFormat/>
    <w:uiPriority w:val="99"/>
    <w:pPr>
      <w:widowControl w:val="0"/>
      <w:jc w:val="both"/>
    </w:pPr>
    <w:rPr>
      <w:rFonts w:ascii="宋体" w:hAnsi="Courier New"/>
      <w:kern w:val="2"/>
    </w:rPr>
  </w:style>
  <w:style w:type="paragraph" w:customStyle="1" w:styleId="144">
    <w:name w:val="f12"/>
    <w:basedOn w:val="1"/>
    <w:qFormat/>
    <w:uiPriority w:val="0"/>
    <w:pPr>
      <w:spacing w:before="100" w:beforeAutospacing="1" w:after="100" w:afterAutospacing="1"/>
    </w:pPr>
    <w:rPr>
      <w:rFonts w:ascii="方正楷体_GB2312" w:hAnsi="方正楷体_GB2312"/>
      <w:color w:val="000000"/>
      <w:szCs w:val="21"/>
    </w:rPr>
  </w:style>
  <w:style w:type="paragraph" w:customStyle="1" w:styleId="145">
    <w:name w:val="正文_2"/>
    <w:qFormat/>
    <w:uiPriority w:val="0"/>
    <w:rPr>
      <w:rFonts w:ascii="Times New Roman" w:hAnsi="Times New Roman" w:eastAsia="宋体" w:cs="Times New Roman"/>
      <w:sz w:val="21"/>
      <w:lang w:val="en-US" w:eastAsia="zh-CN" w:bidi="ar-SA"/>
    </w:rPr>
  </w:style>
  <w:style w:type="paragraph" w:customStyle="1" w:styleId="146">
    <w:name w:val="Char1 Char"/>
    <w:basedOn w:val="1"/>
    <w:qFormat/>
    <w:uiPriority w:val="0"/>
    <w:pPr>
      <w:widowControl w:val="0"/>
      <w:ind w:left="425" w:hanging="425"/>
      <w:jc w:val="both"/>
    </w:pPr>
    <w:rPr>
      <w:kern w:val="2"/>
      <w:sz w:val="24"/>
      <w:szCs w:val="24"/>
    </w:rPr>
  </w:style>
  <w:style w:type="paragraph" w:customStyle="1" w:styleId="147">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8">
    <w:name w:val="样式1"/>
    <w:basedOn w:val="6"/>
    <w:qFormat/>
    <w:uiPriority w:val="0"/>
    <w:pPr>
      <w:tabs>
        <w:tab w:val="left" w:pos="420"/>
      </w:tabs>
      <w:ind w:left="420" w:hanging="420"/>
    </w:pPr>
    <w:rPr>
      <w:rFonts w:cs="Times New Roman"/>
    </w:rPr>
  </w:style>
  <w:style w:type="paragraph" w:customStyle="1" w:styleId="149">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50">
    <w:name w:val="Char Char1 Char Char Char Char Char Char Char Char Char Char"/>
    <w:basedOn w:val="1"/>
    <w:qFormat/>
    <w:uiPriority w:val="0"/>
    <w:pPr>
      <w:widowControl w:val="0"/>
      <w:jc w:val="both"/>
    </w:pPr>
    <w:rPr>
      <w:rFonts w:ascii="Tahoma" w:hAnsi="Tahoma"/>
      <w:kern w:val="2"/>
      <w:sz w:val="24"/>
    </w:rPr>
  </w:style>
  <w:style w:type="paragraph" w:customStyle="1" w:styleId="151">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152">
    <w:name w:val="f14"/>
    <w:basedOn w:val="1"/>
    <w:qFormat/>
    <w:uiPriority w:val="0"/>
    <w:pPr>
      <w:spacing w:before="100" w:beforeAutospacing="1" w:after="100" w:afterAutospacing="1"/>
    </w:pPr>
    <w:rPr>
      <w:rFonts w:ascii="方正楷体_GB2312" w:hAnsi="方正楷体_GB2312"/>
      <w:color w:val="000000"/>
      <w:sz w:val="28"/>
      <w:szCs w:val="28"/>
    </w:rPr>
  </w:style>
  <w:style w:type="paragraph" w:customStyle="1" w:styleId="153">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154">
    <w:name w:val="font7"/>
    <w:basedOn w:val="1"/>
    <w:qFormat/>
    <w:uiPriority w:val="0"/>
    <w:pPr>
      <w:spacing w:before="100" w:beforeAutospacing="1" w:after="100" w:afterAutospacing="1"/>
    </w:pPr>
    <w:rPr>
      <w:rFonts w:ascii="宋体" w:hAnsi="宋体" w:cs="宋体"/>
      <w:b/>
      <w:bCs/>
      <w:sz w:val="36"/>
      <w:szCs w:val="36"/>
    </w:rPr>
  </w:style>
  <w:style w:type="paragraph" w:customStyle="1" w:styleId="155">
    <w:name w:val="Char Char1 Char Char Char Char Char Char Char Char Char Char2"/>
    <w:basedOn w:val="1"/>
    <w:qFormat/>
    <w:uiPriority w:val="0"/>
    <w:pPr>
      <w:widowControl w:val="0"/>
      <w:jc w:val="both"/>
    </w:pPr>
    <w:rPr>
      <w:rFonts w:ascii="Tahoma" w:hAnsi="Tahoma"/>
      <w:kern w:val="2"/>
      <w:sz w:val="24"/>
    </w:rPr>
  </w:style>
  <w:style w:type="paragraph" w:customStyle="1" w:styleId="156">
    <w:name w:val="一级标题"/>
    <w:qFormat/>
    <w:uiPriority w:val="0"/>
    <w:pPr>
      <w:widowControl w:val="0"/>
      <w:numPr>
        <w:ilvl w:val="0"/>
        <w:numId w:val="2"/>
      </w:numPr>
      <w:spacing w:line="360" w:lineRule="auto"/>
      <w:ind w:firstLine="0" w:firstLineChars="0"/>
      <w:jc w:val="left"/>
    </w:pPr>
    <w:rPr>
      <w:rFonts w:ascii="Times New Roman" w:hAnsi="Times New Roman" w:eastAsia="黑体" w:cs="Times New Roman"/>
      <w:b/>
      <w:kern w:val="2"/>
      <w:sz w:val="28"/>
      <w:szCs w:val="24"/>
      <w:lang w:val="en-US" w:eastAsia="zh-CN" w:bidi="ar-SA"/>
    </w:rPr>
  </w:style>
  <w:style w:type="paragraph" w:customStyle="1" w:styleId="15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58">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159">
    <w:name w:val="Char1"/>
    <w:basedOn w:val="1"/>
    <w:qFormat/>
    <w:uiPriority w:val="0"/>
    <w:pPr>
      <w:widowControl w:val="0"/>
      <w:jc w:val="both"/>
    </w:pPr>
    <w:rPr>
      <w:kern w:val="2"/>
    </w:rPr>
  </w:style>
  <w:style w:type="paragraph" w:customStyle="1" w:styleId="160">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61">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62">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63">
    <w:name w:val="font0"/>
    <w:basedOn w:val="1"/>
    <w:qFormat/>
    <w:uiPriority w:val="0"/>
    <w:pPr>
      <w:spacing w:before="100" w:beforeAutospacing="1" w:after="100" w:afterAutospacing="1"/>
    </w:pPr>
    <w:rPr>
      <w:rFonts w:ascii="宋体" w:hAnsi="宋体" w:cs="宋体"/>
      <w:sz w:val="24"/>
      <w:szCs w:val="24"/>
    </w:rPr>
  </w:style>
  <w:style w:type="paragraph" w:customStyle="1" w:styleId="164">
    <w:name w:val="二级标题"/>
    <w:qFormat/>
    <w:uiPriority w:val="0"/>
    <w:pPr>
      <w:widowControl w:val="0"/>
      <w:numPr>
        <w:ilvl w:val="1"/>
        <w:numId w:val="3"/>
      </w:numPr>
      <w:spacing w:beforeLines="50" w:afterLines="20" w:line="360" w:lineRule="auto"/>
      <w:ind w:firstLine="0" w:firstLineChars="0"/>
      <w:jc w:val="left"/>
    </w:pPr>
    <w:rPr>
      <w:rFonts w:ascii="黑体" w:hAnsi="黑体" w:eastAsia="黑体" w:cs="黑体"/>
      <w:b/>
      <w:kern w:val="2"/>
      <w:sz w:val="24"/>
      <w:szCs w:val="24"/>
      <w:lang w:val="en-US" w:eastAsia="zh-CN" w:bidi="ar-SA"/>
    </w:rPr>
  </w:style>
  <w:style w:type="paragraph" w:customStyle="1" w:styleId="165">
    <w:name w:val="Char Char Char Char Char Char Char Char Char Char"/>
    <w:basedOn w:val="1"/>
    <w:qFormat/>
    <w:uiPriority w:val="0"/>
    <w:pPr>
      <w:widowControl w:val="0"/>
      <w:jc w:val="both"/>
    </w:pPr>
    <w:rPr>
      <w:rFonts w:ascii="Tahoma" w:hAnsi="Tahoma"/>
      <w:kern w:val="2"/>
      <w:sz w:val="24"/>
    </w:rPr>
  </w:style>
  <w:style w:type="paragraph" w:customStyle="1" w:styleId="166">
    <w:name w:val="样式 New"/>
    <w:basedOn w:val="167"/>
    <w:next w:val="168"/>
    <w:qFormat/>
    <w:uiPriority w:val="0"/>
    <w:pPr>
      <w:ind w:left="572" w:right="32" w:firstLine="478"/>
    </w:pPr>
  </w:style>
  <w:style w:type="paragraph" w:customStyle="1" w:styleId="16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三级标题"/>
    <w:qFormat/>
    <w:uiPriority w:val="0"/>
    <w:pPr>
      <w:widowControl w:val="0"/>
      <w:numPr>
        <w:ilvl w:val="2"/>
        <w:numId w:val="3"/>
      </w:numPr>
      <w:tabs>
        <w:tab w:val="left" w:pos="142"/>
        <w:tab w:val="left" w:pos="283"/>
        <w:tab w:val="left" w:pos="567"/>
      </w:tabs>
      <w:adjustRightInd w:val="0"/>
      <w:snapToGrid w:val="0"/>
      <w:spacing w:beforeLines="50" w:afterLines="20" w:line="360" w:lineRule="auto"/>
      <w:ind w:firstLine="0" w:firstLineChars="0"/>
      <w:jc w:val="left"/>
    </w:pPr>
    <w:rPr>
      <w:rFonts w:ascii="黑体" w:hAnsi="黑体" w:eastAsia="黑体" w:cs="黑体"/>
      <w:b/>
      <w:kern w:val="2"/>
      <w:sz w:val="24"/>
      <w:szCs w:val="24"/>
      <w:lang w:val="en-US" w:eastAsia="zh-CN" w:bidi="ar-SA"/>
    </w:rPr>
  </w:style>
  <w:style w:type="paragraph" w:customStyle="1" w:styleId="170">
    <w:name w:val="DocDefaults"/>
    <w:basedOn w:val="1"/>
    <w:qFormat/>
    <w:uiPriority w:val="0"/>
    <w:pPr>
      <w:spacing w:line="276" w:lineRule="auto"/>
    </w:pPr>
    <w:rPr>
      <w:sz w:val="20"/>
      <w:lang w:eastAsia="en-US"/>
    </w:rPr>
  </w:style>
  <w:style w:type="paragraph" w:customStyle="1" w:styleId="171">
    <w:name w:val="正文_1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73">
    <w:name w:val="c03"/>
    <w:basedOn w:val="1"/>
    <w:qFormat/>
    <w:uiPriority w:val="0"/>
    <w:pPr>
      <w:spacing w:before="100" w:beforeAutospacing="1" w:after="100" w:afterAutospacing="1"/>
    </w:pPr>
    <w:rPr>
      <w:rFonts w:ascii="宋体" w:hAnsi="宋体"/>
      <w:color w:val="000000"/>
      <w:sz w:val="24"/>
      <w:szCs w:val="24"/>
    </w:rPr>
  </w:style>
  <w:style w:type="paragraph" w:customStyle="1" w:styleId="17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5">
    <w:name w:val="正文_13"/>
    <w:qFormat/>
    <w:uiPriority w:val="0"/>
    <w:rPr>
      <w:rFonts w:ascii="Times New Roman" w:hAnsi="Times New Roman" w:eastAsia="宋体" w:cs="Times New Roman"/>
      <w:sz w:val="21"/>
      <w:lang w:val="en-US" w:eastAsia="zh-CN" w:bidi="ar-SA"/>
    </w:rPr>
  </w:style>
  <w:style w:type="paragraph" w:customStyle="1" w:styleId="176">
    <w:name w:val="Char Char1 Char Char Char Char Char Char Char Char Char Char1"/>
    <w:basedOn w:val="1"/>
    <w:qFormat/>
    <w:uiPriority w:val="0"/>
    <w:pPr>
      <w:widowControl w:val="0"/>
      <w:jc w:val="both"/>
    </w:pPr>
    <w:rPr>
      <w:rFonts w:ascii="Tahoma" w:hAnsi="Tahoma"/>
      <w:kern w:val="2"/>
      <w:sz w:val="24"/>
    </w:rPr>
  </w:style>
  <w:style w:type="paragraph" w:styleId="177">
    <w:name w:val="No Spacing"/>
    <w:qFormat/>
    <w:uiPriority w:val="1"/>
    <w:pPr>
      <w:widowControl w:val="0"/>
      <w:overflowPunct w:val="0"/>
      <w:autoSpaceDE w:val="0"/>
      <w:autoSpaceDN w:val="0"/>
      <w:adjustRightInd w:val="0"/>
    </w:pPr>
    <w:rPr>
      <w:rFonts w:ascii="宋体" w:hAnsi="宋体" w:eastAsia="宋体" w:cs="Times New Roman"/>
      <w:spacing w:val="-2"/>
      <w:sz w:val="21"/>
      <w:lang w:val="en-US" w:eastAsia="zh-CN" w:bidi="ar-SA"/>
    </w:rPr>
  </w:style>
  <w:style w:type="paragraph" w:customStyle="1" w:styleId="17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79">
    <w:name w:val="Char Char Char Char Char Char Char Char Char Char1"/>
    <w:basedOn w:val="1"/>
    <w:qFormat/>
    <w:uiPriority w:val="0"/>
    <w:pPr>
      <w:widowControl w:val="0"/>
      <w:jc w:val="both"/>
    </w:pPr>
    <w:rPr>
      <w:rFonts w:ascii="Tahoma" w:hAnsi="Tahoma"/>
      <w:kern w:val="2"/>
      <w:sz w:val="24"/>
    </w:rPr>
  </w:style>
  <w:style w:type="paragraph" w:customStyle="1" w:styleId="180">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81">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82">
    <w:name w:val="f10"/>
    <w:basedOn w:val="1"/>
    <w:qFormat/>
    <w:uiPriority w:val="0"/>
    <w:pPr>
      <w:spacing w:before="100" w:beforeAutospacing="1" w:after="100" w:afterAutospacing="1" w:line="260" w:lineRule="atLeast"/>
    </w:pPr>
    <w:rPr>
      <w:rFonts w:ascii="方正楷体_GB2312" w:hAnsi="方正楷体_GB2312"/>
      <w:color w:val="000000"/>
      <w:sz w:val="18"/>
      <w:szCs w:val="18"/>
    </w:rPr>
  </w:style>
  <w:style w:type="paragraph" w:customStyle="1" w:styleId="183">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84">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85">
    <w:name w:val="需求书2"/>
    <w:basedOn w:val="1"/>
    <w:qFormat/>
    <w:uiPriority w:val="0"/>
    <w:pPr>
      <w:widowControl w:val="0"/>
      <w:jc w:val="both"/>
    </w:pPr>
    <w:rPr>
      <w:rFonts w:ascii="宋体" w:hAnsi="宋体"/>
      <w:b/>
      <w:spacing w:val="10"/>
      <w:kern w:val="2"/>
      <w:sz w:val="24"/>
      <w:szCs w:val="24"/>
    </w:rPr>
  </w:style>
  <w:style w:type="paragraph" w:customStyle="1" w:styleId="186">
    <w:name w:val="xl25"/>
    <w:basedOn w:val="1"/>
    <w:qFormat/>
    <w:uiPriority w:val="0"/>
    <w:pPr>
      <w:spacing w:before="100" w:beforeAutospacing="1" w:after="100" w:afterAutospacing="1"/>
      <w:jc w:val="right"/>
    </w:pPr>
    <w:rPr>
      <w:sz w:val="24"/>
      <w:szCs w:val="24"/>
    </w:rPr>
  </w:style>
  <w:style w:type="paragraph" w:customStyle="1" w:styleId="187">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88">
    <w:name w:val="Char"/>
    <w:basedOn w:val="1"/>
    <w:qFormat/>
    <w:uiPriority w:val="0"/>
    <w:pPr>
      <w:spacing w:after="160" w:line="240" w:lineRule="exact"/>
    </w:pPr>
    <w:rPr>
      <w:rFonts w:ascii="Verdana" w:hAnsi="Verdana"/>
      <w:lang w:eastAsia="en-US"/>
    </w:rPr>
  </w:style>
  <w:style w:type="paragraph" w:customStyle="1" w:styleId="189">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90">
    <w:name w:val="reader-word-layer"/>
    <w:basedOn w:val="1"/>
    <w:qFormat/>
    <w:uiPriority w:val="0"/>
    <w:pPr>
      <w:spacing w:before="100" w:beforeAutospacing="1" w:after="100" w:afterAutospacing="1"/>
    </w:pPr>
    <w:rPr>
      <w:rFonts w:ascii="宋体" w:hAnsi="宋体" w:cs="宋体"/>
      <w:sz w:val="24"/>
      <w:szCs w:val="24"/>
    </w:rPr>
  </w:style>
  <w:style w:type="paragraph" w:customStyle="1" w:styleId="19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92">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Char Char Char Char Char1 Char1"/>
    <w:basedOn w:val="1"/>
    <w:qFormat/>
    <w:uiPriority w:val="0"/>
    <w:pPr>
      <w:widowControl w:val="0"/>
      <w:jc w:val="both"/>
    </w:pPr>
    <w:rPr>
      <w:rFonts w:ascii="Tahoma" w:hAnsi="Tahoma"/>
      <w:kern w:val="2"/>
      <w:sz w:val="24"/>
    </w:rPr>
  </w:style>
  <w:style w:type="paragraph" w:customStyle="1" w:styleId="194">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95">
    <w:name w:val="List Paragraph1"/>
    <w:basedOn w:val="1"/>
    <w:qFormat/>
    <w:uiPriority w:val="99"/>
    <w:pPr>
      <w:ind w:firstLine="420" w:firstLineChars="200"/>
    </w:pPr>
  </w:style>
  <w:style w:type="paragraph" w:customStyle="1" w:styleId="196">
    <w:name w:val="f11"/>
    <w:basedOn w:val="1"/>
    <w:qFormat/>
    <w:uiPriority w:val="0"/>
    <w:pPr>
      <w:spacing w:before="100" w:beforeAutospacing="1" w:after="100" w:afterAutospacing="1" w:line="320" w:lineRule="atLeast"/>
    </w:pPr>
    <w:rPr>
      <w:rFonts w:ascii="方正楷体_GB2312" w:hAnsi="方正楷体_GB2312"/>
      <w:color w:val="000000"/>
      <w:sz w:val="28"/>
      <w:szCs w:val="28"/>
    </w:rPr>
  </w:style>
  <w:style w:type="paragraph" w:customStyle="1" w:styleId="197">
    <w:name w:val="Char12"/>
    <w:basedOn w:val="1"/>
    <w:qFormat/>
    <w:uiPriority w:val="0"/>
    <w:pPr>
      <w:widowControl w:val="0"/>
      <w:jc w:val="both"/>
    </w:pPr>
    <w:rPr>
      <w:kern w:val="2"/>
    </w:rPr>
  </w:style>
  <w:style w:type="paragraph" w:customStyle="1" w:styleId="198">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99">
    <w:name w:val="f12pt1"/>
    <w:basedOn w:val="1"/>
    <w:qFormat/>
    <w:uiPriority w:val="0"/>
    <w:pPr>
      <w:spacing w:before="100" w:beforeAutospacing="1" w:after="100" w:afterAutospacing="1"/>
    </w:pPr>
    <w:rPr>
      <w:rFonts w:ascii="方正楷体_GB2312" w:hAnsi="方正楷体_GB2312"/>
      <w:color w:val="000000"/>
      <w:szCs w:val="21"/>
    </w:rPr>
  </w:style>
  <w:style w:type="paragraph" w:customStyle="1" w:styleId="20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1">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TOC 标题1"/>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203">
    <w:name w:val="列出段落3"/>
    <w:basedOn w:val="1"/>
    <w:unhideWhenUsed/>
    <w:qFormat/>
    <w:uiPriority w:val="99"/>
    <w:pPr>
      <w:ind w:firstLine="420" w:firstLineChars="200"/>
    </w:pPr>
  </w:style>
  <w:style w:type="paragraph" w:customStyle="1" w:styleId="204">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05">
    <w:name w:val="font5"/>
    <w:basedOn w:val="1"/>
    <w:qFormat/>
    <w:uiPriority w:val="0"/>
    <w:pPr>
      <w:spacing w:before="100" w:beforeAutospacing="1" w:after="100" w:afterAutospacing="1"/>
    </w:pPr>
    <w:rPr>
      <w:rFonts w:ascii="宋体" w:hAnsi="宋体" w:cs="宋体"/>
      <w:sz w:val="18"/>
      <w:szCs w:val="18"/>
    </w:rPr>
  </w:style>
  <w:style w:type="paragraph" w:customStyle="1" w:styleId="206">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207">
    <w:name w:val="Char1 Char1"/>
    <w:basedOn w:val="1"/>
    <w:qFormat/>
    <w:uiPriority w:val="0"/>
    <w:pPr>
      <w:widowControl w:val="0"/>
      <w:ind w:left="425" w:hanging="425"/>
      <w:jc w:val="both"/>
    </w:pPr>
    <w:rPr>
      <w:kern w:val="2"/>
      <w:sz w:val="24"/>
      <w:szCs w:val="24"/>
    </w:rPr>
  </w:style>
  <w:style w:type="paragraph" w:customStyle="1" w:styleId="208">
    <w:name w:val="Char2"/>
    <w:basedOn w:val="1"/>
    <w:qFormat/>
    <w:uiPriority w:val="0"/>
    <w:pPr>
      <w:widowControl w:val="0"/>
      <w:jc w:val="both"/>
    </w:pPr>
    <w:rPr>
      <w:rFonts w:ascii="Tahoma" w:hAnsi="Tahoma"/>
      <w:kern w:val="2"/>
      <w:sz w:val="24"/>
    </w:rPr>
  </w:style>
  <w:style w:type="paragraph" w:customStyle="1" w:styleId="209">
    <w:name w:val="Char Char Char Char Char Char"/>
    <w:basedOn w:val="1"/>
    <w:qFormat/>
    <w:uiPriority w:val="0"/>
    <w:rPr>
      <w:szCs w:val="24"/>
    </w:rPr>
  </w:style>
  <w:style w:type="paragraph" w:customStyle="1" w:styleId="210">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Table Paragraph"/>
    <w:basedOn w:val="1"/>
    <w:qFormat/>
    <w:uiPriority w:val="1"/>
    <w:pPr>
      <w:widowControl w:val="0"/>
      <w:spacing w:line="360" w:lineRule="auto"/>
      <w:ind w:firstLine="200" w:firstLineChars="200"/>
    </w:pPr>
    <w:rPr>
      <w:rFonts w:ascii="Calibri" w:hAnsi="Calibri"/>
      <w:sz w:val="22"/>
      <w:szCs w:val="22"/>
      <w:lang w:eastAsia="en-US"/>
    </w:rPr>
  </w:style>
  <w:style w:type="paragraph" w:customStyle="1" w:styleId="21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正文缩近"/>
    <w:basedOn w:val="1"/>
    <w:qFormat/>
    <w:uiPriority w:val="0"/>
    <w:pPr>
      <w:widowControl w:val="0"/>
      <w:spacing w:line="360" w:lineRule="auto"/>
      <w:ind w:firstLine="200" w:firstLineChars="200"/>
      <w:jc w:val="both"/>
    </w:pPr>
    <w:rPr>
      <w:kern w:val="2"/>
      <w:sz w:val="24"/>
      <w:szCs w:val="24"/>
    </w:rPr>
  </w:style>
  <w:style w:type="paragraph" w:customStyle="1" w:styleId="21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6">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138</Pages>
  <Words>66752</Words>
  <Characters>71392</Characters>
  <Lines>1</Lines>
  <Paragraphs>1</Paragraphs>
  <TotalTime>3</TotalTime>
  <ScaleCrop>false</ScaleCrop>
  <LinksUpToDate>false</LinksUpToDate>
  <CharactersWithSpaces>73545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2023-02-23T02:05:00Z</dcterms:created>
  <dc:creator>曾如虹</dc:creator>
  <cp:lastModifiedBy>Administrator</cp:lastModifiedBy>
  <cp:lastPrinted>2023-12-01T07:17:00Z</cp:lastPrinted>
  <dcterms:modified xsi:type="dcterms:W3CDTF">2024-10-30T08:41:35Z</dcterms:modified>
  <dc:title>网址：www</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C37809E6DE944004B7A53C662FBB88F5_13</vt:lpwstr>
  </property>
</Properties>
</file>