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F1C367">
      <w:pPr>
        <w:topLinePunct/>
        <w:spacing w:line="400" w:lineRule="atLeast"/>
        <w:rPr>
          <w:rFonts w:ascii="宋体" w:hAnsi="宋体" w:eastAsia="宋体"/>
          <w:color w:val="auto"/>
          <w:sz w:val="44"/>
          <w:szCs w:val="44"/>
          <w:highlight w:val="none"/>
        </w:rPr>
      </w:pPr>
    </w:p>
    <w:p w14:paraId="4D82F4E2">
      <w:pPr>
        <w:topLinePunct/>
        <w:spacing w:line="400" w:lineRule="atLeast"/>
        <w:jc w:val="center"/>
        <w:rPr>
          <w:rStyle w:val="13"/>
          <w:rFonts w:ascii="宋体" w:hAnsi="宋体" w:eastAsia="宋体"/>
          <w:b w:val="0"/>
          <w:bCs w:val="0"/>
          <w:color w:val="auto"/>
          <w:spacing w:val="40"/>
          <w:sz w:val="40"/>
          <w:szCs w:val="40"/>
          <w:highlight w:val="none"/>
        </w:rPr>
      </w:pPr>
      <w:r>
        <w:rPr>
          <w:rFonts w:hint="eastAsia" w:ascii="宋体" w:hAnsi="宋体" w:eastAsia="宋体" w:cs="宋体"/>
          <w:b/>
          <w:color w:val="auto"/>
          <w:sz w:val="52"/>
          <w:szCs w:val="52"/>
          <w:highlight w:val="none"/>
        </w:rPr>
        <w:t>三沙口水文站迁建水文比测服务</w:t>
      </w:r>
    </w:p>
    <w:p w14:paraId="58336C9B">
      <w:pPr>
        <w:adjustRightInd w:val="0"/>
        <w:snapToGrid w:val="0"/>
        <w:spacing w:line="300" w:lineRule="auto"/>
        <w:jc w:val="center"/>
        <w:rPr>
          <w:rStyle w:val="13"/>
          <w:rFonts w:ascii="宋体" w:hAnsi="宋体" w:eastAsia="宋体"/>
          <w:b w:val="0"/>
          <w:color w:val="auto"/>
          <w:spacing w:val="-24"/>
          <w:kern w:val="10"/>
          <w:sz w:val="52"/>
          <w:szCs w:val="52"/>
          <w:highlight w:val="none"/>
        </w:rPr>
      </w:pPr>
    </w:p>
    <w:p w14:paraId="49E0871B">
      <w:pPr>
        <w:pStyle w:val="2"/>
        <w:rPr>
          <w:rFonts w:hint="eastAsia" w:eastAsia="等线"/>
          <w:color w:val="auto"/>
          <w:highlight w:val="none"/>
        </w:rPr>
      </w:pPr>
    </w:p>
    <w:p w14:paraId="5992258B">
      <w:pPr>
        <w:topLinePunct/>
        <w:spacing w:line="400" w:lineRule="atLeast"/>
        <w:jc w:val="center"/>
        <w:rPr>
          <w:rStyle w:val="13"/>
          <w:rFonts w:hint="eastAsia" w:ascii="宋体" w:hAnsi="宋体" w:eastAsia="宋体"/>
          <w:b w:val="0"/>
          <w:color w:val="auto"/>
          <w:spacing w:val="-24"/>
          <w:kern w:val="10"/>
          <w:sz w:val="72"/>
          <w:szCs w:val="72"/>
          <w:highlight w:val="none"/>
          <w:lang w:eastAsia="zh-CN"/>
        </w:rPr>
      </w:pPr>
      <w:r>
        <w:rPr>
          <w:rStyle w:val="13"/>
          <w:rFonts w:hint="eastAsia" w:ascii="宋体" w:hAnsi="宋体" w:eastAsia="宋体"/>
          <w:b w:val="0"/>
          <w:color w:val="auto"/>
          <w:spacing w:val="-24"/>
          <w:kern w:val="10"/>
          <w:sz w:val="72"/>
          <w:szCs w:val="72"/>
          <w:highlight w:val="none"/>
        </w:rPr>
        <w:t xml:space="preserve">招 标 </w:t>
      </w:r>
      <w:r>
        <w:rPr>
          <w:rStyle w:val="13"/>
          <w:rFonts w:hint="eastAsia" w:ascii="宋体" w:hAnsi="宋体" w:eastAsia="宋体"/>
          <w:b w:val="0"/>
          <w:color w:val="auto"/>
          <w:spacing w:val="-24"/>
          <w:kern w:val="10"/>
          <w:sz w:val="72"/>
          <w:szCs w:val="72"/>
          <w:highlight w:val="none"/>
          <w:lang w:val="en-US" w:eastAsia="zh-CN"/>
        </w:rPr>
        <w:t>公</w:t>
      </w:r>
      <w:r>
        <w:rPr>
          <w:rStyle w:val="13"/>
          <w:rFonts w:hint="eastAsia" w:ascii="宋体" w:hAnsi="宋体" w:eastAsia="宋体"/>
          <w:b w:val="0"/>
          <w:color w:val="auto"/>
          <w:spacing w:val="-24"/>
          <w:kern w:val="10"/>
          <w:sz w:val="72"/>
          <w:szCs w:val="72"/>
          <w:highlight w:val="none"/>
        </w:rPr>
        <w:t xml:space="preserve"> </w:t>
      </w:r>
      <w:r>
        <w:rPr>
          <w:rStyle w:val="13"/>
          <w:rFonts w:hint="eastAsia" w:ascii="宋体" w:hAnsi="宋体" w:eastAsia="宋体"/>
          <w:b w:val="0"/>
          <w:color w:val="auto"/>
          <w:spacing w:val="-24"/>
          <w:kern w:val="10"/>
          <w:sz w:val="72"/>
          <w:szCs w:val="72"/>
          <w:highlight w:val="none"/>
          <w:lang w:val="en-US" w:eastAsia="zh-CN"/>
        </w:rPr>
        <w:t>告</w:t>
      </w:r>
      <w:bookmarkStart w:id="11" w:name="_GoBack"/>
      <w:bookmarkEnd w:id="11"/>
    </w:p>
    <w:p w14:paraId="23AFA9B1">
      <w:pPr>
        <w:topLinePunct/>
        <w:spacing w:line="400" w:lineRule="atLeast"/>
        <w:jc w:val="center"/>
        <w:rPr>
          <w:rStyle w:val="13"/>
          <w:rFonts w:ascii="宋体" w:hAnsi="宋体" w:eastAsia="宋体"/>
          <w:b w:val="0"/>
          <w:bCs w:val="0"/>
          <w:color w:val="auto"/>
          <w:spacing w:val="40"/>
          <w:highlight w:val="none"/>
        </w:rPr>
      </w:pPr>
    </w:p>
    <w:p w14:paraId="4B09F041">
      <w:pPr>
        <w:spacing w:line="800" w:lineRule="exact"/>
        <w:rPr>
          <w:rFonts w:ascii="宋体" w:hAnsi="宋体" w:eastAsia="宋体"/>
          <w:color w:val="auto"/>
          <w:w w:val="80"/>
          <w:sz w:val="52"/>
          <w:highlight w:val="none"/>
        </w:rPr>
      </w:pPr>
    </w:p>
    <w:p w14:paraId="3C9BE71B">
      <w:pPr>
        <w:pStyle w:val="6"/>
        <w:rPr>
          <w:color w:val="auto"/>
          <w:highlight w:val="none"/>
        </w:rPr>
      </w:pPr>
    </w:p>
    <w:p w14:paraId="09927459">
      <w:pPr>
        <w:pStyle w:val="6"/>
        <w:rPr>
          <w:color w:val="auto"/>
          <w:highlight w:val="none"/>
        </w:rPr>
      </w:pPr>
    </w:p>
    <w:p w14:paraId="7356062A">
      <w:pPr>
        <w:pStyle w:val="6"/>
        <w:rPr>
          <w:rFonts w:hint="eastAsia"/>
          <w:color w:val="auto"/>
          <w:highlight w:val="none"/>
        </w:rPr>
      </w:pPr>
    </w:p>
    <w:p w14:paraId="0ECB6A13">
      <w:pPr>
        <w:spacing w:line="800" w:lineRule="exact"/>
        <w:rPr>
          <w:rFonts w:ascii="宋体" w:hAnsi="宋体" w:eastAsia="宋体"/>
          <w:color w:val="auto"/>
          <w:w w:val="80"/>
          <w:sz w:val="52"/>
          <w:highlight w:val="none"/>
        </w:rPr>
      </w:pPr>
      <w:r>
        <w:rPr>
          <w:rFonts w:ascii="宋体" w:hAnsi="宋体" w:eastAsia="宋体"/>
          <w:color w:val="auto"/>
          <w:sz w:val="52"/>
          <w:highlight w:val="none"/>
        </w:rPr>
        <w:drawing>
          <wp:anchor distT="0" distB="0" distL="114300" distR="114300" simplePos="0" relativeHeight="251659264" behindDoc="0" locked="0" layoutInCell="1" allowOverlap="0">
            <wp:simplePos x="0" y="0"/>
            <wp:positionH relativeFrom="column">
              <wp:posOffset>1390650</wp:posOffset>
            </wp:positionH>
            <wp:positionV relativeFrom="line">
              <wp:posOffset>50165</wp:posOffset>
            </wp:positionV>
            <wp:extent cx="3067050" cy="2329815"/>
            <wp:effectExtent l="0" t="0" r="0" b="13335"/>
            <wp:wrapSquare wrapText="bothSides"/>
            <wp:docPr id="1" name="图片 1" descr="wpsB8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B80F"/>
                    <pic:cNvPicPr>
                      <a:picLocks noChangeAspect="1"/>
                    </pic:cNvPicPr>
                  </pic:nvPicPr>
                  <pic:blipFill>
                    <a:blip r:embed="rId4"/>
                    <a:stretch>
                      <a:fillRect/>
                    </a:stretch>
                  </pic:blipFill>
                  <pic:spPr>
                    <a:xfrm>
                      <a:off x="0" y="0"/>
                      <a:ext cx="3067050" cy="2329815"/>
                    </a:xfrm>
                    <a:prstGeom prst="rect">
                      <a:avLst/>
                    </a:prstGeom>
                    <a:noFill/>
                    <a:ln>
                      <a:noFill/>
                    </a:ln>
                  </pic:spPr>
                </pic:pic>
              </a:graphicData>
            </a:graphic>
          </wp:anchor>
        </w:drawing>
      </w:r>
    </w:p>
    <w:p w14:paraId="0E925084">
      <w:pPr>
        <w:pStyle w:val="6"/>
        <w:rPr>
          <w:rFonts w:hAnsi="宋体"/>
          <w:color w:val="auto"/>
          <w:highlight w:val="none"/>
        </w:rPr>
      </w:pPr>
    </w:p>
    <w:p w14:paraId="7CEE4A96">
      <w:pPr>
        <w:pStyle w:val="6"/>
        <w:rPr>
          <w:rFonts w:hAnsi="宋体"/>
          <w:color w:val="auto"/>
          <w:highlight w:val="none"/>
        </w:rPr>
      </w:pPr>
    </w:p>
    <w:p w14:paraId="703ACE5B">
      <w:pPr>
        <w:pStyle w:val="6"/>
        <w:rPr>
          <w:rFonts w:hAnsi="宋体"/>
          <w:color w:val="auto"/>
          <w:highlight w:val="none"/>
        </w:rPr>
      </w:pPr>
    </w:p>
    <w:p w14:paraId="0DA2FCFA">
      <w:pPr>
        <w:pStyle w:val="6"/>
        <w:rPr>
          <w:rFonts w:hAnsi="宋体"/>
          <w:color w:val="auto"/>
          <w:highlight w:val="none"/>
        </w:rPr>
      </w:pPr>
    </w:p>
    <w:p w14:paraId="2F913162">
      <w:pPr>
        <w:pStyle w:val="6"/>
        <w:rPr>
          <w:rFonts w:hAnsi="宋体"/>
          <w:color w:val="auto"/>
          <w:highlight w:val="none"/>
        </w:rPr>
      </w:pPr>
    </w:p>
    <w:p w14:paraId="330E1FEC">
      <w:pPr>
        <w:pStyle w:val="6"/>
        <w:rPr>
          <w:rFonts w:hint="eastAsia" w:hAnsi="宋体"/>
          <w:color w:val="auto"/>
          <w:highlight w:val="none"/>
        </w:rPr>
      </w:pPr>
    </w:p>
    <w:p w14:paraId="37545DFA">
      <w:pPr>
        <w:topLinePunct/>
        <w:spacing w:line="400" w:lineRule="atLeast"/>
        <w:jc w:val="center"/>
        <w:rPr>
          <w:rFonts w:ascii="宋体" w:hAnsi="宋体" w:eastAsia="宋体"/>
          <w:color w:val="auto"/>
          <w:sz w:val="20"/>
          <w:szCs w:val="20"/>
          <w:highlight w:val="none"/>
        </w:rPr>
      </w:pPr>
    </w:p>
    <w:p w14:paraId="36CE955D">
      <w:pPr>
        <w:topLinePunct/>
        <w:spacing w:line="400" w:lineRule="atLeast"/>
        <w:rPr>
          <w:rFonts w:ascii="宋体" w:hAnsi="宋体" w:eastAsia="宋体"/>
          <w:color w:val="auto"/>
          <w:sz w:val="20"/>
          <w:szCs w:val="20"/>
          <w:highlight w:val="none"/>
        </w:rPr>
      </w:pPr>
    </w:p>
    <w:p w14:paraId="301E3DB7">
      <w:pPr>
        <w:topLinePunct/>
        <w:spacing w:line="400" w:lineRule="atLeast"/>
        <w:rPr>
          <w:rFonts w:ascii="宋体" w:hAnsi="宋体" w:eastAsia="宋体"/>
          <w:color w:val="auto"/>
          <w:sz w:val="20"/>
          <w:szCs w:val="20"/>
          <w:highlight w:val="none"/>
        </w:rPr>
      </w:pPr>
    </w:p>
    <w:p w14:paraId="271A7895">
      <w:pPr>
        <w:topLinePunct/>
        <w:spacing w:line="400" w:lineRule="atLeast"/>
        <w:jc w:val="center"/>
        <w:rPr>
          <w:rFonts w:ascii="宋体" w:hAnsi="宋体" w:eastAsia="宋体"/>
          <w:color w:val="auto"/>
          <w:sz w:val="27"/>
          <w:szCs w:val="27"/>
          <w:highlight w:val="none"/>
        </w:rPr>
      </w:pPr>
    </w:p>
    <w:p w14:paraId="25FCF288">
      <w:pPr>
        <w:pStyle w:val="6"/>
        <w:rPr>
          <w:color w:val="auto"/>
          <w:highlight w:val="none"/>
        </w:rPr>
      </w:pPr>
    </w:p>
    <w:p w14:paraId="06D3D58E">
      <w:pPr>
        <w:pStyle w:val="6"/>
        <w:rPr>
          <w:color w:val="auto"/>
          <w:highlight w:val="none"/>
        </w:rPr>
      </w:pPr>
    </w:p>
    <w:p w14:paraId="30426C2A">
      <w:pPr>
        <w:spacing w:line="360" w:lineRule="auto"/>
        <w:ind w:firstLine="1942" w:firstLineChars="607"/>
        <w:jc w:val="left"/>
        <w:rPr>
          <w:rFonts w:ascii="宋体" w:hAnsi="宋体" w:eastAsia="宋体"/>
          <w:color w:val="auto"/>
          <w:sz w:val="32"/>
          <w:szCs w:val="32"/>
          <w:highlight w:val="none"/>
        </w:rPr>
      </w:pPr>
    </w:p>
    <w:p w14:paraId="28D8F7E5">
      <w:pPr>
        <w:spacing w:line="360" w:lineRule="auto"/>
        <w:ind w:firstLine="1942" w:firstLineChars="607"/>
        <w:jc w:val="left"/>
        <w:rPr>
          <w:rFonts w:ascii="宋体" w:hAnsi="宋体" w:eastAsia="宋体"/>
          <w:bCs/>
          <w:color w:val="auto"/>
          <w:sz w:val="32"/>
          <w:szCs w:val="32"/>
          <w:highlight w:val="none"/>
          <w:u w:val="single"/>
          <w:vertAlign w:val="superscript"/>
        </w:rPr>
      </w:pPr>
      <w:r>
        <w:rPr>
          <w:rFonts w:ascii="宋体" w:hAnsi="宋体" w:eastAsia="宋体"/>
          <w:color w:val="auto"/>
          <w:sz w:val="32"/>
          <w:szCs w:val="32"/>
          <w:highlight w:val="none"/>
        </w:rPr>
        <w:t>招</w:t>
      </w:r>
      <w:r>
        <w:rPr>
          <w:rFonts w:hint="eastAsia" w:ascii="宋体" w:hAnsi="宋体" w:eastAsia="宋体"/>
          <w:color w:val="auto"/>
          <w:sz w:val="32"/>
          <w:szCs w:val="32"/>
          <w:highlight w:val="none"/>
        </w:rPr>
        <w:t xml:space="preserve"> </w:t>
      </w:r>
      <w:r>
        <w:rPr>
          <w:rFonts w:ascii="宋体" w:hAnsi="宋体" w:eastAsia="宋体"/>
          <w:color w:val="auto"/>
          <w:sz w:val="32"/>
          <w:szCs w:val="32"/>
          <w:highlight w:val="none"/>
        </w:rPr>
        <w:t>标</w:t>
      </w:r>
      <w:r>
        <w:rPr>
          <w:rFonts w:hint="eastAsia" w:ascii="宋体" w:hAnsi="宋体" w:eastAsia="宋体"/>
          <w:color w:val="auto"/>
          <w:sz w:val="32"/>
          <w:szCs w:val="32"/>
          <w:highlight w:val="none"/>
        </w:rPr>
        <w:t xml:space="preserve"> </w:t>
      </w:r>
      <w:r>
        <w:rPr>
          <w:rFonts w:ascii="宋体" w:hAnsi="宋体" w:eastAsia="宋体"/>
          <w:color w:val="auto"/>
          <w:sz w:val="32"/>
          <w:szCs w:val="32"/>
          <w:highlight w:val="none"/>
        </w:rPr>
        <w:t>人：</w:t>
      </w:r>
      <w:r>
        <w:rPr>
          <w:rFonts w:hint="eastAsia" w:ascii="宋体" w:hAnsi="宋体" w:eastAsia="宋体"/>
          <w:color w:val="auto"/>
          <w:sz w:val="32"/>
          <w:szCs w:val="32"/>
          <w:highlight w:val="none"/>
        </w:rPr>
        <w:t>广州市高速公路有限公司</w:t>
      </w:r>
    </w:p>
    <w:p w14:paraId="60332D20">
      <w:pPr>
        <w:spacing w:line="360" w:lineRule="auto"/>
        <w:ind w:firstLine="1942" w:firstLineChars="607"/>
        <w:jc w:val="left"/>
        <w:rPr>
          <w:rFonts w:ascii="宋体" w:hAnsi="宋体" w:eastAsia="宋体"/>
          <w:bCs/>
          <w:color w:val="auto"/>
          <w:sz w:val="32"/>
          <w:szCs w:val="32"/>
          <w:highlight w:val="none"/>
        </w:rPr>
      </w:pPr>
      <w:r>
        <w:rPr>
          <w:rFonts w:hint="eastAsia" w:ascii="宋体" w:hAnsi="宋体" w:eastAsia="宋体"/>
          <w:bCs/>
          <w:color w:val="auto"/>
          <w:sz w:val="32"/>
          <w:szCs w:val="32"/>
          <w:highlight w:val="none"/>
        </w:rPr>
        <w:t>招标代理：广东粤信项目管理有限公司</w:t>
      </w:r>
    </w:p>
    <w:p w14:paraId="0A3E9068">
      <w:pPr>
        <w:jc w:val="center"/>
        <w:rPr>
          <w:rFonts w:ascii="宋体" w:hAnsi="宋体" w:eastAsia="宋体"/>
          <w:bCs/>
          <w:color w:val="auto"/>
          <w:sz w:val="32"/>
          <w:szCs w:val="32"/>
          <w:highlight w:val="none"/>
        </w:rPr>
      </w:pPr>
      <w:r>
        <w:rPr>
          <w:rFonts w:hint="eastAsia" w:ascii="宋体" w:hAnsi="宋体" w:eastAsia="宋体"/>
          <w:bCs/>
          <w:color w:val="auto"/>
          <w:sz w:val="32"/>
          <w:szCs w:val="32"/>
          <w:highlight w:val="none"/>
        </w:rPr>
        <w:t>2024</w:t>
      </w:r>
      <w:r>
        <w:rPr>
          <w:rFonts w:ascii="宋体" w:hAnsi="宋体" w:eastAsia="宋体"/>
          <w:bCs/>
          <w:color w:val="auto"/>
          <w:sz w:val="32"/>
          <w:szCs w:val="32"/>
          <w:highlight w:val="none"/>
        </w:rPr>
        <w:t>年</w:t>
      </w:r>
      <w:r>
        <w:rPr>
          <w:rFonts w:hint="eastAsia" w:ascii="宋体" w:hAnsi="宋体" w:eastAsia="宋体"/>
          <w:bCs/>
          <w:color w:val="auto"/>
          <w:sz w:val="32"/>
          <w:szCs w:val="32"/>
          <w:highlight w:val="none"/>
        </w:rPr>
        <w:t>10</w:t>
      </w:r>
      <w:r>
        <w:rPr>
          <w:rFonts w:ascii="宋体" w:hAnsi="宋体" w:eastAsia="宋体"/>
          <w:bCs/>
          <w:color w:val="auto"/>
          <w:sz w:val="32"/>
          <w:szCs w:val="32"/>
          <w:highlight w:val="none"/>
        </w:rPr>
        <w:t>月</w:t>
      </w:r>
    </w:p>
    <w:p w14:paraId="5E8936F9">
      <w:pPr>
        <w:rPr>
          <w:rStyle w:val="12"/>
          <w:rFonts w:ascii="宋体" w:hAnsi="宋体"/>
          <w:color w:val="auto"/>
          <w:sz w:val="42"/>
          <w:szCs w:val="42"/>
          <w:highlight w:val="none"/>
        </w:rPr>
      </w:pPr>
      <w:r>
        <w:rPr>
          <w:rStyle w:val="12"/>
          <w:rFonts w:ascii="宋体" w:hAnsi="宋体"/>
          <w:color w:val="auto"/>
          <w:sz w:val="42"/>
          <w:szCs w:val="42"/>
          <w:highlight w:val="none"/>
        </w:rPr>
        <w:br w:type="page"/>
      </w:r>
    </w:p>
    <w:p w14:paraId="450DCD39">
      <w:pPr>
        <w:pStyle w:val="2"/>
      </w:pPr>
    </w:p>
    <w:p w14:paraId="2FCDDDBA">
      <w:pPr>
        <w:spacing w:line="360" w:lineRule="auto"/>
        <w:jc w:val="center"/>
        <w:rPr>
          <w:rFonts w:hint="eastAsia" w:ascii="黑体" w:hAnsi="黑体" w:eastAsia="黑体" w:cs="黑体"/>
          <w:b/>
          <w:color w:val="auto"/>
          <w:sz w:val="24"/>
          <w:highlight w:val="none"/>
        </w:rPr>
      </w:pPr>
      <w:bookmarkStart w:id="0" w:name="_Toc196474972"/>
      <w:r>
        <w:rPr>
          <w:rFonts w:hint="eastAsia" w:ascii="黑体" w:hAnsi="黑体" w:eastAsia="黑体" w:cs="黑体"/>
          <w:b/>
          <w:color w:val="auto"/>
          <w:sz w:val="32"/>
          <w:szCs w:val="32"/>
          <w:highlight w:val="none"/>
        </w:rPr>
        <w:t>三沙口水文站迁建水文比测服务招标公告</w:t>
      </w:r>
      <w:bookmarkEnd w:id="0"/>
    </w:p>
    <w:p w14:paraId="31DE8062">
      <w:pPr>
        <w:pStyle w:val="4"/>
        <w:spacing w:after="0" w:line="360" w:lineRule="auto"/>
        <w:jc w:val="left"/>
        <w:rPr>
          <w:rFonts w:eastAsia="宋体"/>
          <w:b/>
          <w:bCs w:val="0"/>
          <w:i w:val="0"/>
          <w:iCs w:val="0"/>
          <w:color w:val="auto"/>
          <w:highlight w:val="none"/>
        </w:rPr>
      </w:pPr>
      <w:bookmarkStart w:id="1" w:name="_Toc1911"/>
      <w:r>
        <w:rPr>
          <w:rFonts w:hint="eastAsia" w:eastAsia="宋体"/>
          <w:b/>
          <w:bCs w:val="0"/>
          <w:i w:val="0"/>
          <w:iCs w:val="0"/>
          <w:color w:val="auto"/>
          <w:highlight w:val="none"/>
        </w:rPr>
        <w:t>1.招标条件</w:t>
      </w:r>
      <w:bookmarkEnd w:id="1"/>
    </w:p>
    <w:p w14:paraId="52E8E7A5">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本招标项目</w:t>
      </w:r>
      <w:r>
        <w:rPr>
          <w:rFonts w:hint="eastAsia" w:ascii="宋体" w:hAnsi="宋体" w:eastAsia="宋体" w:cs="宋体"/>
          <w:color w:val="auto"/>
          <w:sz w:val="24"/>
          <w:highlight w:val="none"/>
          <w:u w:val="single"/>
        </w:rPr>
        <w:t xml:space="preserve"> </w:t>
      </w:r>
      <w:r>
        <w:rPr>
          <w:rFonts w:hint="eastAsia" w:ascii="宋体" w:hAnsi="宋体" w:eastAsia="宋体"/>
          <w:color w:val="auto"/>
          <w:sz w:val="24"/>
          <w:highlight w:val="none"/>
          <w:u w:val="single"/>
        </w:rPr>
        <w:t xml:space="preserve">黄埔至南沙东部快速通道沙湾水道特大桥 </w:t>
      </w:r>
      <w:r>
        <w:rPr>
          <w:rFonts w:hint="eastAsia" w:ascii="宋体" w:hAnsi="宋体" w:eastAsia="宋体" w:cs="宋体"/>
          <w:color w:val="auto"/>
          <w:sz w:val="24"/>
          <w:highlight w:val="none"/>
        </w:rPr>
        <w:t>已由</w:t>
      </w:r>
      <w:r>
        <w:rPr>
          <w:rFonts w:hint="eastAsia" w:ascii="宋体" w:hAnsi="宋体" w:eastAsia="宋体" w:cs="宋体"/>
          <w:color w:val="auto"/>
          <w:sz w:val="24"/>
          <w:highlight w:val="none"/>
          <w:u w:val="single"/>
        </w:rPr>
        <w:t xml:space="preserve"> </w:t>
      </w:r>
      <w:r>
        <w:rPr>
          <w:rFonts w:hint="eastAsia" w:ascii="宋体" w:hAnsi="宋体" w:eastAsia="宋体"/>
          <w:color w:val="auto"/>
          <w:kern w:val="0"/>
          <w:sz w:val="24"/>
          <w:highlight w:val="none"/>
          <w:u w:val="single"/>
          <w:lang w:val="en-US" w:eastAsia="zh-CN"/>
        </w:rPr>
        <w:t>广州市</w:t>
      </w:r>
      <w:r>
        <w:rPr>
          <w:rFonts w:ascii="宋体" w:hAnsi="宋体" w:eastAsia="宋体"/>
          <w:color w:val="auto"/>
          <w:kern w:val="0"/>
          <w:sz w:val="24"/>
          <w:highlight w:val="none"/>
          <w:u w:val="single"/>
        </w:rPr>
        <w:t>发展和改革委员会</w:t>
      </w:r>
      <w:r>
        <w:rPr>
          <w:rFonts w:hint="eastAsia" w:ascii="宋体" w:hAnsi="宋体" w:eastAsia="宋体"/>
          <w:color w:val="auto"/>
          <w:kern w:val="0"/>
          <w:sz w:val="24"/>
          <w:highlight w:val="none"/>
          <w:u w:val="single"/>
        </w:rPr>
        <w:t xml:space="preserve">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w:t>
      </w:r>
      <w:r>
        <w:rPr>
          <w:rFonts w:hint="eastAsia" w:ascii="宋体" w:hAnsi="宋体" w:eastAsia="宋体"/>
          <w:color w:val="auto"/>
          <w:kern w:val="0"/>
          <w:sz w:val="24"/>
          <w:highlight w:val="none"/>
          <w:u w:val="single"/>
        </w:rPr>
        <w:t>《穗发改投批〔2024〕24号》</w:t>
      </w:r>
      <w:r>
        <w:rPr>
          <w:rFonts w:ascii="宋体" w:hAnsi="宋体" w:eastAsia="宋体"/>
          <w:color w:val="auto"/>
          <w:kern w:val="0"/>
          <w:sz w:val="24"/>
          <w:highlight w:val="none"/>
          <w:u w:val="single"/>
        </w:rPr>
        <w:t>文</w:t>
      </w:r>
      <w:r>
        <w:rPr>
          <w:rFonts w:hint="eastAsia" w:ascii="宋体" w:hAnsi="宋体" w:eastAsia="宋体" w:cs="宋体"/>
          <w:i/>
          <w:color w:val="auto"/>
          <w:sz w:val="24"/>
          <w:highlight w:val="none"/>
          <w:u w:val="single"/>
        </w:rPr>
        <w:t xml:space="preserve"> </w:t>
      </w:r>
      <w:r>
        <w:rPr>
          <w:rFonts w:hint="eastAsia" w:ascii="宋体" w:hAnsi="宋体" w:eastAsia="宋体" w:cs="宋体"/>
          <w:color w:val="auto"/>
          <w:sz w:val="24"/>
          <w:highlight w:val="none"/>
          <w:u w:val="single"/>
        </w:rPr>
        <w:t>（项目代码：2308-440100-04-01-438003）</w:t>
      </w:r>
      <w:r>
        <w:rPr>
          <w:rFonts w:hint="eastAsia" w:ascii="宋体" w:hAnsi="宋体" w:eastAsia="宋体" w:cs="宋体"/>
          <w:color w:val="auto"/>
          <w:sz w:val="24"/>
          <w:highlight w:val="none"/>
        </w:rPr>
        <w:t>批准建设，项目业主为</w:t>
      </w:r>
      <w:r>
        <w:rPr>
          <w:rFonts w:hint="eastAsia" w:ascii="宋体" w:hAnsi="宋体" w:eastAsia="宋体" w:cs="宋体"/>
          <w:color w:val="auto"/>
          <w:sz w:val="24"/>
          <w:highlight w:val="none"/>
          <w:u w:val="single"/>
        </w:rPr>
        <w:t xml:space="preserve"> </w:t>
      </w:r>
      <w:r>
        <w:rPr>
          <w:rFonts w:hint="eastAsia" w:ascii="宋体" w:hAnsi="宋体" w:eastAsia="宋体"/>
          <w:color w:val="auto"/>
          <w:sz w:val="24"/>
          <w:highlight w:val="none"/>
          <w:u w:val="single"/>
        </w:rPr>
        <w:t>广州市高速公路有限公司</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，建设资金来自</w:t>
      </w:r>
      <w:r>
        <w:rPr>
          <w:rFonts w:hint="eastAsia" w:ascii="宋体" w:hAnsi="宋体" w:eastAsia="宋体" w:cs="宋体"/>
          <w:i/>
          <w:color w:val="auto"/>
          <w:sz w:val="24"/>
          <w:highlight w:val="none"/>
          <w:u w:val="single"/>
        </w:rPr>
        <w:t xml:space="preserve"> </w:t>
      </w:r>
      <w:r>
        <w:rPr>
          <w:rFonts w:hint="eastAsia" w:ascii="宋体" w:hAnsi="宋体" w:eastAsia="宋体"/>
          <w:color w:val="auto"/>
          <w:sz w:val="24"/>
          <w:szCs w:val="32"/>
          <w:highlight w:val="none"/>
          <w:u w:val="single"/>
        </w:rPr>
        <w:t>广州市</w:t>
      </w:r>
      <w:r>
        <w:rPr>
          <w:rFonts w:hint="eastAsia" w:ascii="宋体" w:hAnsi="宋体" w:eastAsia="宋体"/>
          <w:color w:val="auto"/>
          <w:sz w:val="24"/>
          <w:szCs w:val="32"/>
          <w:highlight w:val="none"/>
          <w:u w:val="single"/>
          <w:lang w:val="en-US" w:eastAsia="zh-CN"/>
        </w:rPr>
        <w:t>财政资金</w:t>
      </w:r>
      <w:r>
        <w:rPr>
          <w:rFonts w:hint="eastAsia" w:ascii="宋体" w:hAnsi="宋体" w:eastAsia="宋体"/>
          <w:color w:val="auto"/>
          <w:sz w:val="24"/>
          <w:szCs w:val="32"/>
          <w:highlight w:val="none"/>
          <w:u w:val="single"/>
        </w:rPr>
        <w:t xml:space="preserve">和南沙区财政资金 </w:t>
      </w:r>
      <w:r>
        <w:rPr>
          <w:rFonts w:hint="eastAsia" w:ascii="宋体" w:hAnsi="宋体" w:eastAsia="宋体" w:cs="宋体"/>
          <w:color w:val="auto"/>
          <w:sz w:val="24"/>
          <w:highlight w:val="none"/>
        </w:rPr>
        <w:t>，出资比例为</w:t>
      </w:r>
      <w:r>
        <w:rPr>
          <w:rFonts w:hint="eastAsia" w:ascii="宋体" w:hAnsi="宋体" w:eastAsia="宋体" w:cs="宋体"/>
          <w:color w:val="auto"/>
          <w:sz w:val="24"/>
          <w:highlight w:val="none"/>
          <w:u w:val="single"/>
        </w:rPr>
        <w:t xml:space="preserve"> 各50% </w:t>
      </w:r>
      <w:r>
        <w:rPr>
          <w:rFonts w:hint="eastAsia" w:ascii="宋体" w:hAnsi="宋体" w:eastAsia="宋体" w:cs="宋体"/>
          <w:color w:val="auto"/>
          <w:sz w:val="24"/>
          <w:highlight w:val="none"/>
        </w:rPr>
        <w:t>，招标人为</w:t>
      </w:r>
      <w:r>
        <w:rPr>
          <w:rFonts w:hint="eastAsia" w:ascii="宋体" w:hAnsi="宋体" w:eastAsia="宋体" w:cs="宋体"/>
          <w:color w:val="auto"/>
          <w:sz w:val="24"/>
          <w:highlight w:val="none"/>
          <w:u w:val="single"/>
        </w:rPr>
        <w:t xml:space="preserve"> </w:t>
      </w:r>
      <w:r>
        <w:rPr>
          <w:rFonts w:hint="eastAsia" w:ascii="宋体" w:hAnsi="宋体" w:eastAsia="宋体"/>
          <w:color w:val="auto"/>
          <w:sz w:val="24"/>
          <w:highlight w:val="none"/>
          <w:u w:val="single"/>
        </w:rPr>
        <w:t>广州市高速公路有限公司</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。项目已具备招标条件，现对该项目的</w:t>
      </w:r>
      <w:r>
        <w:rPr>
          <w:rFonts w:hint="eastAsia" w:ascii="宋体" w:hAnsi="宋体" w:eastAsia="宋体" w:cs="宋体"/>
          <w:color w:val="auto"/>
          <w:sz w:val="24"/>
          <w:highlight w:val="none"/>
          <w:u w:val="single"/>
        </w:rPr>
        <w:t xml:space="preserve"> </w:t>
      </w:r>
      <w:r>
        <w:rPr>
          <w:rFonts w:hint="eastAsia" w:ascii="宋体" w:hAnsi="宋体" w:eastAsia="宋体"/>
          <w:color w:val="auto"/>
          <w:sz w:val="24"/>
          <w:highlight w:val="none"/>
          <w:u w:val="single"/>
        </w:rPr>
        <w:t>三沙口水文站迁建水文比测服务</w:t>
      </w:r>
      <w:r>
        <w:rPr>
          <w:rFonts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进行公开招标。</w:t>
      </w:r>
    </w:p>
    <w:p w14:paraId="0D0D0087">
      <w:pPr>
        <w:pStyle w:val="4"/>
        <w:spacing w:after="0" w:line="360" w:lineRule="auto"/>
        <w:jc w:val="left"/>
        <w:rPr>
          <w:rFonts w:eastAsia="宋体"/>
          <w:b/>
          <w:bCs w:val="0"/>
          <w:i w:val="0"/>
          <w:iCs w:val="0"/>
          <w:color w:val="auto"/>
          <w:highlight w:val="none"/>
        </w:rPr>
      </w:pPr>
      <w:bookmarkStart w:id="2" w:name="_Toc8298"/>
      <w:r>
        <w:rPr>
          <w:rFonts w:hint="eastAsia" w:eastAsia="宋体"/>
          <w:b/>
          <w:bCs w:val="0"/>
          <w:i w:val="0"/>
          <w:iCs w:val="0"/>
          <w:color w:val="auto"/>
          <w:highlight w:val="none"/>
        </w:rPr>
        <w:t>2.项目概况及招标范围</w:t>
      </w:r>
      <w:bookmarkEnd w:id="2"/>
    </w:p>
    <w:p w14:paraId="32DE8E38">
      <w:pPr>
        <w:spacing w:line="360" w:lineRule="auto"/>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2.1项目概况</w:t>
      </w:r>
    </w:p>
    <w:p w14:paraId="23A06C57">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2.1.1建设规模：现状三沙口水文站设立于1952年，位于广东省广州市番禺区石楼镇清流村的沙湾水道左岸，东经 113°30′，北纬 22°53′，管理单位为广东省水文局广州水文分局，该站测验要素包括水位、雨量、风暴潮、水质、含氯度、流量（巡测）、含沙量（巡测）等。受拟建黄埔至南沙东部快速通道沙湾水道特大桥影响，拟将三沙口水文站迁建至原址上游430m处的左岸。</w:t>
      </w:r>
    </w:p>
    <w:p w14:paraId="4B7F73F3">
      <w:pPr>
        <w:spacing w:line="360" w:lineRule="auto"/>
        <w:ind w:firstLine="480" w:firstLineChars="200"/>
        <w:rPr>
          <w:rFonts w:ascii="宋体" w:hAnsi="宋体" w:eastAsia="宋体" w:cs="宋体"/>
          <w:bCs/>
          <w:i/>
          <w:iCs/>
          <w:color w:val="auto"/>
          <w:sz w:val="24"/>
          <w:highlight w:val="none"/>
          <w:u w:val="single"/>
        </w:rPr>
      </w:pPr>
      <w:r>
        <w:rPr>
          <w:rFonts w:hint="eastAsia" w:ascii="宋体" w:hAnsi="宋体" w:eastAsia="宋体" w:cs="宋体"/>
          <w:color w:val="auto"/>
          <w:sz w:val="24"/>
          <w:highlight w:val="none"/>
          <w:u w:val="single"/>
        </w:rPr>
        <w:t>2.1.2建设地点：广州市番禺区</w:t>
      </w:r>
    </w:p>
    <w:p w14:paraId="5B6A6502">
      <w:pPr>
        <w:spacing w:line="360" w:lineRule="auto"/>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2.2标段划分、服务范围及服务期</w:t>
      </w:r>
    </w:p>
    <w:p w14:paraId="5615EE67">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本项目共划分为</w:t>
      </w:r>
      <w:r>
        <w:rPr>
          <w:rFonts w:hint="eastAsia" w:ascii="宋体" w:hAnsi="宋体" w:eastAsia="宋体" w:cs="宋体"/>
          <w:bCs/>
          <w:color w:val="auto"/>
          <w:sz w:val="24"/>
          <w:highlight w:val="none"/>
          <w:u w:val="single"/>
        </w:rPr>
        <w:t xml:space="preserve"> 1 </w:t>
      </w:r>
      <w:r>
        <w:rPr>
          <w:rFonts w:hint="eastAsia" w:ascii="宋体" w:hAnsi="宋体" w:eastAsia="宋体" w:cs="宋体"/>
          <w:bCs/>
          <w:color w:val="auto"/>
          <w:sz w:val="24"/>
          <w:highlight w:val="none"/>
        </w:rPr>
        <w:t>个标段，服务范围如下：</w:t>
      </w:r>
    </w:p>
    <w:p w14:paraId="585B96A2">
      <w:pPr>
        <w:spacing w:line="360" w:lineRule="auto"/>
        <w:ind w:firstLine="480" w:firstLineChars="200"/>
        <w:rPr>
          <w:rFonts w:ascii="宋体" w:hAnsi="宋体" w:eastAsia="宋体"/>
          <w:bCs/>
          <w:color w:val="auto"/>
          <w:sz w:val="24"/>
          <w:highlight w:val="none"/>
        </w:rPr>
      </w:pPr>
      <w:r>
        <w:rPr>
          <w:rFonts w:hint="eastAsia" w:ascii="宋体" w:hAnsi="宋体" w:eastAsia="宋体" w:cs="宋体"/>
          <w:color w:val="auto"/>
          <w:sz w:val="24"/>
          <w:highlight w:val="none"/>
        </w:rPr>
        <w:t>中标人进场后应对现场实际情况进行踏勘，依据相关规范、施工图和现场实际情况编制水文比测计划大纲。水文比测计划大纲应包括监测计划、监测内容、监测范围、监测方法、监测频次、测点布设图等方面内容。中标人应按照水文比测计划大纲开展监测和评估工作</w:t>
      </w:r>
      <w:r>
        <w:rPr>
          <w:rFonts w:hint="eastAsia" w:ascii="宋体" w:hAnsi="宋体" w:eastAsia="宋体"/>
          <w:bCs/>
          <w:color w:val="auto"/>
          <w:sz w:val="24"/>
          <w:highlight w:val="none"/>
        </w:rPr>
        <w:t>。</w:t>
      </w:r>
    </w:p>
    <w:p w14:paraId="35BC2332">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应按照水文比测计划大纲及相关验收标准提交监测成果，监测成果报告包含原始监测数据、三沙口站潮位比测分析报告；三沙口站水位计比测分析报告；三沙口站H-ADCP比测分析报告；三沙口站水文监测功能恢复评估报告等。</w:t>
      </w:r>
    </w:p>
    <w:p w14:paraId="0DF2E6F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中标人在水文监测进场或退出时需提前告知委托人，委托人同意后执行。监测过程中发现异常时，中标人应第一时间向委托人、设计单位等单位通报，配合委托人和有关参建单位及时发现问题、解决问题。</w:t>
      </w:r>
    </w:p>
    <w:p w14:paraId="6E4205D6">
      <w:pPr>
        <w:spacing w:line="360" w:lineRule="auto"/>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服务范围及服务期如下：</w:t>
      </w:r>
    </w:p>
    <w:tbl>
      <w:tblPr>
        <w:tblStyle w:val="9"/>
        <w:tblW w:w="47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519"/>
        <w:gridCol w:w="5916"/>
        <w:gridCol w:w="1194"/>
      </w:tblGrid>
      <w:tr w14:paraId="4FD1D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blHeader/>
          <w:jc w:val="center"/>
        </w:trPr>
        <w:tc>
          <w:tcPr>
            <w:tcW w:w="461" w:type="pct"/>
            <w:vMerge w:val="restart"/>
            <w:noWrap w:val="0"/>
            <w:vAlign w:val="center"/>
          </w:tcPr>
          <w:p w14:paraId="7B06C045">
            <w:pPr>
              <w:adjustRightInd w:val="0"/>
              <w:snapToGrid w:val="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里程</w:t>
            </w:r>
          </w:p>
          <w:p w14:paraId="2A61DF9D">
            <w:pPr>
              <w:adjustRightInd w:val="0"/>
              <w:snapToGrid w:val="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长度</w:t>
            </w:r>
          </w:p>
        </w:tc>
        <w:tc>
          <w:tcPr>
            <w:tcW w:w="3911" w:type="pct"/>
            <w:gridSpan w:val="2"/>
            <w:noWrap w:val="0"/>
            <w:vAlign w:val="center"/>
          </w:tcPr>
          <w:p w14:paraId="2CF4BB45">
            <w:pPr>
              <w:adjustRightInd w:val="0"/>
              <w:snapToGrid w:val="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服务范围</w:t>
            </w:r>
          </w:p>
        </w:tc>
        <w:tc>
          <w:tcPr>
            <w:tcW w:w="628" w:type="pct"/>
            <w:vMerge w:val="restart"/>
            <w:noWrap w:val="0"/>
            <w:vAlign w:val="center"/>
          </w:tcPr>
          <w:p w14:paraId="0327A318">
            <w:pPr>
              <w:adjustRightInd w:val="0"/>
              <w:snapToGrid w:val="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服务期</w:t>
            </w:r>
          </w:p>
        </w:tc>
      </w:tr>
      <w:tr w14:paraId="6E789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blHeader/>
          <w:jc w:val="center"/>
        </w:trPr>
        <w:tc>
          <w:tcPr>
            <w:tcW w:w="461" w:type="pct"/>
            <w:vMerge w:val="continue"/>
            <w:noWrap w:val="0"/>
            <w:vAlign w:val="center"/>
          </w:tcPr>
          <w:p w14:paraId="21F35075">
            <w:pPr>
              <w:adjustRightInd w:val="0"/>
              <w:snapToGrid w:val="0"/>
              <w:jc w:val="center"/>
              <w:rPr>
                <w:rFonts w:hint="eastAsia" w:ascii="宋体" w:hAnsi="宋体" w:eastAsia="宋体" w:cs="宋体"/>
                <w:b/>
                <w:bCs/>
                <w:color w:val="auto"/>
                <w:sz w:val="24"/>
                <w:highlight w:val="none"/>
              </w:rPr>
            </w:pPr>
            <w:bookmarkStart w:id="3" w:name="_Hlk81079596"/>
          </w:p>
        </w:tc>
        <w:tc>
          <w:tcPr>
            <w:tcW w:w="799" w:type="pct"/>
            <w:noWrap w:val="0"/>
            <w:vAlign w:val="center"/>
          </w:tcPr>
          <w:p w14:paraId="5EEA75BE">
            <w:pPr>
              <w:adjustRightInd w:val="0"/>
              <w:snapToGrid w:val="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监测要素</w:t>
            </w:r>
          </w:p>
        </w:tc>
        <w:tc>
          <w:tcPr>
            <w:tcW w:w="3111" w:type="pct"/>
            <w:noWrap w:val="0"/>
            <w:vAlign w:val="center"/>
          </w:tcPr>
          <w:p w14:paraId="31D0F7DF">
            <w:pPr>
              <w:adjustRightInd w:val="0"/>
              <w:snapToGrid w:val="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监测点位和监测内容</w:t>
            </w:r>
          </w:p>
        </w:tc>
        <w:tc>
          <w:tcPr>
            <w:tcW w:w="628" w:type="pct"/>
            <w:vMerge w:val="continue"/>
            <w:noWrap w:val="0"/>
            <w:vAlign w:val="center"/>
          </w:tcPr>
          <w:p w14:paraId="01D815FE">
            <w:pPr>
              <w:adjustRightInd w:val="0"/>
              <w:snapToGrid w:val="0"/>
              <w:jc w:val="center"/>
              <w:rPr>
                <w:rFonts w:hint="eastAsia" w:ascii="宋体" w:hAnsi="宋体" w:eastAsia="宋体" w:cs="宋体"/>
                <w:b/>
                <w:bCs/>
                <w:color w:val="auto"/>
                <w:sz w:val="24"/>
                <w:highlight w:val="none"/>
              </w:rPr>
            </w:pPr>
          </w:p>
        </w:tc>
      </w:tr>
      <w:tr w14:paraId="41E97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461" w:type="pct"/>
            <w:vMerge w:val="restart"/>
            <w:noWrap w:val="0"/>
            <w:vAlign w:val="center"/>
          </w:tcPr>
          <w:p w14:paraId="765C8D72">
            <w:pPr>
              <w:jc w:val="center"/>
              <w:rPr>
                <w:rFonts w:hint="eastAsia" w:ascii="宋体" w:hAnsi="宋体" w:eastAsia="宋体" w:cs="宋体"/>
                <w:b/>
                <w:color w:val="auto"/>
                <w:sz w:val="24"/>
                <w:highlight w:val="none"/>
              </w:rPr>
            </w:pPr>
            <w:r>
              <w:rPr>
                <w:rFonts w:hint="eastAsia" w:ascii="宋体" w:hAnsi="宋体" w:eastAsia="宋体" w:cs="宋体"/>
                <w:bCs/>
                <w:color w:val="auto"/>
                <w:sz w:val="24"/>
                <w:highlight w:val="none"/>
              </w:rPr>
              <w:t>约2千米</w:t>
            </w:r>
          </w:p>
        </w:tc>
        <w:tc>
          <w:tcPr>
            <w:tcW w:w="799" w:type="pct"/>
            <w:noWrap w:val="0"/>
            <w:vAlign w:val="center"/>
          </w:tcPr>
          <w:p w14:paraId="430C80DC">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基础设施安全监测</w:t>
            </w:r>
          </w:p>
        </w:tc>
        <w:tc>
          <w:tcPr>
            <w:tcW w:w="3111" w:type="pct"/>
            <w:noWrap w:val="0"/>
            <w:vAlign w:val="center"/>
          </w:tcPr>
          <w:p w14:paraId="1C9BEB05">
            <w:pPr>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1）监测点位：工程距三沙口水文站仅35m，为保证施工期间三沙口站的基础设施安全，在测站基础设施附近设置深杆式水准点1~3个；</w:t>
            </w:r>
          </w:p>
          <w:p w14:paraId="49086B45">
            <w:pPr>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2）监测时间：工程施工期及前后对测站的基础设施进行每半年一次的安全监测，工程前1年、施工期2年、工程后1年，合计4年共</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次；</w:t>
            </w:r>
          </w:p>
          <w:p w14:paraId="769792B5">
            <w:pPr>
              <w:rPr>
                <w:rFonts w:hint="eastAsia" w:ascii="宋体" w:hAnsi="宋体" w:eastAsia="宋体" w:cs="宋体"/>
                <w:color w:val="auto"/>
                <w:sz w:val="24"/>
                <w:highlight w:val="none"/>
              </w:rPr>
            </w:pPr>
            <w:r>
              <w:rPr>
                <w:rFonts w:hint="eastAsia" w:ascii="宋体" w:hAnsi="宋体" w:eastAsia="宋体" w:cs="宋体"/>
                <w:color w:val="auto"/>
                <w:sz w:val="24"/>
                <w:highlight w:val="none"/>
              </w:rPr>
              <w:t>3)监测内容：</w:t>
            </w:r>
            <w:r>
              <w:rPr>
                <w:rFonts w:hint="eastAsia" w:ascii="宋体" w:hAnsi="宋体" w:eastAsia="宋体" w:cs="宋体"/>
                <w:color w:val="auto"/>
                <w:kern w:val="0"/>
                <w:sz w:val="24"/>
                <w:highlight w:val="none"/>
                <w:lang w:bidi="ar"/>
              </w:rPr>
              <w:t>水准测量、变形测量和沉降观测。</w:t>
            </w:r>
          </w:p>
        </w:tc>
        <w:tc>
          <w:tcPr>
            <w:tcW w:w="628" w:type="pct"/>
            <w:vMerge w:val="restart"/>
            <w:noWrap w:val="0"/>
            <w:vAlign w:val="center"/>
          </w:tcPr>
          <w:p w14:paraId="605B1621">
            <w:pP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合同签订后至监测成果通过行业主管部门验收。</w:t>
            </w:r>
          </w:p>
        </w:tc>
      </w:tr>
      <w:tr w14:paraId="1FDC6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461" w:type="pct"/>
            <w:vMerge w:val="continue"/>
            <w:noWrap w:val="0"/>
            <w:vAlign w:val="center"/>
          </w:tcPr>
          <w:p w14:paraId="6706C229">
            <w:pPr>
              <w:jc w:val="center"/>
              <w:rPr>
                <w:rFonts w:hint="eastAsia" w:ascii="宋体" w:hAnsi="宋体" w:eastAsia="宋体" w:cs="宋体"/>
                <w:bCs/>
                <w:color w:val="auto"/>
                <w:sz w:val="24"/>
                <w:highlight w:val="none"/>
              </w:rPr>
            </w:pPr>
            <w:bookmarkStart w:id="4" w:name="_Toc16090"/>
          </w:p>
        </w:tc>
        <w:tc>
          <w:tcPr>
            <w:tcW w:w="799" w:type="pct"/>
            <w:noWrap w:val="0"/>
            <w:vAlign w:val="center"/>
          </w:tcPr>
          <w:p w14:paraId="13F3AF0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水位对比观测</w:t>
            </w:r>
          </w:p>
        </w:tc>
        <w:tc>
          <w:tcPr>
            <w:tcW w:w="3111" w:type="pct"/>
            <w:noWrap w:val="0"/>
            <w:vAlign w:val="center"/>
          </w:tcPr>
          <w:p w14:paraId="04C71BF2">
            <w:pPr>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1）观测点位：考虑到施工期水文情势非正常，在三沙口（二）站建设前，在新站址处建设1个临时水位站，并定期维护；</w:t>
            </w:r>
          </w:p>
          <w:p w14:paraId="1C0885D7">
            <w:pPr>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2）监测时间：共进行4年（工程前1年、施工期2年、工程后1年）的水位比测；</w:t>
            </w:r>
          </w:p>
          <w:p w14:paraId="1B918B4E">
            <w:pPr>
              <w:rPr>
                <w:rFonts w:hint="eastAsia" w:ascii="宋体" w:hAnsi="宋体" w:eastAsia="宋体" w:cs="宋体"/>
                <w:color w:val="auto"/>
                <w:sz w:val="24"/>
                <w:highlight w:val="none"/>
              </w:rPr>
            </w:pPr>
            <w:r>
              <w:rPr>
                <w:rFonts w:hint="eastAsia" w:ascii="宋体" w:hAnsi="宋体" w:eastAsia="宋体" w:cs="宋体"/>
                <w:color w:val="auto"/>
                <w:sz w:val="24"/>
                <w:highlight w:val="none"/>
              </w:rPr>
              <w:t>3）监测内容：</w:t>
            </w:r>
            <w:r>
              <w:rPr>
                <w:rFonts w:hint="eastAsia" w:ascii="宋体" w:hAnsi="宋体" w:eastAsia="宋体" w:cs="宋体"/>
                <w:color w:val="auto"/>
                <w:kern w:val="0"/>
                <w:sz w:val="24"/>
                <w:highlight w:val="none"/>
                <w:lang w:bidi="ar"/>
              </w:rPr>
              <w:t>水准点引测和校测</w:t>
            </w:r>
            <w:r>
              <w:rPr>
                <w:rFonts w:hint="eastAsia" w:ascii="宋体" w:hAnsi="宋体" w:eastAsia="宋体" w:cs="宋体"/>
                <w:color w:val="auto"/>
                <w:sz w:val="24"/>
                <w:highlight w:val="none"/>
              </w:rPr>
              <w:t>、潮位观测。</w:t>
            </w:r>
          </w:p>
        </w:tc>
        <w:tc>
          <w:tcPr>
            <w:tcW w:w="628" w:type="pct"/>
            <w:vMerge w:val="continue"/>
            <w:noWrap w:val="0"/>
            <w:vAlign w:val="center"/>
          </w:tcPr>
          <w:p w14:paraId="76C029B8">
            <w:pPr>
              <w:rPr>
                <w:rFonts w:hint="eastAsia" w:ascii="宋体" w:hAnsi="宋体" w:eastAsia="宋体" w:cs="宋体"/>
                <w:bCs/>
                <w:color w:val="auto"/>
                <w:sz w:val="24"/>
                <w:highlight w:val="none"/>
              </w:rPr>
            </w:pPr>
          </w:p>
        </w:tc>
      </w:tr>
      <w:tr w14:paraId="59EA4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461" w:type="pct"/>
            <w:vMerge w:val="continue"/>
            <w:noWrap w:val="0"/>
            <w:vAlign w:val="center"/>
          </w:tcPr>
          <w:p w14:paraId="527267B0">
            <w:pPr>
              <w:jc w:val="center"/>
              <w:rPr>
                <w:rFonts w:hint="eastAsia" w:ascii="宋体" w:hAnsi="宋体" w:eastAsia="宋体" w:cs="宋体"/>
                <w:bCs/>
                <w:color w:val="auto"/>
                <w:sz w:val="24"/>
                <w:highlight w:val="none"/>
              </w:rPr>
            </w:pPr>
          </w:p>
        </w:tc>
        <w:tc>
          <w:tcPr>
            <w:tcW w:w="799" w:type="pct"/>
            <w:noWrap w:val="0"/>
            <w:vAlign w:val="center"/>
          </w:tcPr>
          <w:p w14:paraId="188B37F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仪器设备关系率定</w:t>
            </w:r>
          </w:p>
        </w:tc>
        <w:tc>
          <w:tcPr>
            <w:tcW w:w="3111" w:type="pct"/>
            <w:noWrap w:val="0"/>
            <w:vAlign w:val="center"/>
          </w:tcPr>
          <w:p w14:paraId="78589109">
            <w:pPr>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1）监测点位：在三沙口站测流断面按水位变幅分为3个测段；</w:t>
            </w:r>
          </w:p>
          <w:p w14:paraId="22929FF0">
            <w:pPr>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2）监测时间：涉水施工期2年及完工后1年共3年，在洪、枯季各测1期，每期需包含天文大、中、小潮3个潮型，每次验证30个流量点；</w:t>
            </w:r>
          </w:p>
          <w:p w14:paraId="79FE90A5">
            <w:pPr>
              <w:rPr>
                <w:rFonts w:hint="eastAsia" w:ascii="宋体" w:hAnsi="宋体" w:eastAsia="宋体" w:cs="宋体"/>
                <w:color w:val="auto"/>
                <w:sz w:val="24"/>
                <w:highlight w:val="none"/>
              </w:rPr>
            </w:pPr>
            <w:r>
              <w:rPr>
                <w:rFonts w:hint="eastAsia" w:ascii="宋体" w:hAnsi="宋体" w:eastAsia="宋体" w:cs="宋体"/>
                <w:color w:val="auto"/>
                <w:sz w:val="24"/>
                <w:highlight w:val="none"/>
              </w:rPr>
              <w:t>3）监测内容：流量。</w:t>
            </w:r>
          </w:p>
        </w:tc>
        <w:tc>
          <w:tcPr>
            <w:tcW w:w="628" w:type="pct"/>
            <w:vMerge w:val="continue"/>
            <w:noWrap w:val="0"/>
            <w:vAlign w:val="center"/>
          </w:tcPr>
          <w:p w14:paraId="4F7F3AA3">
            <w:pPr>
              <w:rPr>
                <w:rFonts w:hint="eastAsia" w:ascii="宋体" w:hAnsi="宋体" w:eastAsia="宋体" w:cs="宋体"/>
                <w:bCs/>
                <w:color w:val="auto"/>
                <w:sz w:val="24"/>
                <w:highlight w:val="none"/>
              </w:rPr>
            </w:pPr>
          </w:p>
        </w:tc>
      </w:tr>
      <w:tr w14:paraId="77C89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461" w:type="pct"/>
            <w:vMerge w:val="continue"/>
            <w:noWrap w:val="0"/>
            <w:vAlign w:val="center"/>
          </w:tcPr>
          <w:p w14:paraId="451F00E1">
            <w:pPr>
              <w:jc w:val="center"/>
              <w:rPr>
                <w:rFonts w:hint="eastAsia" w:ascii="宋体" w:hAnsi="宋体" w:eastAsia="宋体" w:cs="宋体"/>
                <w:bCs/>
                <w:color w:val="auto"/>
                <w:sz w:val="24"/>
                <w:highlight w:val="none"/>
              </w:rPr>
            </w:pPr>
          </w:p>
        </w:tc>
        <w:tc>
          <w:tcPr>
            <w:tcW w:w="799" w:type="pct"/>
            <w:noWrap w:val="0"/>
            <w:vAlign w:val="center"/>
          </w:tcPr>
          <w:p w14:paraId="56BFE3C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地形测量</w:t>
            </w:r>
          </w:p>
        </w:tc>
        <w:tc>
          <w:tcPr>
            <w:tcW w:w="3111" w:type="pct"/>
            <w:noWrap w:val="0"/>
            <w:vAlign w:val="center"/>
          </w:tcPr>
          <w:p w14:paraId="19AC3182">
            <w:pPr>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1）测量范围：对三沙口水文站上、下游各1km管理范围岸上/水下地形范围，比例尺要求为1:2000；</w:t>
            </w:r>
          </w:p>
          <w:p w14:paraId="2C31181A">
            <w:pPr>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2）监测时间：在三沙口水文站原站拆除后及三沙口水文站新站建成后分别测量1次，共开展2次；</w:t>
            </w:r>
          </w:p>
          <w:p w14:paraId="79BA75DF">
            <w:pPr>
              <w:rPr>
                <w:rFonts w:hint="eastAsia" w:ascii="宋体" w:hAnsi="宋体" w:eastAsia="宋体" w:cs="宋体"/>
                <w:color w:val="auto"/>
                <w:sz w:val="24"/>
                <w:highlight w:val="none"/>
              </w:rPr>
            </w:pPr>
            <w:r>
              <w:rPr>
                <w:rFonts w:hint="eastAsia" w:ascii="宋体" w:hAnsi="宋体" w:eastAsia="宋体" w:cs="宋体"/>
                <w:color w:val="auto"/>
                <w:sz w:val="24"/>
                <w:highlight w:val="none"/>
              </w:rPr>
              <w:t>3）监测内容：岸上地形测量、水下地形测量。</w:t>
            </w:r>
          </w:p>
        </w:tc>
        <w:tc>
          <w:tcPr>
            <w:tcW w:w="628" w:type="pct"/>
            <w:vMerge w:val="continue"/>
            <w:noWrap w:val="0"/>
            <w:vAlign w:val="center"/>
          </w:tcPr>
          <w:p w14:paraId="42DFCDFD">
            <w:pPr>
              <w:rPr>
                <w:rFonts w:hint="eastAsia" w:ascii="宋体" w:hAnsi="宋体" w:eastAsia="宋体" w:cs="宋体"/>
                <w:bCs/>
                <w:color w:val="auto"/>
                <w:sz w:val="24"/>
                <w:highlight w:val="none"/>
              </w:rPr>
            </w:pPr>
          </w:p>
        </w:tc>
      </w:tr>
      <w:tr w14:paraId="5300C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461" w:type="pct"/>
            <w:vMerge w:val="continue"/>
            <w:noWrap w:val="0"/>
            <w:vAlign w:val="center"/>
          </w:tcPr>
          <w:p w14:paraId="76F11F77">
            <w:pPr>
              <w:jc w:val="center"/>
              <w:rPr>
                <w:rFonts w:hint="eastAsia" w:ascii="宋体" w:hAnsi="宋体" w:eastAsia="宋体" w:cs="宋体"/>
                <w:bCs/>
                <w:color w:val="auto"/>
                <w:sz w:val="24"/>
                <w:highlight w:val="none"/>
              </w:rPr>
            </w:pPr>
          </w:p>
        </w:tc>
        <w:tc>
          <w:tcPr>
            <w:tcW w:w="799" w:type="pct"/>
            <w:noWrap w:val="0"/>
            <w:vAlign w:val="center"/>
          </w:tcPr>
          <w:p w14:paraId="5A3889D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水文站监测恢复评估报告编制</w:t>
            </w:r>
          </w:p>
        </w:tc>
        <w:tc>
          <w:tcPr>
            <w:tcW w:w="3111" w:type="pct"/>
            <w:noWrap w:val="0"/>
            <w:vAlign w:val="center"/>
          </w:tcPr>
          <w:p w14:paraId="54B7659F">
            <w:pPr>
              <w:rPr>
                <w:rFonts w:hint="eastAsia" w:ascii="宋体" w:hAnsi="宋体" w:eastAsia="宋体" w:cs="宋体"/>
                <w:color w:val="auto"/>
                <w:sz w:val="24"/>
                <w:highlight w:val="none"/>
              </w:rPr>
            </w:pPr>
            <w:r>
              <w:rPr>
                <w:rFonts w:hint="eastAsia" w:ascii="宋体" w:hAnsi="宋体" w:eastAsia="宋体" w:cs="宋体"/>
                <w:color w:val="auto"/>
                <w:sz w:val="24"/>
                <w:highlight w:val="none"/>
              </w:rPr>
              <w:t>在对比监测工程完成后，需对测站监测功能情况、资料系列一致性情况进行评估，编制完成《三沙口水文站监测恢复评估报告》，并通过专家技术评审，报备主管部门。</w:t>
            </w:r>
          </w:p>
        </w:tc>
        <w:tc>
          <w:tcPr>
            <w:tcW w:w="628" w:type="pct"/>
            <w:vMerge w:val="continue"/>
            <w:noWrap w:val="0"/>
            <w:vAlign w:val="center"/>
          </w:tcPr>
          <w:p w14:paraId="73B6C3C8">
            <w:pPr>
              <w:rPr>
                <w:rFonts w:hint="eastAsia" w:ascii="宋体" w:hAnsi="宋体" w:eastAsia="宋体" w:cs="宋体"/>
                <w:bCs/>
                <w:color w:val="auto"/>
                <w:sz w:val="24"/>
                <w:highlight w:val="none"/>
              </w:rPr>
            </w:pPr>
          </w:p>
        </w:tc>
      </w:tr>
      <w:bookmarkEnd w:id="3"/>
    </w:tbl>
    <w:p w14:paraId="03817373">
      <w:pPr>
        <w:pStyle w:val="4"/>
        <w:spacing w:after="0" w:line="360" w:lineRule="auto"/>
        <w:jc w:val="left"/>
        <w:rPr>
          <w:rFonts w:eastAsia="宋体"/>
          <w:b/>
          <w:bCs w:val="0"/>
          <w:i w:val="0"/>
          <w:iCs w:val="0"/>
          <w:color w:val="auto"/>
          <w:highlight w:val="none"/>
        </w:rPr>
      </w:pPr>
      <w:r>
        <w:rPr>
          <w:rFonts w:hint="eastAsia" w:eastAsia="宋体"/>
          <w:b/>
          <w:bCs w:val="0"/>
          <w:i w:val="0"/>
          <w:iCs w:val="0"/>
          <w:color w:val="auto"/>
          <w:highlight w:val="none"/>
        </w:rPr>
        <w:t>3.投标人资格要求</w:t>
      </w:r>
      <w:bookmarkEnd w:id="4"/>
    </w:p>
    <w:p w14:paraId="7EF8C89E">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3.1</w:t>
      </w:r>
      <w:r>
        <w:rPr>
          <w:rFonts w:ascii="宋体" w:hAnsi="宋体" w:eastAsia="宋体" w:cs="宋体"/>
          <w:color w:val="auto"/>
          <w:sz w:val="24"/>
          <w:highlight w:val="none"/>
        </w:rPr>
        <w:t>本次招</w:t>
      </w:r>
      <w:r>
        <w:rPr>
          <w:rFonts w:hint="eastAsia" w:ascii="宋体" w:hAnsi="宋体" w:eastAsia="宋体" w:cs="宋体"/>
          <w:color w:val="auto"/>
          <w:sz w:val="24"/>
          <w:highlight w:val="none"/>
        </w:rPr>
        <w:t>标要求投标人须具备有效期内的测绘乙级或以上资质</w:t>
      </w:r>
      <w:r>
        <w:rPr>
          <w:rFonts w:ascii="宋体" w:hAnsi="宋体" w:eastAsia="宋体" w:cs="宋体"/>
          <w:color w:val="auto"/>
          <w:sz w:val="24"/>
          <w:highlight w:val="none"/>
        </w:rPr>
        <w:t>,并在</w:t>
      </w:r>
      <w:r>
        <w:rPr>
          <w:rFonts w:hint="eastAsia" w:ascii="宋体" w:hAnsi="宋体" w:eastAsia="宋体" w:cs="宋体"/>
          <w:color w:val="auto"/>
          <w:sz w:val="24"/>
          <w:highlight w:val="none"/>
        </w:rPr>
        <w:t>业绩、信誉等方面具有相应的能力，具体详见资格审查条件附录</w:t>
      </w:r>
      <w:r>
        <w:rPr>
          <w:rFonts w:ascii="宋体" w:hAnsi="宋体" w:eastAsia="宋体" w:cs="宋体"/>
          <w:color w:val="auto"/>
          <w:sz w:val="24"/>
          <w:highlight w:val="none"/>
        </w:rPr>
        <w:t>1至附</w:t>
      </w:r>
      <w:r>
        <w:rPr>
          <w:rFonts w:hint="eastAsia" w:ascii="宋体" w:hAnsi="宋体" w:eastAsia="宋体" w:cs="宋体"/>
          <w:color w:val="auto"/>
          <w:sz w:val="24"/>
          <w:highlight w:val="none"/>
        </w:rPr>
        <w:t>录3。</w:t>
      </w:r>
    </w:p>
    <w:p w14:paraId="4B695C06">
      <w:pPr>
        <w:pStyle w:val="5"/>
        <w:topLinePunct/>
        <w:spacing w:line="360" w:lineRule="auto"/>
        <w:ind w:firstLine="480" w:firstLineChars="200"/>
        <w:rPr>
          <w:rFonts w:hAnsi="宋体" w:eastAsia="宋体" w:cs="宋体"/>
          <w:color w:val="auto"/>
          <w:szCs w:val="24"/>
          <w:highlight w:val="none"/>
        </w:rPr>
      </w:pPr>
      <w:r>
        <w:rPr>
          <w:rFonts w:hint="eastAsia" w:hAnsi="宋体" w:eastAsia="宋体" w:cs="宋体"/>
          <w:color w:val="auto"/>
          <w:highlight w:val="none"/>
        </w:rPr>
        <w:t>3.2本工程</w:t>
      </w:r>
      <w:r>
        <w:rPr>
          <w:rFonts w:hint="eastAsia" w:hAnsi="宋体" w:eastAsia="宋体" w:cs="宋体"/>
          <w:color w:val="auto"/>
          <w:highlight w:val="none"/>
          <w:u w:val="single"/>
        </w:rPr>
        <w:t xml:space="preserve"> </w:t>
      </w:r>
      <w:r>
        <w:rPr>
          <w:rFonts w:hint="eastAsia" w:hAnsi="宋体" w:eastAsia="宋体" w:cs="宋体"/>
          <w:b/>
          <w:color w:val="auto"/>
          <w:highlight w:val="none"/>
          <w:u w:val="single"/>
        </w:rPr>
        <w:t xml:space="preserve">不接受 </w:t>
      </w:r>
      <w:r>
        <w:rPr>
          <w:rFonts w:hint="eastAsia" w:hAnsi="宋体" w:eastAsia="宋体" w:cs="宋体"/>
          <w:color w:val="auto"/>
          <w:highlight w:val="none"/>
        </w:rPr>
        <w:t>联合体投标。</w:t>
      </w:r>
    </w:p>
    <w:p w14:paraId="50A42D88">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3.3与招标人存在利害关系可能影响招标公正性的法人、其他组织或者个人，不得参加投标。若单位负责人</w:t>
      </w:r>
      <w:r>
        <w:rPr>
          <w:rStyle w:val="11"/>
          <w:rFonts w:ascii="宋体" w:hAnsi="宋体" w:eastAsia="宋体" w:cs="宋体"/>
          <w:color w:val="auto"/>
          <w:highlight w:val="none"/>
        </w:rPr>
        <w:fldChar w:fldCharType="begin"/>
      </w:r>
      <w:r>
        <w:rPr>
          <w:rStyle w:val="11"/>
          <w:rFonts w:ascii="宋体" w:hAnsi="宋体" w:eastAsia="宋体" w:cs="宋体"/>
          <w:color w:val="auto"/>
          <w:highlight w:val="none"/>
        </w:rPr>
        <w:instrText xml:space="preserve"> </w:instrText>
      </w:r>
      <w:r>
        <w:rPr>
          <w:rStyle w:val="11"/>
          <w:rFonts w:hint="eastAsia" w:ascii="宋体" w:hAnsi="宋体" w:eastAsia="宋体" w:cs="宋体"/>
          <w:color w:val="auto"/>
          <w:highlight w:val="none"/>
        </w:rPr>
        <w:instrText xml:space="preserve">= 1 \* GB3</w:instrText>
      </w:r>
      <w:r>
        <w:rPr>
          <w:rStyle w:val="11"/>
          <w:rFonts w:ascii="宋体" w:hAnsi="宋体" w:eastAsia="宋体" w:cs="宋体"/>
          <w:color w:val="auto"/>
          <w:highlight w:val="none"/>
        </w:rPr>
        <w:instrText xml:space="preserve"> </w:instrText>
      </w:r>
      <w:r>
        <w:rPr>
          <w:rStyle w:val="11"/>
          <w:rFonts w:ascii="宋体" w:hAnsi="宋体" w:eastAsia="宋体" w:cs="宋体"/>
          <w:color w:val="auto"/>
          <w:highlight w:val="none"/>
        </w:rPr>
        <w:fldChar w:fldCharType="separate"/>
      </w:r>
      <w:r>
        <w:rPr>
          <w:rStyle w:val="11"/>
          <w:rFonts w:hint="eastAsia" w:ascii="宋体" w:hAnsi="宋体" w:eastAsia="宋体" w:cs="宋体"/>
          <w:color w:val="auto"/>
          <w:highlight w:val="none"/>
        </w:rPr>
        <w:t>①</w:t>
      </w:r>
      <w:r>
        <w:rPr>
          <w:rStyle w:val="11"/>
          <w:rFonts w:ascii="宋体" w:hAnsi="宋体" w:eastAsia="宋体" w:cs="宋体"/>
          <w:color w:val="auto"/>
          <w:highlight w:val="none"/>
        </w:rPr>
        <w:fldChar w:fldCharType="end"/>
      </w:r>
      <w:r>
        <w:rPr>
          <w:rFonts w:hint="eastAsia" w:ascii="宋体" w:hAnsi="宋体" w:eastAsia="宋体" w:cs="宋体"/>
          <w:color w:val="auto"/>
          <w:sz w:val="24"/>
          <w:highlight w:val="none"/>
        </w:rPr>
        <w:t>为同一人、或者存在控股</w:t>
      </w:r>
      <w:r>
        <w:rPr>
          <w:rFonts w:ascii="宋体" w:hAnsi="宋体" w:eastAsia="宋体" w:cs="宋体"/>
          <w:color w:val="auto"/>
          <w:highlight w:val="none"/>
          <w:vertAlign w:val="superscript"/>
        </w:rPr>
        <w:fldChar w:fldCharType="begin"/>
      </w:r>
      <w:r>
        <w:rPr>
          <w:rFonts w:ascii="宋体" w:hAnsi="宋体" w:eastAsia="宋体" w:cs="宋体"/>
          <w:color w:val="auto"/>
          <w:highlight w:val="none"/>
          <w:vertAlign w:val="superscript"/>
        </w:rPr>
        <w:instrText xml:space="preserve"> </w:instrText>
      </w:r>
      <w:r>
        <w:rPr>
          <w:rFonts w:hint="eastAsia" w:ascii="宋体" w:hAnsi="宋体" w:eastAsia="宋体" w:cs="宋体"/>
          <w:color w:val="auto"/>
          <w:highlight w:val="none"/>
          <w:vertAlign w:val="superscript"/>
        </w:rPr>
        <w:instrText xml:space="preserve">= 2 \* GB3</w:instrText>
      </w:r>
      <w:r>
        <w:rPr>
          <w:rFonts w:ascii="宋体" w:hAnsi="宋体" w:eastAsia="宋体" w:cs="宋体"/>
          <w:color w:val="auto"/>
          <w:highlight w:val="none"/>
          <w:vertAlign w:val="superscript"/>
        </w:rPr>
        <w:instrText xml:space="preserve"> </w:instrText>
      </w:r>
      <w:r>
        <w:rPr>
          <w:rFonts w:ascii="宋体" w:hAnsi="宋体" w:eastAsia="宋体" w:cs="宋体"/>
          <w:color w:val="auto"/>
          <w:highlight w:val="none"/>
          <w:vertAlign w:val="superscript"/>
        </w:rPr>
        <w:fldChar w:fldCharType="separate"/>
      </w:r>
      <w:r>
        <w:rPr>
          <w:rFonts w:hint="eastAsia" w:ascii="宋体" w:hAnsi="宋体" w:eastAsia="宋体" w:cs="宋体"/>
          <w:color w:val="auto"/>
          <w:highlight w:val="none"/>
          <w:vertAlign w:val="superscript"/>
        </w:rPr>
        <w:t>②</w:t>
      </w:r>
      <w:r>
        <w:rPr>
          <w:rFonts w:ascii="宋体" w:hAnsi="宋体" w:eastAsia="宋体" w:cs="宋体"/>
          <w:color w:val="auto"/>
          <w:highlight w:val="none"/>
          <w:vertAlign w:val="superscript"/>
        </w:rPr>
        <w:fldChar w:fldCharType="end"/>
      </w:r>
      <w:r>
        <w:rPr>
          <w:rFonts w:hint="eastAsia" w:ascii="宋体" w:hAnsi="宋体" w:eastAsia="宋体" w:cs="宋体"/>
          <w:color w:val="auto"/>
          <w:sz w:val="24"/>
          <w:highlight w:val="none"/>
        </w:rPr>
        <w:t>、管理关系</w:t>
      </w:r>
      <w:r>
        <w:rPr>
          <w:rFonts w:ascii="宋体" w:hAnsi="宋体" w:eastAsia="宋体" w:cs="宋体"/>
          <w:color w:val="auto"/>
          <w:highlight w:val="none"/>
          <w:vertAlign w:val="superscript"/>
        </w:rPr>
        <w:fldChar w:fldCharType="begin"/>
      </w:r>
      <w:r>
        <w:rPr>
          <w:rFonts w:ascii="宋体" w:hAnsi="宋体" w:eastAsia="宋体" w:cs="宋体"/>
          <w:color w:val="auto"/>
          <w:highlight w:val="none"/>
          <w:vertAlign w:val="superscript"/>
        </w:rPr>
        <w:instrText xml:space="preserve"> </w:instrText>
      </w:r>
      <w:r>
        <w:rPr>
          <w:rFonts w:hint="eastAsia" w:ascii="宋体" w:hAnsi="宋体" w:eastAsia="宋体" w:cs="宋体"/>
          <w:color w:val="auto"/>
          <w:highlight w:val="none"/>
          <w:vertAlign w:val="superscript"/>
        </w:rPr>
        <w:instrText xml:space="preserve">= 3 \* GB3</w:instrText>
      </w:r>
      <w:r>
        <w:rPr>
          <w:rFonts w:ascii="宋体" w:hAnsi="宋体" w:eastAsia="宋体" w:cs="宋体"/>
          <w:color w:val="auto"/>
          <w:highlight w:val="none"/>
          <w:vertAlign w:val="superscript"/>
        </w:rPr>
        <w:instrText xml:space="preserve"> </w:instrText>
      </w:r>
      <w:r>
        <w:rPr>
          <w:rFonts w:ascii="宋体" w:hAnsi="宋体" w:eastAsia="宋体" w:cs="宋体"/>
          <w:color w:val="auto"/>
          <w:highlight w:val="none"/>
          <w:vertAlign w:val="superscript"/>
        </w:rPr>
        <w:fldChar w:fldCharType="separate"/>
      </w:r>
      <w:r>
        <w:rPr>
          <w:rFonts w:hint="eastAsia" w:ascii="宋体" w:hAnsi="宋体" w:eastAsia="宋体" w:cs="宋体"/>
          <w:color w:val="auto"/>
          <w:highlight w:val="none"/>
          <w:vertAlign w:val="superscript"/>
        </w:rPr>
        <w:t>③</w:t>
      </w:r>
      <w:r>
        <w:rPr>
          <w:rFonts w:ascii="宋体" w:hAnsi="宋体" w:eastAsia="宋体" w:cs="宋体"/>
          <w:color w:val="auto"/>
          <w:highlight w:val="none"/>
          <w:vertAlign w:val="superscript"/>
        </w:rPr>
        <w:fldChar w:fldCharType="end"/>
      </w:r>
      <w:r>
        <w:rPr>
          <w:rFonts w:hint="eastAsia" w:ascii="宋体" w:hAnsi="宋体" w:eastAsia="宋体" w:cs="宋体"/>
          <w:color w:val="auto"/>
          <w:sz w:val="24"/>
          <w:highlight w:val="none"/>
        </w:rPr>
        <w:t>的不同单位，不得参加同一标段投标或者未划分标段的同一招标项目投标，否则按否决其投标处理。</w:t>
      </w:r>
    </w:p>
    <w:p w14:paraId="48E1F583">
      <w:pPr>
        <w:pStyle w:val="7"/>
        <w:spacing w:line="360" w:lineRule="auto"/>
        <w:ind w:firstLine="420" w:firstLineChars="200"/>
        <w:rPr>
          <w:rFonts w:hint="eastAsia" w:hAnsi="宋体" w:cs="宋体"/>
          <w:color w:val="auto"/>
          <w:sz w:val="21"/>
          <w:szCs w:val="21"/>
          <w:highlight w:val="none"/>
        </w:rPr>
      </w:pPr>
      <w:r>
        <w:rPr>
          <w:rFonts w:hint="eastAsia" w:ascii="宋体" w:hAnsi="宋体" w:eastAsia="宋体" w:cs="宋体"/>
          <w:color w:val="auto"/>
          <w:kern w:val="2"/>
          <w:sz w:val="21"/>
          <w:szCs w:val="21"/>
          <w:highlight w:val="none"/>
        </w:rPr>
        <w:t xml:space="preserve">注：①单位负责人是指单位的法定代表人或者法律、行政法规规定代表单位行使职权的主要负责人。 </w:t>
      </w:r>
      <w:r>
        <w:rPr>
          <w:rFonts w:ascii="宋体" w:hAnsi="宋体" w:eastAsia="宋体" w:cs="宋体"/>
          <w:color w:val="auto"/>
          <w:kern w:val="2"/>
          <w:sz w:val="21"/>
          <w:szCs w:val="21"/>
          <w:highlight w:val="none"/>
        </w:rPr>
        <w:fldChar w:fldCharType="begin"/>
      </w:r>
      <w:r>
        <w:rPr>
          <w:rFonts w:ascii="宋体" w:hAnsi="宋体" w:eastAsia="宋体" w:cs="宋体"/>
          <w:color w:val="auto"/>
          <w:kern w:val="2"/>
          <w:sz w:val="21"/>
          <w:szCs w:val="21"/>
          <w:highlight w:val="none"/>
        </w:rPr>
        <w:instrText xml:space="preserve"> </w:instrText>
      </w:r>
      <w:r>
        <w:rPr>
          <w:rFonts w:hint="eastAsia" w:ascii="宋体" w:hAnsi="宋体" w:eastAsia="宋体" w:cs="宋体"/>
          <w:color w:val="auto"/>
          <w:kern w:val="2"/>
          <w:sz w:val="21"/>
          <w:szCs w:val="21"/>
          <w:highlight w:val="none"/>
        </w:rPr>
        <w:instrText xml:space="preserve">= 2 \* GB3</w:instrText>
      </w:r>
      <w:r>
        <w:rPr>
          <w:rFonts w:ascii="宋体" w:hAnsi="宋体" w:eastAsia="宋体" w:cs="宋体"/>
          <w:color w:val="auto"/>
          <w:kern w:val="2"/>
          <w:sz w:val="21"/>
          <w:szCs w:val="21"/>
          <w:highlight w:val="none"/>
        </w:rPr>
        <w:instrText xml:space="preserve"> </w:instrText>
      </w:r>
      <w:r>
        <w:rPr>
          <w:rFonts w:ascii="宋体" w:hAnsi="宋体" w:eastAsia="宋体" w:cs="宋体"/>
          <w:color w:val="auto"/>
          <w:kern w:val="2"/>
          <w:sz w:val="21"/>
          <w:szCs w:val="21"/>
          <w:highlight w:val="none"/>
        </w:rPr>
        <w:fldChar w:fldCharType="separate"/>
      </w:r>
      <w:r>
        <w:rPr>
          <w:rFonts w:hint="eastAsia" w:ascii="宋体" w:hAnsi="宋体" w:eastAsia="宋体" w:cs="宋体"/>
          <w:color w:val="auto"/>
          <w:kern w:val="2"/>
          <w:sz w:val="21"/>
          <w:szCs w:val="21"/>
          <w:highlight w:val="none"/>
        </w:rPr>
        <w:t>②</w:t>
      </w:r>
      <w:r>
        <w:rPr>
          <w:rFonts w:ascii="宋体" w:hAnsi="宋体" w:eastAsia="宋体" w:cs="宋体"/>
          <w:color w:val="auto"/>
          <w:kern w:val="2"/>
          <w:sz w:val="21"/>
          <w:szCs w:val="21"/>
          <w:highlight w:val="none"/>
        </w:rPr>
        <w:fldChar w:fldCharType="end"/>
      </w:r>
      <w:r>
        <w:rPr>
          <w:rFonts w:hint="eastAsia" w:ascii="宋体" w:hAnsi="宋体" w:eastAsia="宋体" w:cs="宋体"/>
          <w:color w:val="auto"/>
          <w:kern w:val="2"/>
          <w:sz w:val="21"/>
          <w:szCs w:val="21"/>
          <w:highlight w:val="none"/>
        </w:rPr>
        <w:t>控股是指出资额占有限责任公司资本总额50%以上或者其持有的股份占股份有限公司股本总额50%以上的，以及出资额或者持有股份的比例虽然不足50%，但依其出资额或者持有的股份所享有的表决权已足以对股东会、股东大会的决议产生重大影响的。</w:t>
      </w:r>
      <w:r>
        <w:rPr>
          <w:rFonts w:ascii="宋体" w:hAnsi="宋体" w:eastAsia="宋体" w:cs="宋体"/>
          <w:color w:val="auto"/>
          <w:sz w:val="21"/>
          <w:szCs w:val="21"/>
          <w:highlight w:val="none"/>
        </w:rPr>
        <w:fldChar w:fldCharType="begin"/>
      </w:r>
      <w:r>
        <w:rPr>
          <w:rFonts w:ascii="宋体" w:hAnsi="宋体" w:eastAsia="宋体" w:cs="宋体"/>
          <w:color w:val="auto"/>
          <w:sz w:val="21"/>
          <w:szCs w:val="21"/>
          <w:highlight w:val="none"/>
        </w:rPr>
        <w:instrText xml:space="preserve"> </w:instrText>
      </w:r>
      <w:r>
        <w:rPr>
          <w:rFonts w:hint="eastAsia" w:ascii="宋体" w:hAnsi="宋体" w:eastAsia="宋体" w:cs="宋体"/>
          <w:color w:val="auto"/>
          <w:sz w:val="21"/>
          <w:szCs w:val="21"/>
          <w:highlight w:val="none"/>
        </w:rPr>
        <w:instrText xml:space="preserve">= 3 \* GB3</w:instrText>
      </w:r>
      <w:r>
        <w:rPr>
          <w:rFonts w:ascii="宋体" w:hAnsi="宋体" w:eastAsia="宋体" w:cs="宋体"/>
          <w:color w:val="auto"/>
          <w:sz w:val="21"/>
          <w:szCs w:val="21"/>
          <w:highlight w:val="none"/>
        </w:rPr>
        <w:instrText xml:space="preserve"> </w:instrText>
      </w:r>
      <w:r>
        <w:rPr>
          <w:rFonts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③</w:t>
      </w:r>
      <w:r>
        <w:rPr>
          <w:rFonts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管理关系是指不具有出资持股关系的其他单位之间存在的管理与被管理关系。</w:t>
      </w:r>
    </w:p>
    <w:p w14:paraId="62E49147">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3.4在“信用中国”网站（https://creditchina.gov.cn）中被列入失信被执行人名单的投标人，在国家企业信用信息公示系统（https://gsxt.gov.cn）中被列入严重违法失信企业名单的投标人，均按否决投标处理。</w:t>
      </w:r>
    </w:p>
    <w:p w14:paraId="1000B5F7">
      <w:pPr>
        <w:spacing w:line="360" w:lineRule="auto"/>
        <w:ind w:firstLine="480" w:firstLineChars="200"/>
        <w:rPr>
          <w:rFonts w:hint="eastAsia" w:ascii="宋体" w:hAnsi="宋体" w:eastAsia="宋体" w:cs="宋体"/>
          <w:color w:val="auto"/>
          <w:sz w:val="24"/>
          <w:highlight w:val="none"/>
        </w:rPr>
      </w:pPr>
      <w:r>
        <w:rPr>
          <w:rFonts w:ascii="宋体" w:hAnsi="宋体" w:eastAsia="宋体" w:cs="宋体"/>
          <w:color w:val="auto"/>
          <w:sz w:val="24"/>
          <w:highlight w:val="none"/>
        </w:rPr>
        <w:t>3.</w:t>
      </w:r>
      <w:r>
        <w:rPr>
          <w:rFonts w:hint="eastAsia" w:ascii="宋体" w:hAnsi="宋体" w:eastAsia="宋体" w:cs="宋体"/>
          <w:color w:val="auto"/>
          <w:sz w:val="24"/>
          <w:highlight w:val="none"/>
        </w:rPr>
        <w:t>5</w:t>
      </w:r>
      <w:r>
        <w:rPr>
          <w:rFonts w:ascii="宋体" w:hAnsi="宋体" w:eastAsia="宋体" w:cs="宋体"/>
          <w:color w:val="auto"/>
          <w:sz w:val="24"/>
          <w:highlight w:val="none"/>
        </w:rPr>
        <w:t xml:space="preserve"> </w:t>
      </w:r>
      <w:r>
        <w:rPr>
          <w:rFonts w:hint="eastAsia" w:ascii="宋体" w:hAnsi="宋体" w:eastAsia="宋体" w:cs="宋体"/>
          <w:color w:val="auto"/>
          <w:sz w:val="24"/>
          <w:highlight w:val="none"/>
        </w:rPr>
        <w:t>投标人已在广州公共资源交易中心办理企业信息登记，投标人企业信息登记详情参见广州交易集团有限公司（广州公共资源交易中心）网站（http://ggzy.gz.gov.cn ）服务指南栏目。</w:t>
      </w:r>
    </w:p>
    <w:p w14:paraId="0D2A9751">
      <w:pPr>
        <w:pStyle w:val="4"/>
        <w:spacing w:after="0" w:line="360" w:lineRule="auto"/>
        <w:jc w:val="left"/>
        <w:rPr>
          <w:rFonts w:eastAsia="宋体"/>
          <w:b/>
          <w:bCs w:val="0"/>
          <w:i w:val="0"/>
          <w:iCs w:val="0"/>
          <w:color w:val="auto"/>
          <w:highlight w:val="none"/>
        </w:rPr>
      </w:pPr>
      <w:bookmarkStart w:id="5" w:name="_Toc31714"/>
      <w:r>
        <w:rPr>
          <w:rFonts w:hint="eastAsia" w:eastAsia="宋体"/>
          <w:b/>
          <w:bCs w:val="0"/>
          <w:i w:val="0"/>
          <w:iCs w:val="0"/>
          <w:color w:val="auto"/>
          <w:highlight w:val="none"/>
        </w:rPr>
        <w:t>4.招标文件的获取</w:t>
      </w:r>
      <w:bookmarkEnd w:id="5"/>
    </w:p>
    <w:p w14:paraId="338ED0E4">
      <w:pPr>
        <w:spacing w:line="360" w:lineRule="auto"/>
        <w:ind w:firstLine="480" w:firstLineChars="200"/>
        <w:rPr>
          <w:rFonts w:hint="eastAsia" w:ascii="宋体" w:hAnsi="宋体" w:eastAsia="宋体" w:cs="宋体"/>
          <w:color w:val="auto"/>
          <w:spacing w:val="2"/>
          <w:sz w:val="24"/>
          <w:highlight w:val="none"/>
        </w:rPr>
      </w:pPr>
      <w:r>
        <w:rPr>
          <w:rFonts w:hint="eastAsia" w:ascii="宋体" w:hAnsi="宋体" w:eastAsia="宋体" w:cs="宋体"/>
          <w:color w:val="auto"/>
          <w:sz w:val="24"/>
          <w:highlight w:val="none"/>
        </w:rPr>
        <w:t>凡有意参加投标者，请于</w:t>
      </w:r>
      <w:r>
        <w:rPr>
          <w:rFonts w:hint="eastAsia" w:ascii="宋体" w:hAnsi="宋体" w:eastAsia="宋体" w:cs="宋体"/>
          <w:color w:val="auto"/>
          <w:sz w:val="24"/>
          <w:highlight w:val="none"/>
          <w:u w:val="single"/>
          <w:lang w:val="en-US" w:eastAsia="zh-CN"/>
        </w:rPr>
        <w:t>2024</w:t>
      </w:r>
      <w:r>
        <w:rPr>
          <w:rFonts w:ascii="宋体" w:hAnsi="宋体" w:eastAsia="宋体" w:cs="宋体"/>
          <w:color w:val="auto"/>
          <w:sz w:val="24"/>
          <w:highlight w:val="none"/>
        </w:rPr>
        <w:t>年</w:t>
      </w:r>
      <w:r>
        <w:rPr>
          <w:rFonts w:hint="eastAsia" w:ascii="宋体" w:hAnsi="宋体" w:eastAsia="宋体" w:cs="宋体"/>
          <w:color w:val="auto"/>
          <w:sz w:val="24"/>
          <w:highlight w:val="none"/>
          <w:u w:val="single"/>
          <w:lang w:val="en-US" w:eastAsia="zh-CN"/>
        </w:rPr>
        <w:t>10</w:t>
      </w:r>
      <w:r>
        <w:rPr>
          <w:rFonts w:ascii="宋体" w:hAnsi="宋体" w:eastAsia="宋体" w:cs="宋体"/>
          <w:color w:val="auto"/>
          <w:sz w:val="24"/>
          <w:highlight w:val="none"/>
        </w:rPr>
        <w:t>月</w:t>
      </w:r>
      <w:r>
        <w:rPr>
          <w:rFonts w:hint="eastAsia" w:ascii="宋体" w:hAnsi="宋体" w:eastAsia="宋体" w:cs="宋体"/>
          <w:color w:val="auto"/>
          <w:sz w:val="24"/>
          <w:highlight w:val="none"/>
          <w:u w:val="single"/>
          <w:lang w:val="en-US" w:eastAsia="zh-CN"/>
        </w:rPr>
        <w:t>31</w:t>
      </w:r>
      <w:r>
        <w:rPr>
          <w:rFonts w:ascii="宋体" w:hAnsi="宋体" w:eastAsia="宋体" w:cs="宋体"/>
          <w:color w:val="auto"/>
          <w:sz w:val="24"/>
          <w:highlight w:val="none"/>
        </w:rPr>
        <w:t>日</w:t>
      </w:r>
      <w:r>
        <w:rPr>
          <w:rFonts w:hint="eastAsia" w:ascii="宋体" w:hAnsi="宋体" w:eastAsia="宋体" w:cs="宋体"/>
          <w:color w:val="auto"/>
          <w:sz w:val="24"/>
          <w:highlight w:val="none"/>
          <w:u w:val="single"/>
          <w:lang w:val="en-US" w:eastAsia="zh-CN"/>
        </w:rPr>
        <w:t>00</w:t>
      </w:r>
      <w:r>
        <w:rPr>
          <w:rFonts w:hint="eastAsia" w:ascii="宋体" w:hAnsi="宋体" w:eastAsia="宋体" w:cs="宋体"/>
          <w:color w:val="auto"/>
          <w:sz w:val="24"/>
          <w:highlight w:val="none"/>
          <w:lang w:val="en-US" w:eastAsia="zh-CN"/>
        </w:rPr>
        <w:t>时</w:t>
      </w:r>
      <w:r>
        <w:rPr>
          <w:rFonts w:hint="eastAsia" w:ascii="宋体" w:hAnsi="宋体" w:eastAsia="宋体" w:cs="宋体"/>
          <w:color w:val="auto"/>
          <w:sz w:val="24"/>
          <w:highlight w:val="none"/>
          <w:u w:val="single"/>
          <w:lang w:val="en-US" w:eastAsia="zh-CN"/>
        </w:rPr>
        <w:t>00</w:t>
      </w:r>
      <w:r>
        <w:rPr>
          <w:rFonts w:hint="eastAsia" w:ascii="宋体" w:hAnsi="宋体" w:eastAsia="宋体" w:cs="宋体"/>
          <w:color w:val="auto"/>
          <w:sz w:val="24"/>
          <w:highlight w:val="none"/>
          <w:lang w:val="en-US" w:eastAsia="zh-CN"/>
        </w:rPr>
        <w:t>分</w:t>
      </w:r>
      <w:r>
        <w:rPr>
          <w:rFonts w:ascii="宋体" w:hAnsi="宋体" w:eastAsia="宋体" w:cs="宋体"/>
          <w:color w:val="auto"/>
          <w:sz w:val="24"/>
          <w:highlight w:val="none"/>
        </w:rPr>
        <w:t>至</w:t>
      </w:r>
      <w:r>
        <w:rPr>
          <w:rFonts w:hint="eastAsia" w:ascii="宋体" w:hAnsi="宋体" w:eastAsia="宋体" w:cs="宋体"/>
          <w:color w:val="auto"/>
          <w:sz w:val="24"/>
          <w:highlight w:val="none"/>
          <w:u w:val="single"/>
          <w:lang w:val="en-US" w:eastAsia="zh-CN"/>
        </w:rPr>
        <w:t>2024</w:t>
      </w:r>
      <w:r>
        <w:rPr>
          <w:rFonts w:ascii="宋体" w:hAnsi="宋体" w:eastAsia="宋体" w:cs="宋体"/>
          <w:color w:val="auto"/>
          <w:sz w:val="24"/>
          <w:highlight w:val="none"/>
        </w:rPr>
        <w:t>年</w:t>
      </w:r>
      <w:r>
        <w:rPr>
          <w:rFonts w:hint="eastAsia" w:ascii="宋体" w:hAnsi="宋体" w:eastAsia="宋体" w:cs="宋体"/>
          <w:color w:val="auto"/>
          <w:sz w:val="24"/>
          <w:highlight w:val="none"/>
          <w:u w:val="single"/>
          <w:lang w:val="en-US" w:eastAsia="zh-CN"/>
        </w:rPr>
        <w:t>11</w:t>
      </w:r>
      <w:r>
        <w:rPr>
          <w:rFonts w:ascii="宋体" w:hAnsi="宋体" w:eastAsia="宋体" w:cs="宋体"/>
          <w:color w:val="auto"/>
          <w:sz w:val="24"/>
          <w:highlight w:val="none"/>
        </w:rPr>
        <w:t>月</w:t>
      </w:r>
      <w:r>
        <w:rPr>
          <w:rFonts w:hint="eastAsia" w:ascii="宋体" w:hAnsi="宋体" w:eastAsia="宋体" w:cs="宋体"/>
          <w:color w:val="auto"/>
          <w:sz w:val="24"/>
          <w:highlight w:val="none"/>
          <w:u w:val="single"/>
          <w:lang w:val="en-US" w:eastAsia="zh-CN"/>
        </w:rPr>
        <w:t>7</w:t>
      </w:r>
      <w:r>
        <w:rPr>
          <w:rFonts w:ascii="宋体" w:hAnsi="宋体" w:eastAsia="宋体" w:cs="宋体"/>
          <w:color w:val="auto"/>
          <w:sz w:val="24"/>
          <w:highlight w:val="none"/>
        </w:rPr>
        <w:t>日</w:t>
      </w:r>
      <w:r>
        <w:rPr>
          <w:rFonts w:hint="eastAsia" w:ascii="宋体" w:hAnsi="宋体" w:eastAsia="宋体" w:cs="宋体"/>
          <w:color w:val="auto"/>
          <w:sz w:val="24"/>
          <w:highlight w:val="none"/>
          <w:u w:val="single"/>
          <w:lang w:val="en-US" w:eastAsia="zh-CN"/>
        </w:rPr>
        <w:t>00</w:t>
      </w:r>
      <w:r>
        <w:rPr>
          <w:rFonts w:hint="eastAsia" w:ascii="宋体" w:hAnsi="宋体" w:eastAsia="宋体" w:cs="宋体"/>
          <w:color w:val="auto"/>
          <w:sz w:val="24"/>
          <w:highlight w:val="none"/>
          <w:lang w:val="en-US" w:eastAsia="zh-CN"/>
        </w:rPr>
        <w:t>时</w:t>
      </w:r>
      <w:r>
        <w:rPr>
          <w:rFonts w:hint="eastAsia" w:ascii="宋体" w:hAnsi="宋体" w:eastAsia="宋体" w:cs="宋体"/>
          <w:color w:val="auto"/>
          <w:sz w:val="24"/>
          <w:highlight w:val="none"/>
          <w:u w:val="single"/>
          <w:lang w:val="en-US" w:eastAsia="zh-CN"/>
        </w:rPr>
        <w:t>00</w:t>
      </w:r>
      <w:r>
        <w:rPr>
          <w:rFonts w:hint="eastAsia" w:ascii="宋体" w:hAnsi="宋体" w:eastAsia="宋体" w:cs="宋体"/>
          <w:color w:val="auto"/>
          <w:sz w:val="24"/>
          <w:highlight w:val="none"/>
          <w:lang w:val="en-US" w:eastAsia="zh-CN"/>
        </w:rPr>
        <w:t>分</w:t>
      </w:r>
      <w:r>
        <w:rPr>
          <w:rFonts w:ascii="宋体" w:hAnsi="宋体" w:eastAsia="宋体" w:cs="宋体"/>
          <w:color w:val="auto"/>
          <w:sz w:val="24"/>
          <w:highlight w:val="none"/>
        </w:rPr>
        <w:t>（北京</w:t>
      </w:r>
      <w:r>
        <w:rPr>
          <w:rFonts w:hint="eastAsia" w:ascii="宋体" w:hAnsi="宋体" w:eastAsia="宋体" w:cs="宋体"/>
          <w:color w:val="auto"/>
          <w:sz w:val="24"/>
          <w:highlight w:val="none"/>
        </w:rPr>
        <w:t>时间，下同），登陆广州公共资源交易中心（</w:t>
      </w:r>
      <w:r>
        <w:rPr>
          <w:rFonts w:ascii="宋体" w:hAnsi="宋体" w:eastAsia="宋体" w:cs="宋体"/>
          <w:color w:val="auto"/>
          <w:sz w:val="24"/>
          <w:highlight w:val="none"/>
        </w:rPr>
        <w:t>http://www.gzggzy.cn/）交易平台（即</w:t>
      </w:r>
      <w:r>
        <w:rPr>
          <w:rFonts w:hint="eastAsia" w:ascii="宋体" w:hAnsi="宋体" w:eastAsia="宋体" w:cs="宋体"/>
          <w:color w:val="auto"/>
          <w:sz w:val="24"/>
          <w:highlight w:val="none"/>
        </w:rPr>
        <w:t>电子招标投标交易平台，下同）选择对应标段进行投标登记，投标人提交登记信息后，可自行下载招标文件等相关资料。</w:t>
      </w:r>
    </w:p>
    <w:p w14:paraId="41C56C36">
      <w:pPr>
        <w:pStyle w:val="4"/>
        <w:spacing w:after="0" w:line="360" w:lineRule="auto"/>
        <w:jc w:val="left"/>
        <w:rPr>
          <w:rFonts w:eastAsia="宋体"/>
          <w:b/>
          <w:bCs w:val="0"/>
          <w:i w:val="0"/>
          <w:iCs w:val="0"/>
          <w:color w:val="auto"/>
          <w:highlight w:val="none"/>
        </w:rPr>
      </w:pPr>
      <w:bookmarkStart w:id="6" w:name="_Toc16172"/>
      <w:r>
        <w:rPr>
          <w:rFonts w:hint="eastAsia" w:eastAsia="宋体"/>
          <w:b/>
          <w:bCs w:val="0"/>
          <w:i w:val="0"/>
          <w:iCs w:val="0"/>
          <w:color w:val="auto"/>
          <w:highlight w:val="none"/>
        </w:rPr>
        <w:t>5.投标文件的递交及相关事宜</w:t>
      </w:r>
      <w:bookmarkEnd w:id="6"/>
    </w:p>
    <w:p w14:paraId="411C68AD">
      <w:pPr>
        <w:spacing w:line="360" w:lineRule="auto"/>
        <w:ind w:firstLine="480" w:firstLineChars="200"/>
        <w:rPr>
          <w:rFonts w:ascii="宋体" w:hAnsi="宋体" w:eastAsia="宋体" w:cs="宋体"/>
          <w:b/>
          <w:bCs/>
          <w:color w:val="auto"/>
          <w:sz w:val="24"/>
          <w:highlight w:val="none"/>
        </w:rPr>
      </w:pPr>
      <w:r>
        <w:rPr>
          <w:rFonts w:ascii="宋体" w:hAnsi="宋体" w:eastAsia="宋体" w:cs="宋体"/>
          <w:bCs/>
          <w:color w:val="auto"/>
          <w:sz w:val="24"/>
          <w:highlight w:val="none"/>
        </w:rPr>
        <w:t>5.投标文件的递交</w:t>
      </w:r>
    </w:p>
    <w:p w14:paraId="3F8402EF">
      <w:pPr>
        <w:spacing w:line="360" w:lineRule="auto"/>
        <w:ind w:firstLine="480" w:firstLineChars="200"/>
        <w:rPr>
          <w:rFonts w:ascii="宋体" w:hAnsi="宋体" w:eastAsia="宋体" w:cs="宋体"/>
          <w:b/>
          <w:bCs/>
          <w:color w:val="auto"/>
          <w:sz w:val="24"/>
          <w:highlight w:val="none"/>
        </w:rPr>
      </w:pPr>
      <w:r>
        <w:rPr>
          <w:rFonts w:ascii="宋体" w:hAnsi="宋体" w:eastAsia="宋体" w:cs="宋体"/>
          <w:bCs/>
          <w:color w:val="auto"/>
          <w:sz w:val="24"/>
          <w:highlight w:val="none"/>
        </w:rPr>
        <w:t>5.1 投标文件递交的截止时间（投标截止时间，下同） 为</w:t>
      </w:r>
      <w:r>
        <w:rPr>
          <w:rFonts w:hint="eastAsia" w:ascii="宋体" w:hAnsi="宋体" w:eastAsia="宋体" w:cs="宋体"/>
          <w:bCs/>
          <w:color w:val="auto"/>
          <w:sz w:val="24"/>
          <w:highlight w:val="none"/>
          <w:u w:val="single"/>
          <w:lang w:val="en-US" w:eastAsia="zh-CN"/>
        </w:rPr>
        <w:t>2024</w:t>
      </w:r>
      <w:r>
        <w:rPr>
          <w:rFonts w:hint="eastAsia" w:ascii="宋体" w:hAnsi="宋体" w:eastAsia="宋体" w:cs="宋体"/>
          <w:bCs/>
          <w:color w:val="auto"/>
          <w:sz w:val="24"/>
          <w:highlight w:val="none"/>
        </w:rPr>
        <w:t>年</w:t>
      </w:r>
      <w:r>
        <w:rPr>
          <w:rFonts w:hint="eastAsia" w:ascii="宋体" w:hAnsi="宋体" w:eastAsia="宋体" w:cs="宋体"/>
          <w:bCs/>
          <w:color w:val="auto"/>
          <w:sz w:val="24"/>
          <w:highlight w:val="none"/>
          <w:u w:val="single"/>
          <w:lang w:val="en-US" w:eastAsia="zh-CN"/>
        </w:rPr>
        <w:t>11</w:t>
      </w:r>
      <w:r>
        <w:rPr>
          <w:rFonts w:hint="eastAsia" w:ascii="宋体" w:hAnsi="宋体" w:eastAsia="宋体" w:cs="宋体"/>
          <w:bCs/>
          <w:color w:val="auto"/>
          <w:sz w:val="24"/>
          <w:highlight w:val="none"/>
        </w:rPr>
        <w:t>月</w:t>
      </w:r>
      <w:r>
        <w:rPr>
          <w:rFonts w:hint="eastAsia" w:ascii="宋体" w:hAnsi="宋体" w:eastAsia="宋体" w:cs="宋体"/>
          <w:bCs/>
          <w:color w:val="auto"/>
          <w:sz w:val="24"/>
          <w:highlight w:val="none"/>
          <w:u w:val="single"/>
          <w:lang w:val="en-US" w:eastAsia="zh-CN"/>
        </w:rPr>
        <w:t>20</w:t>
      </w:r>
      <w:r>
        <w:rPr>
          <w:rFonts w:hint="eastAsia" w:ascii="宋体" w:hAnsi="宋体" w:eastAsia="宋体" w:cs="宋体"/>
          <w:bCs/>
          <w:color w:val="auto"/>
          <w:sz w:val="24"/>
          <w:highlight w:val="none"/>
        </w:rPr>
        <w:t>日</w:t>
      </w:r>
      <w:r>
        <w:rPr>
          <w:rFonts w:hint="eastAsia" w:ascii="宋体" w:hAnsi="宋体" w:eastAsia="宋体" w:cs="宋体"/>
          <w:bCs/>
          <w:color w:val="auto"/>
          <w:sz w:val="24"/>
          <w:highlight w:val="none"/>
          <w:u w:val="single"/>
          <w:lang w:val="en-US" w:eastAsia="zh-CN"/>
        </w:rPr>
        <w:t>08</w:t>
      </w:r>
      <w:r>
        <w:rPr>
          <w:rFonts w:ascii="宋体" w:hAnsi="宋体" w:eastAsia="宋体" w:cs="宋体"/>
          <w:bCs/>
          <w:color w:val="auto"/>
          <w:sz w:val="24"/>
          <w:highlight w:val="none"/>
        </w:rPr>
        <w:t>时</w:t>
      </w:r>
      <w:r>
        <w:rPr>
          <w:rFonts w:hint="eastAsia" w:ascii="宋体" w:hAnsi="宋体" w:eastAsia="宋体" w:cs="宋体"/>
          <w:bCs/>
          <w:color w:val="auto"/>
          <w:sz w:val="24"/>
          <w:highlight w:val="none"/>
          <w:u w:val="single"/>
          <w:lang w:val="en-US" w:eastAsia="zh-CN"/>
        </w:rPr>
        <w:t>30</w:t>
      </w:r>
      <w:r>
        <w:rPr>
          <w:rFonts w:ascii="宋体" w:hAnsi="宋体" w:eastAsia="宋体" w:cs="宋体"/>
          <w:bCs/>
          <w:color w:val="auto"/>
          <w:sz w:val="24"/>
          <w:highlight w:val="none"/>
        </w:rPr>
        <w:t>分。 投标文件电子文件统一采用网络上传的方式，投标人于</w:t>
      </w:r>
      <w:r>
        <w:rPr>
          <w:rFonts w:hint="eastAsia" w:ascii="宋体" w:hAnsi="宋体" w:eastAsia="宋体" w:cs="宋体"/>
          <w:color w:val="auto"/>
          <w:sz w:val="24"/>
          <w:highlight w:val="none"/>
          <w:u w:val="single"/>
          <w:lang w:val="en-US" w:eastAsia="zh-CN"/>
        </w:rPr>
        <w:t>2024</w:t>
      </w:r>
      <w:r>
        <w:rPr>
          <w:rFonts w:ascii="宋体" w:hAnsi="宋体" w:eastAsia="宋体" w:cs="宋体"/>
          <w:color w:val="auto"/>
          <w:sz w:val="24"/>
          <w:highlight w:val="none"/>
        </w:rPr>
        <w:t>年</w:t>
      </w:r>
      <w:r>
        <w:rPr>
          <w:rFonts w:hint="eastAsia" w:ascii="宋体" w:hAnsi="宋体" w:eastAsia="宋体" w:cs="宋体"/>
          <w:color w:val="auto"/>
          <w:sz w:val="24"/>
          <w:highlight w:val="none"/>
          <w:u w:val="single"/>
          <w:lang w:val="en-US" w:eastAsia="zh-CN"/>
        </w:rPr>
        <w:t>10</w:t>
      </w:r>
      <w:r>
        <w:rPr>
          <w:rFonts w:ascii="宋体" w:hAnsi="宋体" w:eastAsia="宋体" w:cs="宋体"/>
          <w:color w:val="auto"/>
          <w:sz w:val="24"/>
          <w:highlight w:val="none"/>
        </w:rPr>
        <w:t>月</w:t>
      </w:r>
      <w:r>
        <w:rPr>
          <w:rFonts w:hint="eastAsia" w:ascii="宋体" w:hAnsi="宋体" w:eastAsia="宋体" w:cs="宋体"/>
          <w:color w:val="auto"/>
          <w:sz w:val="24"/>
          <w:highlight w:val="none"/>
          <w:u w:val="single"/>
          <w:lang w:val="en-US" w:eastAsia="zh-CN"/>
        </w:rPr>
        <w:t>31</w:t>
      </w:r>
      <w:r>
        <w:rPr>
          <w:rFonts w:ascii="宋体" w:hAnsi="宋体" w:eastAsia="宋体" w:cs="宋体"/>
          <w:color w:val="auto"/>
          <w:sz w:val="24"/>
          <w:highlight w:val="none"/>
        </w:rPr>
        <w:t>日</w:t>
      </w:r>
      <w:r>
        <w:rPr>
          <w:rFonts w:hint="eastAsia" w:ascii="宋体" w:hAnsi="宋体" w:eastAsia="宋体" w:cs="宋体"/>
          <w:color w:val="auto"/>
          <w:sz w:val="24"/>
          <w:highlight w:val="none"/>
          <w:u w:val="single"/>
          <w:lang w:val="en-US" w:eastAsia="zh-CN"/>
        </w:rPr>
        <w:t>00</w:t>
      </w:r>
      <w:r>
        <w:rPr>
          <w:rFonts w:hint="eastAsia" w:ascii="宋体" w:hAnsi="宋体" w:eastAsia="宋体" w:cs="宋体"/>
          <w:color w:val="auto"/>
          <w:sz w:val="24"/>
          <w:highlight w:val="none"/>
          <w:lang w:val="en-US" w:eastAsia="zh-CN"/>
        </w:rPr>
        <w:t>时</w:t>
      </w:r>
      <w:r>
        <w:rPr>
          <w:rFonts w:hint="eastAsia" w:ascii="宋体" w:hAnsi="宋体" w:eastAsia="宋体" w:cs="宋体"/>
          <w:color w:val="auto"/>
          <w:sz w:val="24"/>
          <w:highlight w:val="none"/>
          <w:u w:val="single"/>
          <w:lang w:val="en-US" w:eastAsia="zh-CN"/>
        </w:rPr>
        <w:t>00</w:t>
      </w:r>
      <w:r>
        <w:rPr>
          <w:rFonts w:hint="eastAsia" w:ascii="宋体" w:hAnsi="宋体" w:eastAsia="宋体" w:cs="宋体"/>
          <w:color w:val="auto"/>
          <w:sz w:val="24"/>
          <w:highlight w:val="none"/>
          <w:lang w:val="en-US" w:eastAsia="zh-CN"/>
        </w:rPr>
        <w:t>分</w:t>
      </w:r>
      <w:r>
        <w:rPr>
          <w:rFonts w:ascii="宋体" w:hAnsi="宋体" w:eastAsia="宋体" w:cs="宋体"/>
          <w:bCs/>
          <w:color w:val="auto"/>
          <w:sz w:val="24"/>
          <w:highlight w:val="none"/>
        </w:rPr>
        <w:t>至</w:t>
      </w:r>
      <w:r>
        <w:rPr>
          <w:rFonts w:hint="eastAsia" w:ascii="宋体" w:hAnsi="宋体" w:eastAsia="宋体" w:cs="宋体"/>
          <w:bCs/>
          <w:color w:val="auto"/>
          <w:sz w:val="24"/>
          <w:highlight w:val="none"/>
          <w:u w:val="single"/>
          <w:lang w:val="en-US" w:eastAsia="zh-CN"/>
        </w:rPr>
        <w:t>2024</w:t>
      </w:r>
      <w:r>
        <w:rPr>
          <w:rFonts w:hint="eastAsia" w:ascii="宋体" w:hAnsi="宋体" w:eastAsia="宋体" w:cs="宋体"/>
          <w:bCs/>
          <w:color w:val="auto"/>
          <w:sz w:val="24"/>
          <w:highlight w:val="none"/>
        </w:rPr>
        <w:t>年</w:t>
      </w:r>
      <w:r>
        <w:rPr>
          <w:rFonts w:hint="eastAsia" w:ascii="宋体" w:hAnsi="宋体" w:eastAsia="宋体" w:cs="宋体"/>
          <w:bCs/>
          <w:color w:val="auto"/>
          <w:sz w:val="24"/>
          <w:highlight w:val="none"/>
          <w:u w:val="single"/>
          <w:lang w:val="en-US" w:eastAsia="zh-CN"/>
        </w:rPr>
        <w:t>11</w:t>
      </w:r>
      <w:r>
        <w:rPr>
          <w:rFonts w:hint="eastAsia" w:ascii="宋体" w:hAnsi="宋体" w:eastAsia="宋体" w:cs="宋体"/>
          <w:bCs/>
          <w:color w:val="auto"/>
          <w:sz w:val="24"/>
          <w:highlight w:val="none"/>
        </w:rPr>
        <w:t>月</w:t>
      </w:r>
      <w:r>
        <w:rPr>
          <w:rFonts w:hint="eastAsia" w:ascii="宋体" w:hAnsi="宋体" w:eastAsia="宋体" w:cs="宋体"/>
          <w:bCs/>
          <w:color w:val="auto"/>
          <w:sz w:val="24"/>
          <w:highlight w:val="none"/>
          <w:u w:val="single"/>
          <w:lang w:val="en-US" w:eastAsia="zh-CN"/>
        </w:rPr>
        <w:t>20</w:t>
      </w:r>
      <w:r>
        <w:rPr>
          <w:rFonts w:hint="eastAsia" w:ascii="宋体" w:hAnsi="宋体" w:eastAsia="宋体" w:cs="宋体"/>
          <w:bCs/>
          <w:color w:val="auto"/>
          <w:sz w:val="24"/>
          <w:highlight w:val="none"/>
        </w:rPr>
        <w:t>日</w:t>
      </w:r>
      <w:r>
        <w:rPr>
          <w:rFonts w:hint="eastAsia" w:ascii="宋体" w:hAnsi="宋体" w:eastAsia="宋体" w:cs="宋体"/>
          <w:bCs/>
          <w:color w:val="auto"/>
          <w:sz w:val="24"/>
          <w:highlight w:val="none"/>
          <w:u w:val="single"/>
          <w:lang w:val="en-US" w:eastAsia="zh-CN"/>
        </w:rPr>
        <w:t>08</w:t>
      </w:r>
      <w:r>
        <w:rPr>
          <w:rFonts w:ascii="宋体" w:hAnsi="宋体" w:eastAsia="宋体" w:cs="宋体"/>
          <w:bCs/>
          <w:color w:val="auto"/>
          <w:sz w:val="24"/>
          <w:highlight w:val="none"/>
        </w:rPr>
        <w:t>时</w:t>
      </w:r>
      <w:r>
        <w:rPr>
          <w:rFonts w:hint="eastAsia" w:ascii="宋体" w:hAnsi="宋体" w:eastAsia="宋体" w:cs="宋体"/>
          <w:bCs/>
          <w:color w:val="auto"/>
          <w:sz w:val="24"/>
          <w:highlight w:val="none"/>
          <w:u w:val="single"/>
          <w:lang w:val="en-US" w:eastAsia="zh-CN"/>
        </w:rPr>
        <w:t>30</w:t>
      </w:r>
      <w:r>
        <w:rPr>
          <w:rFonts w:ascii="宋体" w:hAnsi="宋体" w:eastAsia="宋体" w:cs="宋体"/>
          <w:bCs/>
          <w:color w:val="auto"/>
          <w:sz w:val="24"/>
          <w:highlight w:val="none"/>
        </w:rPr>
        <w:t>分将电子文件完整上传</w:t>
      </w:r>
      <w:r>
        <w:rPr>
          <w:rFonts w:hint="eastAsia" w:ascii="宋体" w:hAnsi="宋体" w:eastAsia="宋体" w:cs="宋体"/>
          <w:color w:val="auto"/>
          <w:sz w:val="24"/>
          <w:highlight w:val="none"/>
        </w:rPr>
        <w:t>广州公共资源交易中心（</w:t>
      </w:r>
      <w:r>
        <w:rPr>
          <w:rFonts w:ascii="宋体" w:hAnsi="宋体" w:eastAsia="宋体" w:cs="宋体"/>
          <w:color w:val="auto"/>
          <w:sz w:val="24"/>
          <w:highlight w:val="none"/>
        </w:rPr>
        <w:t>http://www.gzggzy.cn/）交易平台</w:t>
      </w:r>
      <w:r>
        <w:rPr>
          <w:rFonts w:ascii="宋体" w:hAnsi="宋体" w:eastAsia="宋体" w:cs="宋体"/>
          <w:bCs/>
          <w:color w:val="auto"/>
          <w:sz w:val="24"/>
          <w:highlight w:val="none"/>
        </w:rPr>
        <w:t>。</w:t>
      </w:r>
    </w:p>
    <w:p w14:paraId="693CC6C0">
      <w:pPr>
        <w:adjustRightInd w:val="0"/>
        <w:snapToGrid w:val="0"/>
        <w:spacing w:line="360" w:lineRule="auto"/>
        <w:ind w:firstLine="480" w:firstLineChars="200"/>
        <w:rPr>
          <w:rFonts w:ascii="宋体" w:hAnsi="宋体" w:eastAsia="宋体" w:cs="宋体"/>
          <w:color w:val="auto"/>
          <w:sz w:val="24"/>
          <w:highlight w:val="none"/>
        </w:rPr>
      </w:pPr>
      <w:r>
        <w:rPr>
          <w:rFonts w:ascii="宋体" w:hAnsi="宋体" w:eastAsia="宋体" w:cs="宋体"/>
          <w:bCs/>
          <w:color w:val="auto"/>
          <w:sz w:val="24"/>
          <w:highlight w:val="none"/>
        </w:rPr>
        <w:t>5.2未在投标截止时间前完成电子投标文件上传的，视为逾期送达，招标人（“电子招标投标交易平台”）将拒绝接收。</w:t>
      </w:r>
    </w:p>
    <w:p w14:paraId="4719EC8A">
      <w:pPr>
        <w:pStyle w:val="4"/>
        <w:spacing w:after="0" w:line="360" w:lineRule="auto"/>
        <w:jc w:val="left"/>
        <w:rPr>
          <w:rFonts w:eastAsia="宋体"/>
          <w:b/>
          <w:bCs w:val="0"/>
          <w:i w:val="0"/>
          <w:iCs w:val="0"/>
          <w:color w:val="auto"/>
          <w:highlight w:val="none"/>
        </w:rPr>
      </w:pPr>
      <w:bookmarkStart w:id="7" w:name="_Toc31706"/>
      <w:r>
        <w:rPr>
          <w:rFonts w:hint="eastAsia" w:eastAsia="宋体"/>
          <w:b/>
          <w:bCs w:val="0"/>
          <w:i w:val="0"/>
          <w:iCs w:val="0"/>
          <w:color w:val="auto"/>
          <w:highlight w:val="none"/>
        </w:rPr>
        <w:t>6.发布公告的媒介</w:t>
      </w:r>
      <w:bookmarkEnd w:id="7"/>
    </w:p>
    <w:p w14:paraId="16F19131">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本次招标公告同时在广东省招标投标监管网、广州国企阳光采购信息发布平台、广州交易集团有限公司（广州公共资源交易中心）</w:t>
      </w:r>
      <w:r>
        <w:rPr>
          <w:rFonts w:hint="eastAsia" w:ascii="宋体" w:hAnsi="宋体" w:eastAsia="宋体" w:cs="宋体"/>
          <w:color w:val="auto"/>
          <w:sz w:val="24"/>
          <w:highlight w:val="none"/>
          <w:u w:val="single"/>
        </w:rPr>
        <w:t>、</w:t>
      </w:r>
      <w:r>
        <w:rPr>
          <w:rFonts w:ascii="宋体" w:hAnsi="宋体" w:eastAsia="宋体"/>
          <w:color w:val="auto"/>
          <w:sz w:val="24"/>
          <w:highlight w:val="none"/>
          <w:u w:val="single"/>
        </w:rPr>
        <w:t>中国招标投标公共服务平台</w:t>
      </w:r>
      <w:r>
        <w:rPr>
          <w:rFonts w:hint="eastAsia" w:ascii="宋体" w:hAnsi="宋体" w:eastAsia="宋体" w:cs="宋体"/>
          <w:color w:val="auto"/>
          <w:sz w:val="24"/>
          <w:highlight w:val="none"/>
        </w:rPr>
        <w:t>网站上发布。如公告详细内容不一致者，以</w:t>
      </w:r>
      <w:r>
        <w:rPr>
          <w:rFonts w:ascii="宋体" w:hAnsi="宋体" w:eastAsia="宋体" w:cs="宋体"/>
          <w:color w:val="auto"/>
          <w:sz w:val="24"/>
          <w:highlight w:val="none"/>
        </w:rPr>
        <w:t>广东省招标投标监管网</w:t>
      </w:r>
      <w:r>
        <w:rPr>
          <w:rFonts w:hint="eastAsia" w:ascii="宋体" w:hAnsi="宋体" w:eastAsia="宋体" w:cs="宋体"/>
          <w:color w:val="auto"/>
          <w:sz w:val="24"/>
          <w:highlight w:val="none"/>
        </w:rPr>
        <w:t>公告为准。</w:t>
      </w:r>
    </w:p>
    <w:p w14:paraId="226DF28A">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在规定的投标登记期间，如投标登记并购买招标文件的投标人不足3家时，招标人有权选择以下任一方式：（1）在广东省招标投标监管网、广州国企阳光采购信息发布平台、广州交易集团有限公司（广州公共资源交易中心）</w:t>
      </w:r>
      <w:r>
        <w:rPr>
          <w:rFonts w:hint="eastAsia" w:ascii="宋体" w:hAnsi="宋体" w:eastAsia="宋体" w:cs="宋体"/>
          <w:color w:val="auto"/>
          <w:sz w:val="24"/>
          <w:highlight w:val="none"/>
          <w:u w:val="single"/>
        </w:rPr>
        <w:t>、</w:t>
      </w:r>
      <w:r>
        <w:rPr>
          <w:rFonts w:ascii="宋体" w:hAnsi="宋体" w:eastAsia="宋体"/>
          <w:color w:val="auto"/>
          <w:sz w:val="24"/>
          <w:highlight w:val="none"/>
          <w:u w:val="single"/>
        </w:rPr>
        <w:t>中国招标投标公共服务平台</w:t>
      </w:r>
      <w:r>
        <w:rPr>
          <w:rFonts w:hint="eastAsia" w:ascii="宋体" w:hAnsi="宋体" w:eastAsia="宋体" w:cs="宋体"/>
          <w:color w:val="auto"/>
          <w:sz w:val="24"/>
          <w:highlight w:val="none"/>
        </w:rPr>
        <w:t>网站发布公告延长投标登记时间，在延期投标登记时间内，已投标登记投标人的资料仍有效并可自行补充资料，未投标登记的投标人可根据公告的约定进行投标登记；（2）依法重新组织招标或不再招标。</w:t>
      </w:r>
    </w:p>
    <w:p w14:paraId="6E46C808">
      <w:pPr>
        <w:pStyle w:val="4"/>
        <w:spacing w:after="0" w:line="360" w:lineRule="auto"/>
        <w:jc w:val="left"/>
        <w:rPr>
          <w:rFonts w:eastAsia="宋体"/>
          <w:b/>
          <w:bCs w:val="0"/>
          <w:i w:val="0"/>
          <w:iCs w:val="0"/>
          <w:color w:val="auto"/>
          <w:highlight w:val="none"/>
        </w:rPr>
      </w:pPr>
      <w:bookmarkStart w:id="8" w:name="_Toc4384"/>
      <w:r>
        <w:rPr>
          <w:rFonts w:hint="eastAsia" w:eastAsia="宋体"/>
          <w:b/>
          <w:bCs w:val="0"/>
          <w:i w:val="0"/>
          <w:iCs w:val="0"/>
          <w:color w:val="auto"/>
          <w:highlight w:val="none"/>
        </w:rPr>
        <w:t>7.联系方式</w:t>
      </w:r>
      <w:bookmarkEnd w:id="8"/>
    </w:p>
    <w:p w14:paraId="18855C36">
      <w:pPr>
        <w:topLinePunct/>
        <w:spacing w:line="360" w:lineRule="auto"/>
        <w:rPr>
          <w:rFonts w:ascii="宋体" w:hAnsi="宋体" w:eastAsia="宋体"/>
          <w:color w:val="auto"/>
          <w:sz w:val="24"/>
          <w:highlight w:val="none"/>
        </w:rPr>
      </w:pPr>
      <w:r>
        <w:rPr>
          <w:rFonts w:ascii="宋体" w:hAnsi="宋体" w:eastAsia="宋体"/>
          <w:color w:val="auto"/>
          <w:sz w:val="24"/>
          <w:highlight w:val="none"/>
        </w:rPr>
        <w:t>招 标 人：</w:t>
      </w:r>
      <w:r>
        <w:rPr>
          <w:rFonts w:hint="eastAsia" w:ascii="宋体" w:hAnsi="宋体" w:eastAsia="宋体"/>
          <w:color w:val="auto"/>
          <w:sz w:val="24"/>
          <w:highlight w:val="none"/>
          <w:u w:val="single"/>
        </w:rPr>
        <w:t>广州市高速公路有限公司</w:t>
      </w:r>
    </w:p>
    <w:p w14:paraId="332E1967">
      <w:pPr>
        <w:topLinePunct/>
        <w:spacing w:line="360" w:lineRule="auto"/>
        <w:rPr>
          <w:rFonts w:hint="eastAsia" w:ascii="宋体" w:hAnsi="宋体" w:eastAsia="宋体"/>
          <w:color w:val="auto"/>
          <w:sz w:val="24"/>
          <w:highlight w:val="none"/>
        </w:rPr>
      </w:pPr>
      <w:r>
        <w:rPr>
          <w:rFonts w:ascii="宋体" w:hAnsi="宋体" w:eastAsia="宋体"/>
          <w:color w:val="auto"/>
          <w:sz w:val="24"/>
          <w:highlight w:val="none"/>
        </w:rPr>
        <w:t>地</w:t>
      </w:r>
      <w:r>
        <w:rPr>
          <w:rFonts w:hint="eastAsia" w:ascii="宋体" w:hAnsi="宋体" w:eastAsia="宋体"/>
          <w:color w:val="auto"/>
          <w:sz w:val="24"/>
          <w:highlight w:val="none"/>
        </w:rPr>
        <w:t xml:space="preserve">    </w:t>
      </w:r>
      <w:r>
        <w:rPr>
          <w:rFonts w:ascii="宋体" w:hAnsi="宋体" w:eastAsia="宋体"/>
          <w:color w:val="auto"/>
          <w:sz w:val="24"/>
          <w:highlight w:val="none"/>
        </w:rPr>
        <w:t>址：</w:t>
      </w:r>
      <w:r>
        <w:rPr>
          <w:rFonts w:hint="eastAsia" w:ascii="宋体" w:hAnsi="宋体" w:eastAsia="宋体"/>
          <w:color w:val="auto"/>
          <w:sz w:val="24"/>
          <w:highlight w:val="none"/>
          <w:u w:val="single"/>
        </w:rPr>
        <w:t>广州市海珠区新港东路1138号智通广场A塔9-11层</w:t>
      </w:r>
    </w:p>
    <w:p w14:paraId="106150DC">
      <w:pPr>
        <w:topLinePunct/>
        <w:spacing w:line="360" w:lineRule="auto"/>
        <w:rPr>
          <w:rFonts w:hint="eastAsia" w:ascii="宋体" w:hAnsi="宋体" w:eastAsia="宋体"/>
          <w:color w:val="auto"/>
          <w:sz w:val="24"/>
          <w:highlight w:val="none"/>
        </w:rPr>
      </w:pPr>
      <w:r>
        <w:rPr>
          <w:rFonts w:ascii="宋体" w:hAnsi="宋体" w:eastAsia="宋体"/>
          <w:color w:val="auto"/>
          <w:sz w:val="24"/>
          <w:highlight w:val="none"/>
        </w:rPr>
        <w:t>邮    编：</w:t>
      </w:r>
      <w:r>
        <w:rPr>
          <w:rFonts w:hint="eastAsia" w:ascii="宋体" w:hAnsi="宋体" w:eastAsia="宋体"/>
          <w:color w:val="auto"/>
          <w:sz w:val="24"/>
          <w:highlight w:val="none"/>
          <w:u w:val="single"/>
        </w:rPr>
        <w:t>510000</w:t>
      </w:r>
    </w:p>
    <w:p w14:paraId="3111E26C">
      <w:pPr>
        <w:topLinePunct/>
        <w:spacing w:line="360" w:lineRule="auto"/>
        <w:rPr>
          <w:rFonts w:hint="eastAsia" w:ascii="宋体" w:hAnsi="宋体" w:eastAsia="宋体"/>
          <w:color w:val="auto"/>
          <w:sz w:val="24"/>
          <w:highlight w:val="none"/>
        </w:rPr>
      </w:pPr>
      <w:r>
        <w:rPr>
          <w:rFonts w:ascii="宋体" w:hAnsi="宋体" w:eastAsia="宋体"/>
          <w:color w:val="auto"/>
          <w:sz w:val="24"/>
          <w:highlight w:val="none"/>
        </w:rPr>
        <w:t>电</w:t>
      </w:r>
      <w:r>
        <w:rPr>
          <w:rFonts w:hint="eastAsia" w:ascii="宋体" w:hAnsi="宋体" w:eastAsia="宋体"/>
          <w:color w:val="auto"/>
          <w:sz w:val="24"/>
          <w:highlight w:val="none"/>
        </w:rPr>
        <w:t xml:space="preserve"> </w:t>
      </w:r>
      <w:r>
        <w:rPr>
          <w:rFonts w:ascii="宋体" w:hAnsi="宋体" w:eastAsia="宋体"/>
          <w:color w:val="auto"/>
          <w:sz w:val="24"/>
          <w:highlight w:val="none"/>
        </w:rPr>
        <w:t xml:space="preserve">   话：</w:t>
      </w:r>
      <w:r>
        <w:rPr>
          <w:rFonts w:hint="eastAsia" w:ascii="宋体" w:hAnsi="宋体" w:eastAsia="宋体" w:cs="宋体"/>
          <w:color w:val="auto"/>
          <w:sz w:val="24"/>
          <w:highlight w:val="none"/>
          <w:u w:val="single"/>
          <w:lang w:bidi="ar"/>
        </w:rPr>
        <w:t>020－84029950-</w:t>
      </w:r>
      <w:r>
        <w:rPr>
          <w:rFonts w:ascii="宋体" w:hAnsi="宋体" w:eastAsia="宋体" w:cs="宋体"/>
          <w:color w:val="auto"/>
          <w:sz w:val="24"/>
          <w:highlight w:val="none"/>
          <w:u w:val="single"/>
          <w:lang w:bidi="ar"/>
        </w:rPr>
        <w:t>8895</w:t>
      </w:r>
    </w:p>
    <w:p w14:paraId="676427BD">
      <w:pPr>
        <w:topLinePunct/>
        <w:spacing w:line="360" w:lineRule="auto"/>
        <w:rPr>
          <w:rFonts w:ascii="宋体" w:hAnsi="宋体" w:eastAsia="宋体"/>
          <w:color w:val="auto"/>
          <w:sz w:val="24"/>
          <w:highlight w:val="none"/>
        </w:rPr>
      </w:pPr>
      <w:r>
        <w:rPr>
          <w:rFonts w:ascii="宋体" w:hAnsi="宋体" w:eastAsia="宋体"/>
          <w:color w:val="auto"/>
          <w:sz w:val="24"/>
          <w:highlight w:val="none"/>
        </w:rPr>
        <w:t>联 系 人：</w:t>
      </w:r>
      <w:r>
        <w:rPr>
          <w:rFonts w:hint="eastAsia" w:ascii="宋体" w:hAnsi="宋体" w:eastAsia="宋体" w:cs="宋体"/>
          <w:color w:val="auto"/>
          <w:sz w:val="24"/>
          <w:highlight w:val="none"/>
          <w:u w:val="single"/>
        </w:rPr>
        <w:t>纪工</w:t>
      </w:r>
    </w:p>
    <w:p w14:paraId="21148BF6">
      <w:pPr>
        <w:spacing w:line="360" w:lineRule="auto"/>
        <w:rPr>
          <w:rFonts w:hint="eastAsia" w:ascii="宋体" w:hAnsi="宋体" w:eastAsia="宋体"/>
          <w:color w:val="auto"/>
          <w:sz w:val="24"/>
          <w:highlight w:val="none"/>
        </w:rPr>
      </w:pPr>
    </w:p>
    <w:p w14:paraId="04C3295F">
      <w:pPr>
        <w:topLinePunct/>
        <w:spacing w:line="360" w:lineRule="auto"/>
        <w:rPr>
          <w:rFonts w:hint="eastAsia" w:ascii="宋体" w:hAnsi="宋体" w:eastAsia="宋体"/>
          <w:color w:val="auto"/>
          <w:sz w:val="24"/>
          <w:highlight w:val="none"/>
        </w:rPr>
      </w:pPr>
      <w:r>
        <w:rPr>
          <w:rFonts w:ascii="宋体" w:hAnsi="宋体" w:eastAsia="宋体"/>
          <w:color w:val="auto"/>
          <w:sz w:val="24"/>
          <w:highlight w:val="none"/>
        </w:rPr>
        <w:t>招标代理</w:t>
      </w:r>
      <w:r>
        <w:rPr>
          <w:rFonts w:hint="eastAsia" w:ascii="宋体" w:hAnsi="宋体" w:eastAsia="宋体"/>
          <w:color w:val="auto"/>
          <w:sz w:val="24"/>
          <w:highlight w:val="none"/>
        </w:rPr>
        <w:t>机构</w:t>
      </w:r>
      <w:r>
        <w:rPr>
          <w:rFonts w:ascii="宋体" w:hAnsi="宋体" w:eastAsia="宋体"/>
          <w:color w:val="auto"/>
          <w:sz w:val="24"/>
          <w:highlight w:val="none"/>
        </w:rPr>
        <w:t>：</w:t>
      </w:r>
      <w:r>
        <w:rPr>
          <w:rFonts w:hint="eastAsia" w:ascii="宋体" w:hAnsi="宋体" w:eastAsia="宋体"/>
          <w:color w:val="auto"/>
          <w:sz w:val="24"/>
          <w:highlight w:val="none"/>
          <w:u w:val="single"/>
        </w:rPr>
        <w:t>广东粤信项目管理有限公司</w:t>
      </w:r>
    </w:p>
    <w:p w14:paraId="7B7F19AA">
      <w:pPr>
        <w:topLinePunct/>
        <w:spacing w:line="360" w:lineRule="auto"/>
        <w:rPr>
          <w:rFonts w:ascii="宋体" w:hAnsi="宋体" w:eastAsia="宋体"/>
          <w:color w:val="auto"/>
          <w:sz w:val="24"/>
          <w:highlight w:val="none"/>
        </w:rPr>
      </w:pPr>
      <w:r>
        <w:rPr>
          <w:rFonts w:ascii="宋体" w:hAnsi="宋体" w:eastAsia="宋体"/>
          <w:color w:val="auto"/>
          <w:sz w:val="24"/>
          <w:highlight w:val="none"/>
        </w:rPr>
        <w:t>地    址：</w:t>
      </w:r>
      <w:r>
        <w:rPr>
          <w:rFonts w:hint="eastAsia" w:ascii="宋体" w:hAnsi="宋体" w:eastAsia="宋体"/>
          <w:color w:val="auto"/>
          <w:sz w:val="24"/>
          <w:highlight w:val="none"/>
          <w:u w:val="single"/>
        </w:rPr>
        <w:t>广州市天河区天寿路31号江河大厦1305室</w:t>
      </w:r>
    </w:p>
    <w:p w14:paraId="590576CD">
      <w:pPr>
        <w:topLinePunct/>
        <w:spacing w:line="360" w:lineRule="auto"/>
        <w:rPr>
          <w:rFonts w:ascii="宋体" w:hAnsi="宋体" w:eastAsia="宋体"/>
          <w:color w:val="auto"/>
          <w:sz w:val="24"/>
          <w:highlight w:val="none"/>
        </w:rPr>
      </w:pPr>
      <w:r>
        <w:rPr>
          <w:rFonts w:ascii="宋体" w:hAnsi="宋体" w:eastAsia="宋体"/>
          <w:color w:val="auto"/>
          <w:sz w:val="24"/>
          <w:highlight w:val="none"/>
        </w:rPr>
        <w:t>邮    编：</w:t>
      </w:r>
      <w:r>
        <w:rPr>
          <w:rFonts w:hint="eastAsia" w:ascii="宋体" w:hAnsi="宋体" w:eastAsia="宋体"/>
          <w:color w:val="auto"/>
          <w:sz w:val="24"/>
          <w:highlight w:val="none"/>
          <w:u w:val="single"/>
        </w:rPr>
        <w:t>5</w:t>
      </w:r>
      <w:r>
        <w:rPr>
          <w:rFonts w:ascii="宋体" w:hAnsi="宋体" w:eastAsia="宋体"/>
          <w:color w:val="auto"/>
          <w:sz w:val="24"/>
          <w:highlight w:val="none"/>
          <w:u w:val="single"/>
        </w:rPr>
        <w:t>106</w:t>
      </w:r>
      <w:r>
        <w:rPr>
          <w:rFonts w:hint="eastAsia" w:ascii="宋体" w:hAnsi="宋体" w:eastAsia="宋体"/>
          <w:color w:val="auto"/>
          <w:sz w:val="24"/>
          <w:highlight w:val="none"/>
          <w:u w:val="single"/>
        </w:rPr>
        <w:t>10</w:t>
      </w:r>
    </w:p>
    <w:p w14:paraId="5450319A">
      <w:pPr>
        <w:topLinePunct/>
        <w:spacing w:line="360" w:lineRule="auto"/>
        <w:rPr>
          <w:rFonts w:hint="eastAsia" w:ascii="宋体" w:hAnsi="宋体" w:eastAsia="宋体"/>
          <w:color w:val="auto"/>
          <w:sz w:val="24"/>
          <w:highlight w:val="none"/>
        </w:rPr>
      </w:pPr>
      <w:r>
        <w:rPr>
          <w:rFonts w:ascii="宋体" w:hAnsi="宋体" w:eastAsia="宋体"/>
          <w:color w:val="auto"/>
          <w:sz w:val="24"/>
          <w:highlight w:val="none"/>
        </w:rPr>
        <w:t>电    话：</w:t>
      </w:r>
      <w:r>
        <w:rPr>
          <w:rFonts w:hint="eastAsia" w:ascii="宋体" w:hAnsi="宋体" w:eastAsia="宋体"/>
          <w:color w:val="auto"/>
          <w:sz w:val="24"/>
          <w:highlight w:val="none"/>
          <w:u w:val="single"/>
        </w:rPr>
        <w:t>020-37209484-821/18820054044</w:t>
      </w:r>
    </w:p>
    <w:p w14:paraId="6CA38F16">
      <w:pPr>
        <w:topLinePunct/>
        <w:spacing w:line="360" w:lineRule="auto"/>
        <w:rPr>
          <w:rFonts w:ascii="宋体" w:hAnsi="宋体" w:eastAsia="宋体"/>
          <w:color w:val="auto"/>
          <w:sz w:val="24"/>
          <w:highlight w:val="none"/>
        </w:rPr>
      </w:pPr>
      <w:r>
        <w:rPr>
          <w:rFonts w:ascii="宋体" w:hAnsi="宋体" w:eastAsia="宋体"/>
          <w:color w:val="auto"/>
          <w:sz w:val="24"/>
          <w:highlight w:val="none"/>
        </w:rPr>
        <w:t>传    真：</w:t>
      </w:r>
      <w:r>
        <w:rPr>
          <w:rFonts w:hint="eastAsia" w:ascii="宋体" w:hAnsi="宋体" w:eastAsia="宋体"/>
          <w:color w:val="auto"/>
          <w:sz w:val="24"/>
          <w:highlight w:val="none"/>
          <w:u w:val="single"/>
        </w:rPr>
        <w:t>020-37209484</w:t>
      </w:r>
    </w:p>
    <w:p w14:paraId="70CDD6EB">
      <w:pPr>
        <w:topLinePunct/>
        <w:spacing w:line="360" w:lineRule="auto"/>
        <w:rPr>
          <w:rFonts w:ascii="宋体" w:hAnsi="宋体" w:eastAsia="宋体"/>
          <w:color w:val="auto"/>
          <w:sz w:val="24"/>
          <w:highlight w:val="none"/>
        </w:rPr>
      </w:pPr>
      <w:r>
        <w:rPr>
          <w:rFonts w:ascii="宋体" w:hAnsi="宋体" w:eastAsia="宋体"/>
          <w:color w:val="auto"/>
          <w:sz w:val="24"/>
          <w:highlight w:val="none"/>
        </w:rPr>
        <w:t>联 系</w:t>
      </w:r>
      <w:r>
        <w:rPr>
          <w:rFonts w:hint="eastAsia" w:ascii="宋体" w:hAnsi="宋体" w:eastAsia="宋体"/>
          <w:color w:val="auto"/>
          <w:sz w:val="24"/>
          <w:highlight w:val="none"/>
        </w:rPr>
        <w:t xml:space="preserve"> </w:t>
      </w:r>
      <w:r>
        <w:rPr>
          <w:rFonts w:ascii="宋体" w:hAnsi="宋体" w:eastAsia="宋体"/>
          <w:color w:val="auto"/>
          <w:sz w:val="24"/>
          <w:highlight w:val="none"/>
        </w:rPr>
        <w:t>人：</w:t>
      </w:r>
      <w:r>
        <w:rPr>
          <w:rFonts w:hint="eastAsia" w:ascii="宋体" w:hAnsi="宋体" w:eastAsia="宋体"/>
          <w:color w:val="auto"/>
          <w:sz w:val="24"/>
          <w:highlight w:val="none"/>
          <w:u w:val="single"/>
        </w:rPr>
        <w:t>王工</w:t>
      </w:r>
    </w:p>
    <w:p w14:paraId="44B1D55A">
      <w:pPr>
        <w:spacing w:line="360" w:lineRule="auto"/>
        <w:rPr>
          <w:rFonts w:ascii="宋体" w:hAnsi="宋体" w:eastAsia="宋体" w:cs="宋体"/>
          <w:color w:val="auto"/>
          <w:sz w:val="24"/>
          <w:highlight w:val="none"/>
          <w:u w:val="single"/>
        </w:rPr>
      </w:pPr>
      <w:r>
        <w:rPr>
          <w:rFonts w:hint="eastAsia" w:ascii="宋体" w:hAnsi="宋体" w:eastAsia="宋体"/>
          <w:color w:val="auto"/>
          <w:sz w:val="24"/>
          <w:highlight w:val="none"/>
        </w:rPr>
        <w:t>电子邮箱：</w:t>
      </w:r>
      <w:r>
        <w:rPr>
          <w:rFonts w:hint="eastAsia" w:ascii="宋体" w:hAnsi="宋体" w:eastAsia="宋体"/>
          <w:color w:val="auto"/>
          <w:sz w:val="24"/>
          <w:highlight w:val="none"/>
          <w:u w:val="single"/>
        </w:rPr>
        <w:t>gdyxxg@163.com</w:t>
      </w:r>
    </w:p>
    <w:p w14:paraId="4EC022F7">
      <w:pPr>
        <w:pStyle w:val="6"/>
        <w:rPr>
          <w:rFonts w:hAnsi="宋体"/>
          <w:color w:val="auto"/>
          <w:highlight w:val="none"/>
        </w:rPr>
      </w:pPr>
    </w:p>
    <w:p w14:paraId="3D07B6A3">
      <w:pPr>
        <w:pStyle w:val="4"/>
        <w:spacing w:after="0" w:line="360" w:lineRule="auto"/>
        <w:jc w:val="left"/>
        <w:rPr>
          <w:rFonts w:eastAsia="宋体"/>
          <w:b/>
          <w:bCs w:val="0"/>
          <w:i w:val="0"/>
          <w:iCs w:val="0"/>
          <w:color w:val="auto"/>
          <w:highlight w:val="none"/>
        </w:rPr>
      </w:pPr>
      <w:bookmarkStart w:id="9" w:name="_Toc4752"/>
      <w:r>
        <w:rPr>
          <w:rFonts w:eastAsia="宋体"/>
          <w:b/>
          <w:bCs w:val="0"/>
          <w:i w:val="0"/>
          <w:iCs w:val="0"/>
          <w:color w:val="auto"/>
          <w:highlight w:val="none"/>
        </w:rPr>
        <w:t>8.</w:t>
      </w:r>
      <w:r>
        <w:rPr>
          <w:rFonts w:hint="eastAsia" w:eastAsia="宋体"/>
          <w:b/>
          <w:bCs w:val="0"/>
          <w:i w:val="0"/>
          <w:iCs w:val="0"/>
          <w:color w:val="auto"/>
          <w:highlight w:val="none"/>
        </w:rPr>
        <w:t>异议受理部门</w:t>
      </w:r>
      <w:bookmarkEnd w:id="9"/>
    </w:p>
    <w:p w14:paraId="5DB2BCC9">
      <w:pPr>
        <w:spacing w:line="360" w:lineRule="auto"/>
        <w:ind w:firstLine="480" w:firstLineChars="200"/>
        <w:rPr>
          <w:rFonts w:ascii="宋体" w:hAnsi="宋体" w:eastAsia="宋体" w:cs="宋体"/>
          <w:b/>
          <w:bCs/>
          <w:color w:val="auto"/>
          <w:sz w:val="24"/>
          <w:highlight w:val="none"/>
        </w:rPr>
      </w:pPr>
      <w:r>
        <w:rPr>
          <w:rFonts w:hint="eastAsia" w:ascii="宋体" w:hAnsi="宋体" w:eastAsia="宋体"/>
          <w:color w:val="auto"/>
          <w:sz w:val="24"/>
          <w:highlight w:val="none"/>
          <w:u w:val="single"/>
        </w:rPr>
        <w:t>潜在投标人或者其他利害关系人对招标公告、招标文件有异议的，应当在招标投标相关法律法规规定的时间内（投标截止时间 10 日前）通过交易平台提出；尚未登记注册的，可按书面方式向招标人提出。招标人将在收到异议之日起 3 日内作出答复；作出答复前，将暂停招标投标活动。</w:t>
      </w:r>
    </w:p>
    <w:p w14:paraId="1F682CE5">
      <w:pPr>
        <w:spacing w:line="360" w:lineRule="auto"/>
        <w:rPr>
          <w:rFonts w:ascii="宋体" w:hAnsi="宋体" w:eastAsia="宋体" w:cs="宋体"/>
          <w:b/>
          <w:bCs/>
          <w:color w:val="auto"/>
          <w:sz w:val="24"/>
          <w:highlight w:val="none"/>
        </w:rPr>
      </w:pPr>
      <w:r>
        <w:rPr>
          <w:rFonts w:hint="eastAsia" w:ascii="宋体" w:hAnsi="宋体" w:eastAsia="宋体" w:cs="宋体"/>
          <w:bCs/>
          <w:color w:val="auto"/>
          <w:sz w:val="24"/>
          <w:highlight w:val="none"/>
        </w:rPr>
        <w:t>异议受理部门：</w:t>
      </w:r>
      <w:r>
        <w:rPr>
          <w:rFonts w:hint="eastAsia" w:ascii="宋体" w:hAnsi="宋体" w:eastAsia="宋体" w:cs="宋体"/>
          <w:color w:val="auto"/>
          <w:sz w:val="24"/>
          <w:highlight w:val="none"/>
          <w:u w:val="single"/>
        </w:rPr>
        <w:t xml:space="preserve"> </w:t>
      </w:r>
      <w:r>
        <w:rPr>
          <w:rFonts w:hint="eastAsia" w:ascii="宋体" w:hAnsi="宋体" w:eastAsia="宋体"/>
          <w:color w:val="auto"/>
          <w:sz w:val="24"/>
          <w:highlight w:val="none"/>
          <w:u w:val="single"/>
        </w:rPr>
        <w:t>广州市高速公路有限公司</w:t>
      </w:r>
      <w:r>
        <w:rPr>
          <w:rFonts w:hint="eastAsia" w:ascii="宋体" w:hAnsi="宋体" w:eastAsia="宋体" w:cs="宋体"/>
          <w:color w:val="auto"/>
          <w:sz w:val="24"/>
          <w:highlight w:val="none"/>
          <w:u w:val="single"/>
        </w:rPr>
        <w:t xml:space="preserve">      </w:t>
      </w:r>
    </w:p>
    <w:p w14:paraId="6C1CFF22">
      <w:pPr>
        <w:spacing w:line="360" w:lineRule="auto"/>
        <w:rPr>
          <w:rFonts w:ascii="宋体" w:hAnsi="宋体" w:eastAsia="宋体" w:cs="宋体"/>
          <w:b/>
          <w:bCs/>
          <w:color w:val="auto"/>
          <w:sz w:val="24"/>
          <w:highlight w:val="none"/>
        </w:rPr>
      </w:pPr>
      <w:r>
        <w:rPr>
          <w:rFonts w:hint="eastAsia" w:ascii="宋体" w:hAnsi="宋体" w:eastAsia="宋体" w:cs="宋体"/>
          <w:bCs/>
          <w:color w:val="auto"/>
          <w:sz w:val="24"/>
          <w:highlight w:val="none"/>
        </w:rPr>
        <w:t xml:space="preserve">联 </w:t>
      </w:r>
      <w:r>
        <w:rPr>
          <w:rFonts w:ascii="宋体" w:hAnsi="宋体" w:eastAsia="宋体" w:cs="宋体"/>
          <w:bCs/>
          <w:color w:val="auto"/>
          <w:sz w:val="24"/>
          <w:highlight w:val="none"/>
        </w:rPr>
        <w:t xml:space="preserve">  </w:t>
      </w:r>
      <w:r>
        <w:rPr>
          <w:rFonts w:hint="eastAsia" w:ascii="宋体" w:hAnsi="宋体" w:eastAsia="宋体" w:cs="宋体"/>
          <w:bCs/>
          <w:color w:val="auto"/>
          <w:sz w:val="24"/>
          <w:highlight w:val="none"/>
        </w:rPr>
        <w:t xml:space="preserve">系 </w:t>
      </w:r>
      <w:r>
        <w:rPr>
          <w:rFonts w:ascii="宋体" w:hAnsi="宋体" w:eastAsia="宋体" w:cs="宋体"/>
          <w:bCs/>
          <w:color w:val="auto"/>
          <w:sz w:val="24"/>
          <w:highlight w:val="none"/>
        </w:rPr>
        <w:t xml:space="preserve">  </w:t>
      </w:r>
      <w:r>
        <w:rPr>
          <w:rFonts w:hint="eastAsia" w:ascii="宋体" w:hAnsi="宋体" w:eastAsia="宋体" w:cs="宋体"/>
          <w:bCs/>
          <w:color w:val="auto"/>
          <w:sz w:val="24"/>
          <w:highlight w:val="none"/>
        </w:rPr>
        <w:t>人：</w:t>
      </w:r>
      <w:r>
        <w:rPr>
          <w:rFonts w:hint="eastAsia" w:ascii="宋体" w:hAnsi="宋体" w:eastAsia="宋体" w:cs="宋体"/>
          <w:color w:val="auto"/>
          <w:sz w:val="24"/>
          <w:highlight w:val="none"/>
          <w:u w:val="single"/>
        </w:rPr>
        <w:t>纪工</w:t>
      </w:r>
    </w:p>
    <w:p w14:paraId="1D4B3DBD">
      <w:pPr>
        <w:spacing w:line="360" w:lineRule="auto"/>
        <w:rPr>
          <w:rFonts w:ascii="宋体" w:hAnsi="宋体" w:eastAsia="宋体" w:cs="宋体"/>
          <w:b/>
          <w:bCs/>
          <w:color w:val="auto"/>
          <w:sz w:val="24"/>
          <w:highlight w:val="none"/>
        </w:rPr>
      </w:pPr>
      <w:r>
        <w:rPr>
          <w:rFonts w:hint="eastAsia" w:ascii="宋体" w:hAnsi="宋体" w:eastAsia="宋体" w:cs="宋体"/>
          <w:bCs/>
          <w:color w:val="auto"/>
          <w:sz w:val="24"/>
          <w:highlight w:val="none"/>
        </w:rPr>
        <w:t xml:space="preserve">电 </w:t>
      </w:r>
      <w:r>
        <w:rPr>
          <w:rFonts w:ascii="宋体" w:hAnsi="宋体" w:eastAsia="宋体" w:cs="宋体"/>
          <w:bCs/>
          <w:color w:val="auto"/>
          <w:sz w:val="24"/>
          <w:highlight w:val="none"/>
        </w:rPr>
        <w:t xml:space="preserve">       </w:t>
      </w:r>
      <w:r>
        <w:rPr>
          <w:rFonts w:hint="eastAsia" w:ascii="宋体" w:hAnsi="宋体" w:eastAsia="宋体" w:cs="宋体"/>
          <w:bCs/>
          <w:color w:val="auto"/>
          <w:sz w:val="24"/>
          <w:highlight w:val="none"/>
        </w:rPr>
        <w:t>话：</w:t>
      </w:r>
      <w:r>
        <w:rPr>
          <w:rFonts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bidi="ar"/>
        </w:rPr>
        <w:t>020－84029950-</w:t>
      </w:r>
      <w:r>
        <w:rPr>
          <w:rFonts w:ascii="宋体" w:hAnsi="宋体" w:eastAsia="宋体" w:cs="宋体"/>
          <w:color w:val="auto"/>
          <w:sz w:val="24"/>
          <w:highlight w:val="none"/>
          <w:u w:val="single"/>
          <w:lang w:bidi="ar"/>
        </w:rPr>
        <w:t>8895</w:t>
      </w:r>
    </w:p>
    <w:p w14:paraId="212A2CE4">
      <w:pPr>
        <w:spacing w:line="360" w:lineRule="auto"/>
        <w:rPr>
          <w:rFonts w:hint="eastAsia" w:ascii="宋体" w:hAnsi="宋体" w:eastAsia="宋体" w:cs="宋体"/>
          <w:b/>
          <w:bCs/>
          <w:color w:val="auto"/>
          <w:sz w:val="24"/>
          <w:highlight w:val="none"/>
        </w:rPr>
      </w:pPr>
      <w:r>
        <w:rPr>
          <w:rFonts w:hint="eastAsia" w:ascii="宋体" w:hAnsi="宋体" w:eastAsia="宋体" w:cs="宋体"/>
          <w:bCs/>
          <w:color w:val="auto"/>
          <w:sz w:val="24"/>
          <w:highlight w:val="none"/>
        </w:rPr>
        <w:t xml:space="preserve">邮 </w:t>
      </w:r>
      <w:r>
        <w:rPr>
          <w:rFonts w:ascii="宋体" w:hAnsi="宋体" w:eastAsia="宋体" w:cs="宋体"/>
          <w:bCs/>
          <w:color w:val="auto"/>
          <w:sz w:val="24"/>
          <w:highlight w:val="none"/>
        </w:rPr>
        <w:t xml:space="preserve">       </w:t>
      </w:r>
      <w:r>
        <w:rPr>
          <w:rFonts w:hint="eastAsia" w:ascii="宋体" w:hAnsi="宋体" w:eastAsia="宋体" w:cs="宋体"/>
          <w:bCs/>
          <w:color w:val="auto"/>
          <w:sz w:val="24"/>
          <w:highlight w:val="none"/>
        </w:rPr>
        <w:t>编：</w:t>
      </w:r>
      <w:r>
        <w:rPr>
          <w:rFonts w:hint="eastAsia" w:ascii="宋体" w:hAnsi="宋体" w:eastAsia="宋体"/>
          <w:color w:val="auto"/>
          <w:sz w:val="24"/>
          <w:highlight w:val="none"/>
          <w:u w:val="single"/>
        </w:rPr>
        <w:t>510000</w:t>
      </w:r>
    </w:p>
    <w:p w14:paraId="60721850">
      <w:pPr>
        <w:pStyle w:val="6"/>
        <w:spacing w:line="360" w:lineRule="auto"/>
        <w:rPr>
          <w:rFonts w:hint="eastAsia" w:hAnsi="宋体"/>
          <w:color w:val="auto"/>
          <w:highlight w:val="none"/>
        </w:rPr>
      </w:pPr>
      <w:r>
        <w:rPr>
          <w:rFonts w:hint="eastAsia" w:hAnsi="宋体" w:cs="宋体"/>
          <w:bCs/>
          <w:color w:val="auto"/>
          <w:sz w:val="24"/>
          <w:szCs w:val="24"/>
          <w:highlight w:val="none"/>
        </w:rPr>
        <w:t xml:space="preserve">地 </w:t>
      </w:r>
      <w:r>
        <w:rPr>
          <w:rFonts w:hAnsi="宋体" w:cs="宋体"/>
          <w:bCs/>
          <w:color w:val="auto"/>
          <w:sz w:val="24"/>
          <w:szCs w:val="24"/>
          <w:highlight w:val="none"/>
        </w:rPr>
        <w:t xml:space="preserve">       </w:t>
      </w:r>
      <w:r>
        <w:rPr>
          <w:rFonts w:hint="eastAsia" w:hAnsi="宋体" w:cs="宋体"/>
          <w:bCs/>
          <w:color w:val="auto"/>
          <w:sz w:val="24"/>
          <w:szCs w:val="24"/>
          <w:highlight w:val="none"/>
        </w:rPr>
        <w:t>址：</w:t>
      </w:r>
      <w:r>
        <w:rPr>
          <w:rFonts w:hint="eastAsia" w:hAnsi="宋体"/>
          <w:color w:val="auto"/>
          <w:sz w:val="24"/>
          <w:highlight w:val="none"/>
          <w:u w:val="single"/>
        </w:rPr>
        <w:t>广州市海珠区新港东路1138号智通广场A塔9-11层</w:t>
      </w:r>
    </w:p>
    <w:p w14:paraId="384537BD">
      <w:pPr>
        <w:spacing w:line="360" w:lineRule="auto"/>
        <w:ind w:firstLine="420" w:firstLineChars="175"/>
        <w:rPr>
          <w:rFonts w:ascii="宋体" w:hAnsi="宋体" w:eastAsia="宋体" w:cs="宋体"/>
          <w:color w:val="auto"/>
          <w:sz w:val="24"/>
          <w:highlight w:val="none"/>
        </w:rPr>
      </w:pPr>
    </w:p>
    <w:p w14:paraId="25224B8E">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招标公告附件：</w:t>
      </w:r>
    </w:p>
    <w:p w14:paraId="61CBE07F">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附件1  资格审查条件附录1-附录3</w:t>
      </w:r>
    </w:p>
    <w:p w14:paraId="44C19C8B">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附件2  评标办法</w:t>
      </w:r>
    </w:p>
    <w:p w14:paraId="75CB442A">
      <w:pPr>
        <w:spacing w:line="360" w:lineRule="auto"/>
        <w:ind w:firstLine="480" w:firstLineChars="200"/>
        <w:jc w:val="left"/>
        <w:rPr>
          <w:rFonts w:ascii="宋体" w:hAnsi="宋体" w:eastAsia="宋体" w:cs="宋体"/>
          <w:color w:val="auto"/>
          <w:sz w:val="24"/>
          <w:highlight w:val="none"/>
        </w:rPr>
      </w:pPr>
      <w:bookmarkStart w:id="10" w:name="_Toc139431501"/>
      <w:r>
        <w:rPr>
          <w:rFonts w:ascii="宋体" w:hAnsi="宋体" w:eastAsia="宋体" w:cs="宋体"/>
          <w:color w:val="auto"/>
          <w:sz w:val="24"/>
          <w:highlight w:val="none"/>
        </w:rPr>
        <w:t>以上附件均可从广州公共资源交易中心网站本招标公告上下载。</w:t>
      </w:r>
    </w:p>
    <w:p w14:paraId="7954A03C">
      <w:pPr>
        <w:spacing w:line="300" w:lineRule="auto"/>
        <w:ind w:firstLine="420" w:firstLineChars="175"/>
        <w:rPr>
          <w:color w:val="auto"/>
          <w:sz w:val="24"/>
          <w:highlight w:val="none"/>
        </w:rPr>
      </w:pPr>
    </w:p>
    <w:p w14:paraId="14180CDC">
      <w:r>
        <w:rPr>
          <w:rFonts w:hint="eastAsia" w:ascii="宋体" w:hAnsi="宋体" w:eastAsia="宋体" w:cs="宋体"/>
          <w:color w:val="auto"/>
          <w:sz w:val="24"/>
          <w:highlight w:val="none"/>
        </w:rPr>
        <w:t xml:space="preserve">                    </w:t>
      </w:r>
      <w:bookmarkEnd w:id="10"/>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lang w:val="en-US" w:eastAsia="zh-CN"/>
        </w:rPr>
        <w:t>2024</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lang w:val="en-US" w:eastAsia="zh-CN"/>
        </w:rPr>
        <w:t>10</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lang w:val="en-US" w:eastAsia="zh-CN"/>
        </w:rPr>
        <w:t>31</w:t>
      </w:r>
      <w:r>
        <w:rPr>
          <w:rFonts w:hint="eastAsia" w:ascii="宋体" w:hAnsi="宋体" w:eastAsia="宋体" w:cs="宋体"/>
          <w:color w:val="auto"/>
          <w:sz w:val="24"/>
          <w:highlight w:val="none"/>
        </w:rP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_HKSCS">
    <w:altName w:val="MingLiU-ExtB"/>
    <w:panose1 w:val="00000000000000000000"/>
    <w:charset w:val="88"/>
    <w:family w:val="roman"/>
    <w:pitch w:val="default"/>
    <w:sig w:usb0="00000000" w:usb1="00000000" w:usb2="00000016" w:usb3="00000000" w:csb0="00100001" w:csb1="00000000"/>
  </w:font>
  <w:font w:name="MingLiU-ExtB">
    <w:panose1 w:val="02020500000000000000"/>
    <w:charset w:val="88"/>
    <w:family w:val="auto"/>
    <w:pitch w:val="default"/>
    <w:sig w:usb0="8000002F" w:usb1="02000008" w:usb2="00000000" w:usb3="00000000" w:csb0="0010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mMGEwYmEzMDlhOTM1MTYzMmQ5ZGMwODJhYzc4N2EifQ=="/>
  </w:docVars>
  <w:rsids>
    <w:rsidRoot w:val="6D631EE8"/>
    <w:rsid w:val="16797E6D"/>
    <w:rsid w:val="34BC0681"/>
    <w:rsid w:val="4AC40AD3"/>
    <w:rsid w:val="6D631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MingLiU_HKSCS" w:hAnsi="MingLiU_HKSCS" w:eastAsia="MingLiU_HKSCS" w:cs="Times New Roman"/>
      <w:kern w:val="2"/>
      <w:sz w:val="21"/>
      <w:szCs w:val="24"/>
      <w:lang w:val="en-US" w:eastAsia="zh-CN" w:bidi="ar-SA"/>
    </w:rPr>
  </w:style>
  <w:style w:type="paragraph" w:styleId="4">
    <w:name w:val="heading 2"/>
    <w:basedOn w:val="1"/>
    <w:next w:val="1"/>
    <w:qFormat/>
    <w:uiPriority w:val="0"/>
    <w:pPr>
      <w:keepNext/>
      <w:keepLines/>
      <w:spacing w:before="260" w:after="260" w:line="480" w:lineRule="exact"/>
      <w:jc w:val="center"/>
      <w:outlineLvl w:val="1"/>
    </w:pPr>
    <w:rPr>
      <w:rFonts w:ascii="宋体" w:hAnsi="宋体" w:eastAsia="黑体"/>
      <w:bCs/>
      <w:i/>
      <w:iCs/>
      <w:sz w:val="24"/>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Indent"/>
    <w:basedOn w:val="3"/>
    <w:next w:val="1"/>
    <w:qFormat/>
    <w:uiPriority w:val="0"/>
    <w:pPr>
      <w:spacing w:after="120"/>
      <w:ind w:left="420" w:leftChars="200"/>
    </w:pPr>
  </w:style>
  <w:style w:type="paragraph" w:styleId="3">
    <w:name w:val="Body Text"/>
    <w:basedOn w:val="1"/>
    <w:next w:val="1"/>
    <w:qFormat/>
    <w:uiPriority w:val="0"/>
    <w:pPr>
      <w:spacing w:after="120"/>
    </w:pPr>
  </w:style>
  <w:style w:type="paragraph" w:styleId="5">
    <w:name w:val="Body Text 3"/>
    <w:basedOn w:val="1"/>
    <w:qFormat/>
    <w:uiPriority w:val="0"/>
    <w:rPr>
      <w:rFonts w:ascii="宋体"/>
      <w:sz w:val="24"/>
      <w:szCs w:val="20"/>
    </w:rPr>
  </w:style>
  <w:style w:type="paragraph" w:styleId="6">
    <w:name w:val="Plain Text"/>
    <w:basedOn w:val="1"/>
    <w:qFormat/>
    <w:uiPriority w:val="0"/>
    <w:rPr>
      <w:rFonts w:ascii="宋体" w:hAnsi="Courier New" w:eastAsia="宋体"/>
      <w:szCs w:val="20"/>
    </w:rPr>
  </w:style>
  <w:style w:type="paragraph" w:styleId="7">
    <w:name w:val="footnote text"/>
    <w:basedOn w:val="1"/>
    <w:next w:val="1"/>
    <w:qFormat/>
    <w:uiPriority w:val="99"/>
    <w:pPr>
      <w:adjustRightInd w:val="0"/>
      <w:snapToGrid w:val="0"/>
      <w:spacing w:line="420" w:lineRule="atLeast"/>
      <w:ind w:firstLine="454"/>
      <w:jc w:val="left"/>
      <w:textAlignment w:val="baseline"/>
    </w:pPr>
    <w:rPr>
      <w:kern w:val="0"/>
      <w:sz w:val="18"/>
      <w:szCs w:val="20"/>
    </w:rPr>
  </w:style>
  <w:style w:type="paragraph" w:styleId="8">
    <w:name w:val="Title"/>
    <w:basedOn w:val="1"/>
    <w:link w:val="12"/>
    <w:qFormat/>
    <w:uiPriority w:val="0"/>
    <w:pPr>
      <w:adjustRightInd w:val="0"/>
      <w:spacing w:before="240" w:after="60" w:line="420" w:lineRule="atLeast"/>
      <w:jc w:val="center"/>
      <w:textAlignment w:val="baseline"/>
      <w:outlineLvl w:val="0"/>
    </w:pPr>
    <w:rPr>
      <w:rFonts w:ascii="Arial" w:hAnsi="Arial" w:eastAsia="宋体"/>
      <w:b/>
      <w:kern w:val="0"/>
      <w:sz w:val="32"/>
      <w:szCs w:val="20"/>
    </w:rPr>
  </w:style>
  <w:style w:type="character" w:styleId="11">
    <w:name w:val="footnote reference"/>
    <w:qFormat/>
    <w:uiPriority w:val="99"/>
    <w:rPr>
      <w:vertAlign w:val="superscript"/>
    </w:rPr>
  </w:style>
  <w:style w:type="character" w:customStyle="1" w:styleId="12">
    <w:name w:val="标题 字符"/>
    <w:link w:val="8"/>
    <w:qFormat/>
    <w:uiPriority w:val="0"/>
    <w:rPr>
      <w:rFonts w:ascii="Arial" w:hAnsi="Arial" w:eastAsia="宋体"/>
      <w:b/>
      <w:kern w:val="0"/>
      <w:sz w:val="32"/>
      <w:szCs w:val="20"/>
    </w:rPr>
  </w:style>
  <w:style w:type="character" w:customStyle="1" w:styleId="13">
    <w:name w:val="font161"/>
    <w:qFormat/>
    <w:uiPriority w:val="0"/>
    <w:rPr>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2294</Words>
  <Characters>2528</Characters>
  <Lines>0</Lines>
  <Paragraphs>0</Paragraphs>
  <TotalTime>0</TotalTime>
  <ScaleCrop>false</ScaleCrop>
  <LinksUpToDate>false</LinksUpToDate>
  <CharactersWithSpaces>2556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2024-10-30T08:14:00Z</dcterms:created>
  <dc:creator>风轻轻的吹</dc:creator>
  <cp:lastModifiedBy>风轻轻的吹</cp:lastModifiedBy>
  <dcterms:modified xsi:type="dcterms:W3CDTF">2024-10-30T08:32:57Z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A6819F1EEE644A158DEBE80412E6661A_11</vt:lpwstr>
  </property>
</Properties>
</file>