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E8DD37">
      <w:pPr>
        <w:rPr>
          <w:rFonts w:hint="eastAsia" w:ascii="宋体" w:hAnsi="宋体" w:cs="宋体"/>
          <w:color w:val="auto"/>
          <w:highlight w:val="none"/>
        </w:rPr>
      </w:pPr>
      <w:bookmarkStart w:id="0" w:name="_Toc415840318"/>
    </w:p>
    <w:p w14:paraId="2D4E44A3">
      <w:pPr>
        <w:rPr>
          <w:rFonts w:hint="eastAsia" w:ascii="宋体" w:hAnsi="宋体" w:cs="宋体"/>
          <w:color w:val="auto"/>
          <w:highlight w:val="none"/>
        </w:rPr>
      </w:pPr>
    </w:p>
    <w:p w14:paraId="0D3F57EE">
      <w:pPr>
        <w:rPr>
          <w:rFonts w:hint="eastAsia" w:ascii="宋体" w:hAnsi="宋体" w:cs="宋体"/>
          <w:color w:val="auto"/>
          <w:highlight w:val="none"/>
        </w:rPr>
      </w:pPr>
    </w:p>
    <w:p w14:paraId="0B4C340B">
      <w:pPr>
        <w:rPr>
          <w:rFonts w:hint="eastAsia" w:ascii="宋体" w:hAnsi="宋体" w:cs="宋体"/>
          <w:color w:val="auto"/>
          <w:highlight w:val="none"/>
        </w:rPr>
      </w:pPr>
    </w:p>
    <w:p w14:paraId="75A91468">
      <w:pPr>
        <w:ind w:firstLine="0" w:firstLineChars="0"/>
        <w:jc w:val="center"/>
        <w:rPr>
          <w:rFonts w:hint="eastAsia" w:ascii="宋体" w:hAnsi="宋体" w:cs="宋体"/>
          <w:color w:val="auto"/>
          <w:sz w:val="56"/>
          <w:szCs w:val="56"/>
          <w:highlight w:val="none"/>
        </w:rPr>
      </w:pPr>
      <w:r>
        <w:rPr>
          <w:rFonts w:hint="eastAsia" w:ascii="宋体" w:hAnsi="宋体" w:cs="宋体"/>
          <w:color w:val="auto"/>
          <w:sz w:val="56"/>
          <w:szCs w:val="56"/>
          <w:highlight w:val="none"/>
        </w:rPr>
        <w:t>天河龙洞粮库建设工程（建筑工程）</w:t>
      </w:r>
    </w:p>
    <w:p w14:paraId="3C1A8E28">
      <w:pPr>
        <w:ind w:firstLine="0" w:firstLineChars="0"/>
        <w:jc w:val="center"/>
        <w:rPr>
          <w:rFonts w:hint="eastAsia" w:ascii="宋体" w:hAnsi="宋体" w:cs="宋体"/>
          <w:color w:val="auto"/>
          <w:sz w:val="56"/>
          <w:szCs w:val="56"/>
          <w:highlight w:val="none"/>
          <w:u w:val="single"/>
        </w:rPr>
      </w:pPr>
      <w:r>
        <w:rPr>
          <w:rFonts w:hint="eastAsia" w:ascii="宋体" w:hAnsi="宋体" w:cs="宋体"/>
          <w:color w:val="auto"/>
          <w:sz w:val="56"/>
          <w:szCs w:val="56"/>
          <w:highlight w:val="none"/>
        </w:rPr>
        <w:t>勘察设计任务书</w:t>
      </w:r>
    </w:p>
    <w:p w14:paraId="0733BEE2">
      <w:pPr>
        <w:ind w:firstLine="1120"/>
        <w:jc w:val="center"/>
        <w:rPr>
          <w:rFonts w:hint="eastAsia" w:ascii="宋体" w:hAnsi="宋体" w:cs="宋体"/>
          <w:color w:val="auto"/>
          <w:sz w:val="56"/>
          <w:szCs w:val="56"/>
          <w:highlight w:val="none"/>
        </w:rPr>
      </w:pPr>
      <w:bookmarkStart w:id="414" w:name="_GoBack"/>
      <w:bookmarkEnd w:id="414"/>
    </w:p>
    <w:p w14:paraId="08BF7720">
      <w:pPr>
        <w:rPr>
          <w:rFonts w:hint="eastAsia" w:ascii="宋体" w:hAnsi="宋体" w:cs="宋体"/>
          <w:color w:val="auto"/>
          <w:highlight w:val="none"/>
        </w:rPr>
      </w:pPr>
    </w:p>
    <w:p w14:paraId="73D7E035">
      <w:pPr>
        <w:rPr>
          <w:rFonts w:hint="eastAsia" w:ascii="宋体" w:hAnsi="宋体" w:cs="宋体"/>
          <w:color w:val="auto"/>
          <w:highlight w:val="none"/>
        </w:rPr>
      </w:pPr>
    </w:p>
    <w:p w14:paraId="07142642">
      <w:pPr>
        <w:rPr>
          <w:rFonts w:hint="eastAsia" w:ascii="宋体" w:hAnsi="宋体" w:cs="宋体"/>
          <w:color w:val="auto"/>
          <w:highlight w:val="none"/>
        </w:rPr>
      </w:pPr>
    </w:p>
    <w:p w14:paraId="24A7B3D1">
      <w:pPr>
        <w:rPr>
          <w:rFonts w:hint="eastAsia" w:ascii="宋体" w:hAnsi="宋体" w:cs="宋体"/>
          <w:color w:val="auto"/>
          <w:highlight w:val="none"/>
        </w:rPr>
      </w:pPr>
    </w:p>
    <w:p w14:paraId="0CEF4AE6">
      <w:pPr>
        <w:rPr>
          <w:rFonts w:hint="eastAsia" w:ascii="宋体" w:hAnsi="宋体" w:cs="宋体"/>
          <w:color w:val="auto"/>
          <w:highlight w:val="none"/>
        </w:rPr>
      </w:pPr>
    </w:p>
    <w:p w14:paraId="18CDF658">
      <w:pPr>
        <w:rPr>
          <w:rFonts w:hint="eastAsia" w:ascii="宋体" w:hAnsi="宋体" w:cs="宋体"/>
          <w:color w:val="auto"/>
          <w:highlight w:val="none"/>
        </w:rPr>
      </w:pPr>
    </w:p>
    <w:p w14:paraId="29B5CAC2">
      <w:pPr>
        <w:rPr>
          <w:rFonts w:hint="eastAsia" w:ascii="宋体" w:hAnsi="宋体" w:cs="宋体"/>
          <w:color w:val="auto"/>
          <w:highlight w:val="none"/>
        </w:rPr>
      </w:pPr>
    </w:p>
    <w:p w14:paraId="5D26B12D">
      <w:pPr>
        <w:rPr>
          <w:rFonts w:hint="eastAsia" w:ascii="宋体" w:hAnsi="宋体" w:cs="宋体"/>
          <w:color w:val="auto"/>
          <w:highlight w:val="none"/>
        </w:rPr>
      </w:pPr>
    </w:p>
    <w:p w14:paraId="08DFBED2">
      <w:pPr>
        <w:rPr>
          <w:rFonts w:hint="eastAsia" w:ascii="宋体" w:hAnsi="宋体" w:cs="宋体"/>
          <w:color w:val="auto"/>
          <w:highlight w:val="none"/>
        </w:rPr>
      </w:pPr>
    </w:p>
    <w:p w14:paraId="036055FD">
      <w:pPr>
        <w:rPr>
          <w:rFonts w:hint="eastAsia" w:ascii="宋体" w:hAnsi="宋体" w:cs="宋体"/>
          <w:color w:val="auto"/>
          <w:highlight w:val="none"/>
        </w:rPr>
      </w:pPr>
    </w:p>
    <w:p w14:paraId="68CE733E">
      <w:pPr>
        <w:rPr>
          <w:rFonts w:hint="eastAsia" w:ascii="宋体" w:hAnsi="宋体" w:cs="宋体"/>
          <w:color w:val="auto"/>
          <w:highlight w:val="none"/>
        </w:rPr>
      </w:pPr>
    </w:p>
    <w:p w14:paraId="0B476F5E">
      <w:pPr>
        <w:ind w:firstLine="602"/>
        <w:jc w:val="center"/>
        <w:rPr>
          <w:rFonts w:hint="eastAsia" w:ascii="宋体" w:hAnsi="宋体" w:cs="宋体"/>
          <w:b/>
          <w:color w:val="auto"/>
          <w:sz w:val="30"/>
          <w:szCs w:val="30"/>
          <w:highlight w:val="none"/>
        </w:rPr>
      </w:pPr>
      <w:bookmarkStart w:id="1" w:name="_Toc1810"/>
    </w:p>
    <w:p w14:paraId="6623D03F">
      <w:pPr>
        <w:ind w:firstLine="602"/>
        <w:jc w:val="center"/>
        <w:rPr>
          <w:rFonts w:hint="eastAsia" w:ascii="宋体" w:hAnsi="宋体" w:cs="宋体"/>
          <w:b/>
          <w:color w:val="auto"/>
          <w:sz w:val="30"/>
          <w:szCs w:val="30"/>
          <w:highlight w:val="none"/>
        </w:rPr>
      </w:pPr>
    </w:p>
    <w:p w14:paraId="62D54001">
      <w:pPr>
        <w:ind w:firstLine="602"/>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广州市天河区建设工程项目代建局</w:t>
      </w:r>
      <w:bookmarkEnd w:id="1"/>
    </w:p>
    <w:p w14:paraId="1A6EF87D">
      <w:pPr>
        <w:ind w:firstLine="602"/>
        <w:jc w:val="center"/>
        <w:rPr>
          <w:rFonts w:hint="eastAsia" w:ascii="宋体" w:hAnsi="宋体" w:cs="宋体"/>
          <w:color w:val="auto"/>
          <w:highlight w:val="none"/>
        </w:rPr>
      </w:pPr>
      <w:r>
        <w:rPr>
          <w:rFonts w:hint="eastAsia" w:ascii="宋体" w:hAnsi="宋体" w:cs="宋体"/>
          <w:b/>
          <w:color w:val="auto"/>
          <w:sz w:val="30"/>
          <w:szCs w:val="30"/>
          <w:highlight w:val="none"/>
        </w:rPr>
        <w:t>2024年</w:t>
      </w:r>
      <w:r>
        <w:rPr>
          <w:rFonts w:hint="eastAsia" w:ascii="宋体" w:hAnsi="宋体" w:cs="宋体"/>
          <w:b/>
          <w:color w:val="auto"/>
          <w:sz w:val="30"/>
          <w:szCs w:val="30"/>
          <w:highlight w:val="none"/>
          <w:lang w:val="en-US" w:eastAsia="zh-CN"/>
        </w:rPr>
        <w:t>10</w:t>
      </w:r>
      <w:r>
        <w:rPr>
          <w:rFonts w:hint="eastAsia" w:ascii="宋体" w:hAnsi="宋体" w:cs="宋体"/>
          <w:b/>
          <w:color w:val="auto"/>
          <w:sz w:val="30"/>
          <w:szCs w:val="30"/>
          <w:highlight w:val="none"/>
        </w:rPr>
        <w:t>月</w:t>
      </w:r>
    </w:p>
    <w:p w14:paraId="71CFEAED">
      <w:pPr>
        <w:rPr>
          <w:rFonts w:hint="eastAsia" w:ascii="宋体" w:hAnsi="宋体" w:cs="宋体"/>
          <w:color w:val="auto"/>
          <w:highlight w:val="none"/>
        </w:rPr>
      </w:pPr>
    </w:p>
    <w:p w14:paraId="42D4AB81">
      <w:pPr>
        <w:pStyle w:val="3"/>
        <w:tabs>
          <w:tab w:val="left" w:pos="3570"/>
        </w:tabs>
        <w:spacing w:before="156" w:after="156" w:line="360" w:lineRule="auto"/>
        <w:ind w:firstLine="560" w:firstLineChars="200"/>
        <w:rPr>
          <w:rFonts w:hint="eastAsia" w:ascii="宋体" w:hAnsi="宋体" w:eastAsia="宋体" w:cs="宋体"/>
          <w:b w:val="0"/>
          <w:color w:val="auto"/>
          <w:sz w:val="28"/>
          <w:szCs w:val="28"/>
          <w:highlight w:val="none"/>
        </w:rPr>
        <w:sectPr>
          <w:footerReference r:id="rId8" w:type="first"/>
          <w:headerReference r:id="rId5" w:type="default"/>
          <w:footerReference r:id="rId6" w:type="default"/>
          <w:footerReference r:id="rId7" w:type="even"/>
          <w:pgSz w:w="11906" w:h="16838"/>
          <w:pgMar w:top="1418" w:right="1418" w:bottom="1418" w:left="1418" w:header="851" w:footer="992" w:gutter="0"/>
          <w:pgNumType w:start="0"/>
          <w:cols w:space="720" w:num="1"/>
          <w:docGrid w:type="lines" w:linePitch="312" w:charSpace="0"/>
        </w:sectPr>
      </w:pPr>
    </w:p>
    <w:sdt>
      <w:sdtPr>
        <w:rPr>
          <w:rFonts w:ascii="宋体" w:hAnsi="宋体"/>
          <w:color w:val="auto"/>
          <w:sz w:val="21"/>
          <w:highlight w:val="none"/>
        </w:rPr>
        <w:id w:val="147460026"/>
        <w15:color w:val="DBDBDB"/>
        <w:docPartObj>
          <w:docPartGallery w:val="Table of Contents"/>
          <w:docPartUnique/>
        </w:docPartObj>
      </w:sdtPr>
      <w:sdtEndPr>
        <w:rPr>
          <w:rFonts w:hint="eastAsia" w:ascii="Times New Roman" w:hAnsi="Times New Roman"/>
          <w:color w:val="auto"/>
          <w:sz w:val="21"/>
          <w:highlight w:val="none"/>
        </w:rPr>
      </w:sdtEndPr>
      <w:sdtContent>
        <w:p w14:paraId="31FCB9F0">
          <w:pPr>
            <w:spacing w:line="240" w:lineRule="auto"/>
            <w:ind w:firstLine="0" w:firstLineChars="0"/>
            <w:jc w:val="center"/>
            <w:rPr>
              <w:color w:val="auto"/>
              <w:highlight w:val="none"/>
            </w:rPr>
          </w:pPr>
          <w:bookmarkStart w:id="2" w:name="_Toc448"/>
          <w:bookmarkStart w:id="3" w:name="_Toc452558092"/>
          <w:bookmarkStart w:id="4" w:name="_Toc18810"/>
          <w:bookmarkStart w:id="5" w:name="_Toc19265"/>
          <w:bookmarkStart w:id="6" w:name="_Toc29128"/>
          <w:bookmarkStart w:id="7" w:name="_Toc452558296"/>
          <w:bookmarkStart w:id="8" w:name="_Toc27134"/>
          <w:bookmarkStart w:id="9" w:name="_Toc5080"/>
          <w:bookmarkStart w:id="10" w:name="_Toc452973676"/>
          <w:bookmarkStart w:id="11" w:name="_Toc32245_WPSOffice_Level1"/>
          <w:r>
            <w:rPr>
              <w:rFonts w:ascii="宋体" w:hAnsi="宋体"/>
              <w:color w:val="auto"/>
              <w:sz w:val="21"/>
              <w:highlight w:val="none"/>
            </w:rPr>
            <w:t>目录</w:t>
          </w:r>
        </w:p>
        <w:p w14:paraId="371E34FA">
          <w:pPr>
            <w:pStyle w:val="15"/>
            <w:tabs>
              <w:tab w:val="right" w:leader="dot" w:pos="8306"/>
            </w:tabs>
            <w:rPr>
              <w:color w:val="auto"/>
              <w:highlight w:val="none"/>
            </w:rPr>
          </w:pPr>
          <w:r>
            <w:rPr>
              <w:rFonts w:hint="eastAsia"/>
              <w:color w:val="auto"/>
              <w:highlight w:val="none"/>
            </w:rPr>
            <w:fldChar w:fldCharType="begin"/>
          </w:r>
          <w:r>
            <w:rPr>
              <w:rFonts w:hint="eastAsia"/>
              <w:color w:val="auto"/>
              <w:highlight w:val="none"/>
            </w:rPr>
            <w:instrText xml:space="preserve">TOC \o "1-3" \h \u </w:instrText>
          </w:r>
          <w:r>
            <w:rPr>
              <w:rFonts w:hint="eastAsia"/>
              <w:color w:val="auto"/>
              <w:highlight w:val="none"/>
            </w:rPr>
            <w:fldChar w:fldCharType="separate"/>
          </w:r>
          <w:r>
            <w:rPr>
              <w:color w:val="auto"/>
              <w:highlight w:val="none"/>
            </w:rPr>
            <w:fldChar w:fldCharType="begin"/>
          </w:r>
          <w:r>
            <w:rPr>
              <w:color w:val="auto"/>
              <w:highlight w:val="none"/>
            </w:rPr>
            <w:instrText xml:space="preserve"> HYPERLINK \l "_Toc20848" </w:instrText>
          </w:r>
          <w:r>
            <w:rPr>
              <w:color w:val="auto"/>
              <w:highlight w:val="none"/>
            </w:rPr>
            <w:fldChar w:fldCharType="separate"/>
          </w:r>
          <w:r>
            <w:rPr>
              <w:rFonts w:hint="eastAsia"/>
              <w:color w:val="auto"/>
              <w:highlight w:val="none"/>
            </w:rPr>
            <w:t>第一章</w:t>
          </w:r>
          <w:r>
            <w:rPr>
              <w:color w:val="auto"/>
              <w:highlight w:val="none"/>
            </w:rPr>
            <w:t xml:space="preserve"> </w:t>
          </w:r>
          <w:r>
            <w:rPr>
              <w:rFonts w:hint="eastAsia"/>
              <w:color w:val="auto"/>
              <w:highlight w:val="none"/>
            </w:rPr>
            <w:t>项目概况</w:t>
          </w:r>
          <w:r>
            <w:rPr>
              <w:color w:val="auto"/>
              <w:highlight w:val="none"/>
            </w:rPr>
            <w:tab/>
          </w:r>
          <w:r>
            <w:rPr>
              <w:color w:val="auto"/>
              <w:highlight w:val="none"/>
            </w:rPr>
            <w:fldChar w:fldCharType="begin"/>
          </w:r>
          <w:r>
            <w:rPr>
              <w:color w:val="auto"/>
              <w:highlight w:val="none"/>
            </w:rPr>
            <w:instrText xml:space="preserve"> PAGEREF _Toc20848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3443323B">
          <w:pPr>
            <w:pStyle w:val="17"/>
            <w:tabs>
              <w:tab w:val="right" w:leader="dot" w:pos="8306"/>
            </w:tabs>
            <w:ind w:left="480" w:firstLine="420"/>
            <w:rPr>
              <w:color w:val="auto"/>
              <w:highlight w:val="none"/>
            </w:rPr>
          </w:pPr>
          <w:r>
            <w:rPr>
              <w:color w:val="auto"/>
              <w:highlight w:val="none"/>
            </w:rPr>
            <w:fldChar w:fldCharType="begin"/>
          </w:r>
          <w:r>
            <w:rPr>
              <w:color w:val="auto"/>
              <w:highlight w:val="none"/>
            </w:rPr>
            <w:instrText xml:space="preserve"> HYPERLINK \l "_Toc21749" </w:instrText>
          </w:r>
          <w:r>
            <w:rPr>
              <w:color w:val="auto"/>
              <w:highlight w:val="none"/>
            </w:rPr>
            <w:fldChar w:fldCharType="separate"/>
          </w:r>
          <w:r>
            <w:rPr>
              <w:rFonts w:hint="eastAsia"/>
              <w:color w:val="auto"/>
              <w:highlight w:val="none"/>
            </w:rPr>
            <w:t>1.1项目基本信息</w:t>
          </w:r>
          <w:r>
            <w:rPr>
              <w:color w:val="auto"/>
              <w:highlight w:val="none"/>
            </w:rPr>
            <w:tab/>
          </w:r>
          <w:r>
            <w:rPr>
              <w:color w:val="auto"/>
              <w:highlight w:val="none"/>
            </w:rPr>
            <w:fldChar w:fldCharType="begin"/>
          </w:r>
          <w:r>
            <w:rPr>
              <w:color w:val="auto"/>
              <w:highlight w:val="none"/>
            </w:rPr>
            <w:instrText xml:space="preserve"> PAGEREF _Toc21749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4ECBCEC9">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"_Toc24187" </w:instrText>
          </w:r>
          <w:r>
            <w:rPr>
              <w:color w:val="auto"/>
              <w:highlight w:val="none"/>
            </w:rPr>
            <w:fldChar w:fldCharType="separate"/>
          </w:r>
          <w:r>
            <w:rPr>
              <w:rFonts w:hint="eastAsia"/>
              <w:color w:val="auto"/>
              <w:highlight w:val="none"/>
            </w:rPr>
            <w:t>1.1.1项目名称</w:t>
          </w:r>
          <w:r>
            <w:rPr>
              <w:color w:val="auto"/>
              <w:highlight w:val="none"/>
            </w:rPr>
            <w:tab/>
          </w:r>
          <w:r>
            <w:rPr>
              <w:color w:val="auto"/>
              <w:highlight w:val="none"/>
            </w:rPr>
            <w:fldChar w:fldCharType="begin"/>
          </w:r>
          <w:r>
            <w:rPr>
              <w:color w:val="auto"/>
              <w:highlight w:val="none"/>
            </w:rPr>
            <w:instrText xml:space="preserve"> PAGEREF _Toc24187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29D3E82C">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"_Toc1882" </w:instrText>
          </w:r>
          <w:r>
            <w:rPr>
              <w:color w:val="auto"/>
              <w:highlight w:val="none"/>
            </w:rPr>
            <w:fldChar w:fldCharType="separate"/>
          </w:r>
          <w:r>
            <w:rPr>
              <w:rFonts w:hint="eastAsia"/>
              <w:color w:val="auto"/>
              <w:highlight w:val="none"/>
            </w:rPr>
            <w:t>1.1.2项目位置</w:t>
          </w:r>
          <w:r>
            <w:rPr>
              <w:color w:val="auto"/>
              <w:highlight w:val="none"/>
            </w:rPr>
            <w:tab/>
          </w:r>
          <w:r>
            <w:rPr>
              <w:color w:val="auto"/>
              <w:highlight w:val="none"/>
            </w:rPr>
            <w:fldChar w:fldCharType="begin"/>
          </w:r>
          <w:r>
            <w:rPr>
              <w:color w:val="auto"/>
              <w:highlight w:val="none"/>
            </w:rPr>
            <w:instrText xml:space="preserve"> PAGEREF _Toc1882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08B1FD7D">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"_Toc30551" </w:instrText>
          </w:r>
          <w:r>
            <w:rPr>
              <w:color w:val="auto"/>
              <w:highlight w:val="none"/>
            </w:rPr>
            <w:fldChar w:fldCharType="separate"/>
          </w:r>
          <w:r>
            <w:rPr>
              <w:rFonts w:hint="eastAsia"/>
              <w:color w:val="auto"/>
              <w:highlight w:val="none"/>
            </w:rPr>
            <w:t>1.1.3项目业主单位</w:t>
          </w:r>
          <w:r>
            <w:rPr>
              <w:color w:val="auto"/>
              <w:highlight w:val="none"/>
            </w:rPr>
            <w:tab/>
          </w:r>
          <w:r>
            <w:rPr>
              <w:color w:val="auto"/>
              <w:highlight w:val="none"/>
            </w:rPr>
            <w:fldChar w:fldCharType="begin"/>
          </w:r>
          <w:r>
            <w:rPr>
              <w:color w:val="auto"/>
              <w:highlight w:val="none"/>
            </w:rPr>
            <w:instrText xml:space="preserve"> PAGEREF _Toc30551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40B8902D">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"_Toc30401" </w:instrText>
          </w:r>
          <w:r>
            <w:rPr>
              <w:color w:val="auto"/>
              <w:highlight w:val="none"/>
            </w:rPr>
            <w:fldChar w:fldCharType="separate"/>
          </w:r>
          <w:r>
            <w:rPr>
              <w:rFonts w:hint="eastAsia"/>
              <w:color w:val="auto"/>
              <w:highlight w:val="none"/>
            </w:rPr>
            <w:t>1.1.4项目建设单位</w:t>
          </w:r>
          <w:r>
            <w:rPr>
              <w:color w:val="auto"/>
              <w:highlight w:val="none"/>
            </w:rPr>
            <w:tab/>
          </w:r>
          <w:r>
            <w:rPr>
              <w:color w:val="auto"/>
              <w:highlight w:val="none"/>
            </w:rPr>
            <w:fldChar w:fldCharType="begin"/>
          </w:r>
          <w:r>
            <w:rPr>
              <w:color w:val="auto"/>
              <w:highlight w:val="none"/>
            </w:rPr>
            <w:instrText xml:space="preserve"> PAGEREF _Toc30401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599D201E">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"_Toc7374" </w:instrText>
          </w:r>
          <w:r>
            <w:rPr>
              <w:color w:val="auto"/>
              <w:highlight w:val="none"/>
            </w:rPr>
            <w:fldChar w:fldCharType="separate"/>
          </w:r>
          <w:r>
            <w:rPr>
              <w:rFonts w:hint="eastAsia"/>
              <w:color w:val="auto"/>
              <w:highlight w:val="none"/>
            </w:rPr>
            <w:t>1.1.5项目背景</w:t>
          </w:r>
          <w:r>
            <w:rPr>
              <w:color w:val="auto"/>
              <w:highlight w:val="none"/>
            </w:rPr>
            <w:tab/>
          </w:r>
          <w:r>
            <w:rPr>
              <w:color w:val="auto"/>
              <w:highlight w:val="none"/>
            </w:rPr>
            <w:fldChar w:fldCharType="begin"/>
          </w:r>
          <w:r>
            <w:rPr>
              <w:color w:val="auto"/>
              <w:highlight w:val="none"/>
            </w:rPr>
            <w:instrText xml:space="preserve"> PAGEREF _Toc7374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15C35515">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"_Toc18040" </w:instrText>
          </w:r>
          <w:r>
            <w:rPr>
              <w:color w:val="auto"/>
              <w:highlight w:val="none"/>
            </w:rPr>
            <w:fldChar w:fldCharType="separate"/>
          </w:r>
          <w:r>
            <w:rPr>
              <w:rFonts w:hint="eastAsia"/>
              <w:color w:val="auto"/>
              <w:highlight w:val="none"/>
            </w:rPr>
            <w:t>1.1.6项目建设的重要性</w:t>
          </w:r>
          <w:r>
            <w:rPr>
              <w:color w:val="auto"/>
              <w:highlight w:val="none"/>
            </w:rPr>
            <w:tab/>
          </w:r>
          <w:r>
            <w:rPr>
              <w:color w:val="auto"/>
              <w:highlight w:val="none"/>
            </w:rPr>
            <w:fldChar w:fldCharType="begin"/>
          </w:r>
          <w:r>
            <w:rPr>
              <w:color w:val="auto"/>
              <w:highlight w:val="none"/>
            </w:rPr>
            <w:instrText xml:space="preserve"> PAGEREF _Toc18040 \h </w:instrText>
          </w:r>
          <w:r>
            <w:rPr>
              <w:color w:val="auto"/>
              <w:highlight w:val="none"/>
            </w:rPr>
            <w:fldChar w:fldCharType="separate"/>
          </w:r>
          <w:r>
            <w:rPr>
              <w:color w:val="auto"/>
              <w:highlight w:val="none"/>
            </w:rPr>
            <w:t>1</w:t>
          </w:r>
          <w:r>
            <w:rPr>
              <w:color w:val="auto"/>
              <w:highlight w:val="none"/>
            </w:rPr>
            <w:fldChar w:fldCharType="end"/>
          </w:r>
          <w:r>
            <w:rPr>
              <w:color w:val="auto"/>
              <w:highlight w:val="none"/>
            </w:rPr>
            <w:fldChar w:fldCharType="end"/>
          </w:r>
        </w:p>
        <w:p w14:paraId="39EEF974">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"_Toc7160" </w:instrText>
          </w:r>
          <w:r>
            <w:rPr>
              <w:color w:val="auto"/>
              <w:highlight w:val="none"/>
            </w:rPr>
            <w:fldChar w:fldCharType="separate"/>
          </w:r>
          <w:r>
            <w:rPr>
              <w:rFonts w:hint="eastAsia"/>
              <w:color w:val="auto"/>
              <w:highlight w:val="none"/>
            </w:rPr>
            <w:t>1.1.7项目建设规模</w:t>
          </w:r>
          <w:r>
            <w:rPr>
              <w:color w:val="auto"/>
              <w:highlight w:val="none"/>
            </w:rPr>
            <w:tab/>
          </w:r>
          <w:r>
            <w:rPr>
              <w:color w:val="auto"/>
              <w:highlight w:val="none"/>
            </w:rPr>
            <w:fldChar w:fldCharType="begin"/>
          </w:r>
          <w:r>
            <w:rPr>
              <w:color w:val="auto"/>
              <w:highlight w:val="none"/>
            </w:rPr>
            <w:instrText xml:space="preserve"> PAGEREF _Toc7160 \h </w:instrText>
          </w:r>
          <w:r>
            <w:rPr>
              <w:color w:val="auto"/>
              <w:highlight w:val="none"/>
            </w:rPr>
            <w:fldChar w:fldCharType="separate"/>
          </w:r>
          <w:r>
            <w:rPr>
              <w:color w:val="auto"/>
              <w:highlight w:val="none"/>
            </w:rPr>
            <w:t>3</w:t>
          </w:r>
          <w:r>
            <w:rPr>
              <w:color w:val="auto"/>
              <w:highlight w:val="none"/>
            </w:rPr>
            <w:fldChar w:fldCharType="end"/>
          </w:r>
          <w:r>
            <w:rPr>
              <w:color w:val="auto"/>
              <w:highlight w:val="none"/>
            </w:rPr>
            <w:fldChar w:fldCharType="end"/>
          </w:r>
        </w:p>
        <w:p w14:paraId="579E1677">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"_Toc29231" </w:instrText>
          </w:r>
          <w:r>
            <w:rPr>
              <w:color w:val="auto"/>
              <w:highlight w:val="none"/>
            </w:rPr>
            <w:fldChar w:fldCharType="separate"/>
          </w:r>
          <w:r>
            <w:rPr>
              <w:rFonts w:hint="eastAsia"/>
              <w:color w:val="auto"/>
              <w:highlight w:val="none"/>
            </w:rPr>
            <w:t>1.1.8项目设计依据</w:t>
          </w:r>
          <w:r>
            <w:rPr>
              <w:color w:val="auto"/>
              <w:highlight w:val="none"/>
            </w:rPr>
            <w:tab/>
          </w:r>
          <w:r>
            <w:rPr>
              <w:color w:val="auto"/>
              <w:highlight w:val="none"/>
            </w:rPr>
            <w:fldChar w:fldCharType="begin"/>
          </w:r>
          <w:r>
            <w:rPr>
              <w:color w:val="auto"/>
              <w:highlight w:val="none"/>
            </w:rPr>
            <w:instrText xml:space="preserve"> PAGEREF _Toc29231 \h </w:instrText>
          </w:r>
          <w:r>
            <w:rPr>
              <w:color w:val="auto"/>
              <w:highlight w:val="none"/>
            </w:rPr>
            <w:fldChar w:fldCharType="separate"/>
          </w:r>
          <w:r>
            <w:rPr>
              <w:color w:val="auto"/>
              <w:highlight w:val="none"/>
            </w:rPr>
            <w:t>10</w:t>
          </w:r>
          <w:r>
            <w:rPr>
              <w:color w:val="auto"/>
              <w:highlight w:val="none"/>
            </w:rPr>
            <w:fldChar w:fldCharType="end"/>
          </w:r>
          <w:r>
            <w:rPr>
              <w:color w:val="auto"/>
              <w:highlight w:val="none"/>
            </w:rPr>
            <w:fldChar w:fldCharType="end"/>
          </w:r>
        </w:p>
        <w:p w14:paraId="30268267">
          <w:pPr>
            <w:pStyle w:val="17"/>
            <w:tabs>
              <w:tab w:val="right" w:leader="dot" w:pos="8306"/>
            </w:tabs>
            <w:ind w:left="480" w:firstLine="420"/>
            <w:rPr>
              <w:color w:val="auto"/>
              <w:highlight w:val="none"/>
            </w:rPr>
          </w:pPr>
          <w:r>
            <w:rPr>
              <w:color w:val="auto"/>
              <w:highlight w:val="none"/>
            </w:rPr>
            <w:fldChar w:fldCharType="begin"/>
          </w:r>
          <w:r>
            <w:rPr>
              <w:color w:val="auto"/>
              <w:highlight w:val="none"/>
            </w:rPr>
            <w:instrText xml:space="preserve"> HYPERLINK \l "_Toc16597" </w:instrText>
          </w:r>
          <w:r>
            <w:rPr>
              <w:color w:val="auto"/>
              <w:highlight w:val="none"/>
            </w:rPr>
            <w:fldChar w:fldCharType="separate"/>
          </w:r>
          <w:r>
            <w:rPr>
              <w:rFonts w:hint="eastAsia"/>
              <w:color w:val="auto"/>
              <w:highlight w:val="none"/>
            </w:rPr>
            <w:t>1.2项目建设范围及勘察设计范围</w:t>
          </w:r>
          <w:r>
            <w:rPr>
              <w:color w:val="auto"/>
              <w:highlight w:val="none"/>
            </w:rPr>
            <w:tab/>
          </w:r>
          <w:r>
            <w:rPr>
              <w:color w:val="auto"/>
              <w:highlight w:val="none"/>
            </w:rPr>
            <w:fldChar w:fldCharType="begin"/>
          </w:r>
          <w:r>
            <w:rPr>
              <w:color w:val="auto"/>
              <w:highlight w:val="none"/>
            </w:rPr>
            <w:instrText xml:space="preserve"> PAGEREF _Toc16597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14:paraId="593340E2">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"_Toc8369" </w:instrText>
          </w:r>
          <w:r>
            <w:rPr>
              <w:color w:val="auto"/>
              <w:highlight w:val="none"/>
            </w:rPr>
            <w:fldChar w:fldCharType="separate"/>
          </w:r>
          <w:r>
            <w:rPr>
              <w:rFonts w:hint="eastAsia"/>
              <w:color w:val="auto"/>
              <w:highlight w:val="none"/>
            </w:rPr>
            <w:t>1.2.1项目建设范围</w:t>
          </w:r>
          <w:r>
            <w:rPr>
              <w:color w:val="auto"/>
              <w:highlight w:val="none"/>
            </w:rPr>
            <w:tab/>
          </w:r>
          <w:r>
            <w:rPr>
              <w:color w:val="auto"/>
              <w:highlight w:val="none"/>
            </w:rPr>
            <w:fldChar w:fldCharType="begin"/>
          </w:r>
          <w:r>
            <w:rPr>
              <w:color w:val="auto"/>
              <w:highlight w:val="none"/>
            </w:rPr>
            <w:instrText xml:space="preserve"> PAGEREF _Toc8369 \h </w:instrText>
          </w:r>
          <w:r>
            <w:rPr>
              <w:color w:val="auto"/>
              <w:highlight w:val="none"/>
            </w:rPr>
            <w:fldChar w:fldCharType="separate"/>
          </w:r>
          <w:r>
            <w:rPr>
              <w:color w:val="auto"/>
              <w:highlight w:val="none"/>
            </w:rPr>
            <w:t>11</w:t>
          </w:r>
          <w:r>
            <w:rPr>
              <w:color w:val="auto"/>
              <w:highlight w:val="none"/>
            </w:rPr>
            <w:fldChar w:fldCharType="end"/>
          </w:r>
          <w:r>
            <w:rPr>
              <w:color w:val="auto"/>
              <w:highlight w:val="none"/>
            </w:rPr>
            <w:fldChar w:fldCharType="end"/>
          </w:r>
        </w:p>
        <w:p w14:paraId="5CC392DF">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"_Toc7850" </w:instrText>
          </w:r>
          <w:r>
            <w:rPr>
              <w:color w:val="auto"/>
              <w:highlight w:val="none"/>
            </w:rPr>
            <w:fldChar w:fldCharType="separate"/>
          </w:r>
          <w:r>
            <w:rPr>
              <w:rFonts w:hint="eastAsia"/>
              <w:color w:val="auto"/>
              <w:highlight w:val="none"/>
            </w:rPr>
            <w:t>1.2.2项目勘察设计范围</w:t>
          </w:r>
          <w:r>
            <w:rPr>
              <w:color w:val="auto"/>
              <w:highlight w:val="none"/>
            </w:rPr>
            <w:tab/>
          </w:r>
          <w:r>
            <w:rPr>
              <w:color w:val="auto"/>
              <w:highlight w:val="none"/>
            </w:rPr>
            <w:fldChar w:fldCharType="begin"/>
          </w:r>
          <w:r>
            <w:rPr>
              <w:color w:val="auto"/>
              <w:highlight w:val="none"/>
            </w:rPr>
            <w:instrText xml:space="preserve"> PAGEREF _Toc7850 \h </w:instrText>
          </w:r>
          <w:r>
            <w:rPr>
              <w:color w:val="auto"/>
              <w:highlight w:val="none"/>
            </w:rPr>
            <w:fldChar w:fldCharType="separate"/>
          </w:r>
          <w:r>
            <w:rPr>
              <w:color w:val="auto"/>
              <w:highlight w:val="none"/>
            </w:rPr>
            <w:t>12</w:t>
          </w:r>
          <w:r>
            <w:rPr>
              <w:color w:val="auto"/>
              <w:highlight w:val="none"/>
            </w:rPr>
            <w:fldChar w:fldCharType="end"/>
          </w:r>
          <w:r>
            <w:rPr>
              <w:color w:val="auto"/>
              <w:highlight w:val="none"/>
            </w:rPr>
            <w:fldChar w:fldCharType="end"/>
          </w:r>
        </w:p>
        <w:p w14:paraId="70D1EFF6">
          <w:pPr>
            <w:pStyle w:val="17"/>
            <w:tabs>
              <w:tab w:val="right" w:leader="dot" w:pos="8306"/>
            </w:tabs>
            <w:ind w:left="480" w:firstLine="420"/>
            <w:rPr>
              <w:color w:val="auto"/>
              <w:highlight w:val="none"/>
            </w:rPr>
          </w:pPr>
          <w:r>
            <w:rPr>
              <w:color w:val="auto"/>
              <w:highlight w:val="none"/>
            </w:rPr>
            <w:fldChar w:fldCharType="begin"/>
          </w:r>
          <w:r>
            <w:rPr>
              <w:color w:val="auto"/>
              <w:highlight w:val="none"/>
            </w:rPr>
            <w:instrText xml:space="preserve"> HYPERLINK \l "_Toc2373" </w:instrText>
          </w:r>
          <w:r>
            <w:rPr>
              <w:color w:val="auto"/>
              <w:highlight w:val="none"/>
            </w:rPr>
            <w:fldChar w:fldCharType="separate"/>
          </w:r>
          <w:r>
            <w:rPr>
              <w:rFonts w:hint="eastAsia"/>
              <w:color w:val="auto"/>
              <w:highlight w:val="none"/>
            </w:rPr>
            <w:t>1.3建设用地现状情况</w:t>
          </w:r>
          <w:r>
            <w:rPr>
              <w:color w:val="auto"/>
              <w:highlight w:val="none"/>
            </w:rPr>
            <w:tab/>
          </w:r>
          <w:r>
            <w:rPr>
              <w:color w:val="auto"/>
              <w:highlight w:val="none"/>
            </w:rPr>
            <w:fldChar w:fldCharType="begin"/>
          </w:r>
          <w:r>
            <w:rPr>
              <w:color w:val="auto"/>
              <w:highlight w:val="none"/>
            </w:rPr>
            <w:instrText xml:space="preserve"> PAGEREF _Toc2373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5EDB113A">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"_Toc9294" </w:instrText>
          </w:r>
          <w:r>
            <w:rPr>
              <w:color w:val="auto"/>
              <w:highlight w:val="none"/>
            </w:rPr>
            <w:fldChar w:fldCharType="separate"/>
          </w:r>
          <w:r>
            <w:rPr>
              <w:rFonts w:hint="eastAsia"/>
              <w:color w:val="auto"/>
              <w:highlight w:val="none"/>
            </w:rPr>
            <w:t>1.3.1场地条件</w:t>
          </w:r>
          <w:r>
            <w:rPr>
              <w:color w:val="auto"/>
              <w:highlight w:val="none"/>
            </w:rPr>
            <w:tab/>
          </w:r>
          <w:r>
            <w:rPr>
              <w:color w:val="auto"/>
              <w:highlight w:val="none"/>
            </w:rPr>
            <w:fldChar w:fldCharType="begin"/>
          </w:r>
          <w:r>
            <w:rPr>
              <w:color w:val="auto"/>
              <w:highlight w:val="none"/>
            </w:rPr>
            <w:instrText xml:space="preserve"> PAGEREF _Toc9294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69AB5A18">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"_Toc26967" </w:instrText>
          </w:r>
          <w:r>
            <w:rPr>
              <w:color w:val="auto"/>
              <w:highlight w:val="none"/>
            </w:rPr>
            <w:fldChar w:fldCharType="separate"/>
          </w:r>
          <w:r>
            <w:rPr>
              <w:rFonts w:hint="eastAsia"/>
              <w:color w:val="auto"/>
              <w:highlight w:val="none"/>
            </w:rPr>
            <w:t>1.3.2  场址现状及权属</w:t>
          </w:r>
          <w:r>
            <w:rPr>
              <w:color w:val="auto"/>
              <w:highlight w:val="none"/>
            </w:rPr>
            <w:tab/>
          </w:r>
          <w:r>
            <w:rPr>
              <w:color w:val="auto"/>
              <w:highlight w:val="none"/>
            </w:rPr>
            <w:fldChar w:fldCharType="begin"/>
          </w:r>
          <w:r>
            <w:rPr>
              <w:color w:val="auto"/>
              <w:highlight w:val="none"/>
            </w:rPr>
            <w:instrText xml:space="preserve"> PAGEREF _Toc26967 \h </w:instrText>
          </w:r>
          <w:r>
            <w:rPr>
              <w:color w:val="auto"/>
              <w:highlight w:val="none"/>
            </w:rPr>
            <w:fldChar w:fldCharType="separate"/>
          </w:r>
          <w:r>
            <w:rPr>
              <w:color w:val="auto"/>
              <w:highlight w:val="none"/>
            </w:rPr>
            <w:t>13</w:t>
          </w:r>
          <w:r>
            <w:rPr>
              <w:color w:val="auto"/>
              <w:highlight w:val="none"/>
            </w:rPr>
            <w:fldChar w:fldCharType="end"/>
          </w:r>
          <w:r>
            <w:rPr>
              <w:color w:val="auto"/>
              <w:highlight w:val="none"/>
            </w:rPr>
            <w:fldChar w:fldCharType="end"/>
          </w:r>
        </w:p>
        <w:p w14:paraId="057E9DD3">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"_Toc9156" </w:instrText>
          </w:r>
          <w:r>
            <w:rPr>
              <w:color w:val="auto"/>
              <w:highlight w:val="none"/>
            </w:rPr>
            <w:fldChar w:fldCharType="separate"/>
          </w:r>
          <w:r>
            <w:rPr>
              <w:rFonts w:hint="eastAsia"/>
              <w:color w:val="auto"/>
              <w:highlight w:val="none"/>
            </w:rPr>
            <w:t>1.3.3气候条件</w:t>
          </w:r>
          <w:r>
            <w:rPr>
              <w:color w:val="auto"/>
              <w:highlight w:val="none"/>
            </w:rPr>
            <w:tab/>
          </w:r>
          <w:r>
            <w:rPr>
              <w:color w:val="auto"/>
              <w:highlight w:val="none"/>
            </w:rPr>
            <w:fldChar w:fldCharType="begin"/>
          </w:r>
          <w:r>
            <w:rPr>
              <w:color w:val="auto"/>
              <w:highlight w:val="none"/>
            </w:rPr>
            <w:instrText xml:space="preserve"> PAGEREF _Toc9156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5821E542">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"_Toc13329" </w:instrText>
          </w:r>
          <w:r>
            <w:rPr>
              <w:color w:val="auto"/>
              <w:highlight w:val="none"/>
            </w:rPr>
            <w:fldChar w:fldCharType="separate"/>
          </w:r>
          <w:r>
            <w:rPr>
              <w:rFonts w:hint="eastAsia"/>
              <w:color w:val="auto"/>
              <w:highlight w:val="none"/>
            </w:rPr>
            <w:t>1.3.4工程地质和水文地质条件</w:t>
          </w:r>
          <w:r>
            <w:rPr>
              <w:color w:val="auto"/>
              <w:highlight w:val="none"/>
            </w:rPr>
            <w:tab/>
          </w:r>
          <w:r>
            <w:rPr>
              <w:color w:val="auto"/>
              <w:highlight w:val="none"/>
            </w:rPr>
            <w:fldChar w:fldCharType="begin"/>
          </w:r>
          <w:r>
            <w:rPr>
              <w:color w:val="auto"/>
              <w:highlight w:val="none"/>
            </w:rPr>
            <w:instrText xml:space="preserve"> PAGEREF _Toc13329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13C5675C">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"_Toc28639" </w:instrText>
          </w:r>
          <w:r>
            <w:rPr>
              <w:color w:val="auto"/>
              <w:highlight w:val="none"/>
            </w:rPr>
            <w:fldChar w:fldCharType="separate"/>
          </w:r>
          <w:r>
            <w:rPr>
              <w:rFonts w:hint="eastAsia"/>
              <w:color w:val="auto"/>
              <w:highlight w:val="none"/>
            </w:rPr>
            <w:t>1.3.5公共设施条件</w:t>
          </w:r>
          <w:r>
            <w:rPr>
              <w:color w:val="auto"/>
              <w:highlight w:val="none"/>
            </w:rPr>
            <w:tab/>
          </w:r>
          <w:r>
            <w:rPr>
              <w:color w:val="auto"/>
              <w:highlight w:val="none"/>
            </w:rPr>
            <w:fldChar w:fldCharType="begin"/>
          </w:r>
          <w:r>
            <w:rPr>
              <w:color w:val="auto"/>
              <w:highlight w:val="none"/>
            </w:rPr>
            <w:instrText xml:space="preserve"> PAGEREF _Toc28639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5566A48D">
          <w:pPr>
            <w:pStyle w:val="15"/>
            <w:tabs>
              <w:tab w:val="right" w:leader="dot" w:pos="8306"/>
            </w:tabs>
            <w:rPr>
              <w:color w:val="auto"/>
              <w:highlight w:val="none"/>
            </w:rPr>
          </w:pPr>
          <w:r>
            <w:rPr>
              <w:color w:val="auto"/>
              <w:highlight w:val="none"/>
            </w:rPr>
            <w:fldChar w:fldCharType="begin"/>
          </w:r>
          <w:r>
            <w:rPr>
              <w:color w:val="auto"/>
              <w:highlight w:val="none"/>
            </w:rPr>
            <w:instrText xml:space="preserve"> HYPERLINK \l "_Toc13320" </w:instrText>
          </w:r>
          <w:r>
            <w:rPr>
              <w:color w:val="auto"/>
              <w:highlight w:val="none"/>
            </w:rPr>
            <w:fldChar w:fldCharType="separate"/>
          </w:r>
          <w:r>
            <w:rPr>
              <w:rFonts w:hint="eastAsia"/>
              <w:color w:val="auto"/>
              <w:highlight w:val="none"/>
            </w:rPr>
            <w:t>第二章 设计原则及设计内容</w:t>
          </w:r>
          <w:r>
            <w:rPr>
              <w:color w:val="auto"/>
              <w:highlight w:val="none"/>
            </w:rPr>
            <w:tab/>
          </w:r>
          <w:r>
            <w:rPr>
              <w:color w:val="auto"/>
              <w:highlight w:val="none"/>
            </w:rPr>
            <w:fldChar w:fldCharType="begin"/>
          </w:r>
          <w:r>
            <w:rPr>
              <w:color w:val="auto"/>
              <w:highlight w:val="none"/>
            </w:rPr>
            <w:instrText xml:space="preserve"> PAGEREF _Toc13320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14:paraId="6E410A5B">
          <w:pPr>
            <w:pStyle w:val="17"/>
            <w:tabs>
              <w:tab w:val="right" w:leader="dot" w:pos="8306"/>
            </w:tabs>
            <w:ind w:left="480" w:firstLine="420"/>
            <w:rPr>
              <w:color w:val="auto"/>
              <w:highlight w:val="none"/>
            </w:rPr>
          </w:pPr>
          <w:r>
            <w:rPr>
              <w:color w:val="auto"/>
              <w:highlight w:val="none"/>
            </w:rPr>
            <w:fldChar w:fldCharType="begin"/>
          </w:r>
          <w:r>
            <w:rPr>
              <w:color w:val="auto"/>
              <w:highlight w:val="none"/>
            </w:rPr>
            <w:instrText xml:space="preserve"> HYPERLINK \l "_Toc1981" </w:instrText>
          </w:r>
          <w:r>
            <w:rPr>
              <w:color w:val="auto"/>
              <w:highlight w:val="none"/>
            </w:rPr>
            <w:fldChar w:fldCharType="separate"/>
          </w:r>
          <w:r>
            <w:rPr>
              <w:rFonts w:hint="eastAsia"/>
              <w:color w:val="auto"/>
              <w:highlight w:val="none"/>
            </w:rPr>
            <w:t>2.1设计原则</w:t>
          </w:r>
          <w:r>
            <w:rPr>
              <w:color w:val="auto"/>
              <w:highlight w:val="none"/>
            </w:rPr>
            <w:tab/>
          </w:r>
          <w:r>
            <w:rPr>
              <w:color w:val="auto"/>
              <w:highlight w:val="none"/>
            </w:rPr>
            <w:fldChar w:fldCharType="begin"/>
          </w:r>
          <w:r>
            <w:rPr>
              <w:color w:val="auto"/>
              <w:highlight w:val="none"/>
            </w:rPr>
            <w:instrText xml:space="preserve"> PAGEREF _Toc1981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24A6745E">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"_Toc22331" </w:instrText>
          </w:r>
          <w:r>
            <w:rPr>
              <w:color w:val="auto"/>
              <w:highlight w:val="none"/>
            </w:rPr>
            <w:fldChar w:fldCharType="separate"/>
          </w:r>
          <w:r>
            <w:rPr>
              <w:rFonts w:hint="eastAsia"/>
              <w:color w:val="auto"/>
              <w:highlight w:val="none"/>
            </w:rPr>
            <w:t>2.1.1限额设计原则</w:t>
          </w:r>
          <w:r>
            <w:rPr>
              <w:color w:val="auto"/>
              <w:highlight w:val="none"/>
            </w:rPr>
            <w:tab/>
          </w:r>
          <w:r>
            <w:rPr>
              <w:color w:val="auto"/>
              <w:highlight w:val="none"/>
            </w:rPr>
            <w:fldChar w:fldCharType="begin"/>
          </w:r>
          <w:r>
            <w:rPr>
              <w:color w:val="auto"/>
              <w:highlight w:val="none"/>
            </w:rPr>
            <w:instrText xml:space="preserve"> PAGEREF _Toc22331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14:paraId="6B187072">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"_Toc18267" </w:instrText>
          </w:r>
          <w:r>
            <w:rPr>
              <w:color w:val="auto"/>
              <w:highlight w:val="none"/>
            </w:rPr>
            <w:fldChar w:fldCharType="separate"/>
          </w:r>
          <w:r>
            <w:rPr>
              <w:rFonts w:hint="eastAsia"/>
              <w:color w:val="auto"/>
              <w:highlight w:val="none"/>
            </w:rPr>
            <w:t>2.2.2 适用、经济、绿色、美观原则</w:t>
          </w:r>
          <w:r>
            <w:rPr>
              <w:color w:val="auto"/>
              <w:highlight w:val="none"/>
            </w:rPr>
            <w:tab/>
          </w:r>
          <w:r>
            <w:rPr>
              <w:color w:val="auto"/>
              <w:highlight w:val="none"/>
            </w:rPr>
            <w:fldChar w:fldCharType="begin"/>
          </w:r>
          <w:r>
            <w:rPr>
              <w:color w:val="auto"/>
              <w:highlight w:val="none"/>
            </w:rPr>
            <w:instrText xml:space="preserve"> PAGEREF _Toc18267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7F2F9F5B">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"_Toc24545" </w:instrText>
          </w:r>
          <w:r>
            <w:rPr>
              <w:color w:val="auto"/>
              <w:highlight w:val="none"/>
            </w:rPr>
            <w:fldChar w:fldCharType="separate"/>
          </w:r>
          <w:r>
            <w:rPr>
              <w:rFonts w:hint="eastAsia"/>
              <w:color w:val="auto"/>
              <w:highlight w:val="none"/>
            </w:rPr>
            <w:t>2.1.3深入实际原则</w:t>
          </w:r>
          <w:r>
            <w:rPr>
              <w:color w:val="auto"/>
              <w:highlight w:val="none"/>
            </w:rPr>
            <w:tab/>
          </w:r>
          <w:r>
            <w:rPr>
              <w:color w:val="auto"/>
              <w:highlight w:val="none"/>
            </w:rPr>
            <w:fldChar w:fldCharType="begin"/>
          </w:r>
          <w:r>
            <w:rPr>
              <w:color w:val="auto"/>
              <w:highlight w:val="none"/>
            </w:rPr>
            <w:instrText xml:space="preserve"> PAGEREF _Toc24545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14:paraId="60C575E3">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"_Toc3474" </w:instrText>
          </w:r>
          <w:r>
            <w:rPr>
              <w:color w:val="auto"/>
              <w:highlight w:val="none"/>
            </w:rPr>
            <w:fldChar w:fldCharType="separate"/>
          </w:r>
          <w:r>
            <w:rPr>
              <w:rFonts w:hint="eastAsia"/>
              <w:color w:val="auto"/>
              <w:highlight w:val="none"/>
            </w:rPr>
            <w:t>2.1.4协调共生原则</w:t>
          </w:r>
          <w:r>
            <w:rPr>
              <w:color w:val="auto"/>
              <w:highlight w:val="none"/>
            </w:rPr>
            <w:tab/>
          </w:r>
          <w:r>
            <w:rPr>
              <w:color w:val="auto"/>
              <w:highlight w:val="none"/>
            </w:rPr>
            <w:fldChar w:fldCharType="begin"/>
          </w:r>
          <w:r>
            <w:rPr>
              <w:color w:val="auto"/>
              <w:highlight w:val="none"/>
            </w:rPr>
            <w:instrText xml:space="preserve"> PAGEREF _Toc3474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04BDD671">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"_Toc18657" </w:instrText>
          </w:r>
          <w:r>
            <w:rPr>
              <w:color w:val="auto"/>
              <w:highlight w:val="none"/>
            </w:rPr>
            <w:fldChar w:fldCharType="separate"/>
          </w:r>
          <w:r>
            <w:rPr>
              <w:rFonts w:hint="eastAsia"/>
              <w:color w:val="auto"/>
              <w:highlight w:val="none"/>
            </w:rPr>
            <w:t>2.1.5发展规划原则</w:t>
          </w:r>
          <w:r>
            <w:rPr>
              <w:color w:val="auto"/>
              <w:highlight w:val="none"/>
            </w:rPr>
            <w:tab/>
          </w:r>
          <w:r>
            <w:rPr>
              <w:color w:val="auto"/>
              <w:highlight w:val="none"/>
            </w:rPr>
            <w:fldChar w:fldCharType="begin"/>
          </w:r>
          <w:r>
            <w:rPr>
              <w:color w:val="auto"/>
              <w:highlight w:val="none"/>
            </w:rPr>
            <w:instrText xml:space="preserve"> PAGEREF _Toc18657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649A0C9A">
          <w:pPr>
            <w:pStyle w:val="17"/>
            <w:tabs>
              <w:tab w:val="right" w:leader="dot" w:pos="8306"/>
            </w:tabs>
            <w:ind w:left="480" w:firstLine="420"/>
            <w:rPr>
              <w:color w:val="auto"/>
              <w:highlight w:val="none"/>
            </w:rPr>
          </w:pPr>
          <w:r>
            <w:rPr>
              <w:color w:val="auto"/>
              <w:highlight w:val="none"/>
            </w:rPr>
            <w:fldChar w:fldCharType="begin"/>
          </w:r>
          <w:r>
            <w:rPr>
              <w:color w:val="auto"/>
              <w:highlight w:val="none"/>
            </w:rPr>
            <w:instrText xml:space="preserve"> HYPERLINK \l "_Toc2881" </w:instrText>
          </w:r>
          <w:r>
            <w:rPr>
              <w:color w:val="auto"/>
              <w:highlight w:val="none"/>
            </w:rPr>
            <w:fldChar w:fldCharType="separate"/>
          </w:r>
          <w:r>
            <w:rPr>
              <w:rFonts w:hint="eastAsia"/>
              <w:color w:val="auto"/>
              <w:highlight w:val="none"/>
            </w:rPr>
            <w:t>2.2勘察设计内容</w:t>
          </w:r>
          <w:r>
            <w:rPr>
              <w:color w:val="auto"/>
              <w:highlight w:val="none"/>
            </w:rPr>
            <w:tab/>
          </w:r>
          <w:r>
            <w:rPr>
              <w:color w:val="auto"/>
              <w:highlight w:val="none"/>
            </w:rPr>
            <w:fldChar w:fldCharType="begin"/>
          </w:r>
          <w:r>
            <w:rPr>
              <w:color w:val="auto"/>
              <w:highlight w:val="none"/>
            </w:rPr>
            <w:instrText xml:space="preserve"> PAGEREF _Toc2881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14:paraId="3BA6CF12">
          <w:pPr>
            <w:pStyle w:val="15"/>
            <w:tabs>
              <w:tab w:val="right" w:leader="dot" w:pos="8306"/>
            </w:tabs>
            <w:rPr>
              <w:color w:val="auto"/>
              <w:highlight w:val="none"/>
            </w:rPr>
          </w:pPr>
          <w:r>
            <w:rPr>
              <w:color w:val="auto"/>
              <w:highlight w:val="none"/>
            </w:rPr>
            <w:fldChar w:fldCharType="begin"/>
          </w:r>
          <w:r>
            <w:rPr>
              <w:color w:val="auto"/>
              <w:highlight w:val="none"/>
            </w:rPr>
            <w:instrText xml:space="preserve"> HYPERLINK \l "_Toc25327" </w:instrText>
          </w:r>
          <w:r>
            <w:rPr>
              <w:color w:val="auto"/>
              <w:highlight w:val="none"/>
            </w:rPr>
            <w:fldChar w:fldCharType="separate"/>
          </w:r>
          <w:r>
            <w:rPr>
              <w:rFonts w:hint="eastAsia"/>
              <w:color w:val="auto"/>
              <w:highlight w:val="none"/>
            </w:rPr>
            <w:t>第三章 勘察设计要求</w:t>
          </w:r>
          <w:r>
            <w:rPr>
              <w:color w:val="auto"/>
              <w:highlight w:val="none"/>
            </w:rPr>
            <w:tab/>
          </w:r>
          <w:r>
            <w:rPr>
              <w:color w:val="auto"/>
              <w:highlight w:val="none"/>
            </w:rPr>
            <w:fldChar w:fldCharType="begin"/>
          </w:r>
          <w:r>
            <w:rPr>
              <w:color w:val="auto"/>
              <w:highlight w:val="none"/>
            </w:rPr>
            <w:instrText xml:space="preserve"> PAGEREF _Toc25327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6ACEC63A">
          <w:pPr>
            <w:pStyle w:val="17"/>
            <w:tabs>
              <w:tab w:val="right" w:leader="dot" w:pos="8306"/>
            </w:tabs>
            <w:ind w:left="480" w:firstLine="420"/>
            <w:rPr>
              <w:color w:val="auto"/>
              <w:highlight w:val="none"/>
            </w:rPr>
          </w:pPr>
          <w:r>
            <w:rPr>
              <w:color w:val="auto"/>
              <w:highlight w:val="none"/>
            </w:rPr>
            <w:fldChar w:fldCharType="begin"/>
          </w:r>
          <w:r>
            <w:rPr>
              <w:color w:val="auto"/>
              <w:highlight w:val="none"/>
            </w:rPr>
            <w:instrText xml:space="preserve"> HYPERLINK \l "_Toc19560" </w:instrText>
          </w:r>
          <w:r>
            <w:rPr>
              <w:color w:val="auto"/>
              <w:highlight w:val="none"/>
            </w:rPr>
            <w:fldChar w:fldCharType="separate"/>
          </w:r>
          <w:r>
            <w:rPr>
              <w:rFonts w:hint="eastAsia"/>
              <w:color w:val="auto"/>
              <w:highlight w:val="none"/>
            </w:rPr>
            <w:t>3.1勘察设计总体要求</w:t>
          </w:r>
          <w:r>
            <w:rPr>
              <w:color w:val="auto"/>
              <w:highlight w:val="none"/>
            </w:rPr>
            <w:tab/>
          </w:r>
          <w:r>
            <w:rPr>
              <w:color w:val="auto"/>
              <w:highlight w:val="none"/>
            </w:rPr>
            <w:fldChar w:fldCharType="begin"/>
          </w:r>
          <w:r>
            <w:rPr>
              <w:color w:val="auto"/>
              <w:highlight w:val="none"/>
            </w:rPr>
            <w:instrText xml:space="preserve"> PAGEREF _Toc19560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0697A305">
          <w:pPr>
            <w:pStyle w:val="17"/>
            <w:tabs>
              <w:tab w:val="right" w:leader="dot" w:pos="8306"/>
            </w:tabs>
            <w:ind w:left="480" w:firstLine="420"/>
            <w:rPr>
              <w:color w:val="auto"/>
              <w:highlight w:val="none"/>
            </w:rPr>
          </w:pPr>
          <w:r>
            <w:rPr>
              <w:color w:val="auto"/>
              <w:highlight w:val="none"/>
            </w:rPr>
            <w:fldChar w:fldCharType="begin"/>
          </w:r>
          <w:r>
            <w:rPr>
              <w:color w:val="auto"/>
              <w:highlight w:val="none"/>
            </w:rPr>
            <w:instrText xml:space="preserve"> HYPERLINK \l "_Toc6046" </w:instrText>
          </w:r>
          <w:r>
            <w:rPr>
              <w:color w:val="auto"/>
              <w:highlight w:val="none"/>
            </w:rPr>
            <w:fldChar w:fldCharType="separate"/>
          </w:r>
          <w:r>
            <w:rPr>
              <w:rFonts w:hint="eastAsia"/>
              <w:color w:val="auto"/>
              <w:highlight w:val="none"/>
            </w:rPr>
            <w:t>3.2勘察工作要求</w:t>
          </w:r>
          <w:r>
            <w:rPr>
              <w:color w:val="auto"/>
              <w:highlight w:val="none"/>
            </w:rPr>
            <w:tab/>
          </w:r>
          <w:r>
            <w:rPr>
              <w:color w:val="auto"/>
              <w:highlight w:val="none"/>
            </w:rPr>
            <w:fldChar w:fldCharType="begin"/>
          </w:r>
          <w:r>
            <w:rPr>
              <w:color w:val="auto"/>
              <w:highlight w:val="none"/>
            </w:rPr>
            <w:instrText xml:space="preserve"> PAGEREF _Toc6046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24CDD6CF">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"_Toc21381" </w:instrText>
          </w:r>
          <w:r>
            <w:rPr>
              <w:color w:val="auto"/>
              <w:highlight w:val="none"/>
            </w:rPr>
            <w:fldChar w:fldCharType="separate"/>
          </w:r>
          <w:r>
            <w:rPr>
              <w:rFonts w:hint="eastAsia"/>
              <w:color w:val="auto"/>
              <w:highlight w:val="none"/>
            </w:rPr>
            <w:t>3.2.1岩土工程勘察成果深度要求</w:t>
          </w:r>
          <w:r>
            <w:rPr>
              <w:color w:val="auto"/>
              <w:highlight w:val="none"/>
            </w:rPr>
            <w:tab/>
          </w:r>
          <w:r>
            <w:rPr>
              <w:color w:val="auto"/>
              <w:highlight w:val="none"/>
            </w:rPr>
            <w:fldChar w:fldCharType="begin"/>
          </w:r>
          <w:r>
            <w:rPr>
              <w:color w:val="auto"/>
              <w:highlight w:val="none"/>
            </w:rPr>
            <w:instrText xml:space="preserve"> PAGEREF _Toc21381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14:paraId="6132E627">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"_Toc27110" </w:instrText>
          </w:r>
          <w:r>
            <w:rPr>
              <w:color w:val="auto"/>
              <w:highlight w:val="none"/>
            </w:rPr>
            <w:fldChar w:fldCharType="separate"/>
          </w:r>
          <w:r>
            <w:rPr>
              <w:rFonts w:hint="eastAsia"/>
              <w:color w:val="auto"/>
              <w:highlight w:val="none"/>
            </w:rPr>
            <w:t>3.2.2工程测量成果深度要求</w:t>
          </w:r>
          <w:r>
            <w:rPr>
              <w:color w:val="auto"/>
              <w:highlight w:val="none"/>
            </w:rPr>
            <w:tab/>
          </w:r>
          <w:r>
            <w:rPr>
              <w:color w:val="auto"/>
              <w:highlight w:val="none"/>
            </w:rPr>
            <w:fldChar w:fldCharType="begin"/>
          </w:r>
          <w:r>
            <w:rPr>
              <w:color w:val="auto"/>
              <w:highlight w:val="none"/>
            </w:rPr>
            <w:instrText xml:space="preserve"> PAGEREF _Toc27110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13ABF3E7">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"_Toc8307" </w:instrText>
          </w:r>
          <w:r>
            <w:rPr>
              <w:color w:val="auto"/>
              <w:highlight w:val="none"/>
            </w:rPr>
            <w:fldChar w:fldCharType="separate"/>
          </w:r>
          <w:r>
            <w:rPr>
              <w:rFonts w:hint="eastAsia"/>
              <w:color w:val="auto"/>
              <w:highlight w:val="none"/>
            </w:rPr>
            <w:t>3.2.3工程物探成果深度要求</w:t>
          </w:r>
          <w:r>
            <w:rPr>
              <w:color w:val="auto"/>
              <w:highlight w:val="none"/>
            </w:rPr>
            <w:tab/>
          </w:r>
          <w:r>
            <w:rPr>
              <w:color w:val="auto"/>
              <w:highlight w:val="none"/>
            </w:rPr>
            <w:fldChar w:fldCharType="begin"/>
          </w:r>
          <w:r>
            <w:rPr>
              <w:color w:val="auto"/>
              <w:highlight w:val="none"/>
            </w:rPr>
            <w:instrText xml:space="preserve"> PAGEREF _Toc8307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14:paraId="74B8F0C1">
          <w:pPr>
            <w:pStyle w:val="17"/>
            <w:tabs>
              <w:tab w:val="right" w:leader="dot" w:pos="8306"/>
            </w:tabs>
            <w:ind w:left="480" w:firstLine="420"/>
            <w:rPr>
              <w:color w:val="auto"/>
              <w:highlight w:val="none"/>
            </w:rPr>
          </w:pPr>
          <w:r>
            <w:rPr>
              <w:color w:val="auto"/>
              <w:highlight w:val="none"/>
            </w:rPr>
            <w:fldChar w:fldCharType="begin"/>
          </w:r>
          <w:r>
            <w:rPr>
              <w:color w:val="auto"/>
              <w:highlight w:val="none"/>
            </w:rPr>
            <w:instrText xml:space="preserve"> HYPERLINK \l "_Toc18412" </w:instrText>
          </w:r>
          <w:r>
            <w:rPr>
              <w:color w:val="auto"/>
              <w:highlight w:val="none"/>
            </w:rPr>
            <w:fldChar w:fldCharType="separate"/>
          </w:r>
          <w:r>
            <w:rPr>
              <w:rFonts w:hint="eastAsia"/>
              <w:color w:val="auto"/>
              <w:highlight w:val="none"/>
            </w:rPr>
            <w:t>3.3设计工作要求</w:t>
          </w:r>
          <w:r>
            <w:rPr>
              <w:color w:val="auto"/>
              <w:highlight w:val="none"/>
            </w:rPr>
            <w:tab/>
          </w:r>
          <w:r>
            <w:rPr>
              <w:color w:val="auto"/>
              <w:highlight w:val="none"/>
            </w:rPr>
            <w:fldChar w:fldCharType="begin"/>
          </w:r>
          <w:r>
            <w:rPr>
              <w:color w:val="auto"/>
              <w:highlight w:val="none"/>
            </w:rPr>
            <w:instrText xml:space="preserve"> PAGEREF _Toc18412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2D69D009">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"_Toc1939" </w:instrText>
          </w:r>
          <w:r>
            <w:rPr>
              <w:color w:val="auto"/>
              <w:highlight w:val="none"/>
            </w:rPr>
            <w:fldChar w:fldCharType="separate"/>
          </w:r>
          <w:r>
            <w:rPr>
              <w:rFonts w:hint="eastAsia"/>
              <w:color w:val="auto"/>
              <w:highlight w:val="none"/>
            </w:rPr>
            <w:t>3.3.1规划设计要求</w:t>
          </w:r>
          <w:r>
            <w:rPr>
              <w:color w:val="auto"/>
              <w:highlight w:val="none"/>
            </w:rPr>
            <w:tab/>
          </w:r>
          <w:r>
            <w:rPr>
              <w:color w:val="auto"/>
              <w:highlight w:val="none"/>
            </w:rPr>
            <w:fldChar w:fldCharType="begin"/>
          </w:r>
          <w:r>
            <w:rPr>
              <w:color w:val="auto"/>
              <w:highlight w:val="none"/>
            </w:rPr>
            <w:instrText xml:space="preserve"> PAGEREF _Toc1939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695DEEE5">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"_Toc8214" </w:instrText>
          </w:r>
          <w:r>
            <w:rPr>
              <w:color w:val="auto"/>
              <w:highlight w:val="none"/>
            </w:rPr>
            <w:fldChar w:fldCharType="separate"/>
          </w:r>
          <w:r>
            <w:rPr>
              <w:rFonts w:hint="eastAsia"/>
              <w:color w:val="auto"/>
              <w:highlight w:val="none"/>
            </w:rPr>
            <w:t>3.3.2建筑与室内装修设计要求</w:t>
          </w:r>
          <w:r>
            <w:rPr>
              <w:color w:val="auto"/>
              <w:highlight w:val="none"/>
            </w:rPr>
            <w:tab/>
          </w:r>
          <w:r>
            <w:rPr>
              <w:color w:val="auto"/>
              <w:highlight w:val="none"/>
            </w:rPr>
            <w:fldChar w:fldCharType="begin"/>
          </w:r>
          <w:r>
            <w:rPr>
              <w:color w:val="auto"/>
              <w:highlight w:val="none"/>
            </w:rPr>
            <w:instrText xml:space="preserve"> PAGEREF _Toc8214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14:paraId="2FEE1EC9">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"_Toc8982" </w:instrText>
          </w:r>
          <w:r>
            <w:rPr>
              <w:color w:val="auto"/>
              <w:highlight w:val="none"/>
            </w:rPr>
            <w:fldChar w:fldCharType="separate"/>
          </w:r>
          <w:r>
            <w:rPr>
              <w:rFonts w:hint="eastAsia"/>
              <w:color w:val="auto"/>
              <w:highlight w:val="none"/>
            </w:rPr>
            <w:t>3.3.3 BIM设计要求</w:t>
          </w:r>
          <w:r>
            <w:rPr>
              <w:color w:val="auto"/>
              <w:highlight w:val="none"/>
            </w:rPr>
            <w:tab/>
          </w:r>
          <w:r>
            <w:rPr>
              <w:color w:val="auto"/>
              <w:highlight w:val="none"/>
            </w:rPr>
            <w:fldChar w:fldCharType="begin"/>
          </w:r>
          <w:r>
            <w:rPr>
              <w:color w:val="auto"/>
              <w:highlight w:val="none"/>
            </w:rPr>
            <w:instrText xml:space="preserve"> PAGEREF _Toc8982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14:paraId="3033DDFF">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"_Toc31661" </w:instrText>
          </w:r>
          <w:r>
            <w:rPr>
              <w:color w:val="auto"/>
              <w:highlight w:val="none"/>
            </w:rPr>
            <w:fldChar w:fldCharType="separate"/>
          </w:r>
          <w:r>
            <w:rPr>
              <w:rFonts w:hint="eastAsia"/>
              <w:color w:val="auto"/>
              <w:highlight w:val="none"/>
            </w:rPr>
            <w:t>3.3.4 装配式设计要求</w:t>
          </w:r>
          <w:r>
            <w:rPr>
              <w:color w:val="auto"/>
              <w:highlight w:val="none"/>
            </w:rPr>
            <w:tab/>
          </w:r>
          <w:r>
            <w:rPr>
              <w:color w:val="auto"/>
              <w:highlight w:val="none"/>
            </w:rPr>
            <w:fldChar w:fldCharType="begin"/>
          </w:r>
          <w:r>
            <w:rPr>
              <w:color w:val="auto"/>
              <w:highlight w:val="none"/>
            </w:rPr>
            <w:instrText xml:space="preserve"> PAGEREF _Toc31661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14:paraId="4D73AC30">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"_Toc14226" </w:instrText>
          </w:r>
          <w:r>
            <w:rPr>
              <w:color w:val="auto"/>
              <w:highlight w:val="none"/>
            </w:rPr>
            <w:fldChar w:fldCharType="separate"/>
          </w:r>
          <w:r>
            <w:rPr>
              <w:rFonts w:hint="eastAsia"/>
              <w:color w:val="auto"/>
              <w:highlight w:val="none"/>
            </w:rPr>
            <w:t>3.3.5结构设计要求</w:t>
          </w:r>
          <w:r>
            <w:rPr>
              <w:color w:val="auto"/>
              <w:highlight w:val="none"/>
            </w:rPr>
            <w:tab/>
          </w:r>
          <w:r>
            <w:rPr>
              <w:color w:val="auto"/>
              <w:highlight w:val="none"/>
            </w:rPr>
            <w:fldChar w:fldCharType="begin"/>
          </w:r>
          <w:r>
            <w:rPr>
              <w:color w:val="auto"/>
              <w:highlight w:val="none"/>
            </w:rPr>
            <w:instrText xml:space="preserve"> PAGEREF _Toc14226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10EF5A1B">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"_Toc13210" </w:instrText>
          </w:r>
          <w:r>
            <w:rPr>
              <w:color w:val="auto"/>
              <w:highlight w:val="none"/>
            </w:rPr>
            <w:fldChar w:fldCharType="separate"/>
          </w:r>
          <w:r>
            <w:rPr>
              <w:rFonts w:hint="eastAsia"/>
              <w:color w:val="auto"/>
              <w:highlight w:val="none"/>
            </w:rPr>
            <w:t>3.3.6室外工程设计要求</w:t>
          </w:r>
          <w:r>
            <w:rPr>
              <w:color w:val="auto"/>
              <w:highlight w:val="none"/>
            </w:rPr>
            <w:tab/>
          </w:r>
          <w:r>
            <w:rPr>
              <w:color w:val="auto"/>
              <w:highlight w:val="none"/>
            </w:rPr>
            <w:fldChar w:fldCharType="begin"/>
          </w:r>
          <w:r>
            <w:rPr>
              <w:color w:val="auto"/>
              <w:highlight w:val="none"/>
            </w:rPr>
            <w:instrText xml:space="preserve"> PAGEREF _Toc13210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14:paraId="74E634B1">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"_Toc28236" </w:instrText>
          </w:r>
          <w:r>
            <w:rPr>
              <w:color w:val="auto"/>
              <w:highlight w:val="none"/>
            </w:rPr>
            <w:fldChar w:fldCharType="separate"/>
          </w:r>
          <w:r>
            <w:rPr>
              <w:rFonts w:hint="eastAsia"/>
              <w:color w:val="auto"/>
              <w:highlight w:val="none"/>
            </w:rPr>
            <w:t>3.3.7给排水设计要求</w:t>
          </w:r>
          <w:r>
            <w:rPr>
              <w:color w:val="auto"/>
              <w:highlight w:val="none"/>
            </w:rPr>
            <w:tab/>
          </w:r>
          <w:r>
            <w:rPr>
              <w:color w:val="auto"/>
              <w:highlight w:val="none"/>
            </w:rPr>
            <w:fldChar w:fldCharType="begin"/>
          </w:r>
          <w:r>
            <w:rPr>
              <w:color w:val="auto"/>
              <w:highlight w:val="none"/>
            </w:rPr>
            <w:instrText xml:space="preserve"> PAGEREF _Toc28236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14:paraId="4309DE32">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"_Toc14340" </w:instrText>
          </w:r>
          <w:r>
            <w:rPr>
              <w:color w:val="auto"/>
              <w:highlight w:val="none"/>
            </w:rPr>
            <w:fldChar w:fldCharType="separate"/>
          </w:r>
          <w:r>
            <w:rPr>
              <w:rFonts w:hint="eastAsia"/>
              <w:color w:val="auto"/>
              <w:highlight w:val="none"/>
            </w:rPr>
            <w:t>3.3.8电气设计要求</w:t>
          </w:r>
          <w:r>
            <w:rPr>
              <w:color w:val="auto"/>
              <w:highlight w:val="none"/>
            </w:rPr>
            <w:tab/>
          </w:r>
          <w:r>
            <w:rPr>
              <w:color w:val="auto"/>
              <w:highlight w:val="none"/>
            </w:rPr>
            <w:fldChar w:fldCharType="begin"/>
          </w:r>
          <w:r>
            <w:rPr>
              <w:color w:val="auto"/>
              <w:highlight w:val="none"/>
            </w:rPr>
            <w:instrText xml:space="preserve"> PAGEREF _Toc14340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14:paraId="6B4EA08E">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"_Toc6885" </w:instrText>
          </w:r>
          <w:r>
            <w:rPr>
              <w:color w:val="auto"/>
              <w:highlight w:val="none"/>
            </w:rPr>
            <w:fldChar w:fldCharType="separate"/>
          </w:r>
          <w:r>
            <w:rPr>
              <w:rFonts w:hint="eastAsia"/>
              <w:color w:val="auto"/>
              <w:highlight w:val="none"/>
            </w:rPr>
            <w:t>3.3.9消防工程设计要求</w:t>
          </w:r>
          <w:r>
            <w:rPr>
              <w:color w:val="auto"/>
              <w:highlight w:val="none"/>
            </w:rPr>
            <w:tab/>
          </w:r>
          <w:r>
            <w:rPr>
              <w:color w:val="auto"/>
              <w:highlight w:val="none"/>
            </w:rPr>
            <w:fldChar w:fldCharType="begin"/>
          </w:r>
          <w:r>
            <w:rPr>
              <w:color w:val="auto"/>
              <w:highlight w:val="none"/>
            </w:rPr>
            <w:instrText xml:space="preserve"> PAGEREF _Toc6885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14:paraId="33DBBA47">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"_Toc27091" </w:instrText>
          </w:r>
          <w:r>
            <w:rPr>
              <w:color w:val="auto"/>
              <w:highlight w:val="none"/>
            </w:rPr>
            <w:fldChar w:fldCharType="separate"/>
          </w:r>
          <w:r>
            <w:rPr>
              <w:rFonts w:hint="eastAsia"/>
              <w:color w:val="auto"/>
              <w:highlight w:val="none"/>
            </w:rPr>
            <w:t>3.3.10燃气工程设计要求</w:t>
          </w:r>
          <w:r>
            <w:rPr>
              <w:color w:val="auto"/>
              <w:highlight w:val="none"/>
            </w:rPr>
            <w:tab/>
          </w:r>
          <w:r>
            <w:rPr>
              <w:color w:val="auto"/>
              <w:highlight w:val="none"/>
            </w:rPr>
            <w:fldChar w:fldCharType="begin"/>
          </w:r>
          <w:r>
            <w:rPr>
              <w:color w:val="auto"/>
              <w:highlight w:val="none"/>
            </w:rPr>
            <w:instrText xml:space="preserve"> PAGEREF _Toc27091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14:paraId="5A0143C3">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"_Toc12102" </w:instrText>
          </w:r>
          <w:r>
            <w:rPr>
              <w:color w:val="auto"/>
              <w:highlight w:val="none"/>
            </w:rPr>
            <w:fldChar w:fldCharType="separate"/>
          </w:r>
          <w:r>
            <w:rPr>
              <w:rFonts w:hint="eastAsia"/>
              <w:color w:val="auto"/>
              <w:highlight w:val="none"/>
            </w:rPr>
            <w:t>3.3.11电梯设备设计要求</w:t>
          </w:r>
          <w:r>
            <w:rPr>
              <w:color w:val="auto"/>
              <w:highlight w:val="none"/>
            </w:rPr>
            <w:tab/>
          </w:r>
          <w:r>
            <w:rPr>
              <w:color w:val="auto"/>
              <w:highlight w:val="none"/>
            </w:rPr>
            <w:fldChar w:fldCharType="begin"/>
          </w:r>
          <w:r>
            <w:rPr>
              <w:color w:val="auto"/>
              <w:highlight w:val="none"/>
            </w:rPr>
            <w:instrText xml:space="preserve"> PAGEREF _Toc12102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14:paraId="66447346">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"_Toc15721" </w:instrText>
          </w:r>
          <w:r>
            <w:rPr>
              <w:color w:val="auto"/>
              <w:highlight w:val="none"/>
            </w:rPr>
            <w:fldChar w:fldCharType="separate"/>
          </w:r>
          <w:r>
            <w:rPr>
              <w:rFonts w:hint="eastAsia"/>
              <w:color w:val="auto"/>
              <w:highlight w:val="none"/>
            </w:rPr>
            <w:t>3.3.12空调与通风设计要求</w:t>
          </w:r>
          <w:r>
            <w:rPr>
              <w:color w:val="auto"/>
              <w:highlight w:val="none"/>
            </w:rPr>
            <w:tab/>
          </w:r>
          <w:r>
            <w:rPr>
              <w:color w:val="auto"/>
              <w:highlight w:val="none"/>
            </w:rPr>
            <w:fldChar w:fldCharType="begin"/>
          </w:r>
          <w:r>
            <w:rPr>
              <w:color w:val="auto"/>
              <w:highlight w:val="none"/>
            </w:rPr>
            <w:instrText xml:space="preserve"> PAGEREF _Toc15721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14:paraId="0EC40F53">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"_Toc22520" </w:instrText>
          </w:r>
          <w:r>
            <w:rPr>
              <w:color w:val="auto"/>
              <w:highlight w:val="none"/>
            </w:rPr>
            <w:fldChar w:fldCharType="separate"/>
          </w:r>
          <w:r>
            <w:rPr>
              <w:rFonts w:hint="eastAsia"/>
              <w:color w:val="auto"/>
              <w:highlight w:val="none"/>
            </w:rPr>
            <w:t>3.3</w:t>
          </w:r>
          <w:r>
            <w:rPr>
              <w:color w:val="auto"/>
              <w:highlight w:val="none"/>
            </w:rPr>
            <w:t>.1</w:t>
          </w:r>
          <w:r>
            <w:rPr>
              <w:rFonts w:hint="eastAsia"/>
              <w:color w:val="auto"/>
              <w:highlight w:val="none"/>
            </w:rPr>
            <w:t>3厨房和食堂设计要求</w:t>
          </w:r>
          <w:r>
            <w:rPr>
              <w:color w:val="auto"/>
              <w:highlight w:val="none"/>
            </w:rPr>
            <w:tab/>
          </w:r>
          <w:r>
            <w:rPr>
              <w:color w:val="auto"/>
              <w:highlight w:val="none"/>
            </w:rPr>
            <w:fldChar w:fldCharType="begin"/>
          </w:r>
          <w:r>
            <w:rPr>
              <w:color w:val="auto"/>
              <w:highlight w:val="none"/>
            </w:rPr>
            <w:instrText xml:space="preserve"> PAGEREF _Toc22520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0D5C1333">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"_Toc22549" </w:instrText>
          </w:r>
          <w:r>
            <w:rPr>
              <w:color w:val="auto"/>
              <w:highlight w:val="none"/>
            </w:rPr>
            <w:fldChar w:fldCharType="separate"/>
          </w:r>
          <w:r>
            <w:rPr>
              <w:rFonts w:hint="eastAsia"/>
              <w:color w:val="auto"/>
              <w:highlight w:val="none"/>
            </w:rPr>
            <w:t>3.3.14无障碍设计要求</w:t>
          </w:r>
          <w:r>
            <w:rPr>
              <w:color w:val="auto"/>
              <w:highlight w:val="none"/>
            </w:rPr>
            <w:tab/>
          </w:r>
          <w:r>
            <w:rPr>
              <w:color w:val="auto"/>
              <w:highlight w:val="none"/>
            </w:rPr>
            <w:fldChar w:fldCharType="begin"/>
          </w:r>
          <w:r>
            <w:rPr>
              <w:color w:val="auto"/>
              <w:highlight w:val="none"/>
            </w:rPr>
            <w:instrText xml:space="preserve"> PAGEREF _Toc22549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00D4F62C">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"_Toc19542" </w:instrText>
          </w:r>
          <w:r>
            <w:rPr>
              <w:color w:val="auto"/>
              <w:highlight w:val="none"/>
            </w:rPr>
            <w:fldChar w:fldCharType="separate"/>
          </w:r>
          <w:r>
            <w:rPr>
              <w:rFonts w:hint="eastAsia"/>
              <w:color w:val="auto"/>
              <w:highlight w:val="none"/>
            </w:rPr>
            <w:t>3.3.15其它设计要求</w:t>
          </w:r>
          <w:r>
            <w:rPr>
              <w:color w:val="auto"/>
              <w:highlight w:val="none"/>
            </w:rPr>
            <w:tab/>
          </w:r>
          <w:r>
            <w:rPr>
              <w:color w:val="auto"/>
              <w:highlight w:val="none"/>
            </w:rPr>
            <w:fldChar w:fldCharType="begin"/>
          </w:r>
          <w:r>
            <w:rPr>
              <w:color w:val="auto"/>
              <w:highlight w:val="none"/>
            </w:rPr>
            <w:instrText xml:space="preserve"> PAGEREF _Toc19542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14:paraId="5111398F">
          <w:pPr>
            <w:pStyle w:val="17"/>
            <w:tabs>
              <w:tab w:val="right" w:leader="dot" w:pos="8306"/>
            </w:tabs>
            <w:ind w:left="480" w:firstLine="420"/>
            <w:rPr>
              <w:color w:val="auto"/>
              <w:highlight w:val="none"/>
            </w:rPr>
          </w:pPr>
          <w:r>
            <w:rPr>
              <w:color w:val="auto"/>
              <w:highlight w:val="none"/>
            </w:rPr>
            <w:fldChar w:fldCharType="begin"/>
          </w:r>
          <w:r>
            <w:rPr>
              <w:color w:val="auto"/>
              <w:highlight w:val="none"/>
            </w:rPr>
            <w:instrText xml:space="preserve"> HYPERLINK \l "_Toc9725" </w:instrText>
          </w:r>
          <w:r>
            <w:rPr>
              <w:color w:val="auto"/>
              <w:highlight w:val="none"/>
            </w:rPr>
            <w:fldChar w:fldCharType="separate"/>
          </w:r>
          <w:r>
            <w:rPr>
              <w:rFonts w:hint="eastAsia"/>
              <w:color w:val="auto"/>
              <w:highlight w:val="none"/>
            </w:rPr>
            <w:t>3.4造价工作要求</w:t>
          </w:r>
          <w:r>
            <w:rPr>
              <w:color w:val="auto"/>
              <w:highlight w:val="none"/>
            </w:rPr>
            <w:tab/>
          </w:r>
          <w:r>
            <w:rPr>
              <w:color w:val="auto"/>
              <w:highlight w:val="none"/>
            </w:rPr>
            <w:fldChar w:fldCharType="begin"/>
          </w:r>
          <w:r>
            <w:rPr>
              <w:color w:val="auto"/>
              <w:highlight w:val="none"/>
            </w:rPr>
            <w:instrText xml:space="preserve"> PAGEREF _Toc9725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14:paraId="1CDA6D7E">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"_Toc31033" </w:instrText>
          </w:r>
          <w:r>
            <w:rPr>
              <w:color w:val="auto"/>
              <w:highlight w:val="none"/>
            </w:rPr>
            <w:fldChar w:fldCharType="separate"/>
          </w:r>
          <w:r>
            <w:rPr>
              <w:rFonts w:hint="eastAsia"/>
              <w:color w:val="auto"/>
              <w:highlight w:val="none"/>
            </w:rPr>
            <w:t>3.4.1造价文件编制及报审工作</w:t>
          </w:r>
          <w:r>
            <w:rPr>
              <w:color w:val="auto"/>
              <w:highlight w:val="none"/>
            </w:rPr>
            <w:tab/>
          </w:r>
          <w:r>
            <w:rPr>
              <w:color w:val="auto"/>
              <w:highlight w:val="none"/>
            </w:rPr>
            <w:fldChar w:fldCharType="begin"/>
          </w:r>
          <w:r>
            <w:rPr>
              <w:color w:val="auto"/>
              <w:highlight w:val="none"/>
            </w:rPr>
            <w:instrText xml:space="preserve"> PAGEREF _Toc31033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14:paraId="798C5650">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"_Toc5279" </w:instrText>
          </w:r>
          <w:r>
            <w:rPr>
              <w:color w:val="auto"/>
              <w:highlight w:val="none"/>
            </w:rPr>
            <w:fldChar w:fldCharType="separate"/>
          </w:r>
          <w:r>
            <w:rPr>
              <w:rFonts w:hint="eastAsia"/>
              <w:color w:val="auto"/>
              <w:highlight w:val="none"/>
            </w:rPr>
            <w:t>3.4.2 造价控制要求及工作要求</w:t>
          </w:r>
          <w:r>
            <w:rPr>
              <w:color w:val="auto"/>
              <w:highlight w:val="none"/>
            </w:rPr>
            <w:tab/>
          </w:r>
          <w:r>
            <w:rPr>
              <w:color w:val="auto"/>
              <w:highlight w:val="none"/>
            </w:rPr>
            <w:fldChar w:fldCharType="begin"/>
          </w:r>
          <w:r>
            <w:rPr>
              <w:color w:val="auto"/>
              <w:highlight w:val="none"/>
            </w:rPr>
            <w:instrText xml:space="preserve"> PAGEREF _Toc5279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14:paraId="665CAFCD">
          <w:pPr>
            <w:pStyle w:val="15"/>
            <w:tabs>
              <w:tab w:val="right" w:leader="dot" w:pos="8306"/>
            </w:tabs>
            <w:rPr>
              <w:color w:val="auto"/>
              <w:highlight w:val="none"/>
            </w:rPr>
          </w:pPr>
          <w:r>
            <w:rPr>
              <w:color w:val="auto"/>
              <w:highlight w:val="none"/>
            </w:rPr>
            <w:fldChar w:fldCharType="begin"/>
          </w:r>
          <w:r>
            <w:rPr>
              <w:color w:val="auto"/>
              <w:highlight w:val="none"/>
            </w:rPr>
            <w:instrText xml:space="preserve"> HYPERLINK \l "_Toc8715" </w:instrText>
          </w:r>
          <w:r>
            <w:rPr>
              <w:color w:val="auto"/>
              <w:highlight w:val="none"/>
            </w:rPr>
            <w:fldChar w:fldCharType="separate"/>
          </w:r>
          <w:r>
            <w:rPr>
              <w:rFonts w:hint="eastAsia" w:ascii="宋体" w:hAnsi="宋体" w:cs="宋体"/>
              <w:color w:val="auto"/>
              <w:highlight w:val="none"/>
            </w:rPr>
            <w:t>第四章  勘察设计人员组织要求</w:t>
          </w:r>
          <w:r>
            <w:rPr>
              <w:color w:val="auto"/>
              <w:highlight w:val="none"/>
            </w:rPr>
            <w:tab/>
          </w:r>
          <w:r>
            <w:rPr>
              <w:color w:val="auto"/>
              <w:highlight w:val="none"/>
            </w:rPr>
            <w:fldChar w:fldCharType="begin"/>
          </w:r>
          <w:r>
            <w:rPr>
              <w:color w:val="auto"/>
              <w:highlight w:val="none"/>
            </w:rPr>
            <w:instrText xml:space="preserve"> PAGEREF _Toc8715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14:paraId="4B47421A">
          <w:pPr>
            <w:pStyle w:val="17"/>
            <w:tabs>
              <w:tab w:val="right" w:leader="dot" w:pos="8306"/>
            </w:tabs>
            <w:ind w:left="480" w:firstLine="420"/>
            <w:rPr>
              <w:color w:val="auto"/>
              <w:highlight w:val="none"/>
            </w:rPr>
          </w:pPr>
          <w:r>
            <w:rPr>
              <w:color w:val="auto"/>
              <w:highlight w:val="none"/>
            </w:rPr>
            <w:fldChar w:fldCharType="begin"/>
          </w:r>
          <w:r>
            <w:rPr>
              <w:color w:val="auto"/>
              <w:highlight w:val="none"/>
            </w:rPr>
            <w:instrText xml:space="preserve"> HYPERLINK \l "_Toc15898" </w:instrText>
          </w:r>
          <w:r>
            <w:rPr>
              <w:color w:val="auto"/>
              <w:highlight w:val="none"/>
            </w:rPr>
            <w:fldChar w:fldCharType="separate"/>
          </w:r>
          <w:r>
            <w:rPr>
              <w:rFonts w:hint="eastAsia" w:ascii="宋体" w:hAnsi="宋体" w:cs="宋体"/>
              <w:color w:val="auto"/>
              <w:highlight w:val="none"/>
            </w:rPr>
            <w:t>4.1设计人员组织管理</w:t>
          </w:r>
          <w:r>
            <w:rPr>
              <w:color w:val="auto"/>
              <w:highlight w:val="none"/>
            </w:rPr>
            <w:tab/>
          </w:r>
          <w:r>
            <w:rPr>
              <w:color w:val="auto"/>
              <w:highlight w:val="none"/>
            </w:rPr>
            <w:fldChar w:fldCharType="begin"/>
          </w:r>
          <w:r>
            <w:rPr>
              <w:color w:val="auto"/>
              <w:highlight w:val="none"/>
            </w:rPr>
            <w:instrText xml:space="preserve"> PAGEREF _Toc15898 \h </w:instrText>
          </w:r>
          <w:r>
            <w:rPr>
              <w:color w:val="auto"/>
              <w:highlight w:val="none"/>
            </w:rPr>
            <w:fldChar w:fldCharType="separate"/>
          </w:r>
          <w:r>
            <w:rPr>
              <w:color w:val="auto"/>
              <w:highlight w:val="none"/>
            </w:rPr>
            <w:t>47</w:t>
          </w:r>
          <w:r>
            <w:rPr>
              <w:color w:val="auto"/>
              <w:highlight w:val="none"/>
            </w:rPr>
            <w:fldChar w:fldCharType="end"/>
          </w:r>
          <w:r>
            <w:rPr>
              <w:color w:val="auto"/>
              <w:highlight w:val="none"/>
            </w:rPr>
            <w:fldChar w:fldCharType="end"/>
          </w:r>
        </w:p>
        <w:p w14:paraId="4CB58234">
          <w:pPr>
            <w:pStyle w:val="17"/>
            <w:tabs>
              <w:tab w:val="right" w:leader="dot" w:pos="8306"/>
            </w:tabs>
            <w:ind w:left="480" w:firstLine="420"/>
            <w:rPr>
              <w:color w:val="auto"/>
              <w:highlight w:val="none"/>
            </w:rPr>
          </w:pPr>
          <w:r>
            <w:rPr>
              <w:color w:val="auto"/>
              <w:highlight w:val="none"/>
            </w:rPr>
            <w:fldChar w:fldCharType="begin"/>
          </w:r>
          <w:r>
            <w:rPr>
              <w:color w:val="auto"/>
              <w:highlight w:val="none"/>
            </w:rPr>
            <w:instrText xml:space="preserve"> HYPERLINK \l "_Toc13156" </w:instrText>
          </w:r>
          <w:r>
            <w:rPr>
              <w:color w:val="auto"/>
              <w:highlight w:val="none"/>
            </w:rPr>
            <w:fldChar w:fldCharType="separate"/>
          </w:r>
          <w:r>
            <w:rPr>
              <w:rFonts w:hint="eastAsia" w:ascii="宋体" w:hAnsi="宋体" w:cs="宋体"/>
              <w:color w:val="auto"/>
              <w:highlight w:val="none"/>
            </w:rPr>
            <w:t>4.2驻场人员要求</w:t>
          </w:r>
          <w:r>
            <w:rPr>
              <w:color w:val="auto"/>
              <w:highlight w:val="none"/>
            </w:rPr>
            <w:tab/>
          </w:r>
          <w:r>
            <w:rPr>
              <w:color w:val="auto"/>
              <w:highlight w:val="none"/>
            </w:rPr>
            <w:fldChar w:fldCharType="begin"/>
          </w:r>
          <w:r>
            <w:rPr>
              <w:color w:val="auto"/>
              <w:highlight w:val="none"/>
            </w:rPr>
            <w:instrText xml:space="preserve"> PAGEREF _Toc13156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14:paraId="241B74E4">
          <w:pPr>
            <w:pStyle w:val="15"/>
            <w:tabs>
              <w:tab w:val="right" w:leader="dot" w:pos="8306"/>
            </w:tabs>
            <w:rPr>
              <w:color w:val="auto"/>
              <w:highlight w:val="none"/>
            </w:rPr>
          </w:pPr>
          <w:r>
            <w:rPr>
              <w:color w:val="auto"/>
              <w:highlight w:val="none"/>
            </w:rPr>
            <w:fldChar w:fldCharType="begin"/>
          </w:r>
          <w:r>
            <w:rPr>
              <w:color w:val="auto"/>
              <w:highlight w:val="none"/>
            </w:rPr>
            <w:instrText xml:space="preserve"> HYPERLINK \l "_Toc29649" </w:instrText>
          </w:r>
          <w:r>
            <w:rPr>
              <w:color w:val="auto"/>
              <w:highlight w:val="none"/>
            </w:rPr>
            <w:fldChar w:fldCharType="separate"/>
          </w:r>
          <w:r>
            <w:rPr>
              <w:rFonts w:hint="eastAsia"/>
              <w:color w:val="auto"/>
              <w:highlight w:val="none"/>
            </w:rPr>
            <w:t>第五章 勘察设计成果提交要求</w:t>
          </w:r>
          <w:r>
            <w:rPr>
              <w:color w:val="auto"/>
              <w:highlight w:val="none"/>
            </w:rPr>
            <w:tab/>
          </w:r>
          <w:r>
            <w:rPr>
              <w:color w:val="auto"/>
              <w:highlight w:val="none"/>
            </w:rPr>
            <w:fldChar w:fldCharType="begin"/>
          </w:r>
          <w:r>
            <w:rPr>
              <w:color w:val="auto"/>
              <w:highlight w:val="none"/>
            </w:rPr>
            <w:instrText xml:space="preserve"> PAGEREF _Toc29649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14:paraId="5C2ED314">
          <w:pPr>
            <w:pStyle w:val="17"/>
            <w:tabs>
              <w:tab w:val="right" w:leader="dot" w:pos="8306"/>
            </w:tabs>
            <w:ind w:left="480" w:firstLine="420"/>
            <w:rPr>
              <w:color w:val="auto"/>
              <w:highlight w:val="none"/>
            </w:rPr>
          </w:pPr>
          <w:r>
            <w:rPr>
              <w:color w:val="auto"/>
              <w:highlight w:val="none"/>
            </w:rPr>
            <w:fldChar w:fldCharType="begin"/>
          </w:r>
          <w:r>
            <w:rPr>
              <w:color w:val="auto"/>
              <w:highlight w:val="none"/>
            </w:rPr>
            <w:instrText xml:space="preserve"> HYPERLINK \l "_Toc7070" </w:instrText>
          </w:r>
          <w:r>
            <w:rPr>
              <w:color w:val="auto"/>
              <w:highlight w:val="none"/>
            </w:rPr>
            <w:fldChar w:fldCharType="separate"/>
          </w:r>
          <w:r>
            <w:rPr>
              <w:rFonts w:hint="eastAsia"/>
              <w:color w:val="auto"/>
              <w:highlight w:val="none"/>
            </w:rPr>
            <w:t>5.1通用要求</w:t>
          </w:r>
          <w:r>
            <w:rPr>
              <w:color w:val="auto"/>
              <w:highlight w:val="none"/>
            </w:rPr>
            <w:tab/>
          </w:r>
          <w:r>
            <w:rPr>
              <w:color w:val="auto"/>
              <w:highlight w:val="none"/>
            </w:rPr>
            <w:fldChar w:fldCharType="begin"/>
          </w:r>
          <w:r>
            <w:rPr>
              <w:color w:val="auto"/>
              <w:highlight w:val="none"/>
            </w:rPr>
            <w:instrText xml:space="preserve"> PAGEREF _Toc7070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14:paraId="3FAED1DE">
          <w:pPr>
            <w:pStyle w:val="17"/>
            <w:tabs>
              <w:tab w:val="right" w:leader="dot" w:pos="8306"/>
            </w:tabs>
            <w:ind w:left="480" w:firstLine="420"/>
            <w:rPr>
              <w:color w:val="auto"/>
              <w:highlight w:val="none"/>
            </w:rPr>
          </w:pPr>
          <w:r>
            <w:rPr>
              <w:color w:val="auto"/>
              <w:highlight w:val="none"/>
            </w:rPr>
            <w:fldChar w:fldCharType="begin"/>
          </w:r>
          <w:r>
            <w:rPr>
              <w:color w:val="auto"/>
              <w:highlight w:val="none"/>
            </w:rPr>
            <w:instrText xml:space="preserve"> HYPERLINK \l "_Toc19247" </w:instrText>
          </w:r>
          <w:r>
            <w:rPr>
              <w:color w:val="auto"/>
              <w:highlight w:val="none"/>
            </w:rPr>
            <w:fldChar w:fldCharType="separate"/>
          </w:r>
          <w:r>
            <w:rPr>
              <w:rFonts w:hint="eastAsia"/>
              <w:color w:val="auto"/>
              <w:highlight w:val="none"/>
            </w:rPr>
            <w:t>5.2竞标成果具体内容和要求</w:t>
          </w:r>
          <w:r>
            <w:rPr>
              <w:color w:val="auto"/>
              <w:highlight w:val="none"/>
            </w:rPr>
            <w:tab/>
          </w:r>
          <w:r>
            <w:rPr>
              <w:color w:val="auto"/>
              <w:highlight w:val="none"/>
            </w:rPr>
            <w:fldChar w:fldCharType="begin"/>
          </w:r>
          <w:r>
            <w:rPr>
              <w:color w:val="auto"/>
              <w:highlight w:val="none"/>
            </w:rPr>
            <w:instrText xml:space="preserve"> PAGEREF _Toc19247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14:paraId="4A980BCB">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"_Toc24836" </w:instrText>
          </w:r>
          <w:r>
            <w:rPr>
              <w:color w:val="auto"/>
              <w:highlight w:val="none"/>
            </w:rPr>
            <w:fldChar w:fldCharType="separate"/>
          </w:r>
          <w:r>
            <w:rPr>
              <w:rFonts w:hint="eastAsia"/>
              <w:color w:val="auto"/>
              <w:highlight w:val="none"/>
            </w:rPr>
            <w:t>5.2.1竞标设计文件内容</w:t>
          </w:r>
          <w:r>
            <w:rPr>
              <w:color w:val="auto"/>
              <w:highlight w:val="none"/>
            </w:rPr>
            <w:tab/>
          </w:r>
          <w:r>
            <w:rPr>
              <w:color w:val="auto"/>
              <w:highlight w:val="none"/>
            </w:rPr>
            <w:fldChar w:fldCharType="begin"/>
          </w:r>
          <w:r>
            <w:rPr>
              <w:color w:val="auto"/>
              <w:highlight w:val="none"/>
            </w:rPr>
            <w:instrText xml:space="preserve"> PAGEREF _Toc24836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14:paraId="2F1DEDDB">
          <w:pPr>
            <w:pStyle w:val="10"/>
            <w:tabs>
              <w:tab w:val="right" w:leader="dot" w:pos="8306"/>
            </w:tabs>
            <w:ind w:left="960"/>
            <w:rPr>
              <w:color w:val="auto"/>
              <w:highlight w:val="none"/>
            </w:rPr>
          </w:pPr>
          <w:r>
            <w:rPr>
              <w:color w:val="auto"/>
              <w:highlight w:val="none"/>
            </w:rPr>
            <w:fldChar w:fldCharType="begin"/>
          </w:r>
          <w:r>
            <w:rPr>
              <w:color w:val="auto"/>
              <w:highlight w:val="none"/>
            </w:rPr>
            <w:instrText xml:space="preserve"> HYPERLINK \l "_Toc9625" </w:instrText>
          </w:r>
          <w:r>
            <w:rPr>
              <w:color w:val="auto"/>
              <w:highlight w:val="none"/>
            </w:rPr>
            <w:fldChar w:fldCharType="separate"/>
          </w:r>
          <w:r>
            <w:rPr>
              <w:rFonts w:hint="eastAsia"/>
              <w:color w:val="auto"/>
              <w:highlight w:val="none"/>
            </w:rPr>
            <w:t>5.2.2竞标提交技术文件成果要求</w:t>
          </w:r>
          <w:r>
            <w:rPr>
              <w:color w:val="auto"/>
              <w:highlight w:val="none"/>
            </w:rPr>
            <w:tab/>
          </w:r>
          <w:r>
            <w:rPr>
              <w:color w:val="auto"/>
              <w:highlight w:val="none"/>
            </w:rPr>
            <w:fldChar w:fldCharType="begin"/>
          </w:r>
          <w:r>
            <w:rPr>
              <w:color w:val="auto"/>
              <w:highlight w:val="none"/>
            </w:rPr>
            <w:instrText xml:space="preserve"> PAGEREF _Toc9625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14:paraId="015ED087">
          <w:pPr>
            <w:pStyle w:val="17"/>
            <w:tabs>
              <w:tab w:val="right" w:leader="dot" w:pos="8306"/>
            </w:tabs>
            <w:ind w:left="480" w:firstLine="420"/>
            <w:rPr>
              <w:color w:val="auto"/>
              <w:highlight w:val="none"/>
            </w:rPr>
          </w:pPr>
          <w:r>
            <w:rPr>
              <w:color w:val="auto"/>
              <w:highlight w:val="none"/>
            </w:rPr>
            <w:fldChar w:fldCharType="begin"/>
          </w:r>
          <w:r>
            <w:rPr>
              <w:color w:val="auto"/>
              <w:highlight w:val="none"/>
            </w:rPr>
            <w:instrText xml:space="preserve"> HYPERLINK \l "_Toc10892" </w:instrText>
          </w:r>
          <w:r>
            <w:rPr>
              <w:color w:val="auto"/>
              <w:highlight w:val="none"/>
            </w:rPr>
            <w:fldChar w:fldCharType="separate"/>
          </w:r>
          <w:r>
            <w:rPr>
              <w:rFonts w:hint="eastAsia"/>
              <w:color w:val="auto"/>
              <w:highlight w:val="none"/>
            </w:rPr>
            <w:t>5.3实施阶段设计成果要求</w:t>
          </w:r>
          <w:r>
            <w:rPr>
              <w:color w:val="auto"/>
              <w:highlight w:val="none"/>
            </w:rPr>
            <w:tab/>
          </w:r>
          <w:r>
            <w:rPr>
              <w:color w:val="auto"/>
              <w:highlight w:val="none"/>
            </w:rPr>
            <w:fldChar w:fldCharType="begin"/>
          </w:r>
          <w:r>
            <w:rPr>
              <w:color w:val="auto"/>
              <w:highlight w:val="none"/>
            </w:rPr>
            <w:instrText xml:space="preserve"> PAGEREF _Toc10892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14:paraId="14923A7A">
          <w:pPr>
            <w:pStyle w:val="17"/>
            <w:tabs>
              <w:tab w:val="right" w:leader="dot" w:pos="8306"/>
            </w:tabs>
            <w:ind w:left="480" w:firstLine="420"/>
            <w:rPr>
              <w:color w:val="auto"/>
              <w:highlight w:val="none"/>
            </w:rPr>
          </w:pPr>
          <w:r>
            <w:rPr>
              <w:color w:val="auto"/>
              <w:highlight w:val="none"/>
            </w:rPr>
            <w:fldChar w:fldCharType="begin"/>
          </w:r>
          <w:r>
            <w:rPr>
              <w:color w:val="auto"/>
              <w:highlight w:val="none"/>
            </w:rPr>
            <w:instrText xml:space="preserve"> HYPERLINK \l "_Toc13515" </w:instrText>
          </w:r>
          <w:r>
            <w:rPr>
              <w:color w:val="auto"/>
              <w:highlight w:val="none"/>
            </w:rPr>
            <w:fldChar w:fldCharType="separate"/>
          </w:r>
          <w:r>
            <w:rPr>
              <w:rFonts w:hint="eastAsia"/>
              <w:color w:val="auto"/>
              <w:highlight w:val="none"/>
            </w:rPr>
            <w:t>5.4提交设计资料要求</w:t>
          </w:r>
          <w:r>
            <w:rPr>
              <w:color w:val="auto"/>
              <w:highlight w:val="none"/>
            </w:rPr>
            <w:tab/>
          </w:r>
          <w:r>
            <w:rPr>
              <w:color w:val="auto"/>
              <w:highlight w:val="none"/>
            </w:rPr>
            <w:fldChar w:fldCharType="begin"/>
          </w:r>
          <w:r>
            <w:rPr>
              <w:color w:val="auto"/>
              <w:highlight w:val="none"/>
            </w:rPr>
            <w:instrText xml:space="preserve"> PAGEREF _Toc13515 \h </w:instrText>
          </w:r>
          <w:r>
            <w:rPr>
              <w:color w:val="auto"/>
              <w:highlight w:val="none"/>
            </w:rPr>
            <w:fldChar w:fldCharType="separate"/>
          </w:r>
          <w:r>
            <w:rPr>
              <w:color w:val="auto"/>
              <w:highlight w:val="none"/>
            </w:rPr>
            <w:t>56</w:t>
          </w:r>
          <w:r>
            <w:rPr>
              <w:color w:val="auto"/>
              <w:highlight w:val="none"/>
            </w:rPr>
            <w:fldChar w:fldCharType="end"/>
          </w:r>
          <w:r>
            <w:rPr>
              <w:color w:val="auto"/>
              <w:highlight w:val="none"/>
            </w:rPr>
            <w:fldChar w:fldCharType="end"/>
          </w:r>
        </w:p>
        <w:p w14:paraId="4B74BDB9">
          <w:pPr>
            <w:rPr>
              <w:color w:val="auto"/>
              <w:highlight w:val="none"/>
            </w:rPr>
          </w:pPr>
          <w:r>
            <w:rPr>
              <w:rFonts w:hint="eastAsia"/>
              <w:color w:val="auto"/>
              <w:highlight w:val="none"/>
            </w:rPr>
            <w:fldChar w:fldCharType="end"/>
          </w:r>
        </w:p>
      </w:sdtContent>
    </w:sdt>
    <w:p w14:paraId="20A2AABE">
      <w:pPr>
        <w:rPr>
          <w:color w:val="auto"/>
          <w:highlight w:val="none"/>
        </w:rPr>
        <w:sectPr>
          <w:pgSz w:w="11906" w:h="16838"/>
          <w:pgMar w:top="1440" w:right="1800" w:bottom="1440" w:left="1800" w:header="851" w:footer="992" w:gutter="0"/>
          <w:cols w:space="720" w:num="1"/>
          <w:docGrid w:type="lines" w:linePitch="312" w:charSpace="0"/>
        </w:sectPr>
      </w:pPr>
    </w:p>
    <w:p w14:paraId="0AD24152">
      <w:pPr>
        <w:pStyle w:val="3"/>
        <w:spacing w:before="156" w:after="156"/>
        <w:rPr>
          <w:color w:val="auto"/>
          <w:highlight w:val="none"/>
        </w:rPr>
      </w:pPr>
      <w:bookmarkStart w:id="12" w:name="_Toc24157"/>
      <w:bookmarkStart w:id="13" w:name="_Toc20848"/>
      <w:r>
        <w:rPr>
          <w:rFonts w:hint="eastAsia"/>
          <w:color w:val="auto"/>
          <w:highlight w:val="none"/>
        </w:rPr>
        <w:t>第一章</w:t>
      </w:r>
      <w:r>
        <w:rPr>
          <w:color w:val="auto"/>
          <w:highlight w:val="none"/>
        </w:rPr>
        <w:t xml:space="preserve"> </w:t>
      </w:r>
      <w:r>
        <w:rPr>
          <w:rFonts w:hint="eastAsia"/>
          <w:color w:val="auto"/>
          <w:highlight w:val="none"/>
        </w:rPr>
        <w:t>项目概况</w:t>
      </w:r>
      <w:bookmarkEnd w:id="2"/>
      <w:bookmarkEnd w:id="3"/>
      <w:bookmarkEnd w:id="4"/>
      <w:bookmarkEnd w:id="5"/>
      <w:bookmarkEnd w:id="6"/>
      <w:bookmarkEnd w:id="7"/>
      <w:bookmarkEnd w:id="8"/>
      <w:bookmarkEnd w:id="9"/>
      <w:bookmarkEnd w:id="10"/>
      <w:bookmarkEnd w:id="11"/>
      <w:bookmarkEnd w:id="12"/>
      <w:bookmarkEnd w:id="13"/>
    </w:p>
    <w:p w14:paraId="73E43ADD">
      <w:pPr>
        <w:pStyle w:val="4"/>
        <w:spacing w:before="156" w:after="156"/>
        <w:rPr>
          <w:color w:val="auto"/>
          <w:highlight w:val="none"/>
        </w:rPr>
      </w:pPr>
      <w:bookmarkStart w:id="14" w:name="_Toc1396"/>
      <w:bookmarkStart w:id="15" w:name="_Toc24986"/>
      <w:bookmarkStart w:id="16" w:name="_Toc452973677"/>
      <w:bookmarkStart w:id="17" w:name="_Toc11600"/>
      <w:bookmarkStart w:id="18" w:name="_Toc452558297"/>
      <w:bookmarkStart w:id="19" w:name="_Toc21749"/>
      <w:bookmarkStart w:id="20" w:name="_Toc5598"/>
      <w:bookmarkStart w:id="21" w:name="_Toc19373"/>
      <w:bookmarkStart w:id="22" w:name="_Toc16106"/>
      <w:bookmarkStart w:id="23" w:name="_Toc452558093"/>
      <w:bookmarkStart w:id="24" w:name="_Toc11930"/>
      <w:bookmarkStart w:id="25" w:name="_Toc20720_WPSOffice_Level2"/>
      <w:r>
        <w:rPr>
          <w:rFonts w:hint="eastAsia"/>
          <w:color w:val="auto"/>
          <w:highlight w:val="none"/>
        </w:rPr>
        <w:t>1.1项目基本信息</w:t>
      </w:r>
      <w:bookmarkEnd w:id="14"/>
      <w:bookmarkEnd w:id="15"/>
      <w:bookmarkEnd w:id="16"/>
      <w:bookmarkEnd w:id="17"/>
      <w:bookmarkEnd w:id="18"/>
      <w:bookmarkEnd w:id="19"/>
      <w:bookmarkEnd w:id="20"/>
      <w:bookmarkEnd w:id="21"/>
      <w:bookmarkEnd w:id="22"/>
      <w:bookmarkEnd w:id="23"/>
      <w:bookmarkEnd w:id="24"/>
      <w:bookmarkEnd w:id="25"/>
    </w:p>
    <w:p w14:paraId="2A3BE2FA">
      <w:pPr>
        <w:pStyle w:val="5"/>
        <w:spacing w:before="156" w:after="156"/>
        <w:rPr>
          <w:color w:val="auto"/>
          <w:highlight w:val="none"/>
        </w:rPr>
      </w:pPr>
      <w:bookmarkStart w:id="26" w:name="_Toc21929"/>
      <w:bookmarkStart w:id="27" w:name="_Toc29465"/>
      <w:bookmarkStart w:id="28" w:name="_Toc24187"/>
      <w:bookmarkStart w:id="29" w:name="_Toc30865"/>
      <w:bookmarkStart w:id="30" w:name="_Toc452558298"/>
      <w:bookmarkStart w:id="31" w:name="_Toc25658"/>
      <w:bookmarkStart w:id="32" w:name="_Toc415840322"/>
      <w:bookmarkStart w:id="33" w:name="_Toc1753"/>
      <w:bookmarkStart w:id="34" w:name="_Toc452973678"/>
      <w:r>
        <w:rPr>
          <w:rFonts w:hint="eastAsia"/>
          <w:color w:val="auto"/>
          <w:highlight w:val="none"/>
        </w:rPr>
        <w:t>1.1.1项目名称</w:t>
      </w:r>
      <w:bookmarkEnd w:id="26"/>
      <w:bookmarkEnd w:id="27"/>
      <w:bookmarkEnd w:id="28"/>
      <w:bookmarkEnd w:id="29"/>
      <w:bookmarkEnd w:id="30"/>
      <w:bookmarkEnd w:id="31"/>
      <w:bookmarkEnd w:id="32"/>
      <w:bookmarkEnd w:id="33"/>
      <w:bookmarkEnd w:id="34"/>
    </w:p>
    <w:p w14:paraId="47F7F093">
      <w:pPr>
        <w:rPr>
          <w:rFonts w:hint="eastAsia" w:ascii="宋体" w:hAnsi="宋体"/>
          <w:color w:val="auto"/>
          <w:highlight w:val="none"/>
        </w:rPr>
      </w:pPr>
      <w:bookmarkStart w:id="35" w:name="_Toc8"/>
      <w:bookmarkStart w:id="36" w:name="_Toc32697"/>
      <w:bookmarkStart w:id="37" w:name="_Toc10428"/>
      <w:bookmarkStart w:id="38" w:name="_Toc415840323"/>
      <w:r>
        <w:rPr>
          <w:rFonts w:hint="eastAsia" w:ascii="宋体" w:hAnsi="宋体"/>
          <w:color w:val="auto"/>
          <w:highlight w:val="none"/>
        </w:rPr>
        <w:t>天河龙洞粮库建设工程</w:t>
      </w:r>
      <w:r>
        <w:rPr>
          <w:rFonts w:hint="eastAsia" w:ascii="宋体" w:hAnsi="宋体"/>
          <w:color w:val="auto"/>
          <w:highlight w:val="none"/>
          <w:lang w:eastAsia="zh-CN"/>
        </w:rPr>
        <w:t>（建筑工程）</w:t>
      </w:r>
      <w:r>
        <w:rPr>
          <w:rFonts w:hint="eastAsia" w:ascii="宋体" w:hAnsi="宋体"/>
          <w:color w:val="auto"/>
          <w:highlight w:val="none"/>
        </w:rPr>
        <w:t>。</w:t>
      </w:r>
    </w:p>
    <w:bookmarkEnd w:id="35"/>
    <w:bookmarkEnd w:id="36"/>
    <w:bookmarkEnd w:id="37"/>
    <w:p w14:paraId="65CBB739">
      <w:pPr>
        <w:pStyle w:val="5"/>
        <w:spacing w:before="156" w:after="156"/>
        <w:rPr>
          <w:color w:val="auto"/>
          <w:highlight w:val="none"/>
        </w:rPr>
      </w:pPr>
      <w:bookmarkStart w:id="39" w:name="_Toc1882"/>
      <w:bookmarkStart w:id="40" w:name="_Toc26010"/>
      <w:bookmarkStart w:id="41" w:name="_Toc452973679"/>
      <w:bookmarkStart w:id="42" w:name="_Toc11809"/>
      <w:bookmarkStart w:id="43" w:name="_Toc2836"/>
      <w:bookmarkStart w:id="44" w:name="_Toc452558299"/>
      <w:bookmarkStart w:id="45" w:name="_Toc25264"/>
      <w:bookmarkStart w:id="46" w:name="_Toc20264"/>
      <w:r>
        <w:rPr>
          <w:rFonts w:hint="eastAsia"/>
          <w:color w:val="auto"/>
          <w:highlight w:val="none"/>
        </w:rPr>
        <w:t>1.1.2项目位置</w:t>
      </w:r>
      <w:bookmarkEnd w:id="38"/>
      <w:bookmarkEnd w:id="39"/>
      <w:bookmarkEnd w:id="40"/>
      <w:bookmarkEnd w:id="41"/>
      <w:bookmarkEnd w:id="42"/>
      <w:bookmarkEnd w:id="43"/>
      <w:bookmarkEnd w:id="44"/>
      <w:bookmarkEnd w:id="45"/>
      <w:bookmarkEnd w:id="46"/>
    </w:p>
    <w:p w14:paraId="5A1E0694">
      <w:pPr>
        <w:rPr>
          <w:rFonts w:hint="eastAsia" w:ascii="宋体" w:hAnsi="宋体"/>
          <w:color w:val="auto"/>
          <w:highlight w:val="none"/>
        </w:rPr>
      </w:pPr>
      <w:bookmarkStart w:id="47" w:name="_Toc452558300"/>
      <w:bookmarkStart w:id="48" w:name="_Toc452973680"/>
      <w:bookmarkStart w:id="49" w:name="_Toc30551"/>
      <w:bookmarkStart w:id="50" w:name="_Toc415840324"/>
      <w:bookmarkStart w:id="51" w:name="_Toc24837"/>
      <w:bookmarkStart w:id="52" w:name="_Toc19866"/>
      <w:r>
        <w:rPr>
          <w:rFonts w:hint="eastAsia" w:ascii="宋体" w:hAnsi="宋体"/>
          <w:color w:val="auto"/>
          <w:highlight w:val="none"/>
        </w:rPr>
        <w:t>项目位于龙洞街道，东临沙河兆联春岗山物流管理中心，南临龙山工业园和广河高速，西邻迎龙路。</w:t>
      </w:r>
    </w:p>
    <w:p w14:paraId="7902C113">
      <w:pPr>
        <w:pStyle w:val="5"/>
        <w:spacing w:before="156" w:after="156"/>
        <w:rPr>
          <w:color w:val="auto"/>
          <w:highlight w:val="none"/>
        </w:rPr>
      </w:pPr>
      <w:r>
        <w:rPr>
          <w:rFonts w:hint="eastAsia"/>
          <w:color w:val="auto"/>
          <w:highlight w:val="none"/>
        </w:rPr>
        <w:t>1.1.3项目业主单位</w:t>
      </w:r>
      <w:bookmarkEnd w:id="47"/>
      <w:bookmarkEnd w:id="48"/>
      <w:bookmarkEnd w:id="49"/>
      <w:bookmarkEnd w:id="50"/>
      <w:bookmarkEnd w:id="51"/>
      <w:bookmarkEnd w:id="52"/>
    </w:p>
    <w:p w14:paraId="51E40815">
      <w:pPr>
        <w:rPr>
          <w:color w:val="auto"/>
          <w:highlight w:val="none"/>
        </w:rPr>
      </w:pPr>
      <w:bookmarkStart w:id="53" w:name="_Toc452558301"/>
      <w:bookmarkStart w:id="54" w:name="_Toc415840325"/>
      <w:bookmarkStart w:id="55" w:name="_Toc12585"/>
      <w:bookmarkStart w:id="56" w:name="_Toc452973681"/>
      <w:r>
        <w:rPr>
          <w:rFonts w:hint="eastAsia"/>
          <w:color w:val="auto"/>
          <w:highlight w:val="none"/>
        </w:rPr>
        <w:t>广州市天河区粮食和物资储备管理中心。</w:t>
      </w:r>
    </w:p>
    <w:p w14:paraId="586E6BA9">
      <w:pPr>
        <w:pStyle w:val="5"/>
        <w:spacing w:before="156" w:after="156"/>
        <w:rPr>
          <w:color w:val="auto"/>
          <w:highlight w:val="none"/>
        </w:rPr>
      </w:pPr>
      <w:bookmarkStart w:id="57" w:name="_Toc30401"/>
      <w:bookmarkStart w:id="58" w:name="_Toc23223"/>
      <w:r>
        <w:rPr>
          <w:rFonts w:hint="eastAsia"/>
          <w:color w:val="auto"/>
          <w:highlight w:val="none"/>
        </w:rPr>
        <w:t>1.1.4项目建设单位</w:t>
      </w:r>
      <w:bookmarkEnd w:id="53"/>
      <w:bookmarkEnd w:id="54"/>
      <w:bookmarkEnd w:id="55"/>
      <w:bookmarkEnd w:id="56"/>
      <w:bookmarkEnd w:id="57"/>
      <w:bookmarkEnd w:id="58"/>
    </w:p>
    <w:p w14:paraId="5112129F">
      <w:pPr>
        <w:rPr>
          <w:color w:val="auto"/>
          <w:highlight w:val="none"/>
        </w:rPr>
      </w:pPr>
      <w:bookmarkStart w:id="59" w:name="_Toc452973682"/>
      <w:bookmarkStart w:id="60" w:name="_Toc452558302"/>
      <w:bookmarkStart w:id="61" w:name="_Toc415840326"/>
      <w:r>
        <w:rPr>
          <w:rFonts w:hint="eastAsia"/>
          <w:color w:val="auto"/>
          <w:highlight w:val="none"/>
        </w:rPr>
        <w:t>广州市天河区建设工程项目代建局。</w:t>
      </w:r>
    </w:p>
    <w:p w14:paraId="7F202E5C">
      <w:pPr>
        <w:pStyle w:val="5"/>
        <w:spacing w:before="156" w:after="156"/>
        <w:rPr>
          <w:color w:val="auto"/>
          <w:highlight w:val="none"/>
        </w:rPr>
      </w:pPr>
      <w:bookmarkStart w:id="62" w:name="_Toc21512"/>
      <w:bookmarkStart w:id="63" w:name="_Toc20283"/>
      <w:bookmarkStart w:id="64" w:name="_Toc7374"/>
      <w:r>
        <w:rPr>
          <w:rFonts w:hint="eastAsia"/>
          <w:color w:val="auto"/>
          <w:highlight w:val="none"/>
        </w:rPr>
        <w:t>1.1.5项目背景</w:t>
      </w:r>
      <w:bookmarkEnd w:id="62"/>
      <w:bookmarkEnd w:id="63"/>
      <w:bookmarkEnd w:id="64"/>
    </w:p>
    <w:p w14:paraId="37779D5E">
      <w:pPr>
        <w:rPr>
          <w:color w:val="auto"/>
          <w:highlight w:val="none"/>
        </w:rPr>
      </w:pPr>
      <w:bookmarkStart w:id="65" w:name="_Toc18040"/>
      <w:bookmarkStart w:id="66" w:name="_Toc4177"/>
      <w:bookmarkStart w:id="67" w:name="_Toc4983"/>
      <w:r>
        <w:rPr>
          <w:rFonts w:hint="eastAsia"/>
          <w:color w:val="auto"/>
          <w:highlight w:val="none"/>
        </w:rPr>
        <w:t>强化粮食安全和应急物资保障事关人民安居乐业、社会安定有序、国家长治久安，是维护国家安全的重要基石、增进民生福祉的重要保障、应对风险挑战的重要支撑。党的十八大以来，以习近平同志为核心的党中央高度重视粮食质量安全，强调要坚持源头治理、标本兼治，用最严谨的标准、最严格的监管、最严厉的处罚、最严肃的问责，确保广大人民群众“舌尖上的安全”。物资储备基础设施高质量发展，是构建更高层次、更有效率、更可持续的粮食安全和物资保障体系的重要支撑。广东作为第一常住人口大省、最大粮食销区，必须强化粮食安全和物资保障能力建设，构建仓容充足、设施先进、互联互通、运转高效的粮食流通和物资储备体系。</w:t>
      </w:r>
    </w:p>
    <w:p w14:paraId="43AF6684">
      <w:pPr>
        <w:rPr>
          <w:color w:val="auto"/>
          <w:highlight w:val="none"/>
        </w:rPr>
      </w:pPr>
      <w:r>
        <w:rPr>
          <w:rFonts w:hint="eastAsia"/>
          <w:color w:val="auto"/>
          <w:highlight w:val="none"/>
        </w:rPr>
        <w:t>地方储备粮是国家粮食储备体系的重要组成部分，是保障国家粮食安全的重要物质基础。2021年广州市政府印发了《广州市粮食安全和应急物资保障“十四五”规划》，提出“十四五”期间要立足新发展阶段，贯彻新发展理念，全面提高粮食安全保障和物资储备管理水平，基本建成布局合理、设施完备、绿色高效、协同融合、保障有力的粮食安全和应急物资保障体系。规划强调强化规模管理优化结构布局，提高政府储备能力。加强粮食流通基础设施建设，推广应用绿色生态储粮技术，构建核心带动、布局合理、绿色发展的粮食流通基础设施格局。加快推进粮食仓储设施建设，新建扩建高标准粮食仓储设施，充分发挥大型国有粮食龙头企业作用，重点建设储备、加工、销售一体化粮食产业园。加大力度支持选址新建或异地置换建设粮库，</w:t>
      </w:r>
      <w:r>
        <w:rPr>
          <w:rFonts w:hint="eastAsia"/>
          <w:b/>
          <w:bCs/>
          <w:color w:val="auto"/>
          <w:highlight w:val="none"/>
        </w:rPr>
        <w:t>重点建设10万吨及以上仓容的大型粮库</w:t>
      </w:r>
      <w:r>
        <w:rPr>
          <w:rFonts w:hint="eastAsia"/>
          <w:color w:val="auto"/>
          <w:highlight w:val="none"/>
        </w:rPr>
        <w:t>。至2025年，争取全市粮食储备仓容达到300万吨，为实现全市地方储备集约化、规模化、现代化发展奠定基础。</w:t>
      </w:r>
    </w:p>
    <w:p w14:paraId="0C937C20">
      <w:pPr>
        <w:rPr>
          <w:color w:val="auto"/>
          <w:highlight w:val="none"/>
        </w:rPr>
      </w:pPr>
      <w:r>
        <w:rPr>
          <w:rFonts w:hint="eastAsia"/>
          <w:color w:val="auto"/>
          <w:highlight w:val="none"/>
        </w:rPr>
        <w:t>为深入贯彻落实党中央、国务院决策部署，扎实推进广州市优质粮食工程建设，2022年9月23日广州市发展和改革委员会同广州市财政局联合制定了《广州市深入推进优质粮食工程“六大提升行动”实施意见》，提出实施粮食绿色仓储提升行动，新建扩建一批高标准粮仓。综合考虑储备规模、区域布局、品种结构以及收储调控和应急保障需要，依托现有粮食仓储资源，规划和建设一批高标准粮仓。</w:t>
      </w:r>
      <w:r>
        <w:rPr>
          <w:rFonts w:hint="eastAsia"/>
          <w:b/>
          <w:bCs/>
          <w:color w:val="auto"/>
          <w:highlight w:val="none"/>
        </w:rPr>
        <w:t>至2025年，全市新建高标准粮仓80万吨。</w:t>
      </w:r>
    </w:p>
    <w:p w14:paraId="7FB90B4B">
      <w:pPr>
        <w:rPr>
          <w:color w:val="auto"/>
          <w:highlight w:val="none"/>
        </w:rPr>
      </w:pPr>
      <w:r>
        <w:rPr>
          <w:rFonts w:hint="eastAsia"/>
          <w:color w:val="auto"/>
          <w:highlight w:val="none"/>
        </w:rPr>
        <w:t>着眼新时期、新阶段粮食安全保障和物资储备管理工作要求，省、市相继出台了一系列涉粮法规政策，结合储备粮管理工作实际，2022年10月17日，广州市天河区发展和改革局联合广州市天河区财政局、中国农业发展银行广东省分行营业部办公室印发了《天河区地方储备粮油管理办法》以下简称《管理办法》)，《管理办法》规范指导区级储备粮管理工作，为构建我区更高层次、更高质量、更有效率、更可持续的粮食安全保障体系提供制度保障。《管理办法》明确了区级储备粮油所涉及单位部门的职责，包括区发展改革局、区粮管中心、区财政局、农发行省分行营业部和承储企业各自的职责。区级地方储备粮油是区政府常年储备重要战略物资，其储备规模根据市政府下达任务确定。储备品种结构和轮换方式，由区发展改革局会同区财政局按照粮油市场调控需要提出，报区政府批准。区级地方储备粮油的储备要符合储存安全、调度灵活、便于轮换、节约费用等原则。</w:t>
      </w:r>
    </w:p>
    <w:p w14:paraId="60E99772">
      <w:pPr>
        <w:rPr>
          <w:color w:val="auto"/>
          <w:highlight w:val="none"/>
        </w:rPr>
      </w:pPr>
      <w:r>
        <w:rPr>
          <w:rFonts w:hint="eastAsia"/>
          <w:color w:val="auto"/>
          <w:highlight w:val="none"/>
        </w:rPr>
        <w:t>作为广州市最繁华、最具活力的城区之一，天河区粮食安全保障和物资储备工作尤为重要。目前，天河区区级粮食储备任务11万吨，均依托区域外番禺港口粮库和花都联安粮库承储。缺乏储备粮仓储设施给本区域的粮食安全和应急保障带来一定隐患。2021年广州市纪委组织市涉粮专项巡查，指出天河粮食储备“缺仓”问题。为此，《广州市粮食安全和应急物资保障“十四五”规划》提出加大力度支持选址新建或异地置换建设粮库，重点建设10万吨及以上仓容的大型粮库，同时提出“十四五”期间新建天河区储备粮仓储设施项目。</w:t>
      </w:r>
    </w:p>
    <w:p w14:paraId="1318B8EB">
      <w:pPr>
        <w:rPr>
          <w:color w:val="auto"/>
          <w:highlight w:val="none"/>
        </w:rPr>
      </w:pPr>
      <w:r>
        <w:rPr>
          <w:rFonts w:hint="eastAsia"/>
          <w:color w:val="auto"/>
          <w:highlight w:val="none"/>
        </w:rPr>
        <w:t>综上，为解决天河粮食储备“缺仓”问题，提高天河区粮食安全保障能力，推进优质粮食工程“六大提升行动”，天河区粮食和物资储备管理中心拟在天河区新建一座高标准粮油储备设施。为加快推进项目建设，2020年1月20日天河区政府成立天河区储备粮仓储设施项目建设领导小组（以下简称项目建设领导小组），建设领导小组办公室设在区发展改革局，负责统筹推进项目建设工作。随后，2022-2023年项目建设领导小组组织开展项目选址工作，对备用地块进行摸查，分别调研各地块收储意愿，综合比较各地块收储意愿、成本、风险等因素。2024年1月18日，区委主要领导召开专题会议，经研究，会议初步明确粮仓选址范围西至迎龙路，东至沙河兆联权属用地，南至沙河兆联权属用地，北至现状龙洞公交总站及渔西路西三巷，随后天河区粮食和物资储备管理中心委托广东省国际工程咨询有限公司开展项目前期咨询工作。2024年2月3日，区储备粮仓储设施项目领导小组组长常务副区长黄凯旋组织召开会议研究天河区储备粮仓储设施建设项目，会议传达十届区委〔2024〕第7次常委会（扩大）会议精神，要求充分发挥区储备粮仓储设施项目建设领导小组作用，强化统筹，压实责任，倒排工期，挂图作战，压茬推进区储备粮库规划建设。为保障区储备粮仓储设施项目建成后的投产运营，经会议研究，决定区储备粮仓储设施项目西侧迎龙路扩建及其东侧半幅规划路一并划入项目红线征地范围，并按照代征代建方式纳入项目立项。</w:t>
      </w:r>
    </w:p>
    <w:p w14:paraId="6BD11978">
      <w:pPr>
        <w:pStyle w:val="5"/>
        <w:spacing w:before="156" w:after="156"/>
        <w:rPr>
          <w:color w:val="auto"/>
          <w:highlight w:val="none"/>
        </w:rPr>
      </w:pPr>
      <w:r>
        <w:rPr>
          <w:rFonts w:hint="eastAsia"/>
          <w:color w:val="auto"/>
          <w:highlight w:val="none"/>
        </w:rPr>
        <w:t>1.1.6项目建设的必要性</w:t>
      </w:r>
      <w:bookmarkEnd w:id="65"/>
      <w:bookmarkEnd w:id="66"/>
      <w:bookmarkEnd w:id="67"/>
    </w:p>
    <w:p w14:paraId="65347028">
      <w:pPr>
        <w:pStyle w:val="5"/>
        <w:spacing w:before="156" w:after="156"/>
        <w:ind w:firstLine="480" w:firstLineChars="200"/>
        <w:rPr>
          <w:rFonts w:eastAsia="宋体"/>
          <w:bCs w:val="0"/>
          <w:color w:val="auto"/>
          <w:kern w:val="2"/>
          <w:sz w:val="24"/>
          <w:szCs w:val="24"/>
          <w:highlight w:val="none"/>
        </w:rPr>
      </w:pPr>
      <w:bookmarkStart w:id="68" w:name="_Toc26331"/>
      <w:bookmarkStart w:id="69" w:name="_Toc7160"/>
      <w:bookmarkStart w:id="70" w:name="_Toc27386"/>
      <w:r>
        <w:rPr>
          <w:rFonts w:hint="eastAsia" w:eastAsia="宋体"/>
          <w:bCs w:val="0"/>
          <w:color w:val="auto"/>
          <w:kern w:val="2"/>
          <w:sz w:val="24"/>
          <w:szCs w:val="24"/>
          <w:highlight w:val="none"/>
        </w:rPr>
        <w:t>1、项目建设提升了区域粮食储备调控能力，是贯彻国家粮食安全战略的需要</w:t>
      </w:r>
    </w:p>
    <w:p w14:paraId="00E02DBA">
      <w:pPr>
        <w:rPr>
          <w:color w:val="auto"/>
          <w:highlight w:val="none"/>
        </w:rPr>
      </w:pPr>
      <w:r>
        <w:rPr>
          <w:rFonts w:hint="eastAsia"/>
          <w:color w:val="auto"/>
          <w:highlight w:val="none"/>
        </w:rPr>
        <w:t>粮安天下，农稳社稷。粮食安全是“国之大者”，是维护经济发展、社会稳定的压舱石。对我们这样一个有着14亿人口的大国来说，农业基础地位任何时候都不能忽视和削弱，手中有粮、心中不慌在任何时候都是真理。党中央、国务院高度重视优质粮食工程建设，习近平总书记在党的二十大报告中指出，“全方位夯实粮食安全根基”“全面落实粮食安全党政同责”“确保中国人的饭碗牢牢端在自己手中”，对保障国家粮食安全提出了更高要求，进一步明确了全方位夯实粮食安全根基的战略部署。粮食仓储设施是实现粮食安全的重要保障，物资储备基础设施高质量发展，也是构建更高层次、更有效率、更可持续的粮食安全和物资保障体系的重要支撑。广东作为第一常住人口大省、最大粮食销区，必须强化粮食安全和物资保障能力建设，构建仓容充足、设施先进、互联互通、运转高效的粮食流通和物资储备体系。地方储备粮是国家粮食储备体系的重要组成部分，是保障国家粮食安全的重要物质基础。</w:t>
      </w:r>
    </w:p>
    <w:p w14:paraId="264F8EE8">
      <w:pPr>
        <w:rPr>
          <w:color w:val="auto"/>
          <w:highlight w:val="none"/>
        </w:rPr>
      </w:pPr>
      <w:r>
        <w:rPr>
          <w:rFonts w:hint="eastAsia"/>
          <w:color w:val="auto"/>
          <w:highlight w:val="none"/>
        </w:rPr>
        <w:t>天河区南临珠江，东与黄埔区相连，西与越秀区相接，北与白云区相邻。“承西启东、接北转南”，是广州市东进轴与南拓轴交汇点，区域交通便利，人口众多，常住人口达224.18万人（2021年数据）。作为广州市最繁华、最具活力的城区之一，天河区粮食安全保障和物资储备工作尤为重要。目前，天河区区级粮食储备任务11万吨，均依托区域外番禺港口粮库和花都联安粮库承储。缺乏储备粮仓储设施给本区域的粮食安全和应急保障带来一定隐患。为此，本项目拟在广州市天河区新建仓容15万吨粮食储备设施。项目建设将有效解决天河区储备粮仓储设施缺乏，极大提升天河区粮食安全和应急物质保障能力，对强化国家经济安全保障，实施粮食安全战略有重要意义。</w:t>
      </w:r>
    </w:p>
    <w:p w14:paraId="55F39093">
      <w:pPr>
        <w:rPr>
          <w:color w:val="auto"/>
          <w:highlight w:val="none"/>
        </w:rPr>
      </w:pPr>
      <w:r>
        <w:rPr>
          <w:rFonts w:hint="eastAsia"/>
          <w:color w:val="auto"/>
          <w:highlight w:val="none"/>
        </w:rPr>
        <w:t>2、项目建设符合绿色低碳储粮新技术的要求，是落实广州市粮食绿色仓储提升行动，深入推进优质粮食工程的需要</w:t>
      </w:r>
    </w:p>
    <w:p w14:paraId="453A906E">
      <w:pPr>
        <w:rPr>
          <w:color w:val="auto"/>
          <w:highlight w:val="none"/>
        </w:rPr>
      </w:pPr>
      <w:r>
        <w:rPr>
          <w:rFonts w:hint="eastAsia"/>
          <w:color w:val="auto"/>
          <w:highlight w:val="none"/>
        </w:rPr>
        <w:t>作为人口大国，我国历来高度重视粮食安全，建立了体量巨大的粮食储备。如何保障储粮安全、不坏一粒粮，始终是粮食科技领域的重要课题。曾经由于仓储设施、技术和装备的落后，虫害、霉变、发热、结露等问题造成储粮损失惊人。近年来，我国粮食仓储设施实现跨越式发展，储运减损关键技术不断提质升级，绿色科技在守护大国粮仓、守牢国家粮食安全底线中扮演重要角色。随着社会的发展和物质生活水平的提高，广大人民群众对绿色、安全、营养、健康的优质粮食需求越来越迫切，推动我国绿色储粮技术不断发展。</w:t>
      </w:r>
    </w:p>
    <w:p w14:paraId="3D64967E">
      <w:pPr>
        <w:rPr>
          <w:color w:val="auto"/>
          <w:highlight w:val="none"/>
        </w:rPr>
      </w:pPr>
      <w:r>
        <w:rPr>
          <w:rFonts w:hint="eastAsia"/>
          <w:color w:val="auto"/>
          <w:highlight w:val="none"/>
        </w:rPr>
        <w:t>党中央、国务院高度重视优质粮食工程建设。2021年国家粮食和物资储备局印发了《粮食绿色仓储提升行动方案（试行）》（国粮规〔2021〕236号），要求以习近平新时代中国特色社会主义思想为指导，深入落实保障国家粮食安全战略，紧扣绿色、生态、环保、节能要求，聚焦国家粮食储备安全核心职能，以绿色仓储为抓手，深入推进优质粮食工程，持续提高科学储粮水平和品质保障能力，切实提升储备粮质量，增加绿色优质粮油产品有效供给，着力推动粮食储备高质量发展，更好保障国家粮食安全。方案提出建设</w:t>
      </w:r>
      <w:r>
        <w:rPr>
          <w:rFonts w:hint="eastAsia"/>
          <w:color w:val="auto"/>
          <w:highlight w:val="none"/>
          <w:lang w:val="en"/>
        </w:rPr>
        <w:t>一批高标准粮仓</w:t>
      </w:r>
      <w:r>
        <w:rPr>
          <w:rFonts w:hint="eastAsia"/>
          <w:color w:val="auto"/>
          <w:highlight w:val="none"/>
        </w:rPr>
        <w:t>，强化粮仓的气密和保温隔热等关键性能。新建仓房屋面宜优先采用整体现浇工艺，对围护结构综合运用动静态结合方式提升保温隔热能力，有条件的可引入仓顶太阳能光伏板、新型辐射制冷材料等。</w:t>
      </w:r>
      <w:r>
        <w:rPr>
          <w:rFonts w:hint="eastAsia"/>
          <w:color w:val="auto"/>
          <w:highlight w:val="none"/>
          <w:lang w:val="en"/>
        </w:rPr>
        <w:t>落实</w:t>
      </w:r>
      <w:r>
        <w:rPr>
          <w:rFonts w:hint="eastAsia"/>
          <w:color w:val="auto"/>
          <w:highlight w:val="none"/>
        </w:rPr>
        <w:t>碳达峰、碳中和</w:t>
      </w:r>
      <w:r>
        <w:rPr>
          <w:rFonts w:hint="eastAsia"/>
          <w:color w:val="auto"/>
          <w:highlight w:val="none"/>
          <w:lang w:val="en"/>
        </w:rPr>
        <w:t>要求</w:t>
      </w:r>
      <w:r>
        <w:rPr>
          <w:rFonts w:hint="eastAsia"/>
          <w:color w:val="auto"/>
          <w:highlight w:val="none"/>
        </w:rPr>
        <w:t>，升级改造和技术应用要注重节能减排，降低能耗、提高效能。</w:t>
      </w:r>
    </w:p>
    <w:p w14:paraId="2EF4D38B">
      <w:pPr>
        <w:rPr>
          <w:color w:val="auto"/>
          <w:highlight w:val="none"/>
        </w:rPr>
      </w:pPr>
      <w:r>
        <w:rPr>
          <w:rFonts w:hint="eastAsia"/>
          <w:color w:val="auto"/>
          <w:highlight w:val="none"/>
        </w:rPr>
        <w:t>为落实《粮食绿色仓储提升行动方案（试行）》，本项目拟新建15万吨的高标准粮仓，将采用智能通风、氮气气调、仓内空间控温、粮堆控温等绿色储粮技术。本项目的建设符合绿色低碳储粮新技术的要求，有利于进一步降低储粮损耗，提升粮食品质，增加绿色优质粮食产品供给，让粮食储运真正实现绿色、生态、低碳、保质。项目建设是落实广州市粮食绿色仓储提升行动，推进深入推进优质粮食工程的需要。</w:t>
      </w:r>
    </w:p>
    <w:p w14:paraId="3B7BA203">
      <w:pPr>
        <w:rPr>
          <w:color w:val="auto"/>
          <w:highlight w:val="none"/>
        </w:rPr>
      </w:pPr>
      <w:r>
        <w:rPr>
          <w:rFonts w:hint="eastAsia"/>
          <w:color w:val="auto"/>
          <w:highlight w:val="none"/>
        </w:rPr>
        <w:t>3、项目建设是优化广州市粮油储备设施布局，提升大湾区应急保障能力的需要</w:t>
      </w:r>
    </w:p>
    <w:p w14:paraId="02E9DE0C">
      <w:pPr>
        <w:rPr>
          <w:color w:val="auto"/>
          <w:highlight w:val="none"/>
        </w:rPr>
      </w:pPr>
      <w:r>
        <w:rPr>
          <w:rFonts w:hint="eastAsia"/>
          <w:color w:val="auto"/>
          <w:highlight w:val="none"/>
        </w:rPr>
        <w:t>当前，世界处于百年未有之大变局，黑天鹅、灰犀牛事件时有发生。国际粮食市场波动传导效应加剧，谷物等大宗商品供应不稳定性增加，外部输入性风险上升。作为南方门户城市，广州是粮食主销区，粮食自给率低，对外依存度高，粮食安全保障存在较大压力。广州市毗邻港澳，是超大城市，人口密集，城市运行压力大，常态化的突发事件和超常规应急事件的关联性、衍生性、复合性强，全市突发公共应急事件时有发生，也对应急物资保障提出了更高的要求。为了保证粮食消费，确保粮食供求平衡，必须建立与之相配套的粮食基础设施。</w:t>
      </w:r>
    </w:p>
    <w:p w14:paraId="19E15A05">
      <w:pPr>
        <w:rPr>
          <w:color w:val="auto"/>
          <w:highlight w:val="none"/>
        </w:rPr>
      </w:pPr>
      <w:r>
        <w:rPr>
          <w:rFonts w:hint="eastAsia"/>
          <w:color w:val="auto"/>
          <w:highlight w:val="none"/>
        </w:rPr>
        <w:t>为了保障粮食安全和应急物资保障，广州不断加强粮食产销合作，健全储备粮管理体系，全市粮食安全和应急物资保障工作有了长足发展，但是与新时代新征程发展要求和人民美好生活需要相比仍存在差距，发展不平衡、不充分、不匹配问题依然突出，主要体现在：粮食消费需求刚性增长，稳产增产和调控难度加大；粮食供应链不够顺畅，产购储加销衔接融合不够，粮食流通的效率效能还需提升，粮食产业竞争力有待提高；各类风险防控和物资保障任务繁重，应急保障能力还相对较弱，仓储物流设施、应急物资储备设施现代化水平亟待提升；粮食物资队伍建设相对滞后，人才、科技和数字化支撑不足，治理体系和治理能力现代化有待提高。</w:t>
      </w:r>
    </w:p>
    <w:p w14:paraId="76FAA9C5">
      <w:pPr>
        <w:rPr>
          <w:color w:val="auto"/>
          <w:highlight w:val="none"/>
        </w:rPr>
      </w:pPr>
      <w:r>
        <w:rPr>
          <w:rFonts w:hint="eastAsia"/>
          <w:color w:val="auto"/>
          <w:highlight w:val="none"/>
        </w:rPr>
        <w:t>为防范化解粮食领域重大风险，统筹融合深入推进优质粮食工程和粮食应急保障体系建设，2021年，国家粮食和物资储备局印发了《粮食应急保障能力提升行动方案（试行）》，要求提升成品粮油仓储能力。行动方案提出建立适度规模的成品粮储备，提高小包装成品粮油储备比例，36个大中城市的地方成品粮油（含必要小包装）储备，达到15天以上（含15天）市场供应量。其他地区统筹区域粮食安全、调控应急需要、人口规模、经济发展等情况，保有一定天数市场供应量的成品粮油储备库存。新建或改建一定规模的成品粮油储备库，配备加热隔热、防潮、调温等设施设备，推广应用低温储存技术，满足成品粮油储备需要。</w:t>
      </w:r>
    </w:p>
    <w:p w14:paraId="72EC15BF">
      <w:pPr>
        <w:rPr>
          <w:color w:val="auto"/>
          <w:highlight w:val="none"/>
        </w:rPr>
      </w:pPr>
      <w:r>
        <w:rPr>
          <w:rFonts w:hint="eastAsia"/>
          <w:color w:val="auto"/>
          <w:highlight w:val="none"/>
        </w:rPr>
        <w:t>本项目拟选址于广州市天河区龙洞街道，新建一座高标准成品粮、食用油仓储设施，项目建设将填补广州市中心城区粮油仓储设施的空白，将极大提升广州市粮食应急保障能力，将优化广州市粮油储备设施布局，健全粮食应急管理体系，同时，提升大湾区粮食储备与应急保障能力。</w:t>
      </w:r>
    </w:p>
    <w:p w14:paraId="03C6ECDE">
      <w:pPr>
        <w:rPr>
          <w:color w:val="auto"/>
          <w:highlight w:val="none"/>
        </w:rPr>
      </w:pPr>
      <w:r>
        <w:rPr>
          <w:rFonts w:hint="eastAsia"/>
          <w:color w:val="auto"/>
          <w:highlight w:val="none"/>
        </w:rPr>
        <w:t>4、项目建设是推进仓储设施节约减损，落实粮食节约减损健康消费提升行动的重要举措</w:t>
      </w:r>
    </w:p>
    <w:p w14:paraId="28B75157">
      <w:pPr>
        <w:rPr>
          <w:color w:val="auto"/>
          <w:highlight w:val="none"/>
        </w:rPr>
      </w:pPr>
      <w:r>
        <w:rPr>
          <w:rFonts w:hint="eastAsia"/>
          <w:color w:val="auto"/>
          <w:highlight w:val="none"/>
        </w:rPr>
        <w:t>党的十八大以来，以习近平同志为核心的党中央高度重视节粮减损工作，强调要采取综合措施降低粮食损耗浪费，坚决刹住浪费粮食的不良风气。2021年11月1日，中共中央办公厅、国务院办公厅印发《粮食节约行动方案》，方案要求以习近平新时代中国特色社会主义思想为指导，坚持系统治理、依法治理、长效治理，坚持党委领导、政府主导、行业引导、公众参与，突出重点领域和关键环节，强化刚性制度约束，推动粮食全产业链各环节节约减损取得实效，为加快构建更高层次、更高质量、更有效率、更可持续的国家粮食安全保障体系奠定坚实基础。方案要求加强粮食储存环节减损，推进仓储设施节约减损。鼓励开展绿色仓储提升行动和绿色储粮标准化试点。升级修缮老旧仓房，推进粮食仓储信息化。推动粮仓设施分类分级和规范管理，提高用仓质量和效能。2021年国家粮食和物资储备局印发的《粮食节约减损健康消费提升行动方案（试行）》（国粮规〔2021〕236号），提出强化粮食储藏减损。推广节粮减损提质增效新技术、现代粮仓构建技术和现代物流配套技术，推进横向通风及储粮“四合一”升级新技术广泛应用，助力老旧仓房升级改造。深入研究粮堆温、湿、热迁移规律，推进低温低能耗成套储粮技术集成创新。开展低温储粮技术筛选，推广低成本、高效率储粮减损技术应用，推进绿色储粮。推广使用储粮新仓型，促进粮食仓储信息化。《广州市深入推进优质粮食工程“六大提升行动”实施意见》提出强化科技创新，积极推进粮食产后减损技术应用，促进流通、加工、存储、消费等各环节减损降耗提升粮食品质。加强爱粮节粮宣传教育，大力开展粮食安全宣传教育，利用世界粮食日、粮食安全宣传周、科技活动周等活动平台，深入开展爱粮节粮“进社区、进家庭、进军营、进学校、进企业”等“五进”行动，宣传普及爱粮节粮知识和健康营养消费理念，引导城乡居民养成健康节约的粮食消费习惯，营造爱粮节粮、健康消费、反对浪费的社会风尚。支持建设粮食安全宣传教育基地，组织开展爱粮节粮先进单位创建活动。</w:t>
      </w:r>
    </w:p>
    <w:p w14:paraId="435DF597">
      <w:pPr>
        <w:rPr>
          <w:color w:val="auto"/>
          <w:highlight w:val="none"/>
        </w:rPr>
      </w:pPr>
      <w:r>
        <w:rPr>
          <w:rFonts w:hint="eastAsia"/>
          <w:color w:val="auto"/>
          <w:highlight w:val="none"/>
        </w:rPr>
        <w:t>本项目采用粮情检测、机械通风、环流熏蒸和谷物冷却储粮“四合一”技术及现代低温保鲜、富氮低氧气调、生物防治等绿色储粮新技术、新工艺和新装备，应用大数据、物联网、云计算、人工智能等技术，构建起“数字化、智能化、可视化、精准化”的“互联网+粮食”的粮食仓储信息化系统。同时项目将创建粮食安全宣传教育基地，开展爱粮节粮、粮食安全宣传教育。项目建设是推进仓储设施节约减损，落实粮食节约减损健康消费提升行动的重要举措。</w:t>
      </w:r>
    </w:p>
    <w:p w14:paraId="69EC4E2A">
      <w:pPr>
        <w:rPr>
          <w:color w:val="auto"/>
          <w:highlight w:val="none"/>
        </w:rPr>
      </w:pPr>
      <w:r>
        <w:rPr>
          <w:rFonts w:hint="eastAsia"/>
          <w:color w:val="auto"/>
          <w:highlight w:val="none"/>
        </w:rPr>
        <w:t>本项目建设粮食仓容15万吨、植物油库容1600立方米的高标准粮油仓储设施。项目建设将有效解决天河区储备粮仓储设施缺乏，极大提升天河区粮食安全和应急物质保障能力，对强化国家经济安全保障，实施粮食安全战略有重要意义。项目符合绿色低碳储粮新技术的要求，是落实广州市粮食绿色仓储提升行动，深入推进优质粮食工程的需要。项目建设优化了广州市粮油储备设施布局，提升了大湾区应急保障能力。项目建设是推进仓储设施节约减损，落实粮食节约减损健康消费提升行动的重要举措，因此，本项目建设是必要的。</w:t>
      </w:r>
    </w:p>
    <w:p w14:paraId="1C78126E">
      <w:pPr>
        <w:pStyle w:val="5"/>
        <w:spacing w:before="156" w:after="156"/>
        <w:rPr>
          <w:color w:val="auto"/>
          <w:highlight w:val="none"/>
        </w:rPr>
      </w:pPr>
      <w:r>
        <w:rPr>
          <w:rFonts w:hint="eastAsia"/>
          <w:color w:val="auto"/>
          <w:highlight w:val="none"/>
        </w:rPr>
        <w:t>1.1.7项目建设</w:t>
      </w:r>
      <w:bookmarkEnd w:id="59"/>
      <w:bookmarkEnd w:id="60"/>
      <w:bookmarkEnd w:id="61"/>
      <w:r>
        <w:rPr>
          <w:rFonts w:hint="eastAsia"/>
          <w:color w:val="auto"/>
          <w:highlight w:val="none"/>
        </w:rPr>
        <w:t>规模</w:t>
      </w:r>
      <w:bookmarkEnd w:id="68"/>
      <w:bookmarkEnd w:id="69"/>
      <w:bookmarkEnd w:id="70"/>
    </w:p>
    <w:p w14:paraId="1496EF1D">
      <w:pPr>
        <w:rPr>
          <w:color w:val="auto"/>
          <w:highlight w:val="none"/>
        </w:rPr>
      </w:pPr>
      <w:bookmarkStart w:id="71" w:name="_Toc452558295"/>
      <w:bookmarkStart w:id="72" w:name="_Toc452973675"/>
      <w:bookmarkStart w:id="73" w:name="_Toc447612383"/>
      <w:bookmarkStart w:id="74" w:name="_Toc447612862"/>
      <w:r>
        <w:rPr>
          <w:rFonts w:hint="eastAsia"/>
          <w:color w:val="auto"/>
          <w:highlight w:val="none"/>
        </w:rPr>
        <w:t>天河区龙洞粮库建设工程规划总用地面积42535.22平方米，其中：其中可建设用地面积32828.51平方米，道路用地面积7840.6</w:t>
      </w:r>
      <w:r>
        <w:rPr>
          <w:rFonts w:hint="eastAsia"/>
          <w:color w:val="auto"/>
          <w:highlight w:val="none"/>
          <w:lang w:val="en-US" w:eastAsia="zh-CN"/>
        </w:rPr>
        <w:t>1</w:t>
      </w:r>
      <w:r>
        <w:rPr>
          <w:rFonts w:hint="eastAsia"/>
          <w:color w:val="auto"/>
          <w:highlight w:val="none"/>
        </w:rPr>
        <w:t>平方米，河涌水域面积1866.</w:t>
      </w:r>
      <w:r>
        <w:rPr>
          <w:rFonts w:hint="eastAsia"/>
          <w:color w:val="auto"/>
          <w:highlight w:val="none"/>
          <w:lang w:val="en-US" w:eastAsia="zh-CN"/>
        </w:rPr>
        <w:t>10</w:t>
      </w:r>
      <w:r>
        <w:rPr>
          <w:rFonts w:hint="eastAsia"/>
          <w:color w:val="auto"/>
          <w:highlight w:val="none"/>
        </w:rPr>
        <w:t>平方米，</w:t>
      </w:r>
      <w:r>
        <w:rPr>
          <w:rFonts w:hint="eastAsia"/>
          <w:color w:val="auto"/>
          <w:highlight w:val="none"/>
          <w:lang w:eastAsia="zh-CN"/>
        </w:rPr>
        <w:t>地上</w:t>
      </w:r>
      <w:r>
        <w:rPr>
          <w:rFonts w:hint="eastAsia"/>
          <w:color w:val="auto"/>
          <w:highlight w:val="none"/>
        </w:rPr>
        <w:t>容积率≤1.</w:t>
      </w:r>
      <w:r>
        <w:rPr>
          <w:rFonts w:hint="eastAsia"/>
          <w:color w:val="auto"/>
          <w:highlight w:val="none"/>
          <w:lang w:val="en-US" w:eastAsia="zh-CN"/>
        </w:rPr>
        <w:t>0</w:t>
      </w:r>
      <w:r>
        <w:rPr>
          <w:rFonts w:hint="eastAsia"/>
          <w:color w:val="auto"/>
          <w:highlight w:val="none"/>
        </w:rPr>
        <w:t>，计容建筑面积≤</w:t>
      </w:r>
      <w:r>
        <w:rPr>
          <w:rFonts w:hint="eastAsia"/>
          <w:color w:val="auto"/>
          <w:highlight w:val="none"/>
          <w:lang w:eastAsia="zh-CN"/>
        </w:rPr>
        <w:t>32916</w:t>
      </w:r>
      <w:r>
        <w:rPr>
          <w:rFonts w:hint="eastAsia"/>
          <w:color w:val="auto"/>
          <w:highlight w:val="none"/>
        </w:rPr>
        <w:t xml:space="preserve"> 平方米，建筑密度≤60%，绿地率≥20%，建筑限高60米。项目规划总建筑面积为41841平方米，其中：计容建筑面积32916平方米，不计容建筑面积8925平方米。项目建设内容主要包括新建3栋楼房仓、1个油罐组、1栋物资库、1栋综合服务楼（含教育展示中心）、1栋一站式服务中心及相关工艺设备等，配套建设乌蛇坑涌整治提升、桥梁、围墙、道路广场及绿地等室外工程。</w:t>
      </w:r>
    </w:p>
    <w:p w14:paraId="4F92A474">
      <w:pPr>
        <w:rPr>
          <w:rFonts w:hint="eastAsia" w:ascii="宋体" w:hAnsi="宋体"/>
          <w:color w:val="auto"/>
          <w:highlight w:val="none"/>
        </w:rPr>
      </w:pPr>
      <w:r>
        <w:rPr>
          <w:rFonts w:hint="eastAsia"/>
          <w:color w:val="auto"/>
          <w:highlight w:val="none"/>
        </w:rPr>
        <w:t>项目位于龙洞街道，东临沙河兆联春岗山物流管理中心，南临龙山工业园和广河高速，西邻迎龙路。</w:t>
      </w:r>
    </w:p>
    <w:p w14:paraId="05049CA5">
      <w:pPr>
        <w:rPr>
          <w:rFonts w:hint="eastAsia" w:ascii="宋体" w:hAnsi="宋体"/>
          <w:color w:val="auto"/>
          <w:highlight w:val="none"/>
        </w:rPr>
      </w:pPr>
      <w:r>
        <w:rPr>
          <w:rFonts w:hint="eastAsia" w:ascii="宋体" w:hAnsi="宋体"/>
          <w:color w:val="auto"/>
          <w:highlight w:val="none"/>
        </w:rPr>
        <w:t>根据项目建议书，建设内容和规模详见下表（部分指标按照规划意见修正）。</w:t>
      </w:r>
    </w:p>
    <w:p w14:paraId="54707D0F">
      <w:pPr>
        <w:jc w:val="center"/>
        <w:rPr>
          <w:rFonts w:hint="eastAsia" w:ascii="黑体" w:hAnsi="黑体" w:eastAsia="黑体"/>
          <w:color w:val="auto"/>
          <w:highlight w:val="none"/>
        </w:rPr>
      </w:pPr>
      <w:r>
        <w:rPr>
          <w:rFonts w:hint="eastAsia" w:ascii="黑体" w:hAnsi="黑体" w:eastAsia="黑体"/>
          <w:color w:val="auto"/>
          <w:highlight w:val="none"/>
        </w:rPr>
        <w:t>主要技术经济指标表</w:t>
      </w:r>
    </w:p>
    <w:p w14:paraId="691C4A60">
      <w:pPr>
        <w:spacing w:line="240" w:lineRule="exact"/>
        <w:ind w:firstLine="420"/>
        <w:rPr>
          <w:rFonts w:hint="eastAsia" w:hAnsi="仿宋"/>
          <w:color w:val="auto"/>
          <w:sz w:val="21"/>
          <w:szCs w:val="21"/>
          <w:highlight w:val="none"/>
        </w:rPr>
      </w:pPr>
      <w:r>
        <w:rPr>
          <w:rFonts w:hint="eastAsia" w:hAnsi="仿宋"/>
          <w:color w:val="auto"/>
          <w:sz w:val="21"/>
          <w:szCs w:val="21"/>
          <w:highlight w:val="none"/>
        </w:rPr>
        <w:t>表1.1-1</w:t>
      </w:r>
    </w:p>
    <w:tbl>
      <w:tblPr>
        <w:tblStyle w:val="19"/>
        <w:tblW w:w="850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51"/>
        <w:gridCol w:w="2126"/>
        <w:gridCol w:w="876"/>
        <w:gridCol w:w="1400"/>
        <w:gridCol w:w="3253"/>
      </w:tblGrid>
      <w:tr w14:paraId="05F203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 w:hRule="atLeast"/>
          <w:tblHeader/>
          <w:jc w:val="center"/>
        </w:trPr>
        <w:tc>
          <w:tcPr>
            <w:tcW w:w="851" w:type="dxa"/>
            <w:tcBorders>
              <w:tl2br w:val="nil"/>
              <w:tr2bl w:val="nil"/>
            </w:tcBorders>
            <w:shd w:val="clear" w:color="auto" w:fill="auto"/>
            <w:vAlign w:val="center"/>
          </w:tcPr>
          <w:p w14:paraId="41B52B3C">
            <w:pPr>
              <w:spacing w:line="240" w:lineRule="exact"/>
              <w:ind w:firstLine="0" w:firstLineChars="0"/>
              <w:rPr>
                <w:rFonts w:hint="eastAsia" w:ascii="黑体" w:hAnsi="黑体" w:eastAsia="黑体"/>
                <w:color w:val="auto"/>
                <w:sz w:val="21"/>
                <w:szCs w:val="21"/>
                <w:highlight w:val="none"/>
              </w:rPr>
            </w:pPr>
            <w:r>
              <w:rPr>
                <w:rFonts w:hint="eastAsia" w:ascii="黑体" w:hAnsi="黑体" w:eastAsia="黑体"/>
                <w:color w:val="auto"/>
                <w:sz w:val="21"/>
                <w:szCs w:val="21"/>
                <w:highlight w:val="none"/>
              </w:rPr>
              <w:t>序号</w:t>
            </w:r>
          </w:p>
        </w:tc>
        <w:tc>
          <w:tcPr>
            <w:tcW w:w="2126" w:type="dxa"/>
            <w:tcBorders>
              <w:tl2br w:val="nil"/>
              <w:tr2bl w:val="nil"/>
            </w:tcBorders>
            <w:shd w:val="clear" w:color="auto" w:fill="auto"/>
            <w:vAlign w:val="center"/>
          </w:tcPr>
          <w:p w14:paraId="74086973">
            <w:pPr>
              <w:spacing w:line="240" w:lineRule="exact"/>
              <w:ind w:firstLine="420"/>
              <w:jc w:val="left"/>
              <w:rPr>
                <w:rFonts w:hint="eastAsia" w:ascii="黑体" w:hAnsi="黑体" w:eastAsia="黑体"/>
                <w:color w:val="auto"/>
                <w:sz w:val="21"/>
                <w:szCs w:val="21"/>
                <w:highlight w:val="none"/>
              </w:rPr>
            </w:pPr>
            <w:r>
              <w:rPr>
                <w:rFonts w:hint="eastAsia" w:ascii="黑体" w:hAnsi="黑体" w:eastAsia="黑体"/>
                <w:color w:val="auto"/>
                <w:sz w:val="21"/>
                <w:szCs w:val="21"/>
                <w:highlight w:val="none"/>
              </w:rPr>
              <w:t>项目名称</w:t>
            </w:r>
          </w:p>
        </w:tc>
        <w:tc>
          <w:tcPr>
            <w:tcW w:w="876" w:type="dxa"/>
            <w:tcBorders>
              <w:tl2br w:val="nil"/>
              <w:tr2bl w:val="nil"/>
            </w:tcBorders>
            <w:shd w:val="clear" w:color="auto" w:fill="auto"/>
            <w:vAlign w:val="center"/>
          </w:tcPr>
          <w:p w14:paraId="4569DCAD">
            <w:pPr>
              <w:spacing w:line="240" w:lineRule="exact"/>
              <w:ind w:firstLine="0" w:firstLineChars="0"/>
              <w:jc w:val="left"/>
              <w:rPr>
                <w:rFonts w:hint="eastAsia" w:ascii="黑体" w:hAnsi="黑体" w:eastAsia="黑体"/>
                <w:color w:val="auto"/>
                <w:sz w:val="21"/>
                <w:szCs w:val="21"/>
                <w:highlight w:val="none"/>
              </w:rPr>
            </w:pPr>
            <w:r>
              <w:rPr>
                <w:rFonts w:hint="eastAsia" w:ascii="黑体" w:hAnsi="黑体" w:eastAsia="黑体"/>
                <w:color w:val="auto"/>
                <w:sz w:val="21"/>
                <w:szCs w:val="21"/>
                <w:highlight w:val="none"/>
              </w:rPr>
              <w:t>单位</w:t>
            </w:r>
          </w:p>
        </w:tc>
        <w:tc>
          <w:tcPr>
            <w:tcW w:w="1400" w:type="dxa"/>
            <w:tcBorders>
              <w:tl2br w:val="nil"/>
              <w:tr2bl w:val="nil"/>
            </w:tcBorders>
            <w:shd w:val="clear" w:color="auto" w:fill="auto"/>
            <w:vAlign w:val="center"/>
          </w:tcPr>
          <w:p w14:paraId="709D0156">
            <w:pPr>
              <w:spacing w:line="240" w:lineRule="exact"/>
              <w:ind w:firstLine="420"/>
              <w:jc w:val="left"/>
              <w:rPr>
                <w:rFonts w:hint="eastAsia" w:ascii="黑体" w:hAnsi="黑体" w:eastAsia="黑体"/>
                <w:color w:val="auto"/>
                <w:sz w:val="21"/>
                <w:szCs w:val="21"/>
                <w:highlight w:val="none"/>
              </w:rPr>
            </w:pPr>
            <w:r>
              <w:rPr>
                <w:rFonts w:hint="eastAsia" w:ascii="黑体" w:hAnsi="黑体" w:eastAsia="黑体"/>
                <w:color w:val="auto"/>
                <w:sz w:val="21"/>
                <w:szCs w:val="21"/>
                <w:highlight w:val="none"/>
              </w:rPr>
              <w:t>数值</w:t>
            </w:r>
          </w:p>
        </w:tc>
        <w:tc>
          <w:tcPr>
            <w:tcW w:w="3253" w:type="dxa"/>
            <w:tcBorders>
              <w:tl2br w:val="nil"/>
              <w:tr2bl w:val="nil"/>
            </w:tcBorders>
            <w:shd w:val="clear" w:color="auto" w:fill="auto"/>
            <w:vAlign w:val="center"/>
          </w:tcPr>
          <w:p w14:paraId="2FB2EA1C">
            <w:pPr>
              <w:spacing w:line="240" w:lineRule="exact"/>
              <w:ind w:firstLine="420"/>
              <w:jc w:val="left"/>
              <w:rPr>
                <w:rFonts w:hint="eastAsia" w:ascii="黑体" w:hAnsi="黑体" w:eastAsia="黑体"/>
                <w:color w:val="auto"/>
                <w:sz w:val="21"/>
                <w:szCs w:val="21"/>
                <w:highlight w:val="none"/>
              </w:rPr>
            </w:pPr>
            <w:r>
              <w:rPr>
                <w:rFonts w:hint="eastAsia" w:ascii="黑体" w:hAnsi="黑体" w:eastAsia="黑体"/>
                <w:color w:val="auto"/>
                <w:sz w:val="21"/>
                <w:szCs w:val="21"/>
                <w:highlight w:val="none"/>
              </w:rPr>
              <w:t>备注</w:t>
            </w:r>
          </w:p>
        </w:tc>
      </w:tr>
      <w:tr w14:paraId="6FDC5B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tcBorders>
              <w:tl2br w:val="nil"/>
              <w:tr2bl w:val="nil"/>
            </w:tcBorders>
            <w:shd w:val="clear" w:color="auto" w:fill="auto"/>
            <w:vAlign w:val="center"/>
          </w:tcPr>
          <w:p w14:paraId="3873BCBD">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一</w:t>
            </w:r>
          </w:p>
        </w:tc>
        <w:tc>
          <w:tcPr>
            <w:tcW w:w="2126" w:type="dxa"/>
            <w:tcBorders>
              <w:tl2br w:val="nil"/>
              <w:tr2bl w:val="nil"/>
            </w:tcBorders>
            <w:shd w:val="clear" w:color="auto" w:fill="auto"/>
            <w:vAlign w:val="center"/>
          </w:tcPr>
          <w:p w14:paraId="1E816A25">
            <w:pPr>
              <w:widowControl/>
              <w:ind w:firstLine="420"/>
              <w:jc w:val="left"/>
              <w:textAlignment w:val="center"/>
              <w:rPr>
                <w:rFonts w:hint="eastAsia"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总用地面积</w:t>
            </w:r>
          </w:p>
        </w:tc>
        <w:tc>
          <w:tcPr>
            <w:tcW w:w="876" w:type="dxa"/>
            <w:tcBorders>
              <w:tl2br w:val="nil"/>
              <w:tr2bl w:val="nil"/>
            </w:tcBorders>
            <w:shd w:val="clear" w:color="auto" w:fill="auto"/>
            <w:vAlign w:val="center"/>
          </w:tcPr>
          <w:p w14:paraId="6AC3C5C7">
            <w:pPr>
              <w:widowControl/>
              <w:ind w:firstLine="0" w:firstLineChars="0"/>
              <w:jc w:val="left"/>
              <w:textAlignment w:val="center"/>
              <w:rPr>
                <w:rFonts w:hint="eastAsia"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w:t>
            </w:r>
          </w:p>
        </w:tc>
        <w:tc>
          <w:tcPr>
            <w:tcW w:w="1400" w:type="dxa"/>
            <w:tcBorders>
              <w:tl2br w:val="nil"/>
              <w:tr2bl w:val="nil"/>
            </w:tcBorders>
            <w:shd w:val="clear" w:color="auto" w:fill="auto"/>
            <w:vAlign w:val="center"/>
          </w:tcPr>
          <w:p w14:paraId="1F67F4DF">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color w:val="auto"/>
                <w:highlight w:val="none"/>
              </w:rPr>
              <w:t>42535.22</w:t>
            </w:r>
          </w:p>
        </w:tc>
        <w:tc>
          <w:tcPr>
            <w:tcW w:w="3253" w:type="dxa"/>
            <w:tcBorders>
              <w:tl2br w:val="nil"/>
              <w:tr2bl w:val="nil"/>
            </w:tcBorders>
            <w:shd w:val="clear" w:color="auto" w:fill="auto"/>
            <w:vAlign w:val="center"/>
          </w:tcPr>
          <w:p w14:paraId="3A9A34EC">
            <w:pPr>
              <w:ind w:firstLine="420"/>
              <w:jc w:val="left"/>
              <w:rPr>
                <w:rFonts w:hint="eastAsia" w:ascii="仿宋_GB2312" w:hAnsi="宋体" w:eastAsia="仿宋_GB2312" w:cs="仿宋_GB2312"/>
                <w:color w:val="auto"/>
                <w:sz w:val="21"/>
                <w:szCs w:val="21"/>
                <w:highlight w:val="none"/>
              </w:rPr>
            </w:pPr>
          </w:p>
        </w:tc>
      </w:tr>
      <w:tr w14:paraId="0B83A3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tcBorders>
              <w:tl2br w:val="nil"/>
              <w:tr2bl w:val="nil"/>
            </w:tcBorders>
            <w:shd w:val="clear" w:color="auto" w:fill="auto"/>
            <w:vAlign w:val="center"/>
          </w:tcPr>
          <w:p w14:paraId="00CE1D4A">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w:t>
            </w:r>
          </w:p>
        </w:tc>
        <w:tc>
          <w:tcPr>
            <w:tcW w:w="2126" w:type="dxa"/>
            <w:tcBorders>
              <w:tl2br w:val="nil"/>
              <w:tr2bl w:val="nil"/>
            </w:tcBorders>
            <w:shd w:val="clear" w:color="auto" w:fill="auto"/>
            <w:vAlign w:val="center"/>
          </w:tcPr>
          <w:p w14:paraId="07001147">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粮仓用地</w:t>
            </w:r>
          </w:p>
        </w:tc>
        <w:tc>
          <w:tcPr>
            <w:tcW w:w="876" w:type="dxa"/>
            <w:tcBorders>
              <w:tl2br w:val="nil"/>
              <w:tr2bl w:val="nil"/>
            </w:tcBorders>
            <w:shd w:val="clear" w:color="auto" w:fill="auto"/>
            <w:vAlign w:val="center"/>
          </w:tcPr>
          <w:p w14:paraId="23D8D3B4">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w:t>
            </w:r>
          </w:p>
        </w:tc>
        <w:tc>
          <w:tcPr>
            <w:tcW w:w="1400" w:type="dxa"/>
            <w:tcBorders>
              <w:tl2br w:val="nil"/>
              <w:tr2bl w:val="nil"/>
            </w:tcBorders>
            <w:shd w:val="clear" w:color="auto" w:fill="auto"/>
            <w:vAlign w:val="center"/>
          </w:tcPr>
          <w:p w14:paraId="40E1D0E2">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color w:val="auto"/>
                <w:highlight w:val="none"/>
              </w:rPr>
              <w:t>32828.51</w:t>
            </w:r>
          </w:p>
        </w:tc>
        <w:tc>
          <w:tcPr>
            <w:tcW w:w="3253" w:type="dxa"/>
            <w:tcBorders>
              <w:tl2br w:val="nil"/>
              <w:tr2bl w:val="nil"/>
            </w:tcBorders>
            <w:shd w:val="clear" w:color="auto" w:fill="auto"/>
            <w:vAlign w:val="center"/>
          </w:tcPr>
          <w:p w14:paraId="08F3C18F">
            <w:pPr>
              <w:ind w:firstLine="420"/>
              <w:jc w:val="left"/>
              <w:rPr>
                <w:rFonts w:hint="eastAsia" w:ascii="仿宋_GB2312" w:hAnsi="宋体" w:eastAsia="仿宋_GB2312" w:cs="仿宋_GB2312"/>
                <w:color w:val="auto"/>
                <w:sz w:val="21"/>
                <w:szCs w:val="21"/>
                <w:highlight w:val="none"/>
              </w:rPr>
            </w:pPr>
          </w:p>
        </w:tc>
      </w:tr>
      <w:tr w14:paraId="6F6188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tcBorders>
              <w:tl2br w:val="nil"/>
              <w:tr2bl w:val="nil"/>
            </w:tcBorders>
            <w:shd w:val="clear" w:color="auto" w:fill="auto"/>
            <w:vAlign w:val="center"/>
          </w:tcPr>
          <w:p w14:paraId="620C189C">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2</w:t>
            </w:r>
          </w:p>
        </w:tc>
        <w:tc>
          <w:tcPr>
            <w:tcW w:w="2126" w:type="dxa"/>
            <w:tcBorders>
              <w:tl2br w:val="nil"/>
              <w:tr2bl w:val="nil"/>
            </w:tcBorders>
            <w:shd w:val="clear" w:color="auto" w:fill="auto"/>
            <w:vAlign w:val="center"/>
          </w:tcPr>
          <w:p w14:paraId="7BD5B587">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河涌用地</w:t>
            </w:r>
          </w:p>
        </w:tc>
        <w:tc>
          <w:tcPr>
            <w:tcW w:w="876" w:type="dxa"/>
            <w:tcBorders>
              <w:tl2br w:val="nil"/>
              <w:tr2bl w:val="nil"/>
            </w:tcBorders>
            <w:shd w:val="clear" w:color="auto" w:fill="auto"/>
            <w:vAlign w:val="center"/>
          </w:tcPr>
          <w:p w14:paraId="7A921659">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w:t>
            </w:r>
          </w:p>
        </w:tc>
        <w:tc>
          <w:tcPr>
            <w:tcW w:w="1400" w:type="dxa"/>
            <w:tcBorders>
              <w:tl2br w:val="nil"/>
              <w:tr2bl w:val="nil"/>
            </w:tcBorders>
            <w:shd w:val="clear" w:color="auto" w:fill="auto"/>
            <w:vAlign w:val="center"/>
          </w:tcPr>
          <w:p w14:paraId="627BDE88">
            <w:pPr>
              <w:widowControl/>
              <w:ind w:firstLine="0" w:firstLineChars="0"/>
              <w:jc w:val="left"/>
              <w:textAlignment w:val="center"/>
              <w:rPr>
                <w:rFonts w:hint="default" w:ascii="仿宋_GB2312" w:hAnsi="宋体" w:eastAsia="宋体" w:cs="仿宋_GB2312"/>
                <w:color w:val="auto"/>
                <w:sz w:val="21"/>
                <w:szCs w:val="21"/>
                <w:highlight w:val="none"/>
                <w:lang w:val="en-US" w:eastAsia="zh-CN"/>
              </w:rPr>
            </w:pPr>
            <w:r>
              <w:rPr>
                <w:rFonts w:hint="eastAsia"/>
                <w:color w:val="auto"/>
                <w:highlight w:val="none"/>
              </w:rPr>
              <w:t>1866.</w:t>
            </w:r>
            <w:r>
              <w:rPr>
                <w:rFonts w:hint="eastAsia"/>
                <w:color w:val="auto"/>
                <w:highlight w:val="none"/>
                <w:lang w:val="en-US" w:eastAsia="zh-CN"/>
              </w:rPr>
              <w:t>10</w:t>
            </w:r>
          </w:p>
        </w:tc>
        <w:tc>
          <w:tcPr>
            <w:tcW w:w="3253" w:type="dxa"/>
            <w:tcBorders>
              <w:tl2br w:val="nil"/>
              <w:tr2bl w:val="nil"/>
            </w:tcBorders>
            <w:shd w:val="clear" w:color="auto" w:fill="auto"/>
            <w:vAlign w:val="center"/>
          </w:tcPr>
          <w:p w14:paraId="39716E2F">
            <w:pPr>
              <w:ind w:firstLine="420"/>
              <w:jc w:val="left"/>
              <w:rPr>
                <w:rFonts w:hint="eastAsia" w:ascii="仿宋_GB2312" w:hAnsi="宋体" w:eastAsia="仿宋_GB2312" w:cs="仿宋_GB2312"/>
                <w:color w:val="auto"/>
                <w:sz w:val="21"/>
                <w:szCs w:val="21"/>
                <w:highlight w:val="none"/>
              </w:rPr>
            </w:pPr>
          </w:p>
        </w:tc>
      </w:tr>
      <w:tr w14:paraId="039357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tcBorders>
              <w:tl2br w:val="nil"/>
              <w:tr2bl w:val="nil"/>
            </w:tcBorders>
            <w:shd w:val="clear" w:color="auto" w:fill="auto"/>
            <w:vAlign w:val="center"/>
          </w:tcPr>
          <w:p w14:paraId="2CA36E81">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3</w:t>
            </w:r>
          </w:p>
        </w:tc>
        <w:tc>
          <w:tcPr>
            <w:tcW w:w="2126" w:type="dxa"/>
            <w:tcBorders>
              <w:tl2br w:val="nil"/>
              <w:tr2bl w:val="nil"/>
            </w:tcBorders>
            <w:shd w:val="clear" w:color="auto" w:fill="auto"/>
            <w:vAlign w:val="center"/>
          </w:tcPr>
          <w:p w14:paraId="7593E88F">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代征道路</w:t>
            </w:r>
          </w:p>
        </w:tc>
        <w:tc>
          <w:tcPr>
            <w:tcW w:w="876" w:type="dxa"/>
            <w:tcBorders>
              <w:tl2br w:val="nil"/>
              <w:tr2bl w:val="nil"/>
            </w:tcBorders>
            <w:shd w:val="clear" w:color="auto" w:fill="auto"/>
            <w:vAlign w:val="center"/>
          </w:tcPr>
          <w:p w14:paraId="243BBC21">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w:t>
            </w:r>
          </w:p>
        </w:tc>
        <w:tc>
          <w:tcPr>
            <w:tcW w:w="1400" w:type="dxa"/>
            <w:tcBorders>
              <w:tl2br w:val="nil"/>
              <w:tr2bl w:val="nil"/>
            </w:tcBorders>
            <w:shd w:val="clear" w:color="auto" w:fill="auto"/>
            <w:vAlign w:val="center"/>
          </w:tcPr>
          <w:p w14:paraId="74A02978">
            <w:pPr>
              <w:widowControl/>
              <w:ind w:firstLine="0" w:firstLineChars="0"/>
              <w:jc w:val="left"/>
              <w:textAlignment w:val="center"/>
              <w:rPr>
                <w:rFonts w:hint="eastAsia" w:ascii="仿宋_GB2312" w:hAnsi="宋体" w:eastAsia="宋体" w:cs="仿宋_GB2312"/>
                <w:color w:val="auto"/>
                <w:sz w:val="21"/>
                <w:szCs w:val="21"/>
                <w:highlight w:val="none"/>
                <w:lang w:eastAsia="zh-CN"/>
              </w:rPr>
            </w:pPr>
            <w:r>
              <w:rPr>
                <w:rFonts w:hint="eastAsia"/>
                <w:color w:val="auto"/>
                <w:highlight w:val="none"/>
              </w:rPr>
              <w:t>7840.6</w:t>
            </w:r>
            <w:r>
              <w:rPr>
                <w:rFonts w:hint="eastAsia"/>
                <w:color w:val="auto"/>
                <w:highlight w:val="none"/>
                <w:lang w:val="en-US" w:eastAsia="zh-CN"/>
              </w:rPr>
              <w:t>1</w:t>
            </w:r>
          </w:p>
        </w:tc>
        <w:tc>
          <w:tcPr>
            <w:tcW w:w="3253" w:type="dxa"/>
            <w:tcBorders>
              <w:tl2br w:val="nil"/>
              <w:tr2bl w:val="nil"/>
            </w:tcBorders>
            <w:shd w:val="clear" w:color="auto" w:fill="auto"/>
            <w:vAlign w:val="center"/>
          </w:tcPr>
          <w:p w14:paraId="3B1ED494">
            <w:pPr>
              <w:ind w:firstLine="420"/>
              <w:jc w:val="left"/>
              <w:rPr>
                <w:rFonts w:hint="eastAsia" w:ascii="仿宋_GB2312" w:hAnsi="宋体" w:eastAsia="仿宋_GB2312" w:cs="仿宋_GB2312"/>
                <w:color w:val="auto"/>
                <w:sz w:val="21"/>
                <w:szCs w:val="21"/>
                <w:highlight w:val="none"/>
              </w:rPr>
            </w:pPr>
          </w:p>
        </w:tc>
      </w:tr>
      <w:tr w14:paraId="3EE603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tcBorders>
              <w:tl2br w:val="nil"/>
              <w:tr2bl w:val="nil"/>
            </w:tcBorders>
            <w:shd w:val="clear" w:color="auto" w:fill="auto"/>
            <w:vAlign w:val="center"/>
          </w:tcPr>
          <w:p w14:paraId="38AADE8D">
            <w:pPr>
              <w:widowControl/>
              <w:ind w:firstLine="0" w:firstLineChars="0"/>
              <w:jc w:val="left"/>
              <w:textAlignment w:val="center"/>
              <w:rPr>
                <w:rFonts w:hint="eastAsia"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二</w:t>
            </w:r>
          </w:p>
        </w:tc>
        <w:tc>
          <w:tcPr>
            <w:tcW w:w="2126" w:type="dxa"/>
            <w:tcBorders>
              <w:tl2br w:val="nil"/>
              <w:tr2bl w:val="nil"/>
            </w:tcBorders>
            <w:shd w:val="clear" w:color="auto" w:fill="auto"/>
            <w:vAlign w:val="center"/>
          </w:tcPr>
          <w:p w14:paraId="09FFC4DB">
            <w:pPr>
              <w:widowControl/>
              <w:ind w:firstLine="420"/>
              <w:jc w:val="left"/>
              <w:textAlignment w:val="center"/>
              <w:rPr>
                <w:rFonts w:hint="eastAsia"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工程指标</w:t>
            </w:r>
          </w:p>
        </w:tc>
        <w:tc>
          <w:tcPr>
            <w:tcW w:w="876" w:type="dxa"/>
            <w:tcBorders>
              <w:tl2br w:val="nil"/>
              <w:tr2bl w:val="nil"/>
            </w:tcBorders>
            <w:shd w:val="clear" w:color="auto" w:fill="auto"/>
            <w:vAlign w:val="center"/>
          </w:tcPr>
          <w:p w14:paraId="7BBBD3AD">
            <w:pPr>
              <w:ind w:firstLine="420"/>
              <w:jc w:val="left"/>
              <w:rPr>
                <w:rFonts w:hint="eastAsia" w:ascii="仿宋_GB2312" w:hAnsi="宋体" w:eastAsia="仿宋_GB2312" w:cs="仿宋_GB2312"/>
                <w:b/>
                <w:bCs/>
                <w:color w:val="auto"/>
                <w:sz w:val="21"/>
                <w:szCs w:val="21"/>
                <w:highlight w:val="none"/>
              </w:rPr>
            </w:pPr>
          </w:p>
        </w:tc>
        <w:tc>
          <w:tcPr>
            <w:tcW w:w="1400" w:type="dxa"/>
            <w:tcBorders>
              <w:tl2br w:val="nil"/>
              <w:tr2bl w:val="nil"/>
            </w:tcBorders>
            <w:shd w:val="clear" w:color="auto" w:fill="auto"/>
            <w:vAlign w:val="center"/>
          </w:tcPr>
          <w:p w14:paraId="2433DD3B">
            <w:pPr>
              <w:ind w:firstLine="420"/>
              <w:jc w:val="left"/>
              <w:rPr>
                <w:rFonts w:hint="eastAsia" w:ascii="仿宋_GB2312" w:hAnsi="宋体" w:eastAsia="仿宋_GB2312" w:cs="仿宋_GB2312"/>
                <w:b/>
                <w:bCs/>
                <w:color w:val="auto"/>
                <w:sz w:val="21"/>
                <w:szCs w:val="21"/>
                <w:highlight w:val="none"/>
              </w:rPr>
            </w:pPr>
          </w:p>
        </w:tc>
        <w:tc>
          <w:tcPr>
            <w:tcW w:w="3253" w:type="dxa"/>
            <w:tcBorders>
              <w:tl2br w:val="nil"/>
              <w:tr2bl w:val="nil"/>
            </w:tcBorders>
            <w:shd w:val="clear" w:color="auto" w:fill="auto"/>
            <w:vAlign w:val="center"/>
          </w:tcPr>
          <w:p w14:paraId="4E62E990">
            <w:pPr>
              <w:ind w:firstLine="420"/>
              <w:jc w:val="left"/>
              <w:rPr>
                <w:rFonts w:hint="eastAsia" w:ascii="仿宋_GB2312" w:hAnsi="宋体" w:eastAsia="仿宋_GB2312" w:cs="仿宋_GB2312"/>
                <w:b/>
                <w:bCs/>
                <w:color w:val="auto"/>
                <w:sz w:val="21"/>
                <w:szCs w:val="21"/>
                <w:highlight w:val="none"/>
              </w:rPr>
            </w:pPr>
          </w:p>
        </w:tc>
      </w:tr>
      <w:tr w14:paraId="77CD8E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tcBorders>
              <w:tl2br w:val="nil"/>
              <w:tr2bl w:val="nil"/>
            </w:tcBorders>
            <w:shd w:val="clear" w:color="auto" w:fill="auto"/>
            <w:vAlign w:val="center"/>
          </w:tcPr>
          <w:p w14:paraId="0EB21732">
            <w:pPr>
              <w:widowControl/>
              <w:ind w:firstLine="0" w:firstLineChars="0"/>
              <w:jc w:val="left"/>
              <w:textAlignment w:val="center"/>
              <w:rPr>
                <w:rFonts w:hint="eastAsia"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1</w:t>
            </w:r>
          </w:p>
        </w:tc>
        <w:tc>
          <w:tcPr>
            <w:tcW w:w="2126" w:type="dxa"/>
            <w:tcBorders>
              <w:tl2br w:val="nil"/>
              <w:tr2bl w:val="nil"/>
            </w:tcBorders>
            <w:shd w:val="clear" w:color="auto" w:fill="auto"/>
            <w:vAlign w:val="center"/>
          </w:tcPr>
          <w:p w14:paraId="71944859">
            <w:pPr>
              <w:widowControl/>
              <w:ind w:firstLine="420"/>
              <w:jc w:val="left"/>
              <w:textAlignment w:val="center"/>
              <w:rPr>
                <w:rFonts w:hint="eastAsia"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总建筑面积</w:t>
            </w:r>
          </w:p>
        </w:tc>
        <w:tc>
          <w:tcPr>
            <w:tcW w:w="876" w:type="dxa"/>
            <w:tcBorders>
              <w:tl2br w:val="nil"/>
              <w:tr2bl w:val="nil"/>
            </w:tcBorders>
            <w:shd w:val="clear" w:color="auto" w:fill="auto"/>
            <w:vAlign w:val="center"/>
          </w:tcPr>
          <w:p w14:paraId="1542A4E9">
            <w:pPr>
              <w:widowControl/>
              <w:ind w:firstLine="0" w:firstLineChars="0"/>
              <w:jc w:val="left"/>
              <w:textAlignment w:val="center"/>
              <w:rPr>
                <w:rFonts w:hint="eastAsia"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w:t>
            </w:r>
          </w:p>
        </w:tc>
        <w:tc>
          <w:tcPr>
            <w:tcW w:w="1400" w:type="dxa"/>
            <w:tcBorders>
              <w:tl2br w:val="nil"/>
              <w:tr2bl w:val="nil"/>
            </w:tcBorders>
            <w:shd w:val="clear" w:color="auto" w:fill="auto"/>
            <w:vAlign w:val="center"/>
          </w:tcPr>
          <w:p w14:paraId="26CFDDB0">
            <w:pPr>
              <w:widowControl/>
              <w:ind w:firstLine="0" w:firstLineChars="0"/>
              <w:jc w:val="left"/>
              <w:textAlignment w:val="center"/>
              <w:rPr>
                <w:rFonts w:hint="eastAsia"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41841</w:t>
            </w:r>
          </w:p>
        </w:tc>
        <w:tc>
          <w:tcPr>
            <w:tcW w:w="3253" w:type="dxa"/>
            <w:tcBorders>
              <w:tl2br w:val="nil"/>
              <w:tr2bl w:val="nil"/>
            </w:tcBorders>
            <w:shd w:val="clear" w:color="auto" w:fill="auto"/>
            <w:vAlign w:val="center"/>
          </w:tcPr>
          <w:p w14:paraId="56793B8C">
            <w:pPr>
              <w:ind w:firstLine="420"/>
              <w:jc w:val="left"/>
              <w:rPr>
                <w:rFonts w:hint="eastAsia" w:ascii="仿宋_GB2312" w:hAnsi="宋体" w:eastAsia="仿宋_GB2312" w:cs="仿宋_GB2312"/>
                <w:b/>
                <w:bCs/>
                <w:color w:val="auto"/>
                <w:sz w:val="21"/>
                <w:szCs w:val="21"/>
                <w:highlight w:val="none"/>
              </w:rPr>
            </w:pPr>
          </w:p>
        </w:tc>
      </w:tr>
      <w:tr w14:paraId="477A80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tcBorders>
              <w:tl2br w:val="nil"/>
              <w:tr2bl w:val="nil"/>
            </w:tcBorders>
            <w:shd w:val="clear" w:color="auto" w:fill="auto"/>
            <w:vAlign w:val="center"/>
          </w:tcPr>
          <w:p w14:paraId="02077090">
            <w:pPr>
              <w:widowControl/>
              <w:ind w:firstLine="0" w:firstLineChars="0"/>
              <w:jc w:val="left"/>
              <w:textAlignment w:val="center"/>
              <w:rPr>
                <w:rFonts w:hint="eastAsia"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1.1</w:t>
            </w:r>
          </w:p>
        </w:tc>
        <w:tc>
          <w:tcPr>
            <w:tcW w:w="2126" w:type="dxa"/>
            <w:tcBorders>
              <w:tl2br w:val="nil"/>
              <w:tr2bl w:val="nil"/>
            </w:tcBorders>
            <w:shd w:val="clear" w:color="auto" w:fill="auto"/>
            <w:vAlign w:val="center"/>
          </w:tcPr>
          <w:p w14:paraId="00D342FD">
            <w:pPr>
              <w:widowControl/>
              <w:ind w:firstLine="420"/>
              <w:jc w:val="left"/>
              <w:textAlignment w:val="center"/>
              <w:rPr>
                <w:rFonts w:hint="eastAsia"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计容建筑面积</w:t>
            </w:r>
          </w:p>
        </w:tc>
        <w:tc>
          <w:tcPr>
            <w:tcW w:w="876" w:type="dxa"/>
            <w:tcBorders>
              <w:tl2br w:val="nil"/>
              <w:tr2bl w:val="nil"/>
            </w:tcBorders>
            <w:shd w:val="clear" w:color="auto" w:fill="auto"/>
            <w:vAlign w:val="center"/>
          </w:tcPr>
          <w:p w14:paraId="1FCE9F17">
            <w:pPr>
              <w:widowControl/>
              <w:ind w:firstLine="0" w:firstLineChars="0"/>
              <w:jc w:val="left"/>
              <w:textAlignment w:val="center"/>
              <w:rPr>
                <w:rFonts w:hint="eastAsia" w:ascii="宋体" w:hAnsi="宋体" w:cs="宋体"/>
                <w:b/>
                <w:bCs/>
                <w:color w:val="auto"/>
                <w:sz w:val="21"/>
                <w:szCs w:val="21"/>
                <w:highlight w:val="none"/>
              </w:rPr>
            </w:pPr>
            <w:r>
              <w:rPr>
                <w:rFonts w:hint="eastAsia" w:ascii="宋体" w:hAnsi="宋体" w:cs="宋体"/>
                <w:b/>
                <w:bCs/>
                <w:color w:val="auto"/>
                <w:kern w:val="0"/>
                <w:sz w:val="21"/>
                <w:szCs w:val="21"/>
                <w:highlight w:val="none"/>
                <w:lang w:bidi="ar"/>
              </w:rPr>
              <w:t>㎡</w:t>
            </w:r>
          </w:p>
        </w:tc>
        <w:tc>
          <w:tcPr>
            <w:tcW w:w="1400" w:type="dxa"/>
            <w:tcBorders>
              <w:tl2br w:val="nil"/>
              <w:tr2bl w:val="nil"/>
            </w:tcBorders>
            <w:shd w:val="clear" w:color="auto" w:fill="auto"/>
            <w:vAlign w:val="center"/>
          </w:tcPr>
          <w:p w14:paraId="16FEBF0D">
            <w:pPr>
              <w:widowControl/>
              <w:ind w:firstLine="0" w:firstLineChars="0"/>
              <w:jc w:val="left"/>
              <w:textAlignment w:val="center"/>
              <w:rPr>
                <w:rFonts w:hint="eastAsia"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32916</w:t>
            </w:r>
          </w:p>
        </w:tc>
        <w:tc>
          <w:tcPr>
            <w:tcW w:w="3253" w:type="dxa"/>
            <w:tcBorders>
              <w:tl2br w:val="nil"/>
              <w:tr2bl w:val="nil"/>
            </w:tcBorders>
            <w:shd w:val="clear" w:color="auto" w:fill="auto"/>
            <w:vAlign w:val="center"/>
          </w:tcPr>
          <w:p w14:paraId="6EE3965C">
            <w:pPr>
              <w:ind w:firstLine="420"/>
              <w:jc w:val="left"/>
              <w:rPr>
                <w:rFonts w:hint="eastAsia" w:ascii="仿宋_GB2312" w:hAnsi="宋体" w:eastAsia="仿宋_GB2312" w:cs="仿宋_GB2312"/>
                <w:b/>
                <w:bCs/>
                <w:color w:val="auto"/>
                <w:sz w:val="21"/>
                <w:szCs w:val="21"/>
                <w:highlight w:val="none"/>
              </w:rPr>
            </w:pPr>
          </w:p>
        </w:tc>
      </w:tr>
      <w:tr w14:paraId="313622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tcBorders>
              <w:tl2br w:val="nil"/>
              <w:tr2bl w:val="nil"/>
            </w:tcBorders>
            <w:shd w:val="clear" w:color="auto" w:fill="auto"/>
            <w:vAlign w:val="center"/>
          </w:tcPr>
          <w:p w14:paraId="3BA76D26">
            <w:pPr>
              <w:widowControl/>
              <w:ind w:firstLine="0" w:firstLineChars="0"/>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1.1.1</w:t>
            </w:r>
          </w:p>
        </w:tc>
        <w:tc>
          <w:tcPr>
            <w:tcW w:w="2126" w:type="dxa"/>
            <w:tcBorders>
              <w:tl2br w:val="nil"/>
              <w:tr2bl w:val="nil"/>
            </w:tcBorders>
            <w:shd w:val="clear" w:color="auto" w:fill="auto"/>
            <w:vAlign w:val="center"/>
          </w:tcPr>
          <w:p w14:paraId="5D503520">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散粮仓</w:t>
            </w:r>
          </w:p>
        </w:tc>
        <w:tc>
          <w:tcPr>
            <w:tcW w:w="876" w:type="dxa"/>
            <w:tcBorders>
              <w:tl2br w:val="nil"/>
              <w:tr2bl w:val="nil"/>
            </w:tcBorders>
            <w:shd w:val="clear" w:color="auto" w:fill="auto"/>
            <w:vAlign w:val="center"/>
          </w:tcPr>
          <w:p w14:paraId="1EB25E66">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w:t>
            </w:r>
          </w:p>
        </w:tc>
        <w:tc>
          <w:tcPr>
            <w:tcW w:w="1400" w:type="dxa"/>
            <w:tcBorders>
              <w:tl2br w:val="nil"/>
              <w:tr2bl w:val="nil"/>
            </w:tcBorders>
            <w:shd w:val="clear" w:color="auto" w:fill="auto"/>
            <w:vAlign w:val="center"/>
          </w:tcPr>
          <w:p w14:paraId="425C71A0">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11631</w:t>
            </w:r>
          </w:p>
        </w:tc>
        <w:tc>
          <w:tcPr>
            <w:tcW w:w="3253" w:type="dxa"/>
            <w:tcBorders>
              <w:tl2br w:val="nil"/>
              <w:tr2bl w:val="nil"/>
            </w:tcBorders>
            <w:shd w:val="clear" w:color="auto" w:fill="auto"/>
            <w:vAlign w:val="center"/>
          </w:tcPr>
          <w:p w14:paraId="353A137F">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2栋</w:t>
            </w:r>
          </w:p>
        </w:tc>
      </w:tr>
      <w:tr w14:paraId="6352E9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tcBorders>
              <w:tl2br w:val="nil"/>
              <w:tr2bl w:val="nil"/>
            </w:tcBorders>
            <w:shd w:val="clear" w:color="auto" w:fill="auto"/>
            <w:vAlign w:val="center"/>
          </w:tcPr>
          <w:p w14:paraId="21020769">
            <w:pPr>
              <w:widowControl/>
              <w:ind w:firstLine="0" w:firstLineChars="0"/>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w:t>
            </w:r>
          </w:p>
        </w:tc>
        <w:tc>
          <w:tcPr>
            <w:tcW w:w="2126" w:type="dxa"/>
            <w:tcBorders>
              <w:tl2br w:val="nil"/>
              <w:tr2bl w:val="nil"/>
            </w:tcBorders>
            <w:shd w:val="clear" w:color="auto" w:fill="auto"/>
            <w:vAlign w:val="center"/>
          </w:tcPr>
          <w:p w14:paraId="395F74C8">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仓房</w:t>
            </w:r>
          </w:p>
        </w:tc>
        <w:tc>
          <w:tcPr>
            <w:tcW w:w="876" w:type="dxa"/>
            <w:tcBorders>
              <w:tl2br w:val="nil"/>
              <w:tr2bl w:val="nil"/>
            </w:tcBorders>
            <w:shd w:val="clear" w:color="auto" w:fill="auto"/>
            <w:vAlign w:val="center"/>
          </w:tcPr>
          <w:p w14:paraId="6668F29A">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w:t>
            </w:r>
          </w:p>
        </w:tc>
        <w:tc>
          <w:tcPr>
            <w:tcW w:w="1400" w:type="dxa"/>
            <w:tcBorders>
              <w:tl2br w:val="nil"/>
              <w:tr2bl w:val="nil"/>
            </w:tcBorders>
            <w:shd w:val="clear" w:color="auto" w:fill="auto"/>
            <w:vAlign w:val="center"/>
          </w:tcPr>
          <w:p w14:paraId="04F109AB">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5208</w:t>
            </w:r>
          </w:p>
        </w:tc>
        <w:tc>
          <w:tcPr>
            <w:tcW w:w="3253" w:type="dxa"/>
            <w:tcBorders>
              <w:tl2br w:val="nil"/>
              <w:tr2bl w:val="nil"/>
            </w:tcBorders>
            <w:shd w:val="clear" w:color="auto" w:fill="auto"/>
            <w:vAlign w:val="center"/>
          </w:tcPr>
          <w:p w14:paraId="32CF2B55">
            <w:pPr>
              <w:ind w:firstLine="420"/>
              <w:jc w:val="left"/>
              <w:rPr>
                <w:rFonts w:hint="eastAsia" w:ascii="仿宋_GB2312" w:hAnsi="宋体" w:eastAsia="仿宋_GB2312" w:cs="仿宋_GB2312"/>
                <w:color w:val="auto"/>
                <w:sz w:val="21"/>
                <w:szCs w:val="21"/>
                <w:highlight w:val="none"/>
              </w:rPr>
            </w:pPr>
          </w:p>
        </w:tc>
      </w:tr>
      <w:tr w14:paraId="2C7427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tcBorders>
              <w:tl2br w:val="nil"/>
              <w:tr2bl w:val="nil"/>
            </w:tcBorders>
            <w:vAlign w:val="center"/>
          </w:tcPr>
          <w:p w14:paraId="685ADB4E">
            <w:pPr>
              <w:widowControl/>
              <w:ind w:firstLine="0" w:firstLineChars="0"/>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（2）</w:t>
            </w:r>
          </w:p>
        </w:tc>
        <w:tc>
          <w:tcPr>
            <w:tcW w:w="2126" w:type="dxa"/>
            <w:tcBorders>
              <w:tl2br w:val="nil"/>
              <w:tr2bl w:val="nil"/>
            </w:tcBorders>
            <w:vAlign w:val="center"/>
          </w:tcPr>
          <w:p w14:paraId="2E0B7213">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设备层</w:t>
            </w:r>
          </w:p>
        </w:tc>
        <w:tc>
          <w:tcPr>
            <w:tcW w:w="876" w:type="dxa"/>
            <w:tcBorders>
              <w:tl2br w:val="nil"/>
              <w:tr2bl w:val="nil"/>
            </w:tcBorders>
            <w:vAlign w:val="center"/>
          </w:tcPr>
          <w:p w14:paraId="0E2B27C0">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w:t>
            </w:r>
          </w:p>
        </w:tc>
        <w:tc>
          <w:tcPr>
            <w:tcW w:w="1400" w:type="dxa"/>
            <w:tcBorders>
              <w:tl2br w:val="nil"/>
              <w:tr2bl w:val="nil"/>
            </w:tcBorders>
            <w:vAlign w:val="center"/>
          </w:tcPr>
          <w:p w14:paraId="45B35FC5">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5208</w:t>
            </w:r>
          </w:p>
        </w:tc>
        <w:tc>
          <w:tcPr>
            <w:tcW w:w="3253" w:type="dxa"/>
            <w:tcBorders>
              <w:tl2br w:val="nil"/>
              <w:tr2bl w:val="nil"/>
            </w:tcBorders>
            <w:vAlign w:val="center"/>
          </w:tcPr>
          <w:p w14:paraId="397887DE">
            <w:pPr>
              <w:ind w:firstLine="420"/>
              <w:jc w:val="left"/>
              <w:rPr>
                <w:rFonts w:hint="eastAsia" w:ascii="仿宋_GB2312" w:hAnsi="宋体" w:eastAsia="仿宋_GB2312" w:cs="仿宋_GB2312"/>
                <w:color w:val="auto"/>
                <w:sz w:val="21"/>
                <w:szCs w:val="21"/>
                <w:highlight w:val="none"/>
              </w:rPr>
            </w:pPr>
          </w:p>
        </w:tc>
      </w:tr>
      <w:tr w14:paraId="0AB7B5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tcBorders>
              <w:tl2br w:val="nil"/>
              <w:tr2bl w:val="nil"/>
            </w:tcBorders>
            <w:vAlign w:val="center"/>
          </w:tcPr>
          <w:p w14:paraId="3473E0AF">
            <w:pPr>
              <w:widowControl/>
              <w:ind w:firstLine="0" w:firstLineChars="0"/>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（3）</w:t>
            </w:r>
          </w:p>
        </w:tc>
        <w:tc>
          <w:tcPr>
            <w:tcW w:w="2126" w:type="dxa"/>
            <w:tcBorders>
              <w:tl2br w:val="nil"/>
              <w:tr2bl w:val="nil"/>
            </w:tcBorders>
            <w:vAlign w:val="center"/>
          </w:tcPr>
          <w:p w14:paraId="64801A20">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提升间、卸粮坑、接收站</w:t>
            </w:r>
          </w:p>
        </w:tc>
        <w:tc>
          <w:tcPr>
            <w:tcW w:w="876" w:type="dxa"/>
            <w:tcBorders>
              <w:tl2br w:val="nil"/>
              <w:tr2bl w:val="nil"/>
            </w:tcBorders>
            <w:vAlign w:val="center"/>
          </w:tcPr>
          <w:p w14:paraId="04E1AAAC">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w:t>
            </w:r>
          </w:p>
        </w:tc>
        <w:tc>
          <w:tcPr>
            <w:tcW w:w="1400" w:type="dxa"/>
            <w:tcBorders>
              <w:tl2br w:val="nil"/>
              <w:tr2bl w:val="nil"/>
            </w:tcBorders>
            <w:vAlign w:val="center"/>
          </w:tcPr>
          <w:p w14:paraId="5AD3961A">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1215</w:t>
            </w:r>
          </w:p>
        </w:tc>
        <w:tc>
          <w:tcPr>
            <w:tcW w:w="3253" w:type="dxa"/>
            <w:tcBorders>
              <w:tl2br w:val="nil"/>
              <w:tr2bl w:val="nil"/>
            </w:tcBorders>
            <w:vAlign w:val="center"/>
          </w:tcPr>
          <w:p w14:paraId="5396064E">
            <w:pPr>
              <w:ind w:firstLine="420"/>
              <w:jc w:val="left"/>
              <w:rPr>
                <w:rFonts w:hint="eastAsia" w:ascii="仿宋_GB2312" w:hAnsi="宋体" w:eastAsia="仿宋_GB2312" w:cs="仿宋_GB2312"/>
                <w:color w:val="auto"/>
                <w:sz w:val="21"/>
                <w:szCs w:val="21"/>
                <w:highlight w:val="none"/>
              </w:rPr>
            </w:pPr>
          </w:p>
        </w:tc>
      </w:tr>
      <w:tr w14:paraId="539BDB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tcBorders>
              <w:tl2br w:val="nil"/>
              <w:tr2bl w:val="nil"/>
            </w:tcBorders>
            <w:vAlign w:val="center"/>
          </w:tcPr>
          <w:p w14:paraId="41BE8545">
            <w:pPr>
              <w:widowControl/>
              <w:ind w:firstLine="0" w:firstLineChars="0"/>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1.1.2</w:t>
            </w:r>
          </w:p>
        </w:tc>
        <w:tc>
          <w:tcPr>
            <w:tcW w:w="2126" w:type="dxa"/>
            <w:tcBorders>
              <w:tl2br w:val="nil"/>
              <w:tr2bl w:val="nil"/>
            </w:tcBorders>
            <w:vAlign w:val="center"/>
          </w:tcPr>
          <w:p w14:paraId="54DF8445">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包粮仓</w:t>
            </w:r>
          </w:p>
        </w:tc>
        <w:tc>
          <w:tcPr>
            <w:tcW w:w="876" w:type="dxa"/>
            <w:tcBorders>
              <w:tl2br w:val="nil"/>
              <w:tr2bl w:val="nil"/>
            </w:tcBorders>
            <w:vAlign w:val="center"/>
          </w:tcPr>
          <w:p w14:paraId="62077F57">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w:t>
            </w:r>
          </w:p>
        </w:tc>
        <w:tc>
          <w:tcPr>
            <w:tcW w:w="1400" w:type="dxa"/>
            <w:tcBorders>
              <w:tl2br w:val="nil"/>
              <w:tr2bl w:val="nil"/>
            </w:tcBorders>
            <w:vAlign w:val="center"/>
          </w:tcPr>
          <w:p w14:paraId="46C24DDA">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16380</w:t>
            </w:r>
          </w:p>
        </w:tc>
        <w:tc>
          <w:tcPr>
            <w:tcW w:w="3253" w:type="dxa"/>
            <w:tcBorders>
              <w:tl2br w:val="nil"/>
              <w:tr2bl w:val="nil"/>
            </w:tcBorders>
            <w:vAlign w:val="center"/>
          </w:tcPr>
          <w:p w14:paraId="04FD5CDD">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1栋</w:t>
            </w:r>
          </w:p>
        </w:tc>
      </w:tr>
      <w:tr w14:paraId="72E0CC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tcBorders>
              <w:tl2br w:val="nil"/>
              <w:tr2bl w:val="nil"/>
            </w:tcBorders>
            <w:vAlign w:val="center"/>
          </w:tcPr>
          <w:p w14:paraId="79BABEE4">
            <w:pPr>
              <w:widowControl/>
              <w:ind w:firstLine="0" w:firstLineChars="0"/>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1.1.3</w:t>
            </w:r>
          </w:p>
        </w:tc>
        <w:tc>
          <w:tcPr>
            <w:tcW w:w="2126" w:type="dxa"/>
            <w:tcBorders>
              <w:tl2br w:val="nil"/>
              <w:tr2bl w:val="nil"/>
            </w:tcBorders>
            <w:vAlign w:val="center"/>
          </w:tcPr>
          <w:p w14:paraId="74B657C4">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一站式服务中心</w:t>
            </w:r>
          </w:p>
        </w:tc>
        <w:tc>
          <w:tcPr>
            <w:tcW w:w="876" w:type="dxa"/>
            <w:tcBorders>
              <w:tl2br w:val="nil"/>
              <w:tr2bl w:val="nil"/>
            </w:tcBorders>
            <w:vAlign w:val="center"/>
          </w:tcPr>
          <w:p w14:paraId="3FC45A90">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w:t>
            </w:r>
          </w:p>
        </w:tc>
        <w:tc>
          <w:tcPr>
            <w:tcW w:w="1400" w:type="dxa"/>
            <w:tcBorders>
              <w:tl2br w:val="nil"/>
              <w:tr2bl w:val="nil"/>
            </w:tcBorders>
            <w:vAlign w:val="center"/>
          </w:tcPr>
          <w:p w14:paraId="0829C687">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185</w:t>
            </w:r>
          </w:p>
        </w:tc>
        <w:tc>
          <w:tcPr>
            <w:tcW w:w="3253" w:type="dxa"/>
            <w:tcBorders>
              <w:tl2br w:val="nil"/>
              <w:tr2bl w:val="nil"/>
            </w:tcBorders>
            <w:vAlign w:val="center"/>
          </w:tcPr>
          <w:p w14:paraId="276A8388">
            <w:pPr>
              <w:ind w:firstLine="420"/>
              <w:jc w:val="left"/>
              <w:rPr>
                <w:rFonts w:hint="eastAsia" w:ascii="仿宋_GB2312" w:hAnsi="宋体" w:eastAsia="仿宋_GB2312" w:cs="仿宋_GB2312"/>
                <w:color w:val="auto"/>
                <w:sz w:val="21"/>
                <w:szCs w:val="21"/>
                <w:highlight w:val="none"/>
              </w:rPr>
            </w:pPr>
          </w:p>
        </w:tc>
      </w:tr>
      <w:tr w14:paraId="703258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tcBorders>
              <w:tl2br w:val="nil"/>
              <w:tr2bl w:val="nil"/>
            </w:tcBorders>
            <w:vAlign w:val="center"/>
          </w:tcPr>
          <w:p w14:paraId="73B35BE5">
            <w:pPr>
              <w:widowControl/>
              <w:ind w:firstLine="0" w:firstLineChars="0"/>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1.1.4</w:t>
            </w:r>
          </w:p>
        </w:tc>
        <w:tc>
          <w:tcPr>
            <w:tcW w:w="2126" w:type="dxa"/>
            <w:tcBorders>
              <w:tl2br w:val="nil"/>
              <w:tr2bl w:val="nil"/>
            </w:tcBorders>
            <w:vAlign w:val="center"/>
          </w:tcPr>
          <w:p w14:paraId="713FCDEC">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氮气机房</w:t>
            </w:r>
          </w:p>
        </w:tc>
        <w:tc>
          <w:tcPr>
            <w:tcW w:w="876" w:type="dxa"/>
            <w:tcBorders>
              <w:tl2br w:val="nil"/>
              <w:tr2bl w:val="nil"/>
            </w:tcBorders>
            <w:vAlign w:val="center"/>
          </w:tcPr>
          <w:p w14:paraId="5BC3A595">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w:t>
            </w:r>
          </w:p>
        </w:tc>
        <w:tc>
          <w:tcPr>
            <w:tcW w:w="1400" w:type="dxa"/>
            <w:tcBorders>
              <w:tl2br w:val="nil"/>
              <w:tr2bl w:val="nil"/>
            </w:tcBorders>
            <w:vAlign w:val="center"/>
          </w:tcPr>
          <w:p w14:paraId="591F0C23">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50</w:t>
            </w:r>
          </w:p>
        </w:tc>
        <w:tc>
          <w:tcPr>
            <w:tcW w:w="3253" w:type="dxa"/>
            <w:tcBorders>
              <w:tl2br w:val="nil"/>
              <w:tr2bl w:val="nil"/>
            </w:tcBorders>
            <w:vAlign w:val="center"/>
          </w:tcPr>
          <w:p w14:paraId="2DF2B9BC">
            <w:pPr>
              <w:ind w:firstLine="420"/>
              <w:jc w:val="left"/>
              <w:rPr>
                <w:rFonts w:hint="eastAsia" w:ascii="仿宋_GB2312" w:hAnsi="宋体" w:eastAsia="仿宋_GB2312" w:cs="仿宋_GB2312"/>
                <w:color w:val="auto"/>
                <w:sz w:val="21"/>
                <w:szCs w:val="21"/>
                <w:highlight w:val="none"/>
              </w:rPr>
            </w:pPr>
          </w:p>
        </w:tc>
      </w:tr>
      <w:tr w14:paraId="0BCC01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tcBorders>
              <w:tl2br w:val="nil"/>
              <w:tr2bl w:val="nil"/>
            </w:tcBorders>
            <w:vAlign w:val="center"/>
          </w:tcPr>
          <w:p w14:paraId="3109BEF6">
            <w:pPr>
              <w:widowControl/>
              <w:ind w:firstLine="0" w:firstLineChars="0"/>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1.1.5</w:t>
            </w:r>
          </w:p>
        </w:tc>
        <w:tc>
          <w:tcPr>
            <w:tcW w:w="2126" w:type="dxa"/>
            <w:tcBorders>
              <w:tl2br w:val="nil"/>
              <w:tr2bl w:val="nil"/>
            </w:tcBorders>
            <w:vAlign w:val="center"/>
          </w:tcPr>
          <w:p w14:paraId="048C21B4">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物资库</w:t>
            </w:r>
          </w:p>
        </w:tc>
        <w:tc>
          <w:tcPr>
            <w:tcW w:w="876" w:type="dxa"/>
            <w:tcBorders>
              <w:tl2br w:val="nil"/>
              <w:tr2bl w:val="nil"/>
            </w:tcBorders>
            <w:vAlign w:val="center"/>
          </w:tcPr>
          <w:p w14:paraId="65A1DCC7">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w:t>
            </w:r>
          </w:p>
        </w:tc>
        <w:tc>
          <w:tcPr>
            <w:tcW w:w="1400" w:type="dxa"/>
            <w:tcBorders>
              <w:tl2br w:val="nil"/>
              <w:tr2bl w:val="nil"/>
            </w:tcBorders>
            <w:vAlign w:val="center"/>
          </w:tcPr>
          <w:p w14:paraId="6FFED409">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1500</w:t>
            </w:r>
          </w:p>
        </w:tc>
        <w:tc>
          <w:tcPr>
            <w:tcW w:w="3253" w:type="dxa"/>
            <w:tcBorders>
              <w:tl2br w:val="nil"/>
              <w:tr2bl w:val="nil"/>
            </w:tcBorders>
            <w:vAlign w:val="center"/>
          </w:tcPr>
          <w:p w14:paraId="4C3DE8E1">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物资库1000</w:t>
            </w:r>
            <w:r>
              <w:rPr>
                <w:rFonts w:hint="eastAsia" w:ascii="宋体" w:hAnsi="宋体" w:cs="宋体"/>
                <w:color w:val="auto"/>
                <w:kern w:val="0"/>
                <w:sz w:val="21"/>
                <w:szCs w:val="21"/>
                <w:highlight w:val="none"/>
                <w:lang w:bidi="ar"/>
              </w:rPr>
              <w:t>㎡</w:t>
            </w:r>
            <w:r>
              <w:rPr>
                <w:rFonts w:hint="eastAsia" w:ascii="仿宋_GB2312" w:hAnsi="宋体" w:eastAsia="仿宋_GB2312" w:cs="仿宋_GB2312"/>
                <w:color w:val="auto"/>
                <w:kern w:val="0"/>
                <w:sz w:val="21"/>
                <w:szCs w:val="21"/>
                <w:highlight w:val="none"/>
                <w:lang w:bidi="ar"/>
              </w:rPr>
              <w:t>，机修库500</w:t>
            </w:r>
            <w:r>
              <w:rPr>
                <w:rFonts w:hint="eastAsia" w:ascii="宋体" w:hAnsi="宋体" w:cs="宋体"/>
                <w:color w:val="auto"/>
                <w:kern w:val="0"/>
                <w:sz w:val="21"/>
                <w:szCs w:val="21"/>
                <w:highlight w:val="none"/>
                <w:lang w:bidi="ar"/>
              </w:rPr>
              <w:t>㎡</w:t>
            </w:r>
          </w:p>
        </w:tc>
      </w:tr>
      <w:tr w14:paraId="425826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tcBorders>
              <w:tl2br w:val="nil"/>
              <w:tr2bl w:val="nil"/>
            </w:tcBorders>
            <w:vAlign w:val="center"/>
          </w:tcPr>
          <w:p w14:paraId="308A32EF">
            <w:pPr>
              <w:widowControl/>
              <w:ind w:firstLine="0" w:firstLineChars="0"/>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1.1.6</w:t>
            </w:r>
          </w:p>
        </w:tc>
        <w:tc>
          <w:tcPr>
            <w:tcW w:w="2126" w:type="dxa"/>
            <w:tcBorders>
              <w:tl2br w:val="nil"/>
              <w:tr2bl w:val="nil"/>
            </w:tcBorders>
            <w:vAlign w:val="center"/>
          </w:tcPr>
          <w:p w14:paraId="27387D98">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综合服务楼</w:t>
            </w:r>
          </w:p>
        </w:tc>
        <w:tc>
          <w:tcPr>
            <w:tcW w:w="876" w:type="dxa"/>
            <w:tcBorders>
              <w:tl2br w:val="nil"/>
              <w:tr2bl w:val="nil"/>
            </w:tcBorders>
            <w:vAlign w:val="center"/>
          </w:tcPr>
          <w:p w14:paraId="30E2432E">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w:t>
            </w:r>
          </w:p>
        </w:tc>
        <w:tc>
          <w:tcPr>
            <w:tcW w:w="1400" w:type="dxa"/>
            <w:tcBorders>
              <w:tl2br w:val="nil"/>
              <w:tr2bl w:val="nil"/>
            </w:tcBorders>
            <w:vAlign w:val="center"/>
          </w:tcPr>
          <w:p w14:paraId="3E9CB127">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2390</w:t>
            </w:r>
          </w:p>
        </w:tc>
        <w:tc>
          <w:tcPr>
            <w:tcW w:w="3253" w:type="dxa"/>
            <w:tcBorders>
              <w:tl2br w:val="nil"/>
              <w:tr2bl w:val="nil"/>
            </w:tcBorders>
            <w:vAlign w:val="center"/>
          </w:tcPr>
          <w:p w14:paraId="142EA2C6">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地上5层</w:t>
            </w:r>
          </w:p>
        </w:tc>
      </w:tr>
      <w:tr w14:paraId="1F3D8A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tcBorders>
              <w:tl2br w:val="nil"/>
              <w:tr2bl w:val="nil"/>
            </w:tcBorders>
            <w:vAlign w:val="center"/>
          </w:tcPr>
          <w:p w14:paraId="56E86F13">
            <w:pPr>
              <w:widowControl/>
              <w:ind w:firstLine="0" w:firstLineChars="0"/>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1.1.7</w:t>
            </w:r>
          </w:p>
        </w:tc>
        <w:tc>
          <w:tcPr>
            <w:tcW w:w="2126" w:type="dxa"/>
            <w:tcBorders>
              <w:tl2br w:val="nil"/>
              <w:tr2bl w:val="nil"/>
            </w:tcBorders>
            <w:vAlign w:val="center"/>
          </w:tcPr>
          <w:p w14:paraId="43B6ED71">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油泵房</w:t>
            </w:r>
          </w:p>
        </w:tc>
        <w:tc>
          <w:tcPr>
            <w:tcW w:w="876" w:type="dxa"/>
            <w:tcBorders>
              <w:tl2br w:val="nil"/>
              <w:tr2bl w:val="nil"/>
            </w:tcBorders>
            <w:vAlign w:val="center"/>
          </w:tcPr>
          <w:p w14:paraId="0CA9AEE9">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w:t>
            </w:r>
          </w:p>
        </w:tc>
        <w:tc>
          <w:tcPr>
            <w:tcW w:w="1400" w:type="dxa"/>
            <w:tcBorders>
              <w:tl2br w:val="nil"/>
              <w:tr2bl w:val="nil"/>
            </w:tcBorders>
            <w:vAlign w:val="center"/>
          </w:tcPr>
          <w:p w14:paraId="595A4ADC">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55</w:t>
            </w:r>
          </w:p>
        </w:tc>
        <w:tc>
          <w:tcPr>
            <w:tcW w:w="3253" w:type="dxa"/>
            <w:tcBorders>
              <w:tl2br w:val="nil"/>
              <w:tr2bl w:val="nil"/>
            </w:tcBorders>
            <w:vAlign w:val="center"/>
          </w:tcPr>
          <w:p w14:paraId="57899908">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1层</w:t>
            </w:r>
          </w:p>
        </w:tc>
      </w:tr>
      <w:tr w14:paraId="4D3FF5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tcBorders>
              <w:tl2br w:val="nil"/>
              <w:tr2bl w:val="nil"/>
            </w:tcBorders>
            <w:vAlign w:val="center"/>
          </w:tcPr>
          <w:p w14:paraId="32CAFFDB">
            <w:pPr>
              <w:widowControl/>
              <w:ind w:firstLine="0" w:firstLineChars="0"/>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1.1.8</w:t>
            </w:r>
          </w:p>
        </w:tc>
        <w:tc>
          <w:tcPr>
            <w:tcW w:w="2126" w:type="dxa"/>
            <w:tcBorders>
              <w:tl2br w:val="nil"/>
              <w:tr2bl w:val="nil"/>
            </w:tcBorders>
            <w:vAlign w:val="center"/>
          </w:tcPr>
          <w:p w14:paraId="25BF2D80">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植物油库</w:t>
            </w:r>
          </w:p>
        </w:tc>
        <w:tc>
          <w:tcPr>
            <w:tcW w:w="876" w:type="dxa"/>
            <w:tcBorders>
              <w:tl2br w:val="nil"/>
              <w:tr2bl w:val="nil"/>
            </w:tcBorders>
            <w:vAlign w:val="center"/>
          </w:tcPr>
          <w:p w14:paraId="7EA4D81B">
            <w:pPr>
              <w:widowControl/>
              <w:ind w:firstLine="0" w:firstLineChars="0"/>
              <w:jc w:val="left"/>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w:t>
            </w:r>
          </w:p>
        </w:tc>
        <w:tc>
          <w:tcPr>
            <w:tcW w:w="1400" w:type="dxa"/>
            <w:tcBorders>
              <w:tl2br w:val="nil"/>
              <w:tr2bl w:val="nil"/>
            </w:tcBorders>
            <w:vAlign w:val="center"/>
          </w:tcPr>
          <w:p w14:paraId="4DF86041">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725</w:t>
            </w:r>
          </w:p>
        </w:tc>
        <w:tc>
          <w:tcPr>
            <w:tcW w:w="3253" w:type="dxa"/>
            <w:tcBorders>
              <w:tl2br w:val="nil"/>
              <w:tr2bl w:val="nil"/>
            </w:tcBorders>
            <w:vAlign w:val="center"/>
          </w:tcPr>
          <w:p w14:paraId="0A3E79D9">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1600m</w:t>
            </w:r>
            <w:r>
              <w:rPr>
                <w:rFonts w:hint="eastAsia" w:ascii="宋体" w:hAnsi="宋体" w:cs="宋体"/>
                <w:color w:val="auto"/>
                <w:kern w:val="0"/>
                <w:sz w:val="21"/>
                <w:szCs w:val="21"/>
                <w:highlight w:val="none"/>
                <w:lang w:bidi="ar"/>
              </w:rPr>
              <w:t>³</w:t>
            </w:r>
          </w:p>
        </w:tc>
      </w:tr>
      <w:tr w14:paraId="1021C9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tcBorders>
              <w:tl2br w:val="nil"/>
              <w:tr2bl w:val="nil"/>
            </w:tcBorders>
            <w:vAlign w:val="center"/>
          </w:tcPr>
          <w:p w14:paraId="1B548FA7">
            <w:pPr>
              <w:widowControl/>
              <w:ind w:firstLine="0" w:firstLineChars="0"/>
              <w:jc w:val="left"/>
              <w:textAlignment w:val="center"/>
              <w:rPr>
                <w:rFonts w:hint="eastAsia"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2.2</w:t>
            </w:r>
          </w:p>
        </w:tc>
        <w:tc>
          <w:tcPr>
            <w:tcW w:w="2126" w:type="dxa"/>
            <w:tcBorders>
              <w:tl2br w:val="nil"/>
              <w:tr2bl w:val="nil"/>
            </w:tcBorders>
            <w:vAlign w:val="center"/>
          </w:tcPr>
          <w:p w14:paraId="415CB7E9">
            <w:pPr>
              <w:widowControl/>
              <w:ind w:firstLine="420"/>
              <w:jc w:val="left"/>
              <w:textAlignment w:val="center"/>
              <w:rPr>
                <w:rFonts w:hint="eastAsia"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不计容建筑面积</w:t>
            </w:r>
          </w:p>
        </w:tc>
        <w:tc>
          <w:tcPr>
            <w:tcW w:w="876" w:type="dxa"/>
            <w:tcBorders>
              <w:tl2br w:val="nil"/>
              <w:tr2bl w:val="nil"/>
            </w:tcBorders>
            <w:vAlign w:val="center"/>
          </w:tcPr>
          <w:p w14:paraId="50A30F99">
            <w:pPr>
              <w:widowControl/>
              <w:ind w:firstLine="0" w:firstLineChars="0"/>
              <w:jc w:val="left"/>
              <w:textAlignment w:val="center"/>
              <w:rPr>
                <w:rFonts w:hint="eastAsia" w:ascii="宋体" w:hAnsi="宋体" w:cs="宋体"/>
                <w:b/>
                <w:bCs/>
                <w:color w:val="auto"/>
                <w:sz w:val="21"/>
                <w:szCs w:val="21"/>
                <w:highlight w:val="none"/>
              </w:rPr>
            </w:pPr>
            <w:r>
              <w:rPr>
                <w:rFonts w:hint="eastAsia" w:ascii="宋体" w:hAnsi="宋体" w:cs="宋体"/>
                <w:b/>
                <w:bCs/>
                <w:color w:val="auto"/>
                <w:kern w:val="0"/>
                <w:sz w:val="21"/>
                <w:szCs w:val="21"/>
                <w:highlight w:val="none"/>
                <w:lang w:bidi="ar"/>
              </w:rPr>
              <w:t>㎡</w:t>
            </w:r>
          </w:p>
        </w:tc>
        <w:tc>
          <w:tcPr>
            <w:tcW w:w="1400" w:type="dxa"/>
            <w:tcBorders>
              <w:tl2br w:val="nil"/>
              <w:tr2bl w:val="nil"/>
            </w:tcBorders>
            <w:vAlign w:val="center"/>
          </w:tcPr>
          <w:p w14:paraId="376BC119">
            <w:pPr>
              <w:widowControl/>
              <w:ind w:firstLine="0" w:firstLineChars="0"/>
              <w:jc w:val="left"/>
              <w:textAlignment w:val="center"/>
              <w:rPr>
                <w:rFonts w:hint="eastAsia"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8925</w:t>
            </w:r>
          </w:p>
        </w:tc>
        <w:tc>
          <w:tcPr>
            <w:tcW w:w="3253" w:type="dxa"/>
            <w:tcBorders>
              <w:tl2br w:val="nil"/>
              <w:tr2bl w:val="nil"/>
            </w:tcBorders>
            <w:vAlign w:val="center"/>
          </w:tcPr>
          <w:p w14:paraId="1E402868">
            <w:pPr>
              <w:ind w:firstLine="420"/>
              <w:jc w:val="left"/>
              <w:rPr>
                <w:rFonts w:hint="eastAsia" w:ascii="仿宋_GB2312" w:hAnsi="宋体" w:eastAsia="仿宋_GB2312" w:cs="仿宋_GB2312"/>
                <w:b/>
                <w:bCs/>
                <w:color w:val="auto"/>
                <w:sz w:val="21"/>
                <w:szCs w:val="21"/>
                <w:highlight w:val="none"/>
              </w:rPr>
            </w:pPr>
          </w:p>
        </w:tc>
      </w:tr>
      <w:tr w14:paraId="15330B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tcBorders>
              <w:tl2br w:val="nil"/>
              <w:tr2bl w:val="nil"/>
            </w:tcBorders>
            <w:vAlign w:val="center"/>
          </w:tcPr>
          <w:p w14:paraId="05E4F8BE">
            <w:pPr>
              <w:widowControl/>
              <w:ind w:firstLine="0" w:firstLineChars="0"/>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2.2.1</w:t>
            </w:r>
          </w:p>
        </w:tc>
        <w:tc>
          <w:tcPr>
            <w:tcW w:w="2126" w:type="dxa"/>
            <w:tcBorders>
              <w:tl2br w:val="nil"/>
              <w:tr2bl w:val="nil"/>
            </w:tcBorders>
            <w:vAlign w:val="center"/>
          </w:tcPr>
          <w:p w14:paraId="16F71B48">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架空层（散粮仓）</w:t>
            </w:r>
          </w:p>
        </w:tc>
        <w:tc>
          <w:tcPr>
            <w:tcW w:w="876" w:type="dxa"/>
            <w:tcBorders>
              <w:tl2br w:val="nil"/>
              <w:tr2bl w:val="nil"/>
            </w:tcBorders>
            <w:vAlign w:val="center"/>
          </w:tcPr>
          <w:p w14:paraId="51A58ACF">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w:t>
            </w:r>
          </w:p>
        </w:tc>
        <w:tc>
          <w:tcPr>
            <w:tcW w:w="1400" w:type="dxa"/>
            <w:tcBorders>
              <w:tl2br w:val="nil"/>
              <w:tr2bl w:val="nil"/>
            </w:tcBorders>
            <w:vAlign w:val="center"/>
          </w:tcPr>
          <w:p w14:paraId="49C236A5">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5208</w:t>
            </w:r>
          </w:p>
        </w:tc>
        <w:tc>
          <w:tcPr>
            <w:tcW w:w="3253" w:type="dxa"/>
            <w:tcBorders>
              <w:tl2br w:val="nil"/>
              <w:tr2bl w:val="nil"/>
            </w:tcBorders>
            <w:vAlign w:val="center"/>
          </w:tcPr>
          <w:p w14:paraId="4AEA7956">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地上</w:t>
            </w:r>
          </w:p>
        </w:tc>
      </w:tr>
      <w:tr w14:paraId="372B78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tcBorders>
              <w:tl2br w:val="nil"/>
              <w:tr2bl w:val="nil"/>
            </w:tcBorders>
            <w:vAlign w:val="center"/>
          </w:tcPr>
          <w:p w14:paraId="7B749B3C">
            <w:pPr>
              <w:widowControl/>
              <w:ind w:firstLine="0" w:firstLineChars="0"/>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2.2.3</w:t>
            </w:r>
          </w:p>
        </w:tc>
        <w:tc>
          <w:tcPr>
            <w:tcW w:w="2126" w:type="dxa"/>
            <w:tcBorders>
              <w:tl2br w:val="nil"/>
              <w:tr2bl w:val="nil"/>
            </w:tcBorders>
            <w:vAlign w:val="center"/>
          </w:tcPr>
          <w:p w14:paraId="4449E404">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地下车库</w:t>
            </w:r>
          </w:p>
        </w:tc>
        <w:tc>
          <w:tcPr>
            <w:tcW w:w="876" w:type="dxa"/>
            <w:tcBorders>
              <w:tl2br w:val="nil"/>
              <w:tr2bl w:val="nil"/>
            </w:tcBorders>
            <w:vAlign w:val="center"/>
          </w:tcPr>
          <w:p w14:paraId="34ECFDA2">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w:t>
            </w:r>
          </w:p>
        </w:tc>
        <w:tc>
          <w:tcPr>
            <w:tcW w:w="1400" w:type="dxa"/>
            <w:tcBorders>
              <w:tl2br w:val="nil"/>
              <w:tr2bl w:val="nil"/>
            </w:tcBorders>
            <w:vAlign w:val="center"/>
          </w:tcPr>
          <w:p w14:paraId="42995B59">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3717</w:t>
            </w:r>
          </w:p>
        </w:tc>
        <w:tc>
          <w:tcPr>
            <w:tcW w:w="3253" w:type="dxa"/>
            <w:tcBorders>
              <w:tl2br w:val="nil"/>
              <w:tr2bl w:val="nil"/>
            </w:tcBorders>
            <w:vAlign w:val="center"/>
          </w:tcPr>
          <w:p w14:paraId="16AA7B5E">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地下，含人防</w:t>
            </w:r>
          </w:p>
        </w:tc>
      </w:tr>
      <w:tr w14:paraId="004FE9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51" w:type="dxa"/>
            <w:tcBorders>
              <w:tl2br w:val="nil"/>
              <w:tr2bl w:val="nil"/>
            </w:tcBorders>
            <w:vAlign w:val="center"/>
          </w:tcPr>
          <w:p w14:paraId="6B703836">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3</w:t>
            </w:r>
          </w:p>
        </w:tc>
        <w:tc>
          <w:tcPr>
            <w:tcW w:w="2126" w:type="dxa"/>
            <w:tcBorders>
              <w:tl2br w:val="nil"/>
              <w:tr2bl w:val="nil"/>
            </w:tcBorders>
            <w:vAlign w:val="center"/>
          </w:tcPr>
          <w:p w14:paraId="7DDB5426">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建筑基底面积</w:t>
            </w:r>
          </w:p>
        </w:tc>
        <w:tc>
          <w:tcPr>
            <w:tcW w:w="876" w:type="dxa"/>
            <w:tcBorders>
              <w:tl2br w:val="nil"/>
              <w:tr2bl w:val="nil"/>
            </w:tcBorders>
            <w:vAlign w:val="center"/>
          </w:tcPr>
          <w:p w14:paraId="277C01D2">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w:t>
            </w:r>
          </w:p>
        </w:tc>
        <w:tc>
          <w:tcPr>
            <w:tcW w:w="1400" w:type="dxa"/>
            <w:tcBorders>
              <w:tl2br w:val="nil"/>
              <w:tr2bl w:val="nil"/>
            </w:tcBorders>
            <w:vAlign w:val="center"/>
          </w:tcPr>
          <w:p w14:paraId="67D8888B">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10336</w:t>
            </w:r>
          </w:p>
        </w:tc>
        <w:tc>
          <w:tcPr>
            <w:tcW w:w="3253" w:type="dxa"/>
            <w:tcBorders>
              <w:tl2br w:val="nil"/>
              <w:tr2bl w:val="nil"/>
            </w:tcBorders>
            <w:vAlign w:val="center"/>
          </w:tcPr>
          <w:p w14:paraId="5D4B392B">
            <w:pPr>
              <w:ind w:firstLine="420"/>
              <w:jc w:val="left"/>
              <w:rPr>
                <w:rFonts w:hint="eastAsia" w:ascii="仿宋_GB2312" w:hAnsi="宋体" w:eastAsia="仿宋_GB2312" w:cs="仿宋_GB2312"/>
                <w:color w:val="auto"/>
                <w:sz w:val="21"/>
                <w:szCs w:val="21"/>
                <w:highlight w:val="none"/>
              </w:rPr>
            </w:pPr>
          </w:p>
        </w:tc>
      </w:tr>
      <w:tr w14:paraId="68AB0B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tcBorders>
              <w:tl2br w:val="nil"/>
              <w:tr2bl w:val="nil"/>
            </w:tcBorders>
            <w:vAlign w:val="center"/>
          </w:tcPr>
          <w:p w14:paraId="142E0FE2">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4</w:t>
            </w:r>
          </w:p>
        </w:tc>
        <w:tc>
          <w:tcPr>
            <w:tcW w:w="2126" w:type="dxa"/>
            <w:tcBorders>
              <w:tl2br w:val="nil"/>
              <w:tr2bl w:val="nil"/>
            </w:tcBorders>
            <w:vAlign w:val="center"/>
          </w:tcPr>
          <w:p w14:paraId="57C780E1">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绿地面积</w:t>
            </w:r>
          </w:p>
        </w:tc>
        <w:tc>
          <w:tcPr>
            <w:tcW w:w="876" w:type="dxa"/>
            <w:tcBorders>
              <w:tl2br w:val="nil"/>
              <w:tr2bl w:val="nil"/>
            </w:tcBorders>
            <w:vAlign w:val="center"/>
          </w:tcPr>
          <w:p w14:paraId="32C171A7">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w:t>
            </w:r>
          </w:p>
        </w:tc>
        <w:tc>
          <w:tcPr>
            <w:tcW w:w="1400" w:type="dxa"/>
            <w:tcBorders>
              <w:tl2br w:val="nil"/>
              <w:tr2bl w:val="nil"/>
            </w:tcBorders>
            <w:vAlign w:val="center"/>
          </w:tcPr>
          <w:p w14:paraId="5DA4E6EA">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 xml:space="preserve">3284.60 </w:t>
            </w:r>
          </w:p>
        </w:tc>
        <w:tc>
          <w:tcPr>
            <w:tcW w:w="3253" w:type="dxa"/>
            <w:tcBorders>
              <w:tl2br w:val="nil"/>
              <w:tr2bl w:val="nil"/>
            </w:tcBorders>
            <w:vAlign w:val="center"/>
          </w:tcPr>
          <w:p w14:paraId="7C1B2DE9">
            <w:pPr>
              <w:ind w:firstLine="420"/>
              <w:jc w:val="left"/>
              <w:rPr>
                <w:rFonts w:hint="eastAsia" w:ascii="仿宋_GB2312" w:hAnsi="宋体" w:eastAsia="仿宋_GB2312" w:cs="仿宋_GB2312"/>
                <w:color w:val="auto"/>
                <w:sz w:val="21"/>
                <w:szCs w:val="21"/>
                <w:highlight w:val="none"/>
              </w:rPr>
            </w:pPr>
          </w:p>
        </w:tc>
      </w:tr>
      <w:tr w14:paraId="1068AA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tcBorders>
              <w:tl2br w:val="nil"/>
              <w:tr2bl w:val="nil"/>
            </w:tcBorders>
            <w:vAlign w:val="center"/>
          </w:tcPr>
          <w:p w14:paraId="448D72B6">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5</w:t>
            </w:r>
          </w:p>
        </w:tc>
        <w:tc>
          <w:tcPr>
            <w:tcW w:w="2126" w:type="dxa"/>
            <w:tcBorders>
              <w:tl2br w:val="nil"/>
              <w:tr2bl w:val="nil"/>
            </w:tcBorders>
            <w:vAlign w:val="center"/>
          </w:tcPr>
          <w:p w14:paraId="08EB6C9B">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道路广场面积</w:t>
            </w:r>
          </w:p>
        </w:tc>
        <w:tc>
          <w:tcPr>
            <w:tcW w:w="876" w:type="dxa"/>
            <w:tcBorders>
              <w:tl2br w:val="nil"/>
              <w:tr2bl w:val="nil"/>
            </w:tcBorders>
            <w:vAlign w:val="center"/>
          </w:tcPr>
          <w:p w14:paraId="75A2A4CC">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w:t>
            </w:r>
          </w:p>
        </w:tc>
        <w:tc>
          <w:tcPr>
            <w:tcW w:w="1400" w:type="dxa"/>
            <w:tcBorders>
              <w:tl2br w:val="nil"/>
              <w:tr2bl w:val="nil"/>
            </w:tcBorders>
            <w:vAlign w:val="center"/>
          </w:tcPr>
          <w:p w14:paraId="39F322CC">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 xml:space="preserve">19225.40 </w:t>
            </w:r>
          </w:p>
        </w:tc>
        <w:tc>
          <w:tcPr>
            <w:tcW w:w="3253" w:type="dxa"/>
            <w:tcBorders>
              <w:tl2br w:val="nil"/>
              <w:tr2bl w:val="nil"/>
            </w:tcBorders>
            <w:vAlign w:val="center"/>
          </w:tcPr>
          <w:p w14:paraId="2360D6EC">
            <w:pPr>
              <w:ind w:firstLine="420"/>
              <w:jc w:val="left"/>
              <w:rPr>
                <w:rFonts w:hint="eastAsia" w:ascii="仿宋_GB2312" w:hAnsi="宋体" w:eastAsia="仿宋_GB2312" w:cs="仿宋_GB2312"/>
                <w:color w:val="auto"/>
                <w:sz w:val="21"/>
                <w:szCs w:val="21"/>
                <w:highlight w:val="none"/>
              </w:rPr>
            </w:pPr>
          </w:p>
        </w:tc>
      </w:tr>
      <w:tr w14:paraId="571AA3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tcBorders>
              <w:tl2br w:val="nil"/>
              <w:tr2bl w:val="nil"/>
            </w:tcBorders>
            <w:vAlign w:val="center"/>
          </w:tcPr>
          <w:p w14:paraId="7C3D2C24">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6</w:t>
            </w:r>
          </w:p>
        </w:tc>
        <w:tc>
          <w:tcPr>
            <w:tcW w:w="2126" w:type="dxa"/>
            <w:tcBorders>
              <w:tl2br w:val="nil"/>
              <w:tr2bl w:val="nil"/>
            </w:tcBorders>
            <w:vAlign w:val="center"/>
          </w:tcPr>
          <w:p w14:paraId="412A7E46">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容积率</w:t>
            </w:r>
          </w:p>
        </w:tc>
        <w:tc>
          <w:tcPr>
            <w:tcW w:w="876" w:type="dxa"/>
            <w:tcBorders>
              <w:tl2br w:val="nil"/>
              <w:tr2bl w:val="nil"/>
            </w:tcBorders>
            <w:vAlign w:val="center"/>
          </w:tcPr>
          <w:p w14:paraId="44F5E825">
            <w:pPr>
              <w:ind w:firstLine="420"/>
              <w:jc w:val="left"/>
              <w:rPr>
                <w:rFonts w:hint="eastAsia" w:ascii="仿宋_GB2312" w:hAnsi="宋体" w:eastAsia="仿宋_GB2312" w:cs="仿宋_GB2312"/>
                <w:color w:val="auto"/>
                <w:sz w:val="21"/>
                <w:szCs w:val="21"/>
                <w:highlight w:val="none"/>
              </w:rPr>
            </w:pPr>
          </w:p>
        </w:tc>
        <w:tc>
          <w:tcPr>
            <w:tcW w:w="1400" w:type="dxa"/>
            <w:tcBorders>
              <w:tl2br w:val="nil"/>
              <w:tr2bl w:val="nil"/>
            </w:tcBorders>
            <w:vAlign w:val="center"/>
          </w:tcPr>
          <w:p w14:paraId="317B488F">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 xml:space="preserve">1.00 </w:t>
            </w:r>
          </w:p>
        </w:tc>
        <w:tc>
          <w:tcPr>
            <w:tcW w:w="3253" w:type="dxa"/>
            <w:tcBorders>
              <w:tl2br w:val="nil"/>
              <w:tr2bl w:val="nil"/>
            </w:tcBorders>
            <w:vAlign w:val="center"/>
          </w:tcPr>
          <w:p w14:paraId="2E52D411">
            <w:pPr>
              <w:ind w:firstLine="420"/>
              <w:jc w:val="left"/>
              <w:rPr>
                <w:rFonts w:hint="eastAsia" w:ascii="仿宋_GB2312" w:hAnsi="宋体" w:eastAsia="仿宋_GB2312" w:cs="仿宋_GB2312"/>
                <w:color w:val="auto"/>
                <w:sz w:val="21"/>
                <w:szCs w:val="21"/>
                <w:highlight w:val="none"/>
              </w:rPr>
            </w:pPr>
          </w:p>
        </w:tc>
      </w:tr>
      <w:tr w14:paraId="22CBD1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vAlign w:val="center"/>
          </w:tcPr>
          <w:p w14:paraId="46BC5BE3">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7</w:t>
            </w:r>
          </w:p>
        </w:tc>
        <w:tc>
          <w:tcPr>
            <w:tcW w:w="2126" w:type="dxa"/>
            <w:vAlign w:val="center"/>
          </w:tcPr>
          <w:p w14:paraId="5E048A24">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建筑密度</w:t>
            </w:r>
          </w:p>
        </w:tc>
        <w:tc>
          <w:tcPr>
            <w:tcW w:w="876" w:type="dxa"/>
            <w:vAlign w:val="center"/>
          </w:tcPr>
          <w:p w14:paraId="27753E31">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w:t>
            </w:r>
          </w:p>
        </w:tc>
        <w:tc>
          <w:tcPr>
            <w:tcW w:w="1400" w:type="dxa"/>
            <w:vAlign w:val="center"/>
          </w:tcPr>
          <w:p w14:paraId="583B40BF">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 xml:space="preserve">31.47 </w:t>
            </w:r>
          </w:p>
        </w:tc>
        <w:tc>
          <w:tcPr>
            <w:tcW w:w="3253" w:type="dxa"/>
            <w:vAlign w:val="center"/>
          </w:tcPr>
          <w:p w14:paraId="31C8C9E8">
            <w:pPr>
              <w:ind w:firstLine="420"/>
              <w:jc w:val="left"/>
              <w:rPr>
                <w:rFonts w:hint="eastAsia" w:ascii="仿宋_GB2312" w:hAnsi="宋体" w:eastAsia="仿宋_GB2312" w:cs="仿宋_GB2312"/>
                <w:color w:val="auto"/>
                <w:sz w:val="21"/>
                <w:szCs w:val="21"/>
                <w:highlight w:val="none"/>
              </w:rPr>
            </w:pPr>
          </w:p>
        </w:tc>
      </w:tr>
      <w:tr w14:paraId="22FE12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vAlign w:val="center"/>
          </w:tcPr>
          <w:p w14:paraId="37F8C245">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8</w:t>
            </w:r>
          </w:p>
        </w:tc>
        <w:tc>
          <w:tcPr>
            <w:tcW w:w="2126" w:type="dxa"/>
            <w:vAlign w:val="center"/>
          </w:tcPr>
          <w:p w14:paraId="1539994C">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绿地率</w:t>
            </w:r>
          </w:p>
        </w:tc>
        <w:tc>
          <w:tcPr>
            <w:tcW w:w="876" w:type="dxa"/>
            <w:vAlign w:val="center"/>
          </w:tcPr>
          <w:p w14:paraId="01426C2F">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w:t>
            </w:r>
          </w:p>
        </w:tc>
        <w:tc>
          <w:tcPr>
            <w:tcW w:w="1400" w:type="dxa"/>
            <w:vAlign w:val="center"/>
          </w:tcPr>
          <w:p w14:paraId="28EA6274">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 xml:space="preserve">20.00 </w:t>
            </w:r>
          </w:p>
        </w:tc>
        <w:tc>
          <w:tcPr>
            <w:tcW w:w="3253" w:type="dxa"/>
            <w:vAlign w:val="center"/>
          </w:tcPr>
          <w:p w14:paraId="0233CC12">
            <w:pPr>
              <w:ind w:firstLine="420"/>
              <w:jc w:val="left"/>
              <w:rPr>
                <w:rFonts w:hint="eastAsia" w:ascii="仿宋_GB2312" w:hAnsi="宋体" w:eastAsia="仿宋_GB2312" w:cs="仿宋_GB2312"/>
                <w:color w:val="auto"/>
                <w:sz w:val="21"/>
                <w:szCs w:val="21"/>
                <w:highlight w:val="none"/>
              </w:rPr>
            </w:pPr>
          </w:p>
        </w:tc>
      </w:tr>
      <w:tr w14:paraId="458F6C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vAlign w:val="center"/>
          </w:tcPr>
          <w:p w14:paraId="221FD288">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9</w:t>
            </w:r>
          </w:p>
        </w:tc>
        <w:tc>
          <w:tcPr>
            <w:tcW w:w="2126" w:type="dxa"/>
            <w:vAlign w:val="center"/>
          </w:tcPr>
          <w:p w14:paraId="092CF2CF">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机动车车位</w:t>
            </w:r>
          </w:p>
        </w:tc>
        <w:tc>
          <w:tcPr>
            <w:tcW w:w="876" w:type="dxa"/>
            <w:vAlign w:val="center"/>
          </w:tcPr>
          <w:p w14:paraId="0BF37FFF">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个</w:t>
            </w:r>
          </w:p>
        </w:tc>
        <w:tc>
          <w:tcPr>
            <w:tcW w:w="1400" w:type="dxa"/>
            <w:vAlign w:val="center"/>
          </w:tcPr>
          <w:p w14:paraId="7C0C27E3">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 xml:space="preserve">114 </w:t>
            </w:r>
          </w:p>
        </w:tc>
        <w:tc>
          <w:tcPr>
            <w:tcW w:w="3253" w:type="dxa"/>
            <w:vAlign w:val="center"/>
          </w:tcPr>
          <w:p w14:paraId="06AB45DB">
            <w:pPr>
              <w:ind w:firstLine="420"/>
              <w:jc w:val="left"/>
              <w:rPr>
                <w:rFonts w:hint="eastAsia" w:ascii="仿宋_GB2312" w:hAnsi="宋体" w:eastAsia="仿宋_GB2312" w:cs="仿宋_GB2312"/>
                <w:color w:val="auto"/>
                <w:sz w:val="21"/>
                <w:szCs w:val="21"/>
                <w:highlight w:val="none"/>
              </w:rPr>
            </w:pPr>
          </w:p>
        </w:tc>
      </w:tr>
      <w:tr w14:paraId="29BC25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vAlign w:val="center"/>
          </w:tcPr>
          <w:p w14:paraId="3923F8B3">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10</w:t>
            </w:r>
          </w:p>
        </w:tc>
        <w:tc>
          <w:tcPr>
            <w:tcW w:w="2126" w:type="dxa"/>
            <w:vAlign w:val="center"/>
          </w:tcPr>
          <w:p w14:paraId="3C342882">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装卸货泊位</w:t>
            </w:r>
          </w:p>
        </w:tc>
        <w:tc>
          <w:tcPr>
            <w:tcW w:w="876" w:type="dxa"/>
            <w:vAlign w:val="center"/>
          </w:tcPr>
          <w:p w14:paraId="45251324">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个</w:t>
            </w:r>
          </w:p>
        </w:tc>
        <w:tc>
          <w:tcPr>
            <w:tcW w:w="1400" w:type="dxa"/>
            <w:vAlign w:val="center"/>
          </w:tcPr>
          <w:p w14:paraId="32A0C39F">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9</w:t>
            </w:r>
          </w:p>
        </w:tc>
        <w:tc>
          <w:tcPr>
            <w:tcW w:w="3253" w:type="dxa"/>
            <w:vAlign w:val="center"/>
          </w:tcPr>
          <w:p w14:paraId="39E162D9">
            <w:pPr>
              <w:ind w:firstLine="420"/>
              <w:jc w:val="left"/>
              <w:rPr>
                <w:rFonts w:hint="eastAsia" w:ascii="仿宋_GB2312" w:hAnsi="宋体" w:eastAsia="仿宋_GB2312" w:cs="仿宋_GB2312"/>
                <w:color w:val="auto"/>
                <w:sz w:val="21"/>
                <w:szCs w:val="21"/>
                <w:highlight w:val="none"/>
              </w:rPr>
            </w:pPr>
          </w:p>
        </w:tc>
      </w:tr>
      <w:tr w14:paraId="382885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vAlign w:val="center"/>
          </w:tcPr>
          <w:p w14:paraId="7FDA7FFF">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11</w:t>
            </w:r>
          </w:p>
        </w:tc>
        <w:tc>
          <w:tcPr>
            <w:tcW w:w="2126" w:type="dxa"/>
            <w:vAlign w:val="center"/>
          </w:tcPr>
          <w:p w14:paraId="0A9B3727">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非机动车车位</w:t>
            </w:r>
          </w:p>
        </w:tc>
        <w:tc>
          <w:tcPr>
            <w:tcW w:w="876" w:type="dxa"/>
            <w:vAlign w:val="center"/>
          </w:tcPr>
          <w:p w14:paraId="16F80396">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个</w:t>
            </w:r>
          </w:p>
        </w:tc>
        <w:tc>
          <w:tcPr>
            <w:tcW w:w="1400" w:type="dxa"/>
            <w:vAlign w:val="center"/>
          </w:tcPr>
          <w:p w14:paraId="74F02AA5">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20</w:t>
            </w:r>
          </w:p>
        </w:tc>
        <w:tc>
          <w:tcPr>
            <w:tcW w:w="3253" w:type="dxa"/>
            <w:vAlign w:val="center"/>
          </w:tcPr>
          <w:p w14:paraId="646E5928">
            <w:pPr>
              <w:ind w:firstLine="420"/>
              <w:jc w:val="left"/>
              <w:rPr>
                <w:rFonts w:hint="eastAsia" w:ascii="仿宋_GB2312" w:hAnsi="宋体" w:eastAsia="仿宋_GB2312" w:cs="仿宋_GB2312"/>
                <w:color w:val="auto"/>
                <w:sz w:val="21"/>
                <w:szCs w:val="21"/>
                <w:highlight w:val="none"/>
              </w:rPr>
            </w:pPr>
          </w:p>
        </w:tc>
      </w:tr>
      <w:tr w14:paraId="2DFF69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vAlign w:val="center"/>
          </w:tcPr>
          <w:p w14:paraId="5B401123">
            <w:pPr>
              <w:widowControl/>
              <w:ind w:firstLine="0" w:firstLineChars="0"/>
              <w:jc w:val="left"/>
              <w:textAlignment w:val="center"/>
              <w:rPr>
                <w:rFonts w:hint="eastAsia"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三</w:t>
            </w:r>
          </w:p>
        </w:tc>
        <w:tc>
          <w:tcPr>
            <w:tcW w:w="2126" w:type="dxa"/>
            <w:vAlign w:val="center"/>
          </w:tcPr>
          <w:p w14:paraId="0F68D510">
            <w:pPr>
              <w:widowControl/>
              <w:ind w:firstLine="420"/>
              <w:jc w:val="left"/>
              <w:textAlignment w:val="center"/>
              <w:rPr>
                <w:rFonts w:hint="eastAsia"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施工工期</w:t>
            </w:r>
          </w:p>
        </w:tc>
        <w:tc>
          <w:tcPr>
            <w:tcW w:w="876" w:type="dxa"/>
            <w:vAlign w:val="center"/>
          </w:tcPr>
          <w:p w14:paraId="260ABB66">
            <w:pPr>
              <w:widowControl/>
              <w:ind w:firstLine="0" w:firstLineChars="0"/>
              <w:jc w:val="left"/>
              <w:textAlignment w:val="center"/>
              <w:rPr>
                <w:rFonts w:hint="eastAsia"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月</w:t>
            </w:r>
          </w:p>
        </w:tc>
        <w:tc>
          <w:tcPr>
            <w:tcW w:w="1400" w:type="dxa"/>
            <w:vAlign w:val="center"/>
          </w:tcPr>
          <w:p w14:paraId="6F94DF4D">
            <w:pPr>
              <w:widowControl/>
              <w:ind w:firstLine="0" w:firstLineChars="0"/>
              <w:jc w:val="left"/>
              <w:textAlignment w:val="center"/>
              <w:rPr>
                <w:rFonts w:hint="eastAsia"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30</w:t>
            </w:r>
          </w:p>
        </w:tc>
        <w:tc>
          <w:tcPr>
            <w:tcW w:w="3253" w:type="dxa"/>
            <w:vAlign w:val="center"/>
          </w:tcPr>
          <w:p w14:paraId="702FBB26">
            <w:pPr>
              <w:ind w:firstLine="420"/>
              <w:jc w:val="left"/>
              <w:rPr>
                <w:rFonts w:hint="eastAsia" w:ascii="仿宋_GB2312" w:hAnsi="宋体" w:eastAsia="仿宋_GB2312" w:cs="仿宋_GB2312"/>
                <w:b/>
                <w:bCs/>
                <w:color w:val="auto"/>
                <w:sz w:val="21"/>
                <w:szCs w:val="21"/>
                <w:highlight w:val="none"/>
              </w:rPr>
            </w:pPr>
          </w:p>
        </w:tc>
      </w:tr>
      <w:tr w14:paraId="1487C3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vAlign w:val="center"/>
          </w:tcPr>
          <w:p w14:paraId="4B36F9D6">
            <w:pPr>
              <w:widowControl/>
              <w:ind w:firstLine="0" w:firstLineChars="0"/>
              <w:jc w:val="left"/>
              <w:textAlignment w:val="center"/>
              <w:rPr>
                <w:rFonts w:hint="eastAsia"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四</w:t>
            </w:r>
          </w:p>
        </w:tc>
        <w:tc>
          <w:tcPr>
            <w:tcW w:w="2126" w:type="dxa"/>
            <w:vAlign w:val="center"/>
          </w:tcPr>
          <w:p w14:paraId="029A680C">
            <w:pPr>
              <w:widowControl/>
              <w:ind w:firstLine="420"/>
              <w:jc w:val="left"/>
              <w:textAlignment w:val="center"/>
              <w:rPr>
                <w:rFonts w:hint="eastAsia"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建设投资</w:t>
            </w:r>
          </w:p>
        </w:tc>
        <w:tc>
          <w:tcPr>
            <w:tcW w:w="876" w:type="dxa"/>
            <w:vAlign w:val="center"/>
          </w:tcPr>
          <w:p w14:paraId="2AC2D2B2">
            <w:pPr>
              <w:widowControl/>
              <w:ind w:firstLine="0" w:firstLineChars="0"/>
              <w:jc w:val="left"/>
              <w:textAlignment w:val="center"/>
              <w:rPr>
                <w:rFonts w:hint="eastAsia"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万元</w:t>
            </w:r>
          </w:p>
        </w:tc>
        <w:tc>
          <w:tcPr>
            <w:tcW w:w="1400" w:type="dxa"/>
            <w:vAlign w:val="center"/>
          </w:tcPr>
          <w:p w14:paraId="3E01CA54">
            <w:pPr>
              <w:widowControl/>
              <w:ind w:firstLine="0" w:firstLineChars="0"/>
              <w:jc w:val="left"/>
              <w:textAlignment w:val="center"/>
              <w:rPr>
                <w:rFonts w:hint="eastAsia" w:ascii="仿宋_GB2312" w:hAnsi="宋体" w:eastAsia="仿宋_GB2312" w:cs="仿宋_GB2312"/>
                <w:b/>
                <w:bCs/>
                <w:color w:val="auto"/>
                <w:sz w:val="21"/>
                <w:szCs w:val="21"/>
                <w:highlight w:val="none"/>
              </w:rPr>
            </w:pPr>
            <w:r>
              <w:rPr>
                <w:rFonts w:hint="eastAsia" w:ascii="仿宋_GB2312" w:hAnsi="宋体" w:eastAsia="仿宋_GB2312" w:cs="仿宋_GB2312"/>
                <w:b/>
                <w:bCs/>
                <w:color w:val="auto"/>
                <w:kern w:val="0"/>
                <w:sz w:val="21"/>
                <w:szCs w:val="21"/>
                <w:highlight w:val="none"/>
                <w:lang w:bidi="ar"/>
              </w:rPr>
              <w:t>68818</w:t>
            </w:r>
          </w:p>
        </w:tc>
        <w:tc>
          <w:tcPr>
            <w:tcW w:w="3253" w:type="dxa"/>
            <w:vAlign w:val="center"/>
          </w:tcPr>
          <w:p w14:paraId="031E0DB1">
            <w:pPr>
              <w:ind w:firstLine="420"/>
              <w:jc w:val="left"/>
              <w:rPr>
                <w:rFonts w:hint="eastAsia" w:ascii="仿宋_GB2312" w:hAnsi="宋体" w:eastAsia="仿宋_GB2312" w:cs="仿宋_GB2312"/>
                <w:b/>
                <w:bCs/>
                <w:color w:val="auto"/>
                <w:sz w:val="21"/>
                <w:szCs w:val="21"/>
                <w:highlight w:val="none"/>
              </w:rPr>
            </w:pPr>
          </w:p>
        </w:tc>
      </w:tr>
      <w:tr w14:paraId="2D1484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vAlign w:val="center"/>
          </w:tcPr>
          <w:p w14:paraId="4ECAF576">
            <w:pPr>
              <w:widowControl/>
              <w:ind w:firstLine="0" w:firstLineChars="0"/>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w:t>
            </w:r>
          </w:p>
        </w:tc>
        <w:tc>
          <w:tcPr>
            <w:tcW w:w="2126" w:type="dxa"/>
            <w:vAlign w:val="center"/>
          </w:tcPr>
          <w:p w14:paraId="10F8DDB6">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工程费用</w:t>
            </w:r>
          </w:p>
        </w:tc>
        <w:tc>
          <w:tcPr>
            <w:tcW w:w="876" w:type="dxa"/>
            <w:vAlign w:val="center"/>
          </w:tcPr>
          <w:p w14:paraId="66A8D374">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万元</w:t>
            </w:r>
          </w:p>
        </w:tc>
        <w:tc>
          <w:tcPr>
            <w:tcW w:w="1400" w:type="dxa"/>
            <w:vAlign w:val="center"/>
          </w:tcPr>
          <w:p w14:paraId="04B8EF5A">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42624</w:t>
            </w:r>
          </w:p>
        </w:tc>
        <w:tc>
          <w:tcPr>
            <w:tcW w:w="3253" w:type="dxa"/>
            <w:vAlign w:val="center"/>
          </w:tcPr>
          <w:p w14:paraId="248A412C">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含设备费用。</w:t>
            </w:r>
          </w:p>
        </w:tc>
      </w:tr>
      <w:tr w14:paraId="27EB7E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vAlign w:val="center"/>
          </w:tcPr>
          <w:p w14:paraId="656DCCE1">
            <w:pPr>
              <w:widowControl/>
              <w:ind w:firstLine="0" w:firstLineChars="0"/>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2</w:t>
            </w:r>
          </w:p>
        </w:tc>
        <w:tc>
          <w:tcPr>
            <w:tcW w:w="2126" w:type="dxa"/>
            <w:vAlign w:val="center"/>
          </w:tcPr>
          <w:p w14:paraId="3EB1746C">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工程建设其他费</w:t>
            </w:r>
          </w:p>
        </w:tc>
        <w:tc>
          <w:tcPr>
            <w:tcW w:w="876" w:type="dxa"/>
            <w:vAlign w:val="center"/>
          </w:tcPr>
          <w:p w14:paraId="7899007C">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万元</w:t>
            </w:r>
          </w:p>
        </w:tc>
        <w:tc>
          <w:tcPr>
            <w:tcW w:w="1400" w:type="dxa"/>
            <w:vAlign w:val="center"/>
          </w:tcPr>
          <w:p w14:paraId="6044FDEC">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24765</w:t>
            </w:r>
          </w:p>
        </w:tc>
        <w:tc>
          <w:tcPr>
            <w:tcW w:w="3253" w:type="dxa"/>
            <w:vAlign w:val="center"/>
          </w:tcPr>
          <w:p w14:paraId="762F2862">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含土地费用。</w:t>
            </w:r>
          </w:p>
        </w:tc>
      </w:tr>
      <w:tr w14:paraId="371EA4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851" w:type="dxa"/>
            <w:vAlign w:val="center"/>
          </w:tcPr>
          <w:p w14:paraId="5365A208">
            <w:pPr>
              <w:widowControl/>
              <w:ind w:firstLine="0" w:firstLineChars="0"/>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3</w:t>
            </w:r>
          </w:p>
        </w:tc>
        <w:tc>
          <w:tcPr>
            <w:tcW w:w="2126" w:type="dxa"/>
            <w:vAlign w:val="center"/>
          </w:tcPr>
          <w:p w14:paraId="7697EB43">
            <w:pPr>
              <w:widowControl/>
              <w:ind w:firstLine="42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预备费</w:t>
            </w:r>
          </w:p>
        </w:tc>
        <w:tc>
          <w:tcPr>
            <w:tcW w:w="876" w:type="dxa"/>
            <w:vAlign w:val="center"/>
          </w:tcPr>
          <w:p w14:paraId="68AB28FC">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万元</w:t>
            </w:r>
          </w:p>
        </w:tc>
        <w:tc>
          <w:tcPr>
            <w:tcW w:w="1400" w:type="dxa"/>
            <w:vAlign w:val="center"/>
          </w:tcPr>
          <w:p w14:paraId="469FB94F">
            <w:pPr>
              <w:widowControl/>
              <w:ind w:firstLine="0" w:firstLineChars="0"/>
              <w:jc w:val="left"/>
              <w:textAlignment w:val="center"/>
              <w:rPr>
                <w:rFonts w:hint="eastAsia" w:ascii="仿宋_GB2312" w:hAnsi="宋体" w:eastAsia="仿宋_GB2312" w:cs="仿宋_GB2312"/>
                <w:color w:val="auto"/>
                <w:sz w:val="21"/>
                <w:szCs w:val="21"/>
                <w:highlight w:val="none"/>
              </w:rPr>
            </w:pPr>
            <w:r>
              <w:rPr>
                <w:rFonts w:hint="eastAsia" w:ascii="仿宋_GB2312" w:hAnsi="宋体" w:eastAsia="仿宋_GB2312" w:cs="仿宋_GB2312"/>
                <w:color w:val="auto"/>
                <w:kern w:val="0"/>
                <w:sz w:val="21"/>
                <w:szCs w:val="21"/>
                <w:highlight w:val="none"/>
                <w:lang w:bidi="ar"/>
              </w:rPr>
              <w:t>1429</w:t>
            </w:r>
          </w:p>
        </w:tc>
        <w:tc>
          <w:tcPr>
            <w:tcW w:w="3253" w:type="dxa"/>
            <w:vAlign w:val="center"/>
          </w:tcPr>
          <w:p w14:paraId="486DCD00">
            <w:pPr>
              <w:ind w:firstLine="420"/>
              <w:jc w:val="left"/>
              <w:rPr>
                <w:rFonts w:hint="eastAsia" w:ascii="仿宋_GB2312" w:hAnsi="宋体" w:eastAsia="仿宋_GB2312" w:cs="仿宋_GB2312"/>
                <w:color w:val="auto"/>
                <w:sz w:val="21"/>
                <w:szCs w:val="21"/>
                <w:highlight w:val="none"/>
              </w:rPr>
            </w:pPr>
          </w:p>
        </w:tc>
      </w:tr>
    </w:tbl>
    <w:p w14:paraId="2DDF932A">
      <w:pPr>
        <w:rPr>
          <w:rFonts w:hint="eastAsia" w:ascii="宋体" w:hAnsi="宋体"/>
          <w:bCs/>
          <w:color w:val="auto"/>
          <w:highlight w:val="none"/>
        </w:rPr>
      </w:pPr>
      <w:r>
        <w:rPr>
          <w:rFonts w:hint="eastAsia" w:ascii="宋体" w:hAnsi="宋体"/>
          <w:bCs/>
          <w:color w:val="auto"/>
          <w:sz w:val="24"/>
          <w:highlight w:val="none"/>
          <w:lang w:val="en-US" w:eastAsia="zh-CN"/>
        </w:rPr>
        <w:t>本项目为天河区龙洞粮库子工程中的建筑工程</w:t>
      </w:r>
      <w:r>
        <w:rPr>
          <w:rFonts w:hint="eastAsia" w:ascii="宋体" w:hAnsi="宋体"/>
          <w:color w:val="auto"/>
          <w:sz w:val="24"/>
          <w:highlight w:val="none"/>
          <w:lang w:eastAsia="zh-CN"/>
        </w:rPr>
        <w:t>，</w:t>
      </w:r>
      <w:r>
        <w:rPr>
          <w:rFonts w:hint="eastAsia"/>
          <w:color w:val="auto"/>
          <w:highlight w:val="none"/>
        </w:rPr>
        <w:t>设计范围为天河区龙洞粮库建设工程的主体部分，</w:t>
      </w:r>
      <w:r>
        <w:rPr>
          <w:rFonts w:hint="eastAsia"/>
          <w:color w:val="auto"/>
          <w:highlight w:val="none"/>
          <w:lang w:eastAsia="zh-CN"/>
        </w:rPr>
        <w:t>即除配套建设</w:t>
      </w:r>
      <w:r>
        <w:rPr>
          <w:rFonts w:hint="eastAsia"/>
          <w:color w:val="auto"/>
          <w:highlight w:val="none"/>
        </w:rPr>
        <w:t>乌蛇坑涌整治提升</w:t>
      </w:r>
      <w:r>
        <w:rPr>
          <w:rFonts w:hint="eastAsia"/>
          <w:color w:val="auto"/>
          <w:highlight w:val="none"/>
          <w:lang w:eastAsia="zh-CN"/>
        </w:rPr>
        <w:t>（含河涌两侧</w:t>
      </w:r>
      <w:r>
        <w:rPr>
          <w:rFonts w:hint="eastAsia"/>
          <w:color w:val="auto"/>
          <w:highlight w:val="none"/>
          <w:lang w:val="en-US" w:eastAsia="zh-CN"/>
        </w:rPr>
        <w:t>10米宽范围</w:t>
      </w:r>
      <w:r>
        <w:rPr>
          <w:rFonts w:hint="eastAsia"/>
          <w:color w:val="auto"/>
          <w:highlight w:val="none"/>
          <w:lang w:eastAsia="zh-CN"/>
        </w:rPr>
        <w:t>）</w:t>
      </w:r>
      <w:r>
        <w:rPr>
          <w:rFonts w:hint="eastAsia"/>
          <w:color w:val="auto"/>
          <w:highlight w:val="none"/>
        </w:rPr>
        <w:t>、桥梁</w:t>
      </w:r>
      <w:r>
        <w:rPr>
          <w:rFonts w:hint="eastAsia"/>
          <w:color w:val="auto"/>
          <w:highlight w:val="none"/>
          <w:lang w:eastAsia="zh-CN"/>
        </w:rPr>
        <w:t>等水利工程外的其他建设内容，</w:t>
      </w:r>
      <w:r>
        <w:rPr>
          <w:rFonts w:hint="eastAsia" w:ascii="宋体" w:hAnsi="宋体"/>
          <w:bCs/>
          <w:color w:val="auto"/>
          <w:highlight w:val="none"/>
        </w:rPr>
        <w:t>具体设计范围，可能根据项目实际情况调整。</w:t>
      </w:r>
    </w:p>
    <w:p w14:paraId="37EBDAE2">
      <w:pPr>
        <w:pStyle w:val="2"/>
        <w:rPr>
          <w:color w:val="auto"/>
          <w:highlight w:val="none"/>
        </w:rPr>
        <w:sectPr>
          <w:footerReference r:id="rId9" w:type="default"/>
          <w:pgSz w:w="11906" w:h="16838"/>
          <w:pgMar w:top="1440" w:right="1800" w:bottom="1440" w:left="1800" w:header="851" w:footer="992" w:gutter="0"/>
          <w:pgNumType w:start="1"/>
          <w:cols w:space="720" w:num="1"/>
          <w:docGrid w:type="lines" w:linePitch="312" w:charSpace="0"/>
        </w:sectPr>
      </w:pPr>
    </w:p>
    <w:p w14:paraId="68DC395F">
      <w:pPr>
        <w:pStyle w:val="5"/>
        <w:spacing w:before="156" w:after="156"/>
        <w:rPr>
          <w:color w:val="auto"/>
          <w:highlight w:val="none"/>
        </w:rPr>
      </w:pPr>
      <w:bookmarkStart w:id="75" w:name="_Toc29900"/>
      <w:bookmarkStart w:id="76" w:name="_Toc14640"/>
      <w:bookmarkStart w:id="77" w:name="_Toc29231"/>
      <w:r>
        <w:rPr>
          <w:rFonts w:hint="eastAsia"/>
          <w:color w:val="auto"/>
          <w:highlight w:val="none"/>
        </w:rPr>
        <w:t>1.1.8项目设计依据</w:t>
      </w:r>
      <w:bookmarkEnd w:id="75"/>
      <w:bookmarkEnd w:id="76"/>
      <w:bookmarkEnd w:id="77"/>
    </w:p>
    <w:p w14:paraId="7115DA10">
      <w:pPr>
        <w:rPr>
          <w:color w:val="auto"/>
          <w:highlight w:val="none"/>
        </w:rPr>
      </w:pPr>
      <w:r>
        <w:rPr>
          <w:rFonts w:hint="eastAsia"/>
          <w:color w:val="auto"/>
          <w:highlight w:val="none"/>
        </w:rPr>
        <w:t>1、现行法律法规</w:t>
      </w:r>
    </w:p>
    <w:p w14:paraId="52E4553F">
      <w:pPr>
        <w:rPr>
          <w:color w:val="auto"/>
          <w:highlight w:val="none"/>
        </w:rPr>
      </w:pPr>
      <w:r>
        <w:rPr>
          <w:rFonts w:hint="eastAsia"/>
          <w:color w:val="auto"/>
          <w:highlight w:val="none"/>
        </w:rPr>
        <w:t>2、现行技术标准与规范</w:t>
      </w:r>
    </w:p>
    <w:p w14:paraId="7142CC9E">
      <w:pPr>
        <w:rPr>
          <w:color w:val="auto"/>
          <w:highlight w:val="none"/>
        </w:rPr>
      </w:pPr>
      <w:r>
        <w:rPr>
          <w:rFonts w:hint="eastAsia"/>
          <w:color w:val="auto"/>
          <w:highlight w:val="none"/>
        </w:rPr>
        <w:t>3、国家规范及行业标准</w:t>
      </w:r>
    </w:p>
    <w:p w14:paraId="392062AE">
      <w:pPr>
        <w:numPr>
          <w:ilvl w:val="0"/>
          <w:numId w:val="1"/>
        </w:numPr>
        <w:ind w:left="480" w:leftChars="200" w:firstLine="0" w:firstLineChars="0"/>
        <w:rPr>
          <w:color w:val="auto"/>
          <w:highlight w:val="none"/>
        </w:rPr>
      </w:pPr>
      <w:r>
        <w:rPr>
          <w:rFonts w:hint="eastAsia"/>
          <w:color w:val="auto"/>
          <w:highlight w:val="none"/>
        </w:rPr>
        <w:t>《粮食仓库建设标准》（建标172-2016）；</w:t>
      </w:r>
    </w:p>
    <w:p w14:paraId="5968D987">
      <w:pPr>
        <w:numPr>
          <w:ilvl w:val="0"/>
          <w:numId w:val="1"/>
        </w:numPr>
        <w:ind w:left="480" w:leftChars="200" w:firstLine="0" w:firstLineChars="0"/>
        <w:rPr>
          <w:color w:val="auto"/>
          <w:highlight w:val="none"/>
        </w:rPr>
      </w:pPr>
      <w:r>
        <w:rPr>
          <w:rFonts w:hint="eastAsia"/>
          <w:color w:val="auto"/>
          <w:highlight w:val="none"/>
        </w:rPr>
        <w:t>《粮食平房仓设计规范》（GB50320-2014）；</w:t>
      </w:r>
    </w:p>
    <w:p w14:paraId="0DE4FF2D">
      <w:pPr>
        <w:numPr>
          <w:ilvl w:val="0"/>
          <w:numId w:val="1"/>
        </w:numPr>
        <w:ind w:left="480" w:leftChars="200" w:firstLine="0" w:firstLineChars="0"/>
        <w:rPr>
          <w:color w:val="auto"/>
          <w:highlight w:val="none"/>
        </w:rPr>
      </w:pPr>
      <w:r>
        <w:rPr>
          <w:rFonts w:hint="eastAsia"/>
          <w:color w:val="auto"/>
          <w:highlight w:val="none"/>
        </w:rPr>
        <w:t>《粮食楼房仓设计规范》（征求意见稿）；</w:t>
      </w:r>
    </w:p>
    <w:p w14:paraId="0ACD89FC">
      <w:pPr>
        <w:numPr>
          <w:ilvl w:val="0"/>
          <w:numId w:val="1"/>
        </w:numPr>
        <w:ind w:left="480" w:leftChars="200" w:firstLine="0" w:firstLineChars="0"/>
        <w:rPr>
          <w:color w:val="auto"/>
          <w:highlight w:val="none"/>
        </w:rPr>
      </w:pPr>
      <w:r>
        <w:rPr>
          <w:color w:val="auto"/>
          <w:highlight w:val="none"/>
        </w:rPr>
        <w:t>《建筑设计防火规范》（GB50016-2022）；</w:t>
      </w:r>
    </w:p>
    <w:p w14:paraId="7BBA4F4D">
      <w:pPr>
        <w:numPr>
          <w:ilvl w:val="0"/>
          <w:numId w:val="1"/>
        </w:numPr>
        <w:ind w:left="480" w:leftChars="200" w:firstLine="0" w:firstLineChars="0"/>
        <w:rPr>
          <w:color w:val="auto"/>
          <w:highlight w:val="none"/>
        </w:rPr>
      </w:pPr>
      <w:r>
        <w:rPr>
          <w:color w:val="auto"/>
          <w:highlight w:val="none"/>
        </w:rPr>
        <w:t>《建筑内部装修设计防火规范》（GB50222-2021）；</w:t>
      </w:r>
    </w:p>
    <w:p w14:paraId="45F118D4">
      <w:pPr>
        <w:numPr>
          <w:ilvl w:val="0"/>
          <w:numId w:val="1"/>
        </w:numPr>
        <w:ind w:left="480" w:leftChars="200" w:firstLine="0" w:firstLineChars="0"/>
        <w:rPr>
          <w:color w:val="auto"/>
          <w:highlight w:val="none"/>
        </w:rPr>
      </w:pPr>
      <w:r>
        <w:rPr>
          <w:color w:val="auto"/>
          <w:highlight w:val="none"/>
        </w:rPr>
        <w:t>《绿色建筑评价标准》（GB/T50378-2019）；</w:t>
      </w:r>
    </w:p>
    <w:p w14:paraId="22EA0D8A">
      <w:pPr>
        <w:numPr>
          <w:ilvl w:val="0"/>
          <w:numId w:val="1"/>
        </w:numPr>
        <w:ind w:left="480" w:leftChars="200" w:firstLine="0" w:firstLineChars="0"/>
        <w:rPr>
          <w:color w:val="auto"/>
          <w:highlight w:val="none"/>
        </w:rPr>
      </w:pPr>
      <w:r>
        <w:rPr>
          <w:rFonts w:hint="eastAsia"/>
          <w:color w:val="auto"/>
          <w:highlight w:val="none"/>
        </w:rPr>
        <w:t>《广东省粮食仓库建设指引（修订）》（粤粮仓〔2021〕80号）；</w:t>
      </w:r>
    </w:p>
    <w:p w14:paraId="2D9055E0">
      <w:pPr>
        <w:numPr>
          <w:ilvl w:val="0"/>
          <w:numId w:val="1"/>
        </w:numPr>
        <w:ind w:left="480" w:leftChars="200" w:firstLine="0" w:firstLineChars="0"/>
        <w:rPr>
          <w:color w:val="auto"/>
          <w:highlight w:val="none"/>
        </w:rPr>
      </w:pPr>
      <w:r>
        <w:rPr>
          <w:rFonts w:hint="eastAsia"/>
          <w:color w:val="auto"/>
          <w:highlight w:val="none"/>
        </w:rPr>
        <w:t>《广州市低温粮库建设管理规程（试行）》；</w:t>
      </w:r>
    </w:p>
    <w:p w14:paraId="5199942C">
      <w:pPr>
        <w:numPr>
          <w:ilvl w:val="0"/>
          <w:numId w:val="1"/>
        </w:numPr>
        <w:ind w:left="480" w:leftChars="200" w:firstLine="0" w:firstLineChars="0"/>
        <w:rPr>
          <w:color w:val="auto"/>
          <w:highlight w:val="none"/>
        </w:rPr>
      </w:pPr>
      <w:r>
        <w:rPr>
          <w:rFonts w:hint="eastAsia"/>
          <w:color w:val="auto"/>
          <w:highlight w:val="none"/>
        </w:rPr>
        <w:t>《粮油储藏技术规范》（GB/T29890-2013）；</w:t>
      </w:r>
    </w:p>
    <w:p w14:paraId="75BB0563">
      <w:pPr>
        <w:numPr>
          <w:ilvl w:val="0"/>
          <w:numId w:val="1"/>
        </w:numPr>
        <w:ind w:left="480" w:leftChars="200" w:firstLine="0" w:firstLineChars="0"/>
        <w:rPr>
          <w:color w:val="auto"/>
          <w:highlight w:val="none"/>
        </w:rPr>
      </w:pPr>
      <w:r>
        <w:rPr>
          <w:rFonts w:hint="eastAsia"/>
          <w:color w:val="auto"/>
          <w:highlight w:val="none"/>
        </w:rPr>
        <w:t>《植物油库建设标准》（建标118-2009）；</w:t>
      </w:r>
    </w:p>
    <w:p w14:paraId="056B4725">
      <w:pPr>
        <w:numPr>
          <w:ilvl w:val="0"/>
          <w:numId w:val="1"/>
        </w:numPr>
        <w:ind w:left="480" w:leftChars="200" w:firstLine="0" w:firstLineChars="0"/>
        <w:rPr>
          <w:color w:val="auto"/>
          <w:highlight w:val="none"/>
        </w:rPr>
      </w:pPr>
      <w:r>
        <w:rPr>
          <w:rFonts w:hint="eastAsia"/>
          <w:color w:val="auto"/>
          <w:highlight w:val="none"/>
        </w:rPr>
        <w:t>《植物油库设计规范》（LS8010-2014）；</w:t>
      </w:r>
    </w:p>
    <w:p w14:paraId="564BEAB0">
      <w:pPr>
        <w:numPr>
          <w:ilvl w:val="0"/>
          <w:numId w:val="1"/>
        </w:numPr>
        <w:ind w:left="480" w:leftChars="200" w:firstLine="0" w:firstLineChars="0"/>
        <w:rPr>
          <w:color w:val="auto"/>
          <w:highlight w:val="none"/>
        </w:rPr>
      </w:pPr>
      <w:r>
        <w:rPr>
          <w:rFonts w:hint="eastAsia"/>
          <w:color w:val="auto"/>
          <w:highlight w:val="none"/>
        </w:rPr>
        <w:t>《高标准粮仓建设标准》（LS/T8014-2023）；</w:t>
      </w:r>
    </w:p>
    <w:p w14:paraId="21F17973">
      <w:pPr>
        <w:numPr>
          <w:ilvl w:val="0"/>
          <w:numId w:val="1"/>
        </w:numPr>
        <w:ind w:left="480" w:leftChars="200" w:firstLine="0" w:firstLineChars="0"/>
        <w:rPr>
          <w:color w:val="auto"/>
          <w:highlight w:val="none"/>
        </w:rPr>
      </w:pPr>
      <w:r>
        <w:rPr>
          <w:color w:val="auto"/>
          <w:highlight w:val="none"/>
        </w:rPr>
        <w:t>《人民防空地下室设计规范》（GB50038-2005）；</w:t>
      </w:r>
    </w:p>
    <w:p w14:paraId="55A0DA84">
      <w:pPr>
        <w:numPr>
          <w:ilvl w:val="0"/>
          <w:numId w:val="1"/>
        </w:numPr>
        <w:ind w:left="480" w:leftChars="200" w:firstLine="0" w:firstLineChars="0"/>
        <w:rPr>
          <w:color w:val="auto"/>
          <w:highlight w:val="none"/>
        </w:rPr>
      </w:pPr>
      <w:r>
        <w:rPr>
          <w:rFonts w:hint="eastAsia"/>
          <w:color w:val="auto"/>
          <w:highlight w:val="none"/>
        </w:rPr>
        <w:t>《国家粮食局关于印发&lt;粮油储存安全责任暂行规定&gt;的通知》（国粮储〔2016〕136号）；</w:t>
      </w:r>
    </w:p>
    <w:p w14:paraId="29210416">
      <w:pPr>
        <w:numPr>
          <w:ilvl w:val="0"/>
          <w:numId w:val="1"/>
        </w:numPr>
        <w:ind w:left="480" w:leftChars="200" w:firstLine="0" w:firstLineChars="0"/>
        <w:rPr>
          <w:color w:val="auto"/>
          <w:highlight w:val="none"/>
        </w:rPr>
      </w:pPr>
      <w:r>
        <w:rPr>
          <w:rFonts w:hint="eastAsia"/>
          <w:color w:val="auto"/>
          <w:highlight w:val="none"/>
        </w:rPr>
        <w:t>《国家粮食局关于印发&lt;粮油安全储存守则&gt;和&lt;粮库安全生产守则&gt;的通知》（国粮储〔2016〕234号）；</w:t>
      </w:r>
    </w:p>
    <w:p w14:paraId="7D7F6425">
      <w:pPr>
        <w:numPr>
          <w:ilvl w:val="0"/>
          <w:numId w:val="1"/>
        </w:numPr>
        <w:ind w:left="480" w:leftChars="200" w:firstLine="0" w:firstLineChars="0"/>
        <w:rPr>
          <w:color w:val="auto"/>
          <w:highlight w:val="none"/>
        </w:rPr>
      </w:pPr>
      <w:r>
        <w:rPr>
          <w:rFonts w:hint="eastAsia"/>
          <w:color w:val="auto"/>
          <w:highlight w:val="none"/>
        </w:rPr>
        <w:t>《天河区地方储备粮油管理办法》（穗天发改规字〔2022〕1号）；</w:t>
      </w:r>
    </w:p>
    <w:p w14:paraId="0FF3D90C">
      <w:pPr>
        <w:numPr>
          <w:ilvl w:val="0"/>
          <w:numId w:val="1"/>
        </w:numPr>
        <w:ind w:left="480" w:leftChars="200" w:firstLine="0" w:firstLineChars="0"/>
        <w:rPr>
          <w:color w:val="auto"/>
          <w:highlight w:val="none"/>
        </w:rPr>
      </w:pPr>
      <w:r>
        <w:rPr>
          <w:rFonts w:hint="eastAsia"/>
          <w:color w:val="auto"/>
          <w:highlight w:val="none"/>
        </w:rPr>
        <w:t>《中华人民共和国国民经济和社会发展第十四个五年规划和2035年远景目标纲要》；</w:t>
      </w:r>
    </w:p>
    <w:p w14:paraId="4C1EAE91">
      <w:pPr>
        <w:numPr>
          <w:ilvl w:val="0"/>
          <w:numId w:val="1"/>
        </w:numPr>
        <w:ind w:left="480" w:leftChars="200" w:firstLine="0" w:firstLineChars="0"/>
        <w:rPr>
          <w:color w:val="auto"/>
          <w:highlight w:val="none"/>
        </w:rPr>
      </w:pPr>
      <w:r>
        <w:rPr>
          <w:rFonts w:hint="eastAsia"/>
          <w:color w:val="auto"/>
          <w:highlight w:val="none"/>
        </w:rPr>
        <w:t>《广东省国民经济和社会发展第十四个五年规划和2035年远景目标纲要》；</w:t>
      </w:r>
    </w:p>
    <w:p w14:paraId="67A68520">
      <w:pPr>
        <w:numPr>
          <w:ilvl w:val="0"/>
          <w:numId w:val="1"/>
        </w:numPr>
        <w:ind w:left="480" w:leftChars="200" w:firstLine="0" w:firstLineChars="0"/>
        <w:rPr>
          <w:color w:val="auto"/>
          <w:highlight w:val="none"/>
        </w:rPr>
      </w:pPr>
      <w:r>
        <w:rPr>
          <w:rFonts w:hint="eastAsia"/>
          <w:color w:val="auto"/>
          <w:highlight w:val="none"/>
        </w:rPr>
        <w:t>《广州市国民经济和社会发展第十四个五年规划和二〇三五年远景目标纲要》；</w:t>
      </w:r>
    </w:p>
    <w:p w14:paraId="19A909C2">
      <w:pPr>
        <w:numPr>
          <w:ilvl w:val="0"/>
          <w:numId w:val="1"/>
        </w:numPr>
        <w:ind w:left="480" w:leftChars="200" w:firstLine="0" w:firstLineChars="0"/>
        <w:rPr>
          <w:color w:val="auto"/>
          <w:highlight w:val="none"/>
        </w:rPr>
      </w:pPr>
      <w:r>
        <w:rPr>
          <w:rFonts w:hint="eastAsia"/>
          <w:color w:val="auto"/>
          <w:highlight w:val="none"/>
        </w:rPr>
        <w:t>《天河区国民经济和社会发展第十四个五年规划和二〇三五年远景目标纲要》；</w:t>
      </w:r>
    </w:p>
    <w:p w14:paraId="540FA30C">
      <w:pPr>
        <w:numPr>
          <w:ilvl w:val="0"/>
          <w:numId w:val="1"/>
        </w:numPr>
        <w:ind w:left="480" w:leftChars="200" w:firstLine="0" w:firstLineChars="0"/>
        <w:rPr>
          <w:color w:val="auto"/>
          <w:highlight w:val="none"/>
        </w:rPr>
      </w:pPr>
      <w:r>
        <w:rPr>
          <w:rFonts w:hint="eastAsia"/>
          <w:color w:val="auto"/>
          <w:highlight w:val="none"/>
        </w:rPr>
        <w:t>《广州市粮食安全和应急物资保障“十四五”规划》；</w:t>
      </w:r>
    </w:p>
    <w:p w14:paraId="12CB4F10">
      <w:pPr>
        <w:pStyle w:val="2"/>
        <w:rPr>
          <w:color w:val="auto"/>
          <w:highlight w:val="none"/>
        </w:rPr>
      </w:pPr>
    </w:p>
    <w:p w14:paraId="4813593E">
      <w:pPr>
        <w:numPr>
          <w:ilvl w:val="0"/>
          <w:numId w:val="1"/>
        </w:numPr>
        <w:ind w:left="480" w:leftChars="200" w:firstLine="0" w:firstLineChars="0"/>
        <w:rPr>
          <w:color w:val="auto"/>
          <w:highlight w:val="none"/>
        </w:rPr>
      </w:pPr>
      <w:r>
        <w:rPr>
          <w:rFonts w:hint="eastAsia"/>
          <w:color w:val="auto"/>
          <w:highlight w:val="none"/>
        </w:rPr>
        <w:t>国家和地方其他现行规范和标准。</w:t>
      </w:r>
    </w:p>
    <w:p w14:paraId="09F80B37">
      <w:pPr>
        <w:rPr>
          <w:color w:val="auto"/>
          <w:highlight w:val="none"/>
        </w:rPr>
      </w:pPr>
      <w:r>
        <w:rPr>
          <w:rFonts w:hint="eastAsia"/>
          <w:color w:val="auto"/>
          <w:highlight w:val="none"/>
        </w:rPr>
        <w:t>4、相关文件</w:t>
      </w:r>
      <w:bookmarkEnd w:id="71"/>
      <w:bookmarkEnd w:id="72"/>
    </w:p>
    <w:p w14:paraId="305321C3">
      <w:pPr>
        <w:pStyle w:val="29"/>
        <w:jc w:val="left"/>
        <w:rPr>
          <w:rFonts w:hint="eastAsia"/>
          <w:color w:val="auto"/>
          <w:kern w:val="0"/>
          <w:highlight w:val="none"/>
        </w:rPr>
      </w:pPr>
      <w:r>
        <w:rPr>
          <w:rFonts w:hint="eastAsia"/>
          <w:color w:val="auto"/>
          <w:kern w:val="0"/>
          <w:highlight w:val="none"/>
        </w:rPr>
        <w:t>（1）《广州市天河区发展和改革局关于天河龙洞粮库建设工程项目建议书的复函》（穗天发改投批〔2024〕45号）；</w:t>
      </w:r>
    </w:p>
    <w:p w14:paraId="1A2D65BB">
      <w:pPr>
        <w:pStyle w:val="29"/>
        <w:jc w:val="left"/>
        <w:rPr>
          <w:rFonts w:hint="eastAsia"/>
          <w:color w:val="auto"/>
          <w:kern w:val="0"/>
          <w:highlight w:val="none"/>
        </w:rPr>
      </w:pPr>
      <w:r>
        <w:rPr>
          <w:rFonts w:hint="eastAsia"/>
          <w:color w:val="auto"/>
          <w:kern w:val="0"/>
          <w:highlight w:val="none"/>
        </w:rPr>
        <w:t>（2）《天河龙洞粮库建设工程项目建议书》</w:t>
      </w:r>
    </w:p>
    <w:p w14:paraId="11E794EE">
      <w:pPr>
        <w:pStyle w:val="29"/>
        <w:jc w:val="left"/>
        <w:rPr>
          <w:rFonts w:hint="eastAsia"/>
          <w:color w:val="auto"/>
          <w:kern w:val="0"/>
          <w:highlight w:val="none"/>
        </w:rPr>
      </w:pPr>
      <w:r>
        <w:rPr>
          <w:rFonts w:hint="eastAsia"/>
          <w:color w:val="auto"/>
          <w:kern w:val="0"/>
          <w:highlight w:val="none"/>
        </w:rPr>
        <w:t>（2）《广州市城乡规划技术规定》（2015年）及其附表；</w:t>
      </w:r>
    </w:p>
    <w:p w14:paraId="053F7A5C">
      <w:pPr>
        <w:pStyle w:val="29"/>
        <w:jc w:val="left"/>
        <w:rPr>
          <w:rFonts w:hint="eastAsia"/>
          <w:color w:val="auto"/>
          <w:kern w:val="0"/>
          <w:highlight w:val="none"/>
        </w:rPr>
      </w:pPr>
      <w:bookmarkStart w:id="78" w:name="_Toc14016"/>
      <w:r>
        <w:rPr>
          <w:rFonts w:hint="eastAsia"/>
          <w:color w:val="auto"/>
          <w:kern w:val="0"/>
          <w:highlight w:val="none"/>
        </w:rPr>
        <w:t>（3）《关于申请提供天河区龙洞粮库项目用地规划意见的复函》（穗规划资源天函【2024】1763号）；</w:t>
      </w:r>
      <w:bookmarkEnd w:id="78"/>
    </w:p>
    <w:p w14:paraId="4B282D84">
      <w:pPr>
        <w:pStyle w:val="29"/>
        <w:jc w:val="left"/>
        <w:rPr>
          <w:rFonts w:hint="eastAsia"/>
          <w:color w:val="auto"/>
          <w:kern w:val="0"/>
          <w:highlight w:val="none"/>
        </w:rPr>
      </w:pPr>
      <w:r>
        <w:rPr>
          <w:rFonts w:hint="eastAsia"/>
          <w:color w:val="auto"/>
          <w:kern w:val="0"/>
          <w:highlight w:val="none"/>
        </w:rPr>
        <w:t>（4）建设用地规划红线示意图</w:t>
      </w:r>
    </w:p>
    <w:p w14:paraId="1EE567A3">
      <w:pPr>
        <w:pStyle w:val="29"/>
        <w:jc w:val="left"/>
        <w:rPr>
          <w:rFonts w:hint="eastAsia"/>
          <w:color w:val="auto"/>
          <w:kern w:val="0"/>
          <w:highlight w:val="none"/>
        </w:rPr>
      </w:pPr>
      <w:r>
        <w:rPr>
          <w:rFonts w:hint="eastAsia"/>
          <w:color w:val="auto"/>
          <w:kern w:val="0"/>
          <w:highlight w:val="none"/>
        </w:rPr>
        <w:t>（5）与本项目有关的其他资料等。</w:t>
      </w:r>
    </w:p>
    <w:p w14:paraId="21C95F8E">
      <w:pPr>
        <w:pStyle w:val="4"/>
        <w:spacing w:before="156" w:after="156"/>
        <w:rPr>
          <w:color w:val="auto"/>
          <w:highlight w:val="none"/>
        </w:rPr>
      </w:pPr>
      <w:bookmarkStart w:id="79" w:name="_Toc1975"/>
      <w:bookmarkStart w:id="80" w:name="_Toc16597"/>
      <w:bookmarkStart w:id="81" w:name="_Toc1632"/>
      <w:bookmarkStart w:id="82" w:name="_Toc19901"/>
      <w:bookmarkStart w:id="83" w:name="_Toc6264_WPSOffice_Level2"/>
      <w:bookmarkStart w:id="84" w:name="_Toc12034"/>
      <w:bookmarkStart w:id="85" w:name="_Toc30436"/>
      <w:bookmarkStart w:id="86" w:name="_Toc14717"/>
      <w:bookmarkStart w:id="87" w:name="_Toc22506"/>
      <w:bookmarkStart w:id="88" w:name="_Toc452973683"/>
      <w:bookmarkStart w:id="89" w:name="_Toc452558094"/>
      <w:bookmarkStart w:id="90" w:name="_Toc452558303"/>
      <w:r>
        <w:rPr>
          <w:rFonts w:hint="eastAsia"/>
          <w:color w:val="auto"/>
          <w:highlight w:val="none"/>
        </w:rPr>
        <w:t>1.2项目建设范围及勘察设计范围</w:t>
      </w:r>
      <w:bookmarkEnd w:id="79"/>
      <w:bookmarkEnd w:id="80"/>
      <w:bookmarkEnd w:id="81"/>
      <w:bookmarkEnd w:id="82"/>
      <w:bookmarkEnd w:id="83"/>
      <w:bookmarkEnd w:id="84"/>
      <w:bookmarkEnd w:id="85"/>
      <w:bookmarkEnd w:id="86"/>
      <w:bookmarkEnd w:id="87"/>
    </w:p>
    <w:bookmarkEnd w:id="73"/>
    <w:bookmarkEnd w:id="74"/>
    <w:bookmarkEnd w:id="88"/>
    <w:bookmarkEnd w:id="89"/>
    <w:bookmarkEnd w:id="90"/>
    <w:p w14:paraId="07F27266">
      <w:pPr>
        <w:pStyle w:val="5"/>
        <w:spacing w:before="156" w:after="156"/>
        <w:rPr>
          <w:color w:val="auto"/>
          <w:highlight w:val="none"/>
        </w:rPr>
      </w:pPr>
      <w:bookmarkStart w:id="91" w:name="_Toc8369"/>
      <w:bookmarkStart w:id="92" w:name="_Toc28849"/>
      <w:bookmarkStart w:id="93" w:name="_Toc23099"/>
      <w:bookmarkStart w:id="94" w:name="_Toc591"/>
      <w:bookmarkStart w:id="95" w:name="_Toc30289"/>
      <w:bookmarkStart w:id="96" w:name="_Toc4619"/>
      <w:r>
        <w:rPr>
          <w:rFonts w:hint="eastAsia"/>
          <w:color w:val="auto"/>
          <w:highlight w:val="none"/>
        </w:rPr>
        <w:t>1.2.1项目建设范围</w:t>
      </w:r>
      <w:bookmarkEnd w:id="91"/>
      <w:bookmarkEnd w:id="92"/>
      <w:bookmarkEnd w:id="93"/>
      <w:bookmarkEnd w:id="94"/>
      <w:bookmarkEnd w:id="95"/>
      <w:bookmarkEnd w:id="96"/>
    </w:p>
    <w:p w14:paraId="14D232EF">
      <w:pPr>
        <w:rPr>
          <w:color w:val="auto"/>
          <w:highlight w:val="none"/>
        </w:rPr>
      </w:pPr>
      <w:r>
        <w:rPr>
          <w:rFonts w:hint="eastAsia"/>
          <w:color w:val="auto"/>
          <w:highlight w:val="none"/>
        </w:rPr>
        <w:t>天河区龙洞粮库建设工程规划总用地面积42535.22平方米，其中：其中可建设用地面积32828.51平方米，道路用地面积7840.6</w:t>
      </w:r>
      <w:r>
        <w:rPr>
          <w:rFonts w:hint="eastAsia"/>
          <w:color w:val="auto"/>
          <w:highlight w:val="none"/>
          <w:lang w:val="en-US" w:eastAsia="zh-CN"/>
        </w:rPr>
        <w:t>1</w:t>
      </w:r>
      <w:r>
        <w:rPr>
          <w:rFonts w:hint="eastAsia"/>
          <w:color w:val="auto"/>
          <w:highlight w:val="none"/>
        </w:rPr>
        <w:t>平方米，河涌水域面积1866.</w:t>
      </w:r>
      <w:r>
        <w:rPr>
          <w:rFonts w:hint="eastAsia"/>
          <w:color w:val="auto"/>
          <w:highlight w:val="none"/>
          <w:lang w:val="en-US" w:eastAsia="zh-CN"/>
        </w:rPr>
        <w:t>10</w:t>
      </w:r>
      <w:r>
        <w:rPr>
          <w:rFonts w:hint="eastAsia"/>
          <w:color w:val="auto"/>
          <w:highlight w:val="none"/>
        </w:rPr>
        <w:t>平方米，项目规划总建筑面积为41841平方米，其中：计容建筑面积32916平方米，不计容建筑面积8925平方米。项目建设内容主要包括新建3栋楼房仓、1个油罐组、1栋物资库、1栋综合服务楼（含教育展示中心）、1栋一站式服务中心及相关工艺设备等，配套建设乌蛇坑涌整治提升、桥梁、围墙、道路广场及绿地等室外工程。</w:t>
      </w:r>
    </w:p>
    <w:p w14:paraId="742BE07E">
      <w:pPr>
        <w:rPr>
          <w:rFonts w:hint="eastAsia" w:ascii="宋体" w:hAnsi="宋体"/>
          <w:color w:val="auto"/>
          <w:highlight w:val="none"/>
        </w:rPr>
      </w:pPr>
      <w:r>
        <w:rPr>
          <w:rFonts w:hint="eastAsia"/>
          <w:color w:val="auto"/>
          <w:highlight w:val="none"/>
        </w:rPr>
        <w:t>项目位于龙洞街道，东临沙河兆联春岗山物流管理中心，南临龙山工业园和广河高速，西邻迎龙路。</w:t>
      </w:r>
    </w:p>
    <w:p w14:paraId="6F078805">
      <w:pPr>
        <w:jc w:val="left"/>
        <w:rPr>
          <w:rFonts w:hint="eastAsia" w:ascii="宋体" w:hAnsi="宋体" w:cs="宋体"/>
          <w:color w:val="auto"/>
          <w:kern w:val="0"/>
          <w:highlight w:val="none"/>
        </w:rPr>
      </w:pPr>
      <w:r>
        <w:rPr>
          <w:color w:val="auto"/>
          <w:highlight w:val="none"/>
        </w:rPr>
        <w:drawing>
          <wp:inline distT="0" distB="0" distL="114300" distR="114300">
            <wp:extent cx="5751830" cy="3885565"/>
            <wp:effectExtent l="0" t="0" r="127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751830" cy="3885565"/>
                    </a:xfrm>
                    <a:prstGeom prst="rect">
                      <a:avLst/>
                    </a:prstGeom>
                    <a:noFill/>
                    <a:ln>
                      <a:noFill/>
                    </a:ln>
                  </pic:spPr>
                </pic:pic>
              </a:graphicData>
            </a:graphic>
          </wp:inline>
        </w:drawing>
      </w:r>
    </w:p>
    <w:p w14:paraId="028FCF5C">
      <w:pPr>
        <w:jc w:val="center"/>
        <w:rPr>
          <w:rFonts w:hint="eastAsia" w:ascii="宋体" w:hAnsi="宋体" w:cs="宋体"/>
          <w:color w:val="auto"/>
          <w:highlight w:val="none"/>
        </w:rPr>
      </w:pPr>
      <w:r>
        <w:rPr>
          <w:rFonts w:hint="eastAsia" w:ascii="宋体" w:hAnsi="宋体" w:cs="宋体"/>
          <w:color w:val="auto"/>
          <w:highlight w:val="none"/>
        </w:rPr>
        <w:t>图1.1 建设用地规划红线图</w:t>
      </w:r>
    </w:p>
    <w:p w14:paraId="33932E0B">
      <w:pPr>
        <w:pStyle w:val="5"/>
        <w:spacing w:before="156" w:after="156"/>
        <w:rPr>
          <w:color w:val="auto"/>
          <w:highlight w:val="none"/>
        </w:rPr>
      </w:pPr>
      <w:bookmarkStart w:id="97" w:name="_Toc16191"/>
      <w:bookmarkStart w:id="98" w:name="_Toc23665"/>
      <w:bookmarkStart w:id="99" w:name="_Toc775"/>
      <w:bookmarkStart w:id="100" w:name="_Toc7850"/>
      <w:bookmarkStart w:id="101" w:name="_Toc26754"/>
      <w:bookmarkStart w:id="102" w:name="_Toc23501"/>
      <w:r>
        <w:rPr>
          <w:rFonts w:hint="eastAsia"/>
          <w:color w:val="auto"/>
          <w:highlight w:val="none"/>
        </w:rPr>
        <w:t>1.2.2项目勘察设计范围</w:t>
      </w:r>
      <w:bookmarkEnd w:id="97"/>
      <w:bookmarkEnd w:id="98"/>
      <w:bookmarkEnd w:id="99"/>
      <w:bookmarkEnd w:id="100"/>
      <w:bookmarkEnd w:id="101"/>
      <w:bookmarkEnd w:id="102"/>
    </w:p>
    <w:p w14:paraId="5B5E722A">
      <w:pPr>
        <w:rPr>
          <w:color w:val="auto"/>
          <w:highlight w:val="none"/>
        </w:rPr>
      </w:pPr>
      <w:r>
        <w:rPr>
          <w:rFonts w:hint="eastAsia"/>
          <w:color w:val="auto"/>
          <w:highlight w:val="none"/>
          <w:lang w:val="en-US" w:eastAsia="zh-CN"/>
        </w:rPr>
        <w:t>本项目勘察范围包括用地红线内及红线外（管线、水利工程相关）所涉及建设内容的全部勘察工作，勘察范围可能根据项目实际情况调整</w:t>
      </w:r>
      <w:r>
        <w:rPr>
          <w:rFonts w:hint="eastAsia"/>
          <w:color w:val="auto"/>
          <w:highlight w:val="none"/>
        </w:rPr>
        <w:t>。</w:t>
      </w:r>
    </w:p>
    <w:p w14:paraId="4B17659B">
      <w:pPr>
        <w:rPr>
          <w:color w:val="auto"/>
          <w:highlight w:val="none"/>
        </w:rPr>
        <w:sectPr>
          <w:footerReference r:id="rId12" w:type="first"/>
          <w:headerReference r:id="rId10" w:type="default"/>
          <w:footerReference r:id="rId11" w:type="default"/>
          <w:footnotePr>
            <w:numRestart w:val="eachPage"/>
          </w:footnotePr>
          <w:pgSz w:w="11906" w:h="16838"/>
          <w:pgMar w:top="1418" w:right="1418" w:bottom="1417" w:left="1418" w:header="851" w:footer="992" w:gutter="0"/>
          <w:cols w:space="720" w:num="1"/>
          <w:titlePg/>
          <w:docGrid w:type="lines" w:linePitch="312" w:charSpace="0"/>
        </w:sectPr>
      </w:pPr>
      <w:r>
        <w:rPr>
          <w:rFonts w:hint="eastAsia"/>
          <w:color w:val="auto"/>
          <w:highlight w:val="none"/>
          <w:lang w:eastAsia="zh-CN"/>
        </w:rPr>
        <w:t>本项目的设计范围包括（但不限于）</w:t>
      </w:r>
      <w:r>
        <w:rPr>
          <w:rFonts w:hint="eastAsia"/>
          <w:color w:val="auto"/>
          <w:highlight w:val="none"/>
          <w:lang w:val="en-US" w:eastAsia="zh-CN"/>
        </w:rPr>
        <w:t>用地红线内（不含水利工程相关）及红线外（管线）所涉及建设内容的全部设计工作。</w:t>
      </w:r>
      <w:r>
        <w:rPr>
          <w:rFonts w:hint="eastAsia"/>
          <w:color w:val="auto"/>
          <w:highlight w:val="none"/>
          <w:lang w:eastAsia="zh-CN"/>
        </w:rPr>
        <w:t>具体设计范围及内容，可以根据项目实际情况调整</w:t>
      </w:r>
      <w:r>
        <w:rPr>
          <w:rFonts w:hint="eastAsia"/>
          <w:color w:val="auto"/>
          <w:highlight w:val="none"/>
        </w:rPr>
        <w:t>。</w:t>
      </w:r>
    </w:p>
    <w:p w14:paraId="1878B6BA">
      <w:pPr>
        <w:pStyle w:val="4"/>
        <w:spacing w:before="156" w:after="156"/>
        <w:rPr>
          <w:color w:val="auto"/>
          <w:highlight w:val="none"/>
        </w:rPr>
      </w:pPr>
      <w:bookmarkStart w:id="103" w:name="_Toc452973690"/>
      <w:bookmarkStart w:id="104" w:name="_Toc5095"/>
      <w:bookmarkStart w:id="105" w:name="_Toc12905"/>
      <w:bookmarkStart w:id="106" w:name="_Toc29981"/>
      <w:bookmarkStart w:id="107" w:name="_Toc2373"/>
      <w:bookmarkStart w:id="108" w:name="_Toc452558095"/>
      <w:bookmarkStart w:id="109" w:name="_Toc24926"/>
      <w:bookmarkStart w:id="110" w:name="_Toc18114"/>
      <w:bookmarkStart w:id="111" w:name="_Toc30182"/>
      <w:bookmarkStart w:id="112" w:name="_Toc452558306"/>
      <w:bookmarkStart w:id="113" w:name="_Toc22387"/>
      <w:bookmarkStart w:id="114" w:name="_Toc30697_WPSOffice_Level2"/>
      <w:r>
        <w:rPr>
          <w:rFonts w:hint="eastAsia"/>
          <w:color w:val="auto"/>
          <w:highlight w:val="none"/>
        </w:rPr>
        <w:t>1.3建设用地现状情况</w:t>
      </w:r>
      <w:bookmarkEnd w:id="103"/>
      <w:bookmarkEnd w:id="104"/>
      <w:bookmarkEnd w:id="105"/>
      <w:bookmarkEnd w:id="106"/>
      <w:bookmarkEnd w:id="107"/>
      <w:bookmarkEnd w:id="108"/>
      <w:bookmarkEnd w:id="109"/>
      <w:bookmarkEnd w:id="110"/>
      <w:bookmarkEnd w:id="111"/>
      <w:bookmarkEnd w:id="112"/>
      <w:bookmarkEnd w:id="113"/>
      <w:bookmarkEnd w:id="114"/>
    </w:p>
    <w:p w14:paraId="66524BBB">
      <w:pPr>
        <w:pStyle w:val="5"/>
        <w:spacing w:before="156" w:after="156"/>
        <w:rPr>
          <w:color w:val="auto"/>
          <w:highlight w:val="none"/>
        </w:rPr>
      </w:pPr>
      <w:bookmarkStart w:id="115" w:name="_Toc452973691"/>
      <w:bookmarkStart w:id="116" w:name="_Toc415840329"/>
      <w:bookmarkStart w:id="117" w:name="_Toc452558307"/>
      <w:bookmarkStart w:id="118" w:name="_Toc20690"/>
      <w:bookmarkStart w:id="119" w:name="_Toc20814"/>
      <w:bookmarkStart w:id="120" w:name="_Toc9294"/>
      <w:r>
        <w:rPr>
          <w:rFonts w:hint="eastAsia"/>
          <w:color w:val="auto"/>
          <w:highlight w:val="none"/>
        </w:rPr>
        <w:t>1.3.1场地条件</w:t>
      </w:r>
      <w:bookmarkEnd w:id="115"/>
      <w:bookmarkEnd w:id="116"/>
      <w:bookmarkEnd w:id="117"/>
      <w:bookmarkEnd w:id="118"/>
      <w:bookmarkEnd w:id="119"/>
      <w:bookmarkEnd w:id="120"/>
    </w:p>
    <w:p w14:paraId="72B9E4DB">
      <w:pPr>
        <w:rPr>
          <w:color w:val="auto"/>
          <w:highlight w:val="none"/>
        </w:rPr>
      </w:pPr>
      <w:bookmarkStart w:id="121" w:name="_Toc415840330"/>
      <w:r>
        <w:rPr>
          <w:rFonts w:hint="eastAsia"/>
          <w:color w:val="auto"/>
          <w:highlight w:val="none"/>
        </w:rPr>
        <w:t>项目位于龙洞街道，项目东临沙河兆联春岗山物流管理中心，南临龙山工业园和广河高速，西邻迎龙路。如下图1.2所示。</w:t>
      </w:r>
    </w:p>
    <w:tbl>
      <w:tblPr>
        <w:tblStyle w:val="19"/>
        <w:tblW w:w="0" w:type="auto"/>
        <w:jc w:val="center"/>
        <w:tblLayout w:type="fixed"/>
        <w:tblCellMar>
          <w:top w:w="0" w:type="dxa"/>
          <w:left w:w="108" w:type="dxa"/>
          <w:bottom w:w="0" w:type="dxa"/>
          <w:right w:w="108" w:type="dxa"/>
        </w:tblCellMar>
      </w:tblPr>
      <w:tblGrid>
        <w:gridCol w:w="8522"/>
      </w:tblGrid>
      <w:tr w14:paraId="3BDCF820">
        <w:tblPrEx>
          <w:tblCellMar>
            <w:top w:w="0" w:type="dxa"/>
            <w:left w:w="108" w:type="dxa"/>
            <w:bottom w:w="0" w:type="dxa"/>
            <w:right w:w="108" w:type="dxa"/>
          </w:tblCellMar>
        </w:tblPrEx>
        <w:trPr>
          <w:jc w:val="center"/>
        </w:trPr>
        <w:tc>
          <w:tcPr>
            <w:tcW w:w="8522" w:type="dxa"/>
          </w:tcPr>
          <w:p w14:paraId="67B0F462">
            <w:pPr>
              <w:spacing w:line="0" w:lineRule="atLeast"/>
              <w:rPr>
                <w:color w:val="auto"/>
                <w:highlight w:val="none"/>
              </w:rPr>
            </w:pPr>
            <w:r>
              <w:rPr>
                <w:rFonts w:hint="eastAsia"/>
                <w:color w:val="auto"/>
                <w:highlight w:val="none"/>
              </w:rPr>
              <w:drawing>
                <wp:inline distT="0" distB="0" distL="114300" distR="114300">
                  <wp:extent cx="5257800" cy="3479800"/>
                  <wp:effectExtent l="0" t="0" r="0" b="6350"/>
                  <wp:docPr id="3" name="图片 3" descr="G:\天河区\202306广州天河区粮仓项目\报告\附图\区位2.jpg区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天河区\202306广州天河区粮仓项目\报告\附图\区位2.jpg区位2"/>
                          <pic:cNvPicPr>
                            <a:picLocks noChangeAspect="1"/>
                          </pic:cNvPicPr>
                        </pic:nvPicPr>
                        <pic:blipFill>
                          <a:blip r:embed="rId19"/>
                          <a:srcRect/>
                          <a:stretch>
                            <a:fillRect/>
                          </a:stretch>
                        </pic:blipFill>
                        <pic:spPr>
                          <a:xfrm>
                            <a:off x="0" y="0"/>
                            <a:ext cx="5257800" cy="3479800"/>
                          </a:xfrm>
                          <a:prstGeom prst="rect">
                            <a:avLst/>
                          </a:prstGeom>
                        </pic:spPr>
                      </pic:pic>
                    </a:graphicData>
                  </a:graphic>
                </wp:inline>
              </w:drawing>
            </w:r>
          </w:p>
        </w:tc>
      </w:tr>
      <w:tr w14:paraId="686F4BF7">
        <w:tblPrEx>
          <w:tblCellMar>
            <w:top w:w="0" w:type="dxa"/>
            <w:left w:w="108" w:type="dxa"/>
            <w:bottom w:w="0" w:type="dxa"/>
            <w:right w:w="108" w:type="dxa"/>
          </w:tblCellMar>
        </w:tblPrEx>
        <w:trPr>
          <w:jc w:val="center"/>
        </w:trPr>
        <w:tc>
          <w:tcPr>
            <w:tcW w:w="8522" w:type="dxa"/>
          </w:tcPr>
          <w:p w14:paraId="228109CC">
            <w:pPr>
              <w:pStyle w:val="43"/>
              <w:rPr>
                <w:color w:val="auto"/>
                <w:highlight w:val="none"/>
              </w:rPr>
            </w:pPr>
            <w:r>
              <w:rPr>
                <w:color w:val="auto"/>
                <w:highlight w:val="none"/>
              </w:rPr>
              <w:t>图</w:t>
            </w:r>
            <w:r>
              <w:rPr>
                <w:rFonts w:hint="eastAsia"/>
                <w:color w:val="auto"/>
                <w:highlight w:val="none"/>
              </w:rPr>
              <w:t>1.2</w:t>
            </w:r>
            <w:r>
              <w:rPr>
                <w:color w:val="auto"/>
                <w:highlight w:val="none"/>
              </w:rPr>
              <w:t xml:space="preserve">  项目建设地点</w:t>
            </w:r>
            <w:r>
              <w:rPr>
                <w:rFonts w:hint="eastAsia"/>
                <w:color w:val="auto"/>
                <w:highlight w:val="none"/>
              </w:rPr>
              <w:t>示意图</w:t>
            </w:r>
          </w:p>
        </w:tc>
      </w:tr>
    </w:tbl>
    <w:p w14:paraId="6E8E6B56">
      <w:pPr>
        <w:pStyle w:val="5"/>
        <w:spacing w:before="156" w:after="156"/>
        <w:rPr>
          <w:color w:val="auto"/>
          <w:highlight w:val="none"/>
        </w:rPr>
      </w:pPr>
      <w:bookmarkStart w:id="122" w:name="_Toc26967"/>
      <w:bookmarkStart w:id="123" w:name="_Toc23408"/>
      <w:r>
        <w:rPr>
          <w:rFonts w:hint="eastAsia"/>
          <w:color w:val="auto"/>
          <w:highlight w:val="none"/>
        </w:rPr>
        <w:t>1.3.2  场址现状及权属</w:t>
      </w:r>
      <w:bookmarkEnd w:id="122"/>
      <w:bookmarkEnd w:id="123"/>
    </w:p>
    <w:p w14:paraId="6BC337D6">
      <w:pPr>
        <w:rPr>
          <w:color w:val="auto"/>
          <w:highlight w:val="none"/>
        </w:rPr>
      </w:pPr>
      <w:r>
        <w:rPr>
          <w:rFonts w:hint="eastAsia"/>
          <w:color w:val="auto"/>
          <w:highlight w:val="none"/>
        </w:rPr>
        <w:t>1、场址现状</w:t>
      </w:r>
    </w:p>
    <w:p w14:paraId="252859E8">
      <w:pPr>
        <w:pStyle w:val="2"/>
        <w:rPr>
          <w:color w:val="auto"/>
          <w:highlight w:val="none"/>
        </w:rPr>
      </w:pPr>
      <w:bookmarkStart w:id="124" w:name="_Toc21487"/>
      <w:r>
        <w:rPr>
          <w:rFonts w:hint="eastAsia"/>
          <w:color w:val="auto"/>
          <w:highlight w:val="none"/>
        </w:rPr>
        <w:t>项目用地被一条乌蛇坑涌分为东西两部分，西高东低，高差约为5米，河涌西侧为龙洞村物业，有公交站、餐饮、修车厂等，建筑层数1-2层，多为砖混结构或临时建筑，场地内植被丰富，主要有灌木和乔木。东侧为沙河兆联公司的物流仓库，现状为单层厂房，厂房为砖混结构或临时建筑。详见图1.3.</w:t>
      </w:r>
    </w:p>
    <w:p w14:paraId="7C49A3EA">
      <w:pPr>
        <w:rPr>
          <w:color w:val="auto"/>
          <w:highlight w:val="none"/>
        </w:rPr>
      </w:pPr>
      <w:r>
        <w:rPr>
          <w:rFonts w:hint="eastAsia"/>
          <w:color w:val="auto"/>
          <w:highlight w:val="none"/>
        </w:rPr>
        <w:t>项目用地总占地面积61.31亩，现有权属分别为龙洞村集体用地、广州市沙河兆联经济发展有限公司，其中龙洞村集体用地21.37亩，广州市沙河兆联经济发展有限公司所属用地39.94亩，项目地块现有用地权属如图1.4。</w:t>
      </w:r>
    </w:p>
    <w:bookmarkEnd w:id="124"/>
    <w:p w14:paraId="5A8E143C">
      <w:pPr>
        <w:pStyle w:val="2"/>
        <w:rPr>
          <w:color w:val="auto"/>
          <w:highlight w:val="none"/>
        </w:rPr>
      </w:pPr>
    </w:p>
    <w:tbl>
      <w:tblPr>
        <w:tblStyle w:val="19"/>
        <w:tblW w:w="0" w:type="auto"/>
        <w:jc w:val="center"/>
        <w:tblLayout w:type="fixed"/>
        <w:tblCellMar>
          <w:top w:w="0" w:type="dxa"/>
          <w:left w:w="108" w:type="dxa"/>
          <w:bottom w:w="0" w:type="dxa"/>
          <w:right w:w="108" w:type="dxa"/>
        </w:tblCellMar>
      </w:tblPr>
      <w:tblGrid>
        <w:gridCol w:w="8522"/>
      </w:tblGrid>
      <w:tr w14:paraId="1DE54F5F">
        <w:tblPrEx>
          <w:tblCellMar>
            <w:top w:w="0" w:type="dxa"/>
            <w:left w:w="108" w:type="dxa"/>
            <w:bottom w:w="0" w:type="dxa"/>
            <w:right w:w="108" w:type="dxa"/>
          </w:tblCellMar>
        </w:tblPrEx>
        <w:trPr>
          <w:jc w:val="center"/>
        </w:trPr>
        <w:tc>
          <w:tcPr>
            <w:tcW w:w="8522" w:type="dxa"/>
          </w:tcPr>
          <w:p w14:paraId="005B86E1">
            <w:pPr>
              <w:pStyle w:val="43"/>
              <w:rPr>
                <w:color w:val="auto"/>
                <w:highlight w:val="none"/>
              </w:rPr>
            </w:pPr>
            <w:r>
              <w:rPr>
                <w:color w:val="auto"/>
                <w:highlight w:val="none"/>
              </w:rPr>
              <w:drawing>
                <wp:inline distT="0" distB="0" distL="114300" distR="114300">
                  <wp:extent cx="5264785" cy="3459480"/>
                  <wp:effectExtent l="0" t="0" r="12065" b="7620"/>
                  <wp:docPr id="27" name="图片 27" descr="项目现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项目现状"/>
                          <pic:cNvPicPr>
                            <a:picLocks noChangeAspect="1"/>
                          </pic:cNvPicPr>
                        </pic:nvPicPr>
                        <pic:blipFill>
                          <a:blip r:embed="rId20"/>
                          <a:stretch>
                            <a:fillRect/>
                          </a:stretch>
                        </pic:blipFill>
                        <pic:spPr>
                          <a:xfrm>
                            <a:off x="0" y="0"/>
                            <a:ext cx="5264785" cy="3459480"/>
                          </a:xfrm>
                          <a:prstGeom prst="rect">
                            <a:avLst/>
                          </a:prstGeom>
                        </pic:spPr>
                      </pic:pic>
                    </a:graphicData>
                  </a:graphic>
                </wp:inline>
              </w:drawing>
            </w:r>
          </w:p>
          <w:p w14:paraId="0D4ACCC0">
            <w:pPr>
              <w:jc w:val="center"/>
              <w:rPr>
                <w:rFonts w:hint="eastAsia" w:ascii="黑体" w:hAnsi="黑体" w:eastAsia="黑体"/>
                <w:color w:val="auto"/>
                <w:highlight w:val="none"/>
              </w:rPr>
            </w:pPr>
            <w:r>
              <w:rPr>
                <w:color w:val="auto"/>
                <w:highlight w:val="none"/>
              </w:rPr>
              <w:t>图</w:t>
            </w:r>
            <w:r>
              <w:rPr>
                <w:rFonts w:hint="eastAsia"/>
                <w:color w:val="auto"/>
                <w:highlight w:val="none"/>
              </w:rPr>
              <w:t>1.3  拟建项目地块范围图</w:t>
            </w:r>
          </w:p>
          <w:p w14:paraId="710D799E">
            <w:pPr>
              <w:pStyle w:val="43"/>
              <w:rPr>
                <w:color w:val="auto"/>
                <w:highlight w:val="none"/>
              </w:rPr>
            </w:pPr>
          </w:p>
          <w:p w14:paraId="5E0D64FC">
            <w:pPr>
              <w:pStyle w:val="43"/>
              <w:rPr>
                <w:color w:val="auto"/>
                <w:highlight w:val="none"/>
              </w:rPr>
            </w:pPr>
            <w:r>
              <w:rPr>
                <w:color w:val="auto"/>
                <w:highlight w:val="none"/>
              </w:rPr>
              <w:drawing>
                <wp:inline distT="0" distB="0" distL="114300" distR="114300">
                  <wp:extent cx="4069080" cy="4251960"/>
                  <wp:effectExtent l="0" t="0" r="7620" b="1524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1"/>
                          <a:stretch>
                            <a:fillRect/>
                          </a:stretch>
                        </pic:blipFill>
                        <pic:spPr>
                          <a:xfrm>
                            <a:off x="0" y="0"/>
                            <a:ext cx="4069080" cy="4251960"/>
                          </a:xfrm>
                          <a:prstGeom prst="rect">
                            <a:avLst/>
                          </a:prstGeom>
                          <a:noFill/>
                          <a:ln>
                            <a:noFill/>
                          </a:ln>
                        </pic:spPr>
                      </pic:pic>
                    </a:graphicData>
                  </a:graphic>
                </wp:inline>
              </w:drawing>
            </w:r>
          </w:p>
          <w:p w14:paraId="0706F003">
            <w:pPr>
              <w:pStyle w:val="43"/>
              <w:rPr>
                <w:rFonts w:hint="eastAsia" w:ascii="黑体" w:hAnsi="黑体" w:eastAsia="黑体"/>
                <w:color w:val="auto"/>
                <w:highlight w:val="none"/>
              </w:rPr>
            </w:pPr>
            <w:r>
              <w:rPr>
                <w:color w:val="auto"/>
                <w:highlight w:val="none"/>
              </w:rPr>
              <w:t>图</w:t>
            </w:r>
            <w:r>
              <w:rPr>
                <w:rFonts w:hint="eastAsia"/>
                <w:color w:val="auto"/>
                <w:highlight w:val="none"/>
              </w:rPr>
              <w:t>1.4  拟建项目地块土地权属</w:t>
            </w:r>
          </w:p>
          <w:p w14:paraId="04A12C98">
            <w:pPr>
              <w:pStyle w:val="43"/>
              <w:rPr>
                <w:color w:val="auto"/>
                <w:highlight w:val="none"/>
              </w:rPr>
            </w:pPr>
            <w:r>
              <w:rPr>
                <w:color w:val="auto"/>
                <w:highlight w:val="none"/>
              </w:rPr>
              <w:drawing>
                <wp:inline distT="0" distB="0" distL="114300" distR="114300">
                  <wp:extent cx="5269230" cy="3897630"/>
                  <wp:effectExtent l="0" t="0" r="7620"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2"/>
                          <a:stretch>
                            <a:fillRect/>
                          </a:stretch>
                        </pic:blipFill>
                        <pic:spPr>
                          <a:xfrm>
                            <a:off x="0" y="0"/>
                            <a:ext cx="5269230" cy="3897630"/>
                          </a:xfrm>
                          <a:prstGeom prst="rect">
                            <a:avLst/>
                          </a:prstGeom>
                          <a:noFill/>
                          <a:ln>
                            <a:noFill/>
                          </a:ln>
                        </pic:spPr>
                      </pic:pic>
                    </a:graphicData>
                  </a:graphic>
                </wp:inline>
              </w:drawing>
            </w:r>
          </w:p>
          <w:p w14:paraId="72ECF1FD">
            <w:pPr>
              <w:jc w:val="center"/>
              <w:rPr>
                <w:color w:val="auto"/>
                <w:highlight w:val="none"/>
              </w:rPr>
            </w:pPr>
            <w:r>
              <w:rPr>
                <w:rFonts w:hint="eastAsia"/>
                <w:color w:val="auto"/>
                <w:highlight w:val="none"/>
              </w:rPr>
              <w:t>图1.5  项目地块现状</w:t>
            </w:r>
          </w:p>
        </w:tc>
      </w:tr>
    </w:tbl>
    <w:p w14:paraId="3176BCEA">
      <w:pPr>
        <w:rPr>
          <w:color w:val="auto"/>
          <w:highlight w:val="none"/>
        </w:rPr>
      </w:pPr>
      <w:r>
        <w:rPr>
          <w:rFonts w:hint="eastAsia"/>
          <w:color w:val="auto"/>
          <w:highlight w:val="none"/>
        </w:rPr>
        <w:t>2、权属以及规划条件</w:t>
      </w:r>
    </w:p>
    <w:p w14:paraId="65F03BEA">
      <w:pPr>
        <w:rPr>
          <w:color w:val="auto"/>
          <w:highlight w:val="none"/>
        </w:rPr>
      </w:pPr>
      <w:bookmarkStart w:id="125" w:name="_Toc11833"/>
      <w:r>
        <w:rPr>
          <w:rFonts w:hint="eastAsia"/>
          <w:color w:val="auto"/>
          <w:highlight w:val="none"/>
        </w:rPr>
        <w:t>本项目权属为广州市天河区粮食和物资储备管理中心。项目规划总用地面积42535.22平方米，</w:t>
      </w:r>
      <w:r>
        <w:rPr>
          <w:rFonts w:hint="eastAsia" w:ascii="宋体" w:hAnsi="宋体"/>
          <w:color w:val="auto"/>
          <w:sz w:val="24"/>
          <w:highlight w:val="none"/>
          <w:u w:val="single"/>
        </w:rPr>
        <w:t>其中可建设用地面积32828.51平方米，道路用地面积7840.6</w:t>
      </w:r>
      <w:r>
        <w:rPr>
          <w:rFonts w:hint="eastAsia" w:ascii="宋体" w:hAnsi="宋体"/>
          <w:color w:val="auto"/>
          <w:sz w:val="24"/>
          <w:highlight w:val="none"/>
          <w:u w:val="single"/>
          <w:lang w:val="en-US" w:eastAsia="zh-CN"/>
        </w:rPr>
        <w:t>1</w:t>
      </w:r>
      <w:r>
        <w:rPr>
          <w:rFonts w:hint="eastAsia" w:ascii="宋体" w:hAnsi="宋体"/>
          <w:color w:val="auto"/>
          <w:sz w:val="24"/>
          <w:highlight w:val="none"/>
          <w:u w:val="single"/>
        </w:rPr>
        <w:t>平方米，河涌水域面积1866.</w:t>
      </w:r>
      <w:r>
        <w:rPr>
          <w:rFonts w:hint="eastAsia" w:ascii="宋体" w:hAnsi="宋体"/>
          <w:color w:val="auto"/>
          <w:sz w:val="24"/>
          <w:highlight w:val="none"/>
          <w:u w:val="single"/>
          <w:lang w:val="en-US" w:eastAsia="zh-CN"/>
        </w:rPr>
        <w:t>10</w:t>
      </w:r>
      <w:r>
        <w:rPr>
          <w:rFonts w:hint="eastAsia" w:ascii="宋体" w:hAnsi="宋体"/>
          <w:color w:val="auto"/>
          <w:sz w:val="24"/>
          <w:highlight w:val="none"/>
          <w:u w:val="single"/>
        </w:rPr>
        <w:t>平方米。其中AT0103003地块用地性质为一类物流仓储用地(W1)，</w:t>
      </w:r>
      <w:r>
        <w:rPr>
          <w:rFonts w:hint="eastAsia" w:ascii="宋体" w:hAnsi="宋体"/>
          <w:color w:val="auto"/>
          <w:sz w:val="24"/>
          <w:highlight w:val="none"/>
          <w:u w:val="single"/>
          <w:lang w:eastAsia="zh-CN"/>
        </w:rPr>
        <w:t>地上</w:t>
      </w:r>
      <w:r>
        <w:rPr>
          <w:rFonts w:hint="eastAsia" w:ascii="宋体" w:hAnsi="宋体"/>
          <w:color w:val="auto"/>
          <w:sz w:val="24"/>
          <w:highlight w:val="none"/>
          <w:u w:val="single"/>
        </w:rPr>
        <w:t>容积率≤1.</w:t>
      </w:r>
      <w:r>
        <w:rPr>
          <w:rFonts w:hint="eastAsia" w:ascii="宋体" w:hAnsi="宋体"/>
          <w:color w:val="auto"/>
          <w:sz w:val="24"/>
          <w:highlight w:val="none"/>
          <w:u w:val="single"/>
          <w:lang w:val="en-US" w:eastAsia="zh-CN"/>
        </w:rPr>
        <w:t>0</w:t>
      </w:r>
      <w:r>
        <w:rPr>
          <w:rFonts w:hint="eastAsia" w:ascii="宋体" w:hAnsi="宋体"/>
          <w:color w:val="auto"/>
          <w:sz w:val="24"/>
          <w:highlight w:val="none"/>
          <w:u w:val="single"/>
        </w:rPr>
        <w:t>，计容建筑面积≤</w:t>
      </w:r>
      <w:r>
        <w:rPr>
          <w:rFonts w:hint="eastAsia"/>
          <w:color w:val="auto"/>
          <w:highlight w:val="none"/>
          <w:u w:val="single"/>
          <w:lang w:eastAsia="zh-CN"/>
        </w:rPr>
        <w:t>32916</w:t>
      </w:r>
      <w:r>
        <w:rPr>
          <w:rFonts w:hint="eastAsia" w:ascii="宋体" w:hAnsi="宋体"/>
          <w:color w:val="auto"/>
          <w:sz w:val="24"/>
          <w:highlight w:val="none"/>
          <w:u w:val="single"/>
        </w:rPr>
        <w:t xml:space="preserve"> 平方米，建筑密度≤60%，绿地率≥20%，建筑限高60米</w:t>
      </w:r>
      <w:r>
        <w:rPr>
          <w:rFonts w:hint="eastAsia"/>
          <w:color w:val="auto"/>
          <w:highlight w:val="none"/>
          <w:u w:val="single"/>
        </w:rPr>
        <w:t>（需满足岑村机场净空控制要求）</w:t>
      </w:r>
      <w:r>
        <w:rPr>
          <w:rFonts w:hint="eastAsia"/>
          <w:color w:val="auto"/>
          <w:highlight w:val="none"/>
        </w:rPr>
        <w:t>。</w:t>
      </w:r>
    </w:p>
    <w:p w14:paraId="0C0DCF8D">
      <w:pPr>
        <w:pStyle w:val="2"/>
        <w:rPr>
          <w:color w:val="auto"/>
          <w:highlight w:val="none"/>
        </w:rPr>
      </w:pPr>
    </w:p>
    <w:bookmarkEnd w:id="125"/>
    <w:p w14:paraId="2157817D">
      <w:pPr>
        <w:rPr>
          <w:color w:val="auto"/>
          <w:highlight w:val="none"/>
        </w:rPr>
      </w:pPr>
      <w:r>
        <w:rPr>
          <w:rFonts w:hint="eastAsia"/>
          <w:color w:val="auto"/>
          <w:highlight w:val="none"/>
        </w:rPr>
        <w:t xml:space="preserve"> </w:t>
      </w:r>
    </w:p>
    <w:p w14:paraId="4947A47F">
      <w:pPr>
        <w:pStyle w:val="17"/>
        <w:ind w:left="480" w:firstLine="420"/>
        <w:rPr>
          <w:color w:val="auto"/>
          <w:highlight w:val="none"/>
        </w:rPr>
      </w:pPr>
    </w:p>
    <w:tbl>
      <w:tblPr>
        <w:tblStyle w:val="19"/>
        <w:tblW w:w="0" w:type="auto"/>
        <w:jc w:val="center"/>
        <w:tblLayout w:type="fixed"/>
        <w:tblCellMar>
          <w:top w:w="0" w:type="dxa"/>
          <w:left w:w="108" w:type="dxa"/>
          <w:bottom w:w="0" w:type="dxa"/>
          <w:right w:w="108" w:type="dxa"/>
        </w:tblCellMar>
      </w:tblPr>
      <w:tblGrid>
        <w:gridCol w:w="9446"/>
      </w:tblGrid>
      <w:tr w14:paraId="36F3FE98">
        <w:tblPrEx>
          <w:tblCellMar>
            <w:top w:w="0" w:type="dxa"/>
            <w:left w:w="108" w:type="dxa"/>
            <w:bottom w:w="0" w:type="dxa"/>
            <w:right w:w="108" w:type="dxa"/>
          </w:tblCellMar>
        </w:tblPrEx>
        <w:trPr>
          <w:jc w:val="center"/>
        </w:trPr>
        <w:tc>
          <w:tcPr>
            <w:tcW w:w="9446" w:type="dxa"/>
          </w:tcPr>
          <w:p w14:paraId="2EB71862">
            <w:pPr>
              <w:pStyle w:val="8"/>
              <w:ind w:left="0" w:leftChars="0"/>
              <w:jc w:val="center"/>
              <w:rPr>
                <w:color w:val="auto"/>
                <w:highlight w:val="none"/>
              </w:rPr>
            </w:pPr>
            <w:r>
              <w:rPr>
                <w:color w:val="auto"/>
                <w:highlight w:val="none"/>
              </w:rPr>
              <w:drawing>
                <wp:inline distT="0" distB="0" distL="114300" distR="114300">
                  <wp:extent cx="4010025" cy="3209925"/>
                  <wp:effectExtent l="0" t="0" r="9525" b="952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3"/>
                          <a:stretch>
                            <a:fillRect/>
                          </a:stretch>
                        </pic:blipFill>
                        <pic:spPr>
                          <a:xfrm>
                            <a:off x="0" y="0"/>
                            <a:ext cx="4010025" cy="3209925"/>
                          </a:xfrm>
                          <a:prstGeom prst="rect">
                            <a:avLst/>
                          </a:prstGeom>
                          <a:noFill/>
                          <a:ln>
                            <a:noFill/>
                          </a:ln>
                        </pic:spPr>
                      </pic:pic>
                    </a:graphicData>
                  </a:graphic>
                </wp:inline>
              </w:drawing>
            </w:r>
          </w:p>
        </w:tc>
      </w:tr>
      <w:tr w14:paraId="7D4F5CB9">
        <w:tblPrEx>
          <w:tblCellMar>
            <w:top w:w="0" w:type="dxa"/>
            <w:left w:w="108" w:type="dxa"/>
            <w:bottom w:w="0" w:type="dxa"/>
            <w:right w:w="108" w:type="dxa"/>
          </w:tblCellMar>
        </w:tblPrEx>
        <w:trPr>
          <w:jc w:val="center"/>
        </w:trPr>
        <w:tc>
          <w:tcPr>
            <w:tcW w:w="9446" w:type="dxa"/>
          </w:tcPr>
          <w:p w14:paraId="59874087">
            <w:pPr>
              <w:ind w:firstLine="0" w:firstLineChars="0"/>
              <w:jc w:val="center"/>
              <w:rPr>
                <w:color w:val="auto"/>
                <w:highlight w:val="none"/>
              </w:rPr>
            </w:pPr>
            <w:r>
              <w:rPr>
                <w:rFonts w:hint="eastAsia"/>
                <w:color w:val="auto"/>
                <w:highlight w:val="none"/>
              </w:rPr>
              <w:t>图1.6  项目用地规划拟调整方案</w:t>
            </w:r>
          </w:p>
        </w:tc>
      </w:tr>
      <w:tr w14:paraId="07B6F0C8">
        <w:tblPrEx>
          <w:tblCellMar>
            <w:top w:w="0" w:type="dxa"/>
            <w:left w:w="108" w:type="dxa"/>
            <w:bottom w:w="0" w:type="dxa"/>
            <w:right w:w="108" w:type="dxa"/>
          </w:tblCellMar>
        </w:tblPrEx>
        <w:trPr>
          <w:jc w:val="center"/>
        </w:trPr>
        <w:tc>
          <w:tcPr>
            <w:tcW w:w="9446" w:type="dxa"/>
          </w:tcPr>
          <w:tbl>
            <w:tblPr>
              <w:tblStyle w:val="19"/>
              <w:tblW w:w="0" w:type="auto"/>
              <w:jc w:val="center"/>
              <w:tblLayout w:type="fixed"/>
              <w:tblCellMar>
                <w:top w:w="0" w:type="dxa"/>
                <w:left w:w="108" w:type="dxa"/>
                <w:bottom w:w="0" w:type="dxa"/>
                <w:right w:w="108" w:type="dxa"/>
              </w:tblCellMar>
            </w:tblPr>
            <w:tblGrid>
              <w:gridCol w:w="9446"/>
            </w:tblGrid>
            <w:tr w14:paraId="2BE4841E">
              <w:tblPrEx>
                <w:tblCellMar>
                  <w:top w:w="0" w:type="dxa"/>
                  <w:left w:w="108" w:type="dxa"/>
                  <w:bottom w:w="0" w:type="dxa"/>
                  <w:right w:w="108" w:type="dxa"/>
                </w:tblCellMar>
              </w:tblPrEx>
              <w:trPr>
                <w:jc w:val="center"/>
              </w:trPr>
              <w:tc>
                <w:tcPr>
                  <w:tcW w:w="9446" w:type="dxa"/>
                  <w:noWrap w:val="0"/>
                  <w:vAlign w:val="top"/>
                </w:tcPr>
                <w:p w14:paraId="42CC6139">
                  <w:pPr>
                    <w:pStyle w:val="43"/>
                    <w:bidi w:val="0"/>
                    <w:rPr>
                      <w:color w:val="auto"/>
                      <w:highlight w:val="none"/>
                    </w:rPr>
                  </w:pPr>
                  <w:r>
                    <w:rPr>
                      <w:color w:val="auto"/>
                      <w:highlight w:val="none"/>
                    </w:rPr>
                    <w:drawing>
                      <wp:inline distT="0" distB="0" distL="114300" distR="114300">
                        <wp:extent cx="5860415" cy="4072890"/>
                        <wp:effectExtent l="0" t="0" r="6985" b="381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4"/>
                                <a:stretch>
                                  <a:fillRect/>
                                </a:stretch>
                              </pic:blipFill>
                              <pic:spPr>
                                <a:xfrm>
                                  <a:off x="0" y="0"/>
                                  <a:ext cx="5860415" cy="4072890"/>
                                </a:xfrm>
                                <a:prstGeom prst="rect">
                                  <a:avLst/>
                                </a:prstGeom>
                                <a:noFill/>
                                <a:ln>
                                  <a:noFill/>
                                </a:ln>
                              </pic:spPr>
                            </pic:pic>
                          </a:graphicData>
                        </a:graphic>
                      </wp:inline>
                    </w:drawing>
                  </w:r>
                </w:p>
                <w:p w14:paraId="6F8AD829">
                  <w:pPr>
                    <w:pStyle w:val="43"/>
                    <w:bidi w:val="0"/>
                    <w:rPr>
                      <w:color w:val="auto"/>
                      <w:highlight w:val="none"/>
                    </w:rPr>
                  </w:pPr>
                  <w:r>
                    <w:rPr>
                      <w:color w:val="auto"/>
                      <w:highlight w:val="none"/>
                    </w:rPr>
                    <w:drawing>
                      <wp:inline distT="0" distB="0" distL="114300" distR="114300">
                        <wp:extent cx="5859780" cy="3985260"/>
                        <wp:effectExtent l="0" t="0" r="7620" b="152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5"/>
                                <a:stretch>
                                  <a:fillRect/>
                                </a:stretch>
                              </pic:blipFill>
                              <pic:spPr>
                                <a:xfrm>
                                  <a:off x="0" y="0"/>
                                  <a:ext cx="5859780" cy="3985260"/>
                                </a:xfrm>
                                <a:prstGeom prst="rect">
                                  <a:avLst/>
                                </a:prstGeom>
                                <a:noFill/>
                                <a:ln>
                                  <a:noFill/>
                                </a:ln>
                              </pic:spPr>
                            </pic:pic>
                          </a:graphicData>
                        </a:graphic>
                      </wp:inline>
                    </w:drawing>
                  </w:r>
                </w:p>
                <w:p w14:paraId="41C84894">
                  <w:pPr>
                    <w:pStyle w:val="43"/>
                    <w:bidi w:val="0"/>
                    <w:rPr>
                      <w:rFonts w:hint="eastAsia"/>
                      <w:color w:val="auto"/>
                      <w:highlight w:val="none"/>
                      <w:lang w:val="en-US" w:eastAsia="zh-CN"/>
                    </w:rPr>
                  </w:pPr>
                  <w:r>
                    <w:rPr>
                      <w:color w:val="auto"/>
                      <w:highlight w:val="none"/>
                    </w:rPr>
                    <w:drawing>
                      <wp:inline distT="0" distB="0" distL="114300" distR="114300">
                        <wp:extent cx="5850255" cy="3919220"/>
                        <wp:effectExtent l="0" t="0" r="17145" b="508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6"/>
                                <a:stretch>
                                  <a:fillRect/>
                                </a:stretch>
                              </pic:blipFill>
                              <pic:spPr>
                                <a:xfrm>
                                  <a:off x="0" y="0"/>
                                  <a:ext cx="5850255" cy="3919220"/>
                                </a:xfrm>
                                <a:prstGeom prst="rect">
                                  <a:avLst/>
                                </a:prstGeom>
                                <a:noFill/>
                                <a:ln>
                                  <a:noFill/>
                                </a:ln>
                              </pic:spPr>
                            </pic:pic>
                          </a:graphicData>
                        </a:graphic>
                      </wp:inline>
                    </w:drawing>
                  </w:r>
                  <w:r>
                    <w:rPr>
                      <w:color w:val="auto"/>
                      <w:highlight w:val="none"/>
                    </w:rPr>
                    <w:drawing>
                      <wp:inline distT="0" distB="0" distL="114300" distR="114300">
                        <wp:extent cx="5855335" cy="4015740"/>
                        <wp:effectExtent l="0" t="0" r="12065" b="381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7"/>
                                <a:stretch>
                                  <a:fillRect/>
                                </a:stretch>
                              </pic:blipFill>
                              <pic:spPr>
                                <a:xfrm>
                                  <a:off x="0" y="0"/>
                                  <a:ext cx="5855335" cy="4015740"/>
                                </a:xfrm>
                                <a:prstGeom prst="rect">
                                  <a:avLst/>
                                </a:prstGeom>
                                <a:noFill/>
                                <a:ln>
                                  <a:noFill/>
                                </a:ln>
                              </pic:spPr>
                            </pic:pic>
                          </a:graphicData>
                        </a:graphic>
                      </wp:inline>
                    </w:drawing>
                  </w:r>
                  <w:r>
                    <w:rPr>
                      <w:color w:val="auto"/>
                      <w:highlight w:val="none"/>
                    </w:rPr>
                    <w:drawing>
                      <wp:inline distT="0" distB="0" distL="114300" distR="114300">
                        <wp:extent cx="5850890" cy="3937000"/>
                        <wp:effectExtent l="0" t="0" r="16510" b="635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8"/>
                                <a:stretch>
                                  <a:fillRect/>
                                </a:stretch>
                              </pic:blipFill>
                              <pic:spPr>
                                <a:xfrm>
                                  <a:off x="0" y="0"/>
                                  <a:ext cx="5850890" cy="3937000"/>
                                </a:xfrm>
                                <a:prstGeom prst="rect">
                                  <a:avLst/>
                                </a:prstGeom>
                                <a:noFill/>
                                <a:ln>
                                  <a:noFill/>
                                </a:ln>
                              </pic:spPr>
                            </pic:pic>
                          </a:graphicData>
                        </a:graphic>
                      </wp:inline>
                    </w:drawing>
                  </w:r>
                  <w:r>
                    <w:rPr>
                      <w:color w:val="auto"/>
                      <w:highlight w:val="none"/>
                    </w:rPr>
                    <w:drawing>
                      <wp:inline distT="0" distB="0" distL="114300" distR="114300">
                        <wp:extent cx="5861050" cy="3696335"/>
                        <wp:effectExtent l="0" t="0" r="6350" b="1841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9"/>
                                <a:stretch>
                                  <a:fillRect/>
                                </a:stretch>
                              </pic:blipFill>
                              <pic:spPr>
                                <a:xfrm>
                                  <a:off x="0" y="0"/>
                                  <a:ext cx="5861050" cy="3696335"/>
                                </a:xfrm>
                                <a:prstGeom prst="rect">
                                  <a:avLst/>
                                </a:prstGeom>
                                <a:noFill/>
                                <a:ln>
                                  <a:noFill/>
                                </a:ln>
                              </pic:spPr>
                            </pic:pic>
                          </a:graphicData>
                        </a:graphic>
                      </wp:inline>
                    </w:drawing>
                  </w:r>
                  <w:r>
                    <w:rPr>
                      <w:color w:val="auto"/>
                      <w:highlight w:val="none"/>
                    </w:rPr>
                    <w:drawing>
                      <wp:inline distT="0" distB="0" distL="114300" distR="114300">
                        <wp:extent cx="5248275" cy="7410450"/>
                        <wp:effectExtent l="0" t="0" r="9525"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30"/>
                                <a:stretch>
                                  <a:fillRect/>
                                </a:stretch>
                              </pic:blipFill>
                              <pic:spPr>
                                <a:xfrm>
                                  <a:off x="0" y="0"/>
                                  <a:ext cx="5248275" cy="7410450"/>
                                </a:xfrm>
                                <a:prstGeom prst="rect">
                                  <a:avLst/>
                                </a:prstGeom>
                                <a:noFill/>
                                <a:ln>
                                  <a:noFill/>
                                </a:ln>
                              </pic:spPr>
                            </pic:pic>
                          </a:graphicData>
                        </a:graphic>
                      </wp:inline>
                    </w:drawing>
                  </w:r>
                </w:p>
                <w:p w14:paraId="6AD5D2DB">
                  <w:pPr>
                    <w:pStyle w:val="43"/>
                    <w:bidi w:val="0"/>
                    <w:rPr>
                      <w:rFonts w:hint="eastAsia"/>
                      <w:color w:val="auto"/>
                      <w:highlight w:val="none"/>
                      <w:lang w:val="en-US" w:eastAsia="zh-CN"/>
                    </w:rPr>
                  </w:pPr>
                  <w:r>
                    <w:rPr>
                      <w:rFonts w:hint="eastAsia"/>
                      <w:color w:val="auto"/>
                      <w:highlight w:val="none"/>
                      <w:lang w:val="en-US" w:eastAsia="zh-CN"/>
                    </w:rPr>
                    <w:t>图1.7 广州市建设用地规划条件 穗规划资源条件〔2024〕308号</w:t>
                  </w:r>
                </w:p>
                <w:p w14:paraId="79D9181D">
                  <w:pPr>
                    <w:pStyle w:val="43"/>
                    <w:bidi w:val="0"/>
                    <w:rPr>
                      <w:rFonts w:hint="eastAsia"/>
                      <w:color w:val="auto"/>
                      <w:highlight w:val="none"/>
                      <w:lang w:val="en-US" w:eastAsia="zh-CN"/>
                    </w:rPr>
                  </w:pPr>
                  <w:r>
                    <w:rPr>
                      <w:color w:val="auto"/>
                      <w:highlight w:val="none"/>
                    </w:rPr>
                    <w:drawing>
                      <wp:inline distT="0" distB="0" distL="114300" distR="114300">
                        <wp:extent cx="5851525" cy="4129405"/>
                        <wp:effectExtent l="0" t="0" r="15875" b="444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31"/>
                                <a:stretch>
                                  <a:fillRect/>
                                </a:stretch>
                              </pic:blipFill>
                              <pic:spPr>
                                <a:xfrm>
                                  <a:off x="0" y="0"/>
                                  <a:ext cx="5851525" cy="4129405"/>
                                </a:xfrm>
                                <a:prstGeom prst="rect">
                                  <a:avLst/>
                                </a:prstGeom>
                                <a:noFill/>
                                <a:ln>
                                  <a:noFill/>
                                </a:ln>
                              </pic:spPr>
                            </pic:pic>
                          </a:graphicData>
                        </a:graphic>
                      </wp:inline>
                    </w:drawing>
                  </w:r>
                </w:p>
                <w:p w14:paraId="3E7C0DA1">
                  <w:pPr>
                    <w:pStyle w:val="43"/>
                    <w:bidi w:val="0"/>
                    <w:rPr>
                      <w:rFonts w:hint="default"/>
                      <w:color w:val="auto"/>
                      <w:highlight w:val="none"/>
                      <w:lang w:val="en-US" w:eastAsia="zh-CN"/>
                    </w:rPr>
                  </w:pPr>
                  <w:r>
                    <w:rPr>
                      <w:rFonts w:hint="eastAsia"/>
                      <w:color w:val="auto"/>
                      <w:highlight w:val="none"/>
                      <w:lang w:val="en-US" w:eastAsia="zh-CN"/>
                    </w:rPr>
                    <w:t>图1.8 用地预审与选址意见书</w:t>
                  </w:r>
                </w:p>
              </w:tc>
            </w:tr>
          </w:tbl>
          <w:p w14:paraId="68E16927">
            <w:pPr>
              <w:pStyle w:val="23"/>
              <w:pageBreakBefore w:val="0"/>
              <w:widowControl w:val="0"/>
              <w:kinsoku/>
              <w:wordWrap/>
              <w:overflowPunct/>
              <w:topLinePunct w:val="0"/>
              <w:bidi w:val="0"/>
              <w:snapToGrid/>
              <w:spacing w:line="360" w:lineRule="auto"/>
              <w:textAlignment w:val="auto"/>
              <w:rPr>
                <w:color w:val="auto"/>
                <w:highlight w:val="none"/>
              </w:rPr>
            </w:pPr>
            <w:r>
              <w:rPr>
                <w:color w:val="auto"/>
                <w:highlight w:val="none"/>
              </w:rPr>
              <w:drawing>
                <wp:inline distT="0" distB="0" distL="114300" distR="114300">
                  <wp:extent cx="5751830" cy="3620770"/>
                  <wp:effectExtent l="0" t="0" r="1270" b="1778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32"/>
                          <a:srcRect t="10795"/>
                          <a:stretch>
                            <a:fillRect/>
                          </a:stretch>
                        </pic:blipFill>
                        <pic:spPr>
                          <a:xfrm>
                            <a:off x="0" y="0"/>
                            <a:ext cx="5751830" cy="3620770"/>
                          </a:xfrm>
                          <a:prstGeom prst="rect">
                            <a:avLst/>
                          </a:prstGeom>
                          <a:noFill/>
                          <a:ln>
                            <a:noFill/>
                          </a:ln>
                        </pic:spPr>
                      </pic:pic>
                    </a:graphicData>
                  </a:graphic>
                </wp:inline>
              </w:drawing>
            </w:r>
          </w:p>
          <w:p w14:paraId="6F7392D3">
            <w:pPr>
              <w:pStyle w:val="43"/>
              <w:rPr>
                <w:color w:val="auto"/>
                <w:kern w:val="0"/>
                <w:highlight w:val="none"/>
              </w:rPr>
            </w:pPr>
            <w:r>
              <w:rPr>
                <w:rFonts w:hint="eastAsia"/>
                <w:color w:val="auto"/>
                <w:highlight w:val="none"/>
                <w:lang w:val="en-US" w:eastAsia="zh-CN"/>
              </w:rPr>
              <w:t>图1.9 用地预审与选址意见书</w:t>
            </w:r>
          </w:p>
        </w:tc>
      </w:tr>
    </w:tbl>
    <w:p w14:paraId="7E5C7B89">
      <w:pPr>
        <w:pStyle w:val="23"/>
        <w:spacing w:line="360" w:lineRule="auto"/>
        <w:rPr>
          <w:color w:val="auto"/>
          <w:highlight w:val="none"/>
        </w:rPr>
        <w:sectPr>
          <w:footnotePr>
            <w:numRestart w:val="eachPage"/>
          </w:footnotePr>
          <w:pgSz w:w="11906" w:h="16838"/>
          <w:pgMar w:top="1418" w:right="1418" w:bottom="1418" w:left="1418" w:header="851" w:footer="992" w:gutter="0"/>
          <w:cols w:space="720" w:num="1"/>
          <w:titlePg/>
          <w:docGrid w:type="lines" w:linePitch="312" w:charSpace="0"/>
        </w:sectPr>
      </w:pPr>
    </w:p>
    <w:bookmarkEnd w:id="121"/>
    <w:p w14:paraId="1E2ECC6C">
      <w:pPr>
        <w:pStyle w:val="5"/>
        <w:spacing w:before="156" w:after="156"/>
        <w:rPr>
          <w:color w:val="auto"/>
          <w:highlight w:val="none"/>
        </w:rPr>
      </w:pPr>
      <w:bookmarkStart w:id="126" w:name="_Toc23089"/>
      <w:bookmarkStart w:id="127" w:name="_Toc25690"/>
      <w:bookmarkStart w:id="128" w:name="_Toc452558309"/>
      <w:bookmarkStart w:id="129" w:name="_Toc415840331"/>
      <w:bookmarkStart w:id="130" w:name="_Toc9156"/>
      <w:bookmarkStart w:id="131" w:name="_Toc452973693"/>
      <w:r>
        <w:rPr>
          <w:rFonts w:hint="eastAsia"/>
          <w:color w:val="auto"/>
          <w:highlight w:val="none"/>
        </w:rPr>
        <w:t>1.3.3气候条件</w:t>
      </w:r>
      <w:bookmarkEnd w:id="126"/>
      <w:bookmarkEnd w:id="127"/>
      <w:bookmarkEnd w:id="128"/>
      <w:bookmarkEnd w:id="129"/>
      <w:bookmarkEnd w:id="130"/>
      <w:bookmarkEnd w:id="131"/>
    </w:p>
    <w:p w14:paraId="145E59AA">
      <w:pPr>
        <w:rPr>
          <w:color w:val="auto"/>
          <w:highlight w:val="none"/>
        </w:rPr>
      </w:pPr>
      <w:bookmarkStart w:id="132" w:name="_Toc415840332"/>
      <w:bookmarkStart w:id="133" w:name="_Toc29758"/>
      <w:bookmarkStart w:id="134" w:name="_Toc452973694"/>
      <w:bookmarkStart w:id="135" w:name="_Toc452558310"/>
      <w:bookmarkStart w:id="136" w:name="_Toc13329"/>
      <w:bookmarkStart w:id="137" w:name="_Toc19816"/>
      <w:r>
        <w:rPr>
          <w:rFonts w:hint="eastAsia"/>
          <w:color w:val="auto"/>
          <w:highlight w:val="none"/>
        </w:rPr>
        <w:t>天河区位于北回归线以南，属于亚热带季风气候。夏热冬温，四季分明，季风发达。最热月平均气温一般高于22摄氏度，最冷月气温在0～15度之间。年降水量多在800～1600毫米，下半年降水通常占全年的70%。1991年后，随着全球气候变暖，天河区的气温也在变暖。90年代比80年代上升0.1～0.2度。2000年6月6日，天河区最高气温为36.6度，为50年来同期的最高气温。寒潮主要发生在年底的12月至次年2月。1991年以来，天河区年平均降雨量减少。建国初至60年代为1800～1900毫米，70年代至80年代为1600～1800毫米；1991～2000年为1781.8毫米。暴雨主要集中在夏秋季节的4～9月，通常每年有6次雷暴雨。</w:t>
      </w:r>
    </w:p>
    <w:p w14:paraId="3C82881F">
      <w:pPr>
        <w:rPr>
          <w:color w:val="auto"/>
          <w:highlight w:val="none"/>
        </w:rPr>
      </w:pPr>
      <w:r>
        <w:rPr>
          <w:rFonts w:hint="eastAsia"/>
          <w:color w:val="auto"/>
          <w:highlight w:val="none"/>
        </w:rPr>
        <w:t>广州地区全年日照百分率43%，根据多年资料统计，平均年日照时数为1895.2小时。各月平均以七月份最高，为225.9小时，三月份最低为82.8小时。</w:t>
      </w:r>
    </w:p>
    <w:p w14:paraId="7442BF56">
      <w:pPr>
        <w:pStyle w:val="5"/>
        <w:spacing w:before="156" w:after="156"/>
        <w:rPr>
          <w:color w:val="auto"/>
          <w:highlight w:val="none"/>
        </w:rPr>
      </w:pPr>
      <w:r>
        <w:rPr>
          <w:rFonts w:hint="eastAsia"/>
          <w:color w:val="auto"/>
          <w:highlight w:val="none"/>
        </w:rPr>
        <w:t>1.3.4工程地质和水文地质条件</w:t>
      </w:r>
      <w:bookmarkEnd w:id="132"/>
      <w:bookmarkEnd w:id="133"/>
      <w:bookmarkEnd w:id="134"/>
      <w:bookmarkEnd w:id="135"/>
      <w:bookmarkEnd w:id="136"/>
      <w:bookmarkEnd w:id="137"/>
    </w:p>
    <w:p w14:paraId="487A475D">
      <w:pPr>
        <w:pStyle w:val="6"/>
        <w:rPr>
          <w:rFonts w:ascii="Times New Roman" w:hAnsi="Times New Roman"/>
          <w:color w:val="auto"/>
          <w:highlight w:val="none"/>
        </w:rPr>
      </w:pPr>
      <w:bookmarkStart w:id="138" w:name="_Toc415840333"/>
      <w:bookmarkStart w:id="139" w:name="_Toc452973695"/>
      <w:bookmarkStart w:id="140" w:name="_Toc452558311"/>
      <w:bookmarkStart w:id="141" w:name="_Toc21450"/>
      <w:bookmarkStart w:id="142" w:name="_Toc28639"/>
      <w:bookmarkStart w:id="143" w:name="_Toc5595"/>
      <w:r>
        <w:rPr>
          <w:rFonts w:hint="eastAsia" w:ascii="Times New Roman" w:hAnsi="Times New Roman"/>
          <w:color w:val="auto"/>
          <w:highlight w:val="none"/>
        </w:rPr>
        <w:t>1.工程地质</w:t>
      </w:r>
    </w:p>
    <w:p w14:paraId="01BF096F">
      <w:pPr>
        <w:rPr>
          <w:color w:val="auto"/>
          <w:highlight w:val="none"/>
        </w:rPr>
      </w:pPr>
      <w:r>
        <w:rPr>
          <w:rFonts w:hint="eastAsia"/>
          <w:color w:val="auto"/>
          <w:highlight w:val="none"/>
        </w:rPr>
        <w:t>本项目用地目前尚未进行工程地质勘察，具体工程地质条件暂时无法确定。北部是以火成岩为主构成的低山丘陵区，海拔222～400米；中部是以变质岩为主构成的台地区，海拔30～50米；南部是由沉积岩构成的冲积平原区，海拔1.5～2米。</w:t>
      </w:r>
    </w:p>
    <w:p w14:paraId="3F9F04B2">
      <w:pPr>
        <w:pStyle w:val="6"/>
        <w:rPr>
          <w:rFonts w:ascii="Times New Roman" w:hAnsi="Times New Roman"/>
          <w:color w:val="auto"/>
          <w:highlight w:val="none"/>
        </w:rPr>
      </w:pPr>
      <w:r>
        <w:rPr>
          <w:rFonts w:hint="eastAsia" w:ascii="Times New Roman" w:hAnsi="Times New Roman"/>
          <w:color w:val="auto"/>
          <w:highlight w:val="none"/>
        </w:rPr>
        <w:t>2.水文条件</w:t>
      </w:r>
    </w:p>
    <w:p w14:paraId="09F263EE">
      <w:pPr>
        <w:rPr>
          <w:color w:val="auto"/>
          <w:highlight w:val="none"/>
        </w:rPr>
      </w:pPr>
      <w:r>
        <w:rPr>
          <w:rFonts w:hint="eastAsia"/>
          <w:color w:val="auto"/>
          <w:highlight w:val="none"/>
        </w:rPr>
        <w:t>天河区水资源丰富，区内有深涌、车陂涌、棠下涌、程界涌、谭村涌、猎德涌、沙河涌等从北向南流入珠江，还拥有温泉和矿泉水资源。新塘、吉山、龙洞、渔沙坦一带丘陵台地还有一些百年井泉。天河区地下水主要集中在区东北部，其中1991年前已开发的有珠村矿泉水、龙眼洞矿泉水、凤凰山矿泉水。项目场址临近龙眼洞森林公园，龙眼洞到太和帽峰山一带约200平方千米的地下有大量水源，公园内有三座水库，分别为卧龙湖、藏龙湖、迎龙湖，水质清澈纯净，为偏硅型，低钠、低矿化度，是附近区域的食用水源。</w:t>
      </w:r>
    </w:p>
    <w:p w14:paraId="1D772BA7">
      <w:pPr>
        <w:pStyle w:val="5"/>
        <w:spacing w:before="156" w:after="156"/>
        <w:rPr>
          <w:color w:val="auto"/>
          <w:highlight w:val="none"/>
        </w:rPr>
      </w:pPr>
      <w:r>
        <w:rPr>
          <w:rFonts w:hint="eastAsia"/>
          <w:color w:val="auto"/>
          <w:highlight w:val="none"/>
        </w:rPr>
        <w:t>1.3.</w:t>
      </w:r>
      <w:bookmarkEnd w:id="138"/>
      <w:bookmarkEnd w:id="139"/>
      <w:bookmarkEnd w:id="140"/>
      <w:bookmarkEnd w:id="141"/>
      <w:r>
        <w:rPr>
          <w:rFonts w:hint="eastAsia"/>
          <w:color w:val="auto"/>
          <w:highlight w:val="none"/>
        </w:rPr>
        <w:t>5公共设施条件</w:t>
      </w:r>
      <w:bookmarkEnd w:id="142"/>
      <w:bookmarkEnd w:id="143"/>
    </w:p>
    <w:p w14:paraId="4FD3FA71">
      <w:pPr>
        <w:pStyle w:val="6"/>
        <w:rPr>
          <w:rFonts w:hint="eastAsia"/>
          <w:color w:val="auto"/>
          <w:highlight w:val="none"/>
        </w:rPr>
      </w:pPr>
      <w:bookmarkStart w:id="144" w:name="_Toc452558096"/>
      <w:bookmarkStart w:id="145" w:name="_Toc452973699"/>
      <w:bookmarkStart w:id="146" w:name="_Toc452558312"/>
      <w:bookmarkStart w:id="147" w:name="_Toc13320"/>
      <w:bookmarkStart w:id="148" w:name="_Toc2458"/>
      <w:bookmarkStart w:id="149" w:name="_Toc20925"/>
      <w:bookmarkStart w:id="150" w:name="_Toc8500"/>
      <w:bookmarkStart w:id="151" w:name="_Toc4392_WPSOffice_Level1"/>
      <w:bookmarkStart w:id="152" w:name="_Toc1794"/>
      <w:bookmarkStart w:id="153" w:name="_Toc280"/>
      <w:bookmarkStart w:id="154" w:name="_Toc12872"/>
      <w:bookmarkStart w:id="155" w:name="_Toc17189"/>
      <w:r>
        <w:rPr>
          <w:rFonts w:hint="eastAsia"/>
          <w:color w:val="auto"/>
          <w:highlight w:val="none"/>
        </w:rPr>
        <w:t>1.供水</w:t>
      </w:r>
    </w:p>
    <w:p w14:paraId="62935F11">
      <w:pPr>
        <w:rPr>
          <w:color w:val="auto"/>
          <w:highlight w:val="none"/>
        </w:rPr>
      </w:pPr>
      <w:r>
        <w:rPr>
          <w:rFonts w:hint="eastAsia"/>
          <w:color w:val="auto"/>
          <w:highlight w:val="none"/>
        </w:rPr>
        <w:t>项目现状场地由西侧</w:t>
      </w:r>
      <w:r>
        <w:rPr>
          <w:rFonts w:hint="eastAsia" w:eastAsia="仿宋"/>
          <w:color w:val="auto"/>
          <w:highlight w:val="none"/>
        </w:rPr>
        <w:t>迎龙路</w:t>
      </w:r>
      <w:r>
        <w:rPr>
          <w:rFonts w:hint="eastAsia"/>
          <w:color w:val="auto"/>
          <w:highlight w:val="none"/>
        </w:rPr>
        <w:t>的市政给水管供给</w:t>
      </w:r>
      <w:r>
        <w:rPr>
          <w:rFonts w:hint="eastAsia" w:eastAsia="仿宋"/>
          <w:color w:val="auto"/>
          <w:highlight w:val="none"/>
        </w:rPr>
        <w:t>，现</w:t>
      </w:r>
      <w:r>
        <w:rPr>
          <w:rFonts w:hint="eastAsia"/>
          <w:color w:val="auto"/>
          <w:highlight w:val="none"/>
        </w:rPr>
        <w:t>状沿迎龙路敷设有DN300</w:t>
      </w:r>
      <w:r>
        <w:rPr>
          <w:rFonts w:hint="eastAsia" w:eastAsia="仿宋"/>
          <w:color w:val="auto"/>
          <w:highlight w:val="none"/>
        </w:rPr>
        <w:t>-</w:t>
      </w:r>
      <w:r>
        <w:rPr>
          <w:rFonts w:hint="eastAsia"/>
          <w:color w:val="auto"/>
          <w:highlight w:val="none"/>
        </w:rPr>
        <w:t>400给水管。</w:t>
      </w:r>
    </w:p>
    <w:p w14:paraId="23DD7656">
      <w:pPr>
        <w:pStyle w:val="6"/>
        <w:rPr>
          <w:rFonts w:hint="eastAsia"/>
          <w:color w:val="auto"/>
          <w:highlight w:val="none"/>
        </w:rPr>
      </w:pPr>
      <w:r>
        <w:rPr>
          <w:rFonts w:hint="eastAsia"/>
          <w:color w:val="auto"/>
          <w:highlight w:val="none"/>
        </w:rPr>
        <w:t>2.排水</w:t>
      </w:r>
    </w:p>
    <w:p w14:paraId="61DEFDB2">
      <w:pPr>
        <w:rPr>
          <w:color w:val="auto"/>
          <w:highlight w:val="none"/>
        </w:rPr>
      </w:pPr>
      <w:r>
        <w:rPr>
          <w:rFonts w:hint="eastAsia"/>
          <w:color w:val="auto"/>
          <w:highlight w:val="none"/>
        </w:rPr>
        <w:t>项目雨水排至</w:t>
      </w:r>
      <w:r>
        <w:rPr>
          <w:rFonts w:hint="eastAsia" w:ascii="仿宋" w:eastAsia="仿宋"/>
          <w:color w:val="auto"/>
          <w:highlight w:val="none"/>
        </w:rPr>
        <w:t>东侧</w:t>
      </w:r>
      <w:r>
        <w:rPr>
          <w:rFonts w:hint="eastAsia"/>
          <w:color w:val="auto"/>
          <w:highlight w:val="none"/>
        </w:rPr>
        <w:t>河涌，污水排至拟建场地周边市政污水排水管网。</w:t>
      </w:r>
    </w:p>
    <w:p w14:paraId="3E7A07AF">
      <w:pPr>
        <w:pStyle w:val="6"/>
        <w:rPr>
          <w:rFonts w:hint="eastAsia"/>
          <w:color w:val="auto"/>
          <w:highlight w:val="none"/>
        </w:rPr>
      </w:pPr>
      <w:r>
        <w:rPr>
          <w:rFonts w:hint="eastAsia"/>
          <w:color w:val="auto"/>
          <w:highlight w:val="none"/>
        </w:rPr>
        <w:t>3.供电</w:t>
      </w:r>
    </w:p>
    <w:p w14:paraId="7D714E03">
      <w:pPr>
        <w:rPr>
          <w:color w:val="auto"/>
          <w:highlight w:val="none"/>
        </w:rPr>
      </w:pPr>
      <w:r>
        <w:rPr>
          <w:rFonts w:hint="eastAsia"/>
          <w:color w:val="auto"/>
          <w:highlight w:val="none"/>
        </w:rPr>
        <w:t>项目场地电源来自西侧道路现状市政电力电缆。</w:t>
      </w:r>
    </w:p>
    <w:p w14:paraId="34CE5439">
      <w:pPr>
        <w:pStyle w:val="6"/>
        <w:rPr>
          <w:rFonts w:hint="eastAsia"/>
          <w:color w:val="auto"/>
          <w:highlight w:val="none"/>
        </w:rPr>
      </w:pPr>
      <w:r>
        <w:rPr>
          <w:rFonts w:hint="eastAsia"/>
          <w:color w:val="auto"/>
          <w:highlight w:val="none"/>
        </w:rPr>
        <w:t>4.通信条件</w:t>
      </w:r>
    </w:p>
    <w:p w14:paraId="27E4EFF5">
      <w:pPr>
        <w:rPr>
          <w:color w:val="auto"/>
          <w:highlight w:val="none"/>
        </w:rPr>
        <w:sectPr>
          <w:footnotePr>
            <w:numRestart w:val="eachPage"/>
          </w:footnotePr>
          <w:pgSz w:w="11906" w:h="16838"/>
          <w:pgMar w:top="1418" w:right="1418" w:bottom="1418" w:left="1418" w:header="851" w:footer="992" w:gutter="0"/>
          <w:cols w:space="720" w:num="1"/>
          <w:titlePg/>
          <w:docGrid w:type="lines" w:linePitch="312" w:charSpace="0"/>
        </w:sectPr>
      </w:pPr>
      <w:r>
        <w:rPr>
          <w:rFonts w:hint="eastAsia"/>
          <w:color w:val="auto"/>
          <w:highlight w:val="none"/>
        </w:rPr>
        <w:t>场址周边均有通信网络，拟从南侧接入通信电缆。</w:t>
      </w:r>
    </w:p>
    <w:p w14:paraId="0614E4ED">
      <w:pPr>
        <w:rPr>
          <w:color w:val="auto"/>
          <w:highlight w:val="none"/>
        </w:rPr>
      </w:pPr>
    </w:p>
    <w:p w14:paraId="4BB4644A">
      <w:pPr>
        <w:pStyle w:val="3"/>
        <w:spacing w:before="156" w:after="156"/>
        <w:rPr>
          <w:color w:val="auto"/>
          <w:highlight w:val="none"/>
        </w:rPr>
      </w:pPr>
      <w:r>
        <w:rPr>
          <w:rFonts w:hint="eastAsia"/>
          <w:color w:val="auto"/>
          <w:highlight w:val="none"/>
        </w:rPr>
        <w:t>第二章 设计原则</w:t>
      </w:r>
      <w:bookmarkEnd w:id="144"/>
      <w:bookmarkEnd w:id="145"/>
      <w:bookmarkEnd w:id="146"/>
      <w:r>
        <w:rPr>
          <w:rFonts w:hint="eastAsia"/>
          <w:color w:val="auto"/>
          <w:highlight w:val="none"/>
        </w:rPr>
        <w:t>及设计内容</w:t>
      </w:r>
      <w:bookmarkEnd w:id="147"/>
      <w:bookmarkEnd w:id="148"/>
      <w:bookmarkEnd w:id="149"/>
      <w:bookmarkEnd w:id="150"/>
      <w:bookmarkEnd w:id="151"/>
      <w:bookmarkEnd w:id="152"/>
      <w:bookmarkEnd w:id="153"/>
      <w:bookmarkEnd w:id="154"/>
      <w:bookmarkEnd w:id="155"/>
    </w:p>
    <w:p w14:paraId="15807989">
      <w:pPr>
        <w:rPr>
          <w:color w:val="auto"/>
          <w:highlight w:val="none"/>
        </w:rPr>
      </w:pPr>
      <w:r>
        <w:rPr>
          <w:rFonts w:hint="eastAsia"/>
          <w:color w:val="auto"/>
          <w:highlight w:val="none"/>
        </w:rPr>
        <w:t>勘察设计单位应当按照《广东省建设工程勘察设计管理条例》和相关标准开展勘察设计工作，应当建立和健全勘察设计质量保证体系，建立完善的勘察报告和设计文件的内部审查制度，加强勘察设计全过程的质量控制，明确各阶段的责任人。</w:t>
      </w:r>
    </w:p>
    <w:p w14:paraId="27555324">
      <w:pPr>
        <w:pStyle w:val="4"/>
        <w:spacing w:before="156" w:after="156"/>
        <w:rPr>
          <w:color w:val="auto"/>
          <w:highlight w:val="none"/>
        </w:rPr>
      </w:pPr>
      <w:bookmarkStart w:id="156" w:name="_Toc452973701"/>
      <w:bookmarkStart w:id="157" w:name="_Toc16158"/>
      <w:bookmarkStart w:id="158" w:name="_Toc1981"/>
      <w:bookmarkStart w:id="159" w:name="_Toc24967"/>
      <w:bookmarkStart w:id="160" w:name="_Toc9975"/>
      <w:bookmarkStart w:id="161" w:name="_Toc20907_WPSOffice_Level2"/>
      <w:bookmarkStart w:id="162" w:name="_Toc8265"/>
      <w:bookmarkStart w:id="163" w:name="_Toc17096"/>
      <w:bookmarkStart w:id="164" w:name="_Toc18789"/>
      <w:bookmarkStart w:id="165" w:name="_Toc452558314"/>
      <w:bookmarkStart w:id="166" w:name="_Toc452558098"/>
      <w:bookmarkStart w:id="167" w:name="_Toc32586"/>
      <w:r>
        <w:rPr>
          <w:rFonts w:hint="eastAsia"/>
          <w:color w:val="auto"/>
          <w:highlight w:val="none"/>
        </w:rPr>
        <w:t>2.1设计原则</w:t>
      </w:r>
      <w:bookmarkEnd w:id="156"/>
      <w:bookmarkEnd w:id="157"/>
      <w:bookmarkEnd w:id="158"/>
      <w:bookmarkEnd w:id="159"/>
      <w:bookmarkEnd w:id="160"/>
      <w:bookmarkEnd w:id="161"/>
      <w:bookmarkEnd w:id="162"/>
      <w:bookmarkEnd w:id="163"/>
      <w:bookmarkEnd w:id="164"/>
      <w:bookmarkEnd w:id="165"/>
      <w:bookmarkEnd w:id="166"/>
      <w:bookmarkEnd w:id="167"/>
      <w:bookmarkStart w:id="168" w:name="_Toc399430872"/>
      <w:bookmarkStart w:id="169" w:name="_Toc329351504"/>
      <w:bookmarkStart w:id="170" w:name="_Toc330375408"/>
    </w:p>
    <w:bookmarkEnd w:id="168"/>
    <w:bookmarkEnd w:id="169"/>
    <w:bookmarkEnd w:id="170"/>
    <w:p w14:paraId="3F5F5546">
      <w:pPr>
        <w:pStyle w:val="5"/>
        <w:spacing w:before="156" w:after="156"/>
        <w:rPr>
          <w:color w:val="auto"/>
          <w:highlight w:val="none"/>
        </w:rPr>
      </w:pPr>
      <w:bookmarkStart w:id="171" w:name="_Toc23400"/>
      <w:bookmarkStart w:id="172" w:name="_Toc13357"/>
      <w:bookmarkStart w:id="173" w:name="_Toc22331"/>
      <w:bookmarkStart w:id="174" w:name="_Toc452973702"/>
      <w:bookmarkStart w:id="175" w:name="_Toc452558315"/>
      <w:r>
        <w:rPr>
          <w:rFonts w:hint="eastAsia"/>
          <w:color w:val="auto"/>
          <w:highlight w:val="none"/>
        </w:rPr>
        <w:t>2.1.1限额设计原则</w:t>
      </w:r>
      <w:bookmarkEnd w:id="171"/>
      <w:bookmarkEnd w:id="172"/>
      <w:bookmarkEnd w:id="173"/>
    </w:p>
    <w:p w14:paraId="69BD76FA">
      <w:pPr>
        <w:rPr>
          <w:rFonts w:hint="eastAsia" w:ascii="宋体" w:hAnsi="宋体" w:cs="宋体"/>
          <w:color w:val="auto"/>
          <w:highlight w:val="none"/>
        </w:rPr>
      </w:pPr>
      <w:r>
        <w:rPr>
          <w:rFonts w:hint="eastAsia"/>
          <w:color w:val="auto"/>
          <w:highlight w:val="none"/>
        </w:rPr>
        <w:t>设计单位应坚持估算控制概算、概算控制预算、预算控制结算的原则，执行《广州市政府投资管理条例》、《广州市财政投资评审监督管理办法》做好限额设计。建设规模、建设内容、建设投资数据暂依据项建批复</w:t>
      </w:r>
      <w:r>
        <w:rPr>
          <w:rFonts w:hint="eastAsia"/>
          <w:b/>
          <w:bCs/>
          <w:color w:val="auto"/>
          <w:highlight w:val="none"/>
        </w:rPr>
        <w:t>穗天发改投批﹝2024﹞45号</w:t>
      </w:r>
      <w:r>
        <w:rPr>
          <w:rFonts w:hint="eastAsia"/>
          <w:color w:val="auto"/>
          <w:highlight w:val="none"/>
        </w:rPr>
        <w:t>及项目建议书，最终数据以可研批复数据为准。</w:t>
      </w:r>
      <w:bookmarkStart w:id="176" w:name="_Toc14201"/>
    </w:p>
    <w:p w14:paraId="02DAAA91">
      <w:pPr>
        <w:rPr>
          <w:color w:val="auto"/>
          <w:highlight w:val="none"/>
        </w:rPr>
      </w:pPr>
      <w:r>
        <w:rPr>
          <w:rFonts w:hint="eastAsia"/>
          <w:color w:val="auto"/>
          <w:highlight w:val="none"/>
        </w:rPr>
        <w:t>设计单位应高度重视投资控制的过程，建立有效的设计与投资控制机制，在方案、初步设计阶段，配备专业造价工程人员对设计跟踪和投资评估，与可研编制单位、概算审核单位保持充分沟通，在设计过程中同步实现投资控制。</w:t>
      </w:r>
    </w:p>
    <w:p w14:paraId="4CF67B45">
      <w:pPr>
        <w:rPr>
          <w:color w:val="auto"/>
          <w:highlight w:val="none"/>
        </w:rPr>
      </w:pPr>
      <w:r>
        <w:rPr>
          <w:rFonts w:hint="eastAsia"/>
          <w:color w:val="auto"/>
          <w:highlight w:val="none"/>
        </w:rPr>
        <w:t>应做到初步设计成果的编制提交要与初步设计概算的编制提交同步进行，施工图设计成果的编制提交要配合施工图预算编制，做到项目立项和可行性研究报告批复的建设事项与勘察设计成果及项目概算编制事项应相互统一。</w:t>
      </w:r>
    </w:p>
    <w:p w14:paraId="6AF299B1">
      <w:pPr>
        <w:rPr>
          <w:color w:val="auto"/>
          <w:highlight w:val="none"/>
        </w:rPr>
      </w:pPr>
      <w:r>
        <w:rPr>
          <w:rFonts w:hint="eastAsia"/>
          <w:color w:val="auto"/>
          <w:highlight w:val="none"/>
        </w:rPr>
        <w:t>设计单位应按《广东省建设工程概算编制办法》（2014）编制项目概算书，按其中第3.1.5条规定“建设项目有两个或两个以上的单项工程时，采用三级概算编制形式（即概算文件中要有单项工程综合概算书、单项工程主要经济指标表等）”。相关造价文件要求及深度需满足《建设工程工程量清单计价规范》（GB50500-2013）、《房建建筑与装饰工程工程量计算规范》（GB50854-2013)、《通用安装工程工程量计算规范》（GB50856-2013）、《广东省通用安装工程综合定额（2018）》、《广东省市政工程综合定额（2018）》、《广东省园林绿化工程综合定额（2018）》等文件要求。</w:t>
      </w:r>
    </w:p>
    <w:p w14:paraId="427BBD9D">
      <w:pPr>
        <w:rPr>
          <w:rFonts w:hint="eastAsia" w:ascii="宋体" w:hAnsi="宋体" w:cs="宋体"/>
          <w:color w:val="auto"/>
          <w:highlight w:val="none"/>
        </w:rPr>
      </w:pPr>
      <w:r>
        <w:rPr>
          <w:rFonts w:hint="eastAsia"/>
          <w:color w:val="auto"/>
          <w:highlight w:val="none"/>
        </w:rPr>
        <w:t>设计单位编制的施工图设计文件应达到中华人民共和国建设部颁发的《建筑工程设计文件编制深度规定（2016版）》、《市政公用工程设计文件编制深度规定（2013版）》设计阶段深度；其质量须符合房屋建筑和市政基础设施工程施工图设计文件审查管理办法（中华人民共和国住房和城乡建设部令第13号）、《住房和城乡建设部关于修改&lt;房屋建筑和市政基础设施工程施工图设计文件审查管理办法&gt;的决定》等相关文件要求；应按《广州市政府投资管理条例》、《广州市财政投资评审监督管理办法》做好限额设计，确保施工图设计文件对应的预算不超批复概算对应的费用</w:t>
      </w:r>
      <w:r>
        <w:rPr>
          <w:rFonts w:hint="eastAsia" w:ascii="宋体" w:hAnsi="宋体" w:cs="宋体"/>
          <w:color w:val="auto"/>
          <w:highlight w:val="none"/>
        </w:rPr>
        <w:t>。</w:t>
      </w:r>
    </w:p>
    <w:p w14:paraId="17E5F1B4">
      <w:pPr>
        <w:pStyle w:val="5"/>
        <w:spacing w:before="156" w:after="156"/>
        <w:rPr>
          <w:color w:val="auto"/>
          <w:highlight w:val="none"/>
        </w:rPr>
      </w:pPr>
      <w:bookmarkStart w:id="177" w:name="_Toc18267"/>
      <w:bookmarkStart w:id="178" w:name="_Toc16306"/>
      <w:r>
        <w:rPr>
          <w:rFonts w:hint="eastAsia"/>
          <w:color w:val="auto"/>
          <w:highlight w:val="none"/>
        </w:rPr>
        <w:t>2.2.2 适用、经济、绿色、美观原则</w:t>
      </w:r>
      <w:bookmarkEnd w:id="177"/>
      <w:bookmarkEnd w:id="178"/>
    </w:p>
    <w:p w14:paraId="4D1D428A">
      <w:pPr>
        <w:rPr>
          <w:color w:val="auto"/>
          <w:highlight w:val="none"/>
        </w:rPr>
      </w:pPr>
      <w:r>
        <w:rPr>
          <w:rFonts w:hint="eastAsia"/>
          <w:color w:val="auto"/>
          <w:highlight w:val="none"/>
        </w:rPr>
        <w:t>根据2016年</w:t>
      </w:r>
      <w:r>
        <w:rPr>
          <w:color w:val="auto"/>
          <w:highlight w:val="none"/>
        </w:rPr>
        <w:t>《中共中央国务院关于进一步加强城市规划建设管理工作的若干意见》提出建筑八字方针“适用、经济、绿色、美观”</w:t>
      </w:r>
      <w:r>
        <w:rPr>
          <w:rFonts w:hint="eastAsia"/>
          <w:color w:val="auto"/>
          <w:highlight w:val="none"/>
        </w:rPr>
        <w:t>，设计应把握四个方面的有机统一，相互促进，彼此兼容，不能割裂，不可或缺。</w:t>
      </w:r>
    </w:p>
    <w:p w14:paraId="153F08C3">
      <w:pPr>
        <w:rPr>
          <w:color w:val="auto"/>
          <w:highlight w:val="none"/>
        </w:rPr>
      </w:pPr>
      <w:r>
        <w:rPr>
          <w:rFonts w:hint="eastAsia"/>
          <w:color w:val="auto"/>
          <w:highlight w:val="none"/>
        </w:rPr>
        <w:t>“适用”就是要符合客观条件的要求，满足建筑的使用功能。建筑的首要功能是为了应用，在建筑的总体布局和建筑细部处理上，应体现建筑及功能空间用途特色，充分考虑使用者体验和适用性。</w:t>
      </w:r>
    </w:p>
    <w:p w14:paraId="6755F053">
      <w:pPr>
        <w:rPr>
          <w:color w:val="auto"/>
          <w:highlight w:val="none"/>
        </w:rPr>
      </w:pPr>
      <w:r>
        <w:rPr>
          <w:rFonts w:hint="eastAsia"/>
          <w:color w:val="auto"/>
          <w:highlight w:val="none"/>
        </w:rPr>
        <w:t>“经济”就是要遵循建筑的内在规律，考虑建筑全生命周期的成本和效益。严格落实限额设计原则，在各种建筑、园林、室内的材料选择以及设备设施的选型上，要考虑安全、经久耐用、低维护、节能的可能性，尽量降低后期的运营管理费用。</w:t>
      </w:r>
    </w:p>
    <w:p w14:paraId="6169986F">
      <w:pPr>
        <w:rPr>
          <w:color w:val="auto"/>
          <w:highlight w:val="none"/>
        </w:rPr>
      </w:pPr>
      <w:r>
        <w:rPr>
          <w:rFonts w:hint="eastAsia"/>
          <w:color w:val="auto"/>
          <w:highlight w:val="none"/>
        </w:rPr>
        <w:t>“绿色”就是要按照生态文明建设的要求，倡导低碳环保节能，在建筑材料、施工方式和运行维护中都应体现绿色。在设计全过程深入贯彻习近平生态文明思想，践行绿水青山就是金山银山的发展理念。设计标准应充分研究绿色建筑设计内容，建筑及场地设计应对日照、风环境、建筑材料、建筑节能等绿色建筑技术进行充分回应，包括但不限于在集成使用可再生能源、水资源利用、绿色建材、通风采光等方面，遵循被动优先、主动优化的原则，体现生态思想和节能观念以及可持续发展和低碳、环保的理念，满足绿色建筑相关标准。</w:t>
      </w:r>
    </w:p>
    <w:p w14:paraId="25778558">
      <w:pPr>
        <w:rPr>
          <w:color w:val="auto"/>
          <w:highlight w:val="none"/>
        </w:rPr>
      </w:pPr>
      <w:r>
        <w:rPr>
          <w:rFonts w:hint="eastAsia"/>
          <w:color w:val="auto"/>
          <w:highlight w:val="none"/>
        </w:rPr>
        <w:t>“美观”就是要彰显地域特征、民族特色和时代风貌，体现建筑特点并与周边建筑、景观和谐统一。</w:t>
      </w:r>
    </w:p>
    <w:p w14:paraId="675F6CB8">
      <w:pPr>
        <w:pStyle w:val="5"/>
        <w:spacing w:before="156" w:after="156"/>
        <w:rPr>
          <w:color w:val="auto"/>
          <w:highlight w:val="none"/>
        </w:rPr>
      </w:pPr>
      <w:bookmarkStart w:id="179" w:name="_Toc1095"/>
      <w:bookmarkStart w:id="180" w:name="_Toc5844"/>
      <w:bookmarkStart w:id="181" w:name="_Toc109977705"/>
      <w:bookmarkStart w:id="182" w:name="_Toc9201"/>
      <w:bookmarkStart w:id="183" w:name="_Toc30329"/>
      <w:bookmarkStart w:id="184" w:name="_Toc22612"/>
      <w:bookmarkStart w:id="185" w:name="_Toc2166"/>
      <w:bookmarkStart w:id="186" w:name="_Toc24545"/>
      <w:bookmarkStart w:id="187" w:name="_Toc29360"/>
      <w:bookmarkStart w:id="188" w:name="_Toc10618"/>
      <w:bookmarkStart w:id="189" w:name="_Toc10570"/>
      <w:bookmarkStart w:id="190" w:name="_Toc16208"/>
      <w:bookmarkStart w:id="191" w:name="_Toc9070"/>
      <w:bookmarkStart w:id="192" w:name="_Toc28778"/>
      <w:bookmarkStart w:id="193" w:name="_Toc24654"/>
      <w:bookmarkStart w:id="194" w:name="_Toc25215"/>
      <w:bookmarkStart w:id="195" w:name="_Toc13679"/>
      <w:bookmarkStart w:id="196" w:name="_Toc14729"/>
      <w:bookmarkStart w:id="197" w:name="_Toc28101"/>
      <w:bookmarkStart w:id="198" w:name="_Toc30773"/>
      <w:bookmarkStart w:id="199" w:name="_Toc2884"/>
      <w:bookmarkStart w:id="200" w:name="_Toc17915"/>
      <w:bookmarkStart w:id="201" w:name="_Toc18880"/>
      <w:bookmarkStart w:id="202" w:name="_Toc32511"/>
      <w:bookmarkStart w:id="203" w:name="_Toc31423"/>
      <w:bookmarkStart w:id="204" w:name="_Toc4236"/>
      <w:bookmarkStart w:id="205" w:name="_Toc27996"/>
      <w:bookmarkStart w:id="206" w:name="_Toc19656"/>
      <w:r>
        <w:rPr>
          <w:rFonts w:hint="eastAsia"/>
          <w:color w:val="auto"/>
          <w:highlight w:val="none"/>
        </w:rPr>
        <w:t>2.1.3深入实际原则</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33894CC9">
      <w:pPr>
        <w:widowControl/>
        <w:numPr>
          <w:ilvl w:val="255"/>
          <w:numId w:val="0"/>
        </w:numPr>
        <w:spacing w:line="520" w:lineRule="exact"/>
        <w:ind w:firstLine="480" w:firstLineChars="200"/>
        <w:rPr>
          <w:color w:val="auto"/>
          <w:highlight w:val="none"/>
        </w:rPr>
      </w:pPr>
      <w:r>
        <w:rPr>
          <w:rFonts w:hint="eastAsia"/>
          <w:color w:val="auto"/>
          <w:highlight w:val="none"/>
        </w:rPr>
        <w:t>在设计开展前，应深入现场对现有场地及建筑物的状况进行详细的调研，了解场地的自然条件和社会条件，并对同类型项目进行调查研究，充分了解项目的特性与发展趋势，了解使用方的需求。符合现有地形特征，尽量利用地形，减少土方工程，以充分考虑经济性为基础，合理确定建筑的总体布局与功能设置。</w:t>
      </w:r>
    </w:p>
    <w:p w14:paraId="4DFCB3B6">
      <w:pPr>
        <w:pStyle w:val="5"/>
        <w:spacing w:before="156" w:after="156"/>
        <w:rPr>
          <w:color w:val="auto"/>
          <w:highlight w:val="none"/>
        </w:rPr>
      </w:pPr>
      <w:bookmarkStart w:id="207" w:name="_Toc20631"/>
      <w:bookmarkStart w:id="208" w:name="_Toc3474"/>
      <w:bookmarkStart w:id="209" w:name="_Toc28572"/>
      <w:r>
        <w:rPr>
          <w:rFonts w:hint="eastAsia"/>
          <w:color w:val="auto"/>
          <w:highlight w:val="none"/>
        </w:rPr>
        <w:t>2.1.4协调共生原则</w:t>
      </w:r>
      <w:bookmarkEnd w:id="207"/>
      <w:bookmarkEnd w:id="208"/>
      <w:bookmarkEnd w:id="209"/>
    </w:p>
    <w:p w14:paraId="4948A795">
      <w:pPr>
        <w:widowControl/>
        <w:numPr>
          <w:ilvl w:val="255"/>
          <w:numId w:val="0"/>
        </w:numPr>
        <w:spacing w:line="520" w:lineRule="exact"/>
        <w:ind w:firstLine="480" w:firstLineChars="200"/>
        <w:rPr>
          <w:color w:val="auto"/>
          <w:highlight w:val="none"/>
        </w:rPr>
      </w:pPr>
      <w:r>
        <w:rPr>
          <w:rFonts w:hint="eastAsia"/>
          <w:color w:val="auto"/>
          <w:highlight w:val="none"/>
        </w:rPr>
        <w:t>建筑功能布局和外观设计需与东侧规划居民区、西侧乌蛇坑水库及石门禅院、北侧执信中学（天河校区）、南侧龙山工业园、贯穿地块的乌蛇坑涌水系相适应，与周边环境协调并提升界面品质，与城市环境统一，与自然环境和谐。</w:t>
      </w:r>
    </w:p>
    <w:p w14:paraId="4562F024">
      <w:pPr>
        <w:pStyle w:val="5"/>
        <w:spacing w:before="156" w:after="156"/>
        <w:rPr>
          <w:color w:val="auto"/>
          <w:highlight w:val="none"/>
        </w:rPr>
      </w:pPr>
      <w:bookmarkStart w:id="210" w:name="_Toc20023"/>
      <w:bookmarkStart w:id="211" w:name="_Toc5247"/>
      <w:bookmarkStart w:id="212" w:name="_Toc15575"/>
      <w:bookmarkStart w:id="213" w:name="_Toc27397"/>
      <w:bookmarkStart w:id="214" w:name="_Toc12866"/>
      <w:bookmarkStart w:id="215" w:name="_Toc21260"/>
      <w:bookmarkStart w:id="216" w:name="_Toc12587"/>
      <w:bookmarkStart w:id="217" w:name="_Toc18657"/>
      <w:r>
        <w:rPr>
          <w:rFonts w:hint="eastAsia"/>
          <w:color w:val="auto"/>
          <w:highlight w:val="none"/>
        </w:rPr>
        <w:t>2.1.5发展规划</w:t>
      </w:r>
      <w:bookmarkEnd w:id="210"/>
      <w:bookmarkEnd w:id="211"/>
      <w:bookmarkEnd w:id="212"/>
      <w:bookmarkEnd w:id="213"/>
      <w:bookmarkEnd w:id="214"/>
      <w:bookmarkEnd w:id="215"/>
      <w:r>
        <w:rPr>
          <w:rFonts w:hint="eastAsia"/>
          <w:color w:val="auto"/>
          <w:highlight w:val="none"/>
        </w:rPr>
        <w:t>原则</w:t>
      </w:r>
      <w:bookmarkEnd w:id="216"/>
      <w:bookmarkEnd w:id="217"/>
    </w:p>
    <w:p w14:paraId="4C31B222">
      <w:pPr>
        <w:rPr>
          <w:color w:val="auto"/>
          <w:highlight w:val="none"/>
        </w:rPr>
      </w:pPr>
      <w:r>
        <w:rPr>
          <w:rFonts w:hint="eastAsia"/>
          <w:color w:val="auto"/>
          <w:highlight w:val="none"/>
        </w:rPr>
        <w:t>本项目未达地块可建设量上限，为满足对未来发展的要求，设计中应考虑未来发展的灵活性和可扩展性。</w:t>
      </w:r>
    </w:p>
    <w:bookmarkEnd w:id="174"/>
    <w:bookmarkEnd w:id="175"/>
    <w:bookmarkEnd w:id="176"/>
    <w:p w14:paraId="7BD52404">
      <w:pPr>
        <w:pStyle w:val="4"/>
        <w:spacing w:before="156" w:after="156"/>
        <w:rPr>
          <w:color w:val="auto"/>
          <w:highlight w:val="none"/>
        </w:rPr>
      </w:pPr>
      <w:bookmarkStart w:id="218" w:name="_Toc452558305"/>
      <w:bookmarkStart w:id="219" w:name="_Toc26185"/>
      <w:bookmarkStart w:id="220" w:name="_Toc7667"/>
      <w:bookmarkStart w:id="221" w:name="_Toc447612864"/>
      <w:bookmarkStart w:id="222" w:name="_Toc25015"/>
      <w:bookmarkStart w:id="223" w:name="_Toc5021"/>
      <w:bookmarkStart w:id="224" w:name="_Toc12239"/>
      <w:bookmarkStart w:id="225" w:name="_Toc5500"/>
      <w:bookmarkStart w:id="226" w:name="_Toc4754_WPSOffice_Level2"/>
      <w:bookmarkStart w:id="227" w:name="_Toc452973685"/>
      <w:bookmarkStart w:id="228" w:name="_Toc24631"/>
      <w:bookmarkStart w:id="229" w:name="_Toc447612385"/>
      <w:bookmarkStart w:id="230" w:name="_Toc2881"/>
      <w:r>
        <w:rPr>
          <w:rFonts w:hint="eastAsia"/>
          <w:color w:val="auto"/>
          <w:highlight w:val="none"/>
        </w:rPr>
        <w:t>2.2勘察设计内容</w:t>
      </w:r>
      <w:bookmarkEnd w:id="218"/>
      <w:bookmarkEnd w:id="219"/>
      <w:bookmarkEnd w:id="220"/>
      <w:bookmarkEnd w:id="221"/>
      <w:bookmarkEnd w:id="222"/>
      <w:bookmarkEnd w:id="223"/>
      <w:bookmarkEnd w:id="224"/>
      <w:bookmarkEnd w:id="225"/>
      <w:bookmarkEnd w:id="226"/>
      <w:bookmarkEnd w:id="227"/>
      <w:bookmarkEnd w:id="228"/>
      <w:bookmarkEnd w:id="229"/>
      <w:bookmarkEnd w:id="230"/>
    </w:p>
    <w:p w14:paraId="70231F1E">
      <w:pPr>
        <w:rPr>
          <w:rFonts w:hint="eastAsia" w:ascii="宋体" w:hAnsi="宋体" w:cs="宋体"/>
          <w:color w:val="auto"/>
          <w:szCs w:val="21"/>
          <w:highlight w:val="none"/>
        </w:rPr>
      </w:pPr>
      <w:r>
        <w:rPr>
          <w:rFonts w:hint="eastAsia" w:ascii="宋体" w:hAnsi="宋体" w:cs="宋体"/>
          <w:color w:val="auto"/>
          <w:szCs w:val="21"/>
          <w:highlight w:val="none"/>
        </w:rPr>
        <w:t>此部分内容设选项按标准化模式设置，标注“√”的选项即为本项目采用，标注“×”的选项为本项目不采用。</w:t>
      </w:r>
      <w:r>
        <w:rPr>
          <w:rFonts w:hint="eastAsia" w:ascii="宋体" w:hAnsi="宋体" w:cs="宋体"/>
          <w:snapToGrid w:val="0"/>
          <w:color w:val="auto"/>
          <w:kern w:val="0"/>
          <w:highlight w:val="none"/>
        </w:rPr>
        <w:t>包括但不限于以下内容：</w:t>
      </w:r>
    </w:p>
    <w:p w14:paraId="08AA1ECB">
      <w:pPr>
        <w:ind w:firstLine="360"/>
        <w:rPr>
          <w:rFonts w:hint="eastAsia" w:ascii="宋体" w:hAnsi="宋体"/>
          <w:snapToGrid w:val="0"/>
          <w:color w:val="auto"/>
          <w:kern w:val="0"/>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（1）规划用地</w:t>
      </w:r>
      <w:r>
        <w:rPr>
          <w:rFonts w:hint="eastAsia"/>
          <w:color w:val="auto"/>
          <w:highlight w:val="none"/>
        </w:rPr>
        <w:t>红线内</w:t>
      </w:r>
      <w:r>
        <w:rPr>
          <w:rFonts w:hint="eastAsia" w:ascii="宋体" w:hAnsi="宋体" w:cs="宋体"/>
          <w:snapToGrid w:val="0"/>
          <w:color w:val="auto"/>
          <w:kern w:val="0"/>
          <w:highlight w:val="none"/>
        </w:rPr>
        <w:t>及红线外（管线）所涉及建设内容的全部勘察，</w:t>
      </w:r>
      <w:r>
        <w:rPr>
          <w:rFonts w:hint="eastAsia" w:ascii="宋体" w:hAnsi="宋体"/>
          <w:snapToGrid w:val="0"/>
          <w:color w:val="auto"/>
          <w:kern w:val="0"/>
          <w:highlight w:val="none"/>
        </w:rPr>
        <w:t>包括但不限于岩土工程勘察（初步勘察、详细勘察）；工程测量（含土石方测量、室外道路测量）；工程物探（含管线探测）；</w:t>
      </w:r>
    </w:p>
    <w:p w14:paraId="73B92ABA">
      <w:pPr>
        <w:rPr>
          <w:rFonts w:hint="eastAsia" w:ascii="宋体" w:hAnsi="宋体"/>
          <w:snapToGrid w:val="0"/>
          <w:color w:val="auto"/>
          <w:kern w:val="0"/>
          <w:highlight w:val="none"/>
        </w:rPr>
      </w:pPr>
      <w:r>
        <w:rPr>
          <w:rFonts w:hint="eastAsia" w:ascii="宋体" w:hAnsi="宋体"/>
          <w:snapToGrid w:val="0"/>
          <w:color w:val="auto"/>
          <w:kern w:val="0"/>
          <w:highlight w:val="none"/>
        </w:rPr>
        <w:t>乙方不得拒绝执行为完成全部工程而须执行的不可或缺的附带工作，甲方保留调整发包范围的权利，以甲方书面委托为主，乙方不得提出异议。</w:t>
      </w:r>
    </w:p>
    <w:p w14:paraId="475DD007">
      <w:pPr>
        <w:rPr>
          <w:rFonts w:hint="eastAsia" w:ascii="宋体" w:hAnsi="宋体" w:cs="宋体"/>
          <w:bCs/>
          <w:snapToGrid w:val="0"/>
          <w:color w:val="auto"/>
          <w:kern w:val="0"/>
          <w:sz w:val="18"/>
          <w:szCs w:val="18"/>
          <w:highlight w:val="none"/>
          <w:bdr w:val="single" w:color="auto" w:sz="4" w:space="0"/>
        </w:rPr>
      </w:pPr>
      <w:r>
        <w:rPr>
          <w:rFonts w:hint="eastAsia" w:ascii="宋体" w:hAnsi="宋体"/>
          <w:snapToGrid w:val="0"/>
          <w:color w:val="auto"/>
          <w:kern w:val="0"/>
          <w:highlight w:val="none"/>
        </w:rPr>
        <w:t>负责协调和配合相关主管部门对相关工作成果进行审批，直至获得批复；负责审核并确认施工过程中土方四方联测成果，参与现场有关勘察及验收会议，配合验收文件的签章工作。并负责协调和配合相关主管部门对相关工作成果进行审批，直至获得批复。</w:t>
      </w:r>
    </w:p>
    <w:p w14:paraId="4F543984">
      <w:pPr>
        <w:ind w:firstLine="360"/>
        <w:rPr>
          <w:rFonts w:hint="eastAsia" w:ascii="宋体" w:hAnsi="宋体" w:cs="宋体"/>
          <w:snapToGrid w:val="0"/>
          <w:color w:val="auto"/>
          <w:kern w:val="0"/>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（2）方案修改及完善：根据《建筑工程设计文件编制深度规定（20</w:t>
      </w:r>
      <w:r>
        <w:rPr>
          <w:rFonts w:ascii="宋体" w:hAnsi="宋体" w:cs="宋体"/>
          <w:snapToGrid w:val="0"/>
          <w:color w:val="auto"/>
          <w:kern w:val="0"/>
          <w:highlight w:val="none"/>
        </w:rPr>
        <w:t>16</w:t>
      </w:r>
      <w:r>
        <w:rPr>
          <w:rFonts w:hint="eastAsia" w:ascii="宋体" w:hAnsi="宋体" w:cs="宋体"/>
          <w:snapToGrid w:val="0"/>
          <w:color w:val="auto"/>
          <w:kern w:val="0"/>
          <w:highlight w:val="none"/>
        </w:rPr>
        <w:t>年版）》、《市政公用工程设计文件编制深度规定（2013年版）》中关于方案设计应达到的设计深度要求，同时根据专家评审意见及使用单位、业主单位和相关职能部门提出的修改意见，对发包人选定的设计方案进行修改和完善。</w:t>
      </w:r>
    </w:p>
    <w:p w14:paraId="33403AB8">
      <w:pPr>
        <w:ind w:firstLine="360"/>
        <w:rPr>
          <w:rFonts w:hint="eastAsia" w:ascii="宋体" w:hAnsi="宋体" w:cs="宋体"/>
          <w:snapToGrid w:val="0"/>
          <w:color w:val="auto"/>
          <w:kern w:val="0"/>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（3）建筑工程设计方案审查的设计：项目范围内</w:t>
      </w:r>
      <w:r>
        <w:rPr>
          <w:rFonts w:hint="eastAsia" w:ascii="宋体" w:hAnsi="宋体" w:cs="宋体"/>
          <w:snapToGrid w:val="0"/>
          <w:color w:val="auto"/>
          <w:kern w:val="0"/>
          <w:highlight w:val="none"/>
          <w:u w:val="single"/>
        </w:rPr>
        <w:t>（具体以招标人书面要求为准）</w:t>
      </w:r>
      <w:r>
        <w:rPr>
          <w:rFonts w:hint="eastAsia" w:ascii="宋体" w:hAnsi="宋体" w:cs="宋体"/>
          <w:snapToGrid w:val="0"/>
          <w:color w:val="auto"/>
          <w:kern w:val="0"/>
          <w:highlight w:val="none"/>
        </w:rPr>
        <w:t>总平面及竖向规划设计、管线综合设计、建筑布局、交通组织、景观绿化、建筑立面、环境节能保护等。</w:t>
      </w:r>
    </w:p>
    <w:p w14:paraId="210CEFB9">
      <w:pPr>
        <w:ind w:firstLine="360"/>
        <w:rPr>
          <w:rFonts w:hint="eastAsia" w:ascii="宋体" w:hAnsi="宋体" w:cs="宋体"/>
          <w:snapToGrid w:val="0"/>
          <w:color w:val="auto"/>
          <w:kern w:val="0"/>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（4）室外市政、园林工程设计：项目用地范围内的结构工程、填土工程、室外道路、园林景观绿化、</w:t>
      </w:r>
      <w:r>
        <w:rPr>
          <w:rFonts w:hint="eastAsia" w:ascii="宋体" w:hAnsi="宋体" w:cs="宋体"/>
          <w:snapToGrid w:val="0"/>
          <w:color w:val="auto"/>
          <w:highlight w:val="none"/>
        </w:rPr>
        <w:t>室外管线设施工程（包括给排水系统、消防系统、电气系统、弱电系统及其附属设施等）</w:t>
      </w:r>
      <w:r>
        <w:rPr>
          <w:rFonts w:hint="eastAsia" w:ascii="宋体" w:hAnsi="宋体" w:cs="宋体"/>
          <w:snapToGrid w:val="0"/>
          <w:color w:val="auto"/>
          <w:kern w:val="0"/>
          <w:highlight w:val="none"/>
        </w:rPr>
        <w:t>、标识系统、太阳能系统工程、大门、围墙、</w:t>
      </w:r>
      <w:r>
        <w:rPr>
          <w:rFonts w:hint="eastAsia" w:ascii="宋体" w:hAnsi="宋体" w:cs="宋体"/>
          <w:b/>
          <w:color w:val="auto"/>
          <w:highlight w:val="none"/>
        </w:rPr>
        <w:t>调蓄设施</w:t>
      </w:r>
      <w:r>
        <w:rPr>
          <w:rFonts w:hint="eastAsia" w:ascii="宋体" w:hAnsi="宋体" w:cs="宋体"/>
          <w:snapToGrid w:val="0"/>
          <w:color w:val="auto"/>
          <w:kern w:val="0"/>
          <w:highlight w:val="none"/>
        </w:rPr>
        <w:t>以及室外各种管线综合平衡设计</w:t>
      </w:r>
      <w:r>
        <w:rPr>
          <w:rFonts w:hint="eastAsia" w:ascii="宋体" w:hAnsi="宋体" w:cs="宋体"/>
          <w:snapToGrid w:val="0"/>
          <w:color w:val="auto"/>
          <w:highlight w:val="none"/>
        </w:rPr>
        <w:t>、软基处理、场地与市政道路临时接驳设计、场地与河涌及桥梁的接驳设计等。</w:t>
      </w:r>
    </w:p>
    <w:p w14:paraId="04637107">
      <w:pPr>
        <w:ind w:firstLine="360"/>
        <w:rPr>
          <w:rFonts w:hint="eastAsia" w:ascii="宋体" w:hAnsi="宋体" w:cs="宋体"/>
          <w:snapToGrid w:val="0"/>
          <w:color w:val="auto"/>
          <w:kern w:val="0"/>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（5）建筑设计：项目建议书范围内的建、构筑物的设计、室内装修设计（含标识系统）。</w:t>
      </w:r>
    </w:p>
    <w:p w14:paraId="47DEFF0E">
      <w:pPr>
        <w:ind w:firstLine="360"/>
        <w:rPr>
          <w:rFonts w:hint="eastAsia" w:ascii="宋体" w:hAnsi="宋体" w:cs="宋体"/>
          <w:snapToGrid w:val="0"/>
          <w:color w:val="auto"/>
          <w:kern w:val="0"/>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（6）结构设计：本项目范围内建筑体的结构设计、基坑支护设计、幕墙（若有）、山体边坡支护（若有）、结构加固（若有）等结构设计等。</w:t>
      </w:r>
    </w:p>
    <w:p w14:paraId="66F3C823">
      <w:pPr>
        <w:ind w:firstLine="360"/>
        <w:rPr>
          <w:rFonts w:hint="eastAsia" w:ascii="宋体" w:hAnsi="宋体" w:cs="宋体"/>
          <w:snapToGrid w:val="0"/>
          <w:color w:val="auto"/>
          <w:kern w:val="0"/>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（7）电气设计</w:t>
      </w:r>
      <w:r>
        <w:rPr>
          <w:rFonts w:ascii="宋体" w:hAnsi="宋体" w:cs="宋体"/>
          <w:snapToGrid w:val="0"/>
          <w:color w:val="auto"/>
          <w:kern w:val="0"/>
          <w:highlight w:val="none"/>
        </w:rPr>
        <w:t>：外电</w:t>
      </w:r>
      <w:r>
        <w:rPr>
          <w:rFonts w:hint="eastAsia" w:ascii="宋体" w:hAnsi="宋体" w:cs="宋体"/>
          <w:snapToGrid w:val="0"/>
          <w:color w:val="auto"/>
          <w:kern w:val="0"/>
          <w:highlight w:val="none"/>
        </w:rPr>
        <w:t>接入</w:t>
      </w:r>
      <w:r>
        <w:rPr>
          <w:rFonts w:ascii="宋体" w:hAnsi="宋体" w:cs="宋体"/>
          <w:snapToGrid w:val="0"/>
          <w:color w:val="auto"/>
          <w:kern w:val="0"/>
          <w:highlight w:val="none"/>
        </w:rPr>
        <w:t>（</w:t>
      </w:r>
      <w:r>
        <w:rPr>
          <w:rFonts w:hint="eastAsia" w:ascii="宋体" w:hAnsi="宋体" w:cs="宋体"/>
          <w:snapToGrid w:val="0"/>
          <w:color w:val="auto"/>
          <w:kern w:val="0"/>
          <w:highlight w:val="none"/>
        </w:rPr>
        <w:t>需设计接至主管部门指定</w:t>
      </w:r>
      <w:r>
        <w:rPr>
          <w:rFonts w:ascii="宋体" w:hAnsi="宋体" w:cs="宋体"/>
          <w:snapToGrid w:val="0"/>
          <w:color w:val="auto"/>
          <w:kern w:val="0"/>
          <w:highlight w:val="none"/>
        </w:rPr>
        <w:t>接</w:t>
      </w:r>
      <w:r>
        <w:rPr>
          <w:rFonts w:hint="eastAsia" w:ascii="宋体" w:hAnsi="宋体" w:cs="宋体"/>
          <w:snapToGrid w:val="0"/>
          <w:color w:val="auto"/>
          <w:kern w:val="0"/>
          <w:highlight w:val="none"/>
        </w:rPr>
        <w:t>入点</w:t>
      </w:r>
      <w:r>
        <w:rPr>
          <w:rFonts w:ascii="宋体" w:hAnsi="宋体" w:cs="宋体"/>
          <w:snapToGrid w:val="0"/>
          <w:color w:val="auto"/>
          <w:kern w:val="0"/>
          <w:highlight w:val="none"/>
        </w:rPr>
        <w:t>）、</w:t>
      </w:r>
      <w:r>
        <w:rPr>
          <w:rFonts w:hint="eastAsia" w:ascii="宋体" w:hAnsi="宋体" w:cs="宋体"/>
          <w:snapToGrid w:val="0"/>
          <w:color w:val="auto"/>
          <w:kern w:val="0"/>
          <w:highlight w:val="none"/>
        </w:rPr>
        <w:t>临时用电（含报装工作）、永久用电（含临时用电变压器拆除设计内容，永电设计方案通过供电部门审批及验收，含报装工作）、建筑内部高低压变配电系统、动力、照明配电、</w:t>
      </w:r>
      <w:r>
        <w:rPr>
          <w:rFonts w:hint="eastAsia"/>
          <w:color w:val="auto"/>
          <w:highlight w:val="none"/>
        </w:rPr>
        <w:t>爆炸性环境危险区域电气设计、</w:t>
      </w:r>
      <w:r>
        <w:rPr>
          <w:rFonts w:hint="eastAsia" w:ascii="宋体" w:hAnsi="宋体" w:cs="宋体"/>
          <w:snapToGrid w:val="0"/>
          <w:color w:val="auto"/>
          <w:kern w:val="0"/>
          <w:highlight w:val="none"/>
        </w:rPr>
        <w:t>火灾自动报警系统、智能化消防应急照明和疏散逃生指示系统、管道抗震设计、停车位充电桩、柴油发电机组、防雷及接地等，室外配套工程配电和照明工程（含泛光照明），红线内电力管线平衡等。</w:t>
      </w:r>
    </w:p>
    <w:p w14:paraId="0124A149">
      <w:pPr>
        <w:ind w:firstLine="360"/>
        <w:rPr>
          <w:rFonts w:hint="eastAsia" w:ascii="宋体" w:hAnsi="宋体" w:cs="宋体"/>
          <w:snapToGrid w:val="0"/>
          <w:color w:val="auto"/>
          <w:kern w:val="0"/>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w:t>
      </w:r>
      <w:r>
        <w:rPr>
          <w:rFonts w:ascii="宋体" w:hAnsi="宋体" w:cs="宋体"/>
          <w:snapToGrid w:val="0"/>
          <w:color w:val="auto"/>
          <w:kern w:val="0"/>
          <w:highlight w:val="none"/>
        </w:rPr>
        <w:t>8）建筑弱电智能化系统设计（含设备</w:t>
      </w:r>
      <w:r>
        <w:rPr>
          <w:rFonts w:hint="eastAsia" w:ascii="宋体" w:hAnsi="宋体" w:cs="宋体"/>
          <w:snapToGrid w:val="0"/>
          <w:color w:val="auto"/>
          <w:kern w:val="0"/>
          <w:highlight w:val="none"/>
        </w:rPr>
        <w:t>及机房，具体以批复的项目建议书中涉及的内容为准）</w:t>
      </w:r>
    </w:p>
    <w:p w14:paraId="2745364C">
      <w:pPr>
        <w:ind w:firstLine="360"/>
        <w:rPr>
          <w:rFonts w:hint="eastAsia" w:ascii="宋体" w:hAnsi="宋体" w:cs="宋体"/>
          <w:bCs/>
          <w:color w:val="auto"/>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（9）给排水设计</w:t>
      </w:r>
      <w:r>
        <w:rPr>
          <w:rFonts w:ascii="宋体" w:hAnsi="宋体" w:cs="宋体"/>
          <w:snapToGrid w:val="0"/>
          <w:color w:val="auto"/>
          <w:kern w:val="0"/>
          <w:highlight w:val="none"/>
        </w:rPr>
        <w:t>：</w:t>
      </w:r>
      <w:r>
        <w:rPr>
          <w:rFonts w:hint="eastAsia" w:ascii="宋体" w:hAnsi="宋体" w:cs="宋体"/>
          <w:snapToGrid w:val="0"/>
          <w:color w:val="auto"/>
          <w:kern w:val="0"/>
          <w:highlight w:val="none"/>
        </w:rPr>
        <w:t>含</w:t>
      </w:r>
      <w:r>
        <w:rPr>
          <w:rFonts w:hint="eastAsia" w:ascii="宋体" w:hAnsi="宋体" w:cs="宋体"/>
          <w:bCs/>
          <w:color w:val="auto"/>
          <w:highlight w:val="none"/>
        </w:rPr>
        <w:t>外水接入（需</w:t>
      </w:r>
      <w:r>
        <w:rPr>
          <w:rFonts w:hint="eastAsia" w:ascii="宋体" w:hAnsi="宋体" w:cs="宋体"/>
          <w:snapToGrid w:val="0"/>
          <w:color w:val="auto"/>
          <w:kern w:val="0"/>
          <w:highlight w:val="none"/>
        </w:rPr>
        <w:t>接至主管部门指定接入点</w:t>
      </w:r>
      <w:r>
        <w:rPr>
          <w:rFonts w:hint="eastAsia" w:ascii="宋体" w:hAnsi="宋体" w:cs="宋体"/>
          <w:bCs/>
          <w:color w:val="auto"/>
          <w:highlight w:val="none"/>
        </w:rPr>
        <w:t>）、临时用水（含报装工作）、永久用水</w:t>
      </w:r>
      <w:r>
        <w:rPr>
          <w:rFonts w:hint="eastAsia" w:ascii="宋体" w:hAnsi="宋体" w:cs="宋体"/>
          <w:snapToGrid w:val="0"/>
          <w:color w:val="auto"/>
          <w:highlight w:val="none"/>
        </w:rPr>
        <w:t>（含报装工作）</w:t>
      </w:r>
      <w:r>
        <w:rPr>
          <w:rFonts w:hint="eastAsia" w:ascii="宋体" w:hAnsi="宋体" w:cs="宋体"/>
          <w:bCs/>
          <w:color w:val="auto"/>
          <w:highlight w:val="none"/>
        </w:rPr>
        <w:t>、室内外给水系统、室内外雨水系统、室内外污水系统、热水供应系统、</w:t>
      </w:r>
      <w:r>
        <w:rPr>
          <w:rFonts w:hint="eastAsia" w:ascii="宋体" w:hAnsi="宋体" w:cs="宋体"/>
          <w:b/>
          <w:color w:val="auto"/>
          <w:highlight w:val="none"/>
        </w:rPr>
        <w:t>直饮水系统、调蓄设施</w:t>
      </w:r>
      <w:r>
        <w:rPr>
          <w:rFonts w:hint="eastAsia" w:ascii="宋体" w:hAnsi="宋体" w:cs="宋体"/>
          <w:bCs/>
          <w:color w:val="auto"/>
          <w:highlight w:val="none"/>
        </w:rPr>
        <w:t>、管道抗震设计</w:t>
      </w:r>
      <w:r>
        <w:rPr>
          <w:rFonts w:hint="eastAsia" w:ascii="宋体" w:hAnsi="宋体" w:cs="宋体"/>
          <w:snapToGrid w:val="0"/>
          <w:color w:val="auto"/>
          <w:kern w:val="0"/>
          <w:highlight w:val="none"/>
        </w:rPr>
        <w:t>与市政管线接驳</w:t>
      </w:r>
      <w:r>
        <w:rPr>
          <w:rFonts w:hint="eastAsia" w:ascii="宋体" w:hAnsi="宋体" w:cs="宋体"/>
          <w:bCs/>
          <w:color w:val="auto"/>
          <w:highlight w:val="none"/>
        </w:rPr>
        <w:t>等相关设计。</w:t>
      </w:r>
    </w:p>
    <w:p w14:paraId="0F2463B0">
      <w:pPr>
        <w:ind w:firstLine="360"/>
        <w:rPr>
          <w:rFonts w:hint="eastAsia" w:ascii="宋体" w:hAnsi="宋体" w:cs="宋体"/>
          <w:snapToGrid w:val="0"/>
          <w:color w:val="auto"/>
          <w:kern w:val="0"/>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（10）空调通风设计：包括不限于建筑物内部通风系统、建筑物内部空气调节系统、集中供冷供热系统、空调管道抗震等的设计。</w:t>
      </w:r>
    </w:p>
    <w:p w14:paraId="7983A6BA">
      <w:pPr>
        <w:ind w:firstLine="360"/>
        <w:rPr>
          <w:rFonts w:hint="eastAsia" w:ascii="宋体" w:hAnsi="宋体" w:cs="宋体"/>
          <w:snapToGrid w:val="0"/>
          <w:color w:val="auto"/>
          <w:kern w:val="0"/>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（11）消防设计：室内外消火栓系统、自动喷淋系统、气体灭火系统、防排烟系统、火灾自动报警及联动控制系统等消防设施及管道抗震设计。</w:t>
      </w:r>
    </w:p>
    <w:p w14:paraId="3D59F218">
      <w:pPr>
        <w:pStyle w:val="2"/>
        <w:ind w:firstLine="360"/>
        <w:rPr>
          <w:color w:val="auto"/>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（12）燃气工程：本项目不涉及。</w:t>
      </w:r>
    </w:p>
    <w:p w14:paraId="15ABBFFB">
      <w:pPr>
        <w:ind w:firstLine="360"/>
        <w:rPr>
          <w:rFonts w:hint="eastAsia" w:ascii="宋体" w:hAnsi="宋体" w:cs="宋体"/>
          <w:snapToGrid w:val="0"/>
          <w:color w:val="auto"/>
          <w:kern w:val="0"/>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（13）人防工程设计。</w:t>
      </w:r>
    </w:p>
    <w:p w14:paraId="24A91325">
      <w:pPr>
        <w:ind w:firstLine="360"/>
        <w:rPr>
          <w:rFonts w:hint="eastAsia" w:ascii="宋体" w:hAnsi="宋体" w:cs="宋体"/>
          <w:snapToGrid w:val="0"/>
          <w:color w:val="auto"/>
          <w:kern w:val="0"/>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（14）电梯工程设计与相关配合。</w:t>
      </w:r>
    </w:p>
    <w:p w14:paraId="67304C91">
      <w:pPr>
        <w:ind w:firstLine="360"/>
        <w:rPr>
          <w:rFonts w:hint="eastAsia" w:ascii="宋体" w:hAnsi="宋体" w:cs="宋体"/>
          <w:snapToGrid w:val="0"/>
          <w:color w:val="auto"/>
          <w:kern w:val="0"/>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（15）市政道路专业设计。</w:t>
      </w:r>
    </w:p>
    <w:p w14:paraId="08B20DF8">
      <w:pPr>
        <w:ind w:firstLine="360"/>
        <w:rPr>
          <w:rFonts w:hint="eastAsia" w:ascii="宋体" w:hAnsi="宋体" w:cs="宋体"/>
          <w:snapToGrid w:val="0"/>
          <w:color w:val="auto"/>
          <w:kern w:val="0"/>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（16）市政管线专业设计。</w:t>
      </w:r>
    </w:p>
    <w:p w14:paraId="52114CF4">
      <w:pPr>
        <w:ind w:firstLine="360"/>
        <w:rPr>
          <w:rFonts w:hint="eastAsia" w:ascii="宋体" w:hAnsi="宋体" w:cs="宋体"/>
          <w:snapToGrid w:val="0"/>
          <w:color w:val="auto"/>
          <w:kern w:val="0"/>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（17）按照项目的灯光、声学等特殊工艺设计要求进行建筑、结构及其配套设备专业的设计与相关配合。</w:t>
      </w:r>
    </w:p>
    <w:p w14:paraId="6E3BDA3A">
      <w:pPr>
        <w:ind w:firstLine="360"/>
        <w:rPr>
          <w:rFonts w:hint="eastAsia" w:ascii="宋体" w:hAnsi="宋体" w:cs="宋体"/>
          <w:snapToGrid w:val="0"/>
          <w:color w:val="auto"/>
          <w:kern w:val="0"/>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（18）管线综合平衡设计：各种专业设备、系统的管线在建筑物内、外的路由平衡设计。建筑物内、外的管线综合平衡设计以专篇形式提交。</w:t>
      </w:r>
    </w:p>
    <w:p w14:paraId="484186C8">
      <w:pPr>
        <w:ind w:firstLine="360"/>
        <w:rPr>
          <w:rFonts w:hint="eastAsia" w:ascii="宋体" w:hAnsi="宋体" w:cs="宋体"/>
          <w:snapToGrid w:val="0"/>
          <w:color w:val="auto"/>
          <w:kern w:val="0"/>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（19）设备选型意见：就拟采用的通用机电设备、通用电子设备（如广播音响系统等）的选型于施工图设计开始前向招标人提出书面意见并提供相关设备的技术参数规格书。</w:t>
      </w:r>
    </w:p>
    <w:p w14:paraId="3A43AA52">
      <w:pPr>
        <w:ind w:firstLine="360"/>
        <w:rPr>
          <w:rFonts w:hint="eastAsia" w:ascii="宋体" w:hAnsi="宋体" w:cs="宋体"/>
          <w:snapToGrid w:val="0"/>
          <w:color w:val="auto"/>
          <w:kern w:val="0"/>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（20）建筑节能、绿色建筑设计和申报、验收，以及新技术应用的研究和设计。</w:t>
      </w:r>
    </w:p>
    <w:p w14:paraId="6395A5D8">
      <w:pPr>
        <w:ind w:firstLine="360"/>
        <w:rPr>
          <w:rFonts w:hint="eastAsia" w:ascii="宋体" w:hAnsi="宋体" w:cs="宋体"/>
          <w:snapToGrid w:val="0"/>
          <w:color w:val="auto"/>
          <w:kern w:val="0"/>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（21）编制方案设计投资估算。</w:t>
      </w:r>
    </w:p>
    <w:p w14:paraId="64B40F13">
      <w:pPr>
        <w:ind w:firstLine="360"/>
        <w:rPr>
          <w:rFonts w:hint="eastAsia" w:ascii="宋体" w:hAnsi="宋体" w:cs="宋体"/>
          <w:snapToGrid w:val="0"/>
          <w:color w:val="auto"/>
          <w:kern w:val="0"/>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（22）编制初步设计概算。</w:t>
      </w:r>
    </w:p>
    <w:p w14:paraId="14E10425">
      <w:pPr>
        <w:ind w:firstLine="360"/>
        <w:rPr>
          <w:rFonts w:hint="eastAsia" w:ascii="宋体" w:hAnsi="宋体" w:cs="宋体"/>
          <w:snapToGrid w:val="0"/>
          <w:color w:val="auto"/>
          <w:kern w:val="0"/>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（23）编制由设计单位发起的设计变更造价文件。</w:t>
      </w:r>
    </w:p>
    <w:p w14:paraId="08D49A05">
      <w:pPr>
        <w:ind w:firstLine="360"/>
        <w:rPr>
          <w:rFonts w:hint="eastAsia" w:ascii="宋体" w:hAnsi="宋体" w:cs="宋体"/>
          <w:snapToGrid w:val="0"/>
          <w:color w:val="auto"/>
          <w:kern w:val="0"/>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（24）配合编制施工图预算。</w:t>
      </w:r>
    </w:p>
    <w:p w14:paraId="64EA0BE5">
      <w:pPr>
        <w:ind w:firstLine="360"/>
        <w:rPr>
          <w:rFonts w:hint="eastAsia" w:ascii="宋体" w:hAnsi="宋体" w:cs="宋体"/>
          <w:snapToGrid w:val="0"/>
          <w:color w:val="auto"/>
          <w:kern w:val="0"/>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（25）在规划红线范围内，投标人应保证按规划及建筑功能要求、配套设施要求完成本合同工程造价中包含的全部项目的专业专项勘察、设计。</w:t>
      </w:r>
    </w:p>
    <w:p w14:paraId="7BCB053E">
      <w:pPr>
        <w:ind w:firstLine="360"/>
        <w:rPr>
          <w:rFonts w:hint="eastAsia" w:ascii="宋体" w:hAnsi="宋体" w:cs="宋体"/>
          <w:snapToGrid w:val="0"/>
          <w:color w:val="auto"/>
          <w:kern w:val="0"/>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（26）对于专项分包勘察、设计文件，须由投标人及专项分包单位人员校核并会签及盖章确认。</w:t>
      </w:r>
    </w:p>
    <w:p w14:paraId="48D92BF2">
      <w:pPr>
        <w:ind w:firstLine="360"/>
        <w:rPr>
          <w:rFonts w:hint="eastAsia" w:ascii="宋体" w:hAnsi="宋体" w:cs="宋体"/>
          <w:snapToGrid w:val="0"/>
          <w:color w:val="auto"/>
          <w:kern w:val="0"/>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（27）提供主要设备材料表及技术要求书，配合招标人的招标工作。</w:t>
      </w:r>
    </w:p>
    <w:p w14:paraId="1ED867A3">
      <w:pPr>
        <w:rPr>
          <w:rFonts w:hint="eastAsia" w:ascii="宋体" w:hAnsi="宋体" w:cs="宋体"/>
          <w:snapToGrid w:val="0"/>
          <w:color w:val="auto"/>
          <w:kern w:val="0"/>
          <w:highlight w:val="none"/>
        </w:rPr>
      </w:pPr>
      <w:r>
        <w:rPr>
          <w:rFonts w:hint="eastAsia" w:ascii="宋体" w:hAnsi="宋体" w:cs="宋体"/>
          <w:snapToGrid w:val="0"/>
          <w:color w:val="auto"/>
          <w:kern w:val="0"/>
          <w:highlight w:val="none"/>
        </w:rPr>
        <w:t>地震评估、环境评估、防雷评估、风洞试验、振动台试验、荷载试验、消防性能化分析及有关专项试验、研究与论证不在投标人设计范畴内，但投标人应配合招标人的工作。</w:t>
      </w:r>
    </w:p>
    <w:p w14:paraId="2BA5ADB7">
      <w:pPr>
        <w:ind w:firstLine="360"/>
        <w:rPr>
          <w:rFonts w:hint="eastAsia" w:ascii="宋体" w:hAnsi="宋体" w:cs="宋体"/>
          <w:snapToGrid w:val="0"/>
          <w:color w:val="auto"/>
          <w:kern w:val="0"/>
          <w:highlight w:val="none"/>
          <w:u w:val="singl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（28）幕墙工程</w:t>
      </w:r>
      <w:r>
        <w:rPr>
          <w:rFonts w:hint="eastAsia" w:ascii="宋体" w:hAnsi="宋体" w:cs="宋体"/>
          <w:snapToGrid w:val="0"/>
          <w:color w:val="auto"/>
          <w:kern w:val="0"/>
          <w:highlight w:val="none"/>
          <w:u w:val="single"/>
        </w:rPr>
        <w:t>（如有）。</w:t>
      </w:r>
    </w:p>
    <w:p w14:paraId="3DA63F59">
      <w:pPr>
        <w:ind w:firstLine="360"/>
        <w:rPr>
          <w:rFonts w:hint="eastAsia" w:ascii="宋体" w:hAnsi="宋体" w:cs="宋体"/>
          <w:snapToGrid w:val="0"/>
          <w:color w:val="auto"/>
          <w:kern w:val="0"/>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（29）</w:t>
      </w:r>
      <w:r>
        <w:rPr>
          <w:rFonts w:hint="eastAsia" w:ascii="宋体" w:hAnsi="宋体" w:cs="宋体"/>
          <w:color w:val="auto"/>
          <w:highlight w:val="none"/>
        </w:rPr>
        <w:t>环保工程设计（含柴油发电机房）。</w:t>
      </w:r>
    </w:p>
    <w:p w14:paraId="7BF628D6">
      <w:pPr>
        <w:ind w:firstLine="360"/>
        <w:rPr>
          <w:rFonts w:hint="eastAsia" w:ascii="宋体" w:hAnsi="宋体" w:cs="宋体"/>
          <w:snapToGrid w:val="0"/>
          <w:color w:val="auto"/>
          <w:kern w:val="0"/>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（30）防雷设计。</w:t>
      </w:r>
    </w:p>
    <w:p w14:paraId="7B7C38B1">
      <w:pPr>
        <w:ind w:firstLine="360"/>
        <w:rPr>
          <w:rFonts w:hint="eastAsia" w:ascii="宋体" w:hAnsi="宋体" w:cs="宋体"/>
          <w:snapToGrid w:val="0"/>
          <w:color w:val="auto"/>
          <w:kern w:val="0"/>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（31）</w:t>
      </w:r>
      <w:r>
        <w:rPr>
          <w:rFonts w:hint="eastAsia" w:ascii="宋体" w:hAnsi="宋体" w:cs="宋体"/>
          <w:color w:val="auto"/>
          <w:highlight w:val="none"/>
        </w:rPr>
        <w:t>标识导引系统设计</w:t>
      </w:r>
      <w:r>
        <w:rPr>
          <w:rFonts w:hint="eastAsia" w:ascii="宋体" w:hAnsi="宋体" w:cs="宋体"/>
          <w:snapToGrid w:val="0"/>
          <w:color w:val="auto"/>
          <w:kern w:val="0"/>
          <w:highlight w:val="none"/>
        </w:rPr>
        <w:t>。</w:t>
      </w:r>
    </w:p>
    <w:p w14:paraId="2BA39B43">
      <w:pPr>
        <w:ind w:firstLine="360"/>
        <w:rPr>
          <w:rFonts w:hint="eastAsia" w:ascii="宋体" w:hAnsi="宋体" w:cs="宋体"/>
          <w:snapToGrid w:val="0"/>
          <w:color w:val="auto"/>
          <w:kern w:val="0"/>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（32）</w:t>
      </w:r>
      <w:r>
        <w:rPr>
          <w:rFonts w:hint="eastAsia" w:ascii="宋体" w:hAnsi="宋体" w:cs="宋体"/>
          <w:color w:val="auto"/>
          <w:highlight w:val="none"/>
        </w:rPr>
        <w:t>厨房设计。</w:t>
      </w:r>
    </w:p>
    <w:p w14:paraId="62DBC5A1">
      <w:pPr>
        <w:ind w:firstLine="360"/>
        <w:rPr>
          <w:rFonts w:hint="eastAsia" w:ascii="宋体" w:hAnsi="宋体" w:cs="宋体"/>
          <w:snapToGrid w:val="0"/>
          <w:color w:val="auto"/>
          <w:kern w:val="0"/>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（33）粮仓工艺流程设计。</w:t>
      </w:r>
    </w:p>
    <w:p w14:paraId="0B534E7F">
      <w:pPr>
        <w:pStyle w:val="17"/>
        <w:ind w:left="0" w:leftChars="0" w:firstLine="360"/>
        <w:rPr>
          <w:color w:val="auto"/>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sz w:val="24"/>
          <w:highlight w:val="none"/>
        </w:rPr>
        <w:t>（34）充电桩设计。</w:t>
      </w:r>
    </w:p>
    <w:p w14:paraId="4EAC5C96">
      <w:pPr>
        <w:ind w:firstLine="360"/>
        <w:rPr>
          <w:color w:val="auto"/>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（35）装配式建筑设计：</w:t>
      </w:r>
      <w:r>
        <w:rPr>
          <w:rFonts w:hint="eastAsia" w:ascii="宋体" w:hAnsi="宋体" w:cs="宋体"/>
          <w:snapToGrid w:val="0"/>
          <w:color w:val="auto"/>
          <w:highlight w:val="none"/>
        </w:rPr>
        <w:t>设计方案需落实装配式建筑设计，满足广东省</w:t>
      </w:r>
      <w:r>
        <w:rPr>
          <w:rFonts w:hint="eastAsia" w:ascii="宋体" w:hAnsi="宋体" w:cs="宋体"/>
          <w:color w:val="auto"/>
          <w:highlight w:val="none"/>
          <w:shd w:val="clear" w:color="auto" w:fill="FFFFFF"/>
        </w:rPr>
        <w:t>《装配式建筑评价标准》</w:t>
      </w:r>
      <w:r>
        <w:rPr>
          <w:rFonts w:hint="eastAsia" w:ascii="宋体" w:hAnsi="宋体" w:cs="宋体"/>
          <w:snapToGrid w:val="0"/>
          <w:color w:val="auto"/>
          <w:highlight w:val="none"/>
        </w:rPr>
        <w:t>（DBJ/T 15-163-2019）等有关文件要求。根据项目建议书本项目</w:t>
      </w:r>
      <w:r>
        <w:rPr>
          <w:rFonts w:hint="eastAsia"/>
          <w:color w:val="auto"/>
          <w:highlight w:val="none"/>
        </w:rPr>
        <w:t>免除实施装配式。后续设计需</w:t>
      </w:r>
      <w:r>
        <w:rPr>
          <w:rFonts w:hint="eastAsia"/>
          <w:bCs/>
          <w:color w:val="auto"/>
          <w:highlight w:val="none"/>
        </w:rPr>
        <w:t>根据《广州市住房和城乡建设局关于进一步明确装配式建筑实施要求的补充通知》要求开展技术论证，论证装配式建筑落地可行性。本项目是否实施装配式建筑以最终论证结果为准，如需实施同步纳入本项目设计范围。</w:t>
      </w:r>
    </w:p>
    <w:p w14:paraId="5B78887B">
      <w:pPr>
        <w:ind w:firstLine="360"/>
        <w:rPr>
          <w:rFonts w:hint="eastAsia" w:ascii="宋体" w:hAnsi="宋体" w:cs="宋体"/>
          <w:snapToGrid w:val="0"/>
          <w:color w:val="auto"/>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（36）</w:t>
      </w:r>
      <w:r>
        <w:rPr>
          <w:rFonts w:hint="eastAsia" w:ascii="宋体" w:hAnsi="宋体" w:cs="宋体"/>
          <w:snapToGrid w:val="0"/>
          <w:color w:val="auto"/>
          <w:highlight w:val="none"/>
        </w:rPr>
        <w:t>红线范围内室内外及用地四周至对外交通组织流线设计。</w:t>
      </w:r>
    </w:p>
    <w:p w14:paraId="6B391A14">
      <w:pPr>
        <w:ind w:firstLine="360"/>
        <w:rPr>
          <w:rFonts w:hint="eastAsia" w:ascii="宋体" w:hAnsi="宋体" w:cs="宋体"/>
          <w:snapToGrid w:val="0"/>
          <w:color w:val="auto"/>
          <w:kern w:val="0"/>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（37）装饰装修设计。</w:t>
      </w:r>
    </w:p>
    <w:p w14:paraId="59369485">
      <w:pPr>
        <w:ind w:firstLine="360"/>
        <w:rPr>
          <w:rFonts w:hint="eastAsia" w:ascii="宋体" w:hAnsi="宋体" w:cs="宋体"/>
          <w:snapToGrid w:val="0"/>
          <w:color w:val="auto"/>
          <w:kern w:val="0"/>
          <w:highlight w:val="none"/>
        </w:rPr>
      </w:pPr>
      <w:r>
        <w:rPr>
          <w:rFonts w:hint="eastAsia" w:ascii="宋体" w:hAnsi="宋体" w:cs="宋体"/>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（38）项目前期摸查报告编制（项目建设范围内及周边管线、地上建（构）筑物、交通、市政配套、地形地貌等前期摸查），项目各阶段设计重点、难点分析报告。</w:t>
      </w:r>
    </w:p>
    <w:p w14:paraId="439F426D">
      <w:pPr>
        <w:ind w:firstLine="360"/>
        <w:rPr>
          <w:rFonts w:hint="eastAsia" w:ascii="宋体" w:hAnsi="宋体" w:cs="宋体"/>
          <w:snapToGrid w:val="0"/>
          <w:color w:val="auto"/>
          <w:kern w:val="0"/>
          <w:highlight w:val="none"/>
        </w:rPr>
      </w:pPr>
      <w:r>
        <w:rPr>
          <w:rFonts w:hint="eastAsia" w:ascii="宋体" w:hAnsi="宋体" w:cs="宋体"/>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39）为了更好地将BIM技术应用在重点公共建设项目的设计阶段、施工阶段、竣工验收及运营阶段的全过程，充分发挥BIM技术应用价值，要求设计单位必须具备BIM技术应用的能力，在工程设计阶段实施BIM技术应用。</w:t>
      </w:r>
    </w:p>
    <w:p w14:paraId="5C7D6507">
      <w:pPr>
        <w:ind w:firstLine="360"/>
        <w:rPr>
          <w:rFonts w:hint="eastAsia" w:ascii="宋体" w:hAnsi="宋体" w:cs="宋体"/>
          <w:snapToGrid w:val="0"/>
          <w:color w:val="auto"/>
          <w:kern w:val="0"/>
          <w:highlight w:val="none"/>
        </w:rPr>
      </w:pPr>
      <w:r>
        <w:rPr>
          <w:rFonts w:hint="eastAsia" w:ascii="宋体" w:hAnsi="宋体" w:cs="宋体"/>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（40）海绵城市设计：设计方案需落实海绵城市设计，满足《海绵城市建设评价标准》（GB/T 51345-2018)、</w:t>
      </w:r>
      <w:r>
        <w:rPr>
          <w:rFonts w:hint="eastAsia" w:ascii="宋体" w:hAnsi="宋体" w:cs="宋体"/>
          <w:snapToGrid w:val="0"/>
          <w:color w:val="auto"/>
          <w:highlight w:val="none"/>
        </w:rPr>
        <w:t>《广州市海绵城市建设管理办法》、</w:t>
      </w:r>
      <w:r>
        <w:rPr>
          <w:rFonts w:hint="eastAsia" w:ascii="宋体" w:hAnsi="宋体" w:cs="宋体"/>
          <w:snapToGrid w:val="0"/>
          <w:color w:val="auto"/>
          <w:kern w:val="0"/>
          <w:highlight w:val="none"/>
        </w:rPr>
        <w:t>《广州市水务局关于深化广州市建设工程项目联审决策建设方案海绵城市专项编制的函》、《广州市海绵城市建设专篇编制要点》、《广州市建设项目海绵城市建设管控指标分类指引（试行）》要求。</w:t>
      </w:r>
    </w:p>
    <w:p w14:paraId="67DB997A">
      <w:pPr>
        <w:ind w:firstLine="360"/>
        <w:rPr>
          <w:rFonts w:hint="eastAsia" w:ascii="宋体" w:hAnsi="宋体" w:cs="宋体"/>
          <w:snapToGrid w:val="0"/>
          <w:color w:val="auto"/>
          <w:kern w:val="0"/>
          <w:highlight w:val="none"/>
        </w:rPr>
      </w:pPr>
      <w:r>
        <w:rPr>
          <w:rFonts w:hint="eastAsia" w:ascii="宋体" w:hAnsi="宋体" w:cs="宋体"/>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（41）土方平衡设计。场地竖向设计需依据实际地形，本着科学合理、节约投资原则，合理进行场地标高设计。</w:t>
      </w:r>
    </w:p>
    <w:p w14:paraId="074C2603">
      <w:pPr>
        <w:tabs>
          <w:tab w:val="left" w:pos="540"/>
        </w:tabs>
        <w:ind w:firstLine="360"/>
        <w:rPr>
          <w:rFonts w:hint="eastAsia" w:ascii="宋体" w:hAnsi="宋体" w:cs="宋体"/>
          <w:b/>
          <w:snapToGrid w:val="0"/>
          <w:color w:val="auto"/>
          <w:highlight w:val="none"/>
        </w:rPr>
      </w:pPr>
      <w:r>
        <w:rPr>
          <w:rFonts w:hint="eastAsia" w:ascii="宋体" w:hAnsi="宋体" w:cs="宋体"/>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（42）有关场地树木保护内容设计：设计单位需在方案设计、初步设计、施工图各阶段结合树木保护专章内容，统筹考虑项目方案实施的科学、合理性，</w:t>
      </w:r>
      <w:r>
        <w:rPr>
          <w:rFonts w:hint="eastAsia" w:ascii="宋体" w:hAnsi="宋体" w:cs="宋体"/>
          <w:snapToGrid w:val="0"/>
          <w:color w:val="auto"/>
          <w:highlight w:val="none"/>
        </w:rPr>
        <w:t>满足《广州市绿化条例（2022修订）》《广州市古树名木迁移管理办法》（穗林业园林规〔2020〕1号）《广州市城市树木保护管理规定（试行）》（穗林业园林规字〔2022〕1号）要求。</w:t>
      </w:r>
    </w:p>
    <w:p w14:paraId="426B1623">
      <w:pPr>
        <w:pStyle w:val="17"/>
        <w:tabs>
          <w:tab w:val="left" w:pos="540"/>
        </w:tabs>
        <w:ind w:left="0" w:leftChars="0" w:firstLine="360"/>
        <w:rPr>
          <w:color w:val="auto"/>
          <w:highlight w:val="none"/>
        </w:rPr>
      </w:pPr>
      <w:r>
        <w:rPr>
          <w:rFonts w:hint="eastAsia" w:ascii="宋体" w:hAnsi="宋体" w:cs="宋体"/>
          <w:snapToGrid w:val="0"/>
          <w:color w:val="auto"/>
          <w:kern w:val="0"/>
          <w:sz w:val="18"/>
          <w:szCs w:val="18"/>
          <w:highlight w:val="none"/>
          <w:bdr w:val="single" w:color="auto" w:sz="4" w:space="0"/>
        </w:rPr>
        <w:t>√</w:t>
      </w:r>
      <w:r>
        <w:rPr>
          <w:rFonts w:hint="eastAsia" w:ascii="宋体" w:hAnsi="宋体" w:cs="宋体"/>
          <w:snapToGrid w:val="0"/>
          <w:color w:val="auto"/>
          <w:kern w:val="0"/>
          <w:sz w:val="24"/>
          <w:highlight w:val="none"/>
        </w:rPr>
        <w:t>（</w:t>
      </w:r>
      <w:r>
        <w:rPr>
          <w:rFonts w:hint="eastAsia" w:ascii="宋体" w:hAnsi="宋体" w:cs="宋体"/>
          <w:snapToGrid w:val="0"/>
          <w:color w:val="auto"/>
          <w:kern w:val="0"/>
          <w:sz w:val="24"/>
          <w:szCs w:val="24"/>
          <w:highlight w:val="none"/>
        </w:rPr>
        <w:t>43）专业深化设计：设计单位须出具详细的功能需求设计书，明确深化的标准、材料设备的档次，工程量限制、造价限额等。</w:t>
      </w:r>
    </w:p>
    <w:p w14:paraId="7FA5FDDD">
      <w:pPr>
        <w:keepNext/>
        <w:keepLines/>
        <w:ind w:firstLine="360"/>
        <w:rPr>
          <w:rFonts w:hint="eastAsia" w:ascii="宋体" w:hAnsi="宋体" w:cs="宋体"/>
          <w:snapToGrid w:val="0"/>
          <w:color w:val="auto"/>
          <w:kern w:val="0"/>
          <w:highlight w:val="none"/>
        </w:rPr>
      </w:pPr>
      <w:bookmarkStart w:id="231" w:name="_Toc15772"/>
      <w:r>
        <w:rPr>
          <w:rFonts w:hint="eastAsia" w:ascii="宋体" w:hAnsi="宋体" w:cs="宋体"/>
          <w:snapToGrid w:val="0"/>
          <w:color w:val="auto"/>
          <w:kern w:val="0"/>
          <w:sz w:val="18"/>
          <w:szCs w:val="18"/>
          <w:highlight w:val="none"/>
          <w:bdr w:val="single" w:color="auto" w:sz="4" w:space="0"/>
        </w:rPr>
        <w:t>√</w:t>
      </w:r>
      <w:r>
        <w:rPr>
          <w:rFonts w:hint="eastAsia" w:ascii="宋体" w:hAnsi="宋体" w:cs="宋体"/>
          <w:snapToGrid w:val="0"/>
          <w:color w:val="auto"/>
          <w:kern w:val="0"/>
          <w:highlight w:val="none"/>
        </w:rPr>
        <w:t>（44）其他：本项目勘察设计任务书中规定的其他设计内容，负责网上填报各阶段报建相关资料，并负责纸质报送材料的整理组卷盖章工作。</w:t>
      </w:r>
      <w:bookmarkEnd w:id="231"/>
    </w:p>
    <w:p w14:paraId="07C0E7F1">
      <w:pPr>
        <w:rPr>
          <w:rFonts w:hint="eastAsia" w:ascii="宋体" w:hAnsi="宋体" w:cs="宋体"/>
          <w:snapToGrid w:val="0"/>
          <w:color w:val="auto"/>
          <w:kern w:val="0"/>
          <w:highlight w:val="none"/>
        </w:rPr>
      </w:pPr>
      <w:r>
        <w:rPr>
          <w:rFonts w:hint="eastAsia" w:ascii="宋体" w:hAnsi="宋体" w:cs="宋体"/>
          <w:snapToGrid w:val="0"/>
          <w:color w:val="auto"/>
          <w:kern w:val="0"/>
          <w:highlight w:val="none"/>
        </w:rPr>
        <w:t>勘察设计全过程的勘察、方案设计、建筑工程设计方案审查、初步设计、施工图设计、深化设计、设计变更各阶段各专业的具体设计内容和界面划分以及报批报审配合等服务工作按勘察设计合同执行。</w:t>
      </w:r>
    </w:p>
    <w:p w14:paraId="3372ECA5">
      <w:pPr>
        <w:rPr>
          <w:rFonts w:hint="eastAsia" w:ascii="宋体" w:hAnsi="宋体" w:cs="宋体"/>
          <w:color w:val="auto"/>
          <w:highlight w:val="none"/>
        </w:rPr>
      </w:pPr>
    </w:p>
    <w:p w14:paraId="0CB94C0B">
      <w:pPr>
        <w:rPr>
          <w:rFonts w:hint="eastAsia" w:ascii="宋体" w:hAnsi="宋体" w:cs="宋体"/>
          <w:color w:val="auto"/>
          <w:highlight w:val="none"/>
        </w:rPr>
        <w:sectPr>
          <w:footnotePr>
            <w:numRestart w:val="eachPage"/>
          </w:footnotePr>
          <w:pgSz w:w="11906" w:h="16838"/>
          <w:pgMar w:top="1418" w:right="1418" w:bottom="1418" w:left="1418" w:header="851" w:footer="992" w:gutter="0"/>
          <w:cols w:space="720" w:num="1"/>
          <w:titlePg/>
          <w:docGrid w:type="lines" w:linePitch="312" w:charSpace="0"/>
        </w:sectPr>
      </w:pPr>
    </w:p>
    <w:p w14:paraId="42AFF05F">
      <w:pPr>
        <w:pStyle w:val="3"/>
        <w:spacing w:before="120" w:after="120"/>
        <w:rPr>
          <w:color w:val="auto"/>
          <w:highlight w:val="none"/>
        </w:rPr>
      </w:pPr>
      <w:bookmarkStart w:id="232" w:name="_Toc29942"/>
      <w:bookmarkStart w:id="233" w:name="_Toc15552"/>
      <w:bookmarkStart w:id="234" w:name="_Toc29408"/>
      <w:bookmarkStart w:id="235" w:name="_Toc28672"/>
      <w:bookmarkStart w:id="236" w:name="_Toc20209"/>
      <w:bookmarkStart w:id="237" w:name="_Toc1873"/>
      <w:bookmarkStart w:id="238" w:name="_Toc452558101"/>
      <w:bookmarkStart w:id="239" w:name="_Toc452973709"/>
      <w:bookmarkStart w:id="240" w:name="_Toc452558322"/>
      <w:bookmarkStart w:id="241" w:name="_Toc23125"/>
      <w:bookmarkStart w:id="242" w:name="_Toc25327"/>
      <w:bookmarkStart w:id="243" w:name="_Toc4860_WPSOffice_Level1"/>
      <w:r>
        <w:rPr>
          <w:rFonts w:hint="eastAsia"/>
          <w:color w:val="auto"/>
          <w:highlight w:val="none"/>
        </w:rPr>
        <w:t>第三章 勘察设计要求</w:t>
      </w:r>
      <w:bookmarkEnd w:id="232"/>
      <w:bookmarkEnd w:id="233"/>
      <w:bookmarkEnd w:id="234"/>
      <w:bookmarkEnd w:id="235"/>
      <w:bookmarkEnd w:id="236"/>
      <w:bookmarkEnd w:id="237"/>
      <w:bookmarkEnd w:id="238"/>
      <w:bookmarkEnd w:id="239"/>
      <w:bookmarkEnd w:id="240"/>
      <w:bookmarkEnd w:id="241"/>
      <w:bookmarkEnd w:id="242"/>
      <w:bookmarkEnd w:id="243"/>
    </w:p>
    <w:p w14:paraId="65123669">
      <w:pPr>
        <w:pStyle w:val="4"/>
        <w:spacing w:before="120" w:after="120"/>
        <w:rPr>
          <w:color w:val="auto"/>
          <w:highlight w:val="none"/>
        </w:rPr>
      </w:pPr>
      <w:bookmarkStart w:id="244" w:name="_Toc10510_WPSOffice_Level2"/>
      <w:bookmarkStart w:id="245" w:name="_Toc11628"/>
      <w:bookmarkStart w:id="246" w:name="_Toc20962"/>
      <w:bookmarkStart w:id="247" w:name="_Toc27122"/>
      <w:bookmarkStart w:id="248" w:name="_Toc11748"/>
      <w:bookmarkStart w:id="249" w:name="_Toc22148"/>
      <w:bookmarkStart w:id="250" w:name="_Toc19560"/>
      <w:bookmarkStart w:id="251" w:name="_Toc704"/>
      <w:bookmarkStart w:id="252" w:name="_Toc13523"/>
      <w:bookmarkStart w:id="253" w:name="_Toc452973710"/>
      <w:bookmarkStart w:id="254" w:name="_Toc447612395"/>
      <w:bookmarkStart w:id="255" w:name="_Toc447612874"/>
      <w:bookmarkStart w:id="256" w:name="_Toc452558323"/>
      <w:bookmarkStart w:id="257" w:name="_Toc11212"/>
      <w:bookmarkStart w:id="258" w:name="_Toc452558102"/>
      <w:r>
        <w:rPr>
          <w:rFonts w:hint="eastAsia"/>
          <w:color w:val="auto"/>
          <w:highlight w:val="none"/>
        </w:rPr>
        <w:t>3.1勘察设计总体要求</w:t>
      </w:r>
      <w:bookmarkEnd w:id="244"/>
      <w:bookmarkEnd w:id="245"/>
      <w:bookmarkEnd w:id="246"/>
      <w:bookmarkEnd w:id="247"/>
      <w:bookmarkEnd w:id="248"/>
      <w:bookmarkEnd w:id="249"/>
      <w:bookmarkEnd w:id="250"/>
      <w:bookmarkEnd w:id="251"/>
      <w:bookmarkEnd w:id="252"/>
    </w:p>
    <w:p w14:paraId="5B290D64">
      <w:pPr>
        <w:rPr>
          <w:color w:val="auto"/>
          <w:highlight w:val="none"/>
        </w:rPr>
      </w:pPr>
      <w:r>
        <w:rPr>
          <w:rFonts w:hint="eastAsia"/>
          <w:color w:val="auto"/>
          <w:highlight w:val="none"/>
        </w:rPr>
        <w:t>勘察设计单位遵循现行法律法规和规范标准，根据项目建议书和勘察设计任务书，按照广州市建设相关设计管理要求进行勘察设计工作。项目立项及可行性研究报告批复的建设事项、内容、标准和要求，应与初步设计成果、施工图设计成果以及概（预）算编制的事项、内容等要相统一。初步设计与概算、施工图设计（含技术需求书）与预算要同步完成、同步提交。</w:t>
      </w:r>
    </w:p>
    <w:p w14:paraId="1B1C8C07">
      <w:pPr>
        <w:rPr>
          <w:color w:val="auto"/>
          <w:highlight w:val="none"/>
        </w:rPr>
      </w:pPr>
      <w:r>
        <w:rPr>
          <w:rFonts w:hint="eastAsia"/>
          <w:color w:val="auto"/>
          <w:highlight w:val="none"/>
        </w:rPr>
        <w:t>设计单位除了落实《天河龙洞粮库建设工程项目建议书》（详见附件1），还需要落实以下3.2-3.4的勘察设计及造价各专业要求，且勘察方案报业主审批后方可实施。</w:t>
      </w:r>
    </w:p>
    <w:p w14:paraId="38A2B370">
      <w:pPr>
        <w:pStyle w:val="4"/>
        <w:spacing w:before="120" w:after="120"/>
        <w:rPr>
          <w:color w:val="auto"/>
          <w:highlight w:val="none"/>
        </w:rPr>
      </w:pPr>
      <w:bookmarkStart w:id="259" w:name="_Toc3384"/>
      <w:bookmarkStart w:id="260" w:name="_Toc27458"/>
      <w:bookmarkStart w:id="261" w:name="_Toc2955"/>
      <w:bookmarkStart w:id="262" w:name="_Toc14400"/>
      <w:bookmarkStart w:id="263" w:name="_Toc6046"/>
      <w:bookmarkStart w:id="264" w:name="_Toc31114"/>
      <w:bookmarkStart w:id="265" w:name="_Toc17501"/>
      <w:bookmarkStart w:id="266" w:name="_Toc16092_WPSOffice_Level2"/>
      <w:bookmarkStart w:id="267" w:name="_Toc12377"/>
      <w:r>
        <w:rPr>
          <w:rFonts w:hint="eastAsia"/>
          <w:color w:val="auto"/>
          <w:highlight w:val="none"/>
        </w:rPr>
        <w:t>3.2勘察工作要求</w:t>
      </w:r>
      <w:bookmarkEnd w:id="259"/>
      <w:bookmarkEnd w:id="260"/>
      <w:bookmarkEnd w:id="261"/>
      <w:bookmarkEnd w:id="262"/>
      <w:bookmarkEnd w:id="263"/>
      <w:bookmarkEnd w:id="264"/>
      <w:bookmarkEnd w:id="265"/>
      <w:bookmarkEnd w:id="266"/>
      <w:bookmarkEnd w:id="267"/>
    </w:p>
    <w:p w14:paraId="62B7423B">
      <w:pPr>
        <w:pStyle w:val="5"/>
        <w:spacing w:before="120" w:after="120"/>
        <w:rPr>
          <w:color w:val="auto"/>
          <w:highlight w:val="none"/>
        </w:rPr>
      </w:pPr>
      <w:bookmarkStart w:id="268" w:name="_Toc21381"/>
      <w:bookmarkStart w:id="269" w:name="_Toc1597"/>
      <w:r>
        <w:rPr>
          <w:rFonts w:hint="eastAsia"/>
          <w:color w:val="auto"/>
          <w:highlight w:val="none"/>
        </w:rPr>
        <w:t>3.2.1岩土工程勘察成果深度要求</w:t>
      </w:r>
      <w:bookmarkEnd w:id="268"/>
      <w:bookmarkEnd w:id="269"/>
    </w:p>
    <w:p w14:paraId="78E98BDA">
      <w:pPr>
        <w:rPr>
          <w:color w:val="auto"/>
          <w:highlight w:val="none"/>
        </w:rPr>
      </w:pPr>
      <w:r>
        <w:rPr>
          <w:color w:val="auto"/>
          <w:highlight w:val="none"/>
        </w:rPr>
        <w:t>（1）</w:t>
      </w:r>
      <w:r>
        <w:rPr>
          <w:rFonts w:hint="eastAsia"/>
          <w:color w:val="auto"/>
          <w:highlight w:val="none"/>
        </w:rPr>
        <w:t>岩土工程勘察成果包括但不限于以下内容：与本项目相关详细勘察报告、补充勘察报告。</w:t>
      </w:r>
    </w:p>
    <w:p w14:paraId="4F2ECC02">
      <w:pPr>
        <w:rPr>
          <w:color w:val="auto"/>
          <w:highlight w:val="none"/>
        </w:rPr>
      </w:pPr>
      <w:r>
        <w:rPr>
          <w:color w:val="auto"/>
          <w:highlight w:val="none"/>
        </w:rPr>
        <w:t>（2）</w:t>
      </w:r>
      <w:r>
        <w:rPr>
          <w:rFonts w:hint="eastAsia"/>
          <w:color w:val="auto"/>
          <w:highlight w:val="none"/>
        </w:rPr>
        <w:t>勘探人应结合本任务书要求以及《岩土工程勘察规范（2009年版）》（GB50021-2001）等标准规范的规定，根据现场勘察作业情况、实验分析情况等，如实编制岩土工程勘察报告，并经相应资格人员校对、审查合格后方可提交给建设单位；</w:t>
      </w:r>
    </w:p>
    <w:p w14:paraId="5E73C702">
      <w:pPr>
        <w:rPr>
          <w:color w:val="auto"/>
          <w:highlight w:val="none"/>
        </w:rPr>
      </w:pPr>
      <w:r>
        <w:rPr>
          <w:color w:val="auto"/>
          <w:highlight w:val="none"/>
        </w:rPr>
        <w:t>（3）</w:t>
      </w:r>
      <w:r>
        <w:rPr>
          <w:rFonts w:hint="eastAsia"/>
          <w:color w:val="auto"/>
          <w:highlight w:val="none"/>
        </w:rPr>
        <w:t>应全面体现本工程勘探任务要求，全面客观评价本工程地质情况，资料完整、分析科学、数据真实无误、图表清晰、结论有据，并因地制宜地对工程设计与施工提出合理建议；</w:t>
      </w:r>
    </w:p>
    <w:p w14:paraId="0400EFDC">
      <w:pPr>
        <w:rPr>
          <w:color w:val="auto"/>
          <w:highlight w:val="none"/>
        </w:rPr>
      </w:pPr>
      <w:r>
        <w:rPr>
          <w:color w:val="auto"/>
          <w:highlight w:val="none"/>
        </w:rPr>
        <w:t>（4）</w:t>
      </w:r>
      <w:r>
        <w:rPr>
          <w:rFonts w:hint="eastAsia"/>
          <w:color w:val="auto"/>
          <w:highlight w:val="none"/>
        </w:rPr>
        <w:t>岩土工程勘察报告由文字部分和图表部分组成，其中文字部分包括但不限于以下内容：</w:t>
      </w:r>
    </w:p>
    <w:p w14:paraId="4DF4B63A">
      <w:pPr>
        <w:rPr>
          <w:color w:val="auto"/>
          <w:highlight w:val="none"/>
        </w:rPr>
      </w:pPr>
      <w:r>
        <w:rPr>
          <w:rFonts w:hint="eastAsia"/>
          <w:color w:val="auto"/>
          <w:highlight w:val="none"/>
        </w:rPr>
        <w:t>①拟建工程概况、勘察目的、任务要求和依据的技术标准；</w:t>
      </w:r>
    </w:p>
    <w:p w14:paraId="4907A892">
      <w:pPr>
        <w:rPr>
          <w:color w:val="auto"/>
          <w:highlight w:val="none"/>
        </w:rPr>
      </w:pPr>
      <w:r>
        <w:rPr>
          <w:rFonts w:hint="eastAsia"/>
          <w:color w:val="auto"/>
          <w:highlight w:val="none"/>
        </w:rPr>
        <w:t>②勘探点位布置及勘察方法情况，原土取样及实验分析情况；</w:t>
      </w:r>
    </w:p>
    <w:p w14:paraId="6CEF8FFC">
      <w:pPr>
        <w:rPr>
          <w:color w:val="auto"/>
          <w:highlight w:val="none"/>
        </w:rPr>
      </w:pPr>
      <w:r>
        <w:rPr>
          <w:rFonts w:hint="eastAsia"/>
          <w:color w:val="auto"/>
          <w:highlight w:val="none"/>
        </w:rPr>
        <w:t>③场地位置、地形地貌、地质构造、不良地质现象、地层形成条件、水文地质条件（包括地下水埋藏情况、类型、水位及其变化等），各土层的分布情况以及物理特性、性质指标、强度参数、变形参数、地基承载力的建议值等；</w:t>
      </w:r>
    </w:p>
    <w:p w14:paraId="7F7005FF">
      <w:pPr>
        <w:rPr>
          <w:color w:val="auto"/>
          <w:highlight w:val="none"/>
        </w:rPr>
      </w:pPr>
      <w:r>
        <w:rPr>
          <w:rFonts w:hint="eastAsia"/>
          <w:color w:val="auto"/>
          <w:highlight w:val="none"/>
        </w:rPr>
        <w:t>④场地的稳定性和适宜性、岩土的均匀性和容许承载力、地下水的影响、地震基本烈度以及由于工程建设可能引起的工程地质问题，适宜的基础形式和有关的计算参数及施工中应注意的事项等。拟采用天然地基或复合地基时，应提供各土层、砂层的压缩模量；拟采用桩基时，确定桩型和持力层，提出桩长、桩径的最佳方案。结合地区经验，预估单桩极限承载力，当为非嵌岩桩时，估算单桩和群桩的沉降量。提供抗拔承载力计算参数。提出在设计、施工中应注意的问题及建议；</w:t>
      </w:r>
    </w:p>
    <w:p w14:paraId="5FDFD009">
      <w:pPr>
        <w:rPr>
          <w:color w:val="auto"/>
          <w:highlight w:val="none"/>
        </w:rPr>
      </w:pPr>
      <w:r>
        <w:rPr>
          <w:rFonts w:hint="eastAsia"/>
          <w:color w:val="auto"/>
          <w:highlight w:val="none"/>
        </w:rPr>
        <w:t>⑤根据场地地震剪切波速实验，判断建筑场地类别，并形成地震剪切波速报告；</w:t>
      </w:r>
    </w:p>
    <w:p w14:paraId="0E867D6E">
      <w:pPr>
        <w:rPr>
          <w:color w:val="auto"/>
          <w:highlight w:val="none"/>
        </w:rPr>
      </w:pPr>
      <w:r>
        <w:rPr>
          <w:rFonts w:hint="eastAsia"/>
          <w:color w:val="auto"/>
          <w:highlight w:val="none"/>
        </w:rPr>
        <w:t>⑥对岩土利用、整治和改造的方案进行分析论证，提出建议；对工程施工和使用期间可能发生的岩土工程问题进行预测，提出监控和预防措施的建议。</w:t>
      </w:r>
    </w:p>
    <w:p w14:paraId="05AD4A9B">
      <w:pPr>
        <w:rPr>
          <w:color w:val="auto"/>
          <w:highlight w:val="none"/>
        </w:rPr>
      </w:pPr>
      <w:r>
        <w:rPr>
          <w:rFonts w:hint="eastAsia"/>
          <w:color w:val="auto"/>
          <w:highlight w:val="none"/>
        </w:rPr>
        <w:t>⑦工程需要尚应提供：</w:t>
      </w:r>
    </w:p>
    <w:p w14:paraId="59F5779A">
      <w:pPr>
        <w:rPr>
          <w:color w:val="auto"/>
          <w:highlight w:val="none"/>
        </w:rPr>
      </w:pPr>
      <w:r>
        <w:rPr>
          <w:rFonts w:hint="eastAsia"/>
          <w:color w:val="auto"/>
          <w:highlight w:val="none"/>
        </w:rPr>
        <w:t>a.深基坑开挖的边坡稳定计算和支护实际所需的岩土技术参数，论证其对周围已有建筑物、地下设施的影响；</w:t>
      </w:r>
    </w:p>
    <w:p w14:paraId="29D3F7D3">
      <w:pPr>
        <w:rPr>
          <w:color w:val="auto"/>
          <w:highlight w:val="none"/>
        </w:rPr>
      </w:pPr>
      <w:r>
        <w:rPr>
          <w:rFonts w:hint="eastAsia"/>
          <w:color w:val="auto"/>
          <w:highlight w:val="none"/>
        </w:rPr>
        <w:t>b.基坑施工降水的有关技术参数及施工降水方法的建议；</w:t>
      </w:r>
    </w:p>
    <w:p w14:paraId="6B9E55AF">
      <w:pPr>
        <w:rPr>
          <w:color w:val="auto"/>
          <w:highlight w:val="none"/>
        </w:rPr>
      </w:pPr>
      <w:r>
        <w:rPr>
          <w:rFonts w:hint="eastAsia"/>
          <w:color w:val="auto"/>
          <w:highlight w:val="none"/>
        </w:rPr>
        <w:t>c.提供防水设计水位和抗浮设计水位。</w:t>
      </w:r>
    </w:p>
    <w:p w14:paraId="3F8CA64A">
      <w:pPr>
        <w:rPr>
          <w:color w:val="auto"/>
          <w:highlight w:val="none"/>
        </w:rPr>
      </w:pPr>
      <w:r>
        <w:rPr>
          <w:color w:val="auto"/>
          <w:highlight w:val="none"/>
        </w:rPr>
        <w:t>（5）</w:t>
      </w:r>
      <w:r>
        <w:rPr>
          <w:rFonts w:hint="eastAsia"/>
          <w:color w:val="auto"/>
          <w:highlight w:val="none"/>
        </w:rPr>
        <w:t>岩土工程勘察报告中的图纸部分，至少包括：</w:t>
      </w:r>
    </w:p>
    <w:p w14:paraId="3BE4C410">
      <w:pPr>
        <w:rPr>
          <w:color w:val="auto"/>
          <w:highlight w:val="none"/>
        </w:rPr>
      </w:pPr>
      <w:r>
        <w:rPr>
          <w:rFonts w:hint="eastAsia"/>
          <w:color w:val="auto"/>
          <w:highlight w:val="none"/>
        </w:rPr>
        <w:t>1) 勘探点平面布置图；</w:t>
      </w:r>
    </w:p>
    <w:p w14:paraId="153DBB56">
      <w:pPr>
        <w:rPr>
          <w:color w:val="auto"/>
          <w:highlight w:val="none"/>
        </w:rPr>
      </w:pPr>
      <w:r>
        <w:rPr>
          <w:rFonts w:hint="eastAsia"/>
          <w:color w:val="auto"/>
          <w:highlight w:val="none"/>
        </w:rPr>
        <w:t>①综合工程地质图或工程地质分区图；</w:t>
      </w:r>
    </w:p>
    <w:p w14:paraId="30310F1E">
      <w:pPr>
        <w:rPr>
          <w:color w:val="auto"/>
          <w:highlight w:val="none"/>
        </w:rPr>
      </w:pPr>
      <w:r>
        <w:rPr>
          <w:rFonts w:hint="eastAsia"/>
          <w:color w:val="auto"/>
          <w:highlight w:val="none"/>
        </w:rPr>
        <w:t>②工程地质剖面图；</w:t>
      </w:r>
    </w:p>
    <w:p w14:paraId="076A0C52">
      <w:pPr>
        <w:rPr>
          <w:color w:val="auto"/>
          <w:highlight w:val="none"/>
        </w:rPr>
      </w:pPr>
      <w:r>
        <w:rPr>
          <w:rFonts w:hint="eastAsia"/>
          <w:color w:val="auto"/>
          <w:highlight w:val="none"/>
        </w:rPr>
        <w:t>③地质柱状图或综合地质柱状图；</w:t>
      </w:r>
    </w:p>
    <w:p w14:paraId="694C432F">
      <w:pPr>
        <w:rPr>
          <w:color w:val="auto"/>
          <w:highlight w:val="none"/>
        </w:rPr>
      </w:pPr>
      <w:r>
        <w:rPr>
          <w:rFonts w:hint="eastAsia"/>
          <w:color w:val="auto"/>
          <w:highlight w:val="none"/>
        </w:rPr>
        <w:t>④勘探点主要数据一览表；</w:t>
      </w:r>
    </w:p>
    <w:p w14:paraId="5DAA5080">
      <w:pPr>
        <w:rPr>
          <w:color w:val="auto"/>
          <w:highlight w:val="none"/>
        </w:rPr>
      </w:pPr>
      <w:r>
        <w:rPr>
          <w:rFonts w:hint="eastAsia"/>
          <w:color w:val="auto"/>
          <w:highlight w:val="none"/>
        </w:rPr>
        <w:t>⑤原位测试和室内试验成果图表</w:t>
      </w:r>
    </w:p>
    <w:p w14:paraId="4A14FBAA">
      <w:pPr>
        <w:rPr>
          <w:color w:val="auto"/>
          <w:highlight w:val="none"/>
        </w:rPr>
      </w:pPr>
      <w:r>
        <w:rPr>
          <w:rFonts w:hint="eastAsia"/>
          <w:color w:val="auto"/>
          <w:highlight w:val="none"/>
        </w:rPr>
        <w:t>⑥底板下各岩土层顶面等高线图。</w:t>
      </w:r>
    </w:p>
    <w:p w14:paraId="2D496829">
      <w:pPr>
        <w:rPr>
          <w:color w:val="auto"/>
          <w:highlight w:val="none"/>
        </w:rPr>
      </w:pPr>
      <w:r>
        <w:rPr>
          <w:rFonts w:hint="eastAsia"/>
          <w:color w:val="auto"/>
          <w:highlight w:val="none"/>
        </w:rPr>
        <w:t>各主要土层物理力学性质指标统计、钻探点坐标标高深度、土层试验成果等有关测试图表等；其他各主要土层物理力学性质指标统计、钻探点坐标标高深度、土层试验成果等有关数据图表等；</w:t>
      </w:r>
    </w:p>
    <w:p w14:paraId="5DC957AB">
      <w:pPr>
        <w:rPr>
          <w:color w:val="auto"/>
          <w:highlight w:val="none"/>
        </w:rPr>
      </w:pPr>
      <w:r>
        <w:rPr>
          <w:color w:val="auto"/>
          <w:highlight w:val="none"/>
        </w:rPr>
        <w:t>（6）</w:t>
      </w:r>
      <w:r>
        <w:rPr>
          <w:rFonts w:hint="eastAsia"/>
          <w:color w:val="auto"/>
          <w:highlight w:val="none"/>
        </w:rPr>
        <w:t>任务需要时，可提交下列专题报告：</w:t>
      </w:r>
    </w:p>
    <w:p w14:paraId="4AE26AD2">
      <w:pPr>
        <w:rPr>
          <w:color w:val="auto"/>
          <w:highlight w:val="none"/>
        </w:rPr>
      </w:pPr>
      <w:r>
        <w:rPr>
          <w:rFonts w:hint="eastAsia"/>
          <w:color w:val="auto"/>
          <w:highlight w:val="none"/>
        </w:rPr>
        <w:t>①岩土工程测试报告；</w:t>
      </w:r>
    </w:p>
    <w:p w14:paraId="41CB7AC1">
      <w:pPr>
        <w:rPr>
          <w:color w:val="auto"/>
          <w:highlight w:val="none"/>
        </w:rPr>
      </w:pPr>
      <w:r>
        <w:rPr>
          <w:rFonts w:hint="eastAsia"/>
          <w:color w:val="auto"/>
          <w:highlight w:val="none"/>
        </w:rPr>
        <w:t>②岩土工程检验或监测报告；</w:t>
      </w:r>
    </w:p>
    <w:p w14:paraId="653A7D89">
      <w:pPr>
        <w:rPr>
          <w:color w:val="auto"/>
          <w:highlight w:val="none"/>
        </w:rPr>
      </w:pPr>
      <w:r>
        <w:rPr>
          <w:rFonts w:hint="eastAsia"/>
          <w:color w:val="auto"/>
          <w:highlight w:val="none"/>
        </w:rPr>
        <w:t>③岩土工程事故调查与分析报告；</w:t>
      </w:r>
    </w:p>
    <w:p w14:paraId="12DE5B59">
      <w:pPr>
        <w:rPr>
          <w:color w:val="auto"/>
          <w:highlight w:val="none"/>
        </w:rPr>
      </w:pPr>
      <w:r>
        <w:rPr>
          <w:rFonts w:hint="eastAsia"/>
          <w:color w:val="auto"/>
          <w:highlight w:val="none"/>
        </w:rPr>
        <w:t>④岩土利用、整治或改造方案报告；</w:t>
      </w:r>
    </w:p>
    <w:p w14:paraId="5BD42B06">
      <w:pPr>
        <w:rPr>
          <w:color w:val="auto"/>
          <w:highlight w:val="none"/>
        </w:rPr>
      </w:pPr>
      <w:r>
        <w:rPr>
          <w:rFonts w:hint="eastAsia"/>
          <w:color w:val="auto"/>
          <w:highlight w:val="none"/>
        </w:rPr>
        <w:t>⑤有关岩土工程问题的专门技术咨询报告等。</w:t>
      </w:r>
    </w:p>
    <w:p w14:paraId="7834A3E1">
      <w:pPr>
        <w:rPr>
          <w:color w:val="auto"/>
          <w:highlight w:val="none"/>
        </w:rPr>
      </w:pPr>
      <w:r>
        <w:rPr>
          <w:color w:val="auto"/>
          <w:highlight w:val="none"/>
        </w:rPr>
        <w:t>（7）</w:t>
      </w:r>
      <w:r>
        <w:rPr>
          <w:rFonts w:hint="eastAsia"/>
          <w:color w:val="auto"/>
          <w:highlight w:val="none"/>
        </w:rPr>
        <w:t>岩土工程勘察报告的文字、术语、代号、符号、数字、计量单位、标点，均应符合国家有关标准的规定。</w:t>
      </w:r>
    </w:p>
    <w:p w14:paraId="331FB5E3">
      <w:pPr>
        <w:pStyle w:val="5"/>
        <w:spacing w:before="120" w:after="120"/>
        <w:rPr>
          <w:color w:val="auto"/>
          <w:highlight w:val="none"/>
        </w:rPr>
      </w:pPr>
      <w:bookmarkStart w:id="270" w:name="_Toc21084"/>
      <w:bookmarkStart w:id="271" w:name="_Toc27110"/>
      <w:r>
        <w:rPr>
          <w:rFonts w:hint="eastAsia"/>
          <w:color w:val="auto"/>
          <w:highlight w:val="none"/>
        </w:rPr>
        <w:t>3.2.2工程测量成果深度要求</w:t>
      </w:r>
      <w:bookmarkEnd w:id="270"/>
      <w:bookmarkEnd w:id="271"/>
    </w:p>
    <w:p w14:paraId="259710AC">
      <w:pPr>
        <w:rPr>
          <w:color w:val="auto"/>
          <w:highlight w:val="none"/>
        </w:rPr>
      </w:pPr>
      <w:r>
        <w:rPr>
          <w:color w:val="auto"/>
          <w:highlight w:val="none"/>
        </w:rPr>
        <w:t>（1）</w:t>
      </w:r>
      <w:r>
        <w:rPr>
          <w:rFonts w:hint="eastAsia"/>
          <w:color w:val="auto"/>
          <w:highlight w:val="none"/>
        </w:rPr>
        <w:t>开挖前，测量整个区域（包括现状室外道路及现有绿化、场地）的原始标高，按照10米格网对整个区域进行土石方测量（对于局部地形起伏较大部位需加密测量），测图比例尺为1：500，并标注现状室外道路、硬地化场地范围、铺设材料及厚度。</w:t>
      </w:r>
    </w:p>
    <w:p w14:paraId="5083F13B">
      <w:pPr>
        <w:rPr>
          <w:color w:val="auto"/>
          <w:highlight w:val="none"/>
        </w:rPr>
      </w:pPr>
      <w:r>
        <w:rPr>
          <w:color w:val="auto"/>
          <w:highlight w:val="none"/>
        </w:rPr>
        <w:t>（2）</w:t>
      </w:r>
      <w:r>
        <w:rPr>
          <w:rFonts w:hint="eastAsia"/>
          <w:color w:val="auto"/>
          <w:highlight w:val="none"/>
        </w:rPr>
        <w:t>本次测量工作应符合《工程测量标准》（GB50026-2020）、《全球定位系统（GPS）测量规范》（GB/T 18314-2009）及其他现行的有关规范。</w:t>
      </w:r>
    </w:p>
    <w:p w14:paraId="551EB445">
      <w:pPr>
        <w:rPr>
          <w:color w:val="auto"/>
          <w:highlight w:val="none"/>
        </w:rPr>
      </w:pPr>
      <w:r>
        <w:rPr>
          <w:color w:val="auto"/>
          <w:highlight w:val="none"/>
        </w:rPr>
        <w:t>（3）</w:t>
      </w:r>
      <w:r>
        <w:rPr>
          <w:rFonts w:hint="eastAsia"/>
          <w:color w:val="auto"/>
          <w:highlight w:val="none"/>
        </w:rPr>
        <w:t>测量方法采用GPS-RTK定位技术进行，通过野外采集数据，手工现场勾绘草图，在内业中使用专用的地形地籍成图软件进行编辑绘图。</w:t>
      </w:r>
    </w:p>
    <w:p w14:paraId="65185586">
      <w:pPr>
        <w:rPr>
          <w:color w:val="auto"/>
          <w:highlight w:val="none"/>
        </w:rPr>
      </w:pPr>
      <w:r>
        <w:rPr>
          <w:color w:val="auto"/>
          <w:highlight w:val="none"/>
        </w:rPr>
        <w:t>（4）</w:t>
      </w:r>
      <w:r>
        <w:rPr>
          <w:rFonts w:hint="eastAsia"/>
          <w:color w:val="auto"/>
          <w:highlight w:val="none"/>
        </w:rPr>
        <w:t>数据处理及成图：在内业工作中，成图编绘符合以下要求：</w:t>
      </w:r>
    </w:p>
    <w:p w14:paraId="3A0112D4">
      <w:pPr>
        <w:rPr>
          <w:color w:val="auto"/>
          <w:highlight w:val="none"/>
        </w:rPr>
      </w:pPr>
      <w:r>
        <w:rPr>
          <w:rFonts w:hint="eastAsia"/>
          <w:color w:val="auto"/>
          <w:highlight w:val="none"/>
        </w:rPr>
        <w:t>①采用南方CASS软件或其他专业软件成图和土石方计算；</w:t>
      </w:r>
    </w:p>
    <w:p w14:paraId="15235F75">
      <w:pPr>
        <w:rPr>
          <w:color w:val="auto"/>
          <w:highlight w:val="none"/>
        </w:rPr>
      </w:pPr>
      <w:r>
        <w:rPr>
          <w:rFonts w:hint="eastAsia"/>
          <w:color w:val="auto"/>
          <w:highlight w:val="none"/>
        </w:rPr>
        <w:t>②制图投影采用高斯—克吕格正形投影，并根据具体情况自由分幅，坐标格网为Km网；</w:t>
      </w:r>
    </w:p>
    <w:p w14:paraId="4442BD69">
      <w:pPr>
        <w:rPr>
          <w:color w:val="auto"/>
          <w:highlight w:val="none"/>
        </w:rPr>
      </w:pPr>
      <w:r>
        <w:rPr>
          <w:rFonts w:hint="eastAsia"/>
          <w:color w:val="auto"/>
          <w:highlight w:val="none"/>
        </w:rPr>
        <w:t>③地形点的高程标注取位至0.01m；</w:t>
      </w:r>
    </w:p>
    <w:p w14:paraId="63E7EC9F">
      <w:pPr>
        <w:rPr>
          <w:color w:val="auto"/>
          <w:highlight w:val="none"/>
        </w:rPr>
      </w:pPr>
      <w:r>
        <w:rPr>
          <w:rFonts w:hint="eastAsia"/>
          <w:color w:val="auto"/>
          <w:highlight w:val="none"/>
        </w:rPr>
        <w:t>④所用图例、符号、注记等均按南方CASS软件或其他专业软件的图式参考采用。</w:t>
      </w:r>
    </w:p>
    <w:p w14:paraId="78BA14CB">
      <w:pPr>
        <w:pStyle w:val="5"/>
        <w:spacing w:before="120" w:after="120"/>
        <w:rPr>
          <w:color w:val="auto"/>
          <w:highlight w:val="none"/>
        </w:rPr>
      </w:pPr>
      <w:bookmarkStart w:id="272" w:name="_Toc1798"/>
      <w:bookmarkStart w:id="273" w:name="_Toc8307"/>
      <w:r>
        <w:rPr>
          <w:rFonts w:hint="eastAsia"/>
          <w:color w:val="auto"/>
          <w:highlight w:val="none"/>
        </w:rPr>
        <w:t>3.2.3工程物探成果深度要求</w:t>
      </w:r>
      <w:bookmarkEnd w:id="272"/>
      <w:bookmarkEnd w:id="273"/>
    </w:p>
    <w:p w14:paraId="01E20522">
      <w:pPr>
        <w:rPr>
          <w:color w:val="auto"/>
          <w:highlight w:val="none"/>
        </w:rPr>
      </w:pPr>
      <w:r>
        <w:rPr>
          <w:color w:val="auto"/>
          <w:highlight w:val="none"/>
        </w:rPr>
        <w:t>（1）</w:t>
      </w:r>
      <w:r>
        <w:rPr>
          <w:rFonts w:hint="eastAsia"/>
          <w:color w:val="auto"/>
          <w:highlight w:val="none"/>
        </w:rPr>
        <w:t>地下管线探测范围按项目用地红线外扩15米。</w:t>
      </w:r>
    </w:p>
    <w:p w14:paraId="244A8E4D">
      <w:pPr>
        <w:rPr>
          <w:color w:val="auto"/>
          <w:highlight w:val="none"/>
        </w:rPr>
      </w:pPr>
      <w:r>
        <w:rPr>
          <w:color w:val="auto"/>
          <w:highlight w:val="none"/>
        </w:rPr>
        <w:t>（2）</w:t>
      </w:r>
      <w:r>
        <w:rPr>
          <w:rFonts w:hint="eastAsia"/>
          <w:color w:val="auto"/>
          <w:highlight w:val="none"/>
        </w:rPr>
        <w:t>探测范围内地下埋藏物状况；查明测区内所有现状、正在施工的各种地上、地下管线、管沟的平面位置、走向、埋深、规格、材质和权属单位等，包括给水、雨水、污水、电力、电讯（各种通讯光缆）、燃气及其他埋地管线等,包括不限于以下内容：</w:t>
      </w:r>
    </w:p>
    <w:p w14:paraId="5722A76E">
      <w:pPr>
        <w:rPr>
          <w:color w:val="auto"/>
          <w:highlight w:val="none"/>
        </w:rPr>
      </w:pPr>
      <w:r>
        <w:rPr>
          <w:rFonts w:hint="eastAsia"/>
          <w:color w:val="auto"/>
          <w:highlight w:val="none"/>
        </w:rPr>
        <w:t>①现状给水管道的管材、管径、管位以及节点的标高、特性；</w:t>
      </w:r>
    </w:p>
    <w:p w14:paraId="4412EBDC">
      <w:pPr>
        <w:rPr>
          <w:color w:val="auto"/>
          <w:highlight w:val="none"/>
        </w:rPr>
      </w:pPr>
      <w:r>
        <w:rPr>
          <w:rFonts w:hint="eastAsia"/>
          <w:color w:val="auto"/>
          <w:highlight w:val="none"/>
        </w:rPr>
        <w:t>②现状雨水管渠的管材、管径、管位、检查井井底标高及管底标高；</w:t>
      </w:r>
    </w:p>
    <w:p w14:paraId="3EE5F49B">
      <w:pPr>
        <w:rPr>
          <w:color w:val="auto"/>
          <w:highlight w:val="none"/>
        </w:rPr>
      </w:pPr>
      <w:r>
        <w:rPr>
          <w:rFonts w:hint="eastAsia"/>
          <w:color w:val="auto"/>
          <w:highlight w:val="none"/>
        </w:rPr>
        <w:t>③管道横穿的河沟、过路或路边的渠道需要测出箱涵的断面、顶板厚度、位置坐标、渠底标高、地面标高、流向等；</w:t>
      </w:r>
    </w:p>
    <w:p w14:paraId="66A0A7F8">
      <w:pPr>
        <w:rPr>
          <w:color w:val="auto"/>
          <w:highlight w:val="none"/>
        </w:rPr>
      </w:pPr>
      <w:r>
        <w:rPr>
          <w:rFonts w:hint="eastAsia"/>
          <w:color w:val="auto"/>
          <w:highlight w:val="none"/>
        </w:rPr>
        <w:t>④现状污水管道的管材、管径、管位、检查井井底标高及管底标高；</w:t>
      </w:r>
    </w:p>
    <w:p w14:paraId="4E32286D">
      <w:pPr>
        <w:rPr>
          <w:color w:val="auto"/>
          <w:highlight w:val="none"/>
        </w:rPr>
      </w:pPr>
      <w:r>
        <w:rPr>
          <w:rFonts w:hint="eastAsia"/>
          <w:color w:val="auto"/>
          <w:highlight w:val="none"/>
        </w:rPr>
        <w:t>⑤电气专业地上管线，包括现状路灯、10w、110kv架空线；</w:t>
      </w:r>
    </w:p>
    <w:p w14:paraId="724210B9">
      <w:pPr>
        <w:rPr>
          <w:color w:val="auto"/>
          <w:highlight w:val="none"/>
        </w:rPr>
      </w:pPr>
      <w:r>
        <w:rPr>
          <w:rFonts w:hint="eastAsia"/>
          <w:color w:val="auto"/>
          <w:highlight w:val="none"/>
        </w:rPr>
        <w:t>⑥电气专业地下管沟，包括现状电缆沟、埋地电缆、通讯井、通讯线；</w:t>
      </w:r>
    </w:p>
    <w:p w14:paraId="327B51E8">
      <w:pPr>
        <w:rPr>
          <w:color w:val="auto"/>
          <w:highlight w:val="none"/>
        </w:rPr>
      </w:pPr>
      <w:r>
        <w:rPr>
          <w:rFonts w:hint="eastAsia"/>
          <w:color w:val="auto"/>
          <w:highlight w:val="none"/>
        </w:rPr>
        <w:t>⑦现状燃气管道的管材、管径、管位、各节点的坐标、地面标高及管底标高；</w:t>
      </w:r>
    </w:p>
    <w:p w14:paraId="2846D074">
      <w:pPr>
        <w:rPr>
          <w:color w:val="auto"/>
          <w:highlight w:val="none"/>
        </w:rPr>
      </w:pPr>
      <w:r>
        <w:rPr>
          <w:rFonts w:hint="eastAsia"/>
          <w:color w:val="auto"/>
          <w:highlight w:val="none"/>
        </w:rPr>
        <w:t>⑧查明地上管线，包括架空线路、通信架空线、交通信号灯和公安监控设备等，平面位置、走向、对地净空，杆塔位置、高度、基础尺寸等；</w:t>
      </w:r>
    </w:p>
    <w:p w14:paraId="04A8AF2F">
      <w:pPr>
        <w:rPr>
          <w:color w:val="auto"/>
          <w:highlight w:val="none"/>
        </w:rPr>
      </w:pPr>
      <w:r>
        <w:rPr>
          <w:rFonts w:hint="eastAsia"/>
          <w:color w:val="auto"/>
          <w:highlight w:val="none"/>
        </w:rPr>
        <w:t>⑨调查测区内的地下人防巷道和其他地下设施。</w:t>
      </w:r>
    </w:p>
    <w:p w14:paraId="2B08B9C6">
      <w:pPr>
        <w:rPr>
          <w:color w:val="auto"/>
          <w:highlight w:val="none"/>
        </w:rPr>
      </w:pPr>
      <w:r>
        <w:rPr>
          <w:color w:val="auto"/>
          <w:highlight w:val="none"/>
        </w:rPr>
        <w:t>（3）</w:t>
      </w:r>
      <w:r>
        <w:rPr>
          <w:rFonts w:hint="eastAsia"/>
          <w:color w:val="auto"/>
          <w:highlight w:val="none"/>
        </w:rPr>
        <w:t>管线图的编绘：管线图的编绘在特制的软件中进行。管线图中管径、断面尺寸、总孔数／已用孔数、电缆根数只在管线变异处两侧注记。管线注记与地形图中的符号注记重叠时删去地形图中的注记和符号。管线图的图廓整饰甲方的要求进行。</w:t>
      </w:r>
    </w:p>
    <w:p w14:paraId="560E6686">
      <w:pPr>
        <w:rPr>
          <w:color w:val="auto"/>
          <w:highlight w:val="none"/>
        </w:rPr>
      </w:pPr>
      <w:r>
        <w:rPr>
          <w:color w:val="auto"/>
          <w:highlight w:val="none"/>
        </w:rPr>
        <w:t>（4）</w:t>
      </w:r>
      <w:r>
        <w:rPr>
          <w:rFonts w:hint="eastAsia"/>
          <w:color w:val="auto"/>
          <w:highlight w:val="none"/>
        </w:rPr>
        <w:t>管线点成果表数据：包括编号；管线埋设方向；管线及设施种类及性质；管线材料；几何尺寸(管径大小或构筑物平面投影尺寸)；埋设深度[包括地面、管(沟、块底、面、构筑物顶、底面标高等相关数据]；平面坐标；埋设日期；权属或主管单位的名称等。</w:t>
      </w:r>
    </w:p>
    <w:p w14:paraId="15AB45B5">
      <w:pPr>
        <w:rPr>
          <w:color w:val="auto"/>
          <w:highlight w:val="none"/>
        </w:rPr>
      </w:pPr>
      <w:r>
        <w:rPr>
          <w:color w:val="auto"/>
          <w:highlight w:val="none"/>
        </w:rPr>
        <w:t>（5）</w:t>
      </w:r>
      <w:r>
        <w:rPr>
          <w:rFonts w:hint="eastAsia"/>
          <w:color w:val="auto"/>
          <w:highlight w:val="none"/>
        </w:rPr>
        <w:t>包括但不限于以上要求。</w:t>
      </w:r>
    </w:p>
    <w:p w14:paraId="1BE9C851">
      <w:pPr>
        <w:pStyle w:val="4"/>
        <w:spacing w:before="120" w:after="120"/>
        <w:rPr>
          <w:color w:val="auto"/>
          <w:highlight w:val="none"/>
        </w:rPr>
      </w:pPr>
      <w:bookmarkStart w:id="274" w:name="_Toc6822"/>
      <w:bookmarkStart w:id="275" w:name="_Toc23445_WPSOffice_Level2"/>
      <w:bookmarkStart w:id="276" w:name="_Toc18412"/>
      <w:bookmarkStart w:id="277" w:name="_Toc19902"/>
      <w:bookmarkStart w:id="278" w:name="_Toc30924"/>
      <w:bookmarkStart w:id="279" w:name="_Toc13139"/>
      <w:bookmarkStart w:id="280" w:name="_Toc17636"/>
      <w:bookmarkStart w:id="281" w:name="_Toc13548"/>
      <w:bookmarkStart w:id="282" w:name="_Toc3811"/>
      <w:r>
        <w:rPr>
          <w:rFonts w:hint="eastAsia"/>
          <w:color w:val="auto"/>
          <w:highlight w:val="none"/>
        </w:rPr>
        <w:t>3.3设计工作要求</w:t>
      </w:r>
      <w:bookmarkEnd w:id="274"/>
      <w:bookmarkEnd w:id="275"/>
      <w:bookmarkEnd w:id="276"/>
      <w:bookmarkEnd w:id="277"/>
      <w:bookmarkEnd w:id="278"/>
      <w:bookmarkEnd w:id="279"/>
      <w:bookmarkEnd w:id="280"/>
      <w:bookmarkEnd w:id="281"/>
      <w:bookmarkEnd w:id="282"/>
    </w:p>
    <w:p w14:paraId="1ED57B1E">
      <w:pPr>
        <w:rPr>
          <w:rFonts w:hint="eastAsia" w:ascii="宋体" w:hAnsi="宋体" w:cs="宋体"/>
          <w:color w:val="auto"/>
          <w:highlight w:val="none"/>
        </w:rPr>
      </w:pPr>
      <w:r>
        <w:rPr>
          <w:rFonts w:hint="eastAsia" w:ascii="宋体" w:hAnsi="宋体" w:cs="宋体"/>
          <w:color w:val="auto"/>
          <w:highlight w:val="none"/>
        </w:rPr>
        <w:t>各阶段的设计工作除遵照勘察设计合同、项目建议书、勘察设计任务书、现行法律法规和规范标准、政府有关部门的规定和审批意见的有关规定等外，还需要做到招标人提出的下列设计要求（包括并不限于）。</w:t>
      </w:r>
    </w:p>
    <w:p w14:paraId="544CB42B">
      <w:pPr>
        <w:pStyle w:val="5"/>
        <w:spacing w:before="120" w:after="120"/>
        <w:rPr>
          <w:color w:val="auto"/>
          <w:highlight w:val="none"/>
        </w:rPr>
      </w:pPr>
      <w:bookmarkStart w:id="283" w:name="_Toc29425"/>
      <w:bookmarkStart w:id="284" w:name="_Toc1939"/>
      <w:bookmarkStart w:id="285" w:name="_Toc15844"/>
      <w:r>
        <w:rPr>
          <w:rFonts w:hint="eastAsia"/>
          <w:color w:val="auto"/>
          <w:highlight w:val="none"/>
        </w:rPr>
        <w:t>3.3.1规划设计要求</w:t>
      </w:r>
      <w:bookmarkEnd w:id="283"/>
      <w:bookmarkEnd w:id="284"/>
      <w:bookmarkEnd w:id="285"/>
    </w:p>
    <w:p w14:paraId="05D00EB3">
      <w:pPr>
        <w:rPr>
          <w:rFonts w:hint="eastAsia" w:ascii="宋体" w:hAnsi="宋体" w:cs="宋体"/>
          <w:color w:val="auto"/>
          <w:highlight w:val="none"/>
        </w:rPr>
      </w:pPr>
      <w:r>
        <w:rPr>
          <w:rFonts w:hint="eastAsia" w:ascii="宋体" w:hAnsi="宋体" w:cs="宋体"/>
          <w:color w:val="auto"/>
          <w:highlight w:val="none"/>
        </w:rPr>
        <w:t>落实广州市委十届九次全会《进一步加强城市规划建设管理工作的实施意见》，提高规划的科学性和前瞻性，整体提升空间立体性、平面协调性、风貌整体性和文脉延续性。要求设计单位把竖向设计和管线规划平衡设计落实在方案深化设计阶段。</w:t>
      </w:r>
    </w:p>
    <w:p w14:paraId="33DA9E2B">
      <w:pPr>
        <w:rPr>
          <w:rFonts w:hint="eastAsia" w:ascii="宋体" w:hAnsi="宋体" w:cs="宋体"/>
          <w:color w:val="auto"/>
          <w:highlight w:val="none"/>
        </w:rPr>
      </w:pPr>
      <w:r>
        <w:rPr>
          <w:rFonts w:hint="eastAsia" w:ascii="宋体" w:hAnsi="宋体" w:cs="宋体"/>
          <w:color w:val="auto"/>
          <w:highlight w:val="none"/>
        </w:rPr>
        <w:t>停车场应按广州市有关部门的规定比例建设充电设施或预留充电设施接口。</w:t>
      </w:r>
    </w:p>
    <w:p w14:paraId="7A5F5EBE">
      <w:pPr>
        <w:pStyle w:val="5"/>
        <w:spacing w:before="120" w:after="120"/>
        <w:rPr>
          <w:color w:val="auto"/>
          <w:highlight w:val="none"/>
        </w:rPr>
      </w:pPr>
      <w:bookmarkStart w:id="286" w:name="_Toc8214"/>
      <w:bookmarkStart w:id="287" w:name="_Toc19533"/>
      <w:bookmarkStart w:id="288" w:name="_Toc22500"/>
      <w:r>
        <w:rPr>
          <w:rFonts w:hint="eastAsia"/>
          <w:color w:val="auto"/>
          <w:highlight w:val="none"/>
        </w:rPr>
        <w:t>3.3.2建筑与室内装修设计要求</w:t>
      </w:r>
      <w:bookmarkEnd w:id="286"/>
      <w:bookmarkEnd w:id="287"/>
      <w:bookmarkEnd w:id="288"/>
    </w:p>
    <w:p w14:paraId="5A06C60F">
      <w:pPr>
        <w:ind w:firstLine="0" w:firstLineChars="0"/>
        <w:rPr>
          <w:rFonts w:hint="eastAsia" w:ascii="宋体" w:hAnsi="宋体" w:cs="宋体"/>
          <w:color w:val="auto"/>
          <w:highlight w:val="none"/>
        </w:rPr>
      </w:pPr>
      <w:r>
        <w:rPr>
          <w:rFonts w:ascii="宋体" w:hAnsi="宋体" w:cs="宋体"/>
          <w:color w:val="auto"/>
          <w:highlight w:val="none"/>
        </w:rPr>
        <w:t xml:space="preserve">    </w:t>
      </w:r>
      <w:r>
        <w:rPr>
          <w:rFonts w:hint="eastAsia" w:ascii="宋体" w:hAnsi="宋体" w:cs="宋体"/>
          <w:color w:val="auto"/>
          <w:highlight w:val="none"/>
        </w:rPr>
        <w:t>（1）根据项目建议书，除办公楼需按</w:t>
      </w:r>
      <w:r>
        <w:rPr>
          <w:rFonts w:hint="eastAsia"/>
          <w:color w:val="auto"/>
          <w:highlight w:val="none"/>
        </w:rPr>
        <w:t>绿色建筑一星进行合计外，其他无绿色建筑要求。最终绿建要求以批复的可行性研究报告为准。</w:t>
      </w:r>
    </w:p>
    <w:p w14:paraId="49DB412F">
      <w:pPr>
        <w:rPr>
          <w:rFonts w:hint="eastAsia" w:ascii="宋体" w:hAnsi="宋体" w:cs="宋体"/>
          <w:color w:val="auto"/>
          <w:highlight w:val="none"/>
        </w:rPr>
      </w:pPr>
      <w:r>
        <w:rPr>
          <w:rFonts w:hint="eastAsia" w:ascii="宋体" w:hAnsi="宋体" w:cs="宋体"/>
          <w:color w:val="auto"/>
          <w:highlight w:val="none"/>
        </w:rPr>
        <w:t>（2）提倡使用永久性天然材料，不得使用影响安全的挂板作为装饰面板。走廊、过道、楼梯等与室外直接连通的部位，地面不应采用抛光砖等不适合岭南地区返潮、湿滑气候特点的材料。</w:t>
      </w:r>
    </w:p>
    <w:p w14:paraId="4ABE3A00">
      <w:pPr>
        <w:rPr>
          <w:rFonts w:hint="eastAsia" w:ascii="宋体" w:hAnsi="宋体" w:cs="宋体"/>
          <w:color w:val="auto"/>
          <w:highlight w:val="none"/>
        </w:rPr>
      </w:pPr>
      <w:r>
        <w:rPr>
          <w:rFonts w:hint="eastAsia" w:ascii="宋体" w:hAnsi="宋体" w:cs="宋体"/>
          <w:color w:val="auto"/>
          <w:highlight w:val="none"/>
        </w:rPr>
        <w:t>（3）建筑设计说明中要求标明所有门均为成品门进场，不采用施工现场制作门。</w:t>
      </w:r>
    </w:p>
    <w:p w14:paraId="30C8C6FD">
      <w:pPr>
        <w:rPr>
          <w:rFonts w:hint="eastAsia" w:ascii="宋体" w:hAnsi="宋体" w:cs="宋体"/>
          <w:color w:val="auto"/>
          <w:highlight w:val="none"/>
        </w:rPr>
      </w:pPr>
      <w:r>
        <w:rPr>
          <w:rFonts w:hint="eastAsia" w:ascii="宋体" w:hAnsi="宋体" w:cs="宋体"/>
          <w:color w:val="auto"/>
          <w:highlight w:val="none"/>
        </w:rPr>
        <w:t>（4）重要的建筑、装修材料按招标人要求设计方提供实物样板的，实物样板所需费用由设计单位负责。</w:t>
      </w:r>
    </w:p>
    <w:p w14:paraId="097C3328">
      <w:pPr>
        <w:rPr>
          <w:rFonts w:hint="eastAsia" w:ascii="宋体" w:hAnsi="宋体" w:cs="宋体"/>
          <w:color w:val="auto"/>
          <w:highlight w:val="none"/>
        </w:rPr>
      </w:pPr>
      <w:r>
        <w:rPr>
          <w:rFonts w:hint="eastAsia" w:ascii="宋体" w:hAnsi="宋体" w:cs="宋体"/>
          <w:color w:val="auto"/>
          <w:highlight w:val="none"/>
        </w:rPr>
        <w:t>（5）装修设计上应体现对成本的经济性与功能适用性控制，材料的选用上尽量体现重点，次要部位选用经济适用的材料。</w:t>
      </w:r>
    </w:p>
    <w:p w14:paraId="7891BA8B">
      <w:pPr>
        <w:pStyle w:val="5"/>
        <w:spacing w:before="120" w:after="120"/>
        <w:rPr>
          <w:color w:val="auto"/>
          <w:highlight w:val="none"/>
        </w:rPr>
      </w:pPr>
      <w:bookmarkStart w:id="289" w:name="_Toc24183"/>
      <w:bookmarkStart w:id="290" w:name="_Toc8982"/>
      <w:bookmarkStart w:id="291" w:name="_Toc1623"/>
      <w:r>
        <w:rPr>
          <w:rFonts w:hint="eastAsia"/>
          <w:color w:val="auto"/>
          <w:highlight w:val="none"/>
        </w:rPr>
        <w:t>3.3.3 BIM设计要求</w:t>
      </w:r>
      <w:bookmarkEnd w:id="289"/>
      <w:bookmarkEnd w:id="290"/>
      <w:bookmarkEnd w:id="291"/>
    </w:p>
    <w:p w14:paraId="32D4C176">
      <w:pPr>
        <w:adjustRightInd w:val="0"/>
        <w:snapToGrid w:val="0"/>
        <w:outlineLvl w:val="3"/>
        <w:rPr>
          <w:rFonts w:hint="eastAsia" w:ascii="宋体" w:hAnsi="宋体" w:cs="宋体"/>
          <w:snapToGrid w:val="0"/>
          <w:color w:val="auto"/>
          <w:kern w:val="0"/>
          <w:highlight w:val="none"/>
        </w:rPr>
      </w:pPr>
      <w:r>
        <w:rPr>
          <w:rFonts w:hint="eastAsia" w:ascii="宋体" w:hAnsi="宋体" w:cs="宋体"/>
          <w:snapToGrid w:val="0"/>
          <w:color w:val="auto"/>
          <w:kern w:val="0"/>
          <w:highlight w:val="none"/>
        </w:rPr>
        <w:t>（1）BIM技术应用阶段</w:t>
      </w:r>
    </w:p>
    <w:p w14:paraId="5A4ECC1F">
      <w:pPr>
        <w:adjustRightInd w:val="0"/>
        <w:snapToGrid w:val="0"/>
        <w:rPr>
          <w:rFonts w:hint="eastAsia" w:ascii="宋体" w:hAnsi="宋体" w:cs="宋体"/>
          <w:snapToGrid w:val="0"/>
          <w:color w:val="auto"/>
          <w:kern w:val="0"/>
          <w:highlight w:val="none"/>
        </w:rPr>
      </w:pPr>
      <w:r>
        <w:rPr>
          <w:rFonts w:hint="eastAsia" w:ascii="宋体" w:hAnsi="宋体" w:cs="宋体"/>
          <w:snapToGrid w:val="0"/>
          <w:color w:val="auto"/>
          <w:kern w:val="0"/>
          <w:highlight w:val="none"/>
        </w:rPr>
        <w:t>设计单位需要完成设计阶段的BIM技术应用服务，包括方案设计阶段、初步设计阶段、施工图设计阶段和施工阶段设计配合服务等应用阶段，将BIM技术与工程实际紧密结合，实现BIM技术落地应用，承担从正向设计全过程设计BIM应用的示范和验证作用，体现BIM技术在项目全生命周期中的应用价值。</w:t>
      </w:r>
    </w:p>
    <w:p w14:paraId="34383487">
      <w:pPr>
        <w:adjustRightInd w:val="0"/>
        <w:snapToGrid w:val="0"/>
        <w:outlineLvl w:val="3"/>
        <w:rPr>
          <w:rFonts w:hint="eastAsia" w:ascii="宋体" w:hAnsi="宋体" w:cs="宋体"/>
          <w:snapToGrid w:val="0"/>
          <w:color w:val="auto"/>
          <w:kern w:val="0"/>
          <w:highlight w:val="none"/>
        </w:rPr>
      </w:pPr>
      <w:r>
        <w:rPr>
          <w:rFonts w:hint="eastAsia" w:ascii="宋体" w:hAnsi="宋体" w:cs="宋体"/>
          <w:snapToGrid w:val="0"/>
          <w:color w:val="auto"/>
          <w:kern w:val="0"/>
          <w:highlight w:val="none"/>
        </w:rPr>
        <w:t>（2）BIM技术应用专业</w:t>
      </w:r>
    </w:p>
    <w:p w14:paraId="6E5A0424">
      <w:pPr>
        <w:adjustRightInd w:val="0"/>
        <w:snapToGrid w:val="0"/>
        <w:rPr>
          <w:rFonts w:hint="eastAsia" w:ascii="宋体" w:hAnsi="宋体" w:cs="宋体"/>
          <w:snapToGrid w:val="0"/>
          <w:color w:val="auto"/>
          <w:kern w:val="0"/>
          <w:highlight w:val="none"/>
        </w:rPr>
      </w:pPr>
      <w:r>
        <w:rPr>
          <w:rFonts w:hint="eastAsia" w:ascii="宋体" w:hAnsi="宋体" w:cs="宋体"/>
          <w:snapToGrid w:val="0"/>
          <w:color w:val="auto"/>
          <w:kern w:val="0"/>
          <w:highlight w:val="none"/>
        </w:rPr>
        <w:t>包括但不限于建筑设计、结构设计、钢结构设计、幕墙设计（如有）、给排水设计、暖通空调设计、强弱电设计、总图设计、户外管网设计、室外配套设计、景观绿化设计、室内外装修设计、人防工程、智能化设计、地基处理工程（如有）、基坑支护工程、粮仓工艺设备、接入外线工程等计划投资内所有专业的BIM技术应用。</w:t>
      </w:r>
    </w:p>
    <w:p w14:paraId="69ECD06E">
      <w:pPr>
        <w:adjustRightInd w:val="0"/>
        <w:snapToGrid w:val="0"/>
        <w:outlineLvl w:val="3"/>
        <w:rPr>
          <w:rFonts w:hint="eastAsia" w:ascii="宋体" w:hAnsi="宋体" w:cs="宋体"/>
          <w:snapToGrid w:val="0"/>
          <w:color w:val="auto"/>
          <w:kern w:val="0"/>
          <w:highlight w:val="none"/>
        </w:rPr>
      </w:pPr>
      <w:r>
        <w:rPr>
          <w:rFonts w:hint="eastAsia" w:ascii="宋体" w:hAnsi="宋体" w:cs="宋体"/>
          <w:snapToGrid w:val="0"/>
          <w:color w:val="auto"/>
          <w:kern w:val="0"/>
          <w:highlight w:val="none"/>
        </w:rPr>
        <w:t>（3）BIM技术应用内容</w:t>
      </w:r>
    </w:p>
    <w:p w14:paraId="3ABDB0ED">
      <w:pPr>
        <w:adjustRightInd w:val="0"/>
        <w:snapToGrid w:val="0"/>
        <w:rPr>
          <w:rFonts w:hint="eastAsia" w:ascii="宋体" w:hAnsi="宋体" w:cs="宋体"/>
          <w:snapToGrid w:val="0"/>
          <w:color w:val="auto"/>
          <w:kern w:val="0"/>
          <w:highlight w:val="none"/>
        </w:rPr>
      </w:pPr>
      <w:r>
        <w:rPr>
          <w:rFonts w:hint="eastAsia" w:ascii="宋体" w:hAnsi="宋体" w:cs="宋体"/>
          <w:snapToGrid w:val="0"/>
          <w:color w:val="auto"/>
          <w:kern w:val="0"/>
          <w:highlight w:val="none"/>
        </w:rPr>
        <w:t>设计单位BIM技术应用工作内容必须满足相关国家、行业及地方发布的相关规范、标准及规程等的规定，并应满足发包人指定的BIM技术应用相关实施标准。BIM技术应用内容包括但不限于下述内容：</w:t>
      </w:r>
    </w:p>
    <w:p w14:paraId="724ED2F5">
      <w:pPr>
        <w:adjustRightInd w:val="0"/>
        <w:snapToGrid w:val="0"/>
        <w:rPr>
          <w:rFonts w:hint="eastAsia" w:ascii="宋体" w:hAnsi="宋体" w:cs="宋体"/>
          <w:snapToGrid w:val="0"/>
          <w:color w:val="auto"/>
          <w:kern w:val="0"/>
          <w:highlight w:val="none"/>
        </w:rPr>
      </w:pPr>
      <w:r>
        <w:rPr>
          <w:rFonts w:hint="eastAsia" w:ascii="宋体" w:hAnsi="宋体" w:cs="宋体"/>
          <w:snapToGrid w:val="0"/>
          <w:color w:val="auto"/>
          <w:kern w:val="0"/>
          <w:highlight w:val="none"/>
        </w:rPr>
        <w:t>①设计单位创建设计阶段BIM技术应用阶段及专业的BIM模型，各阶段BIM模型必须满足《建筑工程设计信息模型交付标准》</w:t>
      </w:r>
      <w:r>
        <w:rPr>
          <w:rFonts w:ascii="宋体" w:hAnsi="宋体" w:cs="宋体"/>
          <w:snapToGrid w:val="0"/>
          <w:color w:val="auto"/>
          <w:kern w:val="0"/>
          <w:highlight w:val="none"/>
        </w:rPr>
        <w:t>（</w:t>
      </w:r>
      <w:r>
        <w:rPr>
          <w:rFonts w:hint="eastAsia" w:ascii="宋体" w:hAnsi="宋体" w:cs="宋体"/>
          <w:snapToGrid w:val="0"/>
          <w:color w:val="auto"/>
          <w:kern w:val="0"/>
          <w:highlight w:val="none"/>
        </w:rPr>
        <w:t>GB/T51301-2018</w:t>
      </w:r>
      <w:r>
        <w:rPr>
          <w:rFonts w:ascii="宋体" w:hAnsi="宋体" w:cs="宋体"/>
          <w:snapToGrid w:val="0"/>
          <w:color w:val="auto"/>
          <w:kern w:val="0"/>
          <w:highlight w:val="none"/>
        </w:rPr>
        <w:t>）</w:t>
      </w:r>
      <w:r>
        <w:rPr>
          <w:rFonts w:hint="eastAsia" w:ascii="宋体" w:hAnsi="宋体" w:cs="宋体"/>
          <w:snapToGrid w:val="0"/>
          <w:color w:val="auto"/>
          <w:kern w:val="0"/>
          <w:highlight w:val="none"/>
        </w:rPr>
        <w:t>深度要求，同时需满足CIM相关标准要求，确保模型信息能对接三维施工图审查平台/系统、三维报建BIM模型标准、工程计量计价的要求（包括但不限于直接提取工程量、导出工程量清单、与造价软件可互为衔接转换等），建筑单体各专业BIM模型深度要求满足且不低于《建筑工程设计信息模型交付标准》（GB/T51301-2018）的交付协同要求。</w:t>
      </w:r>
    </w:p>
    <w:p w14:paraId="1802AA74">
      <w:pPr>
        <w:adjustRightInd w:val="0"/>
        <w:snapToGrid w:val="0"/>
        <w:rPr>
          <w:rFonts w:hint="eastAsia" w:ascii="宋体" w:hAnsi="宋体" w:cs="宋体"/>
          <w:snapToGrid w:val="0"/>
          <w:color w:val="auto"/>
          <w:kern w:val="0"/>
          <w:highlight w:val="none"/>
        </w:rPr>
      </w:pPr>
      <w:r>
        <w:rPr>
          <w:rFonts w:hint="eastAsia" w:ascii="宋体" w:hAnsi="宋体" w:cs="宋体"/>
          <w:snapToGrid w:val="0"/>
          <w:color w:val="auto"/>
          <w:kern w:val="0"/>
          <w:highlight w:val="none"/>
        </w:rPr>
        <w:t>②设计单位采用BIM可视化汇报各阶段设计成果，包括但不限于效果图、漫游动画、浏览模型等。</w:t>
      </w:r>
    </w:p>
    <w:p w14:paraId="152ADEC4">
      <w:pPr>
        <w:adjustRightInd w:val="0"/>
        <w:snapToGrid w:val="0"/>
        <w:rPr>
          <w:rFonts w:hint="eastAsia" w:ascii="宋体" w:hAnsi="宋体" w:cs="宋体"/>
          <w:snapToGrid w:val="0"/>
          <w:color w:val="auto"/>
          <w:kern w:val="0"/>
          <w:highlight w:val="none"/>
        </w:rPr>
      </w:pPr>
      <w:r>
        <w:rPr>
          <w:rFonts w:hint="eastAsia" w:ascii="宋体" w:hAnsi="宋体" w:cs="宋体"/>
          <w:snapToGrid w:val="0"/>
          <w:color w:val="auto"/>
          <w:kern w:val="0"/>
          <w:highlight w:val="none"/>
        </w:rPr>
        <w:t>③设计单位在方案设计阶段需提供方案BIM模型，模型精细度等级不低于LOD2.0，配合发包人进行方案比选，辅助发包人稳定建设需求。</w:t>
      </w:r>
    </w:p>
    <w:p w14:paraId="3631F6D2">
      <w:pPr>
        <w:adjustRightInd w:val="0"/>
        <w:snapToGrid w:val="0"/>
        <w:rPr>
          <w:rFonts w:hint="eastAsia" w:ascii="宋体" w:hAnsi="宋体" w:cs="宋体"/>
          <w:snapToGrid w:val="0"/>
          <w:color w:val="auto"/>
          <w:kern w:val="0"/>
          <w:highlight w:val="none"/>
        </w:rPr>
      </w:pPr>
      <w:r>
        <w:rPr>
          <w:rFonts w:hint="eastAsia" w:ascii="宋体" w:hAnsi="宋体" w:cs="宋体"/>
          <w:snapToGrid w:val="0"/>
          <w:color w:val="auto"/>
          <w:kern w:val="0"/>
          <w:highlight w:val="none"/>
        </w:rPr>
        <w:t>④设计单位在初步设计阶段和施工图阶段,利用BIM技术进行碰撞检测分析，确保各专业之间无碰撞；利用BIM技术进行管线综合，确保机电管线充分协调，满足施工要求和净空要求，保障使用空间和检修空间。</w:t>
      </w:r>
    </w:p>
    <w:p w14:paraId="1A81F62E">
      <w:pPr>
        <w:adjustRightInd w:val="0"/>
        <w:snapToGrid w:val="0"/>
        <w:rPr>
          <w:rFonts w:hint="eastAsia" w:ascii="宋体" w:hAnsi="宋体" w:cs="宋体"/>
          <w:snapToGrid w:val="0"/>
          <w:color w:val="auto"/>
          <w:kern w:val="0"/>
          <w:highlight w:val="none"/>
        </w:rPr>
      </w:pPr>
      <w:r>
        <w:rPr>
          <w:rFonts w:hint="eastAsia" w:ascii="宋体" w:hAnsi="宋体" w:cs="宋体"/>
          <w:snapToGrid w:val="0"/>
          <w:color w:val="auto"/>
          <w:kern w:val="0"/>
          <w:highlight w:val="none"/>
        </w:rPr>
        <w:t>⑤设计单位的施工图必须利用BIM技术开展碰撞检测、管线综合和净空分析，并提交相应报告后方可出图。</w:t>
      </w:r>
    </w:p>
    <w:p w14:paraId="76269088">
      <w:pPr>
        <w:adjustRightInd w:val="0"/>
        <w:snapToGrid w:val="0"/>
        <w:rPr>
          <w:rFonts w:hint="eastAsia" w:ascii="宋体" w:hAnsi="宋体" w:cs="宋体"/>
          <w:snapToGrid w:val="0"/>
          <w:color w:val="auto"/>
          <w:kern w:val="0"/>
          <w:highlight w:val="none"/>
        </w:rPr>
      </w:pPr>
      <w:r>
        <w:rPr>
          <w:rFonts w:hint="eastAsia" w:ascii="宋体" w:hAnsi="宋体" w:cs="宋体"/>
          <w:snapToGrid w:val="0"/>
          <w:color w:val="auto"/>
          <w:kern w:val="0"/>
          <w:highlight w:val="none"/>
        </w:rPr>
        <w:t>⑥设计单位利用BIM模型进行设计交底以及施工图纸会审工作；审核施工阶段BIM模型维护和更新的合理性；配合并指导施工单位开展施工阶段及竣工验收阶段相关深化工作。</w:t>
      </w:r>
    </w:p>
    <w:p w14:paraId="707D2A07">
      <w:pPr>
        <w:adjustRightInd w:val="0"/>
        <w:snapToGrid w:val="0"/>
        <w:rPr>
          <w:rFonts w:hint="eastAsia" w:ascii="宋体" w:hAnsi="宋体" w:cs="宋体"/>
          <w:snapToGrid w:val="0"/>
          <w:color w:val="auto"/>
          <w:kern w:val="0"/>
          <w:highlight w:val="none"/>
        </w:rPr>
      </w:pPr>
      <w:r>
        <w:rPr>
          <w:rFonts w:hint="eastAsia" w:ascii="宋体" w:hAnsi="宋体" w:cs="宋体"/>
          <w:snapToGrid w:val="0"/>
          <w:color w:val="auto"/>
          <w:kern w:val="0"/>
          <w:highlight w:val="none"/>
        </w:rPr>
        <w:t>⑦ 设计单位必须结合广州市政府对CIM的要求和造价限额设计要求，需配合发包人开展BIM技术应用的报批报建工作（方案联审、规划条件、施工图审查、消防报建审查、竣工验收备案等）。</w:t>
      </w:r>
    </w:p>
    <w:p w14:paraId="1281DCF4">
      <w:pPr>
        <w:adjustRightInd w:val="0"/>
        <w:snapToGrid w:val="0"/>
        <w:rPr>
          <w:rFonts w:hint="eastAsia" w:ascii="宋体" w:hAnsi="宋体" w:cs="宋体"/>
          <w:snapToGrid w:val="0"/>
          <w:color w:val="auto"/>
          <w:kern w:val="0"/>
          <w:highlight w:val="none"/>
        </w:rPr>
      </w:pPr>
      <w:r>
        <w:rPr>
          <w:rFonts w:hint="eastAsia" w:ascii="宋体" w:hAnsi="宋体" w:cs="宋体"/>
          <w:snapToGrid w:val="0"/>
          <w:color w:val="auto"/>
          <w:kern w:val="0"/>
          <w:highlight w:val="none"/>
        </w:rPr>
        <w:t>⑧ 设计单位必须结合造价行业管理部门要求，需配合发包人开展BIM技术应用的计量计价相关工作，模型精细度等级不低于LOD3.0。</w:t>
      </w:r>
    </w:p>
    <w:p w14:paraId="6E7B6C5A">
      <w:pPr>
        <w:adjustRightInd w:val="0"/>
        <w:snapToGrid w:val="0"/>
        <w:rPr>
          <w:rFonts w:hint="eastAsia" w:ascii="宋体" w:hAnsi="宋体" w:cs="宋体"/>
          <w:snapToGrid w:val="0"/>
          <w:color w:val="auto"/>
          <w:kern w:val="0"/>
          <w:highlight w:val="none"/>
        </w:rPr>
      </w:pPr>
      <w:r>
        <w:rPr>
          <w:rFonts w:hint="eastAsia" w:ascii="宋体" w:hAnsi="宋体" w:cs="宋体"/>
          <w:snapToGrid w:val="0"/>
          <w:color w:val="auto"/>
          <w:kern w:val="0"/>
          <w:highlight w:val="none"/>
        </w:rPr>
        <w:t>⑨设计单位必须参加行发包人主管部门、发包人或发包人委托单位召开的各阶段的BIM和CIM相关协调会议。</w:t>
      </w:r>
    </w:p>
    <w:p w14:paraId="2AA84E0F">
      <w:pPr>
        <w:adjustRightInd w:val="0"/>
        <w:snapToGrid w:val="0"/>
        <w:rPr>
          <w:rFonts w:hint="eastAsia" w:ascii="宋体" w:hAnsi="宋体" w:cs="宋体"/>
          <w:snapToGrid w:val="0"/>
          <w:color w:val="auto"/>
          <w:kern w:val="0"/>
          <w:highlight w:val="none"/>
        </w:rPr>
      </w:pPr>
      <w:r>
        <w:rPr>
          <w:rFonts w:hint="eastAsia" w:ascii="宋体" w:hAnsi="宋体" w:cs="宋体"/>
          <w:snapToGrid w:val="0"/>
          <w:color w:val="auto"/>
          <w:kern w:val="0"/>
          <w:highlight w:val="none"/>
        </w:rPr>
        <w:t>⑩ 设计单位应用发包人提供的BIM协同与管理平台实现设计管理和施工管理协同。应用BIM协同与管理平台实现设计和施工中的沟通与协调，协助发包人进行全程可视化管理交流服务、重点、难点、节点展示及深化设计复核等工作。</w:t>
      </w:r>
    </w:p>
    <w:p w14:paraId="18CA92B1">
      <w:pPr>
        <w:adjustRightInd w:val="0"/>
        <w:snapToGrid w:val="0"/>
        <w:rPr>
          <w:rFonts w:hint="eastAsia" w:ascii="宋体" w:hAnsi="宋体" w:cs="宋体"/>
          <w:snapToGrid w:val="0"/>
          <w:color w:val="auto"/>
          <w:kern w:val="0"/>
          <w:highlight w:val="none"/>
        </w:rPr>
      </w:pPr>
      <w:r>
        <w:rPr>
          <w:rFonts w:hint="eastAsia" w:ascii="宋体" w:hAnsi="宋体" w:cs="宋体"/>
          <w:snapToGrid w:val="0"/>
          <w:color w:val="auto"/>
          <w:kern w:val="0"/>
          <w:highlight w:val="none"/>
        </w:rPr>
        <w:t>⑪ 设计单位配合其它BIM技术应用相关工作（例如工程质量奖项、工程安全管理文明施工奖项、科学技术奖、BIM宣传汇报等）。</w:t>
      </w:r>
    </w:p>
    <w:p w14:paraId="1A3B58EA">
      <w:pPr>
        <w:adjustRightInd w:val="0"/>
        <w:snapToGrid w:val="0"/>
        <w:rPr>
          <w:rFonts w:hint="eastAsia" w:ascii="宋体" w:hAnsi="宋体" w:cs="宋体"/>
          <w:snapToGrid w:val="0"/>
          <w:color w:val="auto"/>
          <w:kern w:val="0"/>
          <w:highlight w:val="none"/>
        </w:rPr>
      </w:pPr>
      <w:r>
        <w:rPr>
          <w:rFonts w:hint="eastAsia" w:ascii="宋体" w:hAnsi="宋体" w:cs="宋体"/>
          <w:snapToGrid w:val="0"/>
          <w:color w:val="auto"/>
          <w:kern w:val="0"/>
          <w:highlight w:val="none"/>
        </w:rPr>
        <w:t>⑫设计单位负责开展BIM技术应用咨询与培训。包括但不限于BIM日常应用技术问题咨询；为项目各参建单位提供BIM技术应用短期培训，并提供培训资料。培训内容包括但不限于BIM软硬件基础知识、BIM模型使用知识、BIM标准、BIM技术应用、BIM协同与管理平台使用等。</w:t>
      </w:r>
    </w:p>
    <w:p w14:paraId="41C61CBB">
      <w:pPr>
        <w:adjustRightInd w:val="0"/>
        <w:snapToGrid w:val="0"/>
        <w:outlineLvl w:val="3"/>
        <w:rPr>
          <w:rFonts w:hint="eastAsia" w:ascii="宋体" w:hAnsi="宋体" w:cs="宋体"/>
          <w:snapToGrid w:val="0"/>
          <w:color w:val="auto"/>
          <w:kern w:val="0"/>
          <w:highlight w:val="none"/>
        </w:rPr>
      </w:pPr>
      <w:r>
        <w:rPr>
          <w:rFonts w:hint="eastAsia" w:ascii="宋体" w:hAnsi="宋体" w:cs="宋体"/>
          <w:snapToGrid w:val="0"/>
          <w:color w:val="auto"/>
          <w:kern w:val="0"/>
          <w:highlight w:val="none"/>
        </w:rPr>
        <w:t>（4）BIM技术应用和CIM成果要求</w:t>
      </w:r>
    </w:p>
    <w:p w14:paraId="3F66D083">
      <w:pPr>
        <w:ind w:firstLine="360" w:firstLineChars="150"/>
        <w:rPr>
          <w:rFonts w:hint="eastAsia" w:ascii="宋体" w:hAnsi="宋体" w:cs="宋体"/>
          <w:snapToGrid w:val="0"/>
          <w:color w:val="auto"/>
          <w:kern w:val="0"/>
          <w:highlight w:val="none"/>
        </w:rPr>
      </w:pPr>
      <w:r>
        <w:rPr>
          <w:rFonts w:hint="eastAsia" w:ascii="宋体" w:hAnsi="宋体" w:cs="宋体"/>
          <w:snapToGrid w:val="0"/>
          <w:color w:val="auto"/>
          <w:kern w:val="0"/>
          <w:highlight w:val="none"/>
        </w:rPr>
        <w:t>本项目所有BIM技术应用和CIM相关的成果，必须通过发包人验收通过，最终必须满足行业管理相关审查要求。</w:t>
      </w:r>
    </w:p>
    <w:p w14:paraId="3E6BA194">
      <w:pPr>
        <w:rPr>
          <w:color w:val="auto"/>
          <w:highlight w:val="none"/>
        </w:rPr>
      </w:pPr>
      <w:r>
        <w:rPr>
          <w:rFonts w:hint="eastAsia"/>
          <w:color w:val="auto"/>
          <w:highlight w:val="none"/>
        </w:rPr>
        <w:t>（5）BIM技术应用团队要求</w:t>
      </w:r>
    </w:p>
    <w:p w14:paraId="78677E36">
      <w:pPr>
        <w:adjustRightInd w:val="0"/>
        <w:snapToGrid w:val="0"/>
        <w:rPr>
          <w:rFonts w:hint="eastAsia" w:ascii="宋体" w:hAnsi="宋体" w:cs="宋体"/>
          <w:snapToGrid w:val="0"/>
          <w:color w:val="auto"/>
          <w:kern w:val="0"/>
          <w:highlight w:val="none"/>
        </w:rPr>
      </w:pPr>
      <w:r>
        <w:rPr>
          <w:rFonts w:hint="eastAsia" w:ascii="宋体" w:hAnsi="宋体" w:cs="宋体"/>
          <w:snapToGrid w:val="0"/>
          <w:color w:val="auto"/>
          <w:kern w:val="0"/>
          <w:highlight w:val="none"/>
        </w:rPr>
        <w:t>设计单位应配置具有BIM技术应用实施能力的设计团队。BIM技术应用实施团队应包含BIM项目负责人、BIM项目技术负责人及项目所需的各专业BIM工程师（包括但不限于土建、机电、造价等专业）、报建负责人。</w:t>
      </w:r>
    </w:p>
    <w:p w14:paraId="42F4CF13">
      <w:pPr>
        <w:pStyle w:val="5"/>
        <w:spacing w:before="120" w:after="120"/>
        <w:rPr>
          <w:color w:val="auto"/>
          <w:highlight w:val="none"/>
        </w:rPr>
      </w:pPr>
      <w:bookmarkStart w:id="292" w:name="_Toc31661"/>
      <w:bookmarkStart w:id="293" w:name="_Toc16846"/>
      <w:r>
        <w:rPr>
          <w:rFonts w:hint="eastAsia"/>
          <w:color w:val="auto"/>
          <w:highlight w:val="none"/>
        </w:rPr>
        <w:t>3.3.4 装配式设计要求</w:t>
      </w:r>
      <w:bookmarkEnd w:id="292"/>
      <w:bookmarkEnd w:id="293"/>
    </w:p>
    <w:p w14:paraId="349502F5">
      <w:pPr>
        <w:rPr>
          <w:color w:val="auto"/>
          <w:highlight w:val="none"/>
        </w:rPr>
      </w:pPr>
      <w:r>
        <w:rPr>
          <w:rFonts w:hint="eastAsia"/>
          <w:color w:val="auto"/>
          <w:highlight w:val="none"/>
        </w:rPr>
        <w:t>根据项目建议书，综合楼属免于实施装配式建筑；楼房仓为粮食储备仓库，为特殊建筑，其建筑特点及生产功能要求不能实施装配式，当前国内散装楼房仓均未有装配式的案例，因此建议免除实施装配式。后续设计需</w:t>
      </w:r>
      <w:r>
        <w:rPr>
          <w:rFonts w:hint="eastAsia"/>
          <w:bCs/>
          <w:color w:val="auto"/>
          <w:highlight w:val="none"/>
        </w:rPr>
        <w:t>根据《广州市住房和城乡建设局关于进一步明确装配式建筑实施要求的补充通知》要求开展技术论证，论证装配式建筑落地可行性。本项目是否实施装配式建筑以最终论证结果为准，如需实施同步纳入本项目设计范围。</w:t>
      </w:r>
    </w:p>
    <w:p w14:paraId="5DDEE038">
      <w:pPr>
        <w:pStyle w:val="5"/>
        <w:spacing w:before="120" w:after="120"/>
        <w:rPr>
          <w:color w:val="auto"/>
          <w:highlight w:val="none"/>
        </w:rPr>
      </w:pPr>
      <w:bookmarkStart w:id="294" w:name="_Toc14226"/>
      <w:bookmarkStart w:id="295" w:name="_Toc24280"/>
      <w:bookmarkStart w:id="296" w:name="_Toc2040"/>
      <w:r>
        <w:rPr>
          <w:rFonts w:hint="eastAsia"/>
          <w:color w:val="auto"/>
          <w:highlight w:val="none"/>
        </w:rPr>
        <w:t>3.3.5结构设计要求</w:t>
      </w:r>
      <w:bookmarkEnd w:id="294"/>
      <w:bookmarkEnd w:id="295"/>
      <w:bookmarkEnd w:id="296"/>
    </w:p>
    <w:p w14:paraId="63233212">
      <w:pPr>
        <w:rPr>
          <w:rFonts w:hint="eastAsia" w:ascii="宋体" w:hAnsi="宋体" w:cs="宋体"/>
          <w:color w:val="auto"/>
          <w:highlight w:val="none"/>
        </w:rPr>
      </w:pPr>
      <w:r>
        <w:rPr>
          <w:rFonts w:hint="eastAsia" w:ascii="宋体" w:hAnsi="宋体" w:cs="宋体"/>
          <w:color w:val="auto"/>
          <w:highlight w:val="none"/>
        </w:rPr>
        <w:t>包括设计范围内建筑体的结构设计、基坑支护设计、幕墙（如有）等室内外装修工程的结构设计与验算、室外景观与道路广场工程、构筑物的结构设计。</w:t>
      </w:r>
    </w:p>
    <w:p w14:paraId="75DA753F">
      <w:pPr>
        <w:rPr>
          <w:rFonts w:hint="eastAsia" w:ascii="宋体" w:hAnsi="宋体" w:cs="宋体"/>
          <w:color w:val="auto"/>
          <w:highlight w:val="none"/>
        </w:rPr>
      </w:pPr>
      <w:r>
        <w:rPr>
          <w:rFonts w:hint="eastAsia" w:ascii="宋体" w:hAnsi="宋体" w:cs="宋体"/>
          <w:color w:val="auto"/>
          <w:highlight w:val="none"/>
        </w:rPr>
        <w:t>1.结构方案遵循国家现行有关标准、规范，并结合工程实际情况，与建筑专业、设备专业紧密结合，做到安全适用、耐久舒适、经济合理、技术先进、确保质量。</w:t>
      </w:r>
    </w:p>
    <w:p w14:paraId="45F2AD09">
      <w:pPr>
        <w:rPr>
          <w:rFonts w:hint="eastAsia" w:ascii="宋体" w:hAnsi="宋体" w:cs="宋体"/>
          <w:color w:val="auto"/>
          <w:highlight w:val="none"/>
        </w:rPr>
      </w:pPr>
      <w:r>
        <w:rPr>
          <w:rFonts w:hint="eastAsia" w:ascii="宋体" w:hAnsi="宋体" w:cs="宋体"/>
          <w:color w:val="auto"/>
          <w:highlight w:val="none"/>
        </w:rPr>
        <w:t>2.根据场地条件和岩土工程地质条件，结合拟建建筑物的荷载要求，选取合适的基础类型和基坑支护方式。</w:t>
      </w:r>
    </w:p>
    <w:p w14:paraId="0A7BB175">
      <w:pPr>
        <w:pStyle w:val="2"/>
        <w:rPr>
          <w:color w:val="auto"/>
          <w:highlight w:val="none"/>
        </w:rPr>
      </w:pPr>
      <w:r>
        <w:rPr>
          <w:rFonts w:hint="eastAsia" w:ascii="宋体" w:hAnsi="宋体" w:cs="宋体"/>
          <w:color w:val="auto"/>
          <w:highlight w:val="none"/>
        </w:rPr>
        <w:t>3.统筹考虑用地红线内的所有结构相关设计，与河涌整治提升及相关桥梁、河涌两侧集中绿地等设计紧密配合，落实经济合理，技术可行的设计方案。</w:t>
      </w:r>
    </w:p>
    <w:p w14:paraId="5D02DA97">
      <w:pPr>
        <w:pStyle w:val="5"/>
        <w:spacing w:before="120" w:after="120"/>
        <w:rPr>
          <w:color w:val="auto"/>
          <w:highlight w:val="none"/>
        </w:rPr>
      </w:pPr>
      <w:bookmarkStart w:id="297" w:name="_Toc13531"/>
      <w:bookmarkStart w:id="298" w:name="_Toc13210"/>
      <w:bookmarkStart w:id="299" w:name="_Toc25335"/>
      <w:r>
        <w:rPr>
          <w:rFonts w:hint="eastAsia"/>
          <w:color w:val="auto"/>
          <w:highlight w:val="none"/>
        </w:rPr>
        <w:t>3.3.6室外工程设计要求</w:t>
      </w:r>
      <w:bookmarkEnd w:id="297"/>
      <w:bookmarkEnd w:id="298"/>
      <w:bookmarkEnd w:id="299"/>
    </w:p>
    <w:p w14:paraId="4079082C">
      <w:pPr>
        <w:rPr>
          <w:rFonts w:hint="eastAsia" w:ascii="宋体" w:hAnsi="宋体" w:cs="宋体"/>
          <w:snapToGrid w:val="0"/>
          <w:color w:val="auto"/>
          <w:kern w:val="0"/>
          <w:highlight w:val="none"/>
        </w:rPr>
      </w:pPr>
      <w:r>
        <w:rPr>
          <w:rFonts w:hint="eastAsia" w:ascii="宋体" w:hAnsi="宋体" w:cs="宋体"/>
          <w:snapToGrid w:val="0"/>
          <w:color w:val="auto"/>
          <w:highlight w:val="none"/>
        </w:rPr>
        <w:t>本次设计应统筹项目整体景观及园林效果。室外工程设计时，绿化、道路、园林及管线等应统筹考虑场地与河涌及桥梁的接驳设计，保证整体效果。。</w:t>
      </w:r>
    </w:p>
    <w:p w14:paraId="5BB87E43">
      <w:pPr>
        <w:adjustRightInd w:val="0"/>
        <w:snapToGrid w:val="0"/>
        <w:outlineLvl w:val="3"/>
        <w:rPr>
          <w:rFonts w:hint="eastAsia" w:ascii="宋体" w:hAnsi="宋体" w:cs="宋体"/>
          <w:color w:val="auto"/>
          <w:highlight w:val="none"/>
        </w:rPr>
      </w:pPr>
      <w:r>
        <w:rPr>
          <w:rFonts w:hint="eastAsia" w:ascii="宋体" w:hAnsi="宋体" w:cs="宋体"/>
          <w:color w:val="auto"/>
          <w:highlight w:val="none"/>
        </w:rPr>
        <w:t>（1）竖向规划</w:t>
      </w:r>
    </w:p>
    <w:p w14:paraId="1AF926DC">
      <w:pPr>
        <w:adjustRightInd w:val="0"/>
        <w:snapToGrid w:val="0"/>
        <w:rPr>
          <w:rFonts w:hint="eastAsia" w:ascii="宋体" w:hAnsi="宋体" w:cs="宋体"/>
          <w:color w:val="auto"/>
          <w:highlight w:val="none"/>
        </w:rPr>
      </w:pPr>
      <w:r>
        <w:rPr>
          <w:rFonts w:hint="eastAsia" w:ascii="宋体" w:hAnsi="宋体" w:cs="宋体"/>
          <w:color w:val="auto"/>
          <w:highlight w:val="none"/>
        </w:rPr>
        <w:t>项目在进行管线布置设计时，各种工程管线不在垂直方向上重叠直埋敷设。当工程管线交叉敷设时自地表面向下的排列顺序建议为电力管线、热力管线、燃气管线、给水管线、雨水排水管线、污水排水管线。地下工程管线竖向布置的净距要求，应满足地下工程管线交叉时最小垂直净距要求。</w:t>
      </w:r>
      <w:r>
        <w:rPr>
          <w:rFonts w:hint="eastAsia" w:hAnsi="宋体" w:cs="宋体"/>
          <w:snapToGrid w:val="0"/>
          <w:color w:val="auto"/>
          <w:kern w:val="0"/>
          <w:highlight w:val="none"/>
        </w:rPr>
        <w:t>场地竖向设计需依据实际地形及周边路网关系，在科学、节约原则上，合理进行场地标高设计，满足功能使用需求。</w:t>
      </w:r>
    </w:p>
    <w:p w14:paraId="0092D35D">
      <w:pPr>
        <w:adjustRightInd w:val="0"/>
        <w:snapToGrid w:val="0"/>
        <w:outlineLvl w:val="3"/>
        <w:rPr>
          <w:rFonts w:hint="eastAsia" w:ascii="宋体" w:hAnsi="宋体" w:cs="宋体"/>
          <w:color w:val="auto"/>
          <w:highlight w:val="none"/>
        </w:rPr>
      </w:pPr>
      <w:r>
        <w:rPr>
          <w:rFonts w:hint="eastAsia" w:ascii="宋体" w:hAnsi="宋体" w:cs="宋体"/>
          <w:color w:val="auto"/>
          <w:highlight w:val="none"/>
        </w:rPr>
        <w:t>（2）室外广场</w:t>
      </w:r>
    </w:p>
    <w:p w14:paraId="4CD43883">
      <w:pPr>
        <w:adjustRightInd w:val="0"/>
        <w:snapToGrid w:val="0"/>
        <w:rPr>
          <w:rFonts w:hint="eastAsia" w:ascii="宋体" w:hAnsi="宋体" w:cs="宋体"/>
          <w:color w:val="auto"/>
          <w:sz w:val="32"/>
          <w:szCs w:val="32"/>
          <w:highlight w:val="none"/>
        </w:rPr>
      </w:pPr>
      <w:r>
        <w:rPr>
          <w:rFonts w:hint="eastAsia" w:ascii="宋体" w:hAnsi="宋体" w:cs="宋体"/>
          <w:snapToGrid w:val="0"/>
          <w:color w:val="auto"/>
          <w:szCs w:val="21"/>
          <w:highlight w:val="none"/>
        </w:rPr>
        <w:t>在满足《广州市建设项目海绵城市建设管控指标分类指引（试行）》要求下</w:t>
      </w:r>
      <w:r>
        <w:rPr>
          <w:rFonts w:hint="eastAsia"/>
          <w:color w:val="auto"/>
          <w:kern w:val="0"/>
          <w:highlight w:val="none"/>
        </w:rPr>
        <w:t>，</w:t>
      </w:r>
      <w:r>
        <w:rPr>
          <w:rFonts w:hint="eastAsia" w:ascii="宋体" w:hAnsi="宋体" w:cs="宋体"/>
          <w:snapToGrid w:val="0"/>
          <w:color w:val="auto"/>
          <w:szCs w:val="21"/>
          <w:highlight w:val="none"/>
        </w:rPr>
        <w:t>按《广州市政府投资项目天然石材应用指引》要求设计施工。广场石材铺贴方案要求大方、整体性强，不宜采用拼花形式；若采用非石材或采用拼花形式，应专题报招标人同意。室外铺装不宜采用密缝铺贴方式，设计单位应根据功能和材料具体情况设计铺装缝尺寸，出具详细完整的铺装图，室外铺装详细方案图须单独报招标人确认。</w:t>
      </w:r>
    </w:p>
    <w:p w14:paraId="063EAAEE">
      <w:pPr>
        <w:adjustRightInd w:val="0"/>
        <w:snapToGrid w:val="0"/>
        <w:outlineLvl w:val="3"/>
        <w:rPr>
          <w:rFonts w:hint="eastAsia" w:ascii="宋体" w:hAnsi="宋体" w:cs="宋体"/>
          <w:color w:val="auto"/>
          <w:highlight w:val="none"/>
        </w:rPr>
      </w:pPr>
      <w:r>
        <w:rPr>
          <w:rFonts w:hint="eastAsia" w:ascii="宋体" w:hAnsi="宋体" w:cs="宋体"/>
          <w:color w:val="auto"/>
          <w:highlight w:val="none"/>
        </w:rPr>
        <w:t>（3）室外管网</w:t>
      </w:r>
    </w:p>
    <w:p w14:paraId="70C847C3">
      <w:pPr>
        <w:adjustRightInd w:val="0"/>
        <w:snapToGrid w:val="0"/>
        <w:rPr>
          <w:rFonts w:hint="eastAsia" w:ascii="宋体" w:hAnsi="宋体" w:cs="宋体"/>
          <w:snapToGrid w:val="0"/>
          <w:color w:val="auto"/>
          <w:szCs w:val="21"/>
          <w:highlight w:val="none"/>
        </w:rPr>
      </w:pPr>
      <w:r>
        <w:rPr>
          <w:rFonts w:hint="eastAsia" w:ascii="宋体" w:hAnsi="宋体" w:cs="宋体"/>
          <w:snapToGrid w:val="0"/>
          <w:color w:val="auto"/>
          <w:szCs w:val="21"/>
          <w:highlight w:val="none"/>
        </w:rPr>
        <w:t>红线内室外管网新建工程及管线迁移、改造工程，包括水、电、燃气等的接入与迁移改造工程。</w:t>
      </w:r>
    </w:p>
    <w:p w14:paraId="07D197C8">
      <w:pPr>
        <w:adjustRightInd w:val="0"/>
        <w:snapToGrid w:val="0"/>
        <w:rPr>
          <w:rFonts w:hint="eastAsia" w:ascii="宋体" w:hAnsi="宋体" w:cs="宋体"/>
          <w:color w:val="auto"/>
          <w:highlight w:val="none"/>
        </w:rPr>
      </w:pPr>
      <w:r>
        <w:rPr>
          <w:rFonts w:hint="eastAsia" w:ascii="宋体" w:hAnsi="宋体" w:cs="宋体"/>
          <w:color w:val="auto"/>
          <w:highlight w:val="none"/>
        </w:rPr>
        <w:t>市政道路照明按《广州市城市道路照明设施移交管理办法》和《广州市照明建设管理中心关于拟移交中心管养道路的照明项目有关要求的函(穗照明函[2015]44号)》的要求进行设计。</w:t>
      </w:r>
    </w:p>
    <w:p w14:paraId="1FBBD82E">
      <w:pPr>
        <w:adjustRightInd w:val="0"/>
        <w:snapToGrid w:val="0"/>
        <w:rPr>
          <w:rFonts w:hint="eastAsia" w:ascii="宋体" w:hAnsi="宋体" w:cs="宋体"/>
          <w:color w:val="auto"/>
          <w:highlight w:val="none"/>
        </w:rPr>
      </w:pPr>
      <w:r>
        <w:rPr>
          <w:rFonts w:hint="eastAsia" w:ascii="宋体" w:hAnsi="宋体" w:cs="宋体"/>
          <w:color w:val="auto"/>
          <w:highlight w:val="none"/>
        </w:rPr>
        <w:t>井盖设施的设计应当执行国家、省、市技术标准和规范，并满足《广州市井盖设施管理办法》、《井盖设施建设技术规范》(DBJ440100T160-2013)的要求。井盖和井壁应当标明井盖设施权属单位名称和报修电话。</w:t>
      </w:r>
    </w:p>
    <w:p w14:paraId="3F703EE6">
      <w:pPr>
        <w:adjustRightInd w:val="0"/>
        <w:snapToGrid w:val="0"/>
        <w:rPr>
          <w:rFonts w:hint="eastAsia" w:ascii="宋体" w:hAnsi="宋体" w:cs="宋体"/>
          <w:color w:val="auto"/>
          <w:highlight w:val="none"/>
        </w:rPr>
      </w:pPr>
      <w:r>
        <w:rPr>
          <w:rFonts w:hint="eastAsia" w:ascii="宋体" w:hAnsi="宋体" w:cs="宋体"/>
          <w:color w:val="auto"/>
          <w:highlight w:val="none"/>
        </w:rPr>
        <w:t>根据《广州市水务局关于推广使用预制装配式排水检查井及限制使用砖砌筑排水检查井的通知》（穗水排水〔2018〕16号），在本项目建设过程中，应使用预制装配式排水检查井，并根据《关于规范广州市排水检查井井盖盖面标示的通知》设置排水井盖。</w:t>
      </w:r>
    </w:p>
    <w:p w14:paraId="04C33EFD">
      <w:pPr>
        <w:adjustRightInd w:val="0"/>
        <w:snapToGrid w:val="0"/>
        <w:rPr>
          <w:rFonts w:hint="eastAsia" w:ascii="宋体" w:hAnsi="宋体" w:cs="宋体"/>
          <w:color w:val="auto"/>
          <w:highlight w:val="none"/>
        </w:rPr>
      </w:pPr>
      <w:r>
        <w:rPr>
          <w:rFonts w:hint="eastAsia" w:ascii="宋体" w:hAnsi="宋体" w:cs="宋体"/>
          <w:color w:val="auto"/>
          <w:highlight w:val="none"/>
        </w:rPr>
        <w:t>室外排水井、水表井、阀门井应采用《国家标准图》中的统一型号,具有防盗、防臭、承重、防震型、防噪、防坠井盖，并考虑排水设施。</w:t>
      </w:r>
    </w:p>
    <w:p w14:paraId="4CC09146">
      <w:pPr>
        <w:adjustRightInd w:val="0"/>
        <w:snapToGrid w:val="0"/>
        <w:outlineLvl w:val="3"/>
        <w:rPr>
          <w:rFonts w:hint="eastAsia" w:ascii="宋体" w:hAnsi="宋体" w:cs="宋体"/>
          <w:color w:val="auto"/>
          <w:highlight w:val="none"/>
        </w:rPr>
      </w:pPr>
      <w:r>
        <w:rPr>
          <w:rFonts w:hint="eastAsia" w:ascii="宋体" w:hAnsi="宋体" w:cs="宋体"/>
          <w:color w:val="auto"/>
          <w:highlight w:val="none"/>
        </w:rPr>
        <w:t>（4）室外绿化及绿化迁移</w:t>
      </w:r>
    </w:p>
    <w:p w14:paraId="2FFA87D1">
      <w:pPr>
        <w:adjustRightInd w:val="0"/>
        <w:snapToGrid w:val="0"/>
        <w:rPr>
          <w:rFonts w:hint="eastAsia" w:ascii="宋体" w:hAnsi="宋体" w:cs="宋体"/>
          <w:color w:val="auto"/>
          <w:highlight w:val="none"/>
        </w:rPr>
      </w:pPr>
      <w:r>
        <w:rPr>
          <w:rFonts w:hint="eastAsia" w:ascii="宋体" w:hAnsi="宋体" w:cs="宋体"/>
          <w:color w:val="auto"/>
          <w:highlight w:val="none"/>
        </w:rPr>
        <w:t>绿化设计应符合国家相关规范及广州市绿化保护及迁移规定的最新要求。</w:t>
      </w:r>
    </w:p>
    <w:p w14:paraId="44671A9C">
      <w:pPr>
        <w:adjustRightInd w:val="0"/>
        <w:snapToGrid w:val="0"/>
        <w:rPr>
          <w:rFonts w:hint="eastAsia" w:ascii="宋体" w:hAnsi="宋体" w:cs="宋体"/>
          <w:color w:val="auto"/>
          <w:highlight w:val="none"/>
        </w:rPr>
      </w:pPr>
      <w:r>
        <w:rPr>
          <w:rFonts w:hint="eastAsia" w:ascii="宋体" w:hAnsi="宋体" w:cs="宋体"/>
          <w:color w:val="auto"/>
          <w:highlight w:val="none"/>
        </w:rPr>
        <w:t>拟建地块内现状树木如需移除或项目建成后如需回植，最终以与市、区林园局沟通确定的移植方案为准。设计范围内景观园林绿化设计，含室外广场、道路、园林等景观绿化，及泛光照明设计，须对本项目的园林景观方案、苗木选用设计进行比选分析，室外苗木采用岭南植物，并应避免掉皮等影响景观现象，</w:t>
      </w:r>
      <w:r>
        <w:rPr>
          <w:rFonts w:hint="eastAsia" w:ascii="宋体" w:hAnsi="宋体"/>
          <w:color w:val="auto"/>
          <w:kern w:val="10"/>
          <w:szCs w:val="20"/>
          <w:highlight w:val="none"/>
        </w:rPr>
        <w:t>禁止种植有毒害、异味、针刺类的植物</w:t>
      </w:r>
      <w:r>
        <w:rPr>
          <w:rFonts w:hint="eastAsia" w:ascii="宋体" w:hAnsi="宋体" w:cs="宋体"/>
          <w:color w:val="auto"/>
          <w:highlight w:val="none"/>
        </w:rPr>
        <w:t>。为提高绿化覆盖率，建议以大树林荫为主，搭配高大的常绿乔木、灌木、花卉及绿化草坪，形成宽广、细致、丰富的校园绿化景观。</w:t>
      </w:r>
    </w:p>
    <w:p w14:paraId="3EFA4B03">
      <w:pPr>
        <w:rPr>
          <w:color w:val="auto"/>
          <w:highlight w:val="none"/>
        </w:rPr>
      </w:pPr>
      <w:r>
        <w:rPr>
          <w:rFonts w:hint="eastAsia"/>
          <w:color w:val="auto"/>
          <w:highlight w:val="none"/>
        </w:rPr>
        <w:t>（5）道路设计</w:t>
      </w:r>
    </w:p>
    <w:p w14:paraId="7BDE8147">
      <w:pPr>
        <w:rPr>
          <w:rFonts w:hint="eastAsia" w:ascii="宋体" w:hAnsi="宋体" w:cs="宋体"/>
          <w:color w:val="auto"/>
          <w:highlight w:val="none"/>
        </w:rPr>
      </w:pPr>
      <w:r>
        <w:rPr>
          <w:rFonts w:hint="eastAsia" w:ascii="宋体" w:hAnsi="宋体" w:cs="宋体"/>
          <w:color w:val="auto"/>
          <w:highlight w:val="none"/>
        </w:rPr>
        <w:t>优化道路节点交通组织，强化组团道路与周边道路的交通衔接，构建开放一体的道路，减少对城市的分隔，人行道路满足无障碍要求，</w:t>
      </w:r>
    </w:p>
    <w:p w14:paraId="0E349C76">
      <w:pPr>
        <w:rPr>
          <w:color w:val="auto"/>
          <w:highlight w:val="none"/>
        </w:rPr>
      </w:pPr>
      <w:r>
        <w:rPr>
          <w:rFonts w:hint="eastAsia"/>
          <w:color w:val="auto"/>
          <w:highlight w:val="none"/>
        </w:rPr>
        <w:t>（6）泛光照明</w:t>
      </w:r>
    </w:p>
    <w:p w14:paraId="5081B63F">
      <w:pPr>
        <w:rPr>
          <w:color w:val="auto"/>
          <w:highlight w:val="none"/>
        </w:rPr>
      </w:pPr>
      <w:r>
        <w:rPr>
          <w:rFonts w:hint="eastAsia"/>
          <w:color w:val="auto"/>
          <w:highlight w:val="none"/>
        </w:rPr>
        <w:t>①需进行方案比较，报招标人确认；</w:t>
      </w:r>
    </w:p>
    <w:p w14:paraId="507EF353">
      <w:pPr>
        <w:rPr>
          <w:color w:val="auto"/>
          <w:highlight w:val="none"/>
        </w:rPr>
      </w:pPr>
      <w:r>
        <w:rPr>
          <w:rFonts w:hint="eastAsia"/>
          <w:color w:val="auto"/>
          <w:highlight w:val="none"/>
        </w:rPr>
        <w:t>②明确建筑功能，建筑外观特点，与人文风貌、周边环境进行综合考虑，从光环境的需求和审美意识出发，做到功能与美观相结合，彰显项目的独特性和艺术性；</w:t>
      </w:r>
    </w:p>
    <w:p w14:paraId="3DF2E447">
      <w:pPr>
        <w:rPr>
          <w:color w:val="auto"/>
          <w:highlight w:val="none"/>
        </w:rPr>
      </w:pPr>
      <w:r>
        <w:rPr>
          <w:rFonts w:hint="eastAsia"/>
          <w:color w:val="auto"/>
          <w:highlight w:val="none"/>
        </w:rPr>
        <w:t>③合理运用轮廓光，氛围光，点状光等多种布置形式，突出主体及园区景观；选择合适的灯具和配光特征曲线；</w:t>
      </w:r>
    </w:p>
    <w:p w14:paraId="19C001B7">
      <w:pPr>
        <w:rPr>
          <w:color w:val="auto"/>
          <w:highlight w:val="none"/>
        </w:rPr>
      </w:pPr>
      <w:r>
        <w:rPr>
          <w:rFonts w:hint="eastAsia"/>
          <w:color w:val="auto"/>
          <w:highlight w:val="none"/>
        </w:rPr>
        <w:t>④有效解决各类光污染问题，灯具尽可能隐藏；</w:t>
      </w:r>
    </w:p>
    <w:p w14:paraId="27F0E4CE">
      <w:pPr>
        <w:rPr>
          <w:color w:val="auto"/>
          <w:highlight w:val="none"/>
        </w:rPr>
      </w:pPr>
      <w:r>
        <w:rPr>
          <w:rFonts w:hint="eastAsia"/>
          <w:color w:val="auto"/>
          <w:highlight w:val="none"/>
        </w:rPr>
        <w:t>⑤遵循节能环保和可持续发展原则，通过智能照明控制系统，将建筑楼宇打造成节能环保的灯光工程。</w:t>
      </w:r>
    </w:p>
    <w:p w14:paraId="7053A3E5">
      <w:pPr>
        <w:rPr>
          <w:color w:val="auto"/>
          <w:highlight w:val="none"/>
        </w:rPr>
      </w:pPr>
      <w:r>
        <w:rPr>
          <w:rFonts w:hint="eastAsia"/>
          <w:color w:val="auto"/>
          <w:highlight w:val="none"/>
        </w:rPr>
        <w:t>（7）大门、围墙、太阳能系统及其他基础配套设施等</w:t>
      </w:r>
    </w:p>
    <w:p w14:paraId="47651238">
      <w:pPr>
        <w:rPr>
          <w:color w:val="auto"/>
          <w:highlight w:val="none"/>
        </w:rPr>
      </w:pPr>
      <w:r>
        <w:rPr>
          <w:rFonts w:hint="eastAsia"/>
          <w:color w:val="auto"/>
          <w:highlight w:val="none"/>
        </w:rPr>
        <w:t>依据相应的现行技术标准与规范、国家规范及行业标准和本文件要求内容设计。</w:t>
      </w:r>
    </w:p>
    <w:p w14:paraId="231A6B1E">
      <w:pPr>
        <w:pStyle w:val="5"/>
        <w:spacing w:before="120" w:after="120"/>
        <w:rPr>
          <w:color w:val="auto"/>
          <w:highlight w:val="none"/>
        </w:rPr>
      </w:pPr>
      <w:bookmarkStart w:id="300" w:name="_Toc6435"/>
      <w:bookmarkStart w:id="301" w:name="_Toc28236"/>
      <w:bookmarkStart w:id="302" w:name="_Toc24036"/>
      <w:r>
        <w:rPr>
          <w:rFonts w:hint="eastAsia"/>
          <w:color w:val="auto"/>
          <w:highlight w:val="none"/>
        </w:rPr>
        <w:t>3.3.7给排水设计要求</w:t>
      </w:r>
      <w:bookmarkEnd w:id="300"/>
      <w:bookmarkEnd w:id="301"/>
      <w:bookmarkEnd w:id="302"/>
    </w:p>
    <w:p w14:paraId="058E62C5">
      <w:pPr>
        <w:rPr>
          <w:color w:val="auto"/>
          <w:highlight w:val="none"/>
        </w:rPr>
      </w:pPr>
      <w:bookmarkStart w:id="303" w:name="_Toc21007"/>
      <w:r>
        <w:rPr>
          <w:rFonts w:hint="eastAsia" w:ascii="宋体" w:hAnsi="宋体" w:cs="宋体"/>
          <w:color w:val="auto"/>
          <w:highlight w:val="none"/>
          <w:lang w:bidi="ar"/>
        </w:rPr>
        <w:t>给排水设计要满足《广州市建设项目节水设施“三同时”管理暂行办法》的要求，合理采用生活用水器具、生产工艺水回用系统、各类用水设备循环回用系统、雨水收集利用系统，自来水计量器具及管材等节水设施，在各阶段设计文件中</w:t>
      </w:r>
      <w:r>
        <w:rPr>
          <w:rFonts w:hint="eastAsia"/>
          <w:color w:val="auto"/>
          <w:highlight w:val="none"/>
        </w:rPr>
        <w:t>有节水设计并有专门的节水措施描述。</w:t>
      </w:r>
    </w:p>
    <w:p w14:paraId="756DA8F8">
      <w:pPr>
        <w:rPr>
          <w:color w:val="auto"/>
          <w:highlight w:val="none"/>
        </w:rPr>
      </w:pPr>
      <w:r>
        <w:rPr>
          <w:rFonts w:hint="eastAsia"/>
          <w:color w:val="auto"/>
          <w:highlight w:val="none"/>
        </w:rPr>
        <w:t>给排水系统设计内容包括：含外水接入（需接至主管部门指定接入点）、临水用水（含报装工作）、永久用水（含报装工作）、室内外给水系统、室内外雨水系统、室内外污水系统、热水供应系统、消防给水系统、</w:t>
      </w:r>
      <w:r>
        <w:rPr>
          <w:rFonts w:hint="eastAsia"/>
          <w:b/>
          <w:bCs/>
          <w:color w:val="auto"/>
          <w:highlight w:val="none"/>
        </w:rPr>
        <w:t>直饮水系统</w:t>
      </w:r>
      <w:r>
        <w:rPr>
          <w:rFonts w:hint="eastAsia"/>
          <w:color w:val="auto"/>
          <w:highlight w:val="none"/>
        </w:rPr>
        <w:t>、</w:t>
      </w:r>
      <w:r>
        <w:rPr>
          <w:rFonts w:hint="eastAsia"/>
          <w:b/>
          <w:bCs/>
          <w:color w:val="auto"/>
          <w:highlight w:val="none"/>
        </w:rPr>
        <w:t>调蓄设施</w:t>
      </w:r>
      <w:r>
        <w:rPr>
          <w:rFonts w:hint="eastAsia"/>
          <w:color w:val="auto"/>
          <w:highlight w:val="none"/>
        </w:rPr>
        <w:t>、与市政管线接驳等相关设计。</w:t>
      </w:r>
    </w:p>
    <w:p w14:paraId="4903D3E5">
      <w:pPr>
        <w:rPr>
          <w:color w:val="auto"/>
          <w:highlight w:val="none"/>
        </w:rPr>
      </w:pPr>
      <w:r>
        <w:rPr>
          <w:rFonts w:hint="eastAsia"/>
          <w:color w:val="auto"/>
          <w:highlight w:val="none"/>
        </w:rPr>
        <w:t>给排水系统依据现行相关法律法规及规范设计，给水系统应充分利用市政给水管网压力直接供水及区域集中加压供水系统，不宜在每个单体建筑内另设生活水泵和天面水池。</w:t>
      </w:r>
    </w:p>
    <w:p w14:paraId="6B5D0FD9">
      <w:pPr>
        <w:rPr>
          <w:color w:val="auto"/>
          <w:highlight w:val="none"/>
        </w:rPr>
      </w:pPr>
      <w:r>
        <w:rPr>
          <w:rFonts w:hint="eastAsia"/>
          <w:color w:val="auto"/>
          <w:highlight w:val="none"/>
        </w:rPr>
        <w:t xml:space="preserve">给排水设备选型应考虑技术先进、维护方便、经济合理的原则，体现科技、环保、可持续发展的理念，且应采取隔振、隔声及消声、节能节水等措施。 </w:t>
      </w:r>
    </w:p>
    <w:p w14:paraId="07B55B2A">
      <w:pPr>
        <w:outlineLvl w:val="3"/>
        <w:rPr>
          <w:rFonts w:hint="eastAsia" w:ascii="宋体" w:hAnsi="宋体" w:cs="宋体"/>
          <w:color w:val="auto"/>
          <w:sz w:val="21"/>
          <w:szCs w:val="21"/>
          <w:highlight w:val="none"/>
        </w:rPr>
      </w:pPr>
      <w:r>
        <w:rPr>
          <w:rFonts w:hint="eastAsia" w:ascii="宋体" w:hAnsi="宋体" w:cs="宋体"/>
          <w:color w:val="auto"/>
          <w:highlight w:val="none"/>
          <w:lang w:bidi="ar"/>
        </w:rPr>
        <w:t>1、给水系统</w:t>
      </w:r>
    </w:p>
    <w:p w14:paraId="615E66F3">
      <w:pPr>
        <w:rPr>
          <w:rFonts w:hint="eastAsia" w:ascii="宋体" w:hAnsi="宋体" w:cs="宋体"/>
          <w:bCs/>
          <w:color w:val="auto"/>
          <w:highlight w:val="none"/>
        </w:rPr>
      </w:pPr>
      <w:r>
        <w:rPr>
          <w:rFonts w:hint="eastAsia" w:ascii="宋体" w:hAnsi="宋体" w:cs="宋体"/>
          <w:bCs/>
          <w:color w:val="auto"/>
          <w:highlight w:val="none"/>
          <w:lang w:bidi="ar"/>
        </w:rPr>
        <w:t>（1）给水工程满足总体规划要求，整体考虑与分片实施。</w:t>
      </w:r>
    </w:p>
    <w:p w14:paraId="73454DF7">
      <w:pPr>
        <w:rPr>
          <w:rFonts w:hint="eastAsia" w:ascii="宋体" w:hAnsi="宋体" w:cs="宋体"/>
          <w:bCs/>
          <w:color w:val="auto"/>
          <w:highlight w:val="none"/>
        </w:rPr>
      </w:pPr>
      <w:r>
        <w:rPr>
          <w:rFonts w:hint="eastAsia" w:ascii="宋体" w:hAnsi="宋体" w:cs="宋体"/>
          <w:bCs/>
          <w:color w:val="auto"/>
          <w:highlight w:val="none"/>
          <w:lang w:bidi="ar"/>
        </w:rPr>
        <w:t>（2）室外消防用水量及水压由市政给水管网直接提供，项目内市政给水管网</w:t>
      </w:r>
      <w:r>
        <w:rPr>
          <w:rFonts w:hint="eastAsia" w:ascii="宋体" w:hAnsi="宋体" w:cs="宋体"/>
          <w:bCs/>
          <w:color w:val="auto"/>
          <w:highlight w:val="none"/>
          <w:u w:val="dotted"/>
          <w:lang w:bidi="ar"/>
        </w:rPr>
        <w:t>和校区</w:t>
      </w:r>
      <w:r>
        <w:rPr>
          <w:rFonts w:hint="eastAsia" w:ascii="宋体" w:hAnsi="宋体" w:cs="宋体"/>
          <w:bCs/>
          <w:color w:val="auto"/>
          <w:highlight w:val="none"/>
          <w:lang w:bidi="ar"/>
        </w:rPr>
        <w:t>消防给水管网应布置成环状管网。</w:t>
      </w:r>
    </w:p>
    <w:p w14:paraId="6A1A5CD8">
      <w:pPr>
        <w:rPr>
          <w:rFonts w:hint="eastAsia" w:ascii="宋体" w:hAnsi="宋体" w:cs="宋体"/>
          <w:bCs/>
          <w:color w:val="auto"/>
          <w:highlight w:val="none"/>
        </w:rPr>
      </w:pPr>
      <w:r>
        <w:rPr>
          <w:rFonts w:hint="eastAsia" w:ascii="宋体" w:hAnsi="宋体" w:cs="宋体"/>
          <w:bCs/>
          <w:color w:val="auto"/>
          <w:highlight w:val="none"/>
          <w:lang w:bidi="ar"/>
        </w:rPr>
        <w:t>（3）供水系统需确保供水稳定可靠。生活储水池需保证不小于24小时的设计生活用水量。</w:t>
      </w:r>
    </w:p>
    <w:p w14:paraId="43002EA8">
      <w:pPr>
        <w:rPr>
          <w:rFonts w:hint="eastAsia" w:ascii="宋体" w:hAnsi="宋体" w:cs="宋体"/>
          <w:bCs/>
          <w:color w:val="auto"/>
          <w:highlight w:val="none"/>
        </w:rPr>
      </w:pPr>
      <w:r>
        <w:rPr>
          <w:rFonts w:hint="eastAsia" w:ascii="宋体" w:hAnsi="宋体" w:cs="宋体"/>
          <w:bCs/>
          <w:color w:val="auto"/>
          <w:highlight w:val="none"/>
          <w:lang w:bidi="ar"/>
        </w:rPr>
        <w:t>（4）热水系统的设计以及主要设备、零部件的选用要合理，要重点保证热水水量的供应以及系统运行的可靠性、稳定性，减少系统故障导致热水供应不足的隐患。</w:t>
      </w:r>
    </w:p>
    <w:p w14:paraId="3B7ED6EE">
      <w:pPr>
        <w:rPr>
          <w:rFonts w:hint="eastAsia" w:ascii="宋体" w:hAnsi="宋体" w:cs="宋体"/>
          <w:bCs/>
          <w:color w:val="auto"/>
          <w:highlight w:val="none"/>
        </w:rPr>
      </w:pPr>
      <w:r>
        <w:rPr>
          <w:rFonts w:hint="eastAsia" w:ascii="宋体" w:hAnsi="宋体" w:cs="宋体"/>
          <w:bCs/>
          <w:color w:val="auto"/>
          <w:highlight w:val="none"/>
          <w:lang w:bidi="ar"/>
        </w:rPr>
        <w:t>（5）需充分考虑热水防烫伤等功能、措施，满足特殊人群使用的需求。</w:t>
      </w:r>
    </w:p>
    <w:p w14:paraId="216431D5">
      <w:pPr>
        <w:outlineLvl w:val="3"/>
        <w:rPr>
          <w:rFonts w:hint="eastAsia" w:ascii="宋体" w:hAnsi="宋体" w:cs="宋体"/>
          <w:color w:val="auto"/>
          <w:highlight w:val="none"/>
        </w:rPr>
      </w:pPr>
      <w:r>
        <w:rPr>
          <w:rFonts w:hint="eastAsia" w:ascii="宋体" w:hAnsi="宋体" w:cs="宋体"/>
          <w:color w:val="auto"/>
          <w:highlight w:val="none"/>
          <w:lang w:bidi="ar"/>
        </w:rPr>
        <w:t>2、排水系统</w:t>
      </w:r>
    </w:p>
    <w:p w14:paraId="70C63099">
      <w:pPr>
        <w:rPr>
          <w:rFonts w:hint="eastAsia" w:ascii="宋体" w:hAnsi="宋体" w:cs="宋体"/>
          <w:color w:val="auto"/>
          <w:sz w:val="21"/>
          <w:szCs w:val="21"/>
          <w:highlight w:val="none"/>
        </w:rPr>
      </w:pPr>
      <w:r>
        <w:rPr>
          <w:rFonts w:hint="eastAsia" w:ascii="宋体" w:hAnsi="宋体" w:cs="宋体"/>
          <w:bCs/>
          <w:color w:val="auto"/>
          <w:highlight w:val="none"/>
          <w:lang w:bidi="ar"/>
        </w:rPr>
        <w:t>项目采用雨污分流的排水体制，并满足广州市雨水径流控制要求。规划设计充分利用地形、水系进行合理分区。</w:t>
      </w:r>
    </w:p>
    <w:p w14:paraId="68A44A22">
      <w:pPr>
        <w:rPr>
          <w:rFonts w:hint="eastAsia" w:ascii="宋体" w:hAnsi="宋体" w:cs="宋体"/>
          <w:color w:val="auto"/>
          <w:highlight w:val="none"/>
        </w:rPr>
      </w:pPr>
      <w:r>
        <w:rPr>
          <w:rFonts w:hint="eastAsia" w:ascii="宋体" w:hAnsi="宋体" w:cs="宋体"/>
          <w:color w:val="auto"/>
          <w:highlight w:val="none"/>
          <w:lang w:bidi="ar"/>
        </w:rPr>
        <w:t>室内排水污废分流，室外排水雨污分流，雨水、污水分别接到市政雨水和污水管网，市政接驳点按《广州市排水设施设计条件咨询意见》接驳。排水需满足《广州市水务管理条例》、《广州市排水管理办法》、《广州市建设项目雨水径流控制管理办法》、《海绵城市建设评价标准》等法规的要求。其中，厨房废水经隔油池处理、一般粪便污水需经过化粪池预处理，与生活废水合流汇总后排入市政污水管网，污水排放应遵守国家有关环境保护的规定。</w:t>
      </w:r>
    </w:p>
    <w:p w14:paraId="24CCA46C">
      <w:pPr>
        <w:outlineLvl w:val="3"/>
        <w:rPr>
          <w:rFonts w:hint="eastAsia" w:ascii="宋体" w:hAnsi="宋体" w:cs="宋体"/>
          <w:color w:val="auto"/>
          <w:highlight w:val="none"/>
        </w:rPr>
      </w:pPr>
      <w:r>
        <w:rPr>
          <w:rFonts w:hint="eastAsia" w:ascii="宋体" w:hAnsi="宋体" w:cs="宋体"/>
          <w:color w:val="auto"/>
          <w:highlight w:val="none"/>
          <w:lang w:bidi="ar"/>
        </w:rPr>
        <w:t>3、雨水系统</w:t>
      </w:r>
    </w:p>
    <w:p w14:paraId="7CC00F0D">
      <w:pPr>
        <w:rPr>
          <w:rFonts w:hint="eastAsia" w:ascii="宋体" w:hAnsi="宋体" w:cs="宋体"/>
          <w:color w:val="auto"/>
          <w:highlight w:val="none"/>
        </w:rPr>
      </w:pPr>
      <w:r>
        <w:rPr>
          <w:rFonts w:hint="eastAsia" w:ascii="宋体" w:hAnsi="宋体" w:cs="宋体"/>
          <w:color w:val="auto"/>
          <w:highlight w:val="none"/>
          <w:lang w:bidi="ar"/>
        </w:rPr>
        <w:t>考虑通过收集雨水利用，单体建筑雨水管道布置不应对主要外立面产生影响。设有分体空调的房间，其冷凝水应有组织排放，并应间接排放至雨水系统。雨水径流控制应从建设项目全局出发，妥善处理防洪排涝、雨水资源化利用和初雨污染的关系，满足《广州市水务管理条例》、《广州市排水管理办法》、《广州市建设项目雨水径流控制管理办法》等法规的要求。</w:t>
      </w:r>
    </w:p>
    <w:p w14:paraId="09BBECCC">
      <w:pPr>
        <w:rPr>
          <w:color w:val="auto"/>
          <w:highlight w:val="none"/>
        </w:rPr>
      </w:pPr>
      <w:r>
        <w:rPr>
          <w:rFonts w:hint="eastAsia"/>
          <w:color w:val="auto"/>
          <w:highlight w:val="none"/>
        </w:rPr>
        <w:t>4、消防给水系统</w:t>
      </w:r>
    </w:p>
    <w:p w14:paraId="25C7B82F">
      <w:pPr>
        <w:rPr>
          <w:color w:val="auto"/>
          <w:highlight w:val="none"/>
        </w:rPr>
      </w:pPr>
      <w:r>
        <w:rPr>
          <w:rFonts w:hint="eastAsia"/>
          <w:color w:val="auto"/>
          <w:highlight w:val="none"/>
        </w:rPr>
        <w:t>消防给水系统包括：室外消火栓系统、室内消火栓系统、自动喷水灭火系统等相关设计，可考虑利用市政供水管网，道路应预留供水管线位置。</w:t>
      </w:r>
    </w:p>
    <w:p w14:paraId="6B836631">
      <w:pPr>
        <w:numPr>
          <w:ilvl w:val="0"/>
          <w:numId w:val="2"/>
        </w:numPr>
        <w:rPr>
          <w:color w:val="auto"/>
          <w:highlight w:val="none"/>
        </w:rPr>
      </w:pPr>
      <w:r>
        <w:rPr>
          <w:rFonts w:hint="eastAsia"/>
          <w:color w:val="auto"/>
          <w:highlight w:val="none"/>
        </w:rPr>
        <w:t>给排水节水措施</w:t>
      </w:r>
    </w:p>
    <w:p w14:paraId="7842F472">
      <w:pPr>
        <w:rPr>
          <w:color w:val="auto"/>
          <w:highlight w:val="none"/>
        </w:rPr>
      </w:pPr>
      <w:r>
        <w:rPr>
          <w:color w:val="auto"/>
          <w:highlight w:val="none"/>
        </w:rPr>
        <w:t>（1）严格按照《建筑给排水设计标准》（GB50015-2019）进行建筑给排水设计，生活给水的用水标准应根据规范及当地生活习惯合理确定；</w:t>
      </w:r>
    </w:p>
    <w:p w14:paraId="5973B451">
      <w:pPr>
        <w:rPr>
          <w:color w:val="auto"/>
          <w:highlight w:val="none"/>
        </w:rPr>
      </w:pPr>
      <w:r>
        <w:rPr>
          <w:color w:val="auto"/>
          <w:highlight w:val="none"/>
        </w:rPr>
        <w:t xml:space="preserve">（2）建筑给水进户管设水表计量，以节约用水，对水资源尽量循环使用，尽量减少排放；     </w:t>
      </w:r>
    </w:p>
    <w:p w14:paraId="7CC5ED55">
      <w:pPr>
        <w:rPr>
          <w:color w:val="auto"/>
          <w:highlight w:val="none"/>
        </w:rPr>
      </w:pPr>
      <w:r>
        <w:rPr>
          <w:color w:val="auto"/>
          <w:highlight w:val="none"/>
        </w:rPr>
        <w:t xml:space="preserve">（3）给排水管道全部尽可能按最短距离设计，以减少能耗；  </w:t>
      </w:r>
    </w:p>
    <w:p w14:paraId="1B9271B0">
      <w:pPr>
        <w:rPr>
          <w:color w:val="auto"/>
          <w:highlight w:val="none"/>
        </w:rPr>
      </w:pPr>
      <w:r>
        <w:rPr>
          <w:color w:val="auto"/>
          <w:highlight w:val="none"/>
        </w:rPr>
        <w:t>（4）卫生器具和配件应符合现行行业标准《节水型生活用水器具》（CJ/T164-2014）的有关要求</w:t>
      </w:r>
      <w:r>
        <w:rPr>
          <w:rFonts w:hint="eastAsia"/>
          <w:color w:val="auto"/>
          <w:highlight w:val="none"/>
        </w:rPr>
        <w:t>；</w:t>
      </w:r>
    </w:p>
    <w:p w14:paraId="07180BF5">
      <w:pPr>
        <w:rPr>
          <w:color w:val="auto"/>
          <w:highlight w:val="none"/>
        </w:rPr>
      </w:pPr>
      <w:r>
        <w:rPr>
          <w:color w:val="auto"/>
          <w:highlight w:val="none"/>
        </w:rPr>
        <w:t>（5）室外给水系统，其水量应满足院区内全部用水的要求其水压应满足最不利配水点的水压要求</w:t>
      </w:r>
      <w:r>
        <w:rPr>
          <w:rFonts w:hint="eastAsia"/>
          <w:color w:val="auto"/>
          <w:highlight w:val="none"/>
        </w:rPr>
        <w:t>；</w:t>
      </w:r>
      <w:r>
        <w:rPr>
          <w:color w:val="auto"/>
          <w:highlight w:val="none"/>
        </w:rPr>
        <w:t>室外给水系统，应尽量利用城镇给水管网的水压直接供水。当城镇给水管网的水压、水量不足时，应设置贮水调节和加压装置</w:t>
      </w:r>
      <w:r>
        <w:rPr>
          <w:rFonts w:hint="eastAsia"/>
          <w:color w:val="auto"/>
          <w:highlight w:val="none"/>
        </w:rPr>
        <w:t>；</w:t>
      </w:r>
    </w:p>
    <w:p w14:paraId="5BFA4890">
      <w:pPr>
        <w:rPr>
          <w:color w:val="auto"/>
          <w:highlight w:val="none"/>
        </w:rPr>
      </w:pPr>
      <w:r>
        <w:rPr>
          <w:color w:val="auto"/>
          <w:highlight w:val="none"/>
        </w:rPr>
        <w:t xml:space="preserve">（6）积极采用节能的化学管材； </w:t>
      </w:r>
      <w:r>
        <w:rPr>
          <w:rFonts w:hint="eastAsia"/>
          <w:color w:val="auto"/>
          <w:highlight w:val="none"/>
        </w:rPr>
        <w:t xml:space="preserve">                 </w:t>
      </w:r>
    </w:p>
    <w:p w14:paraId="50E35734">
      <w:pPr>
        <w:rPr>
          <w:color w:val="auto"/>
          <w:highlight w:val="none"/>
        </w:rPr>
      </w:pPr>
      <w:r>
        <w:rPr>
          <w:color w:val="auto"/>
          <w:highlight w:val="none"/>
        </w:rPr>
        <w:t>（7）选用优质高效的机电设备，以降低能耗，节约日常的设备运行费用；</w:t>
      </w:r>
    </w:p>
    <w:p w14:paraId="6E2B76E9">
      <w:pPr>
        <w:rPr>
          <w:color w:val="auto"/>
          <w:highlight w:val="none"/>
        </w:rPr>
      </w:pPr>
      <w:r>
        <w:rPr>
          <w:color w:val="auto"/>
          <w:highlight w:val="none"/>
        </w:rPr>
        <w:t>（8）对热水供应系统的管道采取积极的保温措施，减少热量损失，节约能源。</w:t>
      </w:r>
    </w:p>
    <w:p w14:paraId="2202D572">
      <w:pPr>
        <w:pStyle w:val="5"/>
        <w:spacing w:before="120" w:after="120"/>
        <w:rPr>
          <w:color w:val="auto"/>
          <w:highlight w:val="none"/>
        </w:rPr>
      </w:pPr>
      <w:bookmarkStart w:id="304" w:name="_Toc14340"/>
      <w:bookmarkStart w:id="305" w:name="_Toc12360"/>
      <w:r>
        <w:rPr>
          <w:rFonts w:hint="eastAsia"/>
          <w:color w:val="auto"/>
          <w:highlight w:val="none"/>
        </w:rPr>
        <w:t>3.3.8电气设计要求</w:t>
      </w:r>
      <w:bookmarkEnd w:id="303"/>
      <w:bookmarkEnd w:id="304"/>
      <w:bookmarkEnd w:id="305"/>
    </w:p>
    <w:p w14:paraId="1A17F85D">
      <w:pPr>
        <w:rPr>
          <w:color w:val="auto"/>
          <w:highlight w:val="none"/>
        </w:rPr>
      </w:pPr>
      <w:r>
        <w:rPr>
          <w:rFonts w:hint="eastAsia"/>
          <w:color w:val="auto"/>
          <w:highlight w:val="none"/>
        </w:rPr>
        <w:t>电气设计内容包括：</w:t>
      </w:r>
      <w:r>
        <w:rPr>
          <w:rFonts w:ascii="宋体" w:hAnsi="宋体" w:cs="宋体"/>
          <w:snapToGrid w:val="0"/>
          <w:color w:val="auto"/>
          <w:kern w:val="0"/>
          <w:highlight w:val="none"/>
        </w:rPr>
        <w:t>外电</w:t>
      </w:r>
      <w:r>
        <w:rPr>
          <w:rFonts w:hint="eastAsia" w:ascii="宋体" w:hAnsi="宋体" w:cs="宋体"/>
          <w:snapToGrid w:val="0"/>
          <w:color w:val="auto"/>
          <w:kern w:val="0"/>
          <w:highlight w:val="none"/>
        </w:rPr>
        <w:t>接入</w:t>
      </w:r>
      <w:r>
        <w:rPr>
          <w:rFonts w:ascii="宋体" w:hAnsi="宋体" w:cs="宋体"/>
          <w:snapToGrid w:val="0"/>
          <w:color w:val="auto"/>
          <w:kern w:val="0"/>
          <w:highlight w:val="none"/>
        </w:rPr>
        <w:t>（</w:t>
      </w:r>
      <w:r>
        <w:rPr>
          <w:rFonts w:hint="eastAsia" w:ascii="宋体" w:hAnsi="宋体" w:cs="宋体"/>
          <w:snapToGrid w:val="0"/>
          <w:color w:val="auto"/>
          <w:kern w:val="0"/>
          <w:highlight w:val="none"/>
        </w:rPr>
        <w:t>需设计接至主管部门指定</w:t>
      </w:r>
      <w:r>
        <w:rPr>
          <w:rFonts w:ascii="宋体" w:hAnsi="宋体" w:cs="宋体"/>
          <w:snapToGrid w:val="0"/>
          <w:color w:val="auto"/>
          <w:kern w:val="0"/>
          <w:highlight w:val="none"/>
        </w:rPr>
        <w:t>接</w:t>
      </w:r>
      <w:r>
        <w:rPr>
          <w:rFonts w:hint="eastAsia" w:ascii="宋体" w:hAnsi="宋体" w:cs="宋体"/>
          <w:snapToGrid w:val="0"/>
          <w:color w:val="auto"/>
          <w:kern w:val="0"/>
          <w:highlight w:val="none"/>
        </w:rPr>
        <w:t>入点</w:t>
      </w:r>
      <w:r>
        <w:rPr>
          <w:rFonts w:ascii="宋体" w:hAnsi="宋体" w:cs="宋体"/>
          <w:snapToGrid w:val="0"/>
          <w:color w:val="auto"/>
          <w:kern w:val="0"/>
          <w:highlight w:val="none"/>
        </w:rPr>
        <w:t>）、</w:t>
      </w:r>
      <w:r>
        <w:rPr>
          <w:rFonts w:hint="eastAsia" w:ascii="宋体" w:hAnsi="宋体" w:cs="宋体"/>
          <w:snapToGrid w:val="0"/>
          <w:color w:val="auto"/>
          <w:kern w:val="0"/>
          <w:highlight w:val="none"/>
        </w:rPr>
        <w:t>临时用电（含报装工作）、永久用电（含临时用电变压器拆除设计内容，永电设计方案通过供电部门审批及验收，含报装工作）、建筑内部高低压变配电系统、动力、照明配电、</w:t>
      </w:r>
      <w:r>
        <w:rPr>
          <w:rFonts w:hint="eastAsia"/>
          <w:color w:val="auto"/>
          <w:highlight w:val="none"/>
        </w:rPr>
        <w:t>爆炸性环境危险区域电气设计、</w:t>
      </w:r>
      <w:r>
        <w:rPr>
          <w:rFonts w:hint="eastAsia" w:ascii="宋体" w:hAnsi="宋体" w:cs="宋体"/>
          <w:snapToGrid w:val="0"/>
          <w:color w:val="auto"/>
          <w:kern w:val="0"/>
          <w:highlight w:val="none"/>
        </w:rPr>
        <w:t>火灾自动报警系统、智能化消防应急照明和疏散逃生指示系统、管道抗震设计、停车位充电桩、柴油发电机组、防雷及接地等，室外配套工程配电和照明工程（含泛光照明），红线内电力管线平衡等</w:t>
      </w:r>
      <w:r>
        <w:rPr>
          <w:rFonts w:hint="eastAsia"/>
          <w:color w:val="auto"/>
          <w:highlight w:val="none"/>
        </w:rPr>
        <w:t>。各单体用电负荷等级按照国家相关规范规定执行。</w:t>
      </w:r>
    </w:p>
    <w:p w14:paraId="59907309">
      <w:pPr>
        <w:rPr>
          <w:color w:val="auto"/>
          <w:highlight w:val="none"/>
        </w:rPr>
      </w:pPr>
      <w:r>
        <w:rPr>
          <w:rFonts w:hint="eastAsia"/>
          <w:color w:val="auto"/>
          <w:highlight w:val="none"/>
        </w:rPr>
        <w:t>1、变配电（强电）系统</w:t>
      </w:r>
    </w:p>
    <w:p w14:paraId="73C43CB1">
      <w:pPr>
        <w:rPr>
          <w:color w:val="auto"/>
          <w:highlight w:val="none"/>
        </w:rPr>
      </w:pPr>
      <w:r>
        <w:rPr>
          <w:rFonts w:hint="eastAsia"/>
          <w:color w:val="auto"/>
          <w:highlight w:val="none"/>
        </w:rPr>
        <w:t>本项目以市电网电力为主要能源，设计时应充分考虑预留用电量和双回路供电（具体以实际需求为准）。</w:t>
      </w:r>
    </w:p>
    <w:p w14:paraId="4E689993">
      <w:pPr>
        <w:rPr>
          <w:color w:val="auto"/>
          <w:highlight w:val="none"/>
        </w:rPr>
      </w:pPr>
      <w:r>
        <w:rPr>
          <w:rFonts w:hint="eastAsia"/>
          <w:color w:val="auto"/>
          <w:highlight w:val="none"/>
        </w:rPr>
        <w:t>2、弱电智能化系统</w:t>
      </w:r>
    </w:p>
    <w:p w14:paraId="0A8A8469">
      <w:pPr>
        <w:rPr>
          <w:color w:val="auto"/>
          <w:highlight w:val="none"/>
        </w:rPr>
      </w:pPr>
      <w:r>
        <w:rPr>
          <w:rFonts w:hint="eastAsia"/>
          <w:color w:val="auto"/>
          <w:highlight w:val="none"/>
        </w:rPr>
        <w:t>（1）建筑智能化专业各子系统的设计应保证为当时先进、成熟的技术。各子系统在设计时，应充分的考虑其兼容性、扩展性和先进性。合理安排竖井及中央控制机构位置及结构。</w:t>
      </w:r>
    </w:p>
    <w:p w14:paraId="1BA507A5">
      <w:pPr>
        <w:rPr>
          <w:color w:val="auto"/>
          <w:highlight w:val="none"/>
        </w:rPr>
      </w:pPr>
      <w:r>
        <w:rPr>
          <w:rFonts w:hint="eastAsia"/>
          <w:color w:val="auto"/>
          <w:highlight w:val="none"/>
        </w:rPr>
        <w:t>（2）设计单位按照《广东省安全技术防范管理条例》、《广东省安全技术防范管理条例实施办法》、《广东省公共安全视频图像信息系统管理办法》等规定进行安防设计和设备设施选用，若需按要求另行委托对应资质的单位进行设计的，必须书面报建设单位同意，且费用不另行计算。</w:t>
      </w:r>
    </w:p>
    <w:p w14:paraId="7E45E63B">
      <w:pPr>
        <w:rPr>
          <w:color w:val="auto"/>
          <w:highlight w:val="none"/>
        </w:rPr>
      </w:pPr>
      <w:r>
        <w:rPr>
          <w:rFonts w:hint="eastAsia"/>
          <w:color w:val="auto"/>
          <w:highlight w:val="none"/>
        </w:rPr>
        <w:t>（3）本项目智能化系统基于模块化搭建，一个模块可以视为一个子系统，这些子系统包括：三维可视化综合监控系统、智能出入库系统、仓储业务管理系统、智能仓储作业管理系统、智能安防系统、移动应用系统等。平台的构成基于各个子系统，各子系统又相互具有独立性，均通过接口接入系统平台，并与广东省省级平台进行对接。</w:t>
      </w:r>
    </w:p>
    <w:p w14:paraId="4A646804">
      <w:pPr>
        <w:rPr>
          <w:color w:val="auto"/>
          <w:highlight w:val="none"/>
        </w:rPr>
      </w:pPr>
      <w:r>
        <w:rPr>
          <w:rFonts w:hint="eastAsia"/>
          <w:color w:val="auto"/>
          <w:highlight w:val="none"/>
        </w:rPr>
        <w:t>3、照明及照明灯具</w:t>
      </w:r>
    </w:p>
    <w:p w14:paraId="7793C8D2">
      <w:pPr>
        <w:rPr>
          <w:color w:val="auto"/>
          <w:highlight w:val="none"/>
        </w:rPr>
      </w:pPr>
      <w:r>
        <w:rPr>
          <w:rFonts w:hint="eastAsia"/>
          <w:color w:val="auto"/>
          <w:highlight w:val="none"/>
        </w:rPr>
        <w:t>本库区照明种类包括正常照明、备用照明和应急疏散照明。</w:t>
      </w:r>
    </w:p>
    <w:p w14:paraId="76E4B29E">
      <w:pPr>
        <w:rPr>
          <w:color w:val="auto"/>
          <w:highlight w:val="none"/>
        </w:rPr>
      </w:pPr>
      <w:r>
        <w:rPr>
          <w:rFonts w:hint="eastAsia"/>
          <w:color w:val="auto"/>
          <w:highlight w:val="none"/>
        </w:rPr>
        <w:t>房间或场所的照明功率密度值不高于现行国家标准《建筑照明设计标准》（GB  50034-2013）规定的目标值；公共场所和部位的照明采用高效光源、高效灯具和低损耗镇流器等附件，并采取节能控制措施。</w:t>
      </w:r>
    </w:p>
    <w:p w14:paraId="58C06EDD">
      <w:pPr>
        <w:rPr>
          <w:color w:val="auto"/>
          <w:highlight w:val="none"/>
        </w:rPr>
      </w:pPr>
      <w:r>
        <w:rPr>
          <w:rFonts w:hint="eastAsia"/>
          <w:color w:val="auto"/>
          <w:highlight w:val="none"/>
        </w:rPr>
        <w:t>配电室、消防控制室、消防水泵房、自备发电机房、封闭式楼梯间等发生火灾时仍需工作、值守的区域设置备用照明、疏散照明和疏散指示标志。</w:t>
      </w:r>
    </w:p>
    <w:p w14:paraId="0435B4BB">
      <w:pPr>
        <w:rPr>
          <w:color w:val="auto"/>
          <w:highlight w:val="none"/>
        </w:rPr>
      </w:pPr>
      <w:r>
        <w:rPr>
          <w:rFonts w:hint="eastAsia"/>
          <w:color w:val="auto"/>
          <w:highlight w:val="none"/>
        </w:rPr>
        <w:t>生产区域，如楼房仓内等照明采用智能照明系统集中控制，电控室等采用跷板开关现场控制，楼梯间采用人体红外感应开关自动控制。智能照明控制器控制，可实现时控、远程集控、手机APP控制等多种控制方式，既方便操作，又能节约能源。</w:t>
      </w:r>
    </w:p>
    <w:p w14:paraId="2E0F7857">
      <w:pPr>
        <w:rPr>
          <w:color w:val="auto"/>
          <w:highlight w:val="none"/>
        </w:rPr>
      </w:pPr>
      <w:r>
        <w:rPr>
          <w:rFonts w:hint="eastAsia"/>
          <w:color w:val="auto"/>
          <w:highlight w:val="none"/>
        </w:rPr>
        <w:t>各场所照度及功率密度限值均按《建筑节能与可再生能源利用通用规范》及《建筑环境通用规范》规定取值。</w:t>
      </w:r>
    </w:p>
    <w:p w14:paraId="6C898541">
      <w:pPr>
        <w:rPr>
          <w:color w:val="auto"/>
          <w:highlight w:val="none"/>
        </w:rPr>
      </w:pPr>
      <w:r>
        <w:rPr>
          <w:rFonts w:hint="eastAsia"/>
          <w:color w:val="auto"/>
          <w:highlight w:val="none"/>
        </w:rPr>
        <w:t>4、爆炸性环境危险区域电气设计</w:t>
      </w:r>
    </w:p>
    <w:p w14:paraId="5EA72A35">
      <w:pPr>
        <w:rPr>
          <w:color w:val="auto"/>
          <w:highlight w:val="none"/>
        </w:rPr>
      </w:pPr>
      <w:r>
        <w:rPr>
          <w:rFonts w:hint="eastAsia"/>
          <w:color w:val="auto"/>
          <w:highlight w:val="none"/>
        </w:rPr>
        <w:t>1.楼房仓散粮储存区域、提升间、出仓设备间等含有进出粮设备区域均属于粉尘爆炸危险区域21区。包装粮储存区域为安全区。所有粉尘爆炸危险区域的电气设备的选择及安装均必须符合《爆炸危险环境电力装置设计规范》（GB50058-2014）及《粮食加工、储运系统粉尘防爆安全规范》（GB17440-2008）的要求。室外设备还应满足防水、防腐蚀的要求。</w:t>
      </w:r>
    </w:p>
    <w:p w14:paraId="2B431B50">
      <w:pPr>
        <w:rPr>
          <w:color w:val="auto"/>
          <w:highlight w:val="none"/>
        </w:rPr>
      </w:pPr>
      <w:r>
        <w:rPr>
          <w:rFonts w:hint="eastAsia"/>
          <w:color w:val="auto"/>
          <w:highlight w:val="none"/>
        </w:rPr>
        <w:t>5、防雷与接地</w:t>
      </w:r>
    </w:p>
    <w:p w14:paraId="26342780">
      <w:pPr>
        <w:rPr>
          <w:color w:val="auto"/>
          <w:highlight w:val="none"/>
        </w:rPr>
      </w:pPr>
      <w:r>
        <w:rPr>
          <w:color w:val="auto"/>
          <w:highlight w:val="none"/>
        </w:rPr>
        <w:t>根据建筑物的年预计雷击次数及其使用性质，</w:t>
      </w:r>
      <w:r>
        <w:rPr>
          <w:rFonts w:hint="eastAsia"/>
          <w:color w:val="auto"/>
          <w:highlight w:val="none"/>
        </w:rPr>
        <w:t>本工程楼房仓按第二类防雷建筑物设防，其他建筑物按第三类防雷建筑物设防</w:t>
      </w:r>
      <w:r>
        <w:rPr>
          <w:color w:val="auto"/>
          <w:highlight w:val="none"/>
        </w:rPr>
        <w:t>。</w:t>
      </w:r>
      <w:r>
        <w:rPr>
          <w:rFonts w:hint="eastAsia"/>
          <w:color w:val="auto"/>
          <w:highlight w:val="none"/>
        </w:rPr>
        <w:t>本工程防雷建筑物防直击雷的措施，采用屋面设网状避雷带做接闪器，引下线利用建筑物柱内结构主筋，接地体利用建筑物基础结构钢筋。避雷带、引下线和接地体焊接成闭合的电气通路，构成防直击雷的笼形避雷系统。</w:t>
      </w:r>
    </w:p>
    <w:p w14:paraId="6F157842">
      <w:pPr>
        <w:rPr>
          <w:color w:val="auto"/>
          <w:highlight w:val="none"/>
        </w:rPr>
      </w:pPr>
      <w:r>
        <w:rPr>
          <w:rFonts w:hint="eastAsia"/>
          <w:color w:val="auto"/>
          <w:highlight w:val="none"/>
        </w:rPr>
        <w:t>6、火灾自动报警及消防控制系统</w:t>
      </w:r>
    </w:p>
    <w:p w14:paraId="1A8DDD64">
      <w:pPr>
        <w:rPr>
          <w:color w:val="auto"/>
          <w:highlight w:val="none"/>
        </w:rPr>
      </w:pPr>
      <w:r>
        <w:rPr>
          <w:color w:val="auto"/>
          <w:highlight w:val="none"/>
        </w:rPr>
        <w:t>项目设置火灾自动报警及联动控制系统、火灾紧急广播系统及消防控制中心。</w:t>
      </w:r>
    </w:p>
    <w:p w14:paraId="62485A63">
      <w:pPr>
        <w:rPr>
          <w:color w:val="auto"/>
          <w:highlight w:val="none"/>
        </w:rPr>
      </w:pPr>
      <w:r>
        <w:rPr>
          <w:color w:val="auto"/>
          <w:highlight w:val="none"/>
        </w:rPr>
        <w:t>火灾自动报警及消防控制系统由智能式烟感/温感探测器或红外光束感烟探测器、智能式火灾自动报警控制器、地址码监测模块、控制模块、报警按钮及警铃、联动控制装置组成。在每个防火分区，设火灾报警按钮及消防对讲电话插孔。每一防火分区内任何位置到最临近的一个手动火灾报警按钮的距离不应大于30m。在消火栓箱内设消火栓报警按钮。</w:t>
      </w:r>
    </w:p>
    <w:p w14:paraId="1BFEC758">
      <w:pPr>
        <w:rPr>
          <w:color w:val="auto"/>
          <w:highlight w:val="none"/>
        </w:rPr>
      </w:pPr>
      <w:r>
        <w:rPr>
          <w:color w:val="auto"/>
          <w:highlight w:val="none"/>
        </w:rPr>
        <w:t>消防控制中心接到火灾报警信号后，按程序联锁控制消防泵、喷淋泵、排烟风机等消防设备，并发出报警信号，启动火灾紧急广播。消防水泵、排烟风机亦可在消防控制中心联动柜直接手动控制。</w:t>
      </w:r>
    </w:p>
    <w:p w14:paraId="154DBA98">
      <w:pPr>
        <w:pStyle w:val="5"/>
        <w:spacing w:before="120" w:after="120"/>
        <w:rPr>
          <w:color w:val="auto"/>
          <w:highlight w:val="none"/>
        </w:rPr>
      </w:pPr>
      <w:bookmarkStart w:id="306" w:name="_Toc27820"/>
      <w:bookmarkStart w:id="307" w:name="_Toc6885"/>
      <w:bookmarkStart w:id="308" w:name="_Toc31249"/>
      <w:r>
        <w:rPr>
          <w:rFonts w:hint="eastAsia"/>
          <w:color w:val="auto"/>
          <w:highlight w:val="none"/>
        </w:rPr>
        <w:t>3.3.9消防工程设计要求</w:t>
      </w:r>
      <w:bookmarkEnd w:id="306"/>
      <w:bookmarkEnd w:id="307"/>
      <w:bookmarkEnd w:id="308"/>
    </w:p>
    <w:p w14:paraId="25D1CAAC">
      <w:pPr>
        <w:rPr>
          <w:color w:val="auto"/>
          <w:highlight w:val="none"/>
        </w:rPr>
      </w:pPr>
      <w:r>
        <w:rPr>
          <w:rFonts w:hint="eastAsia"/>
          <w:color w:val="auto"/>
          <w:highlight w:val="none"/>
        </w:rPr>
        <w:t>新建室内消防水池和泵房，室外消火栓系统、室内消火栓系统、自动喷水灭火系统、气体灭火系统、灭火器系统和防排烟系统等，须进行比选分析。调压柜外观装饰应与周边景观相协调。</w:t>
      </w:r>
    </w:p>
    <w:p w14:paraId="6369419A">
      <w:pPr>
        <w:pStyle w:val="5"/>
        <w:spacing w:before="120" w:after="120"/>
        <w:rPr>
          <w:color w:val="auto"/>
          <w:highlight w:val="none"/>
        </w:rPr>
      </w:pPr>
      <w:bookmarkStart w:id="309" w:name="_Toc1450"/>
      <w:bookmarkStart w:id="310" w:name="_Toc27091"/>
      <w:bookmarkStart w:id="311" w:name="_Toc7548"/>
      <w:r>
        <w:rPr>
          <w:rFonts w:hint="eastAsia"/>
          <w:color w:val="auto"/>
          <w:highlight w:val="none"/>
        </w:rPr>
        <w:t>3.3.10燃气工程设计要求</w:t>
      </w:r>
      <w:bookmarkEnd w:id="309"/>
      <w:bookmarkEnd w:id="310"/>
      <w:bookmarkEnd w:id="311"/>
    </w:p>
    <w:p w14:paraId="20C6BD40">
      <w:pPr>
        <w:rPr>
          <w:color w:val="auto"/>
          <w:highlight w:val="none"/>
        </w:rPr>
      </w:pPr>
      <w:r>
        <w:rPr>
          <w:rFonts w:hint="eastAsia"/>
          <w:color w:val="auto"/>
          <w:highlight w:val="none"/>
        </w:rPr>
        <w:t>本项目不涉及。</w:t>
      </w:r>
    </w:p>
    <w:p w14:paraId="4C680669">
      <w:pPr>
        <w:pStyle w:val="5"/>
        <w:spacing w:before="120" w:after="120"/>
        <w:rPr>
          <w:color w:val="auto"/>
          <w:highlight w:val="none"/>
        </w:rPr>
      </w:pPr>
      <w:bookmarkStart w:id="312" w:name="_Toc6161"/>
      <w:bookmarkStart w:id="313" w:name="_Toc21917"/>
      <w:bookmarkStart w:id="314" w:name="_Toc12102"/>
      <w:r>
        <w:rPr>
          <w:rFonts w:hint="eastAsia"/>
          <w:color w:val="auto"/>
          <w:highlight w:val="none"/>
        </w:rPr>
        <w:t>3.3.11电梯设备设计要求</w:t>
      </w:r>
      <w:bookmarkEnd w:id="312"/>
      <w:bookmarkEnd w:id="313"/>
      <w:bookmarkEnd w:id="314"/>
    </w:p>
    <w:p w14:paraId="4CEFE4B5">
      <w:pPr>
        <w:rPr>
          <w:rFonts w:hint="eastAsia" w:ascii="宋体" w:hAnsi="宋体" w:cs="宋体"/>
          <w:color w:val="auto"/>
          <w:highlight w:val="none"/>
        </w:rPr>
      </w:pPr>
      <w:bookmarkStart w:id="315" w:name="_Toc21679"/>
      <w:r>
        <w:rPr>
          <w:rFonts w:hint="eastAsia" w:ascii="宋体" w:hAnsi="宋体" w:cs="宋体"/>
          <w:color w:val="auto"/>
          <w:highlight w:val="none"/>
          <w:lang w:bidi="ar"/>
        </w:rPr>
        <w:t>1.本项目根据工程方案中楼房的层高、层数和建筑面积、功能、人流状况对普通电梯、无障碍电梯、消防电梯进行设计选型。</w:t>
      </w:r>
    </w:p>
    <w:p w14:paraId="202D485A">
      <w:pPr>
        <w:rPr>
          <w:rFonts w:hint="eastAsia" w:ascii="宋体" w:hAnsi="宋体" w:cs="宋体"/>
          <w:color w:val="auto"/>
          <w:highlight w:val="none"/>
        </w:rPr>
      </w:pPr>
      <w:r>
        <w:rPr>
          <w:rFonts w:hint="eastAsia" w:ascii="宋体" w:hAnsi="宋体" w:cs="宋体"/>
          <w:color w:val="auto"/>
          <w:highlight w:val="none"/>
          <w:lang w:bidi="ar"/>
        </w:rPr>
        <w:t>2.电梯的型号和厢门材料、结构、上升速度、设置数量，均应配合建筑类型和装饰标准考虑。</w:t>
      </w:r>
    </w:p>
    <w:p w14:paraId="6E2918E1">
      <w:pPr>
        <w:outlineLvl w:val="3"/>
        <w:rPr>
          <w:rFonts w:hint="eastAsia" w:ascii="宋体" w:hAnsi="宋体" w:cs="宋体"/>
          <w:color w:val="auto"/>
          <w:highlight w:val="none"/>
        </w:rPr>
      </w:pPr>
      <w:r>
        <w:rPr>
          <w:rFonts w:hint="eastAsia" w:ascii="宋体" w:hAnsi="宋体" w:cs="宋体"/>
          <w:color w:val="auto"/>
          <w:highlight w:val="none"/>
          <w:lang w:bidi="ar"/>
        </w:rPr>
        <w:t>3.结构井道预留需满足多数品牌电梯的安装要求。</w:t>
      </w:r>
    </w:p>
    <w:p w14:paraId="16E2A50B">
      <w:pPr>
        <w:rPr>
          <w:rFonts w:hint="eastAsia" w:ascii="宋体" w:hAnsi="宋体" w:cs="宋体"/>
          <w:color w:val="auto"/>
          <w:highlight w:val="none"/>
        </w:rPr>
      </w:pPr>
      <w:r>
        <w:rPr>
          <w:rFonts w:hint="eastAsia" w:ascii="宋体" w:hAnsi="宋体" w:cs="宋体"/>
          <w:color w:val="auto"/>
          <w:highlight w:val="none"/>
          <w:lang w:bidi="ar"/>
        </w:rPr>
        <w:t>4.每个轿厢内均应设置视频监控、五方通话等并将系统接入</w:t>
      </w:r>
      <w:r>
        <w:rPr>
          <w:rFonts w:hint="eastAsia" w:ascii="宋体" w:hAnsi="宋体" w:cs="宋体"/>
          <w:bCs/>
          <w:color w:val="auto"/>
          <w:highlight w:val="none"/>
        </w:rPr>
        <w:t>视频监控系统</w:t>
      </w:r>
      <w:r>
        <w:rPr>
          <w:rFonts w:hint="eastAsia" w:ascii="宋体" w:hAnsi="宋体" w:cs="宋体"/>
          <w:color w:val="auto"/>
          <w:highlight w:val="none"/>
          <w:lang w:bidi="ar"/>
        </w:rPr>
        <w:t>。</w:t>
      </w:r>
    </w:p>
    <w:p w14:paraId="39866D90">
      <w:pPr>
        <w:rPr>
          <w:color w:val="auto"/>
          <w:highlight w:val="none"/>
        </w:rPr>
      </w:pPr>
      <w:r>
        <w:rPr>
          <w:rFonts w:hint="eastAsia" w:ascii="宋体" w:hAnsi="宋体" w:cs="宋体"/>
          <w:color w:val="auto"/>
          <w:highlight w:val="none"/>
          <w:lang w:bidi="ar"/>
        </w:rPr>
        <w:t>5.建议选用集成变频驱动、微机控制、模块化系统及先进的自检程序为一体的全电脑控制电梯，同时可以与监控系统对接，实现远程监控功能。以便缩短日后维修时间，节省维修保养费用，使电梯能够适应今后的发展，利于系统的升级换代。</w:t>
      </w:r>
    </w:p>
    <w:p w14:paraId="2EF664A1">
      <w:pPr>
        <w:pStyle w:val="5"/>
        <w:spacing w:before="120" w:after="120"/>
        <w:rPr>
          <w:color w:val="auto"/>
          <w:highlight w:val="none"/>
        </w:rPr>
      </w:pPr>
      <w:bookmarkStart w:id="316" w:name="_Toc15721"/>
      <w:bookmarkStart w:id="317" w:name="_Toc14954"/>
      <w:r>
        <w:rPr>
          <w:rFonts w:hint="eastAsia"/>
          <w:color w:val="auto"/>
          <w:highlight w:val="none"/>
        </w:rPr>
        <w:t>3.3.12空调与通风设计要求</w:t>
      </w:r>
      <w:bookmarkEnd w:id="316"/>
      <w:bookmarkEnd w:id="317"/>
    </w:p>
    <w:p w14:paraId="5E9F5186">
      <w:pPr>
        <w:rPr>
          <w:color w:val="auto"/>
          <w:highlight w:val="none"/>
        </w:rPr>
      </w:pPr>
      <w:r>
        <w:rPr>
          <w:rFonts w:hint="eastAsia"/>
          <w:color w:val="auto"/>
          <w:highlight w:val="none"/>
        </w:rPr>
        <w:t>设计内容</w:t>
      </w:r>
      <w:r>
        <w:rPr>
          <w:rFonts w:hint="eastAsia" w:ascii="宋体" w:hAnsi="宋体" w:cs="宋体"/>
          <w:snapToGrid w:val="0"/>
          <w:color w:val="auto"/>
          <w:kern w:val="0"/>
          <w:highlight w:val="none"/>
        </w:rPr>
        <w:t>包括不限于建筑物内部通风系统、建筑物内部空气调节系统、集中供冷供热系统、防烟排烟系统、空调管道抗震等的设计</w:t>
      </w:r>
      <w:r>
        <w:rPr>
          <w:rFonts w:hint="eastAsia"/>
          <w:color w:val="auto"/>
          <w:highlight w:val="none"/>
        </w:rPr>
        <w:t>。</w:t>
      </w:r>
    </w:p>
    <w:p w14:paraId="3E86A1A0">
      <w:pPr>
        <w:rPr>
          <w:color w:val="auto"/>
          <w:highlight w:val="none"/>
        </w:rPr>
      </w:pPr>
      <w:r>
        <w:rPr>
          <w:rFonts w:hint="eastAsia"/>
          <w:color w:val="auto"/>
          <w:highlight w:val="none"/>
        </w:rPr>
        <w:t>1、空调系统</w:t>
      </w:r>
    </w:p>
    <w:p w14:paraId="52E57F1C">
      <w:pPr>
        <w:rPr>
          <w:color w:val="auto"/>
          <w:highlight w:val="none"/>
        </w:rPr>
      </w:pPr>
      <w:r>
        <w:rPr>
          <w:rFonts w:hint="eastAsia"/>
          <w:color w:val="auto"/>
          <w:highlight w:val="none"/>
        </w:rPr>
        <w:t>楼房仓空调冷负荷系统设计要求如下：</w:t>
      </w:r>
    </w:p>
    <w:p w14:paraId="6E2DF388">
      <w:pPr>
        <w:rPr>
          <w:color w:val="auto"/>
          <w:highlight w:val="none"/>
        </w:rPr>
      </w:pPr>
      <w:r>
        <w:rPr>
          <w:rFonts w:hint="eastAsia"/>
          <w:color w:val="auto"/>
          <w:highlight w:val="none"/>
        </w:rPr>
        <w:t>散装楼房仓设置专用控温装置，控制仓内温度≤23度，选用水冷直膨粮仓空调机组，仅负责粮堆降温后的仓温维持。粮堆降温需依靠谷冷机或机械通风实现，控制粮堆温度≤20度。</w:t>
      </w:r>
    </w:p>
    <w:p w14:paraId="70149349">
      <w:pPr>
        <w:rPr>
          <w:color w:val="auto"/>
          <w:highlight w:val="none"/>
        </w:rPr>
      </w:pPr>
      <w:r>
        <w:rPr>
          <w:rFonts w:hint="eastAsia"/>
          <w:color w:val="auto"/>
          <w:highlight w:val="none"/>
        </w:rPr>
        <w:t>成品仓设置控温装置，控制仓内温度15～20度。选用水冷直膨粮仓空调机组，负责成品来粮的降温和仓温的维持。</w:t>
      </w:r>
    </w:p>
    <w:p w14:paraId="3C2058B2">
      <w:pPr>
        <w:rPr>
          <w:color w:val="auto"/>
          <w:highlight w:val="none"/>
        </w:rPr>
      </w:pPr>
      <w:r>
        <w:rPr>
          <w:rFonts w:hint="eastAsia"/>
          <w:color w:val="auto"/>
          <w:highlight w:val="none"/>
        </w:rPr>
        <w:t>综合服务楼和物资库采用多联式空调系统，电气专业预留空调插座，给排水专业预留空调冷凝水的排水立管等。因本项目地处夏热冬暖地区，综合服务楼和物资库冬季不需做空调设计，可利用外窗进行通风换气或利用新风系统进行通风换气，故只考虑夏季空调，</w:t>
      </w:r>
    </w:p>
    <w:p w14:paraId="4098B4FA">
      <w:pPr>
        <w:rPr>
          <w:color w:val="auto"/>
          <w:highlight w:val="none"/>
        </w:rPr>
      </w:pPr>
      <w:r>
        <w:rPr>
          <w:rFonts w:hint="eastAsia"/>
          <w:color w:val="auto"/>
          <w:highlight w:val="none"/>
        </w:rPr>
        <w:t>2、通风系统</w:t>
      </w:r>
    </w:p>
    <w:p w14:paraId="5258123F">
      <w:pPr>
        <w:rPr>
          <w:color w:val="auto"/>
          <w:highlight w:val="none"/>
        </w:rPr>
      </w:pPr>
      <w:r>
        <w:rPr>
          <w:rFonts w:hint="eastAsia"/>
          <w:color w:val="auto"/>
          <w:highlight w:val="none"/>
        </w:rPr>
        <w:t>（1）</w:t>
      </w:r>
      <w:r>
        <w:rPr>
          <w:color w:val="auto"/>
          <w:highlight w:val="none"/>
        </w:rPr>
        <w:t>地下汽车库按防火分区分别设机械排风与排烟合用的系统。排风量按4次/h换气计算，有汽车坡道等其它自然进风条件的防火分区，采用自然进风，不具备自然补风条件的防火分区，设机械送风系统，送风量按排风量的80%计算。</w:t>
      </w:r>
    </w:p>
    <w:p w14:paraId="3FB2CC15">
      <w:pPr>
        <w:rPr>
          <w:color w:val="auto"/>
          <w:highlight w:val="none"/>
        </w:rPr>
      </w:pPr>
      <w:r>
        <w:rPr>
          <w:rFonts w:hint="eastAsia"/>
          <w:color w:val="auto"/>
          <w:highlight w:val="none"/>
        </w:rPr>
        <w:t>（2）</w:t>
      </w:r>
      <w:r>
        <w:rPr>
          <w:color w:val="auto"/>
          <w:highlight w:val="none"/>
        </w:rPr>
        <w:t>地下室的水泵房等设备用房，均设机械送、排风系统。</w:t>
      </w:r>
    </w:p>
    <w:p w14:paraId="10D96FDD">
      <w:pPr>
        <w:rPr>
          <w:color w:val="auto"/>
          <w:highlight w:val="none"/>
        </w:rPr>
      </w:pPr>
      <w:r>
        <w:rPr>
          <w:rFonts w:hint="eastAsia"/>
          <w:color w:val="auto"/>
          <w:highlight w:val="none"/>
        </w:rPr>
        <w:t>（3）</w:t>
      </w:r>
      <w:r>
        <w:rPr>
          <w:color w:val="auto"/>
          <w:highlight w:val="none"/>
        </w:rPr>
        <w:t>地下室的发电机房、变配电室等采用气体灭火的房间设机械送、排风系统，平时通风换气，气体灭火时关闭穿过气体灭火房间风管上的电动防火阀及其通风系统中的所有设备，灭火停止后，开启电动防火阀及其排风系统，排除房间内的有害气体。</w:t>
      </w:r>
    </w:p>
    <w:p w14:paraId="7438DC8F">
      <w:pPr>
        <w:rPr>
          <w:color w:val="auto"/>
          <w:highlight w:val="none"/>
        </w:rPr>
      </w:pPr>
      <w:r>
        <w:rPr>
          <w:rFonts w:hint="eastAsia"/>
          <w:color w:val="auto"/>
          <w:highlight w:val="none"/>
        </w:rPr>
        <w:t>（4）</w:t>
      </w:r>
      <w:r>
        <w:rPr>
          <w:color w:val="auto"/>
          <w:highlight w:val="none"/>
        </w:rPr>
        <w:t>所有的电梯机房均按15次换气/小时以上的排风量设机械排风系统。</w:t>
      </w:r>
    </w:p>
    <w:p w14:paraId="37618B30">
      <w:pPr>
        <w:rPr>
          <w:color w:val="auto"/>
          <w:highlight w:val="none"/>
        </w:rPr>
      </w:pPr>
      <w:r>
        <w:rPr>
          <w:rFonts w:hint="eastAsia"/>
          <w:color w:val="auto"/>
          <w:highlight w:val="none"/>
        </w:rPr>
        <w:t>（5）</w:t>
      </w:r>
      <w:r>
        <w:rPr>
          <w:color w:val="auto"/>
          <w:highlight w:val="none"/>
        </w:rPr>
        <w:t>所有的公共卫生间均按10次换气/小时以上的排风量设机械排风系统。</w:t>
      </w:r>
    </w:p>
    <w:p w14:paraId="551FE2A9">
      <w:pPr>
        <w:rPr>
          <w:color w:val="auto"/>
          <w:highlight w:val="none"/>
        </w:rPr>
      </w:pPr>
      <w:r>
        <w:rPr>
          <w:rFonts w:hint="eastAsia"/>
          <w:color w:val="auto"/>
          <w:highlight w:val="none"/>
        </w:rPr>
        <w:t>（6）</w:t>
      </w:r>
      <w:r>
        <w:rPr>
          <w:color w:val="auto"/>
          <w:highlight w:val="none"/>
        </w:rPr>
        <w:t>户内卫生间设置天花式排气扇，把室内污浊气体直接排出室外。</w:t>
      </w:r>
    </w:p>
    <w:p w14:paraId="5F1E8F52">
      <w:pPr>
        <w:rPr>
          <w:color w:val="auto"/>
          <w:highlight w:val="none"/>
        </w:rPr>
      </w:pPr>
      <w:r>
        <w:rPr>
          <w:rFonts w:hint="eastAsia"/>
          <w:color w:val="auto"/>
          <w:highlight w:val="none"/>
        </w:rPr>
        <w:t>（7）</w:t>
      </w:r>
      <w:r>
        <w:rPr>
          <w:color w:val="auto"/>
          <w:highlight w:val="none"/>
        </w:rPr>
        <w:t>户内厨房设排油烟机，统一排至专用烟道后高空排放。</w:t>
      </w:r>
    </w:p>
    <w:p w14:paraId="2897D5DB">
      <w:pPr>
        <w:pStyle w:val="6"/>
        <w:rPr>
          <w:rFonts w:ascii="Times New Roman" w:hAnsi="Times New Roman"/>
          <w:color w:val="auto"/>
          <w:highlight w:val="none"/>
        </w:rPr>
      </w:pPr>
      <w:r>
        <w:rPr>
          <w:rFonts w:hint="eastAsia" w:ascii="Times New Roman" w:hAnsi="Times New Roman"/>
          <w:color w:val="auto"/>
          <w:highlight w:val="none"/>
        </w:rPr>
        <w:t>（8）楼房仓采用机械通风系统。系统按通风降温要求设计，通风均匀，操作管理方便。</w:t>
      </w:r>
    </w:p>
    <w:p w14:paraId="54174802">
      <w:pPr>
        <w:rPr>
          <w:color w:val="auto"/>
          <w:highlight w:val="none"/>
        </w:rPr>
      </w:pPr>
      <w:r>
        <w:rPr>
          <w:rFonts w:hint="eastAsia"/>
          <w:color w:val="auto"/>
          <w:highlight w:val="none"/>
        </w:rPr>
        <w:t>（9）本粮库采用环流熏蒸方式。仓库门、窗、洞孔及管线密闭。与熏蒸剂接触的部件应耐熏蒸剂腐蚀。整仓气密应满足仓内气压从1000帕降至500帕的压力半衰期大于120秒。环流熏蒸系统管道利用通风系统的网路。仓外管道接口密闭。</w:t>
      </w:r>
    </w:p>
    <w:p w14:paraId="40A3A4F9">
      <w:pPr>
        <w:rPr>
          <w:color w:val="auto"/>
          <w:highlight w:val="none"/>
        </w:rPr>
      </w:pPr>
      <w:r>
        <w:rPr>
          <w:rFonts w:hint="eastAsia"/>
          <w:color w:val="auto"/>
          <w:highlight w:val="none"/>
        </w:rPr>
        <w:t>（10）户外卫生间、电梯机房、消防泵房、高、低压室及柴油发电机房设机械排风系统，由侧壁式通风换气扇或吸顶式房间通风器机械排风。高、低压室及柴油发电机房采用方形壁式轴流风机机械排风强制通风换气。</w:t>
      </w:r>
    </w:p>
    <w:p w14:paraId="4EED51B7">
      <w:pPr>
        <w:rPr>
          <w:color w:val="auto"/>
          <w:highlight w:val="none"/>
        </w:rPr>
      </w:pPr>
      <w:r>
        <w:rPr>
          <w:rFonts w:hint="eastAsia"/>
          <w:color w:val="auto"/>
          <w:highlight w:val="none"/>
        </w:rPr>
        <w:t>3、防排烟系统</w:t>
      </w:r>
    </w:p>
    <w:p w14:paraId="0CD31A77">
      <w:pPr>
        <w:rPr>
          <w:color w:val="auto"/>
          <w:highlight w:val="none"/>
        </w:rPr>
      </w:pPr>
      <w:r>
        <w:rPr>
          <w:rFonts w:hint="eastAsia"/>
          <w:color w:val="auto"/>
          <w:highlight w:val="none"/>
        </w:rPr>
        <w:t>（1）排烟系统排烟风机前均安装280℃防火阀，当排烟温度达到280℃时，防火阀关闭，同时联动关闭相关的排烟风机及补风机。</w:t>
      </w:r>
    </w:p>
    <w:p w14:paraId="4B557743">
      <w:pPr>
        <w:rPr>
          <w:color w:val="auto"/>
          <w:highlight w:val="none"/>
        </w:rPr>
      </w:pPr>
      <w:r>
        <w:rPr>
          <w:rFonts w:hint="eastAsia"/>
          <w:color w:val="auto"/>
          <w:highlight w:val="none"/>
        </w:rPr>
        <w:t>（2）火灾时所有与消防无关的通风、空调机全部停机，所有防排烟风机的运行状态应在消防控制室集中控制并有灯光显示。</w:t>
      </w:r>
    </w:p>
    <w:p w14:paraId="514AC465">
      <w:pPr>
        <w:rPr>
          <w:color w:val="auto"/>
          <w:highlight w:val="none"/>
        </w:rPr>
      </w:pPr>
      <w:r>
        <w:rPr>
          <w:rFonts w:hint="eastAsia"/>
          <w:color w:val="auto"/>
          <w:highlight w:val="none"/>
        </w:rPr>
        <w:t>（3）排烟管穿越防火分区处用耐火极限不低于2h的防火板包裹。</w:t>
      </w:r>
    </w:p>
    <w:p w14:paraId="6E93B532">
      <w:pPr>
        <w:rPr>
          <w:color w:val="auto"/>
          <w:highlight w:val="none"/>
        </w:rPr>
      </w:pPr>
      <w:r>
        <w:rPr>
          <w:rFonts w:hint="eastAsia"/>
          <w:color w:val="auto"/>
          <w:highlight w:val="none"/>
        </w:rPr>
        <w:t>（4）管道井与房间、走道等连通的孔洞，其空隙采用不燃材料填塞密实。建筑管道井每隔2～3层在楼板处用相当于楼板耐火极限的不燃材料做防火分隔。</w:t>
      </w:r>
    </w:p>
    <w:p w14:paraId="73804606">
      <w:pPr>
        <w:rPr>
          <w:color w:val="auto"/>
          <w:highlight w:val="none"/>
        </w:rPr>
      </w:pPr>
      <w:r>
        <w:rPr>
          <w:rFonts w:hint="eastAsia"/>
          <w:color w:val="auto"/>
          <w:highlight w:val="none"/>
        </w:rPr>
        <w:t>（5）不能满足自然排烟要求的房间和内走道设机械排烟系统。</w:t>
      </w:r>
    </w:p>
    <w:p w14:paraId="13F217DF">
      <w:pPr>
        <w:rPr>
          <w:color w:val="auto"/>
          <w:highlight w:val="none"/>
        </w:rPr>
      </w:pPr>
      <w:r>
        <w:rPr>
          <w:rFonts w:hint="eastAsia"/>
          <w:color w:val="auto"/>
          <w:highlight w:val="none"/>
        </w:rPr>
        <w:t>（6）成品库房采用机械排烟，系统包含排烟口、排烟风道、排烟风机、管道阀门、抗震支吊架等部件，排烟风机设于专用排烟机房内。火灾时开启相应防烟分区的排烟设施迅速排除室内高温烟气，为人员疏散创造有利环境。</w:t>
      </w:r>
    </w:p>
    <w:p w14:paraId="161A34C5">
      <w:pPr>
        <w:rPr>
          <w:color w:val="auto"/>
          <w:highlight w:val="none"/>
        </w:rPr>
      </w:pPr>
      <w:r>
        <w:rPr>
          <w:rFonts w:hint="eastAsia"/>
          <w:color w:val="auto"/>
          <w:highlight w:val="none"/>
        </w:rPr>
        <w:t>（7）其他：所有防排烟机、排烟口（阀）、多叶加压风口均能电动开启，也能就地手动开启，并在消防控制中心显示启闭信号。安装在吊顶内的排烟风管采用50mm厚不燃超细玻璃棉进行隔热。满足自然排烟条件的防烟楼梯间分别设正压送风系统。</w:t>
      </w:r>
    </w:p>
    <w:p w14:paraId="62686A0A">
      <w:pPr>
        <w:pStyle w:val="5"/>
        <w:spacing w:before="120" w:after="120"/>
        <w:rPr>
          <w:color w:val="auto"/>
          <w:highlight w:val="none"/>
        </w:rPr>
      </w:pPr>
      <w:bookmarkStart w:id="318" w:name="_Toc29167"/>
      <w:bookmarkStart w:id="319" w:name="_Toc23708"/>
      <w:bookmarkStart w:id="320" w:name="_Toc11935"/>
      <w:bookmarkStart w:id="321" w:name="_Toc4433"/>
      <w:bookmarkStart w:id="322" w:name="_Toc23195"/>
      <w:bookmarkStart w:id="323" w:name="_Toc22421"/>
      <w:bookmarkStart w:id="324" w:name="_Toc22520"/>
      <w:r>
        <w:rPr>
          <w:rFonts w:hint="eastAsia"/>
          <w:color w:val="auto"/>
          <w:highlight w:val="none"/>
        </w:rPr>
        <w:t>3.3</w:t>
      </w:r>
      <w:r>
        <w:rPr>
          <w:color w:val="auto"/>
          <w:highlight w:val="none"/>
        </w:rPr>
        <w:t>.1</w:t>
      </w:r>
      <w:r>
        <w:rPr>
          <w:rFonts w:hint="eastAsia"/>
          <w:color w:val="auto"/>
          <w:highlight w:val="none"/>
        </w:rPr>
        <w:t>3厨房和食堂</w:t>
      </w:r>
      <w:bookmarkEnd w:id="318"/>
      <w:bookmarkEnd w:id="319"/>
      <w:bookmarkEnd w:id="320"/>
      <w:bookmarkEnd w:id="321"/>
      <w:bookmarkEnd w:id="322"/>
      <w:r>
        <w:rPr>
          <w:rFonts w:hint="eastAsia"/>
          <w:color w:val="auto"/>
          <w:highlight w:val="none"/>
        </w:rPr>
        <w:t>设计要求</w:t>
      </w:r>
      <w:bookmarkEnd w:id="323"/>
      <w:bookmarkEnd w:id="324"/>
    </w:p>
    <w:p w14:paraId="0DCC7EDE">
      <w:pPr>
        <w:rPr>
          <w:color w:val="auto"/>
          <w:highlight w:val="none"/>
        </w:rPr>
      </w:pPr>
      <w:r>
        <w:rPr>
          <w:rFonts w:hint="eastAsia"/>
          <w:color w:val="auto"/>
          <w:highlight w:val="none"/>
        </w:rPr>
        <w:t xml:space="preserve"> 食堂包括餐厅、厨房及附属用房（主副食加工间、主副食库、冷库等）。</w:t>
      </w:r>
    </w:p>
    <w:p w14:paraId="333A7F72">
      <w:pPr>
        <w:rPr>
          <w:color w:val="auto"/>
          <w:highlight w:val="none"/>
        </w:rPr>
      </w:pPr>
      <w:r>
        <w:rPr>
          <w:rFonts w:hint="eastAsia"/>
          <w:color w:val="auto"/>
          <w:highlight w:val="none"/>
        </w:rPr>
        <w:t>（1）食堂设置应远离排泄物、污水槽、垃圾收集站。</w:t>
      </w:r>
    </w:p>
    <w:p w14:paraId="15224D17">
      <w:pPr>
        <w:rPr>
          <w:color w:val="auto"/>
          <w:highlight w:val="none"/>
        </w:rPr>
      </w:pPr>
      <w:r>
        <w:rPr>
          <w:rFonts w:hint="eastAsia"/>
          <w:color w:val="auto"/>
          <w:highlight w:val="none"/>
        </w:rPr>
        <w:t>（2）设计需考虑配置基本设备，如厨房排烟系统、冰柜及大件厨具、就餐餐具、就餐桌椅、灶具等。</w:t>
      </w:r>
    </w:p>
    <w:p w14:paraId="6875F750">
      <w:pPr>
        <w:rPr>
          <w:color w:val="auto"/>
          <w:highlight w:val="none"/>
        </w:rPr>
      </w:pPr>
      <w:r>
        <w:rPr>
          <w:rFonts w:hint="eastAsia"/>
          <w:color w:val="auto"/>
          <w:highlight w:val="none"/>
        </w:rPr>
        <w:t>（3）</w:t>
      </w:r>
      <w:r>
        <w:rPr>
          <w:color w:val="auto"/>
          <w:highlight w:val="none"/>
        </w:rPr>
        <w:t>厨房区域降板关系应满足走管走线及清洁的要求，并在土建设计阶段预留排油烟井，空调预留接口等条件，后续技术要求以初步设计阶段提供的专项设计要求为准。</w:t>
      </w:r>
    </w:p>
    <w:p w14:paraId="750EC022">
      <w:pPr>
        <w:pStyle w:val="5"/>
        <w:spacing w:before="120" w:after="120"/>
        <w:rPr>
          <w:color w:val="auto"/>
          <w:highlight w:val="none"/>
        </w:rPr>
      </w:pPr>
      <w:r>
        <w:rPr>
          <w:rFonts w:hint="eastAsia"/>
          <w:color w:val="auto"/>
          <w:highlight w:val="none"/>
        </w:rPr>
        <w:t xml:space="preserve"> </w:t>
      </w:r>
      <w:bookmarkStart w:id="325" w:name="_Toc22549"/>
      <w:bookmarkStart w:id="326" w:name="_Toc7967"/>
      <w:r>
        <w:rPr>
          <w:rFonts w:hint="eastAsia"/>
          <w:color w:val="auto"/>
          <w:highlight w:val="none"/>
        </w:rPr>
        <w:t>3.3.14无障碍设计要求</w:t>
      </w:r>
      <w:bookmarkEnd w:id="325"/>
      <w:bookmarkEnd w:id="326"/>
    </w:p>
    <w:p w14:paraId="58AC750F">
      <w:pPr>
        <w:rPr>
          <w:color w:val="auto"/>
          <w:highlight w:val="none"/>
        </w:rPr>
      </w:pPr>
      <w:r>
        <w:rPr>
          <w:rFonts w:hint="eastAsia"/>
          <w:color w:val="auto"/>
          <w:highlight w:val="none"/>
        </w:rPr>
        <w:t>无相关要求。</w:t>
      </w:r>
    </w:p>
    <w:p w14:paraId="751E0810">
      <w:pPr>
        <w:pStyle w:val="5"/>
        <w:spacing w:before="120" w:after="120"/>
        <w:rPr>
          <w:color w:val="auto"/>
          <w:highlight w:val="none"/>
        </w:rPr>
      </w:pPr>
      <w:bookmarkStart w:id="327" w:name="_Toc10322"/>
      <w:bookmarkStart w:id="328" w:name="_Toc19542"/>
      <w:r>
        <w:rPr>
          <w:rFonts w:hint="eastAsia"/>
          <w:color w:val="auto"/>
          <w:highlight w:val="none"/>
        </w:rPr>
        <w:t>3.3.15其它设计要求</w:t>
      </w:r>
      <w:bookmarkEnd w:id="315"/>
      <w:bookmarkEnd w:id="327"/>
      <w:bookmarkEnd w:id="328"/>
    </w:p>
    <w:p w14:paraId="556AD15E">
      <w:pPr>
        <w:rPr>
          <w:rFonts w:hint="eastAsia" w:ascii="宋体" w:hAnsi="宋体" w:cs="宋体"/>
          <w:snapToGrid w:val="0"/>
          <w:color w:val="auto"/>
          <w:szCs w:val="21"/>
          <w:highlight w:val="none"/>
        </w:rPr>
      </w:pPr>
      <w:r>
        <w:rPr>
          <w:rFonts w:hint="eastAsia" w:ascii="宋体" w:hAnsi="宋体" w:cs="宋体"/>
          <w:snapToGrid w:val="0"/>
          <w:color w:val="auto"/>
          <w:szCs w:val="21"/>
          <w:highlight w:val="none"/>
        </w:rPr>
        <w:t>（1）项目前期摸查报告编制。报告包含但不限于项目概况、项目现状、周边市政条件、报批报建工作进展、勘察设计工作进展、建设工作界面、勘察设计工作计划、存在的问题及相关建议等内容，前期摸查报告需经甲方审核通过后视为完成。</w:t>
      </w:r>
    </w:p>
    <w:p w14:paraId="146F1ECD">
      <w:pPr>
        <w:rPr>
          <w:rFonts w:hint="eastAsia" w:ascii="宋体" w:hAnsi="宋体" w:cs="宋体"/>
          <w:color w:val="auto"/>
          <w:szCs w:val="21"/>
          <w:highlight w:val="none"/>
        </w:rPr>
      </w:pPr>
      <w:r>
        <w:rPr>
          <w:rFonts w:hint="eastAsia" w:ascii="宋体" w:hAnsi="宋体" w:cs="宋体"/>
          <w:color w:val="auto"/>
          <w:szCs w:val="21"/>
          <w:highlight w:val="none"/>
        </w:rPr>
        <w:t>（2）幕墙设计（如有），须进行技术方案比选分析。</w:t>
      </w:r>
    </w:p>
    <w:p w14:paraId="3FDD4C23">
      <w:pPr>
        <w:rPr>
          <w:rFonts w:hint="eastAsia" w:ascii="宋体" w:hAnsi="宋体" w:cs="宋体"/>
          <w:color w:val="auto"/>
          <w:szCs w:val="21"/>
          <w:highlight w:val="none"/>
        </w:rPr>
      </w:pPr>
      <w:r>
        <w:rPr>
          <w:rFonts w:hint="eastAsia" w:ascii="宋体" w:hAnsi="宋体" w:cs="宋体"/>
          <w:color w:val="auto"/>
          <w:szCs w:val="21"/>
          <w:highlight w:val="none"/>
        </w:rPr>
        <w:t>（3）防雷设计，须进行技术方案比选分析。</w:t>
      </w:r>
    </w:p>
    <w:p w14:paraId="15562664">
      <w:pPr>
        <w:rPr>
          <w:rFonts w:hint="eastAsia" w:ascii="宋体" w:hAnsi="宋体" w:cs="宋体"/>
          <w:snapToGrid w:val="0"/>
          <w:color w:val="auto"/>
          <w:szCs w:val="21"/>
          <w:highlight w:val="none"/>
        </w:rPr>
      </w:pPr>
      <w:r>
        <w:rPr>
          <w:rFonts w:hint="eastAsia" w:ascii="宋体" w:hAnsi="宋体" w:cs="宋体"/>
          <w:snapToGrid w:val="0"/>
          <w:color w:val="auto"/>
          <w:szCs w:val="21"/>
          <w:highlight w:val="none"/>
        </w:rPr>
        <w:t>（4）建筑节能新技术的应用及设计</w:t>
      </w:r>
      <w:r>
        <w:rPr>
          <w:rFonts w:hint="eastAsia" w:ascii="宋体" w:hAnsi="宋体" w:cs="宋体"/>
          <w:color w:val="auto"/>
          <w:szCs w:val="21"/>
          <w:highlight w:val="none"/>
        </w:rPr>
        <w:t>，须进行技术方案比选分析。</w:t>
      </w:r>
    </w:p>
    <w:p w14:paraId="61DDE699">
      <w:pPr>
        <w:rPr>
          <w:rFonts w:hint="eastAsia" w:ascii="宋体" w:hAnsi="宋体" w:cs="宋体"/>
          <w:color w:val="auto"/>
          <w:szCs w:val="21"/>
          <w:highlight w:val="none"/>
        </w:rPr>
      </w:pPr>
      <w:r>
        <w:rPr>
          <w:rFonts w:hint="eastAsia" w:ascii="宋体" w:hAnsi="宋体" w:cs="宋体"/>
          <w:color w:val="auto"/>
          <w:szCs w:val="21"/>
          <w:highlight w:val="none"/>
        </w:rPr>
        <w:t>（5）标识导引系统设计（按照任务书或项目承建单位制定的范围进行设计）：设计单位在方案、初步设计中以单独篇章提交标志标识系统设计成果。</w:t>
      </w:r>
    </w:p>
    <w:p w14:paraId="0C77C499">
      <w:pPr>
        <w:rPr>
          <w:rFonts w:hint="eastAsia" w:ascii="宋体" w:hAnsi="宋体" w:cs="宋体"/>
          <w:snapToGrid w:val="0"/>
          <w:color w:val="auto"/>
          <w:szCs w:val="21"/>
          <w:highlight w:val="none"/>
        </w:rPr>
      </w:pPr>
      <w:r>
        <w:rPr>
          <w:rFonts w:hint="eastAsia" w:ascii="宋体" w:hAnsi="宋体" w:cs="宋体"/>
          <w:color w:val="auto"/>
          <w:szCs w:val="21"/>
          <w:highlight w:val="none"/>
        </w:rPr>
        <w:t>（6）管线综合平衡设计：各种专业设备、系统的管线在建筑物内、外的路由平衡设计，进行技术方案比选分析，所有管线不同平面、剖面画出具体定位，画至末端。</w:t>
      </w:r>
    </w:p>
    <w:p w14:paraId="7D9E95EC">
      <w:pPr>
        <w:rPr>
          <w:rFonts w:hint="eastAsia" w:ascii="宋体" w:hAnsi="宋体" w:cs="宋体"/>
          <w:snapToGrid w:val="0"/>
          <w:color w:val="auto"/>
          <w:szCs w:val="21"/>
          <w:highlight w:val="none"/>
        </w:rPr>
      </w:pPr>
      <w:r>
        <w:rPr>
          <w:rFonts w:hint="eastAsia" w:ascii="宋体" w:hAnsi="宋体" w:cs="宋体"/>
          <w:snapToGrid w:val="0"/>
          <w:color w:val="auto"/>
          <w:szCs w:val="21"/>
          <w:highlight w:val="none"/>
        </w:rPr>
        <w:t>（7）若采用自主创新、自主知识产权的新型产品，应在项目可行性研究报告报送前，提交专题方案比较论证报告报招标人确认，可行性研究报告中应有明确采购自主创新产品的具体要求。</w:t>
      </w:r>
    </w:p>
    <w:p w14:paraId="6DEE1815">
      <w:pPr>
        <w:rPr>
          <w:rFonts w:hint="eastAsia" w:ascii="宋体" w:hAnsi="宋体" w:cs="宋体"/>
          <w:snapToGrid w:val="0"/>
          <w:color w:val="auto"/>
          <w:szCs w:val="21"/>
          <w:highlight w:val="none"/>
        </w:rPr>
      </w:pPr>
      <w:r>
        <w:rPr>
          <w:rFonts w:hint="eastAsia" w:ascii="宋体" w:hAnsi="宋体" w:cs="宋体"/>
          <w:snapToGrid w:val="0"/>
          <w:color w:val="auto"/>
          <w:szCs w:val="21"/>
          <w:highlight w:val="none"/>
        </w:rPr>
        <w:t>（8）建筑机电抗震设计，依据《建筑机电工程抗震设计规范》（GB50981-2014）的规定，抗震设计烈度为6度及6度以上地区的建筑机电工程必须进行抗震设计。嗯</w:t>
      </w:r>
      <w:r>
        <w:rPr>
          <w:rFonts w:hint="eastAsia"/>
          <w:color w:val="auto"/>
          <w:highlight w:val="none"/>
        </w:rPr>
        <w:t>项目场址抗震设防烈度为7度，</w:t>
      </w:r>
      <w:r>
        <w:rPr>
          <w:rFonts w:hint="eastAsia" w:ascii="宋体" w:hAnsi="宋体" w:cs="宋体"/>
          <w:snapToGrid w:val="0"/>
          <w:color w:val="auto"/>
          <w:szCs w:val="21"/>
          <w:highlight w:val="none"/>
        </w:rPr>
        <w:t>因此，本项目需进行建筑机电工程抗震设计。</w:t>
      </w:r>
    </w:p>
    <w:p w14:paraId="73C348AD">
      <w:pPr>
        <w:rPr>
          <w:rFonts w:hint="eastAsia" w:ascii="宋体" w:hAnsi="宋体" w:cs="宋体"/>
          <w:snapToGrid w:val="0"/>
          <w:color w:val="auto"/>
          <w:szCs w:val="21"/>
          <w:highlight w:val="none"/>
        </w:rPr>
      </w:pPr>
      <w:r>
        <w:rPr>
          <w:rFonts w:hint="eastAsia" w:ascii="宋体" w:hAnsi="宋体" w:cs="宋体"/>
          <w:snapToGrid w:val="0"/>
          <w:color w:val="auto"/>
          <w:szCs w:val="21"/>
          <w:highlight w:val="none"/>
        </w:rPr>
        <w:t>（9）土石方工程，边坡防护、土方平衡设计。应符合《建筑施工土石方工程安全技术规范》（JGJ180-2009）、《建筑边坡工程技术规范》（GB 50330-2013）、《建筑地基处理技术规范》（JGJ79-2012）。</w:t>
      </w:r>
    </w:p>
    <w:p w14:paraId="58842E6F">
      <w:pPr>
        <w:rPr>
          <w:color w:val="auto"/>
          <w:highlight w:val="none"/>
        </w:rPr>
      </w:pPr>
      <w:r>
        <w:rPr>
          <w:rFonts w:hint="eastAsia" w:ascii="宋体" w:hAnsi="宋体" w:cs="宋体"/>
          <w:snapToGrid w:val="0"/>
          <w:color w:val="auto"/>
          <w:szCs w:val="21"/>
          <w:highlight w:val="none"/>
        </w:rPr>
        <w:t>（10）</w:t>
      </w:r>
      <w:r>
        <w:rPr>
          <w:rFonts w:hint="eastAsia"/>
          <w:color w:val="auto"/>
          <w:highlight w:val="none"/>
        </w:rPr>
        <w:t>防洪排涝工程。</w:t>
      </w:r>
      <w:r>
        <w:rPr>
          <w:rFonts w:hint="eastAsia" w:ascii="宋体" w:hAnsi="宋体" w:cs="宋体"/>
          <w:snapToGrid w:val="0"/>
          <w:color w:val="auto"/>
          <w:szCs w:val="21"/>
          <w:highlight w:val="none"/>
        </w:rPr>
        <w:t>防洪排涝为保障超过城市防洪标准的洪涝灾害发生时具备应急防涝排涝能力，建议在条件允许的情况下，地下停车库出入口增设闭合挡水槛、防水闸或加设车道顶盖。地下室通风口、排水管道设置防止涝水倒灌措施或封堵装置，同时加大地下室集水坑和水泵排水能力。</w:t>
      </w:r>
      <w:r>
        <w:rPr>
          <w:rFonts w:hint="eastAsia"/>
          <w:color w:val="auto"/>
          <w:highlight w:val="none"/>
        </w:rPr>
        <w:t>项目地势相对较高，无外水汇入，重点考虑周边丘陵上体及建设用地汇水。项目场址东南侧有低矮的丘陵山地，滑坡和山洪对项目场址影响不大，但是为了有效防止山洪可能带来的不利影响，建议进行排洪沟渠建设，以引导雨季山水的流向，降低山洪可能带来的不利影响。</w:t>
      </w:r>
    </w:p>
    <w:p w14:paraId="04D5B52A">
      <w:pPr>
        <w:rPr>
          <w:color w:val="auto"/>
          <w:highlight w:val="none"/>
        </w:rPr>
      </w:pPr>
      <w:r>
        <w:rPr>
          <w:rFonts w:hint="eastAsia"/>
          <w:color w:val="auto"/>
          <w:highlight w:val="none"/>
        </w:rPr>
        <w:t>（11）围墙和大门工程。围墙工程需要建设具有监控、防御功能的通透围墙，与项目整体环境相适应，相协调，并且结合景观装饰墙面和围墙样式做法采取艺术手段达到景观效果；大门工程需按照管理需求对大门进行建设，达到建筑和管理效果。大门需要建设具有监控、防御、自动化功能。</w:t>
      </w:r>
    </w:p>
    <w:p w14:paraId="73DE1489">
      <w:pPr>
        <w:rPr>
          <w:color w:val="auto"/>
          <w:highlight w:val="none"/>
        </w:rPr>
      </w:pPr>
      <w:r>
        <w:rPr>
          <w:rFonts w:hint="eastAsia"/>
          <w:color w:val="auto"/>
          <w:highlight w:val="none"/>
        </w:rPr>
        <w:t>（12）海绵城市设计：设计方案需落实海绵城市设计，满足《海绵城市建设评价标准》（GB/T 51345-2018)《广州市水务局关于深化广州市建设工程项目联审决策建设方案海绵城市专项编制的函》、《广州市海绵城市建设专篇编制要点》、《广州市建设项目海绵城市建设管控指标分类指引（试行）》等相关文件的要求。</w:t>
      </w:r>
    </w:p>
    <w:p w14:paraId="00660DE4">
      <w:pPr>
        <w:rPr>
          <w:color w:val="auto"/>
          <w:highlight w:val="none"/>
        </w:rPr>
      </w:pPr>
      <w:r>
        <w:rPr>
          <w:rFonts w:hint="eastAsia"/>
          <w:color w:val="auto"/>
          <w:highlight w:val="none"/>
        </w:rPr>
        <w:t>（13）绿色建筑：</w:t>
      </w:r>
      <w:r>
        <w:rPr>
          <w:rFonts w:hint="eastAsia" w:ascii="宋体" w:hAnsi="宋体" w:cs="宋体"/>
          <w:color w:val="auto"/>
          <w:highlight w:val="none"/>
        </w:rPr>
        <w:t>根据项目建议书，除办公楼需按</w:t>
      </w:r>
      <w:r>
        <w:rPr>
          <w:rFonts w:hint="eastAsia"/>
          <w:color w:val="auto"/>
          <w:highlight w:val="none"/>
        </w:rPr>
        <w:t>绿色建筑一星进行合计外，其他无绿色建筑要求。最终绿建要求以批复的可行性研究报告为准。。</w:t>
      </w:r>
    </w:p>
    <w:p w14:paraId="36DEBC59">
      <w:pPr>
        <w:rPr>
          <w:color w:val="auto"/>
          <w:highlight w:val="none"/>
        </w:rPr>
      </w:pPr>
      <w:r>
        <w:rPr>
          <w:rFonts w:hint="eastAsia"/>
          <w:color w:val="auto"/>
          <w:highlight w:val="none"/>
        </w:rPr>
        <w:t>（14）有关场地树木保护内容设计：设计单位需在方案、初步设计、施工图各阶段结合树木保护专章内容，统筹考虑项目方案实施的科学、合理性。</w:t>
      </w:r>
    </w:p>
    <w:p w14:paraId="5C94129E">
      <w:pPr>
        <w:rPr>
          <w:color w:val="auto"/>
          <w:highlight w:val="none"/>
        </w:rPr>
      </w:pPr>
      <w:r>
        <w:rPr>
          <w:rFonts w:hint="eastAsia"/>
          <w:color w:val="auto"/>
          <w:highlight w:val="none"/>
        </w:rPr>
        <w:t>（15）粮仓工艺流程设计：需按照相关规范要求进行设计，功能布置适宜、流线合理，结构经济安全，造价控制合理。</w:t>
      </w:r>
    </w:p>
    <w:p w14:paraId="066E3920">
      <w:pPr>
        <w:rPr>
          <w:color w:val="auto"/>
          <w:highlight w:val="none"/>
        </w:rPr>
      </w:pPr>
      <w:r>
        <w:rPr>
          <w:rFonts w:hint="eastAsia"/>
          <w:color w:val="auto"/>
          <w:highlight w:val="none"/>
        </w:rPr>
        <w:t>（16）场地设计要求：需综合考虑项目特殊性，在整体环境设计时充分考虑项目整体性</w:t>
      </w:r>
      <w:r>
        <w:rPr>
          <w:rFonts w:hint="eastAsia"/>
          <w:color w:val="auto"/>
          <w:highlight w:val="none"/>
          <w:lang w:val="en-US" w:eastAsia="zh-CN"/>
        </w:rPr>
        <w:t>（统筹考虑河涌整治提升及桥梁效果）</w:t>
      </w:r>
      <w:r>
        <w:rPr>
          <w:rFonts w:hint="eastAsia"/>
          <w:color w:val="auto"/>
          <w:highlight w:val="none"/>
        </w:rPr>
        <w:t>，在空间布局设计时充分考虑使用独立性。</w:t>
      </w:r>
    </w:p>
    <w:p w14:paraId="3D93D9C6">
      <w:pPr>
        <w:rPr>
          <w:color w:val="auto"/>
          <w:highlight w:val="none"/>
        </w:rPr>
      </w:pPr>
      <w:r>
        <w:rPr>
          <w:rFonts w:hint="eastAsia"/>
          <w:color w:val="auto"/>
          <w:highlight w:val="none"/>
        </w:rPr>
        <w:t>（17）技术配合工作：招标人后续各类招标工作配合、施工配合、现场服务、竣工图编制配合服务、控制性详细规划调整配合(如有)、协助各类报建工作等。</w:t>
      </w:r>
    </w:p>
    <w:p w14:paraId="1AC909D8">
      <w:pPr>
        <w:pStyle w:val="4"/>
        <w:spacing w:before="120" w:after="120"/>
        <w:rPr>
          <w:color w:val="auto"/>
          <w:highlight w:val="none"/>
        </w:rPr>
      </w:pPr>
      <w:bookmarkStart w:id="329" w:name="_Toc2984"/>
      <w:bookmarkStart w:id="330" w:name="_Toc30327"/>
      <w:bookmarkStart w:id="331" w:name="_Toc17622"/>
      <w:bookmarkStart w:id="332" w:name="_Toc30829_WPSOffice_Level2"/>
      <w:bookmarkStart w:id="333" w:name="_Toc12627"/>
      <w:bookmarkStart w:id="334" w:name="_Toc32064"/>
      <w:bookmarkStart w:id="335" w:name="_Toc9725"/>
      <w:r>
        <w:rPr>
          <w:rFonts w:hint="eastAsia"/>
          <w:color w:val="auto"/>
          <w:highlight w:val="none"/>
        </w:rPr>
        <w:t>3.4造价工作要求</w:t>
      </w:r>
      <w:bookmarkEnd w:id="329"/>
      <w:bookmarkEnd w:id="330"/>
      <w:bookmarkEnd w:id="331"/>
      <w:bookmarkEnd w:id="332"/>
      <w:bookmarkEnd w:id="333"/>
      <w:bookmarkEnd w:id="334"/>
      <w:bookmarkEnd w:id="335"/>
    </w:p>
    <w:p w14:paraId="6D0ADA9F">
      <w:pPr>
        <w:pStyle w:val="5"/>
        <w:spacing w:before="120" w:after="120"/>
        <w:rPr>
          <w:color w:val="auto"/>
          <w:highlight w:val="none"/>
        </w:rPr>
      </w:pPr>
      <w:bookmarkStart w:id="336" w:name="_Toc1890"/>
      <w:bookmarkStart w:id="337" w:name="_Toc31033"/>
      <w:bookmarkStart w:id="338" w:name="_Toc29502"/>
      <w:r>
        <w:rPr>
          <w:rFonts w:hint="eastAsia"/>
          <w:color w:val="auto"/>
          <w:highlight w:val="none"/>
        </w:rPr>
        <w:t>3.4.1造价文件编制及报审工作</w:t>
      </w:r>
      <w:bookmarkEnd w:id="336"/>
      <w:bookmarkEnd w:id="337"/>
      <w:bookmarkEnd w:id="338"/>
    </w:p>
    <w:p w14:paraId="378218BD">
      <w:pPr>
        <w:rPr>
          <w:color w:val="auto"/>
          <w:highlight w:val="none"/>
        </w:rPr>
      </w:pPr>
      <w:r>
        <w:rPr>
          <w:rFonts w:hint="eastAsia"/>
          <w:color w:val="auto"/>
          <w:highlight w:val="none"/>
        </w:rPr>
        <w:t>（1）编制合同设计范围内方案估算（按分</w:t>
      </w:r>
      <w:r>
        <w:rPr>
          <w:color w:val="auto"/>
          <w:highlight w:val="none"/>
        </w:rPr>
        <w:t>部</w:t>
      </w:r>
      <w:r>
        <w:rPr>
          <w:rFonts w:hint="eastAsia"/>
          <w:color w:val="auto"/>
          <w:highlight w:val="none"/>
        </w:rPr>
        <w:t>分项进行限额控制）、初步设计概算；</w:t>
      </w:r>
    </w:p>
    <w:p w14:paraId="0303233D">
      <w:pPr>
        <w:rPr>
          <w:color w:val="auto"/>
          <w:highlight w:val="none"/>
        </w:rPr>
      </w:pPr>
      <w:r>
        <w:rPr>
          <w:rFonts w:hint="eastAsia"/>
          <w:color w:val="auto"/>
          <w:highlight w:val="none"/>
        </w:rPr>
        <w:t>（2）负责配合初步设计概算送报审工作，概算送审总价不超过可研估算总价，并保证与行政主管部门概算批复的最终总价相比核减率不超过10%；</w:t>
      </w:r>
    </w:p>
    <w:p w14:paraId="3792B1C3">
      <w:pPr>
        <w:rPr>
          <w:color w:val="auto"/>
          <w:highlight w:val="none"/>
        </w:rPr>
      </w:pPr>
      <w:r>
        <w:rPr>
          <w:rFonts w:hint="eastAsia"/>
          <w:color w:val="auto"/>
          <w:highlight w:val="none"/>
        </w:rPr>
        <w:t>（3）负责配合预算编制工作</w:t>
      </w:r>
    </w:p>
    <w:p w14:paraId="6A66046F">
      <w:pPr>
        <w:rPr>
          <w:color w:val="auto"/>
          <w:highlight w:val="none"/>
        </w:rPr>
      </w:pPr>
      <w:r>
        <w:rPr>
          <w:rFonts w:hint="eastAsia"/>
          <w:color w:val="auto"/>
          <w:highlight w:val="none"/>
        </w:rPr>
        <w:t>（4）各设计阶段进行各类方案比选时编制造价分析材料，给出造价分析结论；施工阶段，编制设计变更预算及相应造价增减说明。</w:t>
      </w:r>
    </w:p>
    <w:p w14:paraId="37C4F0CA">
      <w:pPr>
        <w:rPr>
          <w:color w:val="auto"/>
          <w:highlight w:val="none"/>
        </w:rPr>
      </w:pPr>
      <w:r>
        <w:rPr>
          <w:rFonts w:hint="eastAsia"/>
          <w:color w:val="auto"/>
          <w:highlight w:val="none"/>
        </w:rPr>
        <w:t>（5）编制由设计单位发起设计变更的造价文件。</w:t>
      </w:r>
    </w:p>
    <w:p w14:paraId="0F391001">
      <w:pPr>
        <w:pStyle w:val="5"/>
        <w:spacing w:before="120" w:after="120"/>
        <w:rPr>
          <w:color w:val="auto"/>
          <w:highlight w:val="none"/>
        </w:rPr>
      </w:pPr>
      <w:bookmarkStart w:id="339" w:name="_Toc6649"/>
      <w:bookmarkStart w:id="340" w:name="_Toc15023"/>
      <w:bookmarkStart w:id="341" w:name="_Toc5279"/>
      <w:r>
        <w:rPr>
          <w:rFonts w:hint="eastAsia"/>
          <w:color w:val="auto"/>
          <w:highlight w:val="none"/>
        </w:rPr>
        <w:t>3.4.2 造价控制要求及工作要求</w:t>
      </w:r>
      <w:bookmarkEnd w:id="339"/>
      <w:bookmarkEnd w:id="340"/>
      <w:bookmarkEnd w:id="341"/>
    </w:p>
    <w:p w14:paraId="12D790A0">
      <w:pPr>
        <w:rPr>
          <w:rFonts w:hint="eastAsia" w:ascii="宋体" w:hAnsi="宋体" w:cs="宋体"/>
          <w:snapToGrid w:val="0"/>
          <w:color w:val="auto"/>
          <w:szCs w:val="21"/>
          <w:highlight w:val="none"/>
        </w:rPr>
      </w:pPr>
      <w:r>
        <w:rPr>
          <w:rFonts w:hint="eastAsia" w:ascii="宋体" w:hAnsi="宋体" w:cs="宋体"/>
          <w:snapToGrid w:val="0"/>
          <w:color w:val="auto"/>
          <w:szCs w:val="21"/>
          <w:highlight w:val="none"/>
        </w:rPr>
        <w:t>投标人除按合同要求做好工程投资控制外，还要做到以下要求：</w:t>
      </w:r>
    </w:p>
    <w:p w14:paraId="00516639">
      <w:pPr>
        <w:rPr>
          <w:rFonts w:hint="eastAsia" w:ascii="宋体" w:hAnsi="宋体" w:cs="宋体"/>
          <w:snapToGrid w:val="0"/>
          <w:color w:val="auto"/>
          <w:szCs w:val="21"/>
          <w:highlight w:val="none"/>
        </w:rPr>
      </w:pPr>
      <w:r>
        <w:rPr>
          <w:rFonts w:hint="eastAsia" w:ascii="宋体" w:hAnsi="宋体" w:cs="宋体"/>
          <w:snapToGrid w:val="0"/>
          <w:color w:val="auto"/>
          <w:szCs w:val="21"/>
          <w:highlight w:val="none"/>
        </w:rPr>
        <w:t>1．各阶段的造价文件编制需满足对应阶段造价文件深度要求。各阶段造价成果文件误差控制不超过±10%，（概算送审总价不超过可研估算总价，并保证与行政主管部门概算批复的最终总价相比核减率不超过10%）。</w:t>
      </w:r>
    </w:p>
    <w:p w14:paraId="24AFEBEB">
      <w:pPr>
        <w:rPr>
          <w:rFonts w:hint="eastAsia" w:ascii="宋体" w:hAnsi="宋体" w:cs="宋体"/>
          <w:snapToGrid w:val="0"/>
          <w:color w:val="auto"/>
          <w:szCs w:val="21"/>
          <w:highlight w:val="none"/>
        </w:rPr>
      </w:pPr>
      <w:r>
        <w:rPr>
          <w:rFonts w:hint="eastAsia" w:ascii="宋体" w:hAnsi="宋体" w:cs="宋体"/>
          <w:snapToGrid w:val="0"/>
          <w:color w:val="auto"/>
          <w:szCs w:val="21"/>
          <w:highlight w:val="none"/>
        </w:rPr>
        <w:t>2.投标人须根据</w:t>
      </w:r>
      <w:r>
        <w:rPr>
          <w:rFonts w:hint="eastAsia" w:ascii="宋体" w:hAnsi="宋体" w:cs="宋体"/>
          <w:snapToGrid w:val="0"/>
          <w:color w:val="auto"/>
          <w:kern w:val="0"/>
          <w:highlight w:val="none"/>
        </w:rPr>
        <w:t>招标人</w:t>
      </w:r>
      <w:r>
        <w:rPr>
          <w:rFonts w:hint="eastAsia" w:ascii="宋体" w:hAnsi="宋体" w:cs="宋体"/>
          <w:snapToGrid w:val="0"/>
          <w:color w:val="auto"/>
          <w:szCs w:val="21"/>
          <w:highlight w:val="none"/>
        </w:rPr>
        <w:t>的相关规定和要求进行工程设计概算的编制，概算文件中的开项必须与图纸完全对应和齐全完整，造价指标必须准确，须满足工程投资控制的要求。投标人编制的工程概算须同时满足</w:t>
      </w:r>
      <w:r>
        <w:rPr>
          <w:rFonts w:hint="eastAsia" w:ascii="宋体" w:hAnsi="宋体" w:cs="宋体"/>
          <w:snapToGrid w:val="0"/>
          <w:color w:val="auto"/>
          <w:kern w:val="0"/>
          <w:highlight w:val="none"/>
        </w:rPr>
        <w:t>招标人</w:t>
      </w:r>
      <w:r>
        <w:rPr>
          <w:rFonts w:hint="eastAsia" w:ascii="宋体" w:hAnsi="宋体" w:cs="宋体"/>
          <w:snapToGrid w:val="0"/>
          <w:color w:val="auto"/>
          <w:szCs w:val="21"/>
          <w:highlight w:val="none"/>
        </w:rPr>
        <w:t>信息化管理的相关要求。</w:t>
      </w:r>
    </w:p>
    <w:p w14:paraId="09C4382B">
      <w:pPr>
        <w:pStyle w:val="3"/>
        <w:spacing w:before="120" w:after="120"/>
        <w:rPr>
          <w:rFonts w:hint="eastAsia" w:ascii="宋体" w:hAnsi="宋体" w:eastAsia="宋体" w:cs="宋体"/>
          <w:color w:val="auto"/>
          <w:sz w:val="24"/>
          <w:szCs w:val="24"/>
          <w:highlight w:val="none"/>
        </w:rPr>
      </w:pPr>
      <w:r>
        <w:rPr>
          <w:rFonts w:hint="eastAsia" w:ascii="宋体" w:hAnsi="宋体" w:eastAsia="宋体" w:cs="宋体"/>
          <w:color w:val="auto"/>
          <w:highlight w:val="none"/>
        </w:rPr>
        <w:br w:type="page"/>
      </w:r>
      <w:bookmarkStart w:id="342" w:name="_Toc32341"/>
      <w:bookmarkStart w:id="343" w:name="_Toc26557"/>
      <w:bookmarkStart w:id="344" w:name="_Toc16577"/>
      <w:bookmarkStart w:id="345" w:name="_Toc24718_WPSOffice_Level1"/>
      <w:bookmarkStart w:id="346" w:name="_Toc21514"/>
      <w:bookmarkStart w:id="347" w:name="_Toc5763"/>
      <w:bookmarkStart w:id="348" w:name="_Toc11569"/>
      <w:bookmarkStart w:id="349" w:name="_Toc24057"/>
      <w:bookmarkStart w:id="350" w:name="_Toc8715"/>
      <w:r>
        <w:rPr>
          <w:rFonts w:hint="eastAsia" w:ascii="宋体" w:hAnsi="宋体" w:eastAsia="宋体" w:cs="宋体"/>
          <w:color w:val="auto"/>
          <w:highlight w:val="none"/>
        </w:rPr>
        <w:t>第四章  勘察设计人员组织要求</w:t>
      </w:r>
      <w:bookmarkEnd w:id="342"/>
      <w:bookmarkEnd w:id="343"/>
      <w:bookmarkEnd w:id="344"/>
      <w:bookmarkEnd w:id="345"/>
      <w:bookmarkEnd w:id="346"/>
      <w:bookmarkEnd w:id="347"/>
      <w:bookmarkEnd w:id="348"/>
      <w:bookmarkEnd w:id="349"/>
      <w:bookmarkEnd w:id="350"/>
    </w:p>
    <w:p w14:paraId="1C89EFCD">
      <w:pPr>
        <w:pStyle w:val="4"/>
        <w:spacing w:before="120" w:after="120"/>
        <w:rPr>
          <w:rFonts w:hint="eastAsia" w:ascii="宋体" w:hAnsi="宋体" w:eastAsia="宋体" w:cs="宋体"/>
          <w:b/>
          <w:bCs w:val="0"/>
          <w:color w:val="auto"/>
          <w:highlight w:val="none"/>
        </w:rPr>
      </w:pPr>
      <w:bookmarkStart w:id="351" w:name="_Toc20329"/>
      <w:bookmarkStart w:id="352" w:name="_Toc14049"/>
      <w:bookmarkStart w:id="353" w:name="_Toc25887_WPSOffice_Level2"/>
      <w:bookmarkStart w:id="354" w:name="_Toc23101"/>
      <w:bookmarkStart w:id="355" w:name="_Toc15898"/>
      <w:bookmarkStart w:id="356" w:name="_Toc14882"/>
      <w:r>
        <w:rPr>
          <w:rFonts w:hint="eastAsia" w:ascii="宋体" w:hAnsi="宋体" w:eastAsia="宋体" w:cs="宋体"/>
          <w:b/>
          <w:bCs w:val="0"/>
          <w:color w:val="auto"/>
          <w:highlight w:val="none"/>
        </w:rPr>
        <w:t>4.1设计人员组织管理</w:t>
      </w:r>
      <w:bookmarkEnd w:id="351"/>
      <w:bookmarkEnd w:id="352"/>
      <w:bookmarkEnd w:id="353"/>
      <w:bookmarkEnd w:id="354"/>
      <w:bookmarkEnd w:id="355"/>
      <w:bookmarkEnd w:id="356"/>
    </w:p>
    <w:p w14:paraId="63EA3291">
      <w:pPr>
        <w:rPr>
          <w:color w:val="auto"/>
          <w:highlight w:val="none"/>
        </w:rPr>
      </w:pPr>
      <w:r>
        <w:rPr>
          <w:rFonts w:hint="eastAsia"/>
          <w:color w:val="auto"/>
          <w:highlight w:val="none"/>
        </w:rPr>
        <w:t>1、为便于招标人与投标人及时沟通及协调，以保证投标人的设计成果文件能更好地体现招标人的建设意图，投标人应根据招标人的要求，分阶段在指定的地点投入本合同约定的专业人员、设备及设施，实施本合同工程的设计工作。</w:t>
      </w:r>
    </w:p>
    <w:p w14:paraId="755FE6C2">
      <w:pPr>
        <w:rPr>
          <w:color w:val="auto"/>
          <w:highlight w:val="none"/>
        </w:rPr>
      </w:pPr>
      <w:r>
        <w:rPr>
          <w:rFonts w:hint="eastAsia"/>
          <w:color w:val="auto"/>
          <w:highlight w:val="none"/>
        </w:rPr>
        <w:t>投标人应根据项目设计任务及工期要求建立项目组。有关设计人员要求详见表4-1。</w:t>
      </w:r>
    </w:p>
    <w:p w14:paraId="18651623">
      <w:pPr>
        <w:jc w:val="center"/>
        <w:rPr>
          <w:rFonts w:hint="eastAsia" w:ascii="宋体" w:hAnsi="宋体" w:cs="宋体"/>
          <w:snapToGrid w:val="0"/>
          <w:color w:val="auto"/>
          <w:szCs w:val="21"/>
          <w:highlight w:val="none"/>
        </w:rPr>
      </w:pPr>
      <w:r>
        <w:rPr>
          <w:rFonts w:hint="eastAsia" w:ascii="宋体" w:hAnsi="宋体" w:cs="宋体"/>
          <w:snapToGrid w:val="0"/>
          <w:color w:val="auto"/>
          <w:szCs w:val="21"/>
          <w:highlight w:val="none"/>
        </w:rPr>
        <w:t>表4-1  主要人员投入要求</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2889"/>
        <w:gridCol w:w="4463"/>
        <w:gridCol w:w="1219"/>
      </w:tblGrid>
      <w:tr w14:paraId="2E30A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tcBorders>
              <w:top w:val="single" w:color="auto" w:sz="4" w:space="0"/>
              <w:left w:val="single" w:color="auto" w:sz="4" w:space="0"/>
              <w:bottom w:val="single" w:color="auto" w:sz="4" w:space="0"/>
              <w:right w:val="single" w:color="auto" w:sz="4" w:space="0"/>
            </w:tcBorders>
            <w:vAlign w:val="center"/>
          </w:tcPr>
          <w:p w14:paraId="6B7FCA6B">
            <w:pPr>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序号</w:t>
            </w:r>
          </w:p>
        </w:tc>
        <w:tc>
          <w:tcPr>
            <w:tcW w:w="2889" w:type="dxa"/>
            <w:tcBorders>
              <w:top w:val="single" w:color="auto" w:sz="4" w:space="0"/>
              <w:left w:val="single" w:color="auto" w:sz="4" w:space="0"/>
              <w:bottom w:val="single" w:color="auto" w:sz="4" w:space="0"/>
              <w:right w:val="single" w:color="auto" w:sz="4" w:space="0"/>
            </w:tcBorders>
            <w:vAlign w:val="center"/>
          </w:tcPr>
          <w:p w14:paraId="3DF5D482">
            <w:pPr>
              <w:ind w:firstLine="0" w:firstLineChars="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专业分工</w:t>
            </w:r>
          </w:p>
        </w:tc>
        <w:tc>
          <w:tcPr>
            <w:tcW w:w="4463" w:type="dxa"/>
            <w:tcBorders>
              <w:top w:val="single" w:color="auto" w:sz="4" w:space="0"/>
              <w:left w:val="single" w:color="auto" w:sz="4" w:space="0"/>
              <w:bottom w:val="single" w:color="auto" w:sz="4" w:space="0"/>
              <w:right w:val="single" w:color="auto" w:sz="4" w:space="0"/>
            </w:tcBorders>
            <w:vAlign w:val="center"/>
          </w:tcPr>
          <w:p w14:paraId="1059C120">
            <w:pPr>
              <w:ind w:firstLine="0" w:firstLineChars="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专业、职称</w:t>
            </w:r>
          </w:p>
        </w:tc>
        <w:tc>
          <w:tcPr>
            <w:tcW w:w="1219" w:type="dxa"/>
            <w:tcBorders>
              <w:top w:val="single" w:color="auto" w:sz="4" w:space="0"/>
              <w:left w:val="single" w:color="auto" w:sz="4" w:space="0"/>
              <w:bottom w:val="single" w:color="auto" w:sz="4" w:space="0"/>
              <w:right w:val="single" w:color="auto" w:sz="4" w:space="0"/>
            </w:tcBorders>
            <w:vAlign w:val="center"/>
          </w:tcPr>
          <w:p w14:paraId="09096F16">
            <w:pPr>
              <w:ind w:firstLine="0" w:firstLineChars="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最低投入</w:t>
            </w:r>
          </w:p>
          <w:p w14:paraId="2192DA92">
            <w:pPr>
              <w:ind w:firstLine="0" w:firstLineChars="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人数要求</w:t>
            </w:r>
          </w:p>
        </w:tc>
      </w:tr>
      <w:tr w14:paraId="461CC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tcBorders>
              <w:top w:val="single" w:color="auto" w:sz="4" w:space="0"/>
              <w:left w:val="single" w:color="auto" w:sz="4" w:space="0"/>
              <w:bottom w:val="single" w:color="auto" w:sz="4" w:space="0"/>
              <w:right w:val="single" w:color="auto" w:sz="4" w:space="0"/>
            </w:tcBorders>
            <w:vAlign w:val="center"/>
          </w:tcPr>
          <w:p w14:paraId="3FA92539">
            <w:pPr>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2889" w:type="dxa"/>
            <w:tcBorders>
              <w:top w:val="single" w:color="auto" w:sz="4" w:space="0"/>
              <w:left w:val="single" w:color="auto" w:sz="4" w:space="0"/>
              <w:bottom w:val="single" w:color="auto" w:sz="4" w:space="0"/>
              <w:right w:val="single" w:color="auto" w:sz="4" w:space="0"/>
            </w:tcBorders>
            <w:shd w:val="clear" w:color="auto" w:fill="auto"/>
            <w:vAlign w:val="center"/>
          </w:tcPr>
          <w:p w14:paraId="69D54E27">
            <w:pPr>
              <w:spacing w:line="24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总负责人</w:t>
            </w:r>
          </w:p>
        </w:tc>
        <w:tc>
          <w:tcPr>
            <w:tcW w:w="4463" w:type="dxa"/>
            <w:tcBorders>
              <w:top w:val="single" w:color="auto" w:sz="4" w:space="0"/>
              <w:left w:val="single" w:color="auto" w:sz="4" w:space="0"/>
              <w:bottom w:val="single" w:color="auto" w:sz="4" w:space="0"/>
              <w:right w:val="single" w:color="auto" w:sz="4" w:space="0"/>
            </w:tcBorders>
            <w:shd w:val="clear" w:color="auto" w:fill="auto"/>
            <w:vAlign w:val="center"/>
          </w:tcPr>
          <w:p w14:paraId="0BEE1BC4">
            <w:pPr>
              <w:spacing w:line="360" w:lineRule="auto"/>
              <w:ind w:firstLine="480" w:firstLineChars="20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副职以上领导（由投标人现任副总经理、副院长、总工程师或以上职务，并已在本公司任该职满半年或以上的领导，需提供任职证明）</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top"/>
          </w:tcPr>
          <w:p w14:paraId="430F5510">
            <w:pPr>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p>
        </w:tc>
      </w:tr>
      <w:tr w14:paraId="037CD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70C18AA6">
            <w:pPr>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2889" w:type="dxa"/>
            <w:tcBorders>
              <w:top w:val="single" w:color="auto" w:sz="4" w:space="0"/>
              <w:left w:val="single" w:color="auto" w:sz="4" w:space="0"/>
              <w:bottom w:val="single" w:color="auto" w:sz="4" w:space="0"/>
              <w:right w:val="single" w:color="auto" w:sz="4" w:space="0"/>
            </w:tcBorders>
            <w:shd w:val="clear" w:color="auto" w:fill="auto"/>
            <w:vAlign w:val="center"/>
          </w:tcPr>
          <w:p w14:paraId="08FEF87A">
            <w:pPr>
              <w:spacing w:line="240" w:lineRule="auto"/>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项目负责人</w:t>
            </w:r>
          </w:p>
        </w:tc>
        <w:tc>
          <w:tcPr>
            <w:tcW w:w="4463" w:type="dxa"/>
            <w:tcBorders>
              <w:top w:val="single" w:color="auto" w:sz="4" w:space="0"/>
              <w:left w:val="single" w:color="auto" w:sz="4" w:space="0"/>
              <w:bottom w:val="single" w:color="auto" w:sz="4" w:space="0"/>
              <w:right w:val="single" w:color="auto" w:sz="4" w:space="0"/>
            </w:tcBorders>
            <w:shd w:val="clear" w:color="auto" w:fill="auto"/>
            <w:vAlign w:val="center"/>
          </w:tcPr>
          <w:p w14:paraId="72A2E482">
            <w:pPr>
              <w:spacing w:line="360" w:lineRule="auto"/>
              <w:ind w:firstLine="480" w:firstLineChars="20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按招标公告要求</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top"/>
          </w:tcPr>
          <w:p w14:paraId="188D9A59">
            <w:pPr>
              <w:ind w:firstLine="0" w:firstLine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p>
        </w:tc>
      </w:tr>
      <w:tr w14:paraId="5A9A4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7DD4DE71">
            <w:pPr>
              <w:widowControl/>
              <w:ind w:firstLine="0" w:firstLineChars="0"/>
              <w:jc w:val="center"/>
              <w:rPr>
                <w:rFonts w:hint="eastAsia" w:ascii="宋体" w:hAnsi="宋体" w:cs="宋体"/>
                <w:b/>
                <w:bCs/>
                <w:color w:val="auto"/>
                <w:sz w:val="24"/>
                <w:szCs w:val="24"/>
                <w:highlight w:val="none"/>
              </w:rPr>
            </w:pPr>
          </w:p>
        </w:tc>
        <w:tc>
          <w:tcPr>
            <w:tcW w:w="8571" w:type="dxa"/>
            <w:gridSpan w:val="3"/>
            <w:tcBorders>
              <w:top w:val="single" w:color="auto" w:sz="4" w:space="0"/>
              <w:left w:val="single" w:color="auto" w:sz="4" w:space="0"/>
              <w:bottom w:val="single" w:color="auto" w:sz="4" w:space="0"/>
              <w:right w:val="single" w:color="auto" w:sz="4" w:space="0"/>
            </w:tcBorders>
            <w:vAlign w:val="center"/>
          </w:tcPr>
          <w:p w14:paraId="415774B5">
            <w:pPr>
              <w:widowControl/>
              <w:ind w:firstLine="0" w:firstLineChars="0"/>
              <w:jc w:val="center"/>
              <w:rPr>
                <w:rFonts w:hint="eastAsia" w:ascii="宋体" w:hAnsi="宋体" w:cs="宋体"/>
                <w:color w:val="auto"/>
                <w:sz w:val="24"/>
                <w:szCs w:val="24"/>
                <w:highlight w:val="none"/>
              </w:rPr>
            </w:pPr>
            <w:r>
              <w:rPr>
                <w:rFonts w:hint="eastAsia" w:ascii="宋体" w:hAnsi="宋体" w:cs="宋体"/>
                <w:b/>
                <w:bCs/>
                <w:color w:val="auto"/>
                <w:sz w:val="24"/>
                <w:szCs w:val="24"/>
                <w:highlight w:val="none"/>
              </w:rPr>
              <w:t>一、</w:t>
            </w:r>
            <w:r>
              <w:rPr>
                <w:rFonts w:hint="eastAsia"/>
                <w:b/>
                <w:bCs/>
                <w:color w:val="auto"/>
                <w:sz w:val="24"/>
                <w:szCs w:val="24"/>
                <w:highlight w:val="none"/>
              </w:rPr>
              <w:t>设计专业人员</w:t>
            </w:r>
          </w:p>
        </w:tc>
      </w:tr>
      <w:tr w14:paraId="6DBC4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094B6D47">
            <w:pPr>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2889" w:type="dxa"/>
            <w:tcBorders>
              <w:top w:val="single" w:color="auto" w:sz="4" w:space="0"/>
              <w:left w:val="single" w:color="auto" w:sz="4" w:space="0"/>
              <w:bottom w:val="single" w:color="auto" w:sz="4" w:space="0"/>
              <w:right w:val="single" w:color="auto" w:sz="4" w:space="0"/>
            </w:tcBorders>
            <w:shd w:val="clear" w:color="auto" w:fill="auto"/>
            <w:vAlign w:val="center"/>
          </w:tcPr>
          <w:p w14:paraId="769158C5">
            <w:pPr>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建筑专业负责人</w:t>
            </w:r>
          </w:p>
        </w:tc>
        <w:tc>
          <w:tcPr>
            <w:tcW w:w="4463" w:type="dxa"/>
            <w:tcBorders>
              <w:top w:val="single" w:color="auto" w:sz="4" w:space="0"/>
              <w:left w:val="single" w:color="auto" w:sz="4" w:space="0"/>
              <w:bottom w:val="single" w:color="auto" w:sz="4" w:space="0"/>
              <w:right w:val="single" w:color="auto" w:sz="4" w:space="0"/>
            </w:tcBorders>
            <w:shd w:val="clear" w:color="auto" w:fill="auto"/>
            <w:vAlign w:val="center"/>
          </w:tcPr>
          <w:p w14:paraId="733595D7">
            <w:pPr>
              <w:spacing w:line="360" w:lineRule="auto"/>
              <w:ind w:firstLine="480" w:firstLineChars="20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一级注册建筑师</w:t>
            </w:r>
            <w:r>
              <w:rPr>
                <w:rFonts w:hint="eastAsia" w:ascii="宋体" w:hAnsi="宋体" w:eastAsia="宋体" w:cs="宋体"/>
                <w:color w:val="auto"/>
                <w:sz w:val="24"/>
                <w:szCs w:val="24"/>
                <w:highlight w:val="none"/>
                <w:lang w:val="en-US" w:eastAsia="zh-CN"/>
              </w:rPr>
              <w:t>和</w:t>
            </w:r>
            <w:r>
              <w:rPr>
                <w:rFonts w:hint="eastAsia" w:ascii="宋体" w:hAnsi="宋体" w:eastAsia="宋体" w:cs="宋体"/>
                <w:color w:val="auto"/>
                <w:sz w:val="24"/>
                <w:szCs w:val="24"/>
                <w:highlight w:val="none"/>
                <w:lang w:eastAsia="zh-CN"/>
              </w:rPr>
              <w:t>本专业高级或以上职称</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top"/>
          </w:tcPr>
          <w:p w14:paraId="4E5A9359">
            <w:pPr>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p>
        </w:tc>
      </w:tr>
      <w:tr w14:paraId="3CD53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tcBorders>
              <w:top w:val="single" w:color="auto" w:sz="4" w:space="0"/>
              <w:left w:val="single" w:color="auto" w:sz="4" w:space="0"/>
              <w:bottom w:val="single" w:color="auto" w:sz="4" w:space="0"/>
              <w:right w:val="single" w:color="auto" w:sz="4" w:space="0"/>
            </w:tcBorders>
            <w:vAlign w:val="center"/>
          </w:tcPr>
          <w:p w14:paraId="2F06F2C0">
            <w:pPr>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2889" w:type="dxa"/>
            <w:tcBorders>
              <w:top w:val="single" w:color="auto" w:sz="4" w:space="0"/>
              <w:left w:val="single" w:color="auto" w:sz="4" w:space="0"/>
              <w:bottom w:val="single" w:color="auto" w:sz="4" w:space="0"/>
              <w:right w:val="single" w:color="auto" w:sz="4" w:space="0"/>
            </w:tcBorders>
            <w:shd w:val="clear" w:color="auto" w:fill="auto"/>
            <w:vAlign w:val="center"/>
          </w:tcPr>
          <w:p w14:paraId="5813B8F7">
            <w:pPr>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结构专业负责人</w:t>
            </w:r>
          </w:p>
        </w:tc>
        <w:tc>
          <w:tcPr>
            <w:tcW w:w="4463" w:type="dxa"/>
            <w:tcBorders>
              <w:top w:val="single" w:color="auto" w:sz="4" w:space="0"/>
              <w:left w:val="single" w:color="auto" w:sz="4" w:space="0"/>
              <w:bottom w:val="single" w:color="auto" w:sz="4" w:space="0"/>
              <w:right w:val="single" w:color="auto" w:sz="4" w:space="0"/>
            </w:tcBorders>
            <w:shd w:val="clear" w:color="auto" w:fill="auto"/>
            <w:vAlign w:val="center"/>
          </w:tcPr>
          <w:p w14:paraId="1A56875B">
            <w:pPr>
              <w:spacing w:line="360" w:lineRule="auto"/>
              <w:ind w:firstLine="480" w:firstLineChars="20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一级注册结构工程师</w:t>
            </w:r>
            <w:r>
              <w:rPr>
                <w:rFonts w:hint="eastAsia" w:ascii="宋体" w:hAnsi="宋体" w:eastAsia="宋体" w:cs="宋体"/>
                <w:color w:val="auto"/>
                <w:sz w:val="24"/>
                <w:szCs w:val="24"/>
                <w:highlight w:val="none"/>
                <w:lang w:val="en-US" w:eastAsia="zh-CN"/>
              </w:rPr>
              <w:t>和</w:t>
            </w:r>
            <w:r>
              <w:rPr>
                <w:rFonts w:hint="eastAsia" w:ascii="宋体" w:hAnsi="宋体" w:eastAsia="宋体" w:cs="宋体"/>
                <w:color w:val="auto"/>
                <w:sz w:val="24"/>
                <w:szCs w:val="24"/>
                <w:highlight w:val="none"/>
                <w:lang w:eastAsia="zh-CN"/>
              </w:rPr>
              <w:t>本专业高级或以上职称</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top"/>
          </w:tcPr>
          <w:p w14:paraId="0420F3E2">
            <w:pPr>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p>
        </w:tc>
      </w:tr>
      <w:tr w14:paraId="6C443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1A66F7B9">
            <w:pPr>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2889" w:type="dxa"/>
            <w:tcBorders>
              <w:top w:val="single" w:color="auto" w:sz="4" w:space="0"/>
              <w:left w:val="single" w:color="auto" w:sz="4" w:space="0"/>
              <w:bottom w:val="single" w:color="auto" w:sz="4" w:space="0"/>
              <w:right w:val="single" w:color="auto" w:sz="4" w:space="0"/>
            </w:tcBorders>
            <w:shd w:val="clear" w:color="auto" w:fill="auto"/>
            <w:vAlign w:val="center"/>
          </w:tcPr>
          <w:p w14:paraId="20438000">
            <w:pPr>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暖通专业负责人</w:t>
            </w:r>
          </w:p>
        </w:tc>
        <w:tc>
          <w:tcPr>
            <w:tcW w:w="4463" w:type="dxa"/>
            <w:tcBorders>
              <w:top w:val="single" w:color="auto" w:sz="4" w:space="0"/>
              <w:left w:val="single" w:color="auto" w:sz="4" w:space="0"/>
              <w:bottom w:val="single" w:color="auto" w:sz="4" w:space="0"/>
              <w:right w:val="single" w:color="auto" w:sz="4" w:space="0"/>
            </w:tcBorders>
            <w:shd w:val="clear" w:color="auto" w:fill="auto"/>
            <w:vAlign w:val="center"/>
          </w:tcPr>
          <w:p w14:paraId="4C4ED9AC">
            <w:pPr>
              <w:spacing w:line="360" w:lineRule="auto"/>
              <w:ind w:firstLine="480" w:firstLineChars="20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注册设备工程师（暖通）</w:t>
            </w:r>
            <w:r>
              <w:rPr>
                <w:rFonts w:hint="eastAsia" w:ascii="宋体" w:hAnsi="宋体" w:eastAsia="宋体" w:cs="宋体"/>
                <w:color w:val="auto"/>
                <w:sz w:val="24"/>
                <w:szCs w:val="24"/>
                <w:highlight w:val="none"/>
                <w:lang w:val="en-US" w:eastAsia="zh-CN"/>
              </w:rPr>
              <w:t>和</w:t>
            </w:r>
            <w:r>
              <w:rPr>
                <w:rFonts w:hint="eastAsia" w:ascii="宋体" w:hAnsi="宋体" w:eastAsia="宋体" w:cs="宋体"/>
                <w:color w:val="auto"/>
                <w:sz w:val="24"/>
                <w:szCs w:val="24"/>
                <w:highlight w:val="none"/>
                <w:lang w:eastAsia="zh-CN"/>
              </w:rPr>
              <w:t>本专业高级或以上职称</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top"/>
          </w:tcPr>
          <w:p w14:paraId="3B4CFD66">
            <w:pPr>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p>
        </w:tc>
      </w:tr>
      <w:tr w14:paraId="5FDBC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284952C">
            <w:pPr>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2889" w:type="dxa"/>
            <w:tcBorders>
              <w:top w:val="single" w:color="auto" w:sz="4" w:space="0"/>
              <w:left w:val="single" w:color="auto" w:sz="4" w:space="0"/>
              <w:bottom w:val="single" w:color="auto" w:sz="4" w:space="0"/>
              <w:right w:val="single" w:color="auto" w:sz="4" w:space="0"/>
            </w:tcBorders>
            <w:shd w:val="clear" w:color="auto" w:fill="auto"/>
            <w:vAlign w:val="center"/>
          </w:tcPr>
          <w:p w14:paraId="16C9F69E">
            <w:pPr>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园林专业负责人</w:t>
            </w:r>
          </w:p>
        </w:tc>
        <w:tc>
          <w:tcPr>
            <w:tcW w:w="4463" w:type="dxa"/>
            <w:tcBorders>
              <w:top w:val="single" w:color="auto" w:sz="4" w:space="0"/>
              <w:left w:val="single" w:color="auto" w:sz="4" w:space="0"/>
              <w:bottom w:val="single" w:color="auto" w:sz="4" w:space="0"/>
              <w:right w:val="single" w:color="auto" w:sz="4" w:space="0"/>
            </w:tcBorders>
            <w:shd w:val="clear" w:color="auto" w:fill="auto"/>
            <w:vAlign w:val="center"/>
          </w:tcPr>
          <w:p w14:paraId="366F3F5F">
            <w:pPr>
              <w:spacing w:line="360" w:lineRule="auto"/>
              <w:ind w:firstLine="480" w:firstLineChars="20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园林专业高级或以上职称</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top"/>
          </w:tcPr>
          <w:p w14:paraId="0DCA643B">
            <w:pPr>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p>
        </w:tc>
      </w:tr>
      <w:tr w14:paraId="320DF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4E5D787D">
            <w:pPr>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2889" w:type="dxa"/>
            <w:tcBorders>
              <w:top w:val="single" w:color="auto" w:sz="4" w:space="0"/>
              <w:left w:val="single" w:color="auto" w:sz="4" w:space="0"/>
              <w:bottom w:val="single" w:color="auto" w:sz="4" w:space="0"/>
              <w:right w:val="single" w:color="auto" w:sz="4" w:space="0"/>
            </w:tcBorders>
            <w:shd w:val="clear" w:color="auto" w:fill="auto"/>
            <w:vAlign w:val="center"/>
          </w:tcPr>
          <w:p w14:paraId="5FC45C4B">
            <w:pPr>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电气专业负责人</w:t>
            </w:r>
          </w:p>
        </w:tc>
        <w:tc>
          <w:tcPr>
            <w:tcW w:w="4463" w:type="dxa"/>
            <w:tcBorders>
              <w:top w:val="single" w:color="auto" w:sz="4" w:space="0"/>
              <w:left w:val="single" w:color="auto" w:sz="4" w:space="0"/>
              <w:bottom w:val="single" w:color="auto" w:sz="4" w:space="0"/>
              <w:right w:val="single" w:color="auto" w:sz="4" w:space="0"/>
            </w:tcBorders>
            <w:shd w:val="clear" w:color="auto" w:fill="auto"/>
            <w:vAlign w:val="center"/>
          </w:tcPr>
          <w:p w14:paraId="108B6896">
            <w:pPr>
              <w:spacing w:line="360" w:lineRule="auto"/>
              <w:ind w:firstLine="480" w:firstLineChars="20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注册电气工程师</w:t>
            </w:r>
            <w:r>
              <w:rPr>
                <w:rFonts w:hint="eastAsia" w:ascii="宋体" w:hAnsi="宋体" w:eastAsia="宋体" w:cs="宋体"/>
                <w:color w:val="auto"/>
                <w:sz w:val="24"/>
                <w:szCs w:val="24"/>
                <w:highlight w:val="none"/>
                <w:lang w:val="en-US" w:eastAsia="zh-CN"/>
              </w:rPr>
              <w:t>和</w:t>
            </w:r>
            <w:r>
              <w:rPr>
                <w:rFonts w:hint="eastAsia" w:ascii="宋体" w:hAnsi="宋体" w:eastAsia="宋体" w:cs="宋体"/>
                <w:color w:val="auto"/>
                <w:sz w:val="24"/>
                <w:szCs w:val="24"/>
                <w:highlight w:val="none"/>
                <w:lang w:eastAsia="zh-CN"/>
              </w:rPr>
              <w:t>本专业高级或以上职称</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top"/>
          </w:tcPr>
          <w:p w14:paraId="475DC634">
            <w:pPr>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p>
        </w:tc>
      </w:tr>
      <w:tr w14:paraId="67AD9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tcBorders>
              <w:top w:val="single" w:color="auto" w:sz="4" w:space="0"/>
              <w:left w:val="single" w:color="auto" w:sz="4" w:space="0"/>
              <w:bottom w:val="single" w:color="auto" w:sz="4" w:space="0"/>
              <w:right w:val="single" w:color="auto" w:sz="4" w:space="0"/>
            </w:tcBorders>
            <w:vAlign w:val="center"/>
          </w:tcPr>
          <w:p w14:paraId="19E05E60">
            <w:pPr>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2889" w:type="dxa"/>
            <w:tcBorders>
              <w:top w:val="single" w:color="auto" w:sz="4" w:space="0"/>
              <w:left w:val="single" w:color="auto" w:sz="4" w:space="0"/>
              <w:bottom w:val="single" w:color="auto" w:sz="4" w:space="0"/>
              <w:right w:val="single" w:color="auto" w:sz="4" w:space="0"/>
            </w:tcBorders>
            <w:shd w:val="clear" w:color="auto" w:fill="auto"/>
            <w:vAlign w:val="center"/>
          </w:tcPr>
          <w:p w14:paraId="42D590BA">
            <w:pPr>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给排水专业负责人</w:t>
            </w:r>
          </w:p>
        </w:tc>
        <w:tc>
          <w:tcPr>
            <w:tcW w:w="4463" w:type="dxa"/>
            <w:tcBorders>
              <w:top w:val="single" w:color="auto" w:sz="4" w:space="0"/>
              <w:left w:val="single" w:color="auto" w:sz="4" w:space="0"/>
              <w:bottom w:val="single" w:color="auto" w:sz="4" w:space="0"/>
              <w:right w:val="single" w:color="auto" w:sz="4" w:space="0"/>
            </w:tcBorders>
            <w:shd w:val="clear" w:color="auto" w:fill="auto"/>
            <w:vAlign w:val="center"/>
          </w:tcPr>
          <w:p w14:paraId="07308F1D">
            <w:pPr>
              <w:spacing w:line="360" w:lineRule="auto"/>
              <w:ind w:firstLine="480" w:firstLineChars="20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注册设备工程师（给排水）</w:t>
            </w:r>
            <w:r>
              <w:rPr>
                <w:rFonts w:hint="eastAsia" w:ascii="宋体" w:hAnsi="宋体" w:eastAsia="宋体" w:cs="宋体"/>
                <w:color w:val="auto"/>
                <w:sz w:val="24"/>
                <w:szCs w:val="24"/>
                <w:highlight w:val="none"/>
                <w:lang w:val="en-US" w:eastAsia="zh-CN"/>
              </w:rPr>
              <w:t>和</w:t>
            </w:r>
            <w:r>
              <w:rPr>
                <w:rFonts w:hint="eastAsia" w:ascii="宋体" w:hAnsi="宋体" w:eastAsia="宋体" w:cs="宋体"/>
                <w:color w:val="auto"/>
                <w:sz w:val="24"/>
                <w:szCs w:val="24"/>
                <w:highlight w:val="none"/>
                <w:lang w:eastAsia="zh-CN"/>
              </w:rPr>
              <w:t>本专业高级或以上职称</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top"/>
          </w:tcPr>
          <w:p w14:paraId="41F09095">
            <w:pPr>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p>
        </w:tc>
      </w:tr>
      <w:tr w14:paraId="1DEE0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tcBorders>
              <w:top w:val="single" w:color="auto" w:sz="4" w:space="0"/>
              <w:left w:val="single" w:color="auto" w:sz="4" w:space="0"/>
              <w:bottom w:val="single" w:color="auto" w:sz="4" w:space="0"/>
              <w:right w:val="single" w:color="auto" w:sz="4" w:space="0"/>
            </w:tcBorders>
            <w:vAlign w:val="center"/>
          </w:tcPr>
          <w:p w14:paraId="0B0AE2D5">
            <w:pPr>
              <w:ind w:firstLine="0" w:firstLineChars="0"/>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p>
        </w:tc>
        <w:tc>
          <w:tcPr>
            <w:tcW w:w="2889" w:type="dxa"/>
            <w:tcBorders>
              <w:top w:val="single" w:color="auto" w:sz="4" w:space="0"/>
              <w:left w:val="single" w:color="auto" w:sz="4" w:space="0"/>
              <w:bottom w:val="single" w:color="auto" w:sz="4" w:space="0"/>
              <w:right w:val="single" w:color="auto" w:sz="4" w:space="0"/>
            </w:tcBorders>
            <w:shd w:val="clear" w:color="auto" w:fill="auto"/>
            <w:vAlign w:val="center"/>
          </w:tcPr>
          <w:p w14:paraId="02631238">
            <w:pPr>
              <w:spacing w:line="360" w:lineRule="auto"/>
              <w:ind w:firstLine="480" w:firstLineChars="200"/>
              <w:jc w:val="both"/>
              <w:rPr>
                <w:rFonts w:hint="eastAsia" w:ascii="宋体" w:hAnsi="宋体" w:eastAsia="宋体" w:cs="宋体"/>
                <w:color w:val="auto"/>
                <w:kern w:val="2"/>
                <w:sz w:val="24"/>
                <w:szCs w:val="24"/>
                <w:highlight w:val="none"/>
                <w:lang w:val="en-US" w:eastAsia="en-US" w:bidi="ar-SA"/>
              </w:rPr>
            </w:pPr>
            <w:r>
              <w:rPr>
                <w:rFonts w:hint="eastAsia" w:ascii="宋体" w:hAnsi="宋体" w:eastAsia="宋体" w:cs="宋体"/>
                <w:color w:val="auto"/>
                <w:sz w:val="24"/>
                <w:szCs w:val="24"/>
                <w:highlight w:val="none"/>
              </w:rPr>
              <w:t>智能化专业负责人</w:t>
            </w:r>
          </w:p>
        </w:tc>
        <w:tc>
          <w:tcPr>
            <w:tcW w:w="4463" w:type="dxa"/>
            <w:tcBorders>
              <w:top w:val="single" w:color="auto" w:sz="4" w:space="0"/>
              <w:left w:val="single" w:color="auto" w:sz="4" w:space="0"/>
              <w:bottom w:val="single" w:color="auto" w:sz="4" w:space="0"/>
              <w:right w:val="single" w:color="auto" w:sz="4" w:space="0"/>
            </w:tcBorders>
            <w:shd w:val="clear" w:color="auto" w:fill="auto"/>
            <w:vAlign w:val="center"/>
          </w:tcPr>
          <w:p w14:paraId="39FBDE7D">
            <w:pPr>
              <w:spacing w:line="360" w:lineRule="auto"/>
              <w:ind w:firstLine="480" w:firstLineChars="20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智能化相关专业高级或以上职称</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14:paraId="51767362">
            <w:pPr>
              <w:spacing w:line="360" w:lineRule="auto"/>
              <w:ind w:firstLine="480" w:firstLineChars="200"/>
              <w:jc w:val="both"/>
              <w:rPr>
                <w:rFonts w:hint="eastAsia" w:ascii="宋体" w:hAnsi="宋体" w:eastAsia="宋体" w:cs="宋体"/>
                <w:color w:val="auto"/>
                <w:kern w:val="2"/>
                <w:sz w:val="24"/>
                <w:szCs w:val="24"/>
                <w:highlight w:val="none"/>
                <w:lang w:val="en-US" w:eastAsia="en-US" w:bidi="ar-SA"/>
              </w:rPr>
            </w:pPr>
            <w:r>
              <w:rPr>
                <w:rFonts w:hint="eastAsia" w:ascii="宋体" w:hAnsi="宋体" w:eastAsia="宋体" w:cs="宋体"/>
                <w:color w:val="auto"/>
                <w:sz w:val="24"/>
                <w:szCs w:val="24"/>
                <w:highlight w:val="none"/>
              </w:rPr>
              <w:t>1</w:t>
            </w:r>
          </w:p>
        </w:tc>
      </w:tr>
      <w:tr w14:paraId="6152E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tcBorders>
              <w:top w:val="single" w:color="auto" w:sz="4" w:space="0"/>
              <w:left w:val="single" w:color="auto" w:sz="4" w:space="0"/>
              <w:bottom w:val="single" w:color="auto" w:sz="4" w:space="0"/>
              <w:right w:val="single" w:color="auto" w:sz="4" w:space="0"/>
            </w:tcBorders>
            <w:vAlign w:val="center"/>
          </w:tcPr>
          <w:p w14:paraId="31A98C80">
            <w:pPr>
              <w:ind w:firstLine="0" w:firstLineChars="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w:t>
            </w:r>
          </w:p>
        </w:tc>
        <w:tc>
          <w:tcPr>
            <w:tcW w:w="2889" w:type="dxa"/>
            <w:tcBorders>
              <w:top w:val="single" w:color="auto" w:sz="4" w:space="0"/>
              <w:left w:val="single" w:color="auto" w:sz="4" w:space="0"/>
              <w:bottom w:val="single" w:color="auto" w:sz="4" w:space="0"/>
              <w:right w:val="single" w:color="auto" w:sz="4" w:space="0"/>
            </w:tcBorders>
            <w:shd w:val="clear" w:color="auto" w:fill="auto"/>
            <w:vAlign w:val="center"/>
          </w:tcPr>
          <w:p w14:paraId="6B62E5C7">
            <w:pPr>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BIM项目负责人</w:t>
            </w:r>
          </w:p>
        </w:tc>
        <w:tc>
          <w:tcPr>
            <w:tcW w:w="4463" w:type="dxa"/>
            <w:tcBorders>
              <w:top w:val="single" w:color="auto" w:sz="4" w:space="0"/>
              <w:left w:val="single" w:color="auto" w:sz="4" w:space="0"/>
              <w:bottom w:val="single" w:color="auto" w:sz="4" w:space="0"/>
              <w:right w:val="single" w:color="auto" w:sz="4" w:space="0"/>
            </w:tcBorders>
            <w:shd w:val="clear" w:color="auto" w:fill="auto"/>
            <w:vAlign w:val="center"/>
          </w:tcPr>
          <w:p w14:paraId="3C5C8837">
            <w:pPr>
              <w:spacing w:line="360" w:lineRule="auto"/>
              <w:ind w:firstLine="480" w:firstLineChars="20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获得BIM行业岗位资格证书</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14:paraId="6AB00347">
            <w:pPr>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p>
        </w:tc>
      </w:tr>
      <w:tr w14:paraId="21E8C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1B13AA32">
            <w:pPr>
              <w:ind w:firstLine="0" w:firstLineChars="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11</w:t>
            </w:r>
          </w:p>
        </w:tc>
        <w:tc>
          <w:tcPr>
            <w:tcW w:w="2889" w:type="dxa"/>
            <w:tcBorders>
              <w:top w:val="single" w:color="auto" w:sz="4" w:space="0"/>
              <w:left w:val="single" w:color="auto" w:sz="4" w:space="0"/>
              <w:bottom w:val="single" w:color="auto" w:sz="4" w:space="0"/>
              <w:right w:val="single" w:color="auto" w:sz="4" w:space="0"/>
            </w:tcBorders>
            <w:shd w:val="clear" w:color="auto" w:fill="auto"/>
            <w:vAlign w:val="center"/>
          </w:tcPr>
          <w:p w14:paraId="6C86D19C">
            <w:pPr>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造价专业负责人</w:t>
            </w:r>
          </w:p>
        </w:tc>
        <w:tc>
          <w:tcPr>
            <w:tcW w:w="4463" w:type="dxa"/>
            <w:tcBorders>
              <w:top w:val="single" w:color="auto" w:sz="4" w:space="0"/>
              <w:left w:val="single" w:color="auto" w:sz="4" w:space="0"/>
              <w:bottom w:val="single" w:color="auto" w:sz="4" w:space="0"/>
              <w:right w:val="single" w:color="auto" w:sz="4" w:space="0"/>
            </w:tcBorders>
            <w:shd w:val="clear" w:color="auto" w:fill="auto"/>
            <w:vAlign w:val="center"/>
          </w:tcPr>
          <w:p w14:paraId="3CF5F28F">
            <w:pPr>
              <w:spacing w:line="360" w:lineRule="auto"/>
              <w:ind w:firstLine="480" w:firstLineChars="20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注册造价工程师（或一级注册造价工程师）</w:t>
            </w:r>
            <w:r>
              <w:rPr>
                <w:rFonts w:hint="eastAsia" w:ascii="宋体" w:hAnsi="宋体" w:eastAsia="宋体" w:cs="宋体"/>
                <w:color w:val="auto"/>
                <w:sz w:val="24"/>
                <w:szCs w:val="24"/>
                <w:highlight w:val="none"/>
                <w:lang w:val="en-US" w:eastAsia="zh-CN"/>
              </w:rPr>
              <w:t>和</w:t>
            </w:r>
            <w:r>
              <w:rPr>
                <w:rFonts w:hint="eastAsia" w:ascii="宋体" w:hAnsi="宋体" w:eastAsia="宋体" w:cs="宋体"/>
                <w:color w:val="auto"/>
                <w:sz w:val="24"/>
                <w:szCs w:val="24"/>
                <w:highlight w:val="none"/>
                <w:lang w:eastAsia="zh-CN"/>
              </w:rPr>
              <w:t>本专业高级或以上职称</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14:paraId="612854C8">
            <w:pPr>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p>
        </w:tc>
      </w:tr>
      <w:tr w14:paraId="64EA7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2DB8283F">
            <w:pPr>
              <w:ind w:firstLine="0" w:firstLineChars="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12</w:t>
            </w:r>
          </w:p>
        </w:tc>
        <w:tc>
          <w:tcPr>
            <w:tcW w:w="2889" w:type="dxa"/>
            <w:tcBorders>
              <w:top w:val="single" w:color="auto" w:sz="4" w:space="0"/>
              <w:left w:val="single" w:color="auto" w:sz="4" w:space="0"/>
              <w:bottom w:val="single" w:color="auto" w:sz="4" w:space="0"/>
              <w:right w:val="single" w:color="auto" w:sz="4" w:space="0"/>
            </w:tcBorders>
            <w:shd w:val="clear" w:color="auto" w:fill="auto"/>
            <w:vAlign w:val="center"/>
          </w:tcPr>
          <w:p w14:paraId="2DAC3CA0">
            <w:pPr>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zh-CN" w:eastAsia="zh-CN"/>
              </w:rPr>
              <w:t>规划专业负责人</w:t>
            </w:r>
          </w:p>
        </w:tc>
        <w:tc>
          <w:tcPr>
            <w:tcW w:w="4463" w:type="dxa"/>
            <w:tcBorders>
              <w:top w:val="single" w:color="auto" w:sz="4" w:space="0"/>
              <w:left w:val="single" w:color="auto" w:sz="4" w:space="0"/>
              <w:bottom w:val="single" w:color="auto" w:sz="4" w:space="0"/>
              <w:right w:val="single" w:color="auto" w:sz="4" w:space="0"/>
            </w:tcBorders>
            <w:shd w:val="clear" w:color="auto" w:fill="auto"/>
            <w:vAlign w:val="center"/>
          </w:tcPr>
          <w:p w14:paraId="4B92BF03">
            <w:pPr>
              <w:spacing w:line="360" w:lineRule="auto"/>
              <w:ind w:firstLine="480" w:firstLineChars="200"/>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eastAsia="zh-CN"/>
              </w:rPr>
              <w:t>注册城乡规划师</w:t>
            </w:r>
            <w:r>
              <w:rPr>
                <w:rFonts w:hint="eastAsia" w:ascii="宋体" w:hAnsi="宋体" w:eastAsia="宋体" w:cs="宋体"/>
                <w:color w:val="auto"/>
                <w:sz w:val="24"/>
                <w:szCs w:val="24"/>
                <w:highlight w:val="none"/>
                <w:lang w:val="en-US" w:eastAsia="zh-CN"/>
              </w:rPr>
              <w:t>和</w:t>
            </w:r>
            <w:r>
              <w:rPr>
                <w:rFonts w:hint="eastAsia" w:ascii="宋体" w:hAnsi="宋体" w:eastAsia="宋体" w:cs="宋体"/>
                <w:color w:val="auto"/>
                <w:sz w:val="24"/>
                <w:szCs w:val="24"/>
                <w:highlight w:val="none"/>
                <w:lang w:val="zh-CN" w:eastAsia="zh-CN"/>
              </w:rPr>
              <w:t>本专业高级或以上职称</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14:paraId="5AA11B94">
            <w:pPr>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p>
        </w:tc>
      </w:tr>
      <w:tr w14:paraId="203D5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42E6CE3C">
            <w:pPr>
              <w:ind w:firstLine="0" w:firstLineChars="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13</w:t>
            </w:r>
          </w:p>
        </w:tc>
        <w:tc>
          <w:tcPr>
            <w:tcW w:w="2889" w:type="dxa"/>
            <w:tcBorders>
              <w:top w:val="single" w:color="auto" w:sz="4" w:space="0"/>
              <w:left w:val="single" w:color="auto" w:sz="4" w:space="0"/>
              <w:bottom w:val="single" w:color="auto" w:sz="4" w:space="0"/>
              <w:right w:val="single" w:color="auto" w:sz="4" w:space="0"/>
            </w:tcBorders>
            <w:shd w:val="clear" w:color="auto" w:fill="auto"/>
            <w:vAlign w:val="center"/>
          </w:tcPr>
          <w:p w14:paraId="21F29423">
            <w:pPr>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报建负责人</w:t>
            </w:r>
          </w:p>
        </w:tc>
        <w:tc>
          <w:tcPr>
            <w:tcW w:w="4463" w:type="dxa"/>
            <w:tcBorders>
              <w:top w:val="single" w:color="auto" w:sz="4" w:space="0"/>
              <w:left w:val="single" w:color="auto" w:sz="4" w:space="0"/>
              <w:bottom w:val="single" w:color="auto" w:sz="4" w:space="0"/>
              <w:right w:val="single" w:color="auto" w:sz="4" w:space="0"/>
            </w:tcBorders>
            <w:shd w:val="clear" w:color="auto" w:fill="auto"/>
            <w:vAlign w:val="center"/>
          </w:tcPr>
          <w:p w14:paraId="4CF60648">
            <w:pPr>
              <w:spacing w:line="360" w:lineRule="auto"/>
              <w:ind w:firstLine="480" w:firstLineChars="20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建筑</w:t>
            </w:r>
            <w:r>
              <w:rPr>
                <w:rFonts w:hint="eastAsia" w:ascii="宋体" w:hAnsi="宋体" w:eastAsia="宋体" w:cs="宋体"/>
                <w:iCs/>
                <w:color w:val="auto"/>
                <w:sz w:val="24"/>
                <w:szCs w:val="24"/>
                <w:highlight w:val="none"/>
                <w:lang w:eastAsia="zh-CN"/>
              </w:rPr>
              <w:t>工程相关专业</w:t>
            </w:r>
            <w:r>
              <w:rPr>
                <w:rFonts w:hint="eastAsia" w:ascii="宋体" w:hAnsi="宋体" w:eastAsia="宋体" w:cs="宋体"/>
                <w:color w:val="auto"/>
                <w:sz w:val="24"/>
                <w:szCs w:val="24"/>
                <w:highlight w:val="none"/>
                <w:lang w:eastAsia="zh-CN"/>
              </w:rPr>
              <w:t xml:space="preserve">高级或以上职称 </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14:paraId="5C61EBD1">
            <w:pPr>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p>
        </w:tc>
      </w:tr>
      <w:tr w14:paraId="2AEB6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2837EEF1">
            <w:pPr>
              <w:ind w:firstLine="0" w:firstLineChars="0"/>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14</w:t>
            </w:r>
          </w:p>
        </w:tc>
        <w:tc>
          <w:tcPr>
            <w:tcW w:w="2889" w:type="dxa"/>
            <w:tcBorders>
              <w:top w:val="single" w:color="auto" w:sz="4" w:space="0"/>
              <w:left w:val="single" w:color="auto" w:sz="4" w:space="0"/>
              <w:bottom w:val="single" w:color="auto" w:sz="4" w:space="0"/>
              <w:right w:val="single" w:color="auto" w:sz="4" w:space="0"/>
            </w:tcBorders>
            <w:shd w:val="clear" w:color="auto" w:fill="auto"/>
            <w:vAlign w:val="center"/>
          </w:tcPr>
          <w:p w14:paraId="7FBE71D5">
            <w:pPr>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其他设计人员</w:t>
            </w:r>
          </w:p>
        </w:tc>
        <w:tc>
          <w:tcPr>
            <w:tcW w:w="4463" w:type="dxa"/>
            <w:tcBorders>
              <w:top w:val="single" w:color="auto" w:sz="4" w:space="0"/>
              <w:left w:val="single" w:color="auto" w:sz="4" w:space="0"/>
              <w:bottom w:val="single" w:color="auto" w:sz="4" w:space="0"/>
              <w:right w:val="single" w:color="auto" w:sz="4" w:space="0"/>
            </w:tcBorders>
            <w:shd w:val="clear" w:color="auto" w:fill="auto"/>
            <w:vAlign w:val="center"/>
          </w:tcPr>
          <w:p w14:paraId="32B46815">
            <w:pPr>
              <w:spacing w:line="360" w:lineRule="auto"/>
              <w:ind w:firstLine="480" w:firstLineChars="20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建筑工程相关专业高级或以上职称，且具有粮食仓储类项目设计经验</w:t>
            </w:r>
            <w:r>
              <w:rPr>
                <w:rFonts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eastAsia="zh-CN"/>
              </w:rPr>
              <w:t>提供证明文件</w:t>
            </w:r>
            <w:r>
              <w:rPr>
                <w:rFonts w:ascii="宋体" w:hAnsi="宋体" w:eastAsia="宋体" w:cs="宋体"/>
                <w:color w:val="auto"/>
                <w:sz w:val="24"/>
                <w:szCs w:val="24"/>
                <w:highlight w:val="none"/>
                <w:lang w:eastAsia="zh-CN"/>
              </w:rPr>
              <w:t>)</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14:paraId="4BBA9C8D">
            <w:pPr>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p>
        </w:tc>
      </w:tr>
      <w:tr w14:paraId="0E3C2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6F198DC7">
            <w:pPr>
              <w:widowControl/>
              <w:ind w:firstLine="0" w:firstLineChars="0"/>
              <w:jc w:val="center"/>
              <w:rPr>
                <w:rFonts w:hint="eastAsia" w:ascii="宋体" w:hAnsi="宋体" w:cs="宋体"/>
                <w:b/>
                <w:bCs/>
                <w:color w:val="auto"/>
                <w:sz w:val="24"/>
                <w:szCs w:val="24"/>
                <w:highlight w:val="none"/>
              </w:rPr>
            </w:pPr>
          </w:p>
        </w:tc>
        <w:tc>
          <w:tcPr>
            <w:tcW w:w="8571" w:type="dxa"/>
            <w:gridSpan w:val="3"/>
            <w:tcBorders>
              <w:top w:val="single" w:color="auto" w:sz="4" w:space="0"/>
              <w:left w:val="single" w:color="auto" w:sz="4" w:space="0"/>
              <w:bottom w:val="single" w:color="auto" w:sz="4" w:space="0"/>
              <w:right w:val="single" w:color="auto" w:sz="4" w:space="0"/>
            </w:tcBorders>
            <w:vAlign w:val="center"/>
          </w:tcPr>
          <w:p w14:paraId="7A1B74F4">
            <w:pPr>
              <w:widowControl/>
              <w:ind w:firstLine="0" w:firstLineChars="0"/>
              <w:jc w:val="center"/>
              <w:rPr>
                <w:rFonts w:hint="eastAsia" w:ascii="宋体" w:hAnsi="宋体" w:cs="宋体"/>
                <w:color w:val="auto"/>
                <w:sz w:val="24"/>
                <w:szCs w:val="24"/>
                <w:highlight w:val="none"/>
              </w:rPr>
            </w:pPr>
            <w:r>
              <w:rPr>
                <w:rFonts w:hint="eastAsia" w:ascii="宋体" w:hAnsi="宋体" w:cs="宋体"/>
                <w:b/>
                <w:bCs/>
                <w:color w:val="auto"/>
                <w:sz w:val="24"/>
                <w:szCs w:val="24"/>
                <w:highlight w:val="none"/>
              </w:rPr>
              <w:t>二、</w:t>
            </w:r>
            <w:r>
              <w:rPr>
                <w:rFonts w:hint="eastAsia"/>
                <w:b/>
                <w:bCs/>
                <w:color w:val="auto"/>
                <w:sz w:val="24"/>
                <w:szCs w:val="24"/>
                <w:highlight w:val="none"/>
              </w:rPr>
              <w:t>勘察专业人员</w:t>
            </w:r>
          </w:p>
        </w:tc>
      </w:tr>
      <w:tr w14:paraId="3B611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178205FF">
            <w:pPr>
              <w:ind w:firstLine="0" w:firstLineChars="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15</w:t>
            </w:r>
          </w:p>
        </w:tc>
        <w:tc>
          <w:tcPr>
            <w:tcW w:w="2889" w:type="dxa"/>
            <w:tcBorders>
              <w:top w:val="single" w:color="auto" w:sz="4" w:space="0"/>
              <w:left w:val="single" w:color="auto" w:sz="4" w:space="0"/>
              <w:bottom w:val="single" w:color="auto" w:sz="4" w:space="0"/>
              <w:right w:val="single" w:color="auto" w:sz="4" w:space="0"/>
            </w:tcBorders>
            <w:shd w:val="clear" w:color="auto" w:fill="auto"/>
            <w:vAlign w:val="center"/>
          </w:tcPr>
          <w:p w14:paraId="142CE237">
            <w:pPr>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勘察专业负责人</w:t>
            </w:r>
          </w:p>
        </w:tc>
        <w:tc>
          <w:tcPr>
            <w:tcW w:w="4463" w:type="dxa"/>
            <w:tcBorders>
              <w:top w:val="single" w:color="auto" w:sz="4" w:space="0"/>
              <w:left w:val="single" w:color="auto" w:sz="4" w:space="0"/>
              <w:bottom w:val="single" w:color="auto" w:sz="4" w:space="0"/>
              <w:right w:val="single" w:color="auto" w:sz="4" w:space="0"/>
            </w:tcBorders>
            <w:shd w:val="clear" w:color="auto" w:fill="auto"/>
            <w:vAlign w:val="center"/>
          </w:tcPr>
          <w:p w14:paraId="35D0B2D8">
            <w:pPr>
              <w:spacing w:line="360" w:lineRule="auto"/>
              <w:ind w:firstLine="480" w:firstLineChars="20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注册岩土工程师，本专业高级或以上职称</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14:paraId="0DD9CAF3">
            <w:pPr>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p>
        </w:tc>
      </w:tr>
      <w:tr w14:paraId="44659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65BABD79">
            <w:pPr>
              <w:ind w:firstLine="0" w:firstLineChars="0"/>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16</w:t>
            </w:r>
          </w:p>
        </w:tc>
        <w:tc>
          <w:tcPr>
            <w:tcW w:w="2889" w:type="dxa"/>
            <w:tcBorders>
              <w:top w:val="single" w:color="auto" w:sz="4" w:space="0"/>
              <w:left w:val="single" w:color="auto" w:sz="4" w:space="0"/>
              <w:bottom w:val="single" w:color="auto" w:sz="4" w:space="0"/>
              <w:right w:val="single" w:color="auto" w:sz="4" w:space="0"/>
            </w:tcBorders>
            <w:shd w:val="clear" w:color="auto" w:fill="auto"/>
            <w:vAlign w:val="center"/>
          </w:tcPr>
          <w:p w14:paraId="311BD273">
            <w:pPr>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勘察</w:t>
            </w:r>
            <w:r>
              <w:rPr>
                <w:rFonts w:hint="eastAsia" w:ascii="宋体" w:hAnsi="宋体" w:eastAsia="宋体" w:cs="宋体"/>
                <w:color w:val="auto"/>
                <w:sz w:val="24"/>
                <w:szCs w:val="24"/>
                <w:highlight w:val="none"/>
              </w:rPr>
              <w:t>现场配合人</w:t>
            </w:r>
          </w:p>
        </w:tc>
        <w:tc>
          <w:tcPr>
            <w:tcW w:w="4463" w:type="dxa"/>
            <w:tcBorders>
              <w:top w:val="single" w:color="auto" w:sz="4" w:space="0"/>
              <w:left w:val="single" w:color="auto" w:sz="4" w:space="0"/>
              <w:bottom w:val="single" w:color="auto" w:sz="4" w:space="0"/>
              <w:right w:val="single" w:color="auto" w:sz="4" w:space="0"/>
            </w:tcBorders>
            <w:shd w:val="clear" w:color="auto" w:fill="auto"/>
            <w:vAlign w:val="center"/>
          </w:tcPr>
          <w:p w14:paraId="0B82240E">
            <w:pPr>
              <w:spacing w:line="360" w:lineRule="auto"/>
              <w:ind w:firstLine="480" w:firstLineChars="20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注册岩土工程师或工程类相关专业高级（或以上）职称或从事工程类相关专业工作5年及以上的中级职称</w:t>
            </w:r>
          </w:p>
        </w:tc>
        <w:tc>
          <w:tcPr>
            <w:tcW w:w="1219" w:type="dxa"/>
            <w:tcBorders>
              <w:top w:val="single" w:color="auto" w:sz="4" w:space="0"/>
              <w:left w:val="single" w:color="auto" w:sz="4" w:space="0"/>
              <w:bottom w:val="single" w:color="auto" w:sz="4" w:space="0"/>
              <w:right w:val="single" w:color="auto" w:sz="4" w:space="0"/>
            </w:tcBorders>
            <w:shd w:val="clear" w:color="auto" w:fill="auto"/>
            <w:vAlign w:val="center"/>
          </w:tcPr>
          <w:p w14:paraId="00DC4F3E">
            <w:pPr>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eastAsia="zh-CN"/>
              </w:rPr>
              <w:t>1</w:t>
            </w:r>
          </w:p>
        </w:tc>
      </w:tr>
    </w:tbl>
    <w:p w14:paraId="6529BD7A">
      <w:pPr>
        <w:rPr>
          <w:rFonts w:hint="eastAsia" w:ascii="宋体" w:hAnsi="宋体" w:cs="宋体"/>
          <w:snapToGrid w:val="0"/>
          <w:color w:val="auto"/>
          <w:szCs w:val="21"/>
          <w:highlight w:val="none"/>
        </w:rPr>
      </w:pPr>
    </w:p>
    <w:p w14:paraId="067898CD">
      <w:pPr>
        <w:rPr>
          <w:rFonts w:hint="eastAsia" w:ascii="宋体" w:hAnsi="宋体" w:cs="宋体"/>
          <w:snapToGrid w:val="0"/>
          <w:color w:val="auto"/>
          <w:szCs w:val="21"/>
          <w:highlight w:val="none"/>
        </w:rPr>
      </w:pPr>
      <w:r>
        <w:rPr>
          <w:rFonts w:hint="eastAsia" w:ascii="宋体" w:hAnsi="宋体" w:cs="宋体"/>
          <w:snapToGrid w:val="0"/>
          <w:color w:val="auto"/>
          <w:szCs w:val="21"/>
          <w:highlight w:val="none"/>
        </w:rPr>
        <w:t>2、在设计高峰或项目承建单位认为有必要时，设计方必须集中力量确保设计进度。</w:t>
      </w:r>
    </w:p>
    <w:p w14:paraId="244CFB38">
      <w:pPr>
        <w:rPr>
          <w:rFonts w:hint="eastAsia" w:ascii="宋体" w:hAnsi="宋体" w:cs="宋体"/>
          <w:snapToGrid w:val="0"/>
          <w:color w:val="auto"/>
          <w:szCs w:val="21"/>
          <w:highlight w:val="none"/>
        </w:rPr>
      </w:pPr>
      <w:r>
        <w:rPr>
          <w:rFonts w:hint="eastAsia" w:ascii="宋体" w:hAnsi="宋体" w:cs="宋体"/>
          <w:snapToGrid w:val="0"/>
          <w:color w:val="auto"/>
          <w:szCs w:val="21"/>
          <w:highlight w:val="none"/>
        </w:rPr>
        <w:t>3、设计单位在明确分工各负其责的基础上，按照招标文件所列要求承诺为本项目合同约定项目指定的设计总负责人、各专业设计负责人、各专业设计人、报建协调人，并向建设管理单位出具相应的授权文件。</w:t>
      </w:r>
    </w:p>
    <w:p w14:paraId="082BF882">
      <w:pPr>
        <w:rPr>
          <w:rFonts w:hint="eastAsia" w:ascii="宋体" w:hAnsi="宋体" w:cs="宋体"/>
          <w:snapToGrid w:val="0"/>
          <w:color w:val="auto"/>
          <w:szCs w:val="21"/>
          <w:highlight w:val="none"/>
        </w:rPr>
      </w:pPr>
      <w:r>
        <w:rPr>
          <w:rFonts w:hint="eastAsia" w:ascii="宋体" w:hAnsi="宋体" w:cs="宋体"/>
          <w:snapToGrid w:val="0"/>
          <w:color w:val="auto"/>
          <w:szCs w:val="21"/>
          <w:highlight w:val="none"/>
        </w:rPr>
        <w:t>4、项目设计总负责人，各专业设计负责人应能够胜任所承担任务的设计、组织、计划、协调工作。</w:t>
      </w:r>
    </w:p>
    <w:p w14:paraId="76F3F40E">
      <w:pPr>
        <w:rPr>
          <w:rFonts w:hint="eastAsia" w:ascii="宋体" w:hAnsi="宋体" w:cs="宋体"/>
          <w:snapToGrid w:val="0"/>
          <w:color w:val="auto"/>
          <w:szCs w:val="21"/>
          <w:highlight w:val="none"/>
        </w:rPr>
      </w:pPr>
      <w:r>
        <w:rPr>
          <w:rFonts w:hint="eastAsia" w:ascii="宋体" w:hAnsi="宋体" w:cs="宋体"/>
          <w:snapToGrid w:val="0"/>
          <w:color w:val="auto"/>
          <w:szCs w:val="21"/>
          <w:highlight w:val="none"/>
        </w:rPr>
        <w:t>5、须报送项目设计总负责人、各专业设计负责人、其他参与设计工作的人员姓名、年龄、学历、专业、职称、职务、相关经历和主要技术成果以及在本合同约定项目中负责的设计任务等资料。</w:t>
      </w:r>
    </w:p>
    <w:p w14:paraId="10CB7AB7">
      <w:pPr>
        <w:rPr>
          <w:rFonts w:hint="eastAsia" w:ascii="宋体" w:hAnsi="宋体" w:cs="宋体"/>
          <w:snapToGrid w:val="0"/>
          <w:color w:val="auto"/>
          <w:szCs w:val="21"/>
          <w:highlight w:val="none"/>
        </w:rPr>
      </w:pPr>
      <w:r>
        <w:rPr>
          <w:rFonts w:hint="eastAsia" w:ascii="宋体" w:hAnsi="宋体" w:cs="宋体"/>
          <w:snapToGrid w:val="0"/>
          <w:color w:val="auto"/>
          <w:szCs w:val="21"/>
          <w:highlight w:val="none"/>
        </w:rPr>
        <w:t>6、必须保证参与本项目各设计单位人员的稳定性，不可随意撤换，且短时离开本地须向项目承建单位请假并制定离开后的协调人，否则必须承担相应责任。</w:t>
      </w:r>
    </w:p>
    <w:p w14:paraId="508C3056">
      <w:pPr>
        <w:rPr>
          <w:rFonts w:hint="eastAsia" w:ascii="宋体" w:hAnsi="宋体" w:cs="宋体"/>
          <w:snapToGrid w:val="0"/>
          <w:color w:val="auto"/>
          <w:szCs w:val="21"/>
          <w:highlight w:val="none"/>
        </w:rPr>
      </w:pPr>
      <w:r>
        <w:rPr>
          <w:rFonts w:hint="eastAsia" w:ascii="宋体" w:hAnsi="宋体" w:cs="宋体"/>
          <w:snapToGrid w:val="0"/>
          <w:color w:val="auto"/>
          <w:szCs w:val="21"/>
          <w:highlight w:val="none"/>
        </w:rPr>
        <w:t>7、设计单位的设计人员数量、专业水平、专业配套等达不到设计所需时，需更换及补充设计人员；未能在指定时间内及时更换和补充的，将视为违约行为, 项目承建单位将根据对项目设计(咨询)单位综合考评办法予以相应的处罚。</w:t>
      </w:r>
    </w:p>
    <w:p w14:paraId="4DEF381E">
      <w:pPr>
        <w:rPr>
          <w:rFonts w:hint="eastAsia" w:ascii="宋体" w:hAnsi="宋体" w:cs="宋体"/>
          <w:snapToGrid w:val="0"/>
          <w:color w:val="auto"/>
          <w:szCs w:val="21"/>
          <w:highlight w:val="none"/>
        </w:rPr>
      </w:pPr>
      <w:r>
        <w:rPr>
          <w:rFonts w:hint="eastAsia" w:ascii="宋体" w:hAnsi="宋体" w:cs="宋体"/>
          <w:snapToGrid w:val="0"/>
          <w:color w:val="auto"/>
          <w:szCs w:val="21"/>
          <w:highlight w:val="none"/>
        </w:rPr>
        <w:t>8.项目设计、实施过程中，投标人的设计项目负责人、各专业设负责人及相关专业人员（可按照专业施工进度分专业参加）需参加由招标人组织的方案汇报会、协调会、设计交底会、图纸会审会、每周在施工现场组织召开的设计例会和工程例会、技术问题协调会、看样定板会、设计巡场，及时解决现场技术问题，并按照招标人相应管理制度和办法开展相应工作。</w:t>
      </w:r>
    </w:p>
    <w:p w14:paraId="4B89DE22">
      <w:pPr>
        <w:rPr>
          <w:rFonts w:hint="eastAsia" w:ascii="宋体" w:hAnsi="宋体" w:cs="宋体"/>
          <w:snapToGrid w:val="0"/>
          <w:color w:val="auto"/>
          <w:kern w:val="0"/>
          <w:szCs w:val="21"/>
          <w:highlight w:val="none"/>
        </w:rPr>
      </w:pPr>
      <w:r>
        <w:rPr>
          <w:rFonts w:hint="eastAsia" w:ascii="宋体" w:hAnsi="宋体" w:cs="宋体"/>
          <w:snapToGrid w:val="0"/>
          <w:color w:val="auto"/>
          <w:szCs w:val="21"/>
          <w:highlight w:val="none"/>
        </w:rPr>
        <w:t>9、设计单位应安排专人（至少2名）全面配合跟进所有报审报建工作（包括提供项目承建单位报审报建及有关外出协调所需的交通便利，</w:t>
      </w:r>
      <w:r>
        <w:rPr>
          <w:rFonts w:hint="eastAsia" w:ascii="宋体" w:hAnsi="宋体" w:cs="宋体"/>
          <w:snapToGrid w:val="0"/>
          <w:color w:val="auto"/>
          <w:kern w:val="0"/>
          <w:szCs w:val="21"/>
          <w:highlight w:val="none"/>
        </w:rPr>
        <w:t>办公设备、加晒加印图纸资料等</w:t>
      </w:r>
      <w:r>
        <w:rPr>
          <w:rFonts w:hint="eastAsia" w:ascii="宋体" w:hAnsi="宋体" w:cs="宋体"/>
          <w:snapToGrid w:val="0"/>
          <w:color w:val="auto"/>
          <w:szCs w:val="21"/>
          <w:highlight w:val="none"/>
        </w:rPr>
        <w:t>相关报建费用、</w:t>
      </w:r>
      <w:r>
        <w:rPr>
          <w:rFonts w:hint="eastAsia" w:ascii="宋体" w:hAnsi="宋体" w:cs="宋体"/>
          <w:snapToGrid w:val="0"/>
          <w:color w:val="auto"/>
          <w:kern w:val="0"/>
          <w:szCs w:val="21"/>
          <w:highlight w:val="none"/>
        </w:rPr>
        <w:t>各阶段的汇报文件和送审文件晒制等费用</w:t>
      </w:r>
      <w:r>
        <w:rPr>
          <w:rFonts w:hint="eastAsia" w:ascii="宋体" w:hAnsi="宋体" w:cs="宋体"/>
          <w:snapToGrid w:val="0"/>
          <w:color w:val="auto"/>
          <w:szCs w:val="21"/>
          <w:highlight w:val="none"/>
        </w:rPr>
        <w:t>已包含在勘察设计费中）</w:t>
      </w:r>
      <w:r>
        <w:rPr>
          <w:rFonts w:hint="eastAsia" w:ascii="宋体" w:hAnsi="宋体" w:cs="宋体"/>
          <w:b/>
          <w:snapToGrid w:val="0"/>
          <w:color w:val="auto"/>
          <w:szCs w:val="21"/>
          <w:highlight w:val="none"/>
        </w:rPr>
        <w:t>。</w:t>
      </w:r>
    </w:p>
    <w:p w14:paraId="41904490">
      <w:pPr>
        <w:pStyle w:val="4"/>
        <w:spacing w:before="120" w:after="120"/>
        <w:rPr>
          <w:rFonts w:hint="eastAsia" w:ascii="宋体" w:hAnsi="宋体" w:eastAsia="宋体" w:cs="宋体"/>
          <w:b/>
          <w:bCs w:val="0"/>
          <w:color w:val="auto"/>
          <w:highlight w:val="none"/>
        </w:rPr>
      </w:pPr>
      <w:bookmarkStart w:id="357" w:name="_Toc21725"/>
      <w:bookmarkStart w:id="358" w:name="_Toc19854"/>
      <w:bookmarkStart w:id="359" w:name="_Toc6982"/>
      <w:bookmarkStart w:id="360" w:name="_Toc30144_WPSOffice_Level2"/>
      <w:bookmarkStart w:id="361" w:name="_Toc13156"/>
      <w:bookmarkStart w:id="362" w:name="_Toc12286"/>
      <w:r>
        <w:rPr>
          <w:rFonts w:hint="eastAsia" w:ascii="宋体" w:hAnsi="宋体" w:eastAsia="宋体" w:cs="宋体"/>
          <w:b/>
          <w:bCs w:val="0"/>
          <w:color w:val="auto"/>
          <w:highlight w:val="none"/>
        </w:rPr>
        <w:t>4.2驻场人员要求</w:t>
      </w:r>
      <w:bookmarkEnd w:id="357"/>
      <w:bookmarkEnd w:id="358"/>
      <w:bookmarkEnd w:id="359"/>
      <w:bookmarkEnd w:id="360"/>
      <w:bookmarkEnd w:id="361"/>
      <w:bookmarkEnd w:id="362"/>
    </w:p>
    <w:p w14:paraId="5923D397">
      <w:pPr>
        <w:rPr>
          <w:rFonts w:hint="eastAsia" w:ascii="宋体" w:hAnsi="宋体" w:cs="宋体"/>
          <w:color w:val="auto"/>
          <w:szCs w:val="21"/>
          <w:highlight w:val="none"/>
        </w:rPr>
      </w:pPr>
      <w:r>
        <w:rPr>
          <w:rFonts w:hint="eastAsia" w:ascii="宋体" w:hAnsi="宋体" w:cs="宋体"/>
          <w:snapToGrid w:val="0"/>
          <w:color w:val="auto"/>
          <w:szCs w:val="21"/>
          <w:highlight w:val="none"/>
        </w:rPr>
        <w:t>根据建设管理需要，应设立驻场项目组，项目组包括各专业人员至少</w:t>
      </w:r>
      <w:r>
        <w:rPr>
          <w:rFonts w:hint="eastAsia" w:ascii="宋体" w:hAnsi="宋体" w:cs="宋体"/>
          <w:snapToGrid w:val="0"/>
          <w:color w:val="auto"/>
          <w:szCs w:val="21"/>
          <w:highlight w:val="none"/>
          <w:u w:val="single"/>
        </w:rPr>
        <w:t xml:space="preserve"> 1 </w:t>
      </w:r>
      <w:r>
        <w:rPr>
          <w:rFonts w:hint="eastAsia" w:ascii="宋体" w:hAnsi="宋体" w:cs="宋体"/>
          <w:snapToGrid w:val="0"/>
          <w:color w:val="auto"/>
          <w:szCs w:val="21"/>
          <w:highlight w:val="none"/>
        </w:rPr>
        <w:t>名以上，按甲方</w:t>
      </w:r>
      <w:r>
        <w:rPr>
          <w:rFonts w:hint="eastAsia" w:ascii="宋体" w:hAnsi="宋体" w:cs="宋体"/>
          <w:color w:val="auto"/>
          <w:szCs w:val="21"/>
          <w:highlight w:val="none"/>
        </w:rPr>
        <w:t>要求负责跟进至现场竣工验收为止。人员要求见表4-2。</w:t>
      </w:r>
    </w:p>
    <w:p w14:paraId="37577DFF">
      <w:pPr>
        <w:jc w:val="center"/>
        <w:rPr>
          <w:rFonts w:hint="eastAsia" w:ascii="宋体" w:hAnsi="宋体" w:cs="宋体"/>
          <w:color w:val="auto"/>
          <w:szCs w:val="21"/>
          <w:highlight w:val="none"/>
        </w:rPr>
      </w:pPr>
      <w:r>
        <w:rPr>
          <w:rFonts w:hint="eastAsia" w:ascii="宋体" w:hAnsi="宋体" w:cs="宋体"/>
          <w:color w:val="auto"/>
          <w:szCs w:val="21"/>
          <w:highlight w:val="none"/>
        </w:rPr>
        <w:t>表4-2驻场人员要求</w:t>
      </w:r>
    </w:p>
    <w:tbl>
      <w:tblPr>
        <w:tblStyle w:val="19"/>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4782"/>
        <w:gridCol w:w="2589"/>
      </w:tblGrid>
      <w:tr w14:paraId="2B3AC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Align w:val="center"/>
          </w:tcPr>
          <w:p w14:paraId="1AD00E2B">
            <w:pPr>
              <w:ind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rPr>
              <w:t>人员分工</w:t>
            </w:r>
          </w:p>
        </w:tc>
        <w:tc>
          <w:tcPr>
            <w:tcW w:w="4782" w:type="dxa"/>
            <w:vAlign w:val="center"/>
          </w:tcPr>
          <w:p w14:paraId="00236567">
            <w:pPr>
              <w:ind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rPr>
              <w:t>相关要求</w:t>
            </w:r>
          </w:p>
        </w:tc>
        <w:tc>
          <w:tcPr>
            <w:tcW w:w="2589" w:type="dxa"/>
            <w:vAlign w:val="center"/>
          </w:tcPr>
          <w:p w14:paraId="61ED880F">
            <w:pPr>
              <w:ind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rPr>
              <w:t>最低投入人数要求</w:t>
            </w:r>
          </w:p>
        </w:tc>
      </w:tr>
      <w:tr w14:paraId="20B82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Align w:val="center"/>
          </w:tcPr>
          <w:p w14:paraId="0FC149AC">
            <w:pPr>
              <w:ind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rPr>
              <w:t>单位驻场人员</w:t>
            </w:r>
          </w:p>
        </w:tc>
        <w:tc>
          <w:tcPr>
            <w:tcW w:w="4782" w:type="dxa"/>
            <w:vAlign w:val="center"/>
          </w:tcPr>
          <w:p w14:paraId="351998CE">
            <w:pPr>
              <w:jc w:val="left"/>
              <w:rPr>
                <w:color w:val="auto"/>
                <w:highlight w:val="none"/>
              </w:rPr>
            </w:pPr>
            <w:r>
              <w:rPr>
                <w:rFonts w:hint="eastAsia"/>
                <w:color w:val="auto"/>
                <w:highlight w:val="none"/>
              </w:rPr>
              <w:t>根据项目工作开展要求，应派</w:t>
            </w:r>
            <w:r>
              <w:rPr>
                <w:rFonts w:hint="eastAsia"/>
                <w:color w:val="auto"/>
                <w:highlight w:val="none"/>
                <w:u w:val="single"/>
              </w:rPr>
              <w:t>建筑、结构</w:t>
            </w:r>
            <w:r>
              <w:rPr>
                <w:rFonts w:hint="eastAsia"/>
                <w:color w:val="auto"/>
                <w:highlight w:val="none"/>
              </w:rPr>
              <w:t>等专业人员到招标人单位驻场，应熟悉项目报审报建工作，协助项目推进。驻场人员年薪已包含在设计费用中，不另外计费。</w:t>
            </w:r>
          </w:p>
        </w:tc>
        <w:tc>
          <w:tcPr>
            <w:tcW w:w="2589" w:type="dxa"/>
            <w:vAlign w:val="center"/>
          </w:tcPr>
          <w:p w14:paraId="31A00200">
            <w:pPr>
              <w:ind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名</w:t>
            </w:r>
          </w:p>
        </w:tc>
      </w:tr>
      <w:tr w14:paraId="6AB85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Align w:val="center"/>
          </w:tcPr>
          <w:p w14:paraId="453F7BE1">
            <w:pPr>
              <w:ind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rPr>
              <w:t>现场驻场人员</w:t>
            </w:r>
          </w:p>
        </w:tc>
        <w:tc>
          <w:tcPr>
            <w:tcW w:w="4782" w:type="dxa"/>
            <w:vAlign w:val="center"/>
          </w:tcPr>
          <w:p w14:paraId="357B8442">
            <w:pPr>
              <w:rPr>
                <w:rFonts w:hint="eastAsia" w:ascii="宋体" w:hAnsi="宋体" w:cs="宋体"/>
                <w:color w:val="auto"/>
                <w:szCs w:val="21"/>
                <w:highlight w:val="none"/>
              </w:rPr>
            </w:pPr>
            <w:r>
              <w:rPr>
                <w:rFonts w:hint="eastAsia"/>
                <w:color w:val="auto"/>
                <w:highlight w:val="none"/>
              </w:rPr>
              <w:t>根据项目进度驻场，具有</w:t>
            </w:r>
            <w:r>
              <w:rPr>
                <w:rFonts w:hint="eastAsia"/>
                <w:color w:val="auto"/>
                <w:highlight w:val="none"/>
                <w:u w:val="single"/>
              </w:rPr>
              <w:t xml:space="preserve"> 建筑、结构、机电等  </w:t>
            </w:r>
            <w:r>
              <w:rPr>
                <w:rFonts w:hint="eastAsia"/>
                <w:color w:val="auto"/>
                <w:highlight w:val="none"/>
              </w:rPr>
              <w:t>相应专业中级或以上技术职称，熟悉BIM模型运用。驻场人员年薪已包含在设计费用中，不另外计费。</w:t>
            </w:r>
          </w:p>
        </w:tc>
        <w:tc>
          <w:tcPr>
            <w:tcW w:w="2589" w:type="dxa"/>
            <w:vAlign w:val="center"/>
          </w:tcPr>
          <w:p w14:paraId="3E504146">
            <w:pPr>
              <w:ind w:firstLine="0" w:firstLineChars="0"/>
              <w:jc w:val="center"/>
              <w:rPr>
                <w:rFonts w:hint="eastAsia" w:ascii="宋体" w:hAnsi="宋体" w:cs="宋体"/>
                <w:color w:val="auto"/>
                <w:szCs w:val="21"/>
                <w:highlight w:val="none"/>
              </w:rPr>
            </w:pPr>
            <w:r>
              <w:rPr>
                <w:rFonts w:hint="eastAsia" w:ascii="宋体" w:hAnsi="宋体" w:cs="宋体"/>
                <w:color w:val="auto"/>
                <w:szCs w:val="21"/>
                <w:highlight w:val="none"/>
              </w:rPr>
              <w:t>各专业人员各1名</w:t>
            </w:r>
          </w:p>
        </w:tc>
      </w:tr>
    </w:tbl>
    <w:p w14:paraId="5C0F1A8B">
      <w:pPr>
        <w:rPr>
          <w:rFonts w:hint="eastAsia" w:ascii="宋体" w:hAnsi="宋体" w:cs="宋体"/>
          <w:snapToGrid w:val="0"/>
          <w:color w:val="auto"/>
          <w:szCs w:val="21"/>
          <w:highlight w:val="none"/>
        </w:rPr>
      </w:pPr>
      <w:r>
        <w:rPr>
          <w:rFonts w:hint="eastAsia" w:ascii="宋体" w:hAnsi="宋体" w:cs="宋体"/>
          <w:snapToGrid w:val="0"/>
          <w:color w:val="auto"/>
          <w:szCs w:val="21"/>
          <w:highlight w:val="none"/>
        </w:rPr>
        <w:t>1、若投标人的设计工作不能满足本项目的质量和进度控制要求，投标人需根据招标人的要求进行驻场设计，各专业设计人和项目负责人员须驻场设计，时间可从签订设计合同开始到竣工验收完成为止。设计单位应配备电脑、彩色打印机、扫描仪等设备。</w:t>
      </w:r>
    </w:p>
    <w:p w14:paraId="582879D1">
      <w:pPr>
        <w:rPr>
          <w:rFonts w:hint="eastAsia" w:ascii="宋体" w:hAnsi="宋体" w:cs="宋体"/>
          <w:color w:val="auto"/>
          <w:szCs w:val="21"/>
          <w:highlight w:val="none"/>
        </w:rPr>
      </w:pPr>
      <w:r>
        <w:rPr>
          <w:rFonts w:hint="eastAsia" w:ascii="宋体" w:hAnsi="宋体" w:cs="宋体"/>
          <w:color w:val="auto"/>
          <w:szCs w:val="21"/>
          <w:highlight w:val="none"/>
        </w:rPr>
        <w:t>2、乙方需在驻场期间配置一台服务器、一台工作站、一台PC机，安装配套软件、运行及存储本项目数据，项目结束后可撤离，但所存储的数据移交甲方。</w:t>
      </w:r>
    </w:p>
    <w:p w14:paraId="03CB4026">
      <w:pPr>
        <w:rPr>
          <w:rFonts w:hint="eastAsia" w:ascii="宋体" w:hAnsi="宋体" w:cs="宋体"/>
          <w:color w:val="auto"/>
          <w:szCs w:val="21"/>
          <w:highlight w:val="none"/>
        </w:rPr>
      </w:pPr>
      <w:r>
        <w:rPr>
          <w:rFonts w:hint="eastAsia" w:ascii="宋体" w:hAnsi="宋体" w:cs="宋体"/>
          <w:color w:val="auto"/>
          <w:szCs w:val="21"/>
          <w:highlight w:val="none"/>
        </w:rPr>
        <w:t>3、乙方驻场人员应满足招标文件及合同条款的相关要求，并全部统一纳入甲方的统一管理，其出勤、休假等考勤由甲方负责。乙方驻场人员只为本合同招标人服务，设计单位不得再安排其参与设计单位的其他工作。</w:t>
      </w:r>
    </w:p>
    <w:p w14:paraId="5B68A7B1">
      <w:pPr>
        <w:rPr>
          <w:rFonts w:hint="eastAsia" w:ascii="宋体" w:hAnsi="宋体" w:cs="宋体"/>
          <w:color w:val="auto"/>
          <w:szCs w:val="21"/>
          <w:highlight w:val="none"/>
        </w:rPr>
      </w:pPr>
      <w:r>
        <w:rPr>
          <w:rFonts w:hint="eastAsia" w:ascii="宋体" w:hAnsi="宋体" w:cs="宋体"/>
          <w:color w:val="auto"/>
          <w:szCs w:val="21"/>
          <w:highlight w:val="none"/>
        </w:rPr>
        <w:t>4、乙方驻场人员的名单须在进场前提交甲方审核，乙方驻场设计组的人员数量、专业水平、专业配套以及设备设施须满足设计质量与进度的需要。甲方有权根据实际情况中对乙方的驻场人员进行适当调整。</w:t>
      </w:r>
    </w:p>
    <w:p w14:paraId="2CBD99E9">
      <w:pPr>
        <w:rPr>
          <w:rFonts w:hint="eastAsia" w:ascii="宋体" w:hAnsi="宋体" w:cs="宋体"/>
          <w:color w:val="auto"/>
          <w:szCs w:val="21"/>
          <w:highlight w:val="none"/>
        </w:rPr>
      </w:pPr>
      <w:r>
        <w:rPr>
          <w:rFonts w:hint="eastAsia" w:ascii="宋体" w:hAnsi="宋体" w:cs="宋体"/>
          <w:color w:val="auto"/>
          <w:szCs w:val="21"/>
          <w:highlight w:val="none"/>
        </w:rPr>
        <w:t>5、乙方应保证驻场人员的稳定性，原则在驻场期间上不得更换，确须更换的应向甲方提出书面报告且征得同意后方可更换。</w:t>
      </w:r>
    </w:p>
    <w:p w14:paraId="00B39574">
      <w:pPr>
        <w:rPr>
          <w:rFonts w:hint="eastAsia" w:ascii="宋体" w:hAnsi="宋体" w:cs="宋体"/>
          <w:color w:val="auto"/>
          <w:highlight w:val="none"/>
        </w:rPr>
        <w:sectPr>
          <w:headerReference r:id="rId13" w:type="default"/>
          <w:footerReference r:id="rId14" w:type="default"/>
          <w:footnotePr>
            <w:numRestart w:val="eachPage"/>
          </w:footnotePr>
          <w:pgSz w:w="11906" w:h="16838"/>
          <w:pgMar w:top="1418" w:right="1418" w:bottom="1418" w:left="1418" w:header="851" w:footer="992" w:gutter="0"/>
          <w:cols w:space="720" w:num="1"/>
          <w:docGrid w:linePitch="312" w:charSpace="0"/>
        </w:sectPr>
      </w:pPr>
    </w:p>
    <w:p w14:paraId="5D8F4BBA">
      <w:pPr>
        <w:pStyle w:val="3"/>
        <w:spacing w:before="120" w:after="120"/>
        <w:rPr>
          <w:color w:val="auto"/>
          <w:highlight w:val="none"/>
        </w:rPr>
      </w:pPr>
      <w:bookmarkStart w:id="363" w:name="_Toc18013"/>
      <w:bookmarkStart w:id="364" w:name="_Toc30205"/>
      <w:bookmarkStart w:id="365" w:name="_Toc19544"/>
      <w:bookmarkStart w:id="366" w:name="_Toc29122"/>
      <w:bookmarkStart w:id="367" w:name="_Toc7560"/>
      <w:bookmarkStart w:id="368" w:name="_Toc29649"/>
      <w:bookmarkStart w:id="369" w:name="_Toc18252"/>
      <w:bookmarkStart w:id="370" w:name="_Toc28064"/>
      <w:bookmarkStart w:id="371" w:name="_Toc10573_WPSOffice_Level1"/>
      <w:r>
        <w:rPr>
          <w:rFonts w:hint="eastAsia"/>
          <w:color w:val="auto"/>
          <w:highlight w:val="none"/>
        </w:rPr>
        <w:t>第五章 勘察设计成果提交要求</w:t>
      </w:r>
      <w:bookmarkEnd w:id="363"/>
      <w:bookmarkEnd w:id="364"/>
      <w:bookmarkEnd w:id="365"/>
      <w:bookmarkEnd w:id="366"/>
      <w:bookmarkEnd w:id="367"/>
      <w:bookmarkEnd w:id="368"/>
      <w:bookmarkEnd w:id="369"/>
      <w:bookmarkEnd w:id="370"/>
      <w:bookmarkEnd w:id="371"/>
    </w:p>
    <w:p w14:paraId="0CBFEEDB">
      <w:pPr>
        <w:pStyle w:val="4"/>
        <w:spacing w:before="120" w:after="120"/>
        <w:rPr>
          <w:color w:val="auto"/>
          <w:highlight w:val="none"/>
        </w:rPr>
      </w:pPr>
      <w:bookmarkStart w:id="372" w:name="_Toc18792"/>
      <w:bookmarkStart w:id="373" w:name="_Toc22967"/>
      <w:bookmarkStart w:id="374" w:name="_Toc23814_WPSOffice_Level2"/>
      <w:bookmarkStart w:id="375" w:name="_Toc15391"/>
      <w:bookmarkStart w:id="376" w:name="_Toc31381"/>
      <w:bookmarkStart w:id="377" w:name="_Toc31372"/>
      <w:bookmarkStart w:id="378" w:name="_Toc7070"/>
      <w:bookmarkStart w:id="379" w:name="_Toc18488"/>
      <w:bookmarkStart w:id="380" w:name="_Toc24636"/>
      <w:r>
        <w:rPr>
          <w:rFonts w:hint="eastAsia"/>
          <w:color w:val="auto"/>
          <w:highlight w:val="none"/>
        </w:rPr>
        <w:t>5.1通用要求</w:t>
      </w:r>
      <w:bookmarkEnd w:id="372"/>
      <w:bookmarkEnd w:id="373"/>
      <w:bookmarkEnd w:id="374"/>
      <w:bookmarkEnd w:id="375"/>
      <w:bookmarkEnd w:id="376"/>
      <w:bookmarkEnd w:id="377"/>
      <w:bookmarkEnd w:id="378"/>
      <w:bookmarkEnd w:id="379"/>
      <w:bookmarkEnd w:id="380"/>
    </w:p>
    <w:p w14:paraId="655E9BBC">
      <w:pPr>
        <w:rPr>
          <w:rFonts w:hint="eastAsia" w:ascii="宋体" w:hAnsi="宋体" w:cs="宋体"/>
          <w:color w:val="auto"/>
          <w:szCs w:val="21"/>
          <w:highlight w:val="none"/>
        </w:rPr>
      </w:pPr>
      <w:r>
        <w:rPr>
          <w:rFonts w:hint="eastAsia" w:ascii="宋体" w:hAnsi="宋体" w:cs="宋体"/>
          <w:color w:val="auto"/>
          <w:szCs w:val="21"/>
          <w:highlight w:val="none"/>
        </w:rPr>
        <w:t>1、设计成果文件要求齐全、完整，内容、深度应符合规定，文字说明、图纸要准确清晰,各阶段设计应达到中华人民共和国建设部颁发的《建筑工程设计文件编制深度规定（2016版）》、《市政公用工程设计文件编制深度规定（2013版）》设计阶段深度。</w:t>
      </w:r>
    </w:p>
    <w:p w14:paraId="3B0D8701">
      <w:pPr>
        <w:rPr>
          <w:rFonts w:hint="eastAsia" w:ascii="宋体" w:hAnsi="宋体" w:cs="宋体"/>
          <w:color w:val="auto"/>
          <w:szCs w:val="21"/>
          <w:highlight w:val="none"/>
        </w:rPr>
      </w:pPr>
      <w:r>
        <w:rPr>
          <w:rFonts w:hint="eastAsia" w:ascii="宋体" w:hAnsi="宋体" w:cs="宋体"/>
          <w:color w:val="auto"/>
          <w:szCs w:val="21"/>
          <w:highlight w:val="none"/>
        </w:rPr>
        <w:t>2、凡是涉及到报批报建图纸文件，均需要按专业主管部门的报审要求，按时报送，并负责通过审批。</w:t>
      </w:r>
    </w:p>
    <w:p w14:paraId="17B6C670">
      <w:pPr>
        <w:pStyle w:val="4"/>
        <w:spacing w:before="120" w:after="120"/>
        <w:rPr>
          <w:color w:val="auto"/>
          <w:highlight w:val="none"/>
        </w:rPr>
      </w:pPr>
      <w:bookmarkStart w:id="381" w:name="_Toc6828_WPSOffice_Level2"/>
      <w:bookmarkStart w:id="382" w:name="_Toc28468"/>
      <w:bookmarkStart w:id="383" w:name="_Toc24522"/>
      <w:bookmarkStart w:id="384" w:name="_Toc13426"/>
      <w:bookmarkStart w:id="385" w:name="_Toc12801"/>
      <w:bookmarkStart w:id="386" w:name="_Toc9208"/>
      <w:bookmarkStart w:id="387" w:name="_Toc19247"/>
      <w:bookmarkStart w:id="388" w:name="_Toc10468"/>
      <w:bookmarkStart w:id="389" w:name="_Toc19313"/>
      <w:r>
        <w:rPr>
          <w:rFonts w:hint="eastAsia"/>
          <w:color w:val="auto"/>
          <w:highlight w:val="none"/>
        </w:rPr>
        <w:t>5.2竞标成果具体内容和要求</w:t>
      </w:r>
      <w:bookmarkEnd w:id="381"/>
      <w:bookmarkEnd w:id="382"/>
      <w:bookmarkEnd w:id="383"/>
      <w:bookmarkEnd w:id="384"/>
      <w:bookmarkEnd w:id="385"/>
      <w:bookmarkEnd w:id="386"/>
      <w:bookmarkEnd w:id="387"/>
      <w:bookmarkEnd w:id="388"/>
      <w:bookmarkEnd w:id="389"/>
    </w:p>
    <w:p w14:paraId="2B9876DD">
      <w:pPr>
        <w:pStyle w:val="5"/>
        <w:spacing w:before="120" w:after="120"/>
        <w:rPr>
          <w:color w:val="auto"/>
          <w:highlight w:val="none"/>
        </w:rPr>
      </w:pPr>
      <w:bookmarkStart w:id="390" w:name="_Toc24836"/>
      <w:bookmarkStart w:id="391" w:name="_Toc22583"/>
      <w:bookmarkStart w:id="392" w:name="_Toc29302"/>
      <w:r>
        <w:rPr>
          <w:rFonts w:hint="eastAsia"/>
          <w:color w:val="auto"/>
          <w:highlight w:val="none"/>
        </w:rPr>
        <w:t>5.2.1竞标设计文件内容</w:t>
      </w:r>
      <w:bookmarkEnd w:id="390"/>
      <w:bookmarkEnd w:id="391"/>
      <w:bookmarkEnd w:id="392"/>
    </w:p>
    <w:p w14:paraId="45E587D6">
      <w:pPr>
        <w:widowControl/>
        <w:jc w:val="left"/>
        <w:rPr>
          <w:rFonts w:hint="eastAsia" w:ascii="宋体" w:hAnsi="宋体" w:cs="Courier New"/>
          <w:snapToGrid w:val="0"/>
          <w:color w:val="auto"/>
          <w:highlight w:val="none"/>
        </w:rPr>
      </w:pPr>
      <w:r>
        <w:rPr>
          <w:rFonts w:hint="eastAsia" w:ascii="宋体" w:hAnsi="宋体" w:cs="Courier New"/>
          <w:snapToGrid w:val="0"/>
          <w:color w:val="auto"/>
          <w:highlight w:val="none"/>
        </w:rPr>
        <w:t>设计说明书。内容包括：项目概况；现状及存在问题的分析；方案设计理念及推导；设计总说明；相关技术难点说明；其他必要说明；投资估算等。</w:t>
      </w:r>
    </w:p>
    <w:p w14:paraId="6D41456C">
      <w:pPr>
        <w:widowControl/>
        <w:jc w:val="left"/>
        <w:rPr>
          <w:rFonts w:hint="eastAsia" w:ascii="宋体" w:hAnsi="宋体" w:cs="Courier New"/>
          <w:snapToGrid w:val="0"/>
          <w:color w:val="auto"/>
          <w:highlight w:val="none"/>
        </w:rPr>
      </w:pPr>
      <w:r>
        <w:rPr>
          <w:rFonts w:hint="eastAsia" w:ascii="宋体" w:hAnsi="宋体" w:cs="Courier New"/>
          <w:snapToGrid w:val="0"/>
          <w:color w:val="auto"/>
          <w:highlight w:val="none"/>
        </w:rPr>
        <w:t>分区总控管理策划说明。内容应充分阐述投标人对分区总控单位在设计架构中的位置的理解；清晰职责；明确工作内容；根据设计架构明确与其他单位的工作流程。</w:t>
      </w:r>
    </w:p>
    <w:p w14:paraId="361D919F">
      <w:pPr>
        <w:widowControl/>
        <w:jc w:val="left"/>
        <w:rPr>
          <w:rFonts w:hint="eastAsia" w:ascii="宋体" w:hAnsi="宋体" w:cs="Courier New"/>
          <w:snapToGrid w:val="0"/>
          <w:color w:val="auto"/>
          <w:highlight w:val="none"/>
        </w:rPr>
      </w:pPr>
      <w:r>
        <w:rPr>
          <w:rFonts w:hint="eastAsia" w:ascii="宋体" w:hAnsi="宋体" w:cs="Courier New"/>
          <w:snapToGrid w:val="0"/>
          <w:color w:val="auto"/>
          <w:highlight w:val="none"/>
        </w:rPr>
        <w:t>设计图纸包括效果图、各层总平面图，主要位置剖、立面图，景观节点设计平面图与透视图。</w:t>
      </w:r>
    </w:p>
    <w:p w14:paraId="35E860EA">
      <w:pPr>
        <w:pStyle w:val="5"/>
        <w:spacing w:before="120" w:after="120"/>
        <w:rPr>
          <w:color w:val="auto"/>
          <w:highlight w:val="none"/>
        </w:rPr>
      </w:pPr>
      <w:bookmarkStart w:id="393" w:name="_Toc9625"/>
      <w:bookmarkStart w:id="394" w:name="_Toc16416"/>
      <w:bookmarkStart w:id="395" w:name="_Toc11592"/>
      <w:r>
        <w:rPr>
          <w:rFonts w:hint="eastAsia"/>
          <w:color w:val="auto"/>
          <w:highlight w:val="none"/>
        </w:rPr>
        <w:t>5.2.2竞标提交技术文件成果要求</w:t>
      </w:r>
      <w:bookmarkEnd w:id="393"/>
      <w:bookmarkEnd w:id="394"/>
      <w:bookmarkEnd w:id="395"/>
    </w:p>
    <w:p w14:paraId="5E63BBF5">
      <w:pPr>
        <w:widowControl/>
        <w:jc w:val="left"/>
        <w:rPr>
          <w:rFonts w:hint="eastAsia" w:ascii="宋体" w:hAnsi="宋体" w:cs="Courier New"/>
          <w:snapToGrid w:val="0"/>
          <w:color w:val="auto"/>
          <w:highlight w:val="none"/>
        </w:rPr>
      </w:pPr>
      <w:r>
        <w:rPr>
          <w:rFonts w:hint="eastAsia" w:ascii="宋体" w:hAnsi="宋体" w:cs="Courier New"/>
          <w:snapToGrid w:val="0"/>
          <w:color w:val="auto"/>
          <w:highlight w:val="none"/>
        </w:rPr>
        <w:t>按招标文件要求。</w:t>
      </w:r>
    </w:p>
    <w:p w14:paraId="58E3CB50">
      <w:pPr>
        <w:pStyle w:val="4"/>
        <w:spacing w:before="120" w:after="120"/>
        <w:rPr>
          <w:color w:val="auto"/>
          <w:highlight w:val="none"/>
        </w:rPr>
      </w:pPr>
      <w:bookmarkStart w:id="396" w:name="_Toc19324_WPSOffice_Level2"/>
      <w:bookmarkStart w:id="397" w:name="_Toc25193"/>
      <w:bookmarkStart w:id="398" w:name="_Toc26141"/>
      <w:bookmarkStart w:id="399" w:name="_Toc28385"/>
      <w:bookmarkStart w:id="400" w:name="_Toc14553"/>
      <w:bookmarkStart w:id="401" w:name="_Toc13866"/>
      <w:bookmarkStart w:id="402" w:name="_Toc12021"/>
      <w:bookmarkStart w:id="403" w:name="_Toc10892"/>
      <w:bookmarkStart w:id="404" w:name="_Toc16967"/>
      <w:r>
        <w:rPr>
          <w:rFonts w:hint="eastAsia"/>
          <w:color w:val="auto"/>
          <w:highlight w:val="none"/>
        </w:rPr>
        <w:t>5.3实施阶段设计成果要求</w:t>
      </w:r>
      <w:bookmarkEnd w:id="396"/>
      <w:bookmarkEnd w:id="397"/>
      <w:bookmarkEnd w:id="398"/>
      <w:bookmarkEnd w:id="399"/>
      <w:bookmarkEnd w:id="400"/>
      <w:bookmarkEnd w:id="401"/>
      <w:bookmarkEnd w:id="402"/>
      <w:bookmarkEnd w:id="403"/>
      <w:bookmarkEnd w:id="404"/>
    </w:p>
    <w:p w14:paraId="1312C584">
      <w:pPr>
        <w:numPr>
          <w:ilvl w:val="0"/>
          <w:numId w:val="3"/>
        </w:numPr>
        <w:ind w:firstLine="480"/>
        <w:rPr>
          <w:rFonts w:hint="eastAsia" w:ascii="宋体" w:hAnsi="宋体" w:cs="宋体"/>
          <w:color w:val="auto"/>
          <w:szCs w:val="21"/>
          <w:highlight w:val="none"/>
        </w:rPr>
      </w:pPr>
      <w:r>
        <w:rPr>
          <w:rFonts w:hint="eastAsia" w:ascii="宋体" w:hAnsi="宋体" w:cs="宋体"/>
          <w:color w:val="auto"/>
          <w:szCs w:val="21"/>
          <w:highlight w:val="none"/>
        </w:rPr>
        <w:t>设计图纸要求（设计图纸包括且不限于以下内容）：要求设计单位在设计阶段全程全部采取BIM设计，并在BIM模型的基础上导出全部图纸。设计图纸包括且不限于以下内容：</w:t>
      </w:r>
    </w:p>
    <w:p w14:paraId="4540E0BD">
      <w:pPr>
        <w:rPr>
          <w:color w:val="auto"/>
          <w:highlight w:val="none"/>
        </w:rPr>
      </w:pPr>
      <w:r>
        <w:rPr>
          <w:rFonts w:hint="eastAsia"/>
          <w:color w:val="auto"/>
          <w:highlight w:val="none"/>
        </w:rPr>
        <w:t>（1）方案设计图</w:t>
      </w:r>
    </w:p>
    <w:p w14:paraId="566F91C1">
      <w:pPr>
        <w:rPr>
          <w:color w:val="auto"/>
          <w:highlight w:val="none"/>
        </w:rPr>
      </w:pPr>
      <w:r>
        <w:rPr>
          <w:rFonts w:hint="eastAsia"/>
          <w:color w:val="auto"/>
          <w:highlight w:val="none"/>
        </w:rPr>
        <w:t>基地区位图</w:t>
      </w:r>
    </w:p>
    <w:p w14:paraId="25DCF11E">
      <w:pPr>
        <w:rPr>
          <w:color w:val="auto"/>
          <w:highlight w:val="none"/>
        </w:rPr>
      </w:pPr>
      <w:r>
        <w:rPr>
          <w:rFonts w:hint="eastAsia"/>
          <w:color w:val="auto"/>
          <w:highlight w:val="none"/>
        </w:rPr>
        <w:t>基地现状图</w:t>
      </w:r>
    </w:p>
    <w:p w14:paraId="5903B7F6">
      <w:pPr>
        <w:rPr>
          <w:color w:val="auto"/>
          <w:highlight w:val="none"/>
        </w:rPr>
      </w:pPr>
      <w:r>
        <w:rPr>
          <w:rFonts w:hint="eastAsia"/>
          <w:color w:val="auto"/>
          <w:highlight w:val="none"/>
        </w:rPr>
        <w:t xml:space="preserve">与周边环境及空间关系分析图 </w:t>
      </w:r>
    </w:p>
    <w:p w14:paraId="441509B8">
      <w:pPr>
        <w:rPr>
          <w:color w:val="auto"/>
          <w:highlight w:val="none"/>
        </w:rPr>
      </w:pPr>
      <w:r>
        <w:rPr>
          <w:rFonts w:hint="eastAsia"/>
          <w:color w:val="auto"/>
          <w:highlight w:val="none"/>
        </w:rPr>
        <w:t>交通系统分析图</w:t>
      </w:r>
    </w:p>
    <w:p w14:paraId="7C44D00A">
      <w:pPr>
        <w:rPr>
          <w:color w:val="auto"/>
          <w:highlight w:val="none"/>
        </w:rPr>
      </w:pPr>
      <w:r>
        <w:rPr>
          <w:rFonts w:hint="eastAsia"/>
          <w:color w:val="auto"/>
          <w:highlight w:val="none"/>
        </w:rPr>
        <w:t>出入口、联系通道、垂直交通、公共交通设施等分布图</w:t>
      </w:r>
    </w:p>
    <w:p w14:paraId="0547DC18">
      <w:pPr>
        <w:rPr>
          <w:color w:val="auto"/>
          <w:highlight w:val="none"/>
        </w:rPr>
      </w:pPr>
      <w:r>
        <w:rPr>
          <w:rFonts w:hint="eastAsia"/>
          <w:color w:val="auto"/>
          <w:highlight w:val="none"/>
        </w:rPr>
        <w:t>总平面设计图</w:t>
      </w:r>
    </w:p>
    <w:p w14:paraId="088C03FB">
      <w:pPr>
        <w:rPr>
          <w:color w:val="auto"/>
          <w:highlight w:val="none"/>
        </w:rPr>
      </w:pPr>
      <w:r>
        <w:rPr>
          <w:rFonts w:hint="eastAsia"/>
          <w:color w:val="auto"/>
          <w:highlight w:val="none"/>
        </w:rPr>
        <w:t>各层平面图(电子制图比例为1：200)</w:t>
      </w:r>
    </w:p>
    <w:p w14:paraId="6E744E20">
      <w:pPr>
        <w:rPr>
          <w:color w:val="auto"/>
          <w:highlight w:val="none"/>
        </w:rPr>
      </w:pPr>
      <w:r>
        <w:rPr>
          <w:rFonts w:hint="eastAsia"/>
          <w:color w:val="auto"/>
          <w:highlight w:val="none"/>
        </w:rPr>
        <w:t>主要剖面和立面图(电子制图比例为1：200)</w:t>
      </w:r>
    </w:p>
    <w:p w14:paraId="2434E67E">
      <w:pPr>
        <w:rPr>
          <w:color w:val="auto"/>
          <w:highlight w:val="none"/>
        </w:rPr>
      </w:pPr>
      <w:r>
        <w:rPr>
          <w:rFonts w:hint="eastAsia"/>
          <w:color w:val="auto"/>
          <w:highlight w:val="none"/>
        </w:rPr>
        <w:t>主要出入口、粮仓进出粮、综合服务楼等重要空间节点效果图</w:t>
      </w:r>
    </w:p>
    <w:p w14:paraId="2405BC54">
      <w:pPr>
        <w:rPr>
          <w:color w:val="auto"/>
          <w:highlight w:val="none"/>
        </w:rPr>
      </w:pPr>
      <w:r>
        <w:rPr>
          <w:rFonts w:hint="eastAsia"/>
          <w:color w:val="auto"/>
          <w:highlight w:val="none"/>
        </w:rPr>
        <w:t>主要空间节点透视图</w:t>
      </w:r>
    </w:p>
    <w:p w14:paraId="50BF39B7">
      <w:pPr>
        <w:rPr>
          <w:color w:val="auto"/>
          <w:highlight w:val="none"/>
        </w:rPr>
      </w:pPr>
      <w:r>
        <w:rPr>
          <w:rFonts w:hint="eastAsia"/>
          <w:color w:val="auto"/>
          <w:highlight w:val="none"/>
        </w:rPr>
        <w:t>机电设备系统方案图</w:t>
      </w:r>
    </w:p>
    <w:p w14:paraId="3B6B4FDB">
      <w:pPr>
        <w:rPr>
          <w:color w:val="auto"/>
          <w:highlight w:val="none"/>
        </w:rPr>
      </w:pPr>
      <w:r>
        <w:rPr>
          <w:rFonts w:hint="eastAsia" w:ascii="Times New Roman" w:hAnsi="Times New Roman" w:cs="Times New Roman"/>
          <w:color w:val="auto"/>
          <w:highlight w:val="none"/>
          <w:lang w:eastAsia="zh-CN"/>
        </w:rPr>
        <w:t>粮仓工艺流程设计方案图</w:t>
      </w:r>
    </w:p>
    <w:p w14:paraId="5B0B5D9A">
      <w:pPr>
        <w:rPr>
          <w:color w:val="auto"/>
          <w:highlight w:val="none"/>
        </w:rPr>
      </w:pPr>
      <w:r>
        <w:rPr>
          <w:rFonts w:hint="eastAsia"/>
          <w:color w:val="auto"/>
          <w:highlight w:val="none"/>
        </w:rPr>
        <w:t>信息通信网络传输系统图</w:t>
      </w:r>
    </w:p>
    <w:p w14:paraId="074BDF68">
      <w:pPr>
        <w:rPr>
          <w:color w:val="auto"/>
          <w:highlight w:val="none"/>
        </w:rPr>
      </w:pPr>
      <w:r>
        <w:rPr>
          <w:rFonts w:hint="eastAsia"/>
          <w:color w:val="auto"/>
          <w:highlight w:val="none"/>
        </w:rPr>
        <w:t>综合管线系统方案图</w:t>
      </w:r>
    </w:p>
    <w:p w14:paraId="38B2C99F">
      <w:pPr>
        <w:rPr>
          <w:color w:val="auto"/>
          <w:highlight w:val="none"/>
        </w:rPr>
      </w:pPr>
      <w:r>
        <w:rPr>
          <w:rFonts w:hint="eastAsia"/>
          <w:color w:val="auto"/>
          <w:highlight w:val="none"/>
        </w:rPr>
        <w:t>给排水设计图</w:t>
      </w:r>
    </w:p>
    <w:p w14:paraId="5E981513">
      <w:pPr>
        <w:rPr>
          <w:color w:val="auto"/>
          <w:highlight w:val="none"/>
        </w:rPr>
      </w:pPr>
      <w:r>
        <w:rPr>
          <w:rFonts w:hint="eastAsia"/>
          <w:color w:val="auto"/>
          <w:highlight w:val="none"/>
        </w:rPr>
        <w:t>相关竖向设计图</w:t>
      </w:r>
    </w:p>
    <w:p w14:paraId="11A313F5">
      <w:pPr>
        <w:rPr>
          <w:color w:val="auto"/>
          <w:highlight w:val="none"/>
        </w:rPr>
      </w:pPr>
      <w:r>
        <w:rPr>
          <w:rFonts w:hint="eastAsia"/>
          <w:color w:val="auto"/>
          <w:highlight w:val="none"/>
        </w:rPr>
        <w:t xml:space="preserve">景观设计图 </w:t>
      </w:r>
    </w:p>
    <w:p w14:paraId="22285D92">
      <w:pPr>
        <w:rPr>
          <w:color w:val="auto"/>
          <w:highlight w:val="none"/>
        </w:rPr>
      </w:pPr>
      <w:r>
        <w:rPr>
          <w:rFonts w:hint="eastAsia"/>
          <w:color w:val="auto"/>
          <w:highlight w:val="none"/>
        </w:rPr>
        <w:t>相关分析图和鸟瞰图</w:t>
      </w:r>
    </w:p>
    <w:p w14:paraId="4BE217E9">
      <w:pPr>
        <w:rPr>
          <w:color w:val="auto"/>
          <w:highlight w:val="none"/>
        </w:rPr>
      </w:pPr>
      <w:r>
        <w:rPr>
          <w:rFonts w:hint="eastAsia"/>
          <w:color w:val="auto"/>
          <w:highlight w:val="none"/>
        </w:rPr>
        <w:t>项目估算及投资分析报告</w:t>
      </w:r>
    </w:p>
    <w:p w14:paraId="67DDC1AE">
      <w:pPr>
        <w:rPr>
          <w:color w:val="auto"/>
          <w:highlight w:val="none"/>
        </w:rPr>
      </w:pPr>
      <w:r>
        <w:rPr>
          <w:rFonts w:hint="eastAsia"/>
          <w:color w:val="auto"/>
          <w:highlight w:val="none"/>
        </w:rPr>
        <w:t>项目其它设计方案图</w:t>
      </w:r>
    </w:p>
    <w:p w14:paraId="18DFD520">
      <w:pPr>
        <w:rPr>
          <w:color w:val="auto"/>
          <w:highlight w:val="none"/>
        </w:rPr>
      </w:pPr>
      <w:r>
        <w:rPr>
          <w:rFonts w:hint="eastAsia"/>
          <w:color w:val="auto"/>
          <w:highlight w:val="none"/>
        </w:rPr>
        <w:t>智能交通系统图</w:t>
      </w:r>
    </w:p>
    <w:p w14:paraId="100F7F56">
      <w:pPr>
        <w:rPr>
          <w:color w:val="auto"/>
          <w:highlight w:val="none"/>
        </w:rPr>
      </w:pPr>
      <w:r>
        <w:rPr>
          <w:rFonts w:hint="eastAsia"/>
          <w:color w:val="auto"/>
          <w:highlight w:val="none"/>
        </w:rPr>
        <w:t>海绵城市设计专篇</w:t>
      </w:r>
    </w:p>
    <w:p w14:paraId="1C2C5DA1">
      <w:pPr>
        <w:rPr>
          <w:color w:val="auto"/>
          <w:highlight w:val="none"/>
        </w:rPr>
      </w:pPr>
      <w:r>
        <w:rPr>
          <w:rFonts w:hint="eastAsia"/>
          <w:color w:val="auto"/>
          <w:highlight w:val="none"/>
        </w:rPr>
        <w:t>（2）初步设计及施工图</w:t>
      </w:r>
    </w:p>
    <w:p w14:paraId="47992E36">
      <w:pPr>
        <w:rPr>
          <w:color w:val="auto"/>
          <w:highlight w:val="none"/>
        </w:rPr>
      </w:pPr>
      <w:r>
        <w:rPr>
          <w:rFonts w:hint="eastAsia"/>
          <w:color w:val="auto"/>
          <w:highlight w:val="none"/>
        </w:rPr>
        <w:t>建筑专业初步设计及施工图</w:t>
      </w:r>
    </w:p>
    <w:p w14:paraId="5C7DF327">
      <w:pPr>
        <w:rPr>
          <w:color w:val="auto"/>
          <w:highlight w:val="none"/>
        </w:rPr>
      </w:pPr>
      <w:r>
        <w:rPr>
          <w:rFonts w:hint="eastAsia"/>
          <w:color w:val="auto"/>
          <w:highlight w:val="none"/>
        </w:rPr>
        <w:t>结构专业初步设计及施工图</w:t>
      </w:r>
    </w:p>
    <w:p w14:paraId="7096E81D">
      <w:pPr>
        <w:rPr>
          <w:color w:val="auto"/>
          <w:highlight w:val="none"/>
        </w:rPr>
      </w:pPr>
      <w:r>
        <w:rPr>
          <w:rFonts w:hint="eastAsia"/>
          <w:color w:val="auto"/>
          <w:highlight w:val="none"/>
        </w:rPr>
        <w:t>给排水专业初步设计及施工图</w:t>
      </w:r>
    </w:p>
    <w:p w14:paraId="6EE5EAD5">
      <w:pPr>
        <w:rPr>
          <w:color w:val="auto"/>
          <w:highlight w:val="none"/>
        </w:rPr>
      </w:pPr>
      <w:r>
        <w:rPr>
          <w:rFonts w:hint="eastAsia"/>
          <w:color w:val="auto"/>
          <w:highlight w:val="none"/>
        </w:rPr>
        <w:t>电气及智能化专业初步设计及施工图</w:t>
      </w:r>
    </w:p>
    <w:p w14:paraId="51E159FF">
      <w:pPr>
        <w:rPr>
          <w:color w:val="auto"/>
          <w:highlight w:val="none"/>
        </w:rPr>
      </w:pPr>
      <w:r>
        <w:rPr>
          <w:rFonts w:hint="eastAsia"/>
          <w:color w:val="auto"/>
          <w:highlight w:val="none"/>
        </w:rPr>
        <w:t>暖通专业初步设计及施工图</w:t>
      </w:r>
    </w:p>
    <w:p w14:paraId="17440F35">
      <w:pPr>
        <w:rPr>
          <w:color w:val="auto"/>
          <w:highlight w:val="none"/>
        </w:rPr>
      </w:pPr>
      <w:r>
        <w:rPr>
          <w:rFonts w:hint="eastAsia"/>
          <w:color w:val="auto"/>
          <w:highlight w:val="none"/>
        </w:rPr>
        <w:t>景观专业初步设计及施工图</w:t>
      </w:r>
    </w:p>
    <w:p w14:paraId="77028BC8">
      <w:pPr>
        <w:rPr>
          <w:color w:val="auto"/>
          <w:highlight w:val="none"/>
        </w:rPr>
      </w:pPr>
      <w:r>
        <w:rPr>
          <w:rFonts w:hint="eastAsia" w:ascii="Times New Roman" w:hAnsi="Times New Roman" w:cs="Times New Roman"/>
          <w:color w:val="auto"/>
          <w:highlight w:val="none"/>
          <w:lang w:eastAsia="zh-CN"/>
        </w:rPr>
        <w:t>粮仓工艺流程</w:t>
      </w:r>
      <w:r>
        <w:rPr>
          <w:rFonts w:hint="eastAsia" w:ascii="Times New Roman" w:hAnsi="Times New Roman" w:cs="Times New Roman"/>
          <w:color w:val="auto"/>
          <w:highlight w:val="none"/>
        </w:rPr>
        <w:t>图</w:t>
      </w:r>
      <w:r>
        <w:rPr>
          <w:rFonts w:hint="eastAsia" w:cs="Times New Roman"/>
          <w:color w:val="auto"/>
          <w:highlight w:val="none"/>
          <w:lang w:eastAsia="zh-CN"/>
        </w:rPr>
        <w:t>及相关成果</w:t>
      </w:r>
    </w:p>
    <w:p w14:paraId="1C10A633">
      <w:pPr>
        <w:rPr>
          <w:color w:val="auto"/>
          <w:highlight w:val="none"/>
        </w:rPr>
      </w:pPr>
      <w:r>
        <w:rPr>
          <w:rFonts w:hint="eastAsia"/>
          <w:color w:val="auto"/>
          <w:highlight w:val="none"/>
        </w:rPr>
        <w:t>项目概算及投资分析报告</w:t>
      </w:r>
    </w:p>
    <w:p w14:paraId="7D827199">
      <w:pPr>
        <w:rPr>
          <w:color w:val="auto"/>
          <w:highlight w:val="none"/>
        </w:rPr>
      </w:pPr>
      <w:r>
        <w:rPr>
          <w:rFonts w:hint="eastAsia"/>
          <w:color w:val="auto"/>
          <w:highlight w:val="none"/>
        </w:rPr>
        <w:t>管线综合平衡图</w:t>
      </w:r>
    </w:p>
    <w:p w14:paraId="3102F7B7">
      <w:pPr>
        <w:rPr>
          <w:color w:val="auto"/>
          <w:highlight w:val="none"/>
        </w:rPr>
      </w:pPr>
      <w:r>
        <w:rPr>
          <w:rFonts w:hint="eastAsia"/>
          <w:color w:val="auto"/>
          <w:highlight w:val="none"/>
        </w:rPr>
        <w:t>其它专项设计（如需要）</w:t>
      </w:r>
    </w:p>
    <w:p w14:paraId="7B026B00">
      <w:pPr>
        <w:rPr>
          <w:color w:val="auto"/>
          <w:highlight w:val="none"/>
        </w:rPr>
      </w:pPr>
      <w:r>
        <w:rPr>
          <w:rFonts w:hint="eastAsia"/>
          <w:color w:val="auto"/>
          <w:highlight w:val="none"/>
        </w:rPr>
        <w:t>海绵城市设计专篇</w:t>
      </w:r>
    </w:p>
    <w:p w14:paraId="5C312972">
      <w:pPr>
        <w:rPr>
          <w:color w:val="auto"/>
          <w:highlight w:val="none"/>
        </w:rPr>
      </w:pPr>
      <w:r>
        <w:rPr>
          <w:rFonts w:hint="eastAsia"/>
          <w:color w:val="auto"/>
          <w:highlight w:val="none"/>
        </w:rPr>
        <w:t>2、三维模型</w:t>
      </w:r>
    </w:p>
    <w:p w14:paraId="46A6E108">
      <w:pPr>
        <w:rPr>
          <w:color w:val="auto"/>
          <w:highlight w:val="none"/>
        </w:rPr>
      </w:pPr>
      <w:r>
        <w:rPr>
          <w:rFonts w:hint="eastAsia"/>
          <w:color w:val="auto"/>
          <w:highlight w:val="none"/>
        </w:rPr>
        <w:t>（1）设计单位在中标后15天内，向甲方提交项目投标设计方案实体模型（大小为：45cm*60cm）。</w:t>
      </w:r>
    </w:p>
    <w:p w14:paraId="21525C25">
      <w:pPr>
        <w:rPr>
          <w:color w:val="auto"/>
          <w:highlight w:val="none"/>
        </w:rPr>
      </w:pPr>
      <w:r>
        <w:rPr>
          <w:rFonts w:hint="eastAsia"/>
          <w:color w:val="auto"/>
          <w:highlight w:val="none"/>
        </w:rPr>
        <w:t>（2）设计方案通过确认后30天内提交三维数据模型以及设计方案实体模型（大小为：90cm*120cm）。并有责任协助甲方将其他设计单位提供的三维数据模型进行整合工作。</w:t>
      </w:r>
    </w:p>
    <w:p w14:paraId="51FCF792">
      <w:pPr>
        <w:rPr>
          <w:color w:val="auto"/>
          <w:highlight w:val="none"/>
        </w:rPr>
      </w:pPr>
      <w:r>
        <w:rPr>
          <w:rFonts w:hint="eastAsia"/>
          <w:color w:val="auto"/>
          <w:highlight w:val="none"/>
        </w:rPr>
        <w:t>（3）BIM技术应用成果交付要求</w:t>
      </w:r>
    </w:p>
    <w:p w14:paraId="71CCA80E">
      <w:pPr>
        <w:rPr>
          <w:color w:val="auto"/>
          <w:highlight w:val="none"/>
        </w:rPr>
      </w:pPr>
      <w:r>
        <w:rPr>
          <w:rFonts w:hint="eastAsia"/>
          <w:color w:val="auto"/>
          <w:highlight w:val="none"/>
        </w:rPr>
        <w:t>设计单位提交BIM模型文件满足但不限于以下要求：满足软件版本要求；满足《建筑信息模型应用统一标准》（GB/T51212-2016）深度要求；各节点和最终提交模型需保证图纸和模型的一致，并经过发包人的审核；提交的BIM模型及相关资料应满足发包人指定的BIM协同与管理平台的提交和使用要求。各阶段BIM应用成果包括但不限于：</w:t>
      </w:r>
    </w:p>
    <w:p w14:paraId="2452895D">
      <w:pPr>
        <w:rPr>
          <w:color w:val="auto"/>
          <w:highlight w:val="none"/>
        </w:rPr>
      </w:pPr>
      <w:r>
        <w:rPr>
          <w:rFonts w:hint="eastAsia"/>
          <w:color w:val="auto"/>
          <w:highlight w:val="none"/>
        </w:rPr>
        <w:t>A. BIM技术应用实施方案。</w:t>
      </w:r>
    </w:p>
    <w:p w14:paraId="5B1DA2C9">
      <w:pPr>
        <w:rPr>
          <w:color w:val="auto"/>
          <w:highlight w:val="none"/>
        </w:rPr>
      </w:pPr>
      <w:r>
        <w:rPr>
          <w:rFonts w:hint="eastAsia"/>
          <w:color w:val="auto"/>
          <w:highlight w:val="none"/>
        </w:rPr>
        <w:t>B. 各阶段BIM专业模型和综合模型，包含方案设计、初步设计，施工图设计原始模型和轻量化模型。交付模型的版本应统一为RVT、NWD格式，轻量化模型采用当前普遍通用的格式。</w:t>
      </w:r>
    </w:p>
    <w:p w14:paraId="7D6C9797">
      <w:pPr>
        <w:rPr>
          <w:color w:val="auto"/>
          <w:highlight w:val="none"/>
        </w:rPr>
      </w:pPr>
      <w:r>
        <w:rPr>
          <w:rFonts w:hint="eastAsia"/>
          <w:color w:val="auto"/>
          <w:highlight w:val="none"/>
        </w:rPr>
        <w:t>方案设计阶段:需提供方案BIM模型，模型精细度等级不低于LOD2.0，配合发包人进行方案比选，辅助发包人稳定建设需求。</w:t>
      </w:r>
    </w:p>
    <w:p w14:paraId="1CAC2801">
      <w:pPr>
        <w:rPr>
          <w:color w:val="auto"/>
          <w:highlight w:val="none"/>
        </w:rPr>
      </w:pPr>
      <w:r>
        <w:rPr>
          <w:rFonts w:hint="eastAsia"/>
          <w:color w:val="auto"/>
          <w:highlight w:val="none"/>
        </w:rPr>
        <w:t>初步设计阶段:根据《广东省建筑信息模型应用统一标准》和深度要求，提交初步设计阶段BIM模型，模型精细度等级不低于LOD2.0,利用BIM技术进行碰撞检测分析，确保各专业之间无碰撞；利用BIM技术进行管线综合，确保机电管线充分协调，满足施工要求和净空要求，保障使用空间和检修空间。</w:t>
      </w:r>
    </w:p>
    <w:p w14:paraId="08376317">
      <w:pPr>
        <w:rPr>
          <w:color w:val="auto"/>
          <w:highlight w:val="none"/>
        </w:rPr>
      </w:pPr>
      <w:r>
        <w:rPr>
          <w:rFonts w:hint="eastAsia"/>
          <w:color w:val="auto"/>
          <w:highlight w:val="none"/>
        </w:rPr>
        <w:t>施工图设计阶段：提供施工图设计阶段标准间装修3D效果图以及BIM模型，模型精细度等级不低于LOD3.0必须利用BIM技术开展碰撞检测、管线综合和净空分析，并提交相应报告后方可出图。</w:t>
      </w:r>
    </w:p>
    <w:p w14:paraId="0636E0D8">
      <w:pPr>
        <w:rPr>
          <w:color w:val="auto"/>
          <w:highlight w:val="none"/>
        </w:rPr>
      </w:pPr>
      <w:r>
        <w:rPr>
          <w:rFonts w:hint="eastAsia"/>
          <w:color w:val="auto"/>
          <w:highlight w:val="none"/>
        </w:rPr>
        <w:t>C. CIM平台报批报建成果；</w:t>
      </w:r>
    </w:p>
    <w:p w14:paraId="375D57E4">
      <w:pPr>
        <w:rPr>
          <w:color w:val="auto"/>
          <w:highlight w:val="none"/>
        </w:rPr>
      </w:pPr>
      <w:r>
        <w:rPr>
          <w:rFonts w:hint="eastAsia"/>
          <w:color w:val="auto"/>
          <w:highlight w:val="none"/>
        </w:rPr>
        <w:t>D. BIM技术可视化成果；</w:t>
      </w:r>
    </w:p>
    <w:p w14:paraId="2D4F6502">
      <w:pPr>
        <w:rPr>
          <w:color w:val="auto"/>
          <w:highlight w:val="none"/>
        </w:rPr>
      </w:pPr>
      <w:r>
        <w:rPr>
          <w:rFonts w:hint="eastAsia"/>
          <w:color w:val="auto"/>
          <w:highlight w:val="none"/>
        </w:rPr>
        <w:t>E. BIM技术碰撞分析报告；</w:t>
      </w:r>
    </w:p>
    <w:p w14:paraId="1257C12B">
      <w:pPr>
        <w:rPr>
          <w:color w:val="auto"/>
          <w:highlight w:val="none"/>
        </w:rPr>
      </w:pPr>
      <w:r>
        <w:rPr>
          <w:rFonts w:hint="eastAsia"/>
          <w:color w:val="auto"/>
          <w:highlight w:val="none"/>
        </w:rPr>
        <w:t>F. 预留预埋构件合理性分析报告；</w:t>
      </w:r>
    </w:p>
    <w:p w14:paraId="62926529">
      <w:pPr>
        <w:rPr>
          <w:color w:val="auto"/>
          <w:highlight w:val="none"/>
        </w:rPr>
      </w:pPr>
      <w:r>
        <w:rPr>
          <w:rFonts w:hint="eastAsia"/>
          <w:color w:val="auto"/>
          <w:highlight w:val="none"/>
        </w:rPr>
        <w:t>G. BIM技术管线综合图纸；</w:t>
      </w:r>
    </w:p>
    <w:p w14:paraId="453591F2">
      <w:pPr>
        <w:rPr>
          <w:color w:val="auto"/>
          <w:highlight w:val="none"/>
        </w:rPr>
      </w:pPr>
      <w:r>
        <w:rPr>
          <w:rFonts w:hint="eastAsia"/>
          <w:color w:val="auto"/>
          <w:highlight w:val="none"/>
        </w:rPr>
        <w:t>H. BIM技术净空分析报告；</w:t>
      </w:r>
    </w:p>
    <w:p w14:paraId="2C2D9BE4">
      <w:pPr>
        <w:rPr>
          <w:color w:val="auto"/>
          <w:highlight w:val="none"/>
        </w:rPr>
      </w:pPr>
      <w:r>
        <w:rPr>
          <w:rFonts w:hint="eastAsia"/>
          <w:color w:val="auto"/>
          <w:highlight w:val="none"/>
        </w:rPr>
        <w:t>I. BIM技术造价应用成果。</w:t>
      </w:r>
    </w:p>
    <w:p w14:paraId="3A5BB734">
      <w:pPr>
        <w:rPr>
          <w:color w:val="auto"/>
          <w:highlight w:val="none"/>
        </w:rPr>
      </w:pPr>
      <w:r>
        <w:rPr>
          <w:rFonts w:hint="eastAsia"/>
          <w:color w:val="auto"/>
          <w:highlight w:val="none"/>
        </w:rPr>
        <w:t>J. BIM技术应用成果交付说明</w:t>
      </w:r>
    </w:p>
    <w:p w14:paraId="6A5F0899">
      <w:pPr>
        <w:rPr>
          <w:color w:val="auto"/>
          <w:highlight w:val="none"/>
        </w:rPr>
      </w:pPr>
      <w:r>
        <w:rPr>
          <w:rFonts w:hint="eastAsia"/>
          <w:color w:val="auto"/>
          <w:highlight w:val="none"/>
        </w:rPr>
        <w:t>设计单位交付物涉及的单位，应采用公制单位。模型单元单位描述以 “mm”为单位，保留整数显示；或以“m”为单位时，保留两位小数。模型单元信息，应至少包含材质、类型名称、元素名称、元素三维几何特征四类信息。所提交的成果需要满足合同要求。</w:t>
      </w:r>
    </w:p>
    <w:p w14:paraId="3D87F50F">
      <w:pPr>
        <w:rPr>
          <w:color w:val="auto"/>
          <w:highlight w:val="none"/>
        </w:rPr>
      </w:pPr>
      <w:r>
        <w:rPr>
          <w:rFonts w:hint="eastAsia"/>
          <w:color w:val="auto"/>
          <w:highlight w:val="none"/>
        </w:rPr>
        <w:t>（4）BIM技术造价应用要求</w:t>
      </w:r>
    </w:p>
    <w:p w14:paraId="4D3D780C">
      <w:pPr>
        <w:rPr>
          <w:color w:val="auto"/>
          <w:highlight w:val="none"/>
        </w:rPr>
      </w:pPr>
      <w:r>
        <w:rPr>
          <w:rFonts w:hint="eastAsia"/>
          <w:color w:val="auto"/>
          <w:highlight w:val="none"/>
        </w:rPr>
        <w:t>BIM技术应用应满足《广州市城市信息模型（CIM）平台建设试点工作联席会议办公室关于进一步加快推进我市建筑信息模型（BIM）技术应用的通知》（穗建CIM[2019]3号）的应用范围及要求，且建模深度应符合广州市施工图三维数字化设计交付标准及审查等相关规定，施工图三维数字化设计信息模型（BIM）所包含的信息以及交付物应满足造价行业管理部门要求（如造价行业管理部门出台新的要求，则应满足其新的要求），符合工程项目的造价应用等使用需求。具体要求如下（包括但不限于）：</w:t>
      </w:r>
    </w:p>
    <w:p w14:paraId="54BF683A">
      <w:pPr>
        <w:rPr>
          <w:color w:val="auto"/>
          <w:highlight w:val="none"/>
        </w:rPr>
      </w:pPr>
      <w:r>
        <w:rPr>
          <w:rFonts w:hint="eastAsia"/>
          <w:color w:val="auto"/>
          <w:highlight w:val="none"/>
        </w:rPr>
        <w:t>A.交付文件格式及数量按BIM服务任务书要求。</w:t>
      </w:r>
    </w:p>
    <w:p w14:paraId="6D0FA2B7">
      <w:pPr>
        <w:rPr>
          <w:color w:val="auto"/>
          <w:highlight w:val="none"/>
        </w:rPr>
      </w:pPr>
      <w:r>
        <w:rPr>
          <w:rFonts w:hint="eastAsia"/>
          <w:color w:val="auto"/>
          <w:highlight w:val="none"/>
        </w:rPr>
        <w:t>B.交付模型的版本应统一为××格式××版。交付的模型应包含土建、机电、装饰、幕墙、钢结构等专业模型及整合模型。</w:t>
      </w:r>
    </w:p>
    <w:p w14:paraId="735F624C">
      <w:pPr>
        <w:rPr>
          <w:color w:val="auto"/>
          <w:highlight w:val="none"/>
        </w:rPr>
      </w:pPr>
      <w:r>
        <w:rPr>
          <w:rFonts w:hint="eastAsia"/>
          <w:color w:val="auto"/>
          <w:highlight w:val="none"/>
        </w:rPr>
        <w:t>C.交付物涉及的单位，应采用公制单位。模型单元单位描述以 “mm”为单位，保留整数显示；或以“m”为单位时，保留两位小数。</w:t>
      </w:r>
    </w:p>
    <w:p w14:paraId="0C9B3CCD">
      <w:pPr>
        <w:rPr>
          <w:color w:val="auto"/>
          <w:highlight w:val="none"/>
        </w:rPr>
      </w:pPr>
      <w:r>
        <w:rPr>
          <w:rFonts w:hint="eastAsia"/>
          <w:color w:val="auto"/>
          <w:highlight w:val="none"/>
        </w:rPr>
        <w:t>D.模型定位基点应采用2000 国家大地坐标系(CGCS2000) 的分带投影坐标系；模型中绝对标高系统应采用1985国家高程基准。模型应统一项目的坐标、方向、轴网及楼层设置，应以有效的链接关系组装后交付。</w:t>
      </w:r>
    </w:p>
    <w:p w14:paraId="2C406791">
      <w:pPr>
        <w:rPr>
          <w:color w:val="auto"/>
          <w:highlight w:val="none"/>
        </w:rPr>
      </w:pPr>
      <w:r>
        <w:rPr>
          <w:rFonts w:hint="eastAsia"/>
          <w:color w:val="auto"/>
          <w:highlight w:val="none"/>
        </w:rPr>
        <w:t>E.模型区域拆分宜以楼层、轴线、功能分区等为基础，可根据实际情况和专业特性进行专属拆分。</w:t>
      </w:r>
    </w:p>
    <w:p w14:paraId="4B9A635E">
      <w:pPr>
        <w:rPr>
          <w:color w:val="auto"/>
          <w:highlight w:val="none"/>
        </w:rPr>
      </w:pPr>
      <w:r>
        <w:rPr>
          <w:rFonts w:hint="eastAsia"/>
          <w:color w:val="auto"/>
          <w:highlight w:val="none"/>
        </w:rPr>
        <w:t>F.模型名称宜由项目编号、项目名称、系统分类组成；工程对象、模型单元、属性的命名，应符合国家及地方相关交付标准中模型单元和属性的规定。</w:t>
      </w:r>
    </w:p>
    <w:p w14:paraId="31F0E8F7">
      <w:pPr>
        <w:rPr>
          <w:color w:val="auto"/>
          <w:highlight w:val="none"/>
        </w:rPr>
      </w:pPr>
      <w:r>
        <w:rPr>
          <w:rFonts w:hint="eastAsia"/>
          <w:color w:val="auto"/>
          <w:highlight w:val="none"/>
        </w:rPr>
        <w:t>G.模型单元信息，应至少包含BIM分类编码、材质、类型名称、元素名称、元素三维几何特征五类信息。BIM分类编码：根据相关地方标准的规定。材质：模型单元的主要材质，例如石材、木材、涂料、铝合金、木质、塑钢等。混凝土模型元素应包含材质名称、材质类型，例如：混凝土强度等级C30等。类型名称：描述元素类型，例如：剪力墙、现浇混凝土板 、叠合板、平开门、推拉窗等。元素名称：应符合相关地方标准的规定。元素三维几何特征：施工图三维数字化设计信息模型中具有三维几何特征的元素的属性，应由系统自行读取。例如：几何尺寸、几何定位、几何角度、几何形态等。</w:t>
      </w:r>
    </w:p>
    <w:p w14:paraId="7EA72633">
      <w:pPr>
        <w:rPr>
          <w:color w:val="auto"/>
          <w:highlight w:val="none"/>
        </w:rPr>
      </w:pPr>
      <w:r>
        <w:rPr>
          <w:rFonts w:hint="eastAsia"/>
          <w:color w:val="auto"/>
          <w:highlight w:val="none"/>
        </w:rPr>
        <w:t>H.模型单元交付深度，应符合国家及地方交付标准的规定。几何表达精度与信息深度应达到地方交付标准，模型的信息输入方应保证所输入数据的准确性与完整性。</w:t>
      </w:r>
    </w:p>
    <w:p w14:paraId="00DECF03">
      <w:pPr>
        <w:rPr>
          <w:color w:val="auto"/>
          <w:highlight w:val="none"/>
        </w:rPr>
      </w:pPr>
      <w:r>
        <w:rPr>
          <w:rFonts w:hint="eastAsia"/>
          <w:color w:val="auto"/>
          <w:highlight w:val="none"/>
        </w:rPr>
        <w:t>I.应提交模型使用说明文件，内容包含项目基本信息、模型文件的组织方式、模型文件视图使用说明、模型参数设置说明、构件使用说明、编码说明及其他需要说明的事项。</w:t>
      </w:r>
    </w:p>
    <w:p w14:paraId="323F12FD">
      <w:pPr>
        <w:rPr>
          <w:color w:val="auto"/>
          <w:highlight w:val="none"/>
        </w:rPr>
      </w:pPr>
      <w:r>
        <w:rPr>
          <w:rFonts w:hint="eastAsia"/>
          <w:color w:val="auto"/>
          <w:highlight w:val="none"/>
        </w:rPr>
        <w:t>（5）其他</w:t>
      </w:r>
    </w:p>
    <w:p w14:paraId="1C180746">
      <w:pPr>
        <w:rPr>
          <w:color w:val="auto"/>
          <w:highlight w:val="none"/>
        </w:rPr>
      </w:pPr>
      <w:r>
        <w:rPr>
          <w:rFonts w:hint="eastAsia"/>
          <w:color w:val="auto"/>
          <w:highlight w:val="none"/>
        </w:rPr>
        <w:t>A.施工图BIM模型移交施工单位进行深化后，由施工单位对过程设计变更更新BIM模型,设计单位进行复核。</w:t>
      </w:r>
    </w:p>
    <w:p w14:paraId="2A93F493">
      <w:pPr>
        <w:rPr>
          <w:color w:val="auto"/>
          <w:highlight w:val="none"/>
        </w:rPr>
      </w:pPr>
      <w:r>
        <w:rPr>
          <w:rFonts w:hint="eastAsia"/>
          <w:color w:val="auto"/>
          <w:highlight w:val="none"/>
        </w:rPr>
        <w:t>B.现场BIM协调：配合甲方、设计咨询单位对施工单位要求采用BIM技术进行设计交底；组织并参与施工难点分析以及BIM协调会议等。</w:t>
      </w:r>
    </w:p>
    <w:p w14:paraId="1F9B1F74">
      <w:pPr>
        <w:rPr>
          <w:color w:val="auto"/>
          <w:highlight w:val="none"/>
        </w:rPr>
      </w:pPr>
      <w:r>
        <w:rPr>
          <w:rFonts w:hint="eastAsia"/>
          <w:color w:val="auto"/>
          <w:highlight w:val="none"/>
        </w:rPr>
        <w:t>C.BIM技术基础应用应包含设计阶段在BIM中增加VR展示技术，在BIM模型基本稳定时提供BIM+VR成果，为甲方提供交互性设计和可视化印象，并指导可视化交底及VR教育体验。依据BIM模型，采用虚拟现实头盔，让建设人员在交互式的三维动态场景中对拟建工程项目实现可视化交底。采购的相关设备权属归招标人所有。</w:t>
      </w:r>
    </w:p>
    <w:p w14:paraId="77533CF2">
      <w:pPr>
        <w:rPr>
          <w:color w:val="auto"/>
          <w:highlight w:val="none"/>
        </w:rPr>
      </w:pPr>
      <w:r>
        <w:rPr>
          <w:color w:val="auto"/>
          <w:highlight w:val="none"/>
        </w:rPr>
        <w:t>VR硬件要求（一套）：</w:t>
      </w:r>
    </w:p>
    <w:tbl>
      <w:tblPr>
        <w:tblStyle w:val="19"/>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3"/>
        <w:gridCol w:w="4536"/>
        <w:gridCol w:w="3179"/>
      </w:tblGrid>
      <w:tr w14:paraId="63361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543" w:type="dxa"/>
            <w:vAlign w:val="center"/>
          </w:tcPr>
          <w:p w14:paraId="5D4FFB49">
            <w:pPr>
              <w:rPr>
                <w:color w:val="auto"/>
                <w:highlight w:val="none"/>
              </w:rPr>
            </w:pPr>
            <w:r>
              <w:rPr>
                <w:color w:val="auto"/>
                <w:highlight w:val="none"/>
              </w:rPr>
              <w:t>VR</w:t>
            </w:r>
          </w:p>
        </w:tc>
        <w:tc>
          <w:tcPr>
            <w:tcW w:w="4536" w:type="dxa"/>
            <w:vAlign w:val="center"/>
          </w:tcPr>
          <w:p w14:paraId="31B21C9D">
            <w:pPr>
              <w:rPr>
                <w:color w:val="auto"/>
                <w:highlight w:val="none"/>
              </w:rPr>
            </w:pPr>
            <w:r>
              <w:rPr>
                <w:color w:val="auto"/>
                <w:highlight w:val="none"/>
              </w:rPr>
              <w:t>VR配套台式工作站、头盔一副及相关配件</w:t>
            </w:r>
          </w:p>
        </w:tc>
        <w:tc>
          <w:tcPr>
            <w:tcW w:w="3179" w:type="dxa"/>
            <w:vAlign w:val="center"/>
          </w:tcPr>
          <w:p w14:paraId="3C61B413">
            <w:pPr>
              <w:rPr>
                <w:color w:val="auto"/>
                <w:highlight w:val="none"/>
              </w:rPr>
            </w:pPr>
            <w:r>
              <w:rPr>
                <w:color w:val="auto"/>
                <w:highlight w:val="none"/>
              </w:rPr>
              <w:t>CPU i7，显卡GTX1070（高配）</w:t>
            </w:r>
          </w:p>
        </w:tc>
      </w:tr>
    </w:tbl>
    <w:p w14:paraId="6C616F09">
      <w:pPr>
        <w:rPr>
          <w:color w:val="auto"/>
          <w:highlight w:val="none"/>
        </w:rPr>
      </w:pPr>
      <w:r>
        <w:rPr>
          <w:rFonts w:hint="eastAsia"/>
          <w:color w:val="auto"/>
          <w:highlight w:val="none"/>
        </w:rPr>
        <w:t>3、工程勘察成果文件（包括但不限于）</w:t>
      </w:r>
    </w:p>
    <w:p w14:paraId="19AA5BED">
      <w:pPr>
        <w:rPr>
          <w:color w:val="auto"/>
          <w:highlight w:val="none"/>
        </w:rPr>
      </w:pPr>
      <w:r>
        <w:rPr>
          <w:rFonts w:hint="eastAsia"/>
          <w:color w:val="auto"/>
          <w:highlight w:val="none"/>
        </w:rPr>
        <w:t>（1）工程可行性研究阶段</w:t>
      </w:r>
    </w:p>
    <w:p w14:paraId="295AB5DE">
      <w:pPr>
        <w:rPr>
          <w:color w:val="auto"/>
          <w:highlight w:val="none"/>
        </w:rPr>
      </w:pPr>
      <w:r>
        <w:rPr>
          <w:rFonts w:hint="eastAsia"/>
          <w:color w:val="auto"/>
          <w:highlight w:val="none"/>
        </w:rPr>
        <w:t>《岩土工程勘察大纲》</w:t>
      </w:r>
    </w:p>
    <w:p w14:paraId="61754662">
      <w:pPr>
        <w:rPr>
          <w:color w:val="auto"/>
          <w:highlight w:val="none"/>
        </w:rPr>
      </w:pPr>
      <w:r>
        <w:rPr>
          <w:rFonts w:hint="eastAsia"/>
          <w:color w:val="auto"/>
          <w:highlight w:val="none"/>
        </w:rPr>
        <w:t>《工程测量大纲》</w:t>
      </w:r>
    </w:p>
    <w:p w14:paraId="527D7797">
      <w:pPr>
        <w:rPr>
          <w:color w:val="auto"/>
          <w:highlight w:val="none"/>
        </w:rPr>
      </w:pPr>
      <w:r>
        <w:rPr>
          <w:rFonts w:hint="eastAsia"/>
          <w:color w:val="auto"/>
          <w:highlight w:val="none"/>
        </w:rPr>
        <w:t>1：500数字地形图和1：1000彩色正射影像图</w:t>
      </w:r>
    </w:p>
    <w:p w14:paraId="28C79DD3">
      <w:pPr>
        <w:rPr>
          <w:color w:val="auto"/>
          <w:highlight w:val="none"/>
        </w:rPr>
      </w:pPr>
      <w:r>
        <w:rPr>
          <w:rFonts w:hint="eastAsia"/>
          <w:color w:val="auto"/>
          <w:highlight w:val="none"/>
        </w:rPr>
        <w:t>（2）初步设计阶段</w:t>
      </w:r>
    </w:p>
    <w:p w14:paraId="0B9F1373">
      <w:pPr>
        <w:rPr>
          <w:color w:val="auto"/>
          <w:highlight w:val="none"/>
        </w:rPr>
      </w:pPr>
      <w:r>
        <w:rPr>
          <w:rFonts w:hint="eastAsia"/>
          <w:color w:val="auto"/>
          <w:highlight w:val="none"/>
        </w:rPr>
        <w:t>《初勘阶段岩土工程勘察技术要求及验收标准》</w:t>
      </w:r>
    </w:p>
    <w:p w14:paraId="3CC1DB18">
      <w:pPr>
        <w:rPr>
          <w:color w:val="auto"/>
          <w:highlight w:val="none"/>
        </w:rPr>
      </w:pPr>
      <w:r>
        <w:rPr>
          <w:rFonts w:hint="eastAsia"/>
          <w:color w:val="auto"/>
          <w:highlight w:val="none"/>
        </w:rPr>
        <w:t>《初勘阶段岩土工程勘察大纲》</w:t>
      </w:r>
    </w:p>
    <w:p w14:paraId="2FC0D7A9">
      <w:pPr>
        <w:rPr>
          <w:color w:val="auto"/>
          <w:highlight w:val="none"/>
        </w:rPr>
      </w:pPr>
      <w:r>
        <w:rPr>
          <w:rFonts w:hint="eastAsia"/>
          <w:color w:val="auto"/>
          <w:highlight w:val="none"/>
        </w:rPr>
        <w:t>《初勘阶段岩土工程勘察报告》</w:t>
      </w:r>
    </w:p>
    <w:p w14:paraId="029A116D">
      <w:pPr>
        <w:rPr>
          <w:color w:val="auto"/>
          <w:highlight w:val="none"/>
        </w:rPr>
      </w:pPr>
      <w:r>
        <w:rPr>
          <w:rFonts w:hint="eastAsia"/>
          <w:color w:val="auto"/>
          <w:highlight w:val="none"/>
        </w:rPr>
        <w:t>《初测技术要求》</w:t>
      </w:r>
    </w:p>
    <w:p w14:paraId="6BF1B90E">
      <w:pPr>
        <w:rPr>
          <w:color w:val="auto"/>
          <w:highlight w:val="none"/>
        </w:rPr>
      </w:pPr>
      <w:r>
        <w:rPr>
          <w:rFonts w:hint="eastAsia"/>
          <w:color w:val="auto"/>
          <w:highlight w:val="none"/>
        </w:rPr>
        <w:t>《工程初测报告》</w:t>
      </w:r>
    </w:p>
    <w:p w14:paraId="39E78891">
      <w:pPr>
        <w:rPr>
          <w:color w:val="auto"/>
          <w:highlight w:val="none"/>
        </w:rPr>
      </w:pPr>
      <w:r>
        <w:rPr>
          <w:rFonts w:hint="eastAsia"/>
          <w:color w:val="auto"/>
          <w:highlight w:val="none"/>
        </w:rPr>
        <w:t>《测量技术设计书》</w:t>
      </w:r>
    </w:p>
    <w:p w14:paraId="5BB8B877">
      <w:pPr>
        <w:rPr>
          <w:color w:val="auto"/>
          <w:highlight w:val="none"/>
        </w:rPr>
      </w:pPr>
      <w:r>
        <w:rPr>
          <w:rFonts w:hint="eastAsia"/>
          <w:color w:val="auto"/>
          <w:highlight w:val="none"/>
        </w:rPr>
        <w:t>《工程测量（含土石方测量、室外道路测量）报告》</w:t>
      </w:r>
    </w:p>
    <w:p w14:paraId="1B9ABD0E">
      <w:pPr>
        <w:rPr>
          <w:color w:val="auto"/>
          <w:highlight w:val="none"/>
        </w:rPr>
      </w:pPr>
      <w:r>
        <w:rPr>
          <w:rFonts w:hint="eastAsia"/>
          <w:color w:val="auto"/>
          <w:highlight w:val="none"/>
        </w:rPr>
        <w:t>《工程物探（含管线探测）报告》</w:t>
      </w:r>
    </w:p>
    <w:p w14:paraId="3841888B">
      <w:pPr>
        <w:rPr>
          <w:color w:val="auto"/>
          <w:highlight w:val="none"/>
        </w:rPr>
      </w:pPr>
      <w:r>
        <w:rPr>
          <w:rFonts w:hint="eastAsia"/>
          <w:color w:val="auto"/>
          <w:highlight w:val="none"/>
        </w:rPr>
        <w:t>（3）施工图设计阶段</w:t>
      </w:r>
    </w:p>
    <w:p w14:paraId="4A1F48D8">
      <w:pPr>
        <w:rPr>
          <w:color w:val="auto"/>
          <w:highlight w:val="none"/>
        </w:rPr>
      </w:pPr>
      <w:r>
        <w:rPr>
          <w:rFonts w:hint="eastAsia"/>
          <w:color w:val="auto"/>
          <w:highlight w:val="none"/>
        </w:rPr>
        <w:t>《详勘阶段岩土工程勘察技术要求及验收标准》</w:t>
      </w:r>
    </w:p>
    <w:p w14:paraId="04EA9787">
      <w:pPr>
        <w:rPr>
          <w:color w:val="auto"/>
          <w:highlight w:val="none"/>
        </w:rPr>
      </w:pPr>
      <w:r>
        <w:rPr>
          <w:rFonts w:hint="eastAsia"/>
          <w:color w:val="auto"/>
          <w:highlight w:val="none"/>
        </w:rPr>
        <w:t>《详勘阶段岩土工程勘察大纲》</w:t>
      </w:r>
    </w:p>
    <w:p w14:paraId="73BFE0A7">
      <w:pPr>
        <w:rPr>
          <w:color w:val="auto"/>
          <w:highlight w:val="none"/>
        </w:rPr>
      </w:pPr>
      <w:r>
        <w:rPr>
          <w:rFonts w:hint="eastAsia"/>
          <w:color w:val="auto"/>
          <w:highlight w:val="none"/>
        </w:rPr>
        <w:t>《详勘阶段岩土工程勘察报告》</w:t>
      </w:r>
    </w:p>
    <w:p w14:paraId="2373D956">
      <w:pPr>
        <w:rPr>
          <w:color w:val="auto"/>
          <w:highlight w:val="none"/>
        </w:rPr>
      </w:pPr>
      <w:r>
        <w:rPr>
          <w:rFonts w:hint="eastAsia"/>
          <w:color w:val="auto"/>
          <w:highlight w:val="none"/>
        </w:rPr>
        <w:t>《定测技术要求》</w:t>
      </w:r>
    </w:p>
    <w:p w14:paraId="351904E3">
      <w:pPr>
        <w:rPr>
          <w:color w:val="auto"/>
          <w:highlight w:val="none"/>
        </w:rPr>
      </w:pPr>
      <w:r>
        <w:rPr>
          <w:rFonts w:hint="eastAsia"/>
          <w:color w:val="auto"/>
          <w:highlight w:val="none"/>
        </w:rPr>
        <w:t>《定测报告》</w:t>
      </w:r>
    </w:p>
    <w:p w14:paraId="33DA81D0">
      <w:pPr>
        <w:rPr>
          <w:color w:val="auto"/>
          <w:highlight w:val="none"/>
        </w:rPr>
      </w:pPr>
      <w:r>
        <w:rPr>
          <w:rFonts w:hint="eastAsia"/>
          <w:color w:val="auto"/>
          <w:highlight w:val="none"/>
        </w:rPr>
        <w:t>《地面平面高程控制网复测技术设计书》</w:t>
      </w:r>
    </w:p>
    <w:p w14:paraId="4EF9B624">
      <w:pPr>
        <w:rPr>
          <w:color w:val="auto"/>
          <w:highlight w:val="none"/>
        </w:rPr>
      </w:pPr>
      <w:r>
        <w:rPr>
          <w:rFonts w:hint="eastAsia"/>
          <w:color w:val="auto"/>
          <w:highlight w:val="none"/>
        </w:rPr>
        <w:t>《地面平面高程控制网复测成果》</w:t>
      </w:r>
    </w:p>
    <w:p w14:paraId="7548422E">
      <w:pPr>
        <w:rPr>
          <w:color w:val="auto"/>
          <w:highlight w:val="none"/>
        </w:rPr>
      </w:pPr>
      <w:r>
        <w:rPr>
          <w:rFonts w:hint="eastAsia"/>
          <w:color w:val="auto"/>
          <w:highlight w:val="none"/>
        </w:rPr>
        <w:t>《地面平面高程控制网复测报告》</w:t>
      </w:r>
    </w:p>
    <w:p w14:paraId="3197948B">
      <w:pPr>
        <w:rPr>
          <w:color w:val="auto"/>
          <w:highlight w:val="none"/>
        </w:rPr>
      </w:pPr>
      <w:r>
        <w:rPr>
          <w:rFonts w:hint="eastAsia"/>
          <w:color w:val="auto"/>
          <w:highlight w:val="none"/>
        </w:rPr>
        <w:t>4、造价成果文件（包括但不限于）</w:t>
      </w:r>
    </w:p>
    <w:p w14:paraId="104F6695">
      <w:pPr>
        <w:rPr>
          <w:color w:val="auto"/>
          <w:highlight w:val="none"/>
        </w:rPr>
      </w:pPr>
      <w:r>
        <w:rPr>
          <w:rFonts w:hint="eastAsia"/>
          <w:color w:val="auto"/>
          <w:highlight w:val="none"/>
        </w:rPr>
        <w:t>除按要求提交概算、预算成果外，还需要依据《广州市人民政府关于印发广州市工程建设项目审批制度改革试点实施方案的通知》（穗府[2018]12号）的要求，准备设计图纸等送审资料，并配合行政主管部门的核审工作。</w:t>
      </w:r>
    </w:p>
    <w:p w14:paraId="5B9741A6">
      <w:pPr>
        <w:pStyle w:val="4"/>
        <w:spacing w:before="120" w:after="120"/>
        <w:rPr>
          <w:color w:val="auto"/>
          <w:highlight w:val="none"/>
        </w:rPr>
      </w:pPr>
      <w:bookmarkStart w:id="405" w:name="_Toc8050"/>
      <w:bookmarkStart w:id="406" w:name="_Toc2735"/>
      <w:bookmarkStart w:id="407" w:name="_Toc31081"/>
      <w:bookmarkStart w:id="408" w:name="_Toc9645"/>
      <w:bookmarkStart w:id="409" w:name="_Toc24373_WPSOffice_Level2"/>
      <w:bookmarkStart w:id="410" w:name="_Toc19997"/>
      <w:bookmarkStart w:id="411" w:name="_Toc6315"/>
      <w:bookmarkStart w:id="412" w:name="_Toc16048"/>
      <w:bookmarkStart w:id="413" w:name="_Toc13515"/>
      <w:r>
        <w:rPr>
          <w:rFonts w:hint="eastAsia"/>
          <w:color w:val="auto"/>
          <w:highlight w:val="none"/>
        </w:rPr>
        <w:t>5.4提交设计资料要求</w:t>
      </w:r>
      <w:bookmarkEnd w:id="405"/>
      <w:bookmarkEnd w:id="406"/>
      <w:bookmarkEnd w:id="407"/>
      <w:bookmarkEnd w:id="408"/>
      <w:bookmarkEnd w:id="409"/>
      <w:bookmarkEnd w:id="410"/>
      <w:bookmarkEnd w:id="411"/>
      <w:bookmarkEnd w:id="412"/>
      <w:bookmarkEnd w:id="413"/>
    </w:p>
    <w:p w14:paraId="402A3266">
      <w:pPr>
        <w:rPr>
          <w:rFonts w:hint="eastAsia" w:ascii="宋体" w:hAnsi="宋体" w:cs="宋体"/>
          <w:color w:val="auto"/>
          <w:szCs w:val="21"/>
          <w:highlight w:val="none"/>
        </w:rPr>
      </w:pPr>
      <w:r>
        <w:rPr>
          <w:rFonts w:hint="eastAsia" w:ascii="宋体" w:hAnsi="宋体" w:cs="宋体"/>
          <w:color w:val="auto"/>
          <w:szCs w:val="21"/>
          <w:highlight w:val="none"/>
        </w:rPr>
        <w:t>1、中标设计单位设计成果文件的提交时间以符合合同约定质量的设计成果文件的提交时间为准。设计成果文件提交的时间及份数如下</w:t>
      </w:r>
    </w:p>
    <w:p w14:paraId="6D49C940">
      <w:pPr>
        <w:rPr>
          <w:rFonts w:hint="eastAsia" w:ascii="宋体" w:hAnsi="宋体" w:cs="宋体"/>
          <w:snapToGrid w:val="0"/>
          <w:color w:val="auto"/>
          <w:szCs w:val="21"/>
          <w:highlight w:val="none"/>
        </w:rPr>
      </w:pPr>
      <w:r>
        <w:rPr>
          <w:rFonts w:hint="eastAsia" w:ascii="宋体" w:hAnsi="宋体" w:cs="宋体"/>
          <w:snapToGrid w:val="0"/>
          <w:color w:val="auto"/>
          <w:szCs w:val="21"/>
          <w:highlight w:val="none"/>
        </w:rPr>
        <w:t>表6-1 设计各阶段提交时间控制表</w:t>
      </w:r>
    </w:p>
    <w:tbl>
      <w:tblPr>
        <w:tblStyle w:val="19"/>
        <w:tblW w:w="9748" w:type="dxa"/>
        <w:tblInd w:w="0" w:type="dxa"/>
        <w:tblLayout w:type="fixed"/>
        <w:tblCellMar>
          <w:top w:w="0" w:type="dxa"/>
          <w:left w:w="108" w:type="dxa"/>
          <w:bottom w:w="0" w:type="dxa"/>
          <w:right w:w="108" w:type="dxa"/>
        </w:tblCellMar>
      </w:tblPr>
      <w:tblGrid>
        <w:gridCol w:w="817"/>
        <w:gridCol w:w="1135"/>
        <w:gridCol w:w="2692"/>
        <w:gridCol w:w="1560"/>
        <w:gridCol w:w="1737"/>
        <w:gridCol w:w="1807"/>
      </w:tblGrid>
      <w:tr w14:paraId="0DA5F0A2">
        <w:tblPrEx>
          <w:tblCellMar>
            <w:top w:w="0" w:type="dxa"/>
            <w:left w:w="108" w:type="dxa"/>
            <w:bottom w:w="0" w:type="dxa"/>
            <w:right w:w="108" w:type="dxa"/>
          </w:tblCellMar>
        </w:tblPrEx>
        <w:trPr>
          <w:trHeight w:val="285" w:hRule="atLeast"/>
        </w:trPr>
        <w:tc>
          <w:tcPr>
            <w:tcW w:w="817" w:type="dxa"/>
            <w:tcBorders>
              <w:top w:val="single" w:color="auto" w:sz="4" w:space="0"/>
              <w:left w:val="single" w:color="auto" w:sz="4" w:space="0"/>
              <w:bottom w:val="single" w:color="auto" w:sz="4" w:space="0"/>
              <w:right w:val="single" w:color="auto" w:sz="4" w:space="0"/>
            </w:tcBorders>
            <w:vAlign w:val="center"/>
          </w:tcPr>
          <w:p w14:paraId="7FA7737B">
            <w:pPr>
              <w:ind w:firstLine="0" w:firstLineChars="0"/>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3827" w:type="dxa"/>
            <w:gridSpan w:val="2"/>
            <w:tcBorders>
              <w:top w:val="single" w:color="auto" w:sz="4" w:space="0"/>
              <w:left w:val="nil"/>
              <w:bottom w:val="single" w:color="auto" w:sz="4" w:space="0"/>
              <w:right w:val="single" w:color="auto" w:sz="4" w:space="0"/>
            </w:tcBorders>
            <w:vAlign w:val="center"/>
          </w:tcPr>
          <w:p w14:paraId="39B43E67">
            <w:pPr>
              <w:ind w:firstLine="0" w:firstLineChars="0"/>
              <w:rPr>
                <w:rFonts w:hint="eastAsia" w:ascii="宋体" w:hAnsi="宋体" w:cs="宋体"/>
                <w:color w:val="auto"/>
                <w:szCs w:val="21"/>
                <w:highlight w:val="none"/>
              </w:rPr>
            </w:pPr>
            <w:r>
              <w:rPr>
                <w:rFonts w:hint="eastAsia" w:ascii="宋体" w:hAnsi="宋体" w:cs="宋体"/>
                <w:color w:val="auto"/>
                <w:szCs w:val="21"/>
                <w:highlight w:val="none"/>
              </w:rPr>
              <w:t>资料及文件名称</w:t>
            </w:r>
          </w:p>
        </w:tc>
        <w:tc>
          <w:tcPr>
            <w:tcW w:w="1560" w:type="dxa"/>
            <w:tcBorders>
              <w:top w:val="single" w:color="auto" w:sz="4" w:space="0"/>
              <w:left w:val="nil"/>
              <w:bottom w:val="single" w:color="auto" w:sz="4" w:space="0"/>
              <w:right w:val="single" w:color="auto" w:sz="4" w:space="0"/>
            </w:tcBorders>
            <w:vAlign w:val="center"/>
          </w:tcPr>
          <w:p w14:paraId="063BEDC9">
            <w:pPr>
              <w:ind w:firstLine="0" w:firstLineChars="0"/>
              <w:rPr>
                <w:rFonts w:hint="eastAsia" w:ascii="宋体" w:hAnsi="宋体" w:cs="宋体"/>
                <w:color w:val="auto"/>
                <w:szCs w:val="21"/>
                <w:highlight w:val="none"/>
              </w:rPr>
            </w:pPr>
            <w:r>
              <w:rPr>
                <w:rFonts w:hint="eastAsia" w:ascii="宋体" w:hAnsi="宋体" w:cs="宋体"/>
                <w:color w:val="auto"/>
                <w:szCs w:val="21"/>
                <w:highlight w:val="none"/>
              </w:rPr>
              <w:t>提交日期</w:t>
            </w:r>
          </w:p>
        </w:tc>
        <w:tc>
          <w:tcPr>
            <w:tcW w:w="1737" w:type="dxa"/>
            <w:tcBorders>
              <w:top w:val="single" w:color="auto" w:sz="4" w:space="0"/>
              <w:left w:val="nil"/>
              <w:bottom w:val="single" w:color="auto" w:sz="4" w:space="0"/>
              <w:right w:val="single" w:color="auto" w:sz="4" w:space="0"/>
            </w:tcBorders>
            <w:vAlign w:val="center"/>
          </w:tcPr>
          <w:p w14:paraId="3C1C0593">
            <w:pPr>
              <w:ind w:firstLine="0" w:firstLineChars="0"/>
              <w:rPr>
                <w:rFonts w:hint="eastAsia" w:ascii="宋体" w:hAnsi="宋体" w:cs="宋体"/>
                <w:color w:val="auto"/>
                <w:szCs w:val="21"/>
                <w:highlight w:val="none"/>
              </w:rPr>
            </w:pPr>
            <w:r>
              <w:rPr>
                <w:rFonts w:hint="eastAsia" w:ascii="宋体" w:hAnsi="宋体" w:cs="宋体"/>
                <w:color w:val="auto"/>
                <w:szCs w:val="21"/>
                <w:highlight w:val="none"/>
              </w:rPr>
              <w:t>份数</w:t>
            </w:r>
          </w:p>
        </w:tc>
        <w:tc>
          <w:tcPr>
            <w:tcW w:w="1807" w:type="dxa"/>
            <w:tcBorders>
              <w:top w:val="single" w:color="auto" w:sz="4" w:space="0"/>
              <w:left w:val="nil"/>
              <w:bottom w:val="single" w:color="auto" w:sz="4" w:space="0"/>
              <w:right w:val="single" w:color="auto" w:sz="4" w:space="0"/>
            </w:tcBorders>
            <w:vAlign w:val="center"/>
          </w:tcPr>
          <w:p w14:paraId="537593C9">
            <w:pPr>
              <w:ind w:firstLine="0" w:firstLineChars="0"/>
              <w:rPr>
                <w:rFonts w:hint="eastAsia" w:ascii="宋体" w:hAnsi="宋体" w:cs="宋体"/>
                <w:color w:val="auto"/>
                <w:szCs w:val="21"/>
                <w:highlight w:val="none"/>
              </w:rPr>
            </w:pPr>
            <w:r>
              <w:rPr>
                <w:rFonts w:hint="eastAsia" w:ascii="宋体" w:hAnsi="宋体" w:cs="宋体"/>
                <w:color w:val="auto"/>
                <w:szCs w:val="21"/>
                <w:highlight w:val="none"/>
              </w:rPr>
              <w:t>备注</w:t>
            </w:r>
          </w:p>
        </w:tc>
      </w:tr>
      <w:tr w14:paraId="32CF4546">
        <w:tblPrEx>
          <w:tblCellMar>
            <w:top w:w="0" w:type="dxa"/>
            <w:left w:w="108" w:type="dxa"/>
            <w:bottom w:w="0" w:type="dxa"/>
            <w:right w:w="108" w:type="dxa"/>
          </w:tblCellMar>
        </w:tblPrEx>
        <w:trPr>
          <w:trHeight w:val="285" w:hRule="atLeast"/>
        </w:trPr>
        <w:tc>
          <w:tcPr>
            <w:tcW w:w="817" w:type="dxa"/>
            <w:tcBorders>
              <w:top w:val="single" w:color="auto" w:sz="4" w:space="0"/>
              <w:left w:val="single" w:color="auto" w:sz="4" w:space="0"/>
              <w:bottom w:val="single" w:color="auto" w:sz="4" w:space="0"/>
              <w:right w:val="single" w:color="auto" w:sz="4" w:space="0"/>
            </w:tcBorders>
            <w:vAlign w:val="center"/>
          </w:tcPr>
          <w:p w14:paraId="02392661">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1</w:t>
            </w:r>
          </w:p>
        </w:tc>
        <w:tc>
          <w:tcPr>
            <w:tcW w:w="3827" w:type="dxa"/>
            <w:gridSpan w:val="2"/>
            <w:tcBorders>
              <w:top w:val="single" w:color="auto" w:sz="4" w:space="0"/>
              <w:left w:val="nil"/>
              <w:bottom w:val="single" w:color="auto" w:sz="4" w:space="0"/>
              <w:right w:val="single" w:color="auto" w:sz="4" w:space="0"/>
            </w:tcBorders>
            <w:vAlign w:val="center"/>
          </w:tcPr>
          <w:p w14:paraId="2B27E440">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深化方案设计成果文件（含修规设计、工程估算、三维数据模型）</w:t>
            </w:r>
          </w:p>
        </w:tc>
        <w:tc>
          <w:tcPr>
            <w:tcW w:w="1560" w:type="dxa"/>
            <w:tcBorders>
              <w:top w:val="single" w:color="auto" w:sz="4" w:space="0"/>
              <w:left w:val="nil"/>
              <w:bottom w:val="single" w:color="auto" w:sz="4" w:space="0"/>
              <w:right w:val="single" w:color="auto" w:sz="4" w:space="0"/>
            </w:tcBorders>
            <w:vAlign w:val="center"/>
          </w:tcPr>
          <w:p w14:paraId="716E830C">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合同签订之日起</w:t>
            </w:r>
            <w:r>
              <w:rPr>
                <w:rFonts w:hint="eastAsia" w:ascii="宋体" w:hAnsi="宋体" w:cs="宋体"/>
                <w:color w:val="auto"/>
                <w:sz w:val="21"/>
                <w:szCs w:val="21"/>
                <w:highlight w:val="none"/>
                <w:lang w:val="en-US" w:eastAsia="zh-CN"/>
              </w:rPr>
              <w:t>20</w:t>
            </w:r>
            <w:r>
              <w:rPr>
                <w:rFonts w:hint="eastAsia" w:ascii="宋体" w:hAnsi="宋体" w:cs="宋体"/>
                <w:color w:val="auto"/>
                <w:sz w:val="21"/>
                <w:szCs w:val="21"/>
                <w:highlight w:val="none"/>
              </w:rPr>
              <w:t>天内</w:t>
            </w:r>
          </w:p>
        </w:tc>
        <w:tc>
          <w:tcPr>
            <w:tcW w:w="1737" w:type="dxa"/>
            <w:tcBorders>
              <w:top w:val="single" w:color="auto" w:sz="4" w:space="0"/>
              <w:left w:val="nil"/>
              <w:bottom w:val="single" w:color="auto" w:sz="4" w:space="0"/>
              <w:right w:val="single" w:color="auto" w:sz="4" w:space="0"/>
            </w:tcBorders>
            <w:vAlign w:val="center"/>
          </w:tcPr>
          <w:p w14:paraId="7F10BC5F">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6，或按甲方要求提供</w:t>
            </w:r>
          </w:p>
        </w:tc>
        <w:tc>
          <w:tcPr>
            <w:tcW w:w="1807" w:type="dxa"/>
            <w:tcBorders>
              <w:top w:val="single" w:color="auto" w:sz="4" w:space="0"/>
              <w:left w:val="nil"/>
              <w:bottom w:val="single" w:color="auto" w:sz="4" w:space="0"/>
              <w:right w:val="single" w:color="auto" w:sz="4" w:space="0"/>
            </w:tcBorders>
            <w:vAlign w:val="center"/>
          </w:tcPr>
          <w:p w14:paraId="59F34A8B">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电子文档1份</w:t>
            </w:r>
          </w:p>
        </w:tc>
      </w:tr>
      <w:tr w14:paraId="65C5CEB9">
        <w:tblPrEx>
          <w:tblCellMar>
            <w:top w:w="0" w:type="dxa"/>
            <w:left w:w="108" w:type="dxa"/>
            <w:bottom w:w="0" w:type="dxa"/>
            <w:right w:w="108" w:type="dxa"/>
          </w:tblCellMar>
        </w:tblPrEx>
        <w:trPr>
          <w:trHeight w:val="285" w:hRule="atLeast"/>
        </w:trPr>
        <w:tc>
          <w:tcPr>
            <w:tcW w:w="817" w:type="dxa"/>
            <w:tcBorders>
              <w:top w:val="single" w:color="auto" w:sz="4" w:space="0"/>
              <w:left w:val="single" w:color="auto" w:sz="4" w:space="0"/>
              <w:bottom w:val="single" w:color="auto" w:sz="4" w:space="0"/>
              <w:right w:val="single" w:color="auto" w:sz="4" w:space="0"/>
            </w:tcBorders>
            <w:vAlign w:val="center"/>
          </w:tcPr>
          <w:p w14:paraId="4968E561">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2</w:t>
            </w:r>
          </w:p>
        </w:tc>
        <w:tc>
          <w:tcPr>
            <w:tcW w:w="3827" w:type="dxa"/>
            <w:gridSpan w:val="2"/>
            <w:tcBorders>
              <w:top w:val="single" w:color="auto" w:sz="4" w:space="0"/>
              <w:left w:val="nil"/>
              <w:bottom w:val="single" w:color="auto" w:sz="4" w:space="0"/>
              <w:right w:val="single" w:color="auto" w:sz="4" w:space="0"/>
            </w:tcBorders>
            <w:vAlign w:val="center"/>
          </w:tcPr>
          <w:p w14:paraId="55F56EA7">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规划报建相关设计成果文件</w:t>
            </w:r>
          </w:p>
        </w:tc>
        <w:tc>
          <w:tcPr>
            <w:tcW w:w="1560" w:type="dxa"/>
            <w:tcBorders>
              <w:top w:val="single" w:color="auto" w:sz="4" w:space="0"/>
              <w:left w:val="nil"/>
              <w:bottom w:val="single" w:color="auto" w:sz="4" w:space="0"/>
              <w:right w:val="single" w:color="auto" w:sz="4" w:space="0"/>
            </w:tcBorders>
            <w:vAlign w:val="center"/>
          </w:tcPr>
          <w:p w14:paraId="7CE33F58">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按工作计划</w:t>
            </w:r>
          </w:p>
        </w:tc>
        <w:tc>
          <w:tcPr>
            <w:tcW w:w="1737" w:type="dxa"/>
            <w:tcBorders>
              <w:top w:val="single" w:color="auto" w:sz="4" w:space="0"/>
              <w:left w:val="nil"/>
              <w:bottom w:val="single" w:color="auto" w:sz="4" w:space="0"/>
              <w:right w:val="single" w:color="auto" w:sz="4" w:space="0"/>
            </w:tcBorders>
            <w:vAlign w:val="center"/>
          </w:tcPr>
          <w:p w14:paraId="3DB80913">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按报建要求或甲方要求提供</w:t>
            </w:r>
          </w:p>
        </w:tc>
        <w:tc>
          <w:tcPr>
            <w:tcW w:w="1807" w:type="dxa"/>
            <w:tcBorders>
              <w:top w:val="single" w:color="auto" w:sz="4" w:space="0"/>
              <w:left w:val="nil"/>
              <w:bottom w:val="single" w:color="auto" w:sz="4" w:space="0"/>
              <w:right w:val="single" w:color="auto" w:sz="4" w:space="0"/>
            </w:tcBorders>
            <w:vAlign w:val="center"/>
          </w:tcPr>
          <w:p w14:paraId="70F40EB7">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电子文档1份</w:t>
            </w:r>
          </w:p>
        </w:tc>
      </w:tr>
      <w:tr w14:paraId="12AE1B5A">
        <w:tblPrEx>
          <w:tblCellMar>
            <w:top w:w="0" w:type="dxa"/>
            <w:left w:w="108" w:type="dxa"/>
            <w:bottom w:w="0" w:type="dxa"/>
            <w:right w:w="108" w:type="dxa"/>
          </w:tblCellMar>
        </w:tblPrEx>
        <w:trPr>
          <w:trHeight w:val="285" w:hRule="atLeast"/>
        </w:trPr>
        <w:tc>
          <w:tcPr>
            <w:tcW w:w="817" w:type="dxa"/>
            <w:tcBorders>
              <w:top w:val="single" w:color="auto" w:sz="4" w:space="0"/>
              <w:left w:val="single" w:color="auto" w:sz="4" w:space="0"/>
              <w:bottom w:val="single" w:color="auto" w:sz="4" w:space="0"/>
              <w:right w:val="single" w:color="auto" w:sz="4" w:space="0"/>
            </w:tcBorders>
            <w:vAlign w:val="center"/>
          </w:tcPr>
          <w:p w14:paraId="5CCB2178">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3</w:t>
            </w:r>
          </w:p>
        </w:tc>
        <w:tc>
          <w:tcPr>
            <w:tcW w:w="3827" w:type="dxa"/>
            <w:gridSpan w:val="2"/>
            <w:tcBorders>
              <w:top w:val="single" w:color="auto" w:sz="4" w:space="0"/>
              <w:left w:val="nil"/>
              <w:bottom w:val="single" w:color="auto" w:sz="4" w:space="0"/>
              <w:right w:val="single" w:color="auto" w:sz="4" w:space="0"/>
            </w:tcBorders>
            <w:vAlign w:val="center"/>
          </w:tcPr>
          <w:p w14:paraId="097784AA">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方案设计报建相关设计成果文件</w:t>
            </w:r>
          </w:p>
        </w:tc>
        <w:tc>
          <w:tcPr>
            <w:tcW w:w="1560" w:type="dxa"/>
            <w:tcBorders>
              <w:top w:val="single" w:color="auto" w:sz="4" w:space="0"/>
              <w:left w:val="nil"/>
              <w:bottom w:val="single" w:color="auto" w:sz="4" w:space="0"/>
              <w:right w:val="single" w:color="auto" w:sz="4" w:space="0"/>
            </w:tcBorders>
            <w:vAlign w:val="center"/>
          </w:tcPr>
          <w:p w14:paraId="15446FC2">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按工作计划</w:t>
            </w:r>
          </w:p>
        </w:tc>
        <w:tc>
          <w:tcPr>
            <w:tcW w:w="1737" w:type="dxa"/>
            <w:tcBorders>
              <w:top w:val="single" w:color="auto" w:sz="4" w:space="0"/>
              <w:left w:val="nil"/>
              <w:bottom w:val="single" w:color="auto" w:sz="4" w:space="0"/>
              <w:right w:val="single" w:color="auto" w:sz="4" w:space="0"/>
            </w:tcBorders>
            <w:vAlign w:val="center"/>
          </w:tcPr>
          <w:p w14:paraId="2FA9A8E4">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按报建要求或甲方要求提供</w:t>
            </w:r>
          </w:p>
        </w:tc>
        <w:tc>
          <w:tcPr>
            <w:tcW w:w="1807" w:type="dxa"/>
            <w:tcBorders>
              <w:top w:val="single" w:color="auto" w:sz="4" w:space="0"/>
              <w:left w:val="nil"/>
              <w:bottom w:val="single" w:color="auto" w:sz="4" w:space="0"/>
              <w:right w:val="single" w:color="auto" w:sz="4" w:space="0"/>
            </w:tcBorders>
            <w:vAlign w:val="center"/>
          </w:tcPr>
          <w:p w14:paraId="5484C1BB">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电子文档1份</w:t>
            </w:r>
          </w:p>
        </w:tc>
      </w:tr>
      <w:tr w14:paraId="1EE471C5">
        <w:tblPrEx>
          <w:tblCellMar>
            <w:top w:w="0" w:type="dxa"/>
            <w:left w:w="108" w:type="dxa"/>
            <w:bottom w:w="0" w:type="dxa"/>
            <w:right w:w="108" w:type="dxa"/>
          </w:tblCellMar>
        </w:tblPrEx>
        <w:trPr>
          <w:trHeight w:val="307" w:hRule="atLeast"/>
        </w:trPr>
        <w:tc>
          <w:tcPr>
            <w:tcW w:w="817" w:type="dxa"/>
            <w:tcBorders>
              <w:top w:val="single" w:color="auto" w:sz="4" w:space="0"/>
              <w:left w:val="single" w:color="auto" w:sz="4" w:space="0"/>
              <w:bottom w:val="single" w:color="auto" w:sz="4" w:space="0"/>
              <w:right w:val="single" w:color="auto" w:sz="4" w:space="0"/>
            </w:tcBorders>
            <w:vAlign w:val="center"/>
          </w:tcPr>
          <w:p w14:paraId="626273BC">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4</w:t>
            </w:r>
          </w:p>
        </w:tc>
        <w:tc>
          <w:tcPr>
            <w:tcW w:w="3827" w:type="dxa"/>
            <w:gridSpan w:val="2"/>
            <w:tcBorders>
              <w:top w:val="single" w:color="auto" w:sz="4" w:space="0"/>
              <w:left w:val="nil"/>
              <w:bottom w:val="single" w:color="auto" w:sz="4" w:space="0"/>
              <w:right w:val="single" w:color="auto" w:sz="4" w:space="0"/>
            </w:tcBorders>
            <w:vAlign w:val="center"/>
          </w:tcPr>
          <w:p w14:paraId="7EDF88F8">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初步设计成果文件（含概算）</w:t>
            </w:r>
          </w:p>
        </w:tc>
        <w:tc>
          <w:tcPr>
            <w:tcW w:w="1560" w:type="dxa"/>
            <w:tcBorders>
              <w:top w:val="single" w:color="auto" w:sz="4" w:space="0"/>
              <w:left w:val="nil"/>
              <w:bottom w:val="single" w:color="auto" w:sz="4" w:space="0"/>
              <w:right w:val="single" w:color="auto" w:sz="4" w:space="0"/>
            </w:tcBorders>
            <w:vAlign w:val="center"/>
          </w:tcPr>
          <w:p w14:paraId="194F5631">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深化方案确定之日起</w:t>
            </w:r>
            <w:r>
              <w:rPr>
                <w:rFonts w:hint="eastAsia" w:ascii="宋体" w:hAnsi="宋体" w:cs="宋体"/>
                <w:color w:val="auto"/>
                <w:sz w:val="21"/>
                <w:szCs w:val="21"/>
                <w:highlight w:val="none"/>
                <w:lang w:val="en-US" w:eastAsia="zh-CN"/>
              </w:rPr>
              <w:t>30</w:t>
            </w:r>
            <w:r>
              <w:rPr>
                <w:rFonts w:hint="eastAsia" w:ascii="宋体" w:hAnsi="宋体" w:cs="宋体"/>
                <w:color w:val="auto"/>
                <w:sz w:val="21"/>
                <w:szCs w:val="21"/>
                <w:highlight w:val="none"/>
              </w:rPr>
              <w:t>天内</w:t>
            </w:r>
          </w:p>
        </w:tc>
        <w:tc>
          <w:tcPr>
            <w:tcW w:w="1737" w:type="dxa"/>
            <w:tcBorders>
              <w:top w:val="single" w:color="auto" w:sz="4" w:space="0"/>
              <w:left w:val="nil"/>
              <w:bottom w:val="single" w:color="auto" w:sz="4" w:space="0"/>
              <w:right w:val="single" w:color="auto" w:sz="4" w:space="0"/>
            </w:tcBorders>
            <w:vAlign w:val="center"/>
          </w:tcPr>
          <w:p w14:paraId="1CEB3EBC">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10，或按甲方要求提供</w:t>
            </w:r>
          </w:p>
        </w:tc>
        <w:tc>
          <w:tcPr>
            <w:tcW w:w="1807" w:type="dxa"/>
            <w:tcBorders>
              <w:top w:val="single" w:color="auto" w:sz="4" w:space="0"/>
              <w:left w:val="nil"/>
              <w:bottom w:val="single" w:color="auto" w:sz="4" w:space="0"/>
              <w:right w:val="single" w:color="auto" w:sz="4" w:space="0"/>
            </w:tcBorders>
            <w:vAlign w:val="center"/>
          </w:tcPr>
          <w:p w14:paraId="07E69C49">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电子文档1份（含符合评审要求的软件版）</w:t>
            </w:r>
          </w:p>
        </w:tc>
      </w:tr>
      <w:tr w14:paraId="609C43CF">
        <w:tblPrEx>
          <w:tblCellMar>
            <w:top w:w="0" w:type="dxa"/>
            <w:left w:w="108" w:type="dxa"/>
            <w:bottom w:w="0" w:type="dxa"/>
            <w:right w:w="108" w:type="dxa"/>
          </w:tblCellMar>
        </w:tblPrEx>
        <w:trPr>
          <w:trHeight w:val="630" w:hRule="atLeast"/>
        </w:trPr>
        <w:tc>
          <w:tcPr>
            <w:tcW w:w="817" w:type="dxa"/>
            <w:tcBorders>
              <w:top w:val="single" w:color="auto" w:sz="4" w:space="0"/>
              <w:left w:val="single" w:color="auto" w:sz="4" w:space="0"/>
              <w:bottom w:val="single" w:color="auto" w:sz="4" w:space="0"/>
              <w:right w:val="single" w:color="auto" w:sz="4" w:space="0"/>
            </w:tcBorders>
            <w:vAlign w:val="center"/>
          </w:tcPr>
          <w:p w14:paraId="52010F61">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5</w:t>
            </w:r>
          </w:p>
        </w:tc>
        <w:tc>
          <w:tcPr>
            <w:tcW w:w="3827" w:type="dxa"/>
            <w:gridSpan w:val="2"/>
            <w:tcBorders>
              <w:top w:val="single" w:color="auto" w:sz="4" w:space="0"/>
              <w:left w:val="nil"/>
              <w:bottom w:val="single" w:color="auto" w:sz="4" w:space="0"/>
              <w:right w:val="single" w:color="auto" w:sz="4" w:space="0"/>
            </w:tcBorders>
            <w:vAlign w:val="center"/>
          </w:tcPr>
          <w:p w14:paraId="3444BA88">
            <w:pPr>
              <w:ind w:firstLine="0" w:firstLineChars="0"/>
              <w:rPr>
                <w:rFonts w:hint="eastAsia" w:ascii="宋体" w:hAnsi="宋体" w:cs="宋体"/>
                <w:b/>
                <w:color w:val="auto"/>
                <w:sz w:val="21"/>
                <w:szCs w:val="21"/>
                <w:highlight w:val="none"/>
              </w:rPr>
            </w:pPr>
            <w:r>
              <w:rPr>
                <w:rFonts w:hint="eastAsia" w:ascii="宋体" w:hAnsi="宋体" w:cs="宋体"/>
                <w:color w:val="auto"/>
                <w:sz w:val="21"/>
                <w:szCs w:val="21"/>
                <w:highlight w:val="none"/>
              </w:rPr>
              <w:t>初步设计阶段相关报建、报批成果文件</w:t>
            </w:r>
          </w:p>
        </w:tc>
        <w:tc>
          <w:tcPr>
            <w:tcW w:w="1560" w:type="dxa"/>
            <w:tcBorders>
              <w:top w:val="single" w:color="auto" w:sz="4" w:space="0"/>
              <w:left w:val="nil"/>
              <w:bottom w:val="single" w:color="auto" w:sz="4" w:space="0"/>
              <w:right w:val="single" w:color="auto" w:sz="4" w:space="0"/>
            </w:tcBorders>
            <w:vAlign w:val="center"/>
          </w:tcPr>
          <w:p w14:paraId="2FA74DE4">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按工作计划</w:t>
            </w:r>
          </w:p>
        </w:tc>
        <w:tc>
          <w:tcPr>
            <w:tcW w:w="1737" w:type="dxa"/>
            <w:tcBorders>
              <w:top w:val="single" w:color="auto" w:sz="4" w:space="0"/>
              <w:left w:val="nil"/>
              <w:bottom w:val="single" w:color="auto" w:sz="4" w:space="0"/>
              <w:right w:val="single" w:color="auto" w:sz="4" w:space="0"/>
            </w:tcBorders>
            <w:vAlign w:val="center"/>
          </w:tcPr>
          <w:p w14:paraId="3EFA61C6">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按报建要求或甲方要求提供</w:t>
            </w:r>
          </w:p>
        </w:tc>
        <w:tc>
          <w:tcPr>
            <w:tcW w:w="1807" w:type="dxa"/>
            <w:tcBorders>
              <w:top w:val="single" w:color="auto" w:sz="4" w:space="0"/>
              <w:left w:val="nil"/>
              <w:bottom w:val="single" w:color="auto" w:sz="4" w:space="0"/>
              <w:right w:val="single" w:color="auto" w:sz="4" w:space="0"/>
            </w:tcBorders>
            <w:vAlign w:val="center"/>
          </w:tcPr>
          <w:p w14:paraId="319BA2D7">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电子文档1份</w:t>
            </w:r>
          </w:p>
        </w:tc>
      </w:tr>
      <w:tr w14:paraId="3E2BF384">
        <w:tblPrEx>
          <w:tblCellMar>
            <w:top w:w="0" w:type="dxa"/>
            <w:left w:w="108" w:type="dxa"/>
            <w:bottom w:w="0" w:type="dxa"/>
            <w:right w:w="108" w:type="dxa"/>
          </w:tblCellMar>
        </w:tblPrEx>
        <w:trPr>
          <w:trHeight w:val="493" w:hRule="atLeast"/>
        </w:trPr>
        <w:tc>
          <w:tcPr>
            <w:tcW w:w="817" w:type="dxa"/>
            <w:tcBorders>
              <w:top w:val="single" w:color="auto" w:sz="4" w:space="0"/>
              <w:left w:val="single" w:color="auto" w:sz="4" w:space="0"/>
              <w:bottom w:val="single" w:color="auto" w:sz="4" w:space="0"/>
              <w:right w:val="single" w:color="auto" w:sz="4" w:space="0"/>
            </w:tcBorders>
            <w:vAlign w:val="center"/>
          </w:tcPr>
          <w:p w14:paraId="42A1255B">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6</w:t>
            </w:r>
          </w:p>
        </w:tc>
        <w:tc>
          <w:tcPr>
            <w:tcW w:w="3827" w:type="dxa"/>
            <w:gridSpan w:val="2"/>
            <w:tcBorders>
              <w:top w:val="single" w:color="auto" w:sz="4" w:space="0"/>
              <w:left w:val="nil"/>
              <w:bottom w:val="single" w:color="auto" w:sz="4" w:space="0"/>
              <w:right w:val="single" w:color="auto" w:sz="4" w:space="0"/>
            </w:tcBorders>
            <w:vAlign w:val="center"/>
          </w:tcPr>
          <w:p w14:paraId="65A6A5AA">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施工图设计成果文件（送施工图审查单位审查，含投资分析报告）</w:t>
            </w:r>
          </w:p>
        </w:tc>
        <w:tc>
          <w:tcPr>
            <w:tcW w:w="1560" w:type="dxa"/>
            <w:tcBorders>
              <w:top w:val="single" w:color="auto" w:sz="4" w:space="0"/>
              <w:left w:val="nil"/>
              <w:bottom w:val="single" w:color="auto" w:sz="4" w:space="0"/>
              <w:right w:val="single" w:color="auto" w:sz="4" w:space="0"/>
            </w:tcBorders>
            <w:vAlign w:val="center"/>
          </w:tcPr>
          <w:p w14:paraId="73DCCDDF">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初步设计经专家技术评审之日起30天内</w:t>
            </w:r>
          </w:p>
        </w:tc>
        <w:tc>
          <w:tcPr>
            <w:tcW w:w="1737" w:type="dxa"/>
            <w:tcBorders>
              <w:top w:val="single" w:color="auto" w:sz="4" w:space="0"/>
              <w:left w:val="nil"/>
              <w:bottom w:val="single" w:color="auto" w:sz="4" w:space="0"/>
              <w:right w:val="single" w:color="auto" w:sz="4" w:space="0"/>
            </w:tcBorders>
            <w:vAlign w:val="center"/>
          </w:tcPr>
          <w:p w14:paraId="7DFC6540">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21，或按甲方要求提供</w:t>
            </w:r>
          </w:p>
        </w:tc>
        <w:tc>
          <w:tcPr>
            <w:tcW w:w="1807" w:type="dxa"/>
            <w:tcBorders>
              <w:top w:val="single" w:color="auto" w:sz="4" w:space="0"/>
              <w:left w:val="nil"/>
              <w:bottom w:val="single" w:color="auto" w:sz="4" w:space="0"/>
              <w:right w:val="single" w:color="auto" w:sz="4" w:space="0"/>
            </w:tcBorders>
            <w:vAlign w:val="center"/>
          </w:tcPr>
          <w:p w14:paraId="7E4A23F0">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投资分析报告21份；电子文档2份</w:t>
            </w:r>
          </w:p>
        </w:tc>
      </w:tr>
      <w:tr w14:paraId="009F7F71">
        <w:tblPrEx>
          <w:tblCellMar>
            <w:top w:w="0" w:type="dxa"/>
            <w:left w:w="108" w:type="dxa"/>
            <w:bottom w:w="0" w:type="dxa"/>
            <w:right w:w="108" w:type="dxa"/>
          </w:tblCellMar>
        </w:tblPrEx>
        <w:trPr>
          <w:trHeight w:val="660" w:hRule="atLeast"/>
        </w:trPr>
        <w:tc>
          <w:tcPr>
            <w:tcW w:w="817" w:type="dxa"/>
            <w:vMerge w:val="restart"/>
            <w:tcBorders>
              <w:top w:val="single" w:color="auto" w:sz="4" w:space="0"/>
              <w:left w:val="single" w:color="auto" w:sz="4" w:space="0"/>
              <w:bottom w:val="single" w:color="auto" w:sz="4" w:space="0"/>
              <w:right w:val="single" w:color="auto" w:sz="4" w:space="0"/>
            </w:tcBorders>
            <w:vAlign w:val="center"/>
          </w:tcPr>
          <w:p w14:paraId="188A0ED2">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7</w:t>
            </w:r>
          </w:p>
        </w:tc>
        <w:tc>
          <w:tcPr>
            <w:tcW w:w="1135" w:type="dxa"/>
            <w:vMerge w:val="restart"/>
            <w:tcBorders>
              <w:top w:val="single" w:color="auto" w:sz="4" w:space="0"/>
              <w:left w:val="single" w:color="auto" w:sz="4" w:space="0"/>
              <w:bottom w:val="single" w:color="auto" w:sz="4" w:space="0"/>
              <w:right w:val="single" w:color="auto" w:sz="4" w:space="0"/>
            </w:tcBorders>
            <w:vAlign w:val="center"/>
          </w:tcPr>
          <w:p w14:paraId="68AA3BF5">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施工图（按施工图审查单位意见修改并审批通过，包括主要材料清单、技术规范要求等文件）</w:t>
            </w:r>
          </w:p>
        </w:tc>
        <w:tc>
          <w:tcPr>
            <w:tcW w:w="2692" w:type="dxa"/>
            <w:tcBorders>
              <w:top w:val="single" w:color="auto" w:sz="4" w:space="0"/>
              <w:left w:val="single" w:color="auto" w:sz="4" w:space="0"/>
              <w:bottom w:val="single" w:color="auto" w:sz="4" w:space="0"/>
              <w:right w:val="single" w:color="auto" w:sz="4" w:space="0"/>
            </w:tcBorders>
            <w:vAlign w:val="center"/>
          </w:tcPr>
          <w:p w14:paraId="654FFF5E">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施工报建的成果文件</w:t>
            </w:r>
          </w:p>
        </w:tc>
        <w:tc>
          <w:tcPr>
            <w:tcW w:w="1560" w:type="dxa"/>
            <w:tcBorders>
              <w:top w:val="single" w:color="auto" w:sz="4" w:space="0"/>
              <w:left w:val="single" w:color="auto" w:sz="4" w:space="0"/>
              <w:bottom w:val="single" w:color="auto" w:sz="4" w:space="0"/>
              <w:right w:val="single" w:color="auto" w:sz="4" w:space="0"/>
            </w:tcBorders>
            <w:vAlign w:val="center"/>
          </w:tcPr>
          <w:p w14:paraId="04F4A315">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按工作计划</w:t>
            </w:r>
          </w:p>
        </w:tc>
        <w:tc>
          <w:tcPr>
            <w:tcW w:w="1737" w:type="dxa"/>
            <w:tcBorders>
              <w:top w:val="single" w:color="auto" w:sz="4" w:space="0"/>
              <w:left w:val="single" w:color="auto" w:sz="4" w:space="0"/>
              <w:bottom w:val="single" w:color="auto" w:sz="4" w:space="0"/>
              <w:right w:val="single" w:color="auto" w:sz="4" w:space="0"/>
            </w:tcBorders>
            <w:vAlign w:val="center"/>
          </w:tcPr>
          <w:p w14:paraId="74AE4FEA">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按报建要求或甲方要求提供</w:t>
            </w:r>
          </w:p>
        </w:tc>
        <w:tc>
          <w:tcPr>
            <w:tcW w:w="1807" w:type="dxa"/>
            <w:tcBorders>
              <w:top w:val="single" w:color="auto" w:sz="4" w:space="0"/>
              <w:left w:val="single" w:color="auto" w:sz="4" w:space="0"/>
              <w:bottom w:val="single" w:color="auto" w:sz="4" w:space="0"/>
              <w:right w:val="single" w:color="auto" w:sz="4" w:space="0"/>
            </w:tcBorders>
            <w:vAlign w:val="center"/>
          </w:tcPr>
          <w:p w14:paraId="7909C6CA">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电子文档1份</w:t>
            </w:r>
          </w:p>
        </w:tc>
      </w:tr>
      <w:tr w14:paraId="278656E4">
        <w:tblPrEx>
          <w:tblCellMar>
            <w:top w:w="0" w:type="dxa"/>
            <w:left w:w="108" w:type="dxa"/>
            <w:bottom w:w="0" w:type="dxa"/>
            <w:right w:w="108" w:type="dxa"/>
          </w:tblCellMar>
        </w:tblPrEx>
        <w:trPr>
          <w:trHeight w:val="840" w:hRule="atLeast"/>
        </w:trPr>
        <w:tc>
          <w:tcPr>
            <w:tcW w:w="817" w:type="dxa"/>
            <w:vMerge w:val="continue"/>
            <w:tcBorders>
              <w:top w:val="single" w:color="auto" w:sz="4" w:space="0"/>
              <w:left w:val="single" w:color="auto" w:sz="4" w:space="0"/>
              <w:bottom w:val="single" w:color="auto" w:sz="4" w:space="0"/>
              <w:right w:val="single" w:color="auto" w:sz="4" w:space="0"/>
            </w:tcBorders>
            <w:vAlign w:val="center"/>
          </w:tcPr>
          <w:p w14:paraId="315699BE">
            <w:pPr>
              <w:widowControl/>
              <w:ind w:firstLine="0" w:firstLineChars="0"/>
              <w:jc w:val="left"/>
              <w:rPr>
                <w:rFonts w:hint="eastAsia" w:ascii="宋体" w:hAnsi="宋体" w:cs="宋体"/>
                <w:color w:val="auto"/>
                <w:sz w:val="21"/>
                <w:szCs w:val="21"/>
                <w:highlight w:val="none"/>
              </w:rPr>
            </w:pPr>
          </w:p>
        </w:tc>
        <w:tc>
          <w:tcPr>
            <w:tcW w:w="1135" w:type="dxa"/>
            <w:vMerge w:val="continue"/>
            <w:tcBorders>
              <w:top w:val="single" w:color="auto" w:sz="4" w:space="0"/>
              <w:left w:val="single" w:color="auto" w:sz="4" w:space="0"/>
              <w:bottom w:val="single" w:color="auto" w:sz="4" w:space="0"/>
              <w:right w:val="single" w:color="auto" w:sz="4" w:space="0"/>
            </w:tcBorders>
            <w:vAlign w:val="center"/>
          </w:tcPr>
          <w:p w14:paraId="45CD2849">
            <w:pPr>
              <w:widowControl/>
              <w:ind w:firstLine="0" w:firstLineChars="0"/>
              <w:jc w:val="left"/>
              <w:rPr>
                <w:rFonts w:hint="eastAsia" w:ascii="宋体" w:hAnsi="宋体" w:cs="宋体"/>
                <w:color w:val="auto"/>
                <w:sz w:val="21"/>
                <w:szCs w:val="21"/>
                <w:highlight w:val="none"/>
              </w:rPr>
            </w:pPr>
          </w:p>
        </w:tc>
        <w:tc>
          <w:tcPr>
            <w:tcW w:w="2692" w:type="dxa"/>
            <w:tcBorders>
              <w:top w:val="single" w:color="auto" w:sz="4" w:space="0"/>
              <w:left w:val="single" w:color="auto" w:sz="4" w:space="0"/>
              <w:bottom w:val="single" w:color="auto" w:sz="4" w:space="0"/>
              <w:right w:val="single" w:color="auto" w:sz="4" w:space="0"/>
            </w:tcBorders>
            <w:vAlign w:val="center"/>
          </w:tcPr>
          <w:p w14:paraId="0CB52F10">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施工图</w:t>
            </w:r>
          </w:p>
        </w:tc>
        <w:tc>
          <w:tcPr>
            <w:tcW w:w="1560" w:type="dxa"/>
            <w:tcBorders>
              <w:top w:val="single" w:color="auto" w:sz="4" w:space="0"/>
              <w:left w:val="single" w:color="auto" w:sz="4" w:space="0"/>
              <w:bottom w:val="single" w:color="auto" w:sz="4" w:space="0"/>
              <w:right w:val="single" w:color="auto" w:sz="4" w:space="0"/>
            </w:tcBorders>
            <w:vAlign w:val="center"/>
          </w:tcPr>
          <w:p w14:paraId="3481C14E">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初步设计经专家技术评审之日起30天内</w:t>
            </w:r>
          </w:p>
        </w:tc>
        <w:tc>
          <w:tcPr>
            <w:tcW w:w="1737" w:type="dxa"/>
            <w:tcBorders>
              <w:top w:val="single" w:color="auto" w:sz="4" w:space="0"/>
              <w:left w:val="single" w:color="auto" w:sz="4" w:space="0"/>
              <w:bottom w:val="single" w:color="auto" w:sz="4" w:space="0"/>
              <w:right w:val="single" w:color="auto" w:sz="4" w:space="0"/>
            </w:tcBorders>
            <w:vAlign w:val="center"/>
          </w:tcPr>
          <w:p w14:paraId="31A94286">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21，或按甲方要求提供</w:t>
            </w:r>
          </w:p>
        </w:tc>
        <w:tc>
          <w:tcPr>
            <w:tcW w:w="1807" w:type="dxa"/>
            <w:tcBorders>
              <w:top w:val="single" w:color="auto" w:sz="4" w:space="0"/>
              <w:left w:val="single" w:color="auto" w:sz="4" w:space="0"/>
              <w:bottom w:val="single" w:color="auto" w:sz="4" w:space="0"/>
              <w:right w:val="single" w:color="auto" w:sz="4" w:space="0"/>
            </w:tcBorders>
            <w:vAlign w:val="center"/>
          </w:tcPr>
          <w:p w14:paraId="2E298109">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电子文档1份</w:t>
            </w:r>
          </w:p>
        </w:tc>
      </w:tr>
      <w:tr w14:paraId="1BE9DF86">
        <w:tblPrEx>
          <w:tblCellMar>
            <w:top w:w="0" w:type="dxa"/>
            <w:left w:w="108" w:type="dxa"/>
            <w:bottom w:w="0" w:type="dxa"/>
            <w:right w:w="108" w:type="dxa"/>
          </w:tblCellMar>
        </w:tblPrEx>
        <w:trPr>
          <w:trHeight w:val="1110" w:hRule="atLeast"/>
        </w:trPr>
        <w:tc>
          <w:tcPr>
            <w:tcW w:w="817" w:type="dxa"/>
            <w:vMerge w:val="continue"/>
            <w:tcBorders>
              <w:top w:val="single" w:color="auto" w:sz="4" w:space="0"/>
              <w:left w:val="single" w:color="auto" w:sz="4" w:space="0"/>
              <w:bottom w:val="single" w:color="auto" w:sz="4" w:space="0"/>
              <w:right w:val="single" w:color="auto" w:sz="4" w:space="0"/>
            </w:tcBorders>
            <w:vAlign w:val="center"/>
          </w:tcPr>
          <w:p w14:paraId="4165D963">
            <w:pPr>
              <w:widowControl/>
              <w:ind w:firstLine="0" w:firstLineChars="0"/>
              <w:jc w:val="left"/>
              <w:rPr>
                <w:rFonts w:hint="eastAsia" w:ascii="宋体" w:hAnsi="宋体" w:cs="宋体"/>
                <w:color w:val="auto"/>
                <w:sz w:val="21"/>
                <w:szCs w:val="21"/>
                <w:highlight w:val="none"/>
              </w:rPr>
            </w:pPr>
          </w:p>
        </w:tc>
        <w:tc>
          <w:tcPr>
            <w:tcW w:w="1135" w:type="dxa"/>
            <w:vMerge w:val="continue"/>
            <w:tcBorders>
              <w:top w:val="single" w:color="auto" w:sz="4" w:space="0"/>
              <w:left w:val="single" w:color="auto" w:sz="4" w:space="0"/>
              <w:bottom w:val="single" w:color="auto" w:sz="4" w:space="0"/>
              <w:right w:val="single" w:color="auto" w:sz="4" w:space="0"/>
            </w:tcBorders>
            <w:vAlign w:val="center"/>
          </w:tcPr>
          <w:p w14:paraId="2C22884D">
            <w:pPr>
              <w:widowControl/>
              <w:ind w:firstLine="0" w:firstLineChars="0"/>
              <w:jc w:val="left"/>
              <w:rPr>
                <w:rFonts w:hint="eastAsia" w:ascii="宋体" w:hAnsi="宋体" w:cs="宋体"/>
                <w:color w:val="auto"/>
                <w:sz w:val="21"/>
                <w:szCs w:val="21"/>
                <w:highlight w:val="none"/>
              </w:rPr>
            </w:pPr>
          </w:p>
        </w:tc>
        <w:tc>
          <w:tcPr>
            <w:tcW w:w="2692" w:type="dxa"/>
            <w:tcBorders>
              <w:top w:val="single" w:color="auto" w:sz="4" w:space="0"/>
              <w:left w:val="single" w:color="auto" w:sz="4" w:space="0"/>
              <w:bottom w:val="single" w:color="auto" w:sz="4" w:space="0"/>
              <w:right w:val="single" w:color="auto" w:sz="4" w:space="0"/>
            </w:tcBorders>
            <w:vAlign w:val="center"/>
          </w:tcPr>
          <w:p w14:paraId="1F34E6D5">
            <w:pPr>
              <w:ind w:firstLine="0" w:firstLineChars="0"/>
              <w:rPr>
                <w:rFonts w:hint="eastAsia" w:ascii="宋体" w:hAnsi="宋体" w:cs="宋体"/>
                <w:color w:val="auto"/>
                <w:sz w:val="21"/>
                <w:szCs w:val="21"/>
                <w:highlight w:val="none"/>
              </w:rPr>
            </w:pPr>
            <w:r>
              <w:rPr>
                <w:rFonts w:hint="eastAsia" w:ascii="宋体" w:hAnsi="宋体" w:cs="宋体"/>
                <w:snapToGrid w:val="0"/>
                <w:color w:val="auto"/>
                <w:kern w:val="0"/>
                <w:sz w:val="21"/>
                <w:szCs w:val="21"/>
                <w:highlight w:val="none"/>
              </w:rPr>
              <w:t>完整版设计变更内容台账及相关资料</w:t>
            </w:r>
          </w:p>
        </w:tc>
        <w:tc>
          <w:tcPr>
            <w:tcW w:w="1560" w:type="dxa"/>
            <w:tcBorders>
              <w:top w:val="single" w:color="auto" w:sz="4" w:space="0"/>
              <w:left w:val="single" w:color="auto" w:sz="4" w:space="0"/>
              <w:bottom w:val="single" w:color="auto" w:sz="4" w:space="0"/>
              <w:right w:val="single" w:color="auto" w:sz="4" w:space="0"/>
            </w:tcBorders>
            <w:vAlign w:val="center"/>
          </w:tcPr>
          <w:p w14:paraId="3DA30388">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竣工验收前</w:t>
            </w:r>
          </w:p>
        </w:tc>
        <w:tc>
          <w:tcPr>
            <w:tcW w:w="1737" w:type="dxa"/>
            <w:tcBorders>
              <w:top w:val="single" w:color="auto" w:sz="4" w:space="0"/>
              <w:left w:val="single" w:color="auto" w:sz="4" w:space="0"/>
              <w:bottom w:val="single" w:color="auto" w:sz="4" w:space="0"/>
              <w:right w:val="single" w:color="auto" w:sz="4" w:space="0"/>
            </w:tcBorders>
            <w:vAlign w:val="center"/>
          </w:tcPr>
          <w:p w14:paraId="195C21AE">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按甲方要求提供</w:t>
            </w:r>
          </w:p>
        </w:tc>
        <w:tc>
          <w:tcPr>
            <w:tcW w:w="1807" w:type="dxa"/>
            <w:tcBorders>
              <w:top w:val="single" w:color="auto" w:sz="4" w:space="0"/>
              <w:left w:val="single" w:color="auto" w:sz="4" w:space="0"/>
              <w:bottom w:val="single" w:color="auto" w:sz="4" w:space="0"/>
              <w:right w:val="single" w:color="auto" w:sz="4" w:space="0"/>
            </w:tcBorders>
            <w:vAlign w:val="center"/>
          </w:tcPr>
          <w:p w14:paraId="1B3229D2">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电子文档1份</w:t>
            </w:r>
          </w:p>
        </w:tc>
      </w:tr>
      <w:tr w14:paraId="72CA6675">
        <w:tblPrEx>
          <w:tblCellMar>
            <w:top w:w="0" w:type="dxa"/>
            <w:left w:w="108" w:type="dxa"/>
            <w:bottom w:w="0" w:type="dxa"/>
            <w:right w:w="108" w:type="dxa"/>
          </w:tblCellMar>
        </w:tblPrEx>
        <w:trPr>
          <w:trHeight w:val="525" w:hRule="atLeast"/>
        </w:trPr>
        <w:tc>
          <w:tcPr>
            <w:tcW w:w="817" w:type="dxa"/>
            <w:tcBorders>
              <w:top w:val="single" w:color="auto" w:sz="4" w:space="0"/>
              <w:left w:val="single" w:color="auto" w:sz="4" w:space="0"/>
              <w:bottom w:val="single" w:color="auto" w:sz="4" w:space="0"/>
              <w:right w:val="single" w:color="auto" w:sz="4" w:space="0"/>
            </w:tcBorders>
            <w:vAlign w:val="center"/>
          </w:tcPr>
          <w:p w14:paraId="45E52B5A">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8</w:t>
            </w:r>
          </w:p>
        </w:tc>
        <w:tc>
          <w:tcPr>
            <w:tcW w:w="3827" w:type="dxa"/>
            <w:gridSpan w:val="2"/>
            <w:tcBorders>
              <w:top w:val="single" w:color="auto" w:sz="4" w:space="0"/>
              <w:left w:val="nil"/>
              <w:bottom w:val="single" w:color="auto" w:sz="4" w:space="0"/>
              <w:right w:val="single" w:color="auto" w:sz="4" w:space="0"/>
            </w:tcBorders>
            <w:vAlign w:val="center"/>
          </w:tcPr>
          <w:p w14:paraId="4323DBB7">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总图设计成果文件（包括区域内各相关专业、管线综合、园林景观等内容）</w:t>
            </w:r>
          </w:p>
        </w:tc>
        <w:tc>
          <w:tcPr>
            <w:tcW w:w="1560" w:type="dxa"/>
            <w:tcBorders>
              <w:top w:val="single" w:color="auto" w:sz="4" w:space="0"/>
              <w:left w:val="nil"/>
              <w:bottom w:val="single" w:color="auto" w:sz="4" w:space="0"/>
              <w:right w:val="single" w:color="auto" w:sz="4" w:space="0"/>
            </w:tcBorders>
            <w:vAlign w:val="center"/>
          </w:tcPr>
          <w:p w14:paraId="6C5838AC">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根据实际情况，按工作计划</w:t>
            </w:r>
          </w:p>
        </w:tc>
        <w:tc>
          <w:tcPr>
            <w:tcW w:w="1737" w:type="dxa"/>
            <w:tcBorders>
              <w:top w:val="single" w:color="auto" w:sz="4" w:space="0"/>
              <w:left w:val="nil"/>
              <w:bottom w:val="single" w:color="auto" w:sz="4" w:space="0"/>
              <w:right w:val="single" w:color="auto" w:sz="4" w:space="0"/>
            </w:tcBorders>
            <w:vAlign w:val="center"/>
          </w:tcPr>
          <w:p w14:paraId="61EC6F6C">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按甲方要求提供</w:t>
            </w:r>
          </w:p>
        </w:tc>
        <w:tc>
          <w:tcPr>
            <w:tcW w:w="1807" w:type="dxa"/>
            <w:tcBorders>
              <w:top w:val="single" w:color="auto" w:sz="4" w:space="0"/>
              <w:left w:val="nil"/>
              <w:bottom w:val="single" w:color="auto" w:sz="4" w:space="0"/>
              <w:right w:val="single" w:color="auto" w:sz="4" w:space="0"/>
            </w:tcBorders>
            <w:vAlign w:val="center"/>
          </w:tcPr>
          <w:p w14:paraId="1ECAFAEE">
            <w:pPr>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rPr>
              <w:t>电子文档1份</w:t>
            </w:r>
          </w:p>
        </w:tc>
      </w:tr>
    </w:tbl>
    <w:p w14:paraId="17D56ECD">
      <w:pPr>
        <w:pStyle w:val="17"/>
        <w:ind w:left="480" w:firstLine="420"/>
        <w:rPr>
          <w:color w:val="auto"/>
          <w:highlight w:val="none"/>
        </w:rPr>
      </w:pPr>
    </w:p>
    <w:p w14:paraId="213304E6">
      <w:pPr>
        <w:rPr>
          <w:rFonts w:hint="eastAsia" w:ascii="宋体" w:hAnsi="宋体" w:cs="宋体"/>
          <w:color w:val="auto"/>
          <w:szCs w:val="21"/>
          <w:highlight w:val="none"/>
        </w:rPr>
      </w:pPr>
      <w:r>
        <w:rPr>
          <w:rFonts w:hint="eastAsia" w:ascii="宋体" w:hAnsi="宋体" w:cs="宋体"/>
          <w:color w:val="auto"/>
          <w:szCs w:val="21"/>
          <w:highlight w:val="none"/>
        </w:rPr>
        <w:t>备注：上述各阶段成果提交时间由甲方控制，可根据实际情况调整；各配合阶段（如招标阶段、施工阶段）及设计变更等所需文件份数及时间按合同约定和甲方要求执行。</w:t>
      </w:r>
    </w:p>
    <w:p w14:paraId="35C12021">
      <w:pPr>
        <w:rPr>
          <w:rFonts w:hint="eastAsia" w:ascii="宋体" w:hAnsi="宋体" w:cs="宋体"/>
          <w:color w:val="auto"/>
          <w:szCs w:val="21"/>
          <w:highlight w:val="none"/>
        </w:rPr>
      </w:pPr>
      <w:r>
        <w:rPr>
          <w:rFonts w:hint="eastAsia" w:ascii="宋体" w:hAnsi="宋体" w:cs="宋体"/>
          <w:color w:val="auto"/>
          <w:szCs w:val="21"/>
          <w:highlight w:val="none"/>
        </w:rPr>
        <w:t>2、各阶段所有提供的效果图必须同时提交电子版文件，精度要求：分辨率不低于4kx4k。</w:t>
      </w:r>
    </w:p>
    <w:p w14:paraId="2F1798B4">
      <w:pPr>
        <w:rPr>
          <w:rFonts w:hint="eastAsia" w:ascii="宋体" w:hAnsi="宋体" w:cs="宋体"/>
          <w:color w:val="auto"/>
          <w:szCs w:val="21"/>
          <w:highlight w:val="none"/>
        </w:rPr>
      </w:pPr>
      <w:r>
        <w:rPr>
          <w:rFonts w:hint="eastAsia" w:ascii="宋体" w:hAnsi="宋体" w:cs="宋体"/>
          <w:color w:val="auto"/>
          <w:szCs w:val="21"/>
          <w:highlight w:val="none"/>
        </w:rPr>
        <w:t>3、设计文件除应提供本设计全标段的设计图、设计说明、土方平衡图、工程项目及数量汇总表外，还应按施工标段分别提供所需设计图纸、工程量清单、招标技术规范、设备资料表和用户需求书（深度要求要达到建设单位提供的范本），以及必要的设计资料、分区示意图和设计计算书。每次交付设计文件和资料时应附带清单。</w:t>
      </w:r>
    </w:p>
    <w:p w14:paraId="2C5791DD">
      <w:pPr>
        <w:ind w:firstLine="360" w:firstLineChars="150"/>
        <w:rPr>
          <w:rFonts w:hint="eastAsia" w:ascii="宋体" w:hAnsi="宋体" w:cs="宋体"/>
          <w:snapToGrid w:val="0"/>
          <w:color w:val="auto"/>
          <w:szCs w:val="21"/>
          <w:highlight w:val="none"/>
        </w:rPr>
      </w:pPr>
      <w:r>
        <w:rPr>
          <w:rFonts w:hint="eastAsia" w:ascii="宋体" w:hAnsi="宋体" w:cs="宋体"/>
          <w:snapToGrid w:val="0"/>
          <w:color w:val="auto"/>
          <w:szCs w:val="21"/>
          <w:highlight w:val="none"/>
        </w:rPr>
        <w:t>4、在规划红线范围内，设计人应保证按规划及建筑功能要求、配套设施要求完成本工程造价中包含的全部项目的专业专项设计。限于专业资质问题不能进行的专项设计（如10千伏高压供电、红线外市政给排水及供电工程、环保工程、幕墙、装修、园林景观、泛光照明、工艺流程等），由设计人报招标人同意后进行分包，专项分包设计费由设计人承担。建筑主体设计单位全面负责管理和协调专业分包单位。专项分包各阶段设计文件中，须设计人校核确认，并由项目负责人及专项分包方人员进行会签、盖章（含公章）确认（设计图要求含有两个单位的图签，双图签出图）。</w:t>
      </w:r>
    </w:p>
    <w:p w14:paraId="0FE3EAF3">
      <w:pPr>
        <w:rPr>
          <w:rFonts w:hint="eastAsia" w:ascii="宋体" w:hAnsi="宋体" w:cs="宋体"/>
          <w:color w:val="auto"/>
          <w:szCs w:val="21"/>
          <w:highlight w:val="none"/>
        </w:rPr>
      </w:pPr>
      <w:r>
        <w:rPr>
          <w:rFonts w:hint="eastAsia" w:ascii="宋体" w:hAnsi="宋体" w:cs="宋体"/>
          <w:snapToGrid w:val="0"/>
          <w:color w:val="auto"/>
          <w:szCs w:val="21"/>
          <w:highlight w:val="none"/>
        </w:rPr>
        <w:t>5、若中标设计单位为建筑主体设计单位，对整个项目的设计进行总体技术把控，由项目承建单位另行招标的设计内容，相关设计图须经过建筑主体设计单位全面审核确认（以建筑主体设计单位签名盖公章形式或项目承建单位指定方式确认）。</w:t>
      </w:r>
    </w:p>
    <w:p w14:paraId="5D1EC5FD">
      <w:pPr>
        <w:rPr>
          <w:rFonts w:hint="eastAsia" w:ascii="宋体" w:hAnsi="宋体" w:cs="宋体"/>
          <w:color w:val="auto"/>
          <w:szCs w:val="21"/>
          <w:highlight w:val="none"/>
        </w:rPr>
      </w:pPr>
      <w:r>
        <w:rPr>
          <w:rFonts w:hint="eastAsia" w:ascii="宋体" w:hAnsi="宋体" w:cs="宋体"/>
          <w:color w:val="auto"/>
          <w:szCs w:val="21"/>
          <w:highlight w:val="none"/>
        </w:rPr>
        <w:t>6、中标设计单位按合同约定的时限将设计成果文件或资料交付至本项目建设单位指定的地点，相关费用（包括运输、邮寄、电传、关税等费用）已经含于设计费中。</w:t>
      </w:r>
    </w:p>
    <w:p w14:paraId="2BEF23F2">
      <w:pPr>
        <w:rPr>
          <w:rFonts w:hint="eastAsia" w:ascii="宋体" w:hAnsi="宋体" w:cs="宋体"/>
          <w:color w:val="auto"/>
          <w:szCs w:val="21"/>
          <w:highlight w:val="none"/>
        </w:rPr>
      </w:pPr>
      <w:r>
        <w:rPr>
          <w:rFonts w:hint="eastAsia" w:ascii="宋体" w:hAnsi="宋体" w:cs="宋体"/>
          <w:color w:val="auto"/>
          <w:szCs w:val="21"/>
          <w:highlight w:val="none"/>
        </w:rPr>
        <w:t>7、在报建过程中需要提供设计成果文件或设计中间资料的电子文档的，中标设计单位应无偿提供。</w:t>
      </w:r>
      <w:r>
        <w:rPr>
          <w:rFonts w:hint="eastAsia" w:ascii="宋体" w:hAnsi="宋体" w:cs="宋体"/>
          <w:snapToGrid w:val="0"/>
          <w:color w:val="auto"/>
          <w:kern w:val="0"/>
          <w:szCs w:val="21"/>
          <w:highlight w:val="none"/>
        </w:rPr>
        <w:t>报建费用（除行政事业性收费由招标人负责缴纳外）由设计单位负责，包括加晒加印图纸资料、</w:t>
      </w:r>
      <w:r>
        <w:rPr>
          <w:rFonts w:hint="eastAsia" w:ascii="宋体" w:hAnsi="宋体" w:cs="宋体"/>
          <w:snapToGrid w:val="0"/>
          <w:color w:val="auto"/>
          <w:kern w:val="0"/>
          <w:highlight w:val="none"/>
        </w:rPr>
        <w:t>报建通编制</w:t>
      </w:r>
      <w:r>
        <w:rPr>
          <w:rFonts w:hint="eastAsia" w:ascii="宋体" w:hAnsi="宋体" w:cs="宋体"/>
          <w:snapToGrid w:val="0"/>
          <w:color w:val="auto"/>
          <w:kern w:val="0"/>
          <w:szCs w:val="21"/>
          <w:highlight w:val="none"/>
        </w:rPr>
        <w:t>等，不再单独计取。各阶段的汇报文件和送审文件晒制费用</w:t>
      </w:r>
      <w:r>
        <w:rPr>
          <w:rFonts w:hint="eastAsia" w:ascii="宋体" w:hAnsi="宋体" w:cs="宋体"/>
          <w:color w:val="auto"/>
          <w:highlight w:val="none"/>
        </w:rPr>
        <w:t>以及设计评审有关的合理、必须的费用（包括甲方组织的专家审核）</w:t>
      </w:r>
      <w:r>
        <w:rPr>
          <w:rFonts w:hint="eastAsia" w:ascii="宋体" w:hAnsi="宋体" w:cs="宋体"/>
          <w:snapToGrid w:val="0"/>
          <w:color w:val="auto"/>
          <w:kern w:val="0"/>
          <w:szCs w:val="21"/>
          <w:highlight w:val="none"/>
        </w:rPr>
        <w:t>包含在设计费中，不再单独计取。</w:t>
      </w:r>
    </w:p>
    <w:p w14:paraId="0A9C34F4">
      <w:pPr>
        <w:jc w:val="left"/>
        <w:rPr>
          <w:rFonts w:hint="eastAsia" w:ascii="宋体" w:hAnsi="宋体" w:cs="宋体"/>
          <w:color w:val="auto"/>
          <w:szCs w:val="21"/>
          <w:highlight w:val="none"/>
        </w:rPr>
      </w:pPr>
      <w:r>
        <w:rPr>
          <w:rFonts w:hint="eastAsia" w:ascii="宋体" w:hAnsi="宋体" w:cs="宋体"/>
          <w:color w:val="auto"/>
          <w:szCs w:val="21"/>
          <w:highlight w:val="none"/>
        </w:rPr>
        <w:t>8、甲方可根据项目推进情况及重要性，组织相关专家对乙方提供的方案、初步设计（含概算）、施工图设计、深化设计、节能和绿色建筑咨询及评估工作等设计成果进行评审。甲方根据需要召开的各阶段设计成果（含概算）专家评审/审核会的场地费、专家费、交通费、餐费等相关费用已包含在本合同勘察设计收费里，不另外计取。设计成果（含概算）必须经过乙方内部各专业总工审核（分包的单项设计、概算由乙方统筹负责，所以也要由乙方内部各专业总工审核）、施工图审查单位审查并修改完善后方可提交专家评审/审核会。</w:t>
      </w:r>
    </w:p>
    <w:p w14:paraId="67E03B8B">
      <w:pPr>
        <w:jc w:val="left"/>
        <w:rPr>
          <w:rFonts w:hint="eastAsia" w:ascii="宋体" w:hAnsi="宋体" w:cs="宋体"/>
          <w:color w:val="auto"/>
          <w:szCs w:val="21"/>
          <w:highlight w:val="none"/>
        </w:rPr>
      </w:pPr>
      <w:r>
        <w:rPr>
          <w:rFonts w:hint="eastAsia" w:ascii="宋体" w:hAnsi="宋体" w:cs="宋体"/>
          <w:color w:val="auto"/>
          <w:szCs w:val="21"/>
          <w:highlight w:val="none"/>
        </w:rPr>
        <w:t>建筑节能新技术的应用及设计：包括节能、环保、绿色建筑等专项工程设计。乙方必须按照要求进行设计或论证评审，确保达到相关标准，设计费中包含本项目绿色建筑申报或论证过程中所有费用，同时编制实施保障措施。</w:t>
      </w:r>
    </w:p>
    <w:p w14:paraId="3086CF1A">
      <w:pPr>
        <w:jc w:val="left"/>
        <w:rPr>
          <w:rFonts w:hint="eastAsia" w:ascii="宋体" w:hAnsi="宋体" w:cs="宋体"/>
          <w:color w:val="auto"/>
          <w:highlight w:val="none"/>
        </w:rPr>
      </w:pPr>
      <w:r>
        <w:rPr>
          <w:rFonts w:hint="eastAsia" w:ascii="宋体" w:hAnsi="宋体" w:cs="宋体"/>
          <w:color w:val="auto"/>
          <w:szCs w:val="21"/>
          <w:highlight w:val="none"/>
        </w:rPr>
        <w:t>如乙方未能在设计评审的最终意见发出之日起3日内积极响应或逾期未能完成相关设计成果文件的修改完善工作，乙方应按合同条款的相关约定承担违约责任。甲方有权直接按设计评审的最终评审意见实施（但不因此免除乙方的相关设计责任）或直接委托其他设计单位进行相关的设计修改和完善，另行委托设计的相关费用（按需要进行修改完善部分的建安工程费占审定概算建安工程费之和的比例乘以本合同设计费计取）从本合同设计收费中扣取。</w:t>
      </w:r>
      <w:bookmarkEnd w:id="0"/>
      <w:bookmarkEnd w:id="253"/>
      <w:bookmarkEnd w:id="254"/>
      <w:bookmarkEnd w:id="255"/>
      <w:bookmarkEnd w:id="256"/>
      <w:bookmarkEnd w:id="257"/>
      <w:bookmarkEnd w:id="258"/>
    </w:p>
    <w:sectPr>
      <w:headerReference r:id="rId15" w:type="default"/>
      <w:footerReference r:id="rId16" w:type="default"/>
      <w:footnotePr>
        <w:numRestart w:val="eachPage"/>
      </w:footnotePr>
      <w:pgSz w:w="11906" w:h="16838"/>
      <w:pgMar w:top="1418" w:right="1418" w:bottom="1418" w:left="1418" w:header="851" w:footer="992"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6C6F2">
    <w:pPr>
      <w:pStyle w:val="1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B74C5">
    <w:pPr>
      <w:pStyle w:val="13"/>
      <w:framePr w:wrap="around" w:vAnchor="text" w:hAnchor="margin" w:xAlign="right" w:y="1"/>
      <w:ind w:firstLine="360"/>
      <w:rPr>
        <w:rStyle w:val="22"/>
      </w:rPr>
    </w:pPr>
    <w:r>
      <w:fldChar w:fldCharType="begin"/>
    </w:r>
    <w:r>
      <w:rPr>
        <w:rStyle w:val="22"/>
      </w:rPr>
      <w:instrText xml:space="preserve">PAGE  </w:instrText>
    </w:r>
    <w:r>
      <w:fldChar w:fldCharType="end"/>
    </w:r>
  </w:p>
  <w:p w14:paraId="58B414C5">
    <w:pPr>
      <w:pStyle w:val="13"/>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1A439">
    <w:pPr>
      <w:pStyle w:val="13"/>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31445"/>
              <wp:effectExtent l="0" t="0" r="0" b="0"/>
              <wp:wrapNone/>
              <wp:docPr id="32" name="文本框 10"/>
              <wp:cNvGraphicFramePr/>
              <a:graphic xmlns:a="http://schemas.openxmlformats.org/drawingml/2006/main">
                <a:graphicData uri="http://schemas.microsoft.com/office/word/2010/wordprocessingShape">
                  <wps:wsp>
                    <wps:cNvSpPr txBox="1"/>
                    <wps:spPr>
                      <a:xfrm>
                        <a:off x="0" y="0"/>
                        <a:ext cx="57785" cy="131445"/>
                      </a:xfrm>
                      <a:prstGeom prst="rect">
                        <a:avLst/>
                      </a:prstGeom>
                      <a:noFill/>
                      <a:ln>
                        <a:noFill/>
                      </a:ln>
                    </wps:spPr>
                    <wps:txbx>
                      <w:txbxContent>
                        <w:p w14:paraId="1FA5F049">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14</w:t>
                          </w:r>
                          <w:r>
                            <w:rPr>
                              <w:rFonts w:hint="eastAsia"/>
                              <w:sz w:val="18"/>
                            </w:rP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0.35pt;width:4.55pt;mso-position-horizontal:center;mso-position-horizontal-relative:margin;mso-wrap-style:none;z-index:251660288;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L3UTQAAAAAgEAAA8AAAAAAAAAAQAgAAAAIgAAAGRycy9kb3ducmV2Lnht&#10;bFBLAQIUABQAAAAIAIdO4kAkKy/TyAEAAIwDAAAOAAAAAAAAAAEAIAAAAB8BAABkcnMvZTJvRG9j&#10;LnhtbFBLBQYAAAAABgAGAFkBAABZBQAAAAA=&#10;">
              <v:fill on="f" focussize="0,0"/>
              <v:stroke on="f"/>
              <v:imagedata o:title=""/>
              <o:lock v:ext="edit" aspectratio="f"/>
              <v:textbox inset="0mm,0mm,0mm,0mm" style="mso-fit-shape-to-text:t;">
                <w:txbxContent>
                  <w:p w14:paraId="1FA5F049">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14</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71A37">
    <w:pPr>
      <w:pStyle w:val="13"/>
      <w:ind w:right="360"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8BA3D3">
                          <w:pPr>
                            <w:pStyle w:val="13"/>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l9Rs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PrK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zl9RstAgAAVwQAAA4AAAAAAAAAAQAgAAAAHwEAAGRycy9lMm9Eb2MueG1sUEsFBgAAAAAG&#10;AAYAWQEAAL4FAAAAAA==&#10;">
              <v:fill on="f" focussize="0,0"/>
              <v:stroke on="f" weight="0.5pt"/>
              <v:imagedata o:title=""/>
              <o:lock v:ext="edit" aspectratio="f"/>
              <v:textbox inset="0mm,0mm,0mm,0mm" style="mso-fit-shape-to-text:t;">
                <w:txbxContent>
                  <w:p w14:paraId="6A8BA3D3">
                    <w:pPr>
                      <w:pStyle w:val="13"/>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49024">
    <w:pPr>
      <w:pStyle w:val="13"/>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9959FA">
                          <w:pPr>
                            <w:pStyle w:val="13"/>
                            <w:ind w:firstLine="360"/>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YmoEtAgAAV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WYmoEtAgAAVwQAAA4AAAAAAAAAAQAgAAAAHwEAAGRycy9lMm9Eb2MueG1sUEsFBgAAAAAG&#10;AAYAWQEAAL4FAAAAAA==&#10;">
              <v:fill on="f" focussize="0,0"/>
              <v:stroke on="f" weight="0.5pt"/>
              <v:imagedata o:title=""/>
              <o:lock v:ext="edit" aspectratio="f"/>
              <v:textbox inset="0mm,0mm,0mm,0mm" style="mso-fit-shape-to-text:t;">
                <w:txbxContent>
                  <w:p w14:paraId="0A9959FA">
                    <w:pPr>
                      <w:pStyle w:val="13"/>
                      <w:ind w:firstLine="360"/>
                    </w:pPr>
                    <w:r>
                      <w:fldChar w:fldCharType="begin"/>
                    </w:r>
                    <w:r>
                      <w:instrText xml:space="preserve"> PAGE  \* MERGEFORMAT </w:instrText>
                    </w:r>
                    <w:r>
                      <w:fldChar w:fldCharType="separate"/>
                    </w:r>
                    <w:r>
                      <w:t>11</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28" name="文本框 6"/>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14:paraId="6E6C4BC9">
                          <w:pPr>
                            <w:pStyle w:val="13"/>
                            <w:ind w:firstLine="360"/>
                            <w:jc w:val="center"/>
                          </w:pPr>
                        </w:p>
                      </w:txbxContent>
                    </wps:txbx>
                    <wps:bodyPr rot="0" vert="horz" wrap="none" lIns="0" tIns="0" rIns="0" bIns="0" anchor="t" anchorCtr="0" upright="1">
                      <a:spAutoFit/>
                    </wps:bodyPr>
                  </wps:wsp>
                </a:graphicData>
              </a:graphic>
            </wp:anchor>
          </w:drawing>
        </mc:Choice>
        <mc:Fallback>
          <w:pict>
            <v:shape id="文本框 6"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lfknQAAAAAwEAAA8AAAAAAAAAAQAgAAAAIgAA&#10;AGRycy9kb3ducmV2LnhtbFBLAQIUABQAAAAIAIdO4kBDxdfEEAIAABEEAAAOAAAAAAAAAAEAIAAA&#10;AB8BAABkcnMvZTJvRG9jLnhtbFBLBQYAAAAABgAGAFkBAAChBQAAAAA=&#10;">
              <v:fill on="f" focussize="0,0"/>
              <v:stroke on="f"/>
              <v:imagedata o:title=""/>
              <o:lock v:ext="edit" aspectratio="f"/>
              <v:textbox inset="0mm,0mm,0mm,0mm" style="mso-fit-shape-to-text:t;">
                <w:txbxContent>
                  <w:p w14:paraId="6E6C4BC9">
                    <w:pPr>
                      <w:pStyle w:val="13"/>
                      <w:ind w:firstLine="360"/>
                      <w:jc w:val="cente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66538">
    <w:pPr>
      <w:pStyle w:val="13"/>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8100C7">
                          <w:pPr>
                            <w:pStyle w:val="13"/>
                            <w:ind w:firstLine="360"/>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3VycE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A3VycEtAgAAVwQAAA4AAAAAAAAAAQAgAAAAHwEAAGRycy9lMm9Eb2MueG1sUEsFBgAAAAAG&#10;AAYAWQEAAL4FAAAAAA==&#10;">
              <v:fill on="f" focussize="0,0"/>
              <v:stroke on="f" weight="0.5pt"/>
              <v:imagedata o:title=""/>
              <o:lock v:ext="edit" aspectratio="f"/>
              <v:textbox inset="0mm,0mm,0mm,0mm" style="mso-fit-shape-to-text:t;">
                <w:txbxContent>
                  <w:p w14:paraId="058100C7">
                    <w:pPr>
                      <w:pStyle w:val="13"/>
                      <w:ind w:firstLine="360"/>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884C2">
    <w:pPr>
      <w:pStyle w:val="13"/>
      <w:ind w:firstLine="360"/>
      <w:jc w:val="both"/>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9CEF14">
                          <w:pPr>
                            <w:pStyle w:val="13"/>
                            <w:ind w:firstLine="360"/>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UCbQ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dUCbQtAgAAVwQAAA4AAAAAAAAAAQAgAAAAHwEAAGRycy9lMm9Eb2MueG1sUEsFBgAAAAAG&#10;AAYAWQEAAL4FAAAAAA==&#10;">
              <v:fill on="f" focussize="0,0"/>
              <v:stroke on="f" weight="0.5pt"/>
              <v:imagedata o:title=""/>
              <o:lock v:ext="edit" aspectratio="f"/>
              <v:textbox inset="0mm,0mm,0mm,0mm" style="mso-fit-shape-to-text:t;">
                <w:txbxContent>
                  <w:p w14:paraId="339CEF14">
                    <w:pPr>
                      <w:pStyle w:val="13"/>
                      <w:ind w:firstLine="360"/>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8418F">
    <w:pPr>
      <w:pStyle w:val="13"/>
      <w:ind w:firstLine="36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567083">
                          <w:pPr>
                            <w:pStyle w:val="13"/>
                            <w:ind w:firstLine="360"/>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8ZWvQtAgAAVw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8ZWvQtAgAAVwQAAA4AAAAAAAAAAQAgAAAAHwEAAGRycy9lMm9Eb2MueG1sUEsFBgAAAAAG&#10;AAYAWQEAAL4FAAAAAA==&#10;">
              <v:fill on="f" focussize="0,0"/>
              <v:stroke on="f" weight="0.5pt"/>
              <v:imagedata o:title=""/>
              <o:lock v:ext="edit" aspectratio="f"/>
              <v:textbox inset="0mm,0mm,0mm,0mm" style="mso-fit-shape-to-text:t;">
                <w:txbxContent>
                  <w:p w14:paraId="32567083">
                    <w:pPr>
                      <w:pStyle w:val="13"/>
                      <w:ind w:firstLine="360"/>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A7D48">
    <w:pPr>
      <w:pStyle w:val="14"/>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C1E80">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05565">
    <w:pPr>
      <w:pStyle w:val="14"/>
      <w:pBdr>
        <w:bottom w:val="none" w:color="auto" w:sz="0" w:space="0"/>
      </w:pBdr>
      <w:ind w:firstLine="360"/>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EE91B">
    <w:pPr>
      <w:pStyle w:val="14"/>
      <w:pBdr>
        <w:bottom w:val="none" w:color="auto" w:sz="0" w:space="0"/>
      </w:pBdr>
      <w:ind w:firstLine="36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8ADFBC"/>
    <w:multiLevelType w:val="singleLevel"/>
    <w:tmpl w:val="BF8ADFBC"/>
    <w:lvl w:ilvl="0" w:tentative="0">
      <w:start w:val="1"/>
      <w:numFmt w:val="decimal"/>
      <w:lvlText w:val="(%1)"/>
      <w:lvlJc w:val="left"/>
      <w:pPr>
        <w:ind w:left="425" w:hanging="425"/>
      </w:pPr>
      <w:rPr>
        <w:rFonts w:hint="default"/>
      </w:rPr>
    </w:lvl>
  </w:abstractNum>
  <w:abstractNum w:abstractNumId="1">
    <w:nsid w:val="0550812B"/>
    <w:multiLevelType w:val="singleLevel"/>
    <w:tmpl w:val="0550812B"/>
    <w:lvl w:ilvl="0" w:tentative="0">
      <w:start w:val="5"/>
      <w:numFmt w:val="decimal"/>
      <w:suff w:val="nothing"/>
      <w:lvlText w:val="%1、"/>
      <w:lvlJc w:val="left"/>
    </w:lvl>
  </w:abstractNum>
  <w:abstractNum w:abstractNumId="2">
    <w:nsid w:val="569E008B"/>
    <w:multiLevelType w:val="singleLevel"/>
    <w:tmpl w:val="569E008B"/>
    <w:lvl w:ilvl="0" w:tentative="0">
      <w:start w:val="1"/>
      <w:numFmt w:val="decimal"/>
      <w:suff w:val="nothing"/>
      <w:lvlText w:val="%1、"/>
      <w:lvlJc w:val="left"/>
      <w:pPr>
        <w:ind w:left="0" w:firstLine="0"/>
      </w:pPr>
    </w:lvl>
  </w:abstractNum>
  <w:num w:numId="1">
    <w:abstractNumId w:val="0"/>
  </w:num>
  <w:num w:numId="2">
    <w:abstractNumId w:val="1"/>
  </w:num>
  <w:num w:numId="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yOTBhZGY1NTI5MjQyYWZiYWEwMzA0NGZkZGZiMGMifQ=="/>
  </w:docVars>
  <w:rsids>
    <w:rsidRoot w:val="00172A27"/>
    <w:rsid w:val="0005470B"/>
    <w:rsid w:val="00075989"/>
    <w:rsid w:val="000B4BCC"/>
    <w:rsid w:val="000B63BA"/>
    <w:rsid w:val="000C1BB6"/>
    <w:rsid w:val="000D709C"/>
    <w:rsid w:val="000F07E8"/>
    <w:rsid w:val="001356A8"/>
    <w:rsid w:val="00151DFF"/>
    <w:rsid w:val="001559D5"/>
    <w:rsid w:val="0015658A"/>
    <w:rsid w:val="00172A27"/>
    <w:rsid w:val="00191284"/>
    <w:rsid w:val="00194383"/>
    <w:rsid w:val="001B1C72"/>
    <w:rsid w:val="001C0275"/>
    <w:rsid w:val="001D28DC"/>
    <w:rsid w:val="001E22EB"/>
    <w:rsid w:val="001E4E1C"/>
    <w:rsid w:val="001F5C41"/>
    <w:rsid w:val="001F6734"/>
    <w:rsid w:val="00206CB5"/>
    <w:rsid w:val="00222570"/>
    <w:rsid w:val="00233B7D"/>
    <w:rsid w:val="00240919"/>
    <w:rsid w:val="00255567"/>
    <w:rsid w:val="00262676"/>
    <w:rsid w:val="002672B7"/>
    <w:rsid w:val="002844C2"/>
    <w:rsid w:val="002935E3"/>
    <w:rsid w:val="002A74CA"/>
    <w:rsid w:val="002D453F"/>
    <w:rsid w:val="002D790F"/>
    <w:rsid w:val="002F5EBD"/>
    <w:rsid w:val="00316D8F"/>
    <w:rsid w:val="0036390C"/>
    <w:rsid w:val="00377F0F"/>
    <w:rsid w:val="00383376"/>
    <w:rsid w:val="003D18D3"/>
    <w:rsid w:val="003D20CA"/>
    <w:rsid w:val="003E131C"/>
    <w:rsid w:val="003F6532"/>
    <w:rsid w:val="00421C57"/>
    <w:rsid w:val="00440B4E"/>
    <w:rsid w:val="00471B83"/>
    <w:rsid w:val="004A76CD"/>
    <w:rsid w:val="004C02C6"/>
    <w:rsid w:val="004C6D42"/>
    <w:rsid w:val="004D2B9C"/>
    <w:rsid w:val="004E31BC"/>
    <w:rsid w:val="004F51AB"/>
    <w:rsid w:val="004F7002"/>
    <w:rsid w:val="00502C62"/>
    <w:rsid w:val="0051316A"/>
    <w:rsid w:val="00513843"/>
    <w:rsid w:val="0051420B"/>
    <w:rsid w:val="00557048"/>
    <w:rsid w:val="00566532"/>
    <w:rsid w:val="0057040E"/>
    <w:rsid w:val="00572534"/>
    <w:rsid w:val="0058781D"/>
    <w:rsid w:val="00591FE1"/>
    <w:rsid w:val="005D7386"/>
    <w:rsid w:val="005E0793"/>
    <w:rsid w:val="005E7A94"/>
    <w:rsid w:val="005F0A9F"/>
    <w:rsid w:val="005F1164"/>
    <w:rsid w:val="005F566D"/>
    <w:rsid w:val="00626BDE"/>
    <w:rsid w:val="00642B72"/>
    <w:rsid w:val="00646CEF"/>
    <w:rsid w:val="006501C3"/>
    <w:rsid w:val="006763CD"/>
    <w:rsid w:val="006934D3"/>
    <w:rsid w:val="006B137B"/>
    <w:rsid w:val="006D2AB9"/>
    <w:rsid w:val="006D600D"/>
    <w:rsid w:val="006F21FD"/>
    <w:rsid w:val="007007CF"/>
    <w:rsid w:val="00717D44"/>
    <w:rsid w:val="007271FD"/>
    <w:rsid w:val="00744F86"/>
    <w:rsid w:val="00757BAE"/>
    <w:rsid w:val="00771FF9"/>
    <w:rsid w:val="007723E3"/>
    <w:rsid w:val="00772F12"/>
    <w:rsid w:val="007A1E3B"/>
    <w:rsid w:val="007A45D9"/>
    <w:rsid w:val="007D77D0"/>
    <w:rsid w:val="00844279"/>
    <w:rsid w:val="008968C8"/>
    <w:rsid w:val="008A3A9D"/>
    <w:rsid w:val="008B4D4A"/>
    <w:rsid w:val="008D552B"/>
    <w:rsid w:val="008E14CA"/>
    <w:rsid w:val="008E59C5"/>
    <w:rsid w:val="008F18E0"/>
    <w:rsid w:val="009209DE"/>
    <w:rsid w:val="00924C18"/>
    <w:rsid w:val="0095216F"/>
    <w:rsid w:val="0096075F"/>
    <w:rsid w:val="009A0351"/>
    <w:rsid w:val="009A18B9"/>
    <w:rsid w:val="009B0684"/>
    <w:rsid w:val="009B58D2"/>
    <w:rsid w:val="009C5AB2"/>
    <w:rsid w:val="009D7BDC"/>
    <w:rsid w:val="009F4822"/>
    <w:rsid w:val="00A05F82"/>
    <w:rsid w:val="00A15CB9"/>
    <w:rsid w:val="00A22830"/>
    <w:rsid w:val="00A32514"/>
    <w:rsid w:val="00A522EF"/>
    <w:rsid w:val="00A73991"/>
    <w:rsid w:val="00A83210"/>
    <w:rsid w:val="00AA49AF"/>
    <w:rsid w:val="00AB1969"/>
    <w:rsid w:val="00AD1435"/>
    <w:rsid w:val="00AE6D2E"/>
    <w:rsid w:val="00B30C58"/>
    <w:rsid w:val="00B577F1"/>
    <w:rsid w:val="00B84C10"/>
    <w:rsid w:val="00B861F5"/>
    <w:rsid w:val="00BB13F7"/>
    <w:rsid w:val="00BB2E62"/>
    <w:rsid w:val="00BC2817"/>
    <w:rsid w:val="00C23B41"/>
    <w:rsid w:val="00C37675"/>
    <w:rsid w:val="00C46913"/>
    <w:rsid w:val="00C53A44"/>
    <w:rsid w:val="00C947C6"/>
    <w:rsid w:val="00CB495B"/>
    <w:rsid w:val="00CE2E6F"/>
    <w:rsid w:val="00D0546F"/>
    <w:rsid w:val="00D144A6"/>
    <w:rsid w:val="00D26809"/>
    <w:rsid w:val="00D534DC"/>
    <w:rsid w:val="00D71435"/>
    <w:rsid w:val="00D872CE"/>
    <w:rsid w:val="00D91A55"/>
    <w:rsid w:val="00DA554B"/>
    <w:rsid w:val="00DA5DF6"/>
    <w:rsid w:val="00DE2B10"/>
    <w:rsid w:val="00E0733B"/>
    <w:rsid w:val="00E25335"/>
    <w:rsid w:val="00E745BD"/>
    <w:rsid w:val="00E86292"/>
    <w:rsid w:val="00E86B1F"/>
    <w:rsid w:val="00EE24B3"/>
    <w:rsid w:val="00F036C9"/>
    <w:rsid w:val="00F03CF4"/>
    <w:rsid w:val="00F30EE9"/>
    <w:rsid w:val="00F35480"/>
    <w:rsid w:val="00F92028"/>
    <w:rsid w:val="00F95A41"/>
    <w:rsid w:val="00FA01D5"/>
    <w:rsid w:val="00FA05A2"/>
    <w:rsid w:val="00FA17A9"/>
    <w:rsid w:val="00FA7414"/>
    <w:rsid w:val="00FA75C2"/>
    <w:rsid w:val="00FA798F"/>
    <w:rsid w:val="00FB01FA"/>
    <w:rsid w:val="00FB0D11"/>
    <w:rsid w:val="00FB1306"/>
    <w:rsid w:val="00FC3665"/>
    <w:rsid w:val="01105851"/>
    <w:rsid w:val="017E60FC"/>
    <w:rsid w:val="01E7310D"/>
    <w:rsid w:val="01FC2DC5"/>
    <w:rsid w:val="02100BA9"/>
    <w:rsid w:val="02151003"/>
    <w:rsid w:val="02331333"/>
    <w:rsid w:val="026C0160"/>
    <w:rsid w:val="028D7421"/>
    <w:rsid w:val="02A67194"/>
    <w:rsid w:val="02B47744"/>
    <w:rsid w:val="02C47780"/>
    <w:rsid w:val="02EB1A1F"/>
    <w:rsid w:val="030D3388"/>
    <w:rsid w:val="03675EC4"/>
    <w:rsid w:val="038E2399"/>
    <w:rsid w:val="03B62514"/>
    <w:rsid w:val="03C2786D"/>
    <w:rsid w:val="03D61413"/>
    <w:rsid w:val="03E047AA"/>
    <w:rsid w:val="03F430D6"/>
    <w:rsid w:val="04277007"/>
    <w:rsid w:val="04513D96"/>
    <w:rsid w:val="045F303F"/>
    <w:rsid w:val="04D53301"/>
    <w:rsid w:val="04E06A7B"/>
    <w:rsid w:val="05096F8B"/>
    <w:rsid w:val="050C59AA"/>
    <w:rsid w:val="05151950"/>
    <w:rsid w:val="056B2B35"/>
    <w:rsid w:val="057A48CB"/>
    <w:rsid w:val="058A5E9A"/>
    <w:rsid w:val="05964A65"/>
    <w:rsid w:val="05B37B91"/>
    <w:rsid w:val="05E03F83"/>
    <w:rsid w:val="05FC3F94"/>
    <w:rsid w:val="060F45F1"/>
    <w:rsid w:val="063D317E"/>
    <w:rsid w:val="065F1C81"/>
    <w:rsid w:val="06D82B8E"/>
    <w:rsid w:val="06EC1C04"/>
    <w:rsid w:val="07215F0A"/>
    <w:rsid w:val="078F0936"/>
    <w:rsid w:val="078F4FB2"/>
    <w:rsid w:val="08510EF1"/>
    <w:rsid w:val="08591544"/>
    <w:rsid w:val="08AA7F56"/>
    <w:rsid w:val="08C276F9"/>
    <w:rsid w:val="08CF668A"/>
    <w:rsid w:val="08FC1C15"/>
    <w:rsid w:val="08FF094D"/>
    <w:rsid w:val="091971BC"/>
    <w:rsid w:val="09DA2980"/>
    <w:rsid w:val="0A073F5D"/>
    <w:rsid w:val="0A2223A9"/>
    <w:rsid w:val="0A3912AE"/>
    <w:rsid w:val="0A902C67"/>
    <w:rsid w:val="0A9B3267"/>
    <w:rsid w:val="0AAB6C72"/>
    <w:rsid w:val="0AB95BD2"/>
    <w:rsid w:val="0ACB373B"/>
    <w:rsid w:val="0ADB2CF4"/>
    <w:rsid w:val="0B343278"/>
    <w:rsid w:val="0B561DB3"/>
    <w:rsid w:val="0B7550AB"/>
    <w:rsid w:val="0BD026DD"/>
    <w:rsid w:val="0C0C0C04"/>
    <w:rsid w:val="0C46709F"/>
    <w:rsid w:val="0C5E605E"/>
    <w:rsid w:val="0C724227"/>
    <w:rsid w:val="0CE54DE1"/>
    <w:rsid w:val="0D2E57AB"/>
    <w:rsid w:val="0D307444"/>
    <w:rsid w:val="0D6D48CE"/>
    <w:rsid w:val="0D766D04"/>
    <w:rsid w:val="0DA60A0B"/>
    <w:rsid w:val="0DDD69B2"/>
    <w:rsid w:val="0E0C604A"/>
    <w:rsid w:val="0E2F5506"/>
    <w:rsid w:val="0E497933"/>
    <w:rsid w:val="0E9A1704"/>
    <w:rsid w:val="0EE8667B"/>
    <w:rsid w:val="0F013BE7"/>
    <w:rsid w:val="0F587009"/>
    <w:rsid w:val="0F79171B"/>
    <w:rsid w:val="0F7B4AA5"/>
    <w:rsid w:val="0F957915"/>
    <w:rsid w:val="0FA3749F"/>
    <w:rsid w:val="0FC45A30"/>
    <w:rsid w:val="0FE2618A"/>
    <w:rsid w:val="0FE45294"/>
    <w:rsid w:val="106672A0"/>
    <w:rsid w:val="10BC5954"/>
    <w:rsid w:val="10C20BDE"/>
    <w:rsid w:val="10E225E9"/>
    <w:rsid w:val="10FE5DD1"/>
    <w:rsid w:val="110C00AB"/>
    <w:rsid w:val="11156980"/>
    <w:rsid w:val="113C0AE4"/>
    <w:rsid w:val="113E4165"/>
    <w:rsid w:val="114D29A1"/>
    <w:rsid w:val="119028A6"/>
    <w:rsid w:val="119555A6"/>
    <w:rsid w:val="11D47836"/>
    <w:rsid w:val="11F07D78"/>
    <w:rsid w:val="121618CE"/>
    <w:rsid w:val="122F12D4"/>
    <w:rsid w:val="123734F1"/>
    <w:rsid w:val="129116EB"/>
    <w:rsid w:val="129D771A"/>
    <w:rsid w:val="12B36C3C"/>
    <w:rsid w:val="12F36C1D"/>
    <w:rsid w:val="130D1EB8"/>
    <w:rsid w:val="13541190"/>
    <w:rsid w:val="13C02E9B"/>
    <w:rsid w:val="13E06DE0"/>
    <w:rsid w:val="13E209A2"/>
    <w:rsid w:val="140F52E3"/>
    <w:rsid w:val="14477E86"/>
    <w:rsid w:val="14746827"/>
    <w:rsid w:val="14AC793B"/>
    <w:rsid w:val="153D2AFE"/>
    <w:rsid w:val="157C4041"/>
    <w:rsid w:val="15B028DA"/>
    <w:rsid w:val="15E34B6A"/>
    <w:rsid w:val="1685057A"/>
    <w:rsid w:val="16F70D59"/>
    <w:rsid w:val="172126C6"/>
    <w:rsid w:val="17342761"/>
    <w:rsid w:val="17F23AAF"/>
    <w:rsid w:val="186005E0"/>
    <w:rsid w:val="18645C61"/>
    <w:rsid w:val="197166E0"/>
    <w:rsid w:val="19C57049"/>
    <w:rsid w:val="19FC27FD"/>
    <w:rsid w:val="1A0223FF"/>
    <w:rsid w:val="1A4C6DBB"/>
    <w:rsid w:val="1A557279"/>
    <w:rsid w:val="1A9C3221"/>
    <w:rsid w:val="1B226512"/>
    <w:rsid w:val="1BBC72F2"/>
    <w:rsid w:val="1C09332F"/>
    <w:rsid w:val="1C330A15"/>
    <w:rsid w:val="1C6D254B"/>
    <w:rsid w:val="1CA83A89"/>
    <w:rsid w:val="1D0445AC"/>
    <w:rsid w:val="1D4D000A"/>
    <w:rsid w:val="1D8F0B5E"/>
    <w:rsid w:val="1E4F70C5"/>
    <w:rsid w:val="1E7E7818"/>
    <w:rsid w:val="1EA55ECC"/>
    <w:rsid w:val="1EB64672"/>
    <w:rsid w:val="1EDF2066"/>
    <w:rsid w:val="1F1FE1B3"/>
    <w:rsid w:val="1F3E3886"/>
    <w:rsid w:val="1F4B6C14"/>
    <w:rsid w:val="1F4F6A1C"/>
    <w:rsid w:val="1F520E6A"/>
    <w:rsid w:val="1F65786D"/>
    <w:rsid w:val="1F666B5C"/>
    <w:rsid w:val="1F845C8A"/>
    <w:rsid w:val="1FA4490A"/>
    <w:rsid w:val="1FB33663"/>
    <w:rsid w:val="1FBD559A"/>
    <w:rsid w:val="201B206A"/>
    <w:rsid w:val="207A4492"/>
    <w:rsid w:val="2102775E"/>
    <w:rsid w:val="21464E8C"/>
    <w:rsid w:val="215313DE"/>
    <w:rsid w:val="215F1C47"/>
    <w:rsid w:val="21824ED1"/>
    <w:rsid w:val="21837F15"/>
    <w:rsid w:val="21886524"/>
    <w:rsid w:val="22302057"/>
    <w:rsid w:val="223C7605"/>
    <w:rsid w:val="228338F3"/>
    <w:rsid w:val="22920C8E"/>
    <w:rsid w:val="229677D4"/>
    <w:rsid w:val="22DFFB30"/>
    <w:rsid w:val="22E73A08"/>
    <w:rsid w:val="22F11EAD"/>
    <w:rsid w:val="23470DD3"/>
    <w:rsid w:val="235A7C8D"/>
    <w:rsid w:val="236478D2"/>
    <w:rsid w:val="23C06D7D"/>
    <w:rsid w:val="23C37436"/>
    <w:rsid w:val="23D031BA"/>
    <w:rsid w:val="23DF0C8A"/>
    <w:rsid w:val="24066E05"/>
    <w:rsid w:val="240E09CF"/>
    <w:rsid w:val="25201F1F"/>
    <w:rsid w:val="2524026D"/>
    <w:rsid w:val="2544440F"/>
    <w:rsid w:val="257D111F"/>
    <w:rsid w:val="25E04A4A"/>
    <w:rsid w:val="262B46D7"/>
    <w:rsid w:val="263E4BA6"/>
    <w:rsid w:val="26681488"/>
    <w:rsid w:val="26A31A8D"/>
    <w:rsid w:val="270F224B"/>
    <w:rsid w:val="27790C9C"/>
    <w:rsid w:val="27D8142C"/>
    <w:rsid w:val="28B5111E"/>
    <w:rsid w:val="28B86934"/>
    <w:rsid w:val="2919513E"/>
    <w:rsid w:val="294813D7"/>
    <w:rsid w:val="2980491C"/>
    <w:rsid w:val="298A635B"/>
    <w:rsid w:val="299F1664"/>
    <w:rsid w:val="29EE0A89"/>
    <w:rsid w:val="2A331FE3"/>
    <w:rsid w:val="2A720B27"/>
    <w:rsid w:val="2AE27039"/>
    <w:rsid w:val="2B2335A9"/>
    <w:rsid w:val="2B996ED4"/>
    <w:rsid w:val="2BA47406"/>
    <w:rsid w:val="2BAC69F3"/>
    <w:rsid w:val="2BC31377"/>
    <w:rsid w:val="2BD95644"/>
    <w:rsid w:val="2BD97706"/>
    <w:rsid w:val="2BDC01AF"/>
    <w:rsid w:val="2C053A2C"/>
    <w:rsid w:val="2C515B49"/>
    <w:rsid w:val="2C5F0EA1"/>
    <w:rsid w:val="2CBB50A2"/>
    <w:rsid w:val="2D746EF7"/>
    <w:rsid w:val="2DAD35CA"/>
    <w:rsid w:val="2E6A3DDD"/>
    <w:rsid w:val="2EA67D22"/>
    <w:rsid w:val="2EB85094"/>
    <w:rsid w:val="2EFB4555"/>
    <w:rsid w:val="2F073AD1"/>
    <w:rsid w:val="2F11754B"/>
    <w:rsid w:val="2F753336"/>
    <w:rsid w:val="2FBB13BE"/>
    <w:rsid w:val="2FD8498F"/>
    <w:rsid w:val="2FDD4C94"/>
    <w:rsid w:val="30247876"/>
    <w:rsid w:val="303074BA"/>
    <w:rsid w:val="30425A30"/>
    <w:rsid w:val="304C522A"/>
    <w:rsid w:val="304E348C"/>
    <w:rsid w:val="308F0036"/>
    <w:rsid w:val="309141A2"/>
    <w:rsid w:val="30E43E01"/>
    <w:rsid w:val="30FA3FE0"/>
    <w:rsid w:val="31047912"/>
    <w:rsid w:val="311D18A3"/>
    <w:rsid w:val="312740CE"/>
    <w:rsid w:val="313E660E"/>
    <w:rsid w:val="3178463A"/>
    <w:rsid w:val="31980F1E"/>
    <w:rsid w:val="319E4903"/>
    <w:rsid w:val="32213220"/>
    <w:rsid w:val="32544E3E"/>
    <w:rsid w:val="3283216B"/>
    <w:rsid w:val="32911211"/>
    <w:rsid w:val="32CE3A0E"/>
    <w:rsid w:val="32CE4D68"/>
    <w:rsid w:val="32E23C5B"/>
    <w:rsid w:val="32FB6013"/>
    <w:rsid w:val="330571C0"/>
    <w:rsid w:val="33397185"/>
    <w:rsid w:val="337F306F"/>
    <w:rsid w:val="345D2848"/>
    <w:rsid w:val="34F67526"/>
    <w:rsid w:val="35397FA2"/>
    <w:rsid w:val="35475700"/>
    <w:rsid w:val="354C5EE9"/>
    <w:rsid w:val="35CD1096"/>
    <w:rsid w:val="36901D91"/>
    <w:rsid w:val="37014EF7"/>
    <w:rsid w:val="37040871"/>
    <w:rsid w:val="37105A48"/>
    <w:rsid w:val="373F42B8"/>
    <w:rsid w:val="37490E4D"/>
    <w:rsid w:val="37495673"/>
    <w:rsid w:val="37612241"/>
    <w:rsid w:val="3769282D"/>
    <w:rsid w:val="37751C56"/>
    <w:rsid w:val="378B1568"/>
    <w:rsid w:val="37E01F8B"/>
    <w:rsid w:val="38060F3D"/>
    <w:rsid w:val="381A0212"/>
    <w:rsid w:val="389A2E28"/>
    <w:rsid w:val="38F30332"/>
    <w:rsid w:val="391520C3"/>
    <w:rsid w:val="394F3AB7"/>
    <w:rsid w:val="39627FB8"/>
    <w:rsid w:val="398F4AD8"/>
    <w:rsid w:val="39A865E9"/>
    <w:rsid w:val="3A103EB8"/>
    <w:rsid w:val="3A1F16EF"/>
    <w:rsid w:val="3A270442"/>
    <w:rsid w:val="3A347BA7"/>
    <w:rsid w:val="3ADC7ACC"/>
    <w:rsid w:val="3B043A1D"/>
    <w:rsid w:val="3B775F26"/>
    <w:rsid w:val="3BB8614D"/>
    <w:rsid w:val="3BCB78B0"/>
    <w:rsid w:val="3BDF195C"/>
    <w:rsid w:val="3C2809AC"/>
    <w:rsid w:val="3C3B2277"/>
    <w:rsid w:val="3C443F32"/>
    <w:rsid w:val="3C4B11D8"/>
    <w:rsid w:val="3C4E4514"/>
    <w:rsid w:val="3C541977"/>
    <w:rsid w:val="3CAE341F"/>
    <w:rsid w:val="3CC7597B"/>
    <w:rsid w:val="3D9F74E9"/>
    <w:rsid w:val="3DB74F9C"/>
    <w:rsid w:val="3DC079A3"/>
    <w:rsid w:val="3DC375EF"/>
    <w:rsid w:val="3DD87D77"/>
    <w:rsid w:val="3DE67633"/>
    <w:rsid w:val="3E2652E2"/>
    <w:rsid w:val="3E5B65B5"/>
    <w:rsid w:val="3ED02234"/>
    <w:rsid w:val="3F7E1A42"/>
    <w:rsid w:val="3F9633AC"/>
    <w:rsid w:val="3F9A5178"/>
    <w:rsid w:val="3FAF3488"/>
    <w:rsid w:val="400B3A02"/>
    <w:rsid w:val="4027763F"/>
    <w:rsid w:val="40584CBF"/>
    <w:rsid w:val="40681530"/>
    <w:rsid w:val="409619DD"/>
    <w:rsid w:val="40A2046E"/>
    <w:rsid w:val="4114428E"/>
    <w:rsid w:val="412E2095"/>
    <w:rsid w:val="41526B64"/>
    <w:rsid w:val="41635215"/>
    <w:rsid w:val="41653AC2"/>
    <w:rsid w:val="422873D7"/>
    <w:rsid w:val="42771113"/>
    <w:rsid w:val="42D737C5"/>
    <w:rsid w:val="438976E2"/>
    <w:rsid w:val="439C0BCF"/>
    <w:rsid w:val="43B95F51"/>
    <w:rsid w:val="43CA50D8"/>
    <w:rsid w:val="441478CB"/>
    <w:rsid w:val="44223A9C"/>
    <w:rsid w:val="443F7B57"/>
    <w:rsid w:val="44440DC3"/>
    <w:rsid w:val="44564F91"/>
    <w:rsid w:val="4474780C"/>
    <w:rsid w:val="4497746C"/>
    <w:rsid w:val="44CE0B9A"/>
    <w:rsid w:val="45130693"/>
    <w:rsid w:val="45393D34"/>
    <w:rsid w:val="45695656"/>
    <w:rsid w:val="45972C4B"/>
    <w:rsid w:val="45A831F7"/>
    <w:rsid w:val="45A94956"/>
    <w:rsid w:val="45E46ABB"/>
    <w:rsid w:val="462C3E28"/>
    <w:rsid w:val="46464936"/>
    <w:rsid w:val="464C207C"/>
    <w:rsid w:val="4665733A"/>
    <w:rsid w:val="468A4D8B"/>
    <w:rsid w:val="46C95B1B"/>
    <w:rsid w:val="46D5482D"/>
    <w:rsid w:val="46EA3660"/>
    <w:rsid w:val="475F1FDB"/>
    <w:rsid w:val="477203DF"/>
    <w:rsid w:val="479D3B83"/>
    <w:rsid w:val="47D57E86"/>
    <w:rsid w:val="47F068B3"/>
    <w:rsid w:val="481D17A2"/>
    <w:rsid w:val="483A0F6D"/>
    <w:rsid w:val="484D62D8"/>
    <w:rsid w:val="48592746"/>
    <w:rsid w:val="487970A6"/>
    <w:rsid w:val="487D3F41"/>
    <w:rsid w:val="48A0505E"/>
    <w:rsid w:val="48AC4E4D"/>
    <w:rsid w:val="48B14AB8"/>
    <w:rsid w:val="48D57C7F"/>
    <w:rsid w:val="49042511"/>
    <w:rsid w:val="49143163"/>
    <w:rsid w:val="49432AC6"/>
    <w:rsid w:val="49593149"/>
    <w:rsid w:val="49635DB3"/>
    <w:rsid w:val="49696CFA"/>
    <w:rsid w:val="499E1C7D"/>
    <w:rsid w:val="4A1F2C2C"/>
    <w:rsid w:val="4A456798"/>
    <w:rsid w:val="4A917ADF"/>
    <w:rsid w:val="4AC403FA"/>
    <w:rsid w:val="4B2330BA"/>
    <w:rsid w:val="4B35377F"/>
    <w:rsid w:val="4B95302F"/>
    <w:rsid w:val="4BB14D3E"/>
    <w:rsid w:val="4BD82A52"/>
    <w:rsid w:val="4C074E60"/>
    <w:rsid w:val="4C2A59EF"/>
    <w:rsid w:val="4C477D06"/>
    <w:rsid w:val="4C575ADC"/>
    <w:rsid w:val="4C905D93"/>
    <w:rsid w:val="4CDC23C6"/>
    <w:rsid w:val="4D0E6951"/>
    <w:rsid w:val="4D1A6D9E"/>
    <w:rsid w:val="4DA30E74"/>
    <w:rsid w:val="4DC744E1"/>
    <w:rsid w:val="4DEF24B1"/>
    <w:rsid w:val="4E0E2ABE"/>
    <w:rsid w:val="4E3A0F3E"/>
    <w:rsid w:val="4E3F18B1"/>
    <w:rsid w:val="4E5006D8"/>
    <w:rsid w:val="4E5D41A3"/>
    <w:rsid w:val="4EB56C3B"/>
    <w:rsid w:val="4F2E7D4A"/>
    <w:rsid w:val="4F9E2D1A"/>
    <w:rsid w:val="4FAE0C12"/>
    <w:rsid w:val="4FB102E7"/>
    <w:rsid w:val="4FB21842"/>
    <w:rsid w:val="509D0CE8"/>
    <w:rsid w:val="50B909AE"/>
    <w:rsid w:val="50E53551"/>
    <w:rsid w:val="50EC2B32"/>
    <w:rsid w:val="5133724C"/>
    <w:rsid w:val="51782BA1"/>
    <w:rsid w:val="51931E30"/>
    <w:rsid w:val="51B178D7"/>
    <w:rsid w:val="51C3679A"/>
    <w:rsid w:val="51E25CD0"/>
    <w:rsid w:val="52B91CDE"/>
    <w:rsid w:val="52C451E0"/>
    <w:rsid w:val="532A2606"/>
    <w:rsid w:val="5330338D"/>
    <w:rsid w:val="53376044"/>
    <w:rsid w:val="53C538F4"/>
    <w:rsid w:val="53EA2FA3"/>
    <w:rsid w:val="54590A95"/>
    <w:rsid w:val="550E6DD2"/>
    <w:rsid w:val="554631CA"/>
    <w:rsid w:val="557302C7"/>
    <w:rsid w:val="55766BFA"/>
    <w:rsid w:val="55AA6B17"/>
    <w:rsid w:val="560327F0"/>
    <w:rsid w:val="562D5F59"/>
    <w:rsid w:val="567C24C2"/>
    <w:rsid w:val="56D66091"/>
    <w:rsid w:val="5728260C"/>
    <w:rsid w:val="575A6B72"/>
    <w:rsid w:val="575F1D66"/>
    <w:rsid w:val="5791114F"/>
    <w:rsid w:val="57B26D1A"/>
    <w:rsid w:val="57C02622"/>
    <w:rsid w:val="57C850F2"/>
    <w:rsid w:val="57E51FEF"/>
    <w:rsid w:val="57E6442F"/>
    <w:rsid w:val="57FA4DB0"/>
    <w:rsid w:val="581C3EED"/>
    <w:rsid w:val="583E1571"/>
    <w:rsid w:val="585B059D"/>
    <w:rsid w:val="58636449"/>
    <w:rsid w:val="58737694"/>
    <w:rsid w:val="58741EB5"/>
    <w:rsid w:val="5898534D"/>
    <w:rsid w:val="589C5EB0"/>
    <w:rsid w:val="58AD22BC"/>
    <w:rsid w:val="58E367A2"/>
    <w:rsid w:val="590B532F"/>
    <w:rsid w:val="59E92091"/>
    <w:rsid w:val="5A7B7BA7"/>
    <w:rsid w:val="5AF21CB4"/>
    <w:rsid w:val="5B12588A"/>
    <w:rsid w:val="5B580608"/>
    <w:rsid w:val="5B635DAE"/>
    <w:rsid w:val="5B94486F"/>
    <w:rsid w:val="5B9526A5"/>
    <w:rsid w:val="5C7B05AD"/>
    <w:rsid w:val="5C8B59FB"/>
    <w:rsid w:val="5CA14C04"/>
    <w:rsid w:val="5CF95EB8"/>
    <w:rsid w:val="5D202A1F"/>
    <w:rsid w:val="5D51360E"/>
    <w:rsid w:val="5DA30A1C"/>
    <w:rsid w:val="5DA91D4B"/>
    <w:rsid w:val="5DC577D7"/>
    <w:rsid w:val="5DF43025"/>
    <w:rsid w:val="5E0E2A29"/>
    <w:rsid w:val="5E69536C"/>
    <w:rsid w:val="5EB943F7"/>
    <w:rsid w:val="5EC319E8"/>
    <w:rsid w:val="5EEC2746"/>
    <w:rsid w:val="5EF57055"/>
    <w:rsid w:val="5F076D88"/>
    <w:rsid w:val="5F0E0117"/>
    <w:rsid w:val="5F356FD4"/>
    <w:rsid w:val="5F780E0F"/>
    <w:rsid w:val="5FB16240"/>
    <w:rsid w:val="5FDB59F9"/>
    <w:rsid w:val="5FE24422"/>
    <w:rsid w:val="5FE47241"/>
    <w:rsid w:val="6031556F"/>
    <w:rsid w:val="60760DA7"/>
    <w:rsid w:val="60F174B7"/>
    <w:rsid w:val="611913F0"/>
    <w:rsid w:val="61C21C5E"/>
    <w:rsid w:val="620713E0"/>
    <w:rsid w:val="62445266"/>
    <w:rsid w:val="624D0E15"/>
    <w:rsid w:val="62652DAE"/>
    <w:rsid w:val="627110E9"/>
    <w:rsid w:val="62DB2A06"/>
    <w:rsid w:val="6353422F"/>
    <w:rsid w:val="63BE0206"/>
    <w:rsid w:val="63EB4022"/>
    <w:rsid w:val="641C036F"/>
    <w:rsid w:val="64351138"/>
    <w:rsid w:val="644F5459"/>
    <w:rsid w:val="649F0542"/>
    <w:rsid w:val="64B67645"/>
    <w:rsid w:val="64ED07CF"/>
    <w:rsid w:val="64FE65B6"/>
    <w:rsid w:val="65312484"/>
    <w:rsid w:val="653164AB"/>
    <w:rsid w:val="65583504"/>
    <w:rsid w:val="655A15E0"/>
    <w:rsid w:val="656A3B7A"/>
    <w:rsid w:val="65801643"/>
    <w:rsid w:val="65AF7943"/>
    <w:rsid w:val="661C78C8"/>
    <w:rsid w:val="669258FE"/>
    <w:rsid w:val="66E90D3E"/>
    <w:rsid w:val="67335249"/>
    <w:rsid w:val="673B3590"/>
    <w:rsid w:val="67561739"/>
    <w:rsid w:val="679C4E12"/>
    <w:rsid w:val="68525131"/>
    <w:rsid w:val="68993E11"/>
    <w:rsid w:val="692273C1"/>
    <w:rsid w:val="693F4E5C"/>
    <w:rsid w:val="6947366C"/>
    <w:rsid w:val="695F1E94"/>
    <w:rsid w:val="69C46AC9"/>
    <w:rsid w:val="69FC40B4"/>
    <w:rsid w:val="6A5A3ADE"/>
    <w:rsid w:val="6A8249E6"/>
    <w:rsid w:val="6AD42215"/>
    <w:rsid w:val="6B1D70F1"/>
    <w:rsid w:val="6B1E0982"/>
    <w:rsid w:val="6B3727A3"/>
    <w:rsid w:val="6BA96AC6"/>
    <w:rsid w:val="6C850F7D"/>
    <w:rsid w:val="6CE81FA7"/>
    <w:rsid w:val="6D1A412B"/>
    <w:rsid w:val="6D4B0D11"/>
    <w:rsid w:val="6D6E64E5"/>
    <w:rsid w:val="6D8A12B0"/>
    <w:rsid w:val="6DB66FB1"/>
    <w:rsid w:val="6DD82578"/>
    <w:rsid w:val="6E147D2D"/>
    <w:rsid w:val="6E340719"/>
    <w:rsid w:val="6E4F452D"/>
    <w:rsid w:val="6E6C5CA1"/>
    <w:rsid w:val="6F101C89"/>
    <w:rsid w:val="6F253876"/>
    <w:rsid w:val="6F70292D"/>
    <w:rsid w:val="6F781A2D"/>
    <w:rsid w:val="6F8F49A6"/>
    <w:rsid w:val="6FCE529B"/>
    <w:rsid w:val="6FF63ECB"/>
    <w:rsid w:val="6FFF7EA9"/>
    <w:rsid w:val="700C5FA2"/>
    <w:rsid w:val="70454C61"/>
    <w:rsid w:val="70782134"/>
    <w:rsid w:val="7080699B"/>
    <w:rsid w:val="70D0347E"/>
    <w:rsid w:val="7148642D"/>
    <w:rsid w:val="71D56CAE"/>
    <w:rsid w:val="71D675CA"/>
    <w:rsid w:val="71D8211F"/>
    <w:rsid w:val="72132CB3"/>
    <w:rsid w:val="722A35C5"/>
    <w:rsid w:val="72504B9F"/>
    <w:rsid w:val="725F4256"/>
    <w:rsid w:val="72C31A2F"/>
    <w:rsid w:val="72E71B23"/>
    <w:rsid w:val="73001983"/>
    <w:rsid w:val="736C5FB0"/>
    <w:rsid w:val="739D1EC6"/>
    <w:rsid w:val="73B10EE9"/>
    <w:rsid w:val="73F3108E"/>
    <w:rsid w:val="742069CD"/>
    <w:rsid w:val="745B519B"/>
    <w:rsid w:val="74956A8E"/>
    <w:rsid w:val="74983CAD"/>
    <w:rsid w:val="74D53759"/>
    <w:rsid w:val="754E6DB4"/>
    <w:rsid w:val="756B5E6B"/>
    <w:rsid w:val="75881403"/>
    <w:rsid w:val="760505A0"/>
    <w:rsid w:val="76220316"/>
    <w:rsid w:val="764240BB"/>
    <w:rsid w:val="7644739B"/>
    <w:rsid w:val="76C02525"/>
    <w:rsid w:val="76DD1DE8"/>
    <w:rsid w:val="76EFF328"/>
    <w:rsid w:val="76F24DEB"/>
    <w:rsid w:val="77052E16"/>
    <w:rsid w:val="773B361B"/>
    <w:rsid w:val="77450D15"/>
    <w:rsid w:val="775F555C"/>
    <w:rsid w:val="776358B8"/>
    <w:rsid w:val="777668B4"/>
    <w:rsid w:val="777D24CE"/>
    <w:rsid w:val="77825418"/>
    <w:rsid w:val="779D278B"/>
    <w:rsid w:val="77BC682F"/>
    <w:rsid w:val="77DD2846"/>
    <w:rsid w:val="77EB6DF0"/>
    <w:rsid w:val="78252B16"/>
    <w:rsid w:val="783F6C39"/>
    <w:rsid w:val="787E5EB6"/>
    <w:rsid w:val="789C3CE3"/>
    <w:rsid w:val="78AF777E"/>
    <w:rsid w:val="78FC4CC2"/>
    <w:rsid w:val="790C54A3"/>
    <w:rsid w:val="7936673D"/>
    <w:rsid w:val="795A247F"/>
    <w:rsid w:val="796B5873"/>
    <w:rsid w:val="79790474"/>
    <w:rsid w:val="79DE0D71"/>
    <w:rsid w:val="7A3937B8"/>
    <w:rsid w:val="7AAA4726"/>
    <w:rsid w:val="7AFC24C0"/>
    <w:rsid w:val="7B91286E"/>
    <w:rsid w:val="7B9A2899"/>
    <w:rsid w:val="7BF00DA1"/>
    <w:rsid w:val="7C2E1CCB"/>
    <w:rsid w:val="7C5B0523"/>
    <w:rsid w:val="7CB83F7A"/>
    <w:rsid w:val="7CC42D64"/>
    <w:rsid w:val="7D061CD0"/>
    <w:rsid w:val="7D0F1E45"/>
    <w:rsid w:val="7D1C5B8A"/>
    <w:rsid w:val="7D3C3C1C"/>
    <w:rsid w:val="7D5FF838"/>
    <w:rsid w:val="7D9E5AC7"/>
    <w:rsid w:val="7DA261A2"/>
    <w:rsid w:val="7DE53DB9"/>
    <w:rsid w:val="7DFDDD75"/>
    <w:rsid w:val="7E2470E3"/>
    <w:rsid w:val="7E2B2DFF"/>
    <w:rsid w:val="7E634873"/>
    <w:rsid w:val="7E667290"/>
    <w:rsid w:val="7E825E29"/>
    <w:rsid w:val="7E9310B4"/>
    <w:rsid w:val="7EA90972"/>
    <w:rsid w:val="7EB61509"/>
    <w:rsid w:val="7EBA572E"/>
    <w:rsid w:val="7ECA2FD7"/>
    <w:rsid w:val="7EF04B10"/>
    <w:rsid w:val="7F213B20"/>
    <w:rsid w:val="7F791B67"/>
    <w:rsid w:val="7FA10D1A"/>
    <w:rsid w:val="7FD665D7"/>
    <w:rsid w:val="7FFC0B43"/>
    <w:rsid w:val="D4C7F157"/>
    <w:rsid w:val="E375CE05"/>
    <w:rsid w:val="FBFF17B8"/>
    <w:rsid w:val="FF9F128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34"/>
    <w:qFormat/>
    <w:uiPriority w:val="0"/>
    <w:pPr>
      <w:keepNext/>
      <w:keepLines/>
      <w:spacing w:before="50" w:beforeLines="50" w:after="50" w:afterLines="50" w:line="240" w:lineRule="auto"/>
      <w:ind w:firstLine="0" w:firstLineChars="0"/>
      <w:jc w:val="center"/>
      <w:outlineLvl w:val="0"/>
    </w:pPr>
    <w:rPr>
      <w:rFonts w:eastAsia="黑体"/>
      <w:b/>
      <w:bCs/>
      <w:kern w:val="44"/>
      <w:sz w:val="44"/>
      <w:szCs w:val="44"/>
    </w:rPr>
  </w:style>
  <w:style w:type="paragraph" w:styleId="4">
    <w:name w:val="heading 2"/>
    <w:basedOn w:val="1"/>
    <w:next w:val="1"/>
    <w:link w:val="40"/>
    <w:qFormat/>
    <w:uiPriority w:val="0"/>
    <w:pPr>
      <w:keepNext/>
      <w:keepLines/>
      <w:spacing w:before="50" w:beforeLines="50" w:after="50" w:afterLines="50" w:line="240" w:lineRule="auto"/>
      <w:ind w:firstLine="0" w:firstLineChars="0"/>
      <w:contextualSpacing/>
      <w:outlineLvl w:val="1"/>
    </w:pPr>
    <w:rPr>
      <w:rFonts w:ascii="Arial" w:hAnsi="Arial" w:eastAsia="黑体"/>
      <w:bCs/>
      <w:kern w:val="0"/>
      <w:sz w:val="30"/>
      <w:szCs w:val="32"/>
    </w:rPr>
  </w:style>
  <w:style w:type="paragraph" w:styleId="5">
    <w:name w:val="heading 3"/>
    <w:basedOn w:val="1"/>
    <w:next w:val="1"/>
    <w:link w:val="37"/>
    <w:qFormat/>
    <w:uiPriority w:val="0"/>
    <w:pPr>
      <w:keepNext/>
      <w:keepLines/>
      <w:spacing w:before="50" w:beforeLines="50" w:after="50" w:afterLines="50" w:line="240" w:lineRule="auto"/>
      <w:ind w:firstLine="0" w:firstLineChars="0"/>
      <w:outlineLvl w:val="2"/>
    </w:pPr>
    <w:rPr>
      <w:rFonts w:eastAsia="黑体"/>
      <w:bCs/>
      <w:kern w:val="0"/>
      <w:sz w:val="28"/>
      <w:szCs w:val="32"/>
    </w:rPr>
  </w:style>
  <w:style w:type="paragraph" w:styleId="6">
    <w:name w:val="heading 4"/>
    <w:basedOn w:val="1"/>
    <w:next w:val="1"/>
    <w:link w:val="36"/>
    <w:qFormat/>
    <w:uiPriority w:val="0"/>
    <w:pPr>
      <w:spacing w:line="415" w:lineRule="auto"/>
      <w:outlineLvl w:val="3"/>
    </w:pPr>
    <w:rPr>
      <w:rFonts w:ascii="宋体" w:hAnsi="宋体"/>
      <w:color w:val="000000"/>
    </w:rPr>
  </w:style>
  <w:style w:type="paragraph" w:styleId="7">
    <w:name w:val="heading 5"/>
    <w:basedOn w:val="1"/>
    <w:next w:val="1"/>
    <w:link w:val="39"/>
    <w:qFormat/>
    <w:uiPriority w:val="0"/>
    <w:pPr>
      <w:keepNext/>
      <w:keepLines/>
      <w:spacing w:before="280" w:after="290" w:line="376" w:lineRule="auto"/>
      <w:outlineLvl w:val="4"/>
    </w:pPr>
    <w:rPr>
      <w:rFonts w:eastAsia="黑体"/>
      <w:bCs/>
      <w:kern w:val="0"/>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8">
    <w:name w:val="table of authorities"/>
    <w:basedOn w:val="1"/>
    <w:next w:val="1"/>
    <w:qFormat/>
    <w:uiPriority w:val="0"/>
    <w:pPr>
      <w:ind w:left="420" w:leftChars="200"/>
    </w:pPr>
    <w:rPr>
      <w:rFonts w:ascii="Calibri" w:hAnsi="Calibri"/>
    </w:rPr>
  </w:style>
  <w:style w:type="paragraph" w:styleId="9">
    <w:name w:val="annotation text"/>
    <w:basedOn w:val="1"/>
    <w:qFormat/>
    <w:uiPriority w:val="0"/>
    <w:pPr>
      <w:jc w:val="left"/>
    </w:pPr>
  </w:style>
  <w:style w:type="paragraph" w:styleId="10">
    <w:name w:val="toc 3"/>
    <w:basedOn w:val="1"/>
    <w:next w:val="1"/>
    <w:qFormat/>
    <w:uiPriority w:val="0"/>
    <w:pPr>
      <w:ind w:left="840" w:leftChars="400"/>
    </w:pPr>
  </w:style>
  <w:style w:type="paragraph" w:styleId="11">
    <w:name w:val="Plain Text"/>
    <w:basedOn w:val="1"/>
    <w:next w:val="1"/>
    <w:link w:val="38"/>
    <w:qFormat/>
    <w:uiPriority w:val="0"/>
    <w:rPr>
      <w:rFonts w:ascii="宋体" w:hAnsi="Courier New"/>
      <w:kern w:val="0"/>
      <w:sz w:val="20"/>
      <w:szCs w:val="21"/>
    </w:rPr>
  </w:style>
  <w:style w:type="paragraph" w:styleId="12">
    <w:name w:val="Balloon Text"/>
    <w:basedOn w:val="1"/>
    <w:semiHidden/>
    <w:qFormat/>
    <w:uiPriority w:val="0"/>
    <w:rPr>
      <w:sz w:val="18"/>
      <w:szCs w:val="18"/>
    </w:rPr>
  </w:style>
  <w:style w:type="paragraph" w:styleId="13">
    <w:name w:val="footer"/>
    <w:basedOn w:val="1"/>
    <w:link w:val="31"/>
    <w:qFormat/>
    <w:uiPriority w:val="0"/>
    <w:pPr>
      <w:tabs>
        <w:tab w:val="center" w:pos="4153"/>
        <w:tab w:val="right" w:pos="8306"/>
      </w:tabs>
      <w:snapToGrid w:val="0"/>
      <w:jc w:val="left"/>
    </w:pPr>
    <w:rPr>
      <w:kern w:val="0"/>
      <w:sz w:val="18"/>
      <w:szCs w:val="18"/>
    </w:rPr>
  </w:style>
  <w:style w:type="paragraph" w:styleId="14">
    <w:name w:val="header"/>
    <w:basedOn w:val="1"/>
    <w:link w:val="35"/>
    <w:qFormat/>
    <w:uiPriority w:val="0"/>
    <w:pPr>
      <w:pBdr>
        <w:bottom w:val="single" w:color="auto" w:sz="6" w:space="1"/>
      </w:pBdr>
      <w:tabs>
        <w:tab w:val="center" w:pos="4153"/>
        <w:tab w:val="right" w:pos="8306"/>
      </w:tabs>
      <w:snapToGrid w:val="0"/>
      <w:jc w:val="center"/>
    </w:pPr>
    <w:rPr>
      <w:kern w:val="0"/>
      <w:sz w:val="18"/>
      <w:szCs w:val="18"/>
    </w:rPr>
  </w:style>
  <w:style w:type="paragraph" w:styleId="15">
    <w:name w:val="toc 1"/>
    <w:basedOn w:val="1"/>
    <w:next w:val="1"/>
    <w:qFormat/>
    <w:uiPriority w:val="0"/>
  </w:style>
  <w:style w:type="paragraph" w:styleId="16">
    <w:name w:val="List"/>
    <w:basedOn w:val="1"/>
    <w:qFormat/>
    <w:uiPriority w:val="0"/>
    <w:pPr>
      <w:ind w:left="200" w:hanging="200" w:hangingChars="200"/>
    </w:pPr>
  </w:style>
  <w:style w:type="paragraph" w:styleId="17">
    <w:name w:val="toc 2"/>
    <w:basedOn w:val="1"/>
    <w:next w:val="1"/>
    <w:qFormat/>
    <w:uiPriority w:val="0"/>
    <w:pPr>
      <w:ind w:left="420" w:leftChars="200"/>
    </w:pPr>
    <w:rPr>
      <w:sz w:val="21"/>
      <w:szCs w:val="21"/>
    </w:rPr>
  </w:style>
  <w:style w:type="paragraph" w:styleId="18">
    <w:name w:val="Body Text First Indent"/>
    <w:basedOn w:val="1"/>
    <w:link w:val="41"/>
    <w:qFormat/>
    <w:uiPriority w:val="0"/>
    <w:pPr>
      <w:ind w:firstLine="420" w:firstLineChars="100"/>
    </w:pPr>
    <w:rPr>
      <w:rFonts w:ascii="Calibri" w:hAnsi="Calibri"/>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qFormat/>
    <w:uiPriority w:val="0"/>
  </w:style>
  <w:style w:type="paragraph" w:customStyle="1" w:styleId="2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24">
    <w:name w:val="List Paragraph"/>
    <w:basedOn w:val="1"/>
    <w:qFormat/>
    <w:uiPriority w:val="34"/>
    <w:pPr>
      <w:ind w:firstLine="420"/>
    </w:pPr>
    <w:rPr>
      <w:szCs w:val="20"/>
    </w:rPr>
  </w:style>
  <w:style w:type="paragraph" w:customStyle="1" w:styleId="25">
    <w:name w:val="段"/>
    <w:qFormat/>
    <w:uiPriority w:val="0"/>
    <w:pPr>
      <w:autoSpaceDE w:val="0"/>
      <w:autoSpaceDN w:val="0"/>
      <w:spacing w:line="0" w:lineRule="atLeast"/>
      <w:ind w:firstLine="200" w:firstLineChars="200"/>
      <w:jc w:val="both"/>
    </w:pPr>
    <w:rPr>
      <w:rFonts w:hint="eastAsia" w:ascii="宋体" w:hAnsi="Times New Roman" w:eastAsia="宋体" w:cs="Times New Roman"/>
      <w:sz w:val="21"/>
      <w:lang w:val="en-US" w:eastAsia="zh-CN" w:bidi="ar-SA"/>
    </w:rPr>
  </w:style>
  <w:style w:type="paragraph" w:customStyle="1" w:styleId="26">
    <w:name w:val="WPSOffice手动目录 1"/>
    <w:qFormat/>
    <w:uiPriority w:val="0"/>
    <w:rPr>
      <w:rFonts w:ascii="Times New Roman" w:hAnsi="Times New Roman" w:eastAsia="宋体" w:cs="Times New Roman"/>
      <w:lang w:val="en-US" w:eastAsia="zh-CN" w:bidi="ar-SA"/>
    </w:rPr>
  </w:style>
  <w:style w:type="paragraph" w:customStyle="1" w:styleId="27">
    <w:name w:val="列出段落111"/>
    <w:basedOn w:val="1"/>
    <w:qFormat/>
    <w:uiPriority w:val="34"/>
    <w:pPr>
      <w:spacing w:after="200" w:line="276" w:lineRule="auto"/>
      <w:ind w:firstLine="420"/>
      <w:jc w:val="left"/>
    </w:pPr>
    <w:rPr>
      <w:kern w:val="0"/>
      <w:sz w:val="22"/>
      <w:lang w:eastAsia="en-US"/>
    </w:rPr>
  </w:style>
  <w:style w:type="paragraph" w:customStyle="1" w:styleId="28">
    <w:name w:val="样式 首行缩进:  0.85 厘米"/>
    <w:basedOn w:val="1"/>
    <w:link w:val="33"/>
    <w:qFormat/>
    <w:uiPriority w:val="0"/>
    <w:pPr>
      <w:ind w:firstLine="482"/>
    </w:pPr>
    <w:rPr>
      <w:szCs w:val="20"/>
    </w:rPr>
  </w:style>
  <w:style w:type="paragraph" w:customStyle="1" w:styleId="29">
    <w:name w:val="3eee"/>
    <w:basedOn w:val="1"/>
    <w:link w:val="32"/>
    <w:qFormat/>
    <w:uiPriority w:val="0"/>
    <w:pPr>
      <w:spacing w:line="440" w:lineRule="exact"/>
    </w:pPr>
    <w:rPr>
      <w:rFonts w:ascii="宋体" w:hAnsi="宋体"/>
    </w:rPr>
  </w:style>
  <w:style w:type="paragraph" w:customStyle="1" w:styleId="30">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1">
    <w:name w:val="页脚 字符"/>
    <w:link w:val="13"/>
    <w:qFormat/>
    <w:uiPriority w:val="0"/>
    <w:rPr>
      <w:rFonts w:eastAsia="宋体"/>
      <w:sz w:val="18"/>
      <w:szCs w:val="18"/>
      <w:lang w:bidi="ar-SA"/>
    </w:rPr>
  </w:style>
  <w:style w:type="character" w:customStyle="1" w:styleId="32">
    <w:name w:val="3eee Char"/>
    <w:link w:val="29"/>
    <w:qFormat/>
    <w:uiPriority w:val="0"/>
    <w:rPr>
      <w:rFonts w:ascii="宋体" w:hAnsi="宋体" w:cs="宋体"/>
      <w:kern w:val="2"/>
      <w:sz w:val="24"/>
      <w:szCs w:val="24"/>
    </w:rPr>
  </w:style>
  <w:style w:type="character" w:customStyle="1" w:styleId="33">
    <w:name w:val="样式 首行缩进:  0.85 厘米 Char"/>
    <w:link w:val="28"/>
    <w:qFormat/>
    <w:uiPriority w:val="0"/>
    <w:rPr>
      <w:kern w:val="2"/>
      <w:sz w:val="24"/>
    </w:rPr>
  </w:style>
  <w:style w:type="character" w:customStyle="1" w:styleId="34">
    <w:name w:val="标题 1 字符"/>
    <w:link w:val="3"/>
    <w:qFormat/>
    <w:uiPriority w:val="0"/>
    <w:rPr>
      <w:rFonts w:eastAsia="黑体"/>
      <w:b/>
      <w:bCs/>
      <w:kern w:val="44"/>
      <w:sz w:val="44"/>
      <w:szCs w:val="44"/>
      <w:lang w:val="en-US" w:eastAsia="zh-CN" w:bidi="ar-SA"/>
    </w:rPr>
  </w:style>
  <w:style w:type="character" w:customStyle="1" w:styleId="35">
    <w:name w:val="页眉 字符"/>
    <w:link w:val="14"/>
    <w:qFormat/>
    <w:uiPriority w:val="0"/>
    <w:rPr>
      <w:rFonts w:eastAsia="宋体"/>
      <w:sz w:val="18"/>
      <w:szCs w:val="18"/>
      <w:lang w:bidi="ar-SA"/>
    </w:rPr>
  </w:style>
  <w:style w:type="character" w:customStyle="1" w:styleId="36">
    <w:name w:val="标题 4 字符"/>
    <w:link w:val="6"/>
    <w:qFormat/>
    <w:uiPriority w:val="0"/>
    <w:rPr>
      <w:rFonts w:ascii="宋体" w:hAnsi="宋体" w:eastAsia="黑体"/>
      <w:bCs/>
      <w:color w:val="000000"/>
      <w:sz w:val="28"/>
      <w:szCs w:val="32"/>
      <w:lang w:val="en-US" w:eastAsia="zh-CN" w:bidi="ar-SA"/>
    </w:rPr>
  </w:style>
  <w:style w:type="character" w:customStyle="1" w:styleId="37">
    <w:name w:val="标题 3 字符"/>
    <w:link w:val="5"/>
    <w:qFormat/>
    <w:uiPriority w:val="0"/>
    <w:rPr>
      <w:rFonts w:eastAsia="黑体"/>
      <w:bCs/>
      <w:sz w:val="28"/>
      <w:szCs w:val="32"/>
      <w:lang w:val="en-US" w:eastAsia="zh-CN" w:bidi="ar-SA"/>
    </w:rPr>
  </w:style>
  <w:style w:type="character" w:customStyle="1" w:styleId="38">
    <w:name w:val="纯文本 字符"/>
    <w:link w:val="11"/>
    <w:qFormat/>
    <w:uiPriority w:val="0"/>
    <w:rPr>
      <w:rFonts w:ascii="宋体" w:hAnsi="Courier New" w:eastAsia="宋体"/>
      <w:szCs w:val="21"/>
      <w:lang w:bidi="ar-SA"/>
    </w:rPr>
  </w:style>
  <w:style w:type="character" w:customStyle="1" w:styleId="39">
    <w:name w:val="标题 5 字符"/>
    <w:link w:val="7"/>
    <w:qFormat/>
    <w:uiPriority w:val="0"/>
    <w:rPr>
      <w:rFonts w:eastAsia="黑体"/>
      <w:bCs/>
      <w:sz w:val="24"/>
      <w:szCs w:val="28"/>
      <w:lang w:val="en-US" w:eastAsia="zh-CN" w:bidi="ar-SA"/>
    </w:rPr>
  </w:style>
  <w:style w:type="character" w:customStyle="1" w:styleId="40">
    <w:name w:val="标题 2 字符"/>
    <w:link w:val="4"/>
    <w:qFormat/>
    <w:uiPriority w:val="0"/>
    <w:rPr>
      <w:rFonts w:ascii="Arial" w:hAnsi="Arial" w:eastAsia="黑体"/>
      <w:bCs/>
      <w:sz w:val="30"/>
      <w:szCs w:val="32"/>
      <w:lang w:val="en-US" w:eastAsia="zh-CN" w:bidi="ar-SA"/>
    </w:rPr>
  </w:style>
  <w:style w:type="character" w:customStyle="1" w:styleId="41">
    <w:name w:val="正文文本首行缩进 字符"/>
    <w:link w:val="18"/>
    <w:qFormat/>
    <w:uiPriority w:val="0"/>
    <w:rPr>
      <w:rFonts w:ascii="Calibri" w:hAnsi="Calibri" w:eastAsia="宋体"/>
      <w:kern w:val="2"/>
      <w:sz w:val="21"/>
      <w:szCs w:val="24"/>
      <w:lang w:val="en-US" w:eastAsia="zh-CN" w:bidi="ar-SA"/>
    </w:rPr>
  </w:style>
  <w:style w:type="paragraph" w:customStyle="1" w:styleId="42">
    <w:name w:val="正文内容"/>
    <w:basedOn w:val="1"/>
    <w:qFormat/>
    <w:uiPriority w:val="0"/>
    <w:pPr>
      <w:spacing w:line="300" w:lineRule="auto"/>
      <w:ind w:firstLine="200"/>
    </w:pPr>
    <w:rPr>
      <w:rFonts w:ascii="宋体" w:hAnsi="Calibri"/>
      <w:snapToGrid w:val="0"/>
      <w:lang w:val="zh-CN"/>
    </w:rPr>
  </w:style>
  <w:style w:type="paragraph" w:customStyle="1" w:styleId="43">
    <w:name w:val="图表"/>
    <w:basedOn w:val="1"/>
    <w:qFormat/>
    <w:uiPriority w:val="0"/>
    <w:pPr>
      <w:ind w:firstLine="0" w:firstLineChars="0"/>
      <w:jc w:val="center"/>
    </w:pPr>
    <w:rPr>
      <w:color w:val="000000"/>
    </w:rPr>
  </w:style>
  <w:style w:type="paragraph" w:customStyle="1" w:styleId="44">
    <w:name w:val="Revision"/>
    <w:hidden/>
    <w:unhideWhenUsed/>
    <w:qFormat/>
    <w:uiPriority w:val="99"/>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header" Target="header4.xml"/><Relationship Id="rId14" Type="http://schemas.openxmlformats.org/officeDocument/2006/relationships/footer" Target="footer7.xml"/><Relationship Id="rId13" Type="http://schemas.openxmlformats.org/officeDocument/2006/relationships/header" Target="header3.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Www.SangSan.Cn</Company>
  <Pages>62</Pages>
  <Words>7911</Words>
  <Characters>8656</Characters>
  <Lines>297</Lines>
  <Paragraphs>83</Paragraphs>
  <TotalTime>2</TotalTime>
  <ScaleCrop>false</ScaleCrop>
  <LinksUpToDate>false</LinksUpToDate>
  <CharactersWithSpaces>8862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2020-02-11T10:25:00Z</dcterms:created>
  <dc:creator>赵冬芳</dc:creator>
  <cp:lastModifiedBy>NTKO</cp:lastModifiedBy>
  <cp:lastPrinted>2021-12-02T17:48:00Z</cp:lastPrinted>
  <dcterms:modified xsi:type="dcterms:W3CDTF">2024-10-29T02:08:29Z</dcterms:modified>
  <dc:title>广州市第一人民医院整体扩建项目</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82C2A776C94040868318062E702706FB_13</vt:lpwstr>
  </property>
</Properties>
</file>