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CEA5">
      <w:pPr>
        <w:jc w:val="center"/>
        <w:rPr>
          <w:rFonts w:hint="eastAsia"/>
          <w:color w:val="auto"/>
          <w:sz w:val="32"/>
          <w:szCs w:val="32"/>
          <w:u w:val="single"/>
          <w:shd w:val="clear" w:color="auto" w:fill="auto"/>
          <w:lang w:eastAsia="zh-CN"/>
        </w:rPr>
      </w:pPr>
      <w:bookmarkStart w:id="1" w:name="_GoBack"/>
      <w:bookmarkEnd w:id="1"/>
      <w:r>
        <w:rPr>
          <w:rFonts w:hint="eastAsia"/>
          <w:color w:val="auto"/>
          <w:sz w:val="32"/>
          <w:szCs w:val="32"/>
          <w:u w:val="single"/>
          <w:shd w:val="clear" w:color="auto" w:fill="auto"/>
          <w:lang w:eastAsia="zh-CN"/>
        </w:rPr>
        <w:t>江门市蓬江区人民检察院办案用房和专业技术用房建设</w:t>
      </w:r>
    </w:p>
    <w:p w14:paraId="1CADF211">
      <w:pPr>
        <w:jc w:val="center"/>
        <w:rPr>
          <w:color w:val="auto"/>
          <w:sz w:val="32"/>
          <w:szCs w:val="32"/>
          <w:shd w:val="clear" w:color="auto" w:fill="auto"/>
        </w:rPr>
      </w:pPr>
      <w:r>
        <w:rPr>
          <w:rFonts w:hint="eastAsia"/>
          <w:color w:val="auto"/>
          <w:sz w:val="32"/>
          <w:szCs w:val="32"/>
          <w:u w:val="single"/>
          <w:shd w:val="clear" w:color="auto" w:fill="auto"/>
          <w:lang w:eastAsia="zh-CN"/>
        </w:rPr>
        <w:t>工程项目</w:t>
      </w:r>
      <w:r>
        <w:rPr>
          <w:rFonts w:hint="eastAsia"/>
          <w:color w:val="auto"/>
          <w:sz w:val="32"/>
          <w:szCs w:val="32"/>
          <w:shd w:val="clear" w:color="auto" w:fill="auto"/>
        </w:rPr>
        <w:t>监理服务招标公告</w:t>
      </w:r>
    </w:p>
    <w:p w14:paraId="43022184">
      <w:pPr>
        <w:rPr>
          <w:color w:val="auto"/>
          <w:sz w:val="36"/>
          <w:szCs w:val="36"/>
          <w:shd w:val="clear" w:color="auto" w:fill="auto"/>
        </w:rPr>
      </w:pPr>
    </w:p>
    <w:p w14:paraId="4C307C38">
      <w:pPr>
        <w:spacing w:line="360" w:lineRule="auto"/>
        <w:ind w:firstLine="420" w:firstLineChars="200"/>
        <w:rPr>
          <w:rFonts w:hint="eastAsia" w:eastAsia="宋体"/>
          <w:color w:val="auto"/>
          <w:szCs w:val="21"/>
          <w:highlight w:val="none"/>
          <w:shd w:val="clear" w:color="auto" w:fill="auto"/>
          <w:lang w:eastAsia="zh-CN"/>
        </w:rPr>
      </w:pPr>
      <w:r>
        <w:rPr>
          <w:rFonts w:hint="eastAsia"/>
          <w:color w:val="auto"/>
          <w:szCs w:val="21"/>
          <w:shd w:val="clear" w:color="auto" w:fill="auto"/>
        </w:rPr>
        <w:t>1、</w:t>
      </w:r>
      <w:r>
        <w:rPr>
          <w:rFonts w:hint="eastAsia"/>
          <w:color w:val="auto"/>
          <w:szCs w:val="21"/>
          <w:u w:val="single"/>
          <w:shd w:val="clear" w:color="auto" w:fill="auto"/>
        </w:rPr>
        <w:t xml:space="preserve"> </w:t>
      </w:r>
      <w:r>
        <w:rPr>
          <w:rFonts w:hint="eastAsia"/>
          <w:color w:val="auto"/>
          <w:szCs w:val="21"/>
          <w:u w:val="single"/>
          <w:shd w:val="clear" w:color="auto" w:fill="auto"/>
          <w:lang w:eastAsia="zh-CN"/>
        </w:rPr>
        <w:t>江门市蓬江区人民检察院办案用房和专业技术用房建设工程项目</w:t>
      </w:r>
      <w:r>
        <w:rPr>
          <w:rFonts w:hint="eastAsia"/>
          <w:color w:val="auto"/>
          <w:szCs w:val="21"/>
          <w:u w:val="single"/>
          <w:shd w:val="clear" w:color="auto" w:fill="auto"/>
        </w:rPr>
        <w:t xml:space="preserve"> </w:t>
      </w:r>
      <w:r>
        <w:rPr>
          <w:rFonts w:hint="eastAsia"/>
          <w:color w:val="auto"/>
          <w:szCs w:val="21"/>
          <w:shd w:val="clear" w:color="auto" w:fill="auto"/>
        </w:rPr>
        <w:t>（项目名称），已由</w:t>
      </w:r>
      <w:r>
        <w:rPr>
          <w:rFonts w:hint="eastAsia"/>
          <w:color w:val="auto"/>
          <w:szCs w:val="21"/>
          <w:u w:val="single"/>
          <w:shd w:val="clear" w:color="auto" w:fill="auto"/>
        </w:rPr>
        <w:t xml:space="preserve"> </w:t>
      </w:r>
      <w:r>
        <w:rPr>
          <w:rFonts w:hint="eastAsia"/>
          <w:color w:val="auto"/>
          <w:szCs w:val="21"/>
          <w:u w:val="single"/>
          <w:shd w:val="clear" w:color="auto" w:fill="auto"/>
          <w:lang w:val="en-US" w:eastAsia="zh-CN"/>
        </w:rPr>
        <w:t>广东省</w:t>
      </w:r>
      <w:r>
        <w:rPr>
          <w:rFonts w:hint="eastAsia"/>
          <w:color w:val="auto"/>
          <w:szCs w:val="21"/>
          <w:u w:val="single"/>
          <w:shd w:val="clear" w:color="auto" w:fill="auto"/>
        </w:rPr>
        <w:t>发展和改革</w:t>
      </w:r>
      <w:r>
        <w:rPr>
          <w:rFonts w:hint="eastAsia"/>
          <w:color w:val="auto"/>
          <w:szCs w:val="21"/>
          <w:u w:val="single"/>
          <w:shd w:val="clear" w:color="auto" w:fill="auto"/>
          <w:lang w:val="en-US" w:eastAsia="zh-CN"/>
        </w:rPr>
        <w:t>委员会</w:t>
      </w:r>
      <w:r>
        <w:rPr>
          <w:rFonts w:hint="eastAsia"/>
          <w:color w:val="auto"/>
          <w:szCs w:val="21"/>
          <w:u w:val="single"/>
          <w:shd w:val="clear" w:color="auto" w:fill="auto"/>
        </w:rPr>
        <w:t xml:space="preserve">  </w:t>
      </w:r>
      <w:r>
        <w:rPr>
          <w:rFonts w:hint="eastAsia"/>
          <w:color w:val="auto"/>
          <w:szCs w:val="21"/>
          <w:shd w:val="clear" w:color="auto" w:fill="auto"/>
        </w:rPr>
        <w:t>(项目审批、核准机关名称)批准建设，批准文号为:（</w:t>
      </w:r>
      <w:r>
        <w:rPr>
          <w:rFonts w:hint="eastAsia"/>
          <w:color w:val="auto"/>
          <w:szCs w:val="21"/>
          <w:u w:val="single"/>
          <w:shd w:val="clear" w:color="auto" w:fill="auto"/>
        </w:rPr>
        <w:t xml:space="preserve"> </w:t>
      </w:r>
      <w:r>
        <w:rPr>
          <w:rFonts w:hint="eastAsia"/>
          <w:color w:val="auto"/>
          <w:szCs w:val="21"/>
          <w:u w:val="single"/>
          <w:shd w:val="clear" w:color="auto" w:fill="auto"/>
          <w:lang w:val="en-US" w:eastAsia="zh-CN"/>
        </w:rPr>
        <w:t>粤发改投审〔2022〕47号</w:t>
      </w:r>
      <w:r>
        <w:rPr>
          <w:rFonts w:hint="eastAsia"/>
          <w:color w:val="auto"/>
          <w:szCs w:val="21"/>
          <w:u w:val="single"/>
          <w:shd w:val="clear" w:color="auto" w:fill="auto"/>
        </w:rPr>
        <w:t xml:space="preserve"> </w:t>
      </w:r>
      <w:r>
        <w:rPr>
          <w:rFonts w:hint="eastAsia"/>
          <w:color w:val="auto"/>
          <w:szCs w:val="21"/>
          <w:shd w:val="clear" w:color="auto" w:fill="auto"/>
        </w:rPr>
        <w:t>），</w:t>
      </w:r>
      <w:r>
        <w:rPr>
          <w:color w:val="auto"/>
          <w:shd w:val="clear" w:color="auto" w:fill="auto"/>
        </w:rPr>
        <w:t>投资项目统一代</w:t>
      </w:r>
      <w:r>
        <w:rPr>
          <w:color w:val="auto"/>
          <w:highlight w:val="none"/>
          <w:shd w:val="clear" w:color="auto" w:fill="auto"/>
        </w:rPr>
        <w:t>码</w:t>
      </w:r>
      <w:r>
        <w:rPr>
          <w:rFonts w:hint="eastAsia"/>
          <w:color w:val="auto"/>
          <w:highlight w:val="none"/>
          <w:shd w:val="clear" w:color="auto" w:fill="auto"/>
        </w:rPr>
        <w:t>为：</w:t>
      </w:r>
      <w:r>
        <w:rPr>
          <w:rFonts w:hint="eastAsia"/>
          <w:color w:val="auto"/>
          <w:highlight w:val="none"/>
          <w:u w:val="single"/>
          <w:shd w:val="clear" w:color="auto" w:fill="auto"/>
        </w:rPr>
        <w:t xml:space="preserve"> 2012-440703-04-01-492163 </w:t>
      </w:r>
      <w:r>
        <w:rPr>
          <w:rFonts w:hint="eastAsia"/>
          <w:color w:val="auto"/>
          <w:szCs w:val="21"/>
          <w:highlight w:val="none"/>
          <w:shd w:val="clear" w:color="auto" w:fill="auto"/>
        </w:rPr>
        <w:t xml:space="preserve">。现对本项目的施工监理进行公开招标，选定承包人。 </w:t>
      </w:r>
    </w:p>
    <w:p w14:paraId="58C8F12F">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 xml:space="preserve">2、项目概况 </w:t>
      </w:r>
    </w:p>
    <w:p w14:paraId="66B43CF3">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2.1</w:t>
      </w:r>
      <w:r>
        <w:rPr>
          <w:rFonts w:hint="eastAsia"/>
          <w:color w:val="auto"/>
          <w:szCs w:val="21"/>
          <w:highlight w:val="none"/>
          <w:shd w:val="clear" w:color="auto" w:fill="auto"/>
        </w:rPr>
        <w:t xml:space="preserve">建设规模: </w:t>
      </w:r>
      <w:r>
        <w:rPr>
          <w:rFonts w:hint="eastAsia"/>
          <w:color w:val="auto"/>
          <w:szCs w:val="21"/>
          <w:highlight w:val="none"/>
          <w:u w:val="single"/>
          <w:shd w:val="clear" w:color="auto" w:fill="auto"/>
        </w:rPr>
        <w:t>项目总建筑面积8365平方米，其中，办案用房和专业技术用房4157平方米，附属用房208平方米，地下车库4000平方米。本项目概算总投资5531万元，其中，工程费用4605万元，工程建设其他费用663万元，预备费263万元。</w:t>
      </w:r>
    </w:p>
    <w:p w14:paraId="539EAC2E">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2.2</w:t>
      </w:r>
      <w:r>
        <w:rPr>
          <w:rFonts w:hint="eastAsia"/>
          <w:color w:val="auto"/>
          <w:szCs w:val="21"/>
          <w:highlight w:val="none"/>
          <w:shd w:val="clear" w:color="auto" w:fill="auto"/>
        </w:rPr>
        <w:t xml:space="preserve">资金来源和落实情况: </w:t>
      </w:r>
      <w:r>
        <w:rPr>
          <w:rFonts w:hint="eastAsia"/>
          <w:color w:val="auto"/>
          <w:szCs w:val="21"/>
          <w:highlight w:val="none"/>
          <w:u w:val="single"/>
          <w:shd w:val="clear" w:color="auto" w:fill="auto"/>
        </w:rPr>
        <w:t xml:space="preserve"> 省财政资金，项目出资比例为 100%</w:t>
      </w:r>
      <w:r>
        <w:rPr>
          <w:rFonts w:hint="eastAsia"/>
          <w:color w:val="auto"/>
          <w:szCs w:val="21"/>
          <w:highlight w:val="none"/>
          <w:u w:val="single"/>
          <w:shd w:val="clear" w:color="auto" w:fill="auto"/>
          <w:lang w:eastAsia="zh-CN"/>
        </w:rPr>
        <w:t>，</w:t>
      </w:r>
      <w:r>
        <w:rPr>
          <w:rFonts w:hint="eastAsia"/>
          <w:color w:val="auto"/>
          <w:szCs w:val="21"/>
          <w:highlight w:val="none"/>
          <w:u w:val="single"/>
          <w:shd w:val="clear" w:color="auto" w:fill="auto"/>
          <w:lang w:val="en-US" w:eastAsia="zh-CN"/>
        </w:rPr>
        <w:t>资金已落实</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14:paraId="35FAD80C">
      <w:pPr>
        <w:spacing w:line="360" w:lineRule="auto"/>
        <w:ind w:firstLine="420" w:firstLineChars="200"/>
        <w:rPr>
          <w:rFonts w:hint="eastAsia"/>
          <w:color w:val="auto"/>
          <w:szCs w:val="21"/>
          <w:highlight w:val="none"/>
          <w:u w:val="single"/>
          <w:shd w:val="clear" w:color="auto" w:fill="auto"/>
        </w:rPr>
      </w:pPr>
      <w:r>
        <w:rPr>
          <w:rFonts w:hint="eastAsia"/>
          <w:color w:val="auto"/>
          <w:szCs w:val="21"/>
          <w:highlight w:val="none"/>
          <w:u w:val="none"/>
          <w:shd w:val="clear" w:color="auto" w:fill="auto"/>
          <w:lang w:val="en-US" w:eastAsia="zh-CN"/>
        </w:rPr>
        <w:t>2.3</w:t>
      </w:r>
      <w:r>
        <w:rPr>
          <w:rFonts w:hint="eastAsia"/>
          <w:color w:val="auto"/>
          <w:szCs w:val="21"/>
          <w:highlight w:val="none"/>
          <w:u w:val="none"/>
          <w:shd w:val="clear" w:color="auto" w:fill="auto"/>
        </w:rPr>
        <w:t xml:space="preserve">招标范围: </w:t>
      </w:r>
      <w:r>
        <w:rPr>
          <w:rFonts w:hint="eastAsia"/>
          <w:color w:val="auto"/>
          <w:szCs w:val="21"/>
          <w:highlight w:val="none"/>
          <w:u w:val="single"/>
          <w:shd w:val="clear" w:color="auto" w:fill="auto"/>
        </w:rPr>
        <w:t xml:space="preserve"> （1）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14:paraId="3F886037">
      <w:pPr>
        <w:spacing w:line="360" w:lineRule="auto"/>
        <w:ind w:firstLine="420" w:firstLineChars="200"/>
        <w:rPr>
          <w:rFonts w:hint="eastAsia"/>
          <w:color w:val="auto"/>
          <w:szCs w:val="21"/>
          <w:highlight w:val="none"/>
          <w:u w:val="single"/>
          <w:shd w:val="clear" w:color="auto" w:fill="auto"/>
        </w:rPr>
      </w:pPr>
      <w:r>
        <w:rPr>
          <w:rFonts w:hint="eastAsia"/>
          <w:color w:val="auto"/>
          <w:szCs w:val="21"/>
          <w:highlight w:val="none"/>
          <w:u w:val="single"/>
          <w:shd w:val="clear" w:color="auto" w:fill="auto"/>
        </w:rPr>
        <w:t>（2）按委托人的要求提前进场参与开工前期的准备和筹划工作，协助委托人对施工图纸提出意见，制定工程管理办法、各参建方职责及有关事务性工作。</w:t>
      </w:r>
    </w:p>
    <w:p w14:paraId="7A0C2A0E">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2.4</w:t>
      </w:r>
      <w:r>
        <w:rPr>
          <w:rFonts w:hint="eastAsia"/>
          <w:color w:val="auto"/>
          <w:szCs w:val="21"/>
          <w:highlight w:val="none"/>
          <w:shd w:val="clear" w:color="auto" w:fill="auto"/>
        </w:rPr>
        <w:t xml:space="preserve">招标内容: </w:t>
      </w:r>
      <w:r>
        <w:rPr>
          <w:rFonts w:hint="eastAsia"/>
          <w:color w:val="auto"/>
          <w:szCs w:val="21"/>
          <w:highlight w:val="none"/>
          <w:u w:val="single"/>
          <w:shd w:val="clear" w:color="auto" w:fill="auto"/>
        </w:rPr>
        <w:t xml:space="preserve"> 监理服务招标 </w:t>
      </w:r>
      <w:r>
        <w:rPr>
          <w:rFonts w:hint="eastAsia"/>
          <w:color w:val="auto"/>
          <w:szCs w:val="21"/>
          <w:highlight w:val="none"/>
          <w:shd w:val="clear" w:color="auto" w:fill="auto"/>
        </w:rPr>
        <w:t>。</w:t>
      </w:r>
    </w:p>
    <w:p w14:paraId="47FB5EFF">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2.5</w:t>
      </w:r>
      <w:r>
        <w:rPr>
          <w:rFonts w:hint="eastAsia"/>
          <w:color w:val="auto"/>
          <w:szCs w:val="21"/>
          <w:highlight w:val="none"/>
          <w:shd w:val="clear" w:color="auto" w:fill="auto"/>
        </w:rPr>
        <w:t xml:space="preserve">工程建设地点: </w:t>
      </w:r>
      <w:r>
        <w:rPr>
          <w:rFonts w:hint="eastAsia"/>
          <w:color w:val="auto"/>
          <w:szCs w:val="21"/>
          <w:highlight w:val="none"/>
          <w:u w:val="single"/>
          <w:shd w:val="clear" w:color="auto" w:fill="auto"/>
        </w:rPr>
        <w:t xml:space="preserve"> 江门市蓬江区华安路与石头路交汇处西北侧 </w:t>
      </w:r>
      <w:r>
        <w:rPr>
          <w:rFonts w:hint="eastAsia"/>
          <w:color w:val="auto"/>
          <w:szCs w:val="21"/>
          <w:highlight w:val="none"/>
          <w:shd w:val="clear" w:color="auto" w:fill="auto"/>
        </w:rPr>
        <w:t>。</w:t>
      </w:r>
    </w:p>
    <w:p w14:paraId="6EAF5E08">
      <w:pPr>
        <w:spacing w:line="360" w:lineRule="auto"/>
        <w:ind w:left="1680" w:leftChars="200" w:hanging="1260" w:hangingChars="600"/>
        <w:rPr>
          <w:color w:val="000000" w:themeColor="text1"/>
          <w:szCs w:val="21"/>
          <w:highlight w:val="none"/>
          <w:shd w:val="clear" w:color="auto" w:fill="auto"/>
          <w14:textFill>
            <w14:solidFill>
              <w14:schemeClr w14:val="tx1"/>
            </w14:solidFill>
          </w14:textFill>
        </w:rPr>
      </w:pPr>
      <w:r>
        <w:rPr>
          <w:rFonts w:hint="eastAsia"/>
          <w:color w:val="auto"/>
          <w:szCs w:val="21"/>
          <w:highlight w:val="none"/>
          <w:shd w:val="clear" w:color="auto" w:fill="auto"/>
          <w:lang w:val="en-US" w:eastAsia="zh-CN"/>
        </w:rPr>
        <w:t>2.6</w:t>
      </w:r>
      <w:r>
        <w:rPr>
          <w:rFonts w:hint="eastAsia"/>
          <w:color w:val="auto"/>
          <w:szCs w:val="21"/>
          <w:highlight w:val="none"/>
          <w:shd w:val="clear" w:color="auto" w:fill="auto"/>
        </w:rPr>
        <w:t xml:space="preserve">监理服务期: </w:t>
      </w:r>
      <w:r>
        <w:rPr>
          <w:rFonts w:hint="eastAsia"/>
          <w:color w:val="auto"/>
          <w:szCs w:val="21"/>
          <w:highlight w:val="none"/>
          <w:u w:val="single"/>
          <w:shd w:val="clear" w:color="auto" w:fill="auto"/>
        </w:rPr>
        <w:t xml:space="preserve"> 从签订合同之日起，至本项目工程质量保修阶段结束且本合同工程结算金额经有权审核部门审定之</w:t>
      </w:r>
      <w:r>
        <w:rPr>
          <w:rFonts w:hint="eastAsia"/>
          <w:color w:val="000000" w:themeColor="text1"/>
          <w:szCs w:val="21"/>
          <w:highlight w:val="none"/>
          <w:u w:val="single"/>
          <w:shd w:val="clear" w:color="auto" w:fill="auto"/>
          <w14:textFill>
            <w14:solidFill>
              <w14:schemeClr w14:val="tx1"/>
            </w14:solidFill>
          </w14:textFill>
        </w:rPr>
        <w:t>日止（以后到日期为准）。监理人须实行全过程监理服务，其中，施工阶段的监理服务期自工程开工之日起开始计算，暂定为</w:t>
      </w:r>
      <w:r>
        <w:rPr>
          <w:rFonts w:hint="eastAsia"/>
          <w:color w:val="000000" w:themeColor="text1"/>
          <w:szCs w:val="21"/>
          <w:highlight w:val="none"/>
          <w:u w:val="single"/>
          <w:shd w:val="clear" w:color="auto" w:fill="auto"/>
          <w:lang w:val="en-US" w:eastAsia="zh-CN"/>
          <w14:textFill>
            <w14:solidFill>
              <w14:schemeClr w14:val="tx1"/>
            </w14:solidFill>
          </w14:textFill>
        </w:rPr>
        <w:t>429</w:t>
      </w:r>
      <w:r>
        <w:rPr>
          <w:rFonts w:hint="eastAsia"/>
          <w:color w:val="000000" w:themeColor="text1"/>
          <w:szCs w:val="21"/>
          <w:highlight w:val="none"/>
          <w:u w:val="single"/>
          <w:shd w:val="clear" w:color="auto" w:fill="auto"/>
          <w14:textFill>
            <w14:solidFill>
              <w14:schemeClr w14:val="tx1"/>
            </w14:solidFill>
          </w14:textFill>
        </w:rPr>
        <w:t xml:space="preserve">日历天。若因工程建设需要延长工程监理服务期的，监理人不得因工程监理服务期延长而要求增加工程监理服务费 </w:t>
      </w:r>
      <w:r>
        <w:rPr>
          <w:rFonts w:hint="eastAsia"/>
          <w:color w:val="000000" w:themeColor="text1"/>
          <w:szCs w:val="21"/>
          <w:highlight w:val="none"/>
          <w:shd w:val="clear" w:color="auto" w:fill="auto"/>
          <w14:textFill>
            <w14:solidFill>
              <w14:schemeClr w14:val="tx1"/>
            </w14:solidFill>
          </w14:textFill>
        </w:rPr>
        <w:t>。</w:t>
      </w:r>
    </w:p>
    <w:p w14:paraId="0186403A">
      <w:pPr>
        <w:spacing w:line="360" w:lineRule="auto"/>
        <w:ind w:left="1680" w:leftChars="200" w:hanging="1260" w:hangingChars="600"/>
        <w:rPr>
          <w:rFonts w:ascii="宋体" w:hAnsi="宋体" w:cs="宋体"/>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lang w:val="en-US" w:eastAsia="zh-CN"/>
          <w14:textFill>
            <w14:solidFill>
              <w14:schemeClr w14:val="tx1"/>
            </w14:solidFill>
          </w14:textFill>
        </w:rPr>
        <w:t>2.7</w:t>
      </w:r>
      <w:r>
        <w:rPr>
          <w:rFonts w:hint="eastAsia"/>
          <w:color w:val="000000" w:themeColor="text1"/>
          <w:szCs w:val="21"/>
          <w:highlight w:val="none"/>
          <w:shd w:val="clear" w:color="auto" w:fill="auto"/>
          <w14:textFill>
            <w14:solidFill>
              <w14:schemeClr w14:val="tx1"/>
            </w14:solidFill>
          </w14:textFill>
        </w:rPr>
        <w:t>建筑安装工程费用</w:t>
      </w: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lang w:val="en-US" w:eastAsia="zh-CN"/>
          <w14:textFill>
            <w14:solidFill>
              <w14:schemeClr w14:val="tx1"/>
            </w14:solidFill>
          </w14:textFill>
        </w:rPr>
        <w:t>4605</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万元 。</w:t>
      </w:r>
    </w:p>
    <w:p w14:paraId="7406B44B">
      <w:pPr>
        <w:spacing w:line="360" w:lineRule="auto"/>
        <w:ind w:firstLine="420" w:firstLineChars="200"/>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lang w:val="en-US" w:eastAsia="zh-CN"/>
          <w14:textFill>
            <w14:solidFill>
              <w14:schemeClr w14:val="tx1"/>
            </w14:solidFill>
          </w14:textFill>
        </w:rPr>
        <w:t>2.8</w:t>
      </w:r>
      <w:r>
        <w:rPr>
          <w:rFonts w:hint="eastAsia" w:ascii="宋体" w:hAnsi="宋体" w:cs="宋体"/>
          <w:color w:val="000000" w:themeColor="text1"/>
          <w:highlight w:val="none"/>
          <w:shd w:val="clear" w:color="auto" w:fill="auto"/>
          <w14:textFill>
            <w14:solidFill>
              <w14:schemeClr w14:val="tx1"/>
            </w14:solidFill>
          </w14:textFill>
        </w:rPr>
        <w:t>项目监理招标最高限价：</w:t>
      </w:r>
      <w:r>
        <w:rPr>
          <w:rFonts w:hint="eastAsia" w:ascii="宋体" w:hAnsi="宋体" w:cs="宋体"/>
          <w:color w:val="000000" w:themeColor="text1"/>
          <w:highlight w:val="none"/>
          <w:u w:val="single"/>
          <w:shd w:val="clear" w:color="auto" w:fill="auto"/>
          <w:lang w:val="en-US" w:eastAsia="zh-CN"/>
          <w14:textFill>
            <w14:solidFill>
              <w14:schemeClr w14:val="tx1"/>
            </w14:solidFill>
          </w14:textFill>
        </w:rPr>
        <w:t>112.37</w:t>
      </w:r>
      <w:r>
        <w:rPr>
          <w:rFonts w:hint="eastAsia" w:ascii="宋体" w:hAnsi="宋体" w:cs="宋体"/>
          <w:color w:val="000000" w:themeColor="text1"/>
          <w:highlight w:val="none"/>
          <w:shd w:val="clear" w:color="auto" w:fill="auto"/>
          <w14:textFill>
            <w14:solidFill>
              <w14:schemeClr w14:val="tx1"/>
            </w14:solidFill>
          </w14:textFill>
        </w:rPr>
        <w:t>万元 。</w:t>
      </w:r>
    </w:p>
    <w:p w14:paraId="0A943A02">
      <w:pPr>
        <w:spacing w:line="360" w:lineRule="auto"/>
        <w:ind w:firstLine="42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3、投标人的资质要求</w:t>
      </w:r>
    </w:p>
    <w:p w14:paraId="2801F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u w:val="single"/>
          <w:shd w:val="clear" w:color="auto" w:fill="auto"/>
        </w:rPr>
      </w:pPr>
      <w:r>
        <w:rPr>
          <w:rFonts w:hint="eastAsia"/>
          <w:color w:val="auto"/>
          <w:szCs w:val="21"/>
          <w:highlight w:val="none"/>
          <w:shd w:val="clear" w:color="auto" w:fill="auto"/>
        </w:rPr>
        <w:t>3.1资质要求：具备</w:t>
      </w:r>
      <w:r>
        <w:rPr>
          <w:rFonts w:hint="eastAsia"/>
          <w:color w:val="auto"/>
          <w:szCs w:val="21"/>
          <w:highlight w:val="none"/>
          <w:u w:val="single"/>
          <w:shd w:val="clear" w:color="auto" w:fill="auto"/>
        </w:rPr>
        <w:t xml:space="preserve"> 建设主管部门颁发的工程监理综合资质或建设主管部门颁发的房屋建筑工程监理</w:t>
      </w:r>
      <w:r>
        <w:rPr>
          <w:rFonts w:hint="eastAsia"/>
          <w:b/>
          <w:bCs/>
          <w:color w:val="auto"/>
          <w:szCs w:val="21"/>
          <w:highlight w:val="none"/>
          <w:u w:val="single"/>
          <w:shd w:val="clear" w:color="auto" w:fill="auto"/>
          <w:lang w:val="en-US" w:eastAsia="zh-CN"/>
        </w:rPr>
        <w:t>丙</w:t>
      </w:r>
      <w:r>
        <w:rPr>
          <w:rFonts w:hint="eastAsia"/>
          <w:b/>
          <w:bCs/>
          <w:color w:val="auto"/>
          <w:szCs w:val="21"/>
          <w:highlight w:val="none"/>
          <w:u w:val="single"/>
          <w:shd w:val="clear" w:color="auto" w:fill="auto"/>
        </w:rPr>
        <w:t>级</w:t>
      </w:r>
      <w:r>
        <w:rPr>
          <w:rFonts w:hint="eastAsia"/>
          <w:b/>
          <w:bCs/>
          <w:color w:val="auto"/>
          <w:szCs w:val="21"/>
          <w:highlight w:val="none"/>
          <w:u w:val="single"/>
          <w:shd w:val="clear" w:color="auto" w:fill="auto"/>
          <w:lang w:val="en-US" w:eastAsia="zh-CN"/>
        </w:rPr>
        <w:t>或以上</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资质；</w:t>
      </w:r>
    </w:p>
    <w:p w14:paraId="4C5E1B69">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3.2其他投标条件要求：</w:t>
      </w:r>
    </w:p>
    <w:p w14:paraId="0AC68B16">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总监理工程师须具备住建部颁发的中华人民共和国注册监理工程师执业证书，且其注册证书专业为</w:t>
      </w:r>
      <w:r>
        <w:rPr>
          <w:rFonts w:hint="eastAsia"/>
          <w:b/>
          <w:bCs/>
          <w:color w:val="auto"/>
          <w:szCs w:val="21"/>
          <w:highlight w:val="none"/>
          <w:u w:val="single"/>
          <w:shd w:val="clear" w:color="auto" w:fill="auto"/>
        </w:rPr>
        <w:t xml:space="preserve"> </w:t>
      </w:r>
      <w:r>
        <w:rPr>
          <w:b/>
          <w:bCs/>
          <w:color w:val="auto"/>
          <w:highlight w:val="none"/>
          <w:u w:val="single"/>
          <w:shd w:val="clear" w:color="auto" w:fill="auto"/>
        </w:rPr>
        <w:t>房屋建筑工程</w:t>
      </w:r>
      <w:r>
        <w:rPr>
          <w:rFonts w:hint="eastAsia"/>
          <w:b/>
          <w:bCs/>
          <w:color w:val="auto"/>
          <w:highlight w:val="none"/>
          <w:u w:val="none"/>
          <w:shd w:val="clear" w:color="auto" w:fill="auto"/>
        </w:rPr>
        <w:t xml:space="preserve"> </w:t>
      </w:r>
      <w:r>
        <w:rPr>
          <w:rFonts w:hint="eastAsia"/>
          <w:b/>
          <w:bCs/>
          <w:color w:val="auto"/>
          <w:szCs w:val="21"/>
          <w:highlight w:val="none"/>
          <w:u w:val="none"/>
          <w:shd w:val="clear" w:color="auto" w:fill="auto"/>
        </w:rPr>
        <w:t>,</w:t>
      </w:r>
      <w:r>
        <w:rPr>
          <w:rFonts w:hint="eastAsia"/>
          <w:color w:val="auto"/>
          <w:szCs w:val="21"/>
          <w:highlight w:val="none"/>
          <w:shd w:val="clear" w:color="auto" w:fill="auto"/>
        </w:rPr>
        <w:t>注册执业单位为本公司。</w:t>
      </w:r>
    </w:p>
    <w:p w14:paraId="34DE1D56">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 xml:space="preserve">3.3根据《广东省住房和城乡建设厅关于取消省外建筑企业和人员进粤信息备案有关工作的通知》（粤建市[2015]52号）要求，省外建筑企业需在“进粤企业和人员诚信信息登记平台”录入相关信息并通过数据规范检查，并在投标文件中提供企业基本信息、资质情况和驻粤技术管理人员情况信息（网上公开信息打印件）以备审查。 </w:t>
      </w:r>
    </w:p>
    <w:p w14:paraId="749F5A59">
      <w:pPr>
        <w:spacing w:line="360" w:lineRule="auto"/>
        <w:ind w:firstLine="420" w:firstLineChars="200"/>
        <w:jc w:val="left"/>
        <w:rPr>
          <w:rFonts w:hint="eastAsia" w:ascii="Arial" w:hAnsi="Arial" w:cs="Arial"/>
          <w:color w:val="auto"/>
          <w:kern w:val="0"/>
          <w:szCs w:val="21"/>
          <w:highlight w:val="none"/>
          <w:shd w:val="clear" w:color="auto" w:fill="auto"/>
        </w:rPr>
      </w:pPr>
      <w:r>
        <w:rPr>
          <w:rFonts w:hint="eastAsia"/>
          <w:color w:val="auto"/>
          <w:highlight w:val="none"/>
          <w:shd w:val="clear" w:color="auto" w:fill="auto"/>
        </w:rPr>
        <w:t>3.4</w:t>
      </w:r>
      <w:r>
        <w:rPr>
          <w:rFonts w:hint="eastAsia" w:ascii="Arial" w:hAnsi="Arial" w:cs="Arial"/>
          <w:color w:val="auto"/>
          <w:kern w:val="0"/>
          <w:szCs w:val="21"/>
          <w:highlight w:val="none"/>
          <w:shd w:val="clear" w:color="auto" w:fill="auto"/>
        </w:rPr>
        <w:t>根据《江门市住房和城乡建设局关于江门市建筑业企业信用管理办法（修订版）》(江建〔2019〕</w:t>
      </w:r>
    </w:p>
    <w:p w14:paraId="455EB82A">
      <w:pPr>
        <w:spacing w:line="360" w:lineRule="auto"/>
        <w:ind w:firstLine="0" w:firstLineChars="0"/>
        <w:jc w:val="left"/>
        <w:rPr>
          <w:rFonts w:ascii="Arial" w:hAnsi="Arial" w:cs="Arial"/>
          <w:color w:val="auto"/>
          <w:kern w:val="0"/>
          <w:szCs w:val="21"/>
          <w:highlight w:val="none"/>
          <w:shd w:val="clear" w:color="auto" w:fill="auto"/>
        </w:rPr>
      </w:pPr>
      <w:r>
        <w:rPr>
          <w:rFonts w:hint="eastAsia" w:ascii="Arial" w:hAnsi="Arial" w:cs="Arial"/>
          <w:color w:val="auto"/>
          <w:kern w:val="0"/>
          <w:szCs w:val="21"/>
          <w:highlight w:val="none"/>
          <w:shd w:val="clear" w:color="auto" w:fill="auto"/>
        </w:rPr>
        <w:t>356 号)的相关规定，投标人须是被列入“</w:t>
      </w:r>
      <w:r>
        <w:rPr>
          <w:rFonts w:hint="eastAsia" w:ascii="宋体" w:hAnsi="宋体"/>
          <w:color w:val="auto"/>
          <w:szCs w:val="21"/>
          <w:highlight w:val="none"/>
          <w:shd w:val="clear" w:color="auto" w:fill="auto"/>
        </w:rPr>
        <w:t>江门市建筑业企业信用管理信息系统</w:t>
      </w:r>
      <w:r>
        <w:rPr>
          <w:rFonts w:hint="eastAsia" w:ascii="Arial" w:hAnsi="Arial" w:cs="Arial"/>
          <w:color w:val="auto"/>
          <w:kern w:val="0"/>
          <w:szCs w:val="21"/>
          <w:highlight w:val="none"/>
          <w:shd w:val="clear" w:color="auto" w:fill="auto"/>
        </w:rPr>
        <w:t>”</w:t>
      </w:r>
      <w:r>
        <w:rPr>
          <w:rFonts w:ascii="Arial" w:hAnsi="Arial" w:cs="Arial"/>
          <w:color w:val="auto"/>
          <w:kern w:val="0"/>
          <w:szCs w:val="21"/>
          <w:highlight w:val="none"/>
          <w:shd w:val="clear" w:color="auto" w:fill="auto"/>
        </w:rPr>
        <w:t>信用等级为</w:t>
      </w:r>
      <w:r>
        <w:rPr>
          <w:rFonts w:hint="eastAsia" w:ascii="Arial" w:hAnsi="Arial" w:cs="Arial"/>
          <w:color w:val="auto"/>
          <w:kern w:val="0"/>
          <w:szCs w:val="21"/>
          <w:highlight w:val="none"/>
          <w:shd w:val="clear" w:color="auto" w:fill="auto"/>
        </w:rPr>
        <w:t>C</w:t>
      </w:r>
      <w:r>
        <w:rPr>
          <w:rFonts w:ascii="Arial" w:hAnsi="Arial" w:cs="Arial"/>
          <w:color w:val="auto"/>
          <w:kern w:val="0"/>
          <w:szCs w:val="21"/>
          <w:highlight w:val="none"/>
          <w:shd w:val="clear" w:color="auto" w:fill="auto"/>
        </w:rPr>
        <w:t>级</w:t>
      </w:r>
      <w:r>
        <w:rPr>
          <w:rFonts w:hint="eastAsia" w:ascii="Arial" w:hAnsi="Arial" w:cs="Arial"/>
          <w:color w:val="auto"/>
          <w:kern w:val="0"/>
          <w:szCs w:val="21"/>
          <w:highlight w:val="none"/>
          <w:shd w:val="clear" w:color="auto" w:fill="auto"/>
        </w:rPr>
        <w:t>或以上</w:t>
      </w:r>
      <w:r>
        <w:rPr>
          <w:rFonts w:ascii="Arial" w:hAnsi="Arial" w:cs="Arial"/>
          <w:color w:val="auto"/>
          <w:kern w:val="0"/>
          <w:szCs w:val="21"/>
          <w:highlight w:val="none"/>
          <w:shd w:val="clear" w:color="auto" w:fill="auto"/>
        </w:rPr>
        <w:t>的</w:t>
      </w:r>
      <w:r>
        <w:rPr>
          <w:rFonts w:hint="eastAsia" w:ascii="Arial" w:hAnsi="Arial" w:cs="Arial"/>
          <w:color w:val="auto"/>
          <w:kern w:val="0"/>
          <w:szCs w:val="21"/>
          <w:highlight w:val="none"/>
          <w:shd w:val="clear" w:color="auto" w:fill="auto"/>
        </w:rPr>
        <w:t>企业。</w:t>
      </w:r>
    </w:p>
    <w:p w14:paraId="1BCE2D71">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3.5 投标人拟派出的项目总监理工程师</w:t>
      </w:r>
      <w:r>
        <w:rPr>
          <w:rFonts w:hint="eastAsia"/>
          <w:color w:val="auto"/>
          <w:szCs w:val="21"/>
          <w:highlight w:val="none"/>
          <w:shd w:val="clear" w:color="auto" w:fill="auto"/>
          <w:lang w:eastAsia="zh-CN"/>
        </w:rPr>
        <w:t>、技术负责人</w:t>
      </w:r>
      <w:r>
        <w:rPr>
          <w:rFonts w:hint="eastAsia"/>
          <w:color w:val="auto"/>
          <w:szCs w:val="21"/>
          <w:highlight w:val="none"/>
          <w:shd w:val="clear" w:color="auto" w:fill="auto"/>
        </w:rPr>
        <w:t>须在投标文件中签字确认。</w:t>
      </w:r>
    </w:p>
    <w:p w14:paraId="26C7E418">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3.6取得香港工程建设咨询从业资格的企业和执业资格的专业人士，按照《广东省住房和城乡建设厅关于印发香港工程咨询企业和专业人士在粤港澳大湾区内地城市开业执业试点管理暂行办法的通知》规定备案，且备案信息已在广东省建设信息网公布，可以在我市范围内开业执业，为市场主体直接提供服务。经备案的香港企业和香港专业人士应当在备案的业务范围内开业执业。</w:t>
      </w:r>
    </w:p>
    <w:p w14:paraId="1913B014">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rPr>
        <w:t>3.7 本项目不接受联合体投标。</w:t>
      </w:r>
    </w:p>
    <w:p w14:paraId="3E82D1EE">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lang w:val="en-US" w:eastAsia="zh-CN"/>
        </w:rPr>
        <w:t>3</w:t>
      </w:r>
      <w:r>
        <w:rPr>
          <w:rFonts w:hint="eastAsia"/>
          <w:color w:val="auto"/>
          <w:szCs w:val="21"/>
          <w:highlight w:val="none"/>
          <w:shd w:val="clear" w:color="auto" w:fill="auto"/>
        </w:rPr>
        <w:t>.</w:t>
      </w:r>
      <w:r>
        <w:rPr>
          <w:rFonts w:hint="eastAsia"/>
          <w:color w:val="auto"/>
          <w:szCs w:val="21"/>
          <w:highlight w:val="none"/>
          <w:shd w:val="clear" w:color="auto" w:fill="auto"/>
          <w:lang w:val="en-US" w:eastAsia="zh-CN"/>
        </w:rPr>
        <w:t>8</w:t>
      </w:r>
      <w:r>
        <w:rPr>
          <w:rFonts w:hint="eastAsia"/>
          <w:color w:val="auto"/>
          <w:szCs w:val="21"/>
          <w:highlight w:val="none"/>
          <w:shd w:val="clear" w:color="auto" w:fill="auto"/>
        </w:rPr>
        <w:t xml:space="preserve"> 投标人已在广州交易集团有限公司（广州公共资源交易中心）办理企业信息登记，拟委派的项目负责人须是本企业信息登记的在册人员；</w:t>
      </w:r>
    </w:p>
    <w:p w14:paraId="21383479">
      <w:pPr>
        <w:spacing w:line="360" w:lineRule="auto"/>
        <w:ind w:firstLine="420" w:firstLineChars="200"/>
        <w:jc w:val="left"/>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3.9未在以往工程中因不诚信行为或不充分履约行为被本项目招标人书面拒绝投标的（详见附件一《被招标人拒绝投标的企业名单》）。</w:t>
      </w:r>
    </w:p>
    <w:p w14:paraId="1F48AC0D">
      <w:pPr>
        <w:keepNext/>
        <w:spacing w:line="360" w:lineRule="auto"/>
        <w:rPr>
          <w:rFonts w:hint="eastAsia" w:ascii="宋体" w:hAnsi="宋体" w:eastAsia="宋体" w:cs="宋体"/>
          <w:b w:val="0"/>
          <w:bCs w:val="0"/>
          <w:color w:val="auto"/>
          <w:szCs w:val="21"/>
          <w:shd w:val="clear" w:color="auto" w:fill="auto"/>
        </w:rPr>
      </w:pPr>
      <w:r>
        <w:rPr>
          <w:rFonts w:hint="eastAsia"/>
          <w:b w:val="0"/>
          <w:bCs w:val="0"/>
          <w:color w:val="auto"/>
          <w:szCs w:val="21"/>
          <w:highlight w:val="none"/>
          <w:shd w:val="clear" w:color="auto" w:fill="auto"/>
        </w:rPr>
        <w:t>4、</w:t>
      </w:r>
      <w:r>
        <w:rPr>
          <w:rFonts w:hint="eastAsia" w:ascii="宋体" w:hAnsi="宋体" w:eastAsia="宋体" w:cs="宋体"/>
          <w:b w:val="0"/>
          <w:bCs w:val="0"/>
          <w:color w:val="auto"/>
          <w:szCs w:val="21"/>
          <w:shd w:val="clear" w:color="auto" w:fill="auto"/>
        </w:rPr>
        <w:t>获取招标文件</w:t>
      </w:r>
      <w:r>
        <w:rPr>
          <w:rFonts w:hint="eastAsia" w:ascii="宋体" w:hAnsi="宋体" w:eastAsia="宋体" w:cs="宋体"/>
          <w:b w:val="0"/>
          <w:bCs w:val="0"/>
          <w:color w:val="auto"/>
          <w:szCs w:val="21"/>
          <w:shd w:val="clear" w:color="auto" w:fill="auto"/>
          <w:lang w:val="en-US" w:eastAsia="zh-CN"/>
        </w:rPr>
        <w:t>及投标登记</w:t>
      </w:r>
      <w:r>
        <w:rPr>
          <w:rFonts w:hint="eastAsia" w:ascii="宋体" w:hAnsi="宋体" w:eastAsia="宋体" w:cs="宋体"/>
          <w:b w:val="0"/>
          <w:bCs w:val="0"/>
          <w:color w:val="auto"/>
          <w:szCs w:val="21"/>
          <w:shd w:val="clear" w:color="auto" w:fill="auto"/>
        </w:rPr>
        <w:t xml:space="preserve"> </w:t>
      </w:r>
    </w:p>
    <w:p w14:paraId="12136D8F">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.1 凡有意参加投标者，请于 202</w:t>
      </w: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年  月   日  时  分至 202</w:t>
      </w: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年  月   日  时  分(北京时间，下同)，在广州交易集团有限公司（广州公共资源交易中心）</w:t>
      </w:r>
      <w:r>
        <w:rPr>
          <w:rFonts w:hint="eastAsia" w:ascii="宋体" w:hAnsi="宋体" w:eastAsia="宋体" w:cs="宋体"/>
          <w:color w:val="auto"/>
          <w:szCs w:val="21"/>
          <w:shd w:val="clear" w:color="auto" w:fill="auto"/>
          <w:lang w:val="en-US" w:eastAsia="zh-CN"/>
        </w:rPr>
        <w:t>平台上</w:t>
      </w:r>
      <w:r>
        <w:rPr>
          <w:rFonts w:hint="eastAsia" w:ascii="宋体" w:hAnsi="宋体" w:eastAsia="宋体" w:cs="宋体"/>
          <w:color w:val="auto"/>
          <w:szCs w:val="21"/>
          <w:shd w:val="clear" w:color="auto" w:fill="auto"/>
        </w:rPr>
        <w:t>获取招标文件；</w:t>
      </w:r>
    </w:p>
    <w:p w14:paraId="7CE9B77A">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.2 招标文件获取方式：招标公告网上发布时，同时发布招标文件等相关资料。 (投标人自行登录广州交易集团有限公司（广州公共资源交易中心）网下载相关资料)</w:t>
      </w:r>
    </w:p>
    <w:p w14:paraId="22395A62">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4.3</w:t>
      </w:r>
      <w:r>
        <w:rPr>
          <w:rFonts w:hint="eastAsia" w:ascii="宋体" w:hAnsi="宋体" w:eastAsia="宋体" w:cs="宋体"/>
          <w:color w:val="auto"/>
          <w:szCs w:val="21"/>
          <w:shd w:val="clear" w:color="auto" w:fill="auto"/>
        </w:rPr>
        <w:t>本项目投标登记时间为：招标公告发出之日起至投标截止时间止。</w:t>
      </w:r>
    </w:p>
    <w:p w14:paraId="726C0FBB">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本项目实行广州交易集团有限公司（广州公共资源交易中心）网上投标登记，不接受现场投标登记（网上投标登记操作流程详见广州交易集团有限公司（广州公共资源交易中心）网站发布的最新版操作指引）。投标人须在上述规定的投标登记时间内完成网上投标登记手续，逾期不受理。</w:t>
      </w:r>
    </w:p>
    <w:p w14:paraId="6B9974C8">
      <w:pPr>
        <w:spacing w:line="360" w:lineRule="auto"/>
        <w:ind w:firstLine="420" w:firstLineChars="200"/>
        <w:jc w:val="left"/>
        <w:rPr>
          <w:rFonts w:hint="eastAsia"/>
          <w:color w:val="auto"/>
          <w:szCs w:val="21"/>
          <w:highlight w:val="none"/>
          <w:shd w:val="clear" w:color="auto" w:fill="auto"/>
          <w:lang w:eastAsia="zh-CN"/>
        </w:rPr>
      </w:pPr>
      <w:r>
        <w:rPr>
          <w:rFonts w:hint="eastAsia"/>
          <w:color w:val="auto"/>
          <w:szCs w:val="21"/>
          <w:highlight w:val="none"/>
          <w:shd w:val="clear" w:color="auto" w:fill="auto"/>
        </w:rPr>
        <w:t>5、投标文件的递交</w:t>
      </w:r>
      <w:r>
        <w:rPr>
          <w:rFonts w:hint="eastAsia"/>
          <w:color w:val="auto"/>
          <w:szCs w:val="21"/>
          <w:highlight w:val="none"/>
          <w:shd w:val="clear" w:color="auto" w:fill="auto"/>
          <w:lang w:eastAsia="zh-CN"/>
        </w:rPr>
        <w:t>：</w:t>
      </w:r>
    </w:p>
    <w:p w14:paraId="27C0FBCA">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lang w:val="en-US" w:eastAsia="zh-CN"/>
        </w:rPr>
        <w:t>5.1</w:t>
      </w:r>
      <w:r>
        <w:rPr>
          <w:rFonts w:hint="eastAsia"/>
          <w:color w:val="auto"/>
          <w:szCs w:val="21"/>
          <w:highlight w:val="none"/>
          <w:shd w:val="clear" w:color="auto" w:fill="auto"/>
        </w:rPr>
        <w:t>投标文件按招标文件要求密封后，于</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2024</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分以前送至广州交易集团有限公司（广州公共资源交易中心）开标室(具体开标室请投标人自行登录广州交易集团有限公司（广州公共资源交易中心）网查询，下同)，逾期送达的或不符合规定的投标文件将被拒绝。 </w:t>
      </w:r>
    </w:p>
    <w:p w14:paraId="182F7F3C">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6、其他要求</w:t>
      </w:r>
    </w:p>
    <w:p w14:paraId="082806D1">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投标登记时间：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分至</w:t>
      </w:r>
      <w:r>
        <w:rPr>
          <w:rFonts w:hint="eastAsia"/>
          <w:color w:val="auto"/>
          <w:szCs w:val="21"/>
          <w:highlight w:val="none"/>
          <w:u w:val="single"/>
          <w:shd w:val="clear" w:color="auto" w:fill="auto"/>
          <w:lang w:val="en-US" w:eastAsia="zh-CN"/>
        </w:rPr>
        <w:t xml:space="preserve">2024 </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769BDB8D">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投标人提出问题的截止时间：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 xml:space="preserve">分。      </w:t>
      </w:r>
    </w:p>
    <w:p w14:paraId="5D581532">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招标人澄清的截止时间：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205DCD4D">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投标人要求澄清招标文件的截止时间：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2AE4E436">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踏勘现场时间：</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年</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月</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 xml:space="preserve">日前。 </w:t>
      </w:r>
    </w:p>
    <w:p w14:paraId="16F73427">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投标保证金到账截止时间：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6DAFDDB5">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投标保证金允许使用保证保险形式。</w:t>
      </w:r>
    </w:p>
    <w:p w14:paraId="24073756">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招标项目其他要求：/（如有）</w:t>
      </w:r>
    </w:p>
    <w:p w14:paraId="7CAFC7C0">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rPr>
        <w:t>7、本公告同时在广东省招标投标监管网、广州交易集团有限公司（广州公共资源交易中心）</w:t>
      </w:r>
      <w:r>
        <w:rPr>
          <w:rFonts w:hint="eastAsia"/>
          <w:color w:val="auto"/>
          <w:szCs w:val="21"/>
          <w:highlight w:val="none"/>
          <w:shd w:val="clear" w:color="auto" w:fill="auto"/>
          <w:lang w:val="en-US" w:eastAsia="zh-CN"/>
        </w:rPr>
        <w:t>及中国招标投标公共服务平台</w:t>
      </w:r>
      <w:r>
        <w:rPr>
          <w:rFonts w:hint="eastAsia"/>
          <w:color w:val="auto"/>
          <w:szCs w:val="21"/>
          <w:highlight w:val="none"/>
          <w:shd w:val="clear" w:color="auto" w:fill="auto"/>
        </w:rPr>
        <w:t>网站上发布，本公告在各媒体发布的文本如有不同之处，以在广州交易集团有限公司（广州公共资源交易中心）</w:t>
      </w:r>
      <w:r>
        <w:rPr>
          <w:rFonts w:hint="eastAsia"/>
          <w:color w:val="auto"/>
          <w:szCs w:val="21"/>
          <w:highlight w:val="none"/>
          <w:shd w:val="clear" w:color="auto" w:fill="auto"/>
          <w:lang w:val="en-US" w:eastAsia="zh-CN"/>
        </w:rPr>
        <w:t>网</w:t>
      </w:r>
      <w:r>
        <w:rPr>
          <w:rFonts w:hint="eastAsia"/>
          <w:color w:val="auto"/>
          <w:szCs w:val="21"/>
          <w:highlight w:val="none"/>
          <w:shd w:val="clear" w:color="auto" w:fill="auto"/>
        </w:rPr>
        <w:t>发布的文本为准。</w:t>
      </w:r>
    </w:p>
    <w:p w14:paraId="547DA237">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lang w:eastAsia="zh-CN"/>
        </w:rPr>
        <w:t>8、</w:t>
      </w:r>
      <w:r>
        <w:rPr>
          <w:rFonts w:hint="eastAsia" w:eastAsia="宋体"/>
          <w:color w:val="auto"/>
          <w:szCs w:val="21"/>
          <w:highlight w:val="none"/>
          <w:shd w:val="clear" w:color="auto" w:fill="auto"/>
        </w:rPr>
        <w:t>特别提示</w:t>
      </w:r>
    </w:p>
    <w:p w14:paraId="1A739A3C">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投标人在本项目招标人的工程项目中存在下列行为的，将被拒绝一年内参与招标人后续工程投标。（注：拒绝投标时限由招标人视严重程度确定，最低三个月起，自招标人发出通知之日起计）：</w:t>
      </w:r>
    </w:p>
    <w:p w14:paraId="26B05B4B">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（一）将中标工程转包或者违法分包的；</w:t>
      </w:r>
    </w:p>
    <w:p w14:paraId="5554EE68">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（二）存在围标或串通投标情形的；</w:t>
      </w:r>
    </w:p>
    <w:p w14:paraId="611A9B26">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（三）存在弄虚作假骗取中标、行贿情形的；</w:t>
      </w:r>
    </w:p>
    <w:p w14:paraId="2FB1277E">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（四）在中标工程中不执行质量、安全生产相关规定，造成质量或安全事故的；</w:t>
      </w:r>
    </w:p>
    <w:p w14:paraId="513883F9">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（五）未按照国家、省、市有关建筑施工实名制管理和工人工资支付分帐管理的规定执行，被行政监管部门处罚的；</w:t>
      </w:r>
    </w:p>
    <w:p w14:paraId="5B24A6DB">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（六）由于承包人原因拖欠农民工工资的；</w:t>
      </w:r>
    </w:p>
    <w:p w14:paraId="3B8FBBE2">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（七）承包人因合同履行过错行为被生效法律文书认定承担违约或侵权责任的；</w:t>
      </w:r>
    </w:p>
    <w:p w14:paraId="6BB10183">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（八）由于承包人原因提交竣工结算申请时间超过两年的；</w:t>
      </w:r>
    </w:p>
    <w:p w14:paraId="35E5917A">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（九）由于承包人原因未按合同约定工期完工超过两年的。</w:t>
      </w:r>
    </w:p>
    <w:p w14:paraId="3C37C9B6">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lang w:val="en-US" w:eastAsia="zh-CN"/>
        </w:rPr>
        <w:t>9</w:t>
      </w:r>
      <w:r>
        <w:rPr>
          <w:rFonts w:hint="eastAsia"/>
          <w:color w:val="auto"/>
          <w:szCs w:val="21"/>
          <w:highlight w:val="none"/>
          <w:shd w:val="clear" w:color="auto" w:fill="auto"/>
        </w:rPr>
        <w:t>、联系方式</w:t>
      </w:r>
    </w:p>
    <w:tbl>
      <w:tblPr>
        <w:tblStyle w:val="7"/>
        <w:tblW w:w="9907" w:type="dxa"/>
        <w:tblInd w:w="-147" w:type="dxa"/>
        <w:tblLayout w:type="autofit"/>
        <w:tblCellMar>
          <w:top w:w="0" w:type="dxa"/>
          <w:left w:w="108" w:type="dxa"/>
          <w:bottom w:w="0" w:type="dxa"/>
          <w:right w:w="108" w:type="dxa"/>
        </w:tblCellMar>
      </w:tblPr>
      <w:tblGrid>
        <w:gridCol w:w="1247"/>
        <w:gridCol w:w="3183"/>
        <w:gridCol w:w="1714"/>
        <w:gridCol w:w="3763"/>
      </w:tblGrid>
      <w:tr w14:paraId="66803A2F">
        <w:tblPrEx>
          <w:tblCellMar>
            <w:top w:w="0" w:type="dxa"/>
            <w:left w:w="108" w:type="dxa"/>
            <w:bottom w:w="0" w:type="dxa"/>
            <w:right w:w="108" w:type="dxa"/>
          </w:tblCellMar>
        </w:tblPrEx>
        <w:trPr>
          <w:trHeight w:val="397" w:hRule="atLeast"/>
        </w:trPr>
        <w:tc>
          <w:tcPr>
            <w:tcW w:w="1247" w:type="dxa"/>
            <w:shd w:val="clear" w:color="auto" w:fill="auto"/>
          </w:tcPr>
          <w:p w14:paraId="3F247D7D">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招标人</w:t>
            </w:r>
            <w:r>
              <w:rPr>
                <w:rFonts w:hint="eastAsia"/>
                <w:color w:val="auto"/>
                <w:szCs w:val="21"/>
                <w:highlight w:val="none"/>
                <w:shd w:val="clear" w:color="auto" w:fill="auto"/>
              </w:rPr>
              <w:t>：</w:t>
            </w:r>
          </w:p>
        </w:tc>
        <w:tc>
          <w:tcPr>
            <w:tcW w:w="3183" w:type="dxa"/>
            <w:shd w:val="clear" w:color="auto" w:fill="auto"/>
          </w:tcPr>
          <w:p w14:paraId="372C9CB6">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广东省代建项目管理局</w:t>
            </w:r>
          </w:p>
        </w:tc>
        <w:tc>
          <w:tcPr>
            <w:tcW w:w="1714" w:type="dxa"/>
            <w:shd w:val="clear" w:color="auto" w:fill="auto"/>
          </w:tcPr>
          <w:p w14:paraId="2AB8D217">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招标代理机构：</w:t>
            </w:r>
          </w:p>
        </w:tc>
        <w:tc>
          <w:tcPr>
            <w:tcW w:w="3763" w:type="dxa"/>
            <w:shd w:val="clear" w:color="auto" w:fill="auto"/>
          </w:tcPr>
          <w:p w14:paraId="09DBE961">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广东省机电设备招标中心有限公司</w:t>
            </w:r>
          </w:p>
        </w:tc>
      </w:tr>
      <w:tr w14:paraId="0F2270ED">
        <w:tblPrEx>
          <w:tblCellMar>
            <w:top w:w="0" w:type="dxa"/>
            <w:left w:w="108" w:type="dxa"/>
            <w:bottom w:w="0" w:type="dxa"/>
            <w:right w:w="108" w:type="dxa"/>
          </w:tblCellMar>
        </w:tblPrEx>
        <w:trPr>
          <w:trHeight w:val="397" w:hRule="atLeast"/>
        </w:trPr>
        <w:tc>
          <w:tcPr>
            <w:tcW w:w="1247" w:type="dxa"/>
            <w:shd w:val="clear" w:color="auto" w:fill="auto"/>
          </w:tcPr>
          <w:p w14:paraId="660E231D">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联系人：</w:t>
            </w:r>
          </w:p>
        </w:tc>
        <w:tc>
          <w:tcPr>
            <w:tcW w:w="3183" w:type="dxa"/>
            <w:shd w:val="clear" w:color="auto" w:fill="auto"/>
          </w:tcPr>
          <w:p w14:paraId="0B7133B4">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刘工</w:t>
            </w:r>
          </w:p>
        </w:tc>
        <w:tc>
          <w:tcPr>
            <w:tcW w:w="1714" w:type="dxa"/>
            <w:shd w:val="clear" w:color="auto" w:fill="auto"/>
          </w:tcPr>
          <w:p w14:paraId="76BF62EA">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联系人：</w:t>
            </w:r>
          </w:p>
        </w:tc>
        <w:tc>
          <w:tcPr>
            <w:tcW w:w="3763" w:type="dxa"/>
            <w:shd w:val="clear" w:color="auto" w:fill="auto"/>
          </w:tcPr>
          <w:p w14:paraId="6F05834F">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吴嘉鹏</w:t>
            </w:r>
          </w:p>
        </w:tc>
      </w:tr>
      <w:tr w14:paraId="57C87F63">
        <w:tblPrEx>
          <w:tblCellMar>
            <w:top w:w="0" w:type="dxa"/>
            <w:left w:w="108" w:type="dxa"/>
            <w:bottom w:w="0" w:type="dxa"/>
            <w:right w:w="108" w:type="dxa"/>
          </w:tblCellMar>
        </w:tblPrEx>
        <w:trPr>
          <w:trHeight w:val="397" w:hRule="atLeast"/>
        </w:trPr>
        <w:tc>
          <w:tcPr>
            <w:tcW w:w="1247" w:type="dxa"/>
            <w:shd w:val="clear" w:color="auto" w:fill="auto"/>
          </w:tcPr>
          <w:p w14:paraId="129337BC">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电话：</w:t>
            </w:r>
          </w:p>
        </w:tc>
        <w:tc>
          <w:tcPr>
            <w:tcW w:w="3183" w:type="dxa"/>
            <w:shd w:val="clear" w:color="auto" w:fill="auto"/>
          </w:tcPr>
          <w:p w14:paraId="1835FC67">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020-83620864</w:t>
            </w:r>
          </w:p>
        </w:tc>
        <w:tc>
          <w:tcPr>
            <w:tcW w:w="1714" w:type="dxa"/>
            <w:shd w:val="clear" w:color="auto" w:fill="auto"/>
          </w:tcPr>
          <w:p w14:paraId="4D9824B5">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default"/>
                <w:color w:val="auto"/>
                <w:szCs w:val="21"/>
                <w:highlight w:val="none"/>
                <w:shd w:val="clear" w:color="auto" w:fill="auto"/>
              </w:rPr>
              <w:t>电话：</w:t>
            </w:r>
          </w:p>
        </w:tc>
        <w:tc>
          <w:tcPr>
            <w:tcW w:w="3763" w:type="dxa"/>
            <w:shd w:val="clear" w:color="auto" w:fill="auto"/>
          </w:tcPr>
          <w:p w14:paraId="09DB864E">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13538893942</w:t>
            </w:r>
          </w:p>
        </w:tc>
      </w:tr>
      <w:tr w14:paraId="0097B228">
        <w:tblPrEx>
          <w:tblCellMar>
            <w:top w:w="0" w:type="dxa"/>
            <w:left w:w="108" w:type="dxa"/>
            <w:bottom w:w="0" w:type="dxa"/>
            <w:right w:w="108" w:type="dxa"/>
          </w:tblCellMar>
        </w:tblPrEx>
        <w:trPr>
          <w:trHeight w:val="397" w:hRule="atLeast"/>
        </w:trPr>
        <w:tc>
          <w:tcPr>
            <w:tcW w:w="1247" w:type="dxa"/>
            <w:shd w:val="clear" w:color="auto" w:fill="auto"/>
          </w:tcPr>
          <w:p w14:paraId="10D0EFDA">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地址：</w:t>
            </w:r>
          </w:p>
        </w:tc>
        <w:tc>
          <w:tcPr>
            <w:tcW w:w="3183" w:type="dxa"/>
            <w:shd w:val="clear" w:color="auto" w:fill="auto"/>
          </w:tcPr>
          <w:p w14:paraId="31C2FDE8">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广州市天河区黄埔大道西108号奥园大厦11楼、12楼</w:t>
            </w:r>
          </w:p>
        </w:tc>
        <w:tc>
          <w:tcPr>
            <w:tcW w:w="1714" w:type="dxa"/>
            <w:shd w:val="clear" w:color="auto" w:fill="auto"/>
          </w:tcPr>
          <w:p w14:paraId="03DD1393">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lang w:val="en-US" w:eastAsia="zh-CN"/>
              </w:rPr>
              <w:t>地址：</w:t>
            </w:r>
          </w:p>
        </w:tc>
        <w:tc>
          <w:tcPr>
            <w:tcW w:w="3763" w:type="dxa"/>
            <w:shd w:val="clear" w:color="auto" w:fill="auto"/>
          </w:tcPr>
          <w:p w14:paraId="4C3056E8">
            <w:pPr>
              <w:keepNext w:val="0"/>
              <w:keepLines w:val="0"/>
              <w:suppressLineNumbers w:val="0"/>
              <w:spacing w:before="0" w:beforeAutospacing="0" w:after="0" w:afterAutospacing="0" w:line="360" w:lineRule="auto"/>
              <w:ind w:left="0" w:right="0"/>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广州市越秀区东风中路515号东照大厦5楼</w:t>
            </w:r>
          </w:p>
        </w:tc>
      </w:tr>
      <w:tr w14:paraId="4BA352DF">
        <w:tblPrEx>
          <w:tblCellMar>
            <w:top w:w="0" w:type="dxa"/>
            <w:left w:w="108" w:type="dxa"/>
            <w:bottom w:w="0" w:type="dxa"/>
            <w:right w:w="108" w:type="dxa"/>
          </w:tblCellMar>
        </w:tblPrEx>
        <w:trPr>
          <w:trHeight w:val="397" w:hRule="atLeast"/>
        </w:trPr>
        <w:tc>
          <w:tcPr>
            <w:tcW w:w="1247" w:type="dxa"/>
            <w:shd w:val="clear" w:color="auto" w:fill="auto"/>
          </w:tcPr>
          <w:p w14:paraId="5B4249E9">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监督部门：</w:t>
            </w:r>
          </w:p>
        </w:tc>
        <w:tc>
          <w:tcPr>
            <w:tcW w:w="3183" w:type="dxa"/>
            <w:shd w:val="clear" w:color="auto" w:fill="auto"/>
          </w:tcPr>
          <w:p w14:paraId="0FB0531E">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江门市住房和城乡建设局</w:t>
            </w:r>
          </w:p>
        </w:tc>
        <w:tc>
          <w:tcPr>
            <w:tcW w:w="1714" w:type="dxa"/>
            <w:shd w:val="clear" w:color="auto" w:fill="auto"/>
          </w:tcPr>
          <w:p w14:paraId="295D3F80">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c>
          <w:tcPr>
            <w:tcW w:w="3763" w:type="dxa"/>
            <w:shd w:val="clear" w:color="auto" w:fill="auto"/>
          </w:tcPr>
          <w:p w14:paraId="7FF0BAD9">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r>
      <w:tr w14:paraId="34F93CD1">
        <w:tblPrEx>
          <w:tblCellMar>
            <w:top w:w="0" w:type="dxa"/>
            <w:left w:w="108" w:type="dxa"/>
            <w:bottom w:w="0" w:type="dxa"/>
            <w:right w:w="108" w:type="dxa"/>
          </w:tblCellMar>
        </w:tblPrEx>
        <w:trPr>
          <w:trHeight w:val="397" w:hRule="atLeast"/>
        </w:trPr>
        <w:tc>
          <w:tcPr>
            <w:tcW w:w="1247" w:type="dxa"/>
            <w:shd w:val="clear" w:color="auto" w:fill="auto"/>
          </w:tcPr>
          <w:p w14:paraId="7DB78628">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电话：</w:t>
            </w:r>
          </w:p>
        </w:tc>
        <w:tc>
          <w:tcPr>
            <w:tcW w:w="3183" w:type="dxa"/>
            <w:shd w:val="clear" w:color="auto" w:fill="auto"/>
          </w:tcPr>
          <w:p w14:paraId="0A893B4B">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0750-3831665</w:t>
            </w:r>
          </w:p>
        </w:tc>
        <w:tc>
          <w:tcPr>
            <w:tcW w:w="1714" w:type="dxa"/>
            <w:shd w:val="clear" w:color="auto" w:fill="auto"/>
          </w:tcPr>
          <w:p w14:paraId="68F347DE">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c>
          <w:tcPr>
            <w:tcW w:w="3763" w:type="dxa"/>
            <w:shd w:val="clear" w:color="auto" w:fill="auto"/>
          </w:tcPr>
          <w:p w14:paraId="5948F1C7">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r>
      <w:tr w14:paraId="10149D01">
        <w:tblPrEx>
          <w:tblCellMar>
            <w:top w:w="0" w:type="dxa"/>
            <w:left w:w="108" w:type="dxa"/>
            <w:bottom w:w="0" w:type="dxa"/>
            <w:right w:w="108" w:type="dxa"/>
          </w:tblCellMar>
        </w:tblPrEx>
        <w:trPr>
          <w:trHeight w:val="397" w:hRule="atLeast"/>
        </w:trPr>
        <w:tc>
          <w:tcPr>
            <w:tcW w:w="1247" w:type="dxa"/>
            <w:shd w:val="clear" w:color="auto" w:fill="auto"/>
          </w:tcPr>
          <w:p w14:paraId="4CA88E05">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lang w:val="en-US" w:eastAsia="zh-CN"/>
              </w:rPr>
              <w:t>地址：</w:t>
            </w:r>
          </w:p>
        </w:tc>
        <w:tc>
          <w:tcPr>
            <w:tcW w:w="3183" w:type="dxa"/>
            <w:shd w:val="clear" w:color="auto" w:fill="auto"/>
          </w:tcPr>
          <w:p w14:paraId="71FC415B">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r>
              <w:rPr>
                <w:rFonts w:hint="eastAsia"/>
                <w:color w:val="auto"/>
                <w:szCs w:val="21"/>
                <w:highlight w:val="none"/>
                <w:shd w:val="clear" w:color="auto" w:fill="auto"/>
              </w:rPr>
              <w:t>广东省江门市江海区江海一路83号</w:t>
            </w:r>
          </w:p>
        </w:tc>
        <w:tc>
          <w:tcPr>
            <w:tcW w:w="1714" w:type="dxa"/>
            <w:shd w:val="clear" w:color="auto" w:fill="auto"/>
          </w:tcPr>
          <w:p w14:paraId="24AAAC0A">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c>
          <w:tcPr>
            <w:tcW w:w="3763" w:type="dxa"/>
            <w:shd w:val="clear" w:color="auto" w:fill="auto"/>
          </w:tcPr>
          <w:p w14:paraId="371AE197">
            <w:pPr>
              <w:keepNext w:val="0"/>
              <w:keepLines w:val="0"/>
              <w:suppressLineNumbers w:val="0"/>
              <w:spacing w:before="0" w:beforeAutospacing="0" w:after="0" w:afterAutospacing="0" w:line="360" w:lineRule="auto"/>
              <w:ind w:left="0" w:right="0"/>
              <w:rPr>
                <w:rFonts w:hint="default"/>
                <w:color w:val="auto"/>
                <w:szCs w:val="21"/>
                <w:highlight w:val="none"/>
                <w:shd w:val="clear" w:color="auto" w:fill="auto"/>
              </w:rPr>
            </w:pPr>
          </w:p>
        </w:tc>
      </w:tr>
    </w:tbl>
    <w:p w14:paraId="4B631C1B">
      <w:pPr>
        <w:spacing w:before="75" w:line="193" w:lineRule="auto"/>
        <w:ind w:right="19"/>
        <w:jc w:val="right"/>
        <w:rPr>
          <w:rFonts w:ascii="宋体" w:hAnsi="宋体" w:cs="宋体"/>
          <w:color w:val="auto"/>
          <w:spacing w:val="7"/>
          <w:sz w:val="21"/>
          <w:szCs w:val="21"/>
          <w:highlight w:val="none"/>
          <w:shd w:val="clear" w:color="auto" w:fill="auto"/>
        </w:rPr>
      </w:pPr>
      <w:r>
        <w:rPr>
          <w:rFonts w:hint="eastAsia" w:ascii="宋体" w:hAnsi="宋体" w:cs="宋体"/>
          <w:color w:val="auto"/>
          <w:spacing w:val="14"/>
          <w:sz w:val="21"/>
          <w:szCs w:val="21"/>
          <w:highlight w:val="none"/>
          <w:shd w:val="clear" w:color="auto" w:fill="auto"/>
          <w:lang w:eastAsia="zh-CN"/>
        </w:rPr>
        <w:t>2024</w:t>
      </w:r>
      <w:r>
        <w:rPr>
          <w:rFonts w:ascii="宋体" w:hAnsi="宋体" w:cs="宋体"/>
          <w:color w:val="auto"/>
          <w:spacing w:val="7"/>
          <w:sz w:val="21"/>
          <w:szCs w:val="21"/>
          <w:highlight w:val="none"/>
          <w:shd w:val="clear" w:color="auto" w:fill="auto"/>
        </w:rPr>
        <w:t>年</w:t>
      </w:r>
      <w:r>
        <w:rPr>
          <w:rFonts w:hint="eastAsia" w:ascii="宋体" w:hAnsi="宋体" w:cs="宋体"/>
          <w:color w:val="auto"/>
          <w:spacing w:val="7"/>
          <w:sz w:val="21"/>
          <w:szCs w:val="21"/>
          <w:highlight w:val="none"/>
          <w:shd w:val="clear" w:color="auto" w:fill="auto"/>
        </w:rPr>
        <w:t xml:space="preserve"> </w:t>
      </w:r>
      <w:r>
        <w:rPr>
          <w:rFonts w:hint="eastAsia" w:ascii="宋体" w:hAnsi="宋体" w:cs="宋体"/>
          <w:color w:val="auto"/>
          <w:spacing w:val="7"/>
          <w:sz w:val="21"/>
          <w:szCs w:val="21"/>
          <w:highlight w:val="none"/>
          <w:shd w:val="clear" w:color="auto" w:fill="auto"/>
          <w:lang w:val="en-US" w:eastAsia="zh-CN"/>
        </w:rPr>
        <w:t xml:space="preserve">  </w:t>
      </w:r>
      <w:r>
        <w:rPr>
          <w:rFonts w:hint="eastAsia" w:ascii="宋体" w:hAnsi="宋体" w:cs="宋体"/>
          <w:color w:val="auto"/>
          <w:spacing w:val="7"/>
          <w:sz w:val="21"/>
          <w:szCs w:val="21"/>
          <w:highlight w:val="none"/>
          <w:shd w:val="clear" w:color="auto" w:fill="auto"/>
        </w:rPr>
        <w:t xml:space="preserve"> </w:t>
      </w:r>
      <w:r>
        <w:rPr>
          <w:rFonts w:ascii="宋体" w:hAnsi="宋体" w:cs="宋体"/>
          <w:color w:val="auto"/>
          <w:spacing w:val="7"/>
          <w:sz w:val="21"/>
          <w:szCs w:val="21"/>
          <w:highlight w:val="none"/>
          <w:shd w:val="clear" w:color="auto" w:fill="auto"/>
        </w:rPr>
        <w:t>月</w:t>
      </w:r>
      <w:r>
        <w:rPr>
          <w:rFonts w:hint="eastAsia" w:ascii="宋体" w:hAnsi="宋体" w:cs="宋体"/>
          <w:color w:val="auto"/>
          <w:spacing w:val="7"/>
          <w:sz w:val="21"/>
          <w:szCs w:val="21"/>
          <w:highlight w:val="none"/>
          <w:shd w:val="clear" w:color="auto" w:fill="auto"/>
        </w:rPr>
        <w:t xml:space="preserve"> </w:t>
      </w:r>
      <w:r>
        <w:rPr>
          <w:rFonts w:hint="eastAsia" w:ascii="宋体" w:hAnsi="宋体" w:cs="宋体"/>
          <w:color w:val="auto"/>
          <w:spacing w:val="7"/>
          <w:sz w:val="21"/>
          <w:szCs w:val="21"/>
          <w:highlight w:val="none"/>
          <w:shd w:val="clear" w:color="auto" w:fill="auto"/>
          <w:lang w:val="en-US" w:eastAsia="zh-CN"/>
        </w:rPr>
        <w:t xml:space="preserve">  </w:t>
      </w:r>
      <w:r>
        <w:rPr>
          <w:rFonts w:hint="eastAsia" w:ascii="宋体" w:hAnsi="宋体" w:cs="宋体"/>
          <w:color w:val="auto"/>
          <w:spacing w:val="7"/>
          <w:sz w:val="21"/>
          <w:szCs w:val="21"/>
          <w:highlight w:val="none"/>
          <w:shd w:val="clear" w:color="auto" w:fill="auto"/>
        </w:rPr>
        <w:t xml:space="preserve"> </w:t>
      </w:r>
      <w:r>
        <w:rPr>
          <w:rFonts w:ascii="宋体" w:hAnsi="宋体" w:cs="宋体"/>
          <w:color w:val="auto"/>
          <w:spacing w:val="7"/>
          <w:sz w:val="21"/>
          <w:szCs w:val="21"/>
          <w:highlight w:val="none"/>
          <w:shd w:val="clear" w:color="auto" w:fill="auto"/>
        </w:rPr>
        <w:t>日</w:t>
      </w:r>
    </w:p>
    <w:p w14:paraId="7D27A55F">
      <w:pPr>
        <w:spacing w:before="0" w:line="240" w:lineRule="auto"/>
        <w:ind w:right="0"/>
        <w:jc w:val="left"/>
        <w:rPr>
          <w:rFonts w:ascii="宋体" w:hAnsi="宋体" w:cs="宋体"/>
          <w:color w:val="auto"/>
          <w:spacing w:val="7"/>
          <w:sz w:val="21"/>
          <w:szCs w:val="21"/>
          <w:highlight w:val="none"/>
          <w:shd w:val="clear" w:color="auto" w:fill="auto"/>
        </w:rPr>
      </w:pPr>
      <w:r>
        <w:rPr>
          <w:rFonts w:ascii="宋体" w:hAnsi="宋体" w:cs="宋体"/>
          <w:color w:val="auto"/>
          <w:spacing w:val="7"/>
          <w:sz w:val="21"/>
          <w:szCs w:val="21"/>
          <w:highlight w:val="none"/>
          <w:shd w:val="clear" w:color="auto" w:fill="auto"/>
        </w:rPr>
        <w:br w:type="page"/>
      </w:r>
    </w:p>
    <w:p w14:paraId="51401F49">
      <w:pPr>
        <w:spacing w:before="75" w:line="193" w:lineRule="auto"/>
        <w:ind w:right="19"/>
        <w:jc w:val="right"/>
        <w:rPr>
          <w:rFonts w:ascii="宋体" w:hAnsi="宋体" w:cs="宋体"/>
          <w:color w:val="auto"/>
          <w:spacing w:val="7"/>
          <w:sz w:val="21"/>
          <w:szCs w:val="21"/>
          <w:highlight w:val="none"/>
          <w:shd w:val="clear" w:color="auto" w:fill="auto"/>
        </w:rPr>
        <w:sectPr>
          <w:footerReference r:id="rId4" w:type="first"/>
          <w:footerReference r:id="rId3" w:type="default"/>
          <w:pgSz w:w="12240" w:h="15840"/>
          <w:pgMar w:top="1247" w:right="1259" w:bottom="992" w:left="1259" w:header="720" w:footer="720" w:gutter="0"/>
          <w:pgNumType w:start="1"/>
          <w:cols w:space="0" w:num="1"/>
          <w:titlePg/>
        </w:sectPr>
      </w:pPr>
    </w:p>
    <w:p w14:paraId="4CF447E0">
      <w:pPr>
        <w:pStyle w:val="3"/>
        <w:rPr>
          <w:rFonts w:hint="eastAsia" w:ascii="宋体" w:hAnsi="宋体" w:cs="宋体"/>
          <w:sz w:val="24"/>
          <w:szCs w:val="24"/>
          <w:highlight w:val="none"/>
          <w:lang w:val="en-US" w:eastAsia="zh-CN"/>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一</w:t>
      </w:r>
    </w:p>
    <w:p w14:paraId="2EEF4BCF">
      <w:pPr>
        <w:keepNext w:val="0"/>
        <w:keepLines w:val="0"/>
        <w:pageBreakBefore w:val="0"/>
        <w:widowControl w:val="0"/>
        <w:kinsoku/>
        <w:wordWrap/>
        <w:overflowPunct/>
        <w:topLinePunct w:val="0"/>
        <w:autoSpaceDE/>
        <w:autoSpaceDN/>
        <w:bidi w:val="0"/>
        <w:adjustRightInd w:val="0"/>
        <w:snapToGrid w:val="0"/>
        <w:spacing w:line="540" w:lineRule="exact"/>
        <w:ind w:right="11" w:firstLine="640" w:firstLineChars="200"/>
        <w:jc w:val="center"/>
        <w:textAlignment w:val="auto"/>
        <w:outlineLvl w:val="0"/>
        <w:rPr>
          <w:rFonts w:hint="eastAsia" w:ascii="仿宋" w:hAnsi="仿宋" w:eastAsia="仿宋" w:cs="宋体"/>
          <w:kern w:val="2"/>
          <w:sz w:val="32"/>
          <w:szCs w:val="32"/>
          <w:highlight w:val="none"/>
          <w:lang w:val="en-US" w:eastAsia="zh-CN" w:bidi="ar-SA"/>
        </w:rPr>
      </w:pPr>
      <w:bookmarkStart w:id="0" w:name="_Toc20531"/>
      <w:r>
        <w:rPr>
          <w:rFonts w:hint="eastAsia" w:ascii="仿宋" w:hAnsi="仿宋" w:eastAsia="仿宋" w:cs="宋体"/>
          <w:kern w:val="2"/>
          <w:sz w:val="32"/>
          <w:szCs w:val="32"/>
          <w:highlight w:val="none"/>
          <w:lang w:val="en-US" w:eastAsia="zh-CN" w:bidi="ar-SA"/>
        </w:rPr>
        <w:t>被招标人拒绝投标的企业名单</w:t>
      </w:r>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6060"/>
      </w:tblGrid>
      <w:tr w14:paraId="702D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14:paraId="6E996C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序号</w:t>
            </w:r>
          </w:p>
        </w:tc>
        <w:tc>
          <w:tcPr>
            <w:tcW w:w="6060" w:type="dxa"/>
            <w:tcBorders>
              <w:top w:val="single" w:color="auto" w:sz="4" w:space="0"/>
              <w:left w:val="single" w:color="auto" w:sz="4" w:space="0"/>
              <w:bottom w:val="single" w:color="auto" w:sz="4" w:space="0"/>
              <w:right w:val="single" w:color="auto" w:sz="4" w:space="0"/>
            </w:tcBorders>
            <w:noWrap w:val="0"/>
            <w:vAlign w:val="center"/>
          </w:tcPr>
          <w:p w14:paraId="3E6C6C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firstLine="640" w:firstLineChars="200"/>
              <w:jc w:val="both"/>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　　　　　企业名称</w:t>
            </w:r>
          </w:p>
        </w:tc>
      </w:tr>
      <w:tr w14:paraId="18B1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14:paraId="0F889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1</w:t>
            </w:r>
          </w:p>
        </w:tc>
        <w:tc>
          <w:tcPr>
            <w:tcW w:w="6060" w:type="dxa"/>
            <w:tcBorders>
              <w:top w:val="single" w:color="auto" w:sz="4" w:space="0"/>
              <w:left w:val="single" w:color="auto" w:sz="4" w:space="0"/>
              <w:bottom w:val="single" w:color="auto" w:sz="4" w:space="0"/>
              <w:right w:val="single" w:color="auto" w:sz="4" w:space="0"/>
            </w:tcBorders>
            <w:noWrap w:val="0"/>
            <w:vAlign w:val="center"/>
          </w:tcPr>
          <w:p w14:paraId="70B3B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firstLine="640" w:firstLineChars="200"/>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广东广信建筑工程监理有限公司</w:t>
            </w:r>
          </w:p>
        </w:tc>
      </w:tr>
    </w:tbl>
    <w:p w14:paraId="4E3A8180">
      <w:pPr>
        <w:rPr>
          <w:rFonts w:hint="eastAsia"/>
          <w:highlight w:val="none"/>
        </w:rPr>
      </w:pPr>
    </w:p>
    <w:p w14:paraId="7E356131">
      <w:pPr>
        <w:spacing w:line="240" w:lineRule="auto"/>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B81F">
    <w:pPr>
      <w:spacing w:line="193" w:lineRule="auto"/>
      <w:ind w:left="4569"/>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D0AD7">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FD0AD7">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5E3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F375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3DF375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633C">
    <w:pPr>
      <w:spacing w:line="193" w:lineRule="auto"/>
      <w:ind w:left="4569"/>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B4868">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C0B4868">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jEyYWJhYTA2YjdhMzliZDZmNmU5MzhiODRjMzMifQ=="/>
  </w:docVars>
  <w:rsids>
    <w:rsidRoot w:val="67E44C4C"/>
    <w:rsid w:val="00C83A89"/>
    <w:rsid w:val="06B52F9A"/>
    <w:rsid w:val="085134A0"/>
    <w:rsid w:val="0D002EE5"/>
    <w:rsid w:val="0F1810D6"/>
    <w:rsid w:val="0FE24A49"/>
    <w:rsid w:val="170605B9"/>
    <w:rsid w:val="193070E1"/>
    <w:rsid w:val="1ADA7535"/>
    <w:rsid w:val="1BE438A3"/>
    <w:rsid w:val="3FB37991"/>
    <w:rsid w:val="4B3C45BE"/>
    <w:rsid w:val="4B64308E"/>
    <w:rsid w:val="5D5C77A7"/>
    <w:rsid w:val="67E44C4C"/>
    <w:rsid w:val="6C80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2626</Words>
  <Characters>2810</Characters>
  <Lines>0</Lines>
  <Paragraphs>0</Paragraphs>
  <TotalTime>1</TotalTime>
  <ScaleCrop>false</ScaleCrop>
  <LinksUpToDate>false</LinksUpToDate>
  <CharactersWithSpaces>3003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2024-09-26T15:28:00Z</dcterms:created>
  <dc:creator>吴嘉鹏</dc:creator>
  <cp:lastModifiedBy>lyyyyy</cp:lastModifiedBy>
  <cp:lastPrinted>2024-10-22T09:32:00Z</cp:lastPrinted>
  <dcterms:modified xsi:type="dcterms:W3CDTF">2024-10-23T11:32:45Z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7D216B5546954ECBADD6717D0C984D19_13</vt:lpwstr>
  </property>
</Properties>
</file>