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EABA0">
      <w:pPr>
        <w:jc w:val="center"/>
        <w:rPr>
          <w:rFonts w:hint="eastAsia" w:ascii="宋体" w:hAnsi="宋体" w:eastAsia="宋体" w:cs="宋体"/>
          <w:b/>
          <w:color w:val="auto"/>
          <w:sz w:val="52"/>
          <w:szCs w:val="52"/>
          <w:highlight w:val="none"/>
        </w:rPr>
      </w:pPr>
    </w:p>
    <w:p w14:paraId="1CA18EB1">
      <w:pPr>
        <w:jc w:val="center"/>
        <w:rPr>
          <w:rFonts w:hint="eastAsia" w:ascii="宋体" w:hAnsi="宋体" w:eastAsia="宋体" w:cs="宋体"/>
          <w:b/>
          <w:bCs/>
          <w:color w:val="auto"/>
          <w:sz w:val="48"/>
          <w:szCs w:val="36"/>
          <w:highlight w:val="none"/>
          <w:lang w:eastAsia="zh-CN"/>
        </w:rPr>
      </w:pPr>
      <w:r>
        <w:rPr>
          <w:rFonts w:hint="eastAsia" w:ascii="宋体" w:hAnsi="宋体" w:cs="宋体"/>
          <w:b/>
          <w:bCs/>
          <w:color w:val="auto"/>
          <w:sz w:val="48"/>
          <w:szCs w:val="36"/>
          <w:highlight w:val="none"/>
          <w:lang w:eastAsia="zh-CN"/>
        </w:rPr>
        <w:t>花景大道（右干渠-花都大道）工程设计施工总承包</w:t>
      </w:r>
    </w:p>
    <w:p w14:paraId="491E4024">
      <w:pPr>
        <w:jc w:val="center"/>
        <w:rPr>
          <w:rFonts w:hint="eastAsia" w:ascii="宋体" w:hAnsi="宋体" w:eastAsia="宋体" w:cs="宋体"/>
          <w:color w:val="auto"/>
          <w:sz w:val="72"/>
          <w:szCs w:val="72"/>
          <w:highlight w:val="none"/>
        </w:rPr>
      </w:pPr>
    </w:p>
    <w:p w14:paraId="66C6888A">
      <w:pPr>
        <w:jc w:val="center"/>
        <w:rPr>
          <w:rFonts w:hint="eastAsia" w:ascii="宋体" w:hAnsi="宋体" w:eastAsia="宋体" w:cs="宋体"/>
          <w:color w:val="auto"/>
          <w:sz w:val="72"/>
          <w:szCs w:val="72"/>
          <w:highlight w:val="none"/>
        </w:rPr>
      </w:pPr>
      <w:bookmarkStart w:id="527" w:name="_GoBack"/>
      <w:bookmarkEnd w:id="527"/>
    </w:p>
    <w:p w14:paraId="6E36AA11">
      <w:pPr>
        <w:jc w:val="center"/>
        <w:rPr>
          <w:rFonts w:hint="eastAsia" w:ascii="宋体" w:hAnsi="宋体" w:eastAsia="宋体" w:cs="宋体"/>
          <w:color w:val="auto"/>
          <w:sz w:val="72"/>
          <w:szCs w:val="72"/>
          <w:highlight w:val="none"/>
        </w:rPr>
      </w:pPr>
    </w:p>
    <w:p w14:paraId="6E70115E">
      <w:pPr>
        <w:jc w:val="center"/>
        <w:rPr>
          <w:rFonts w:hint="eastAsia" w:ascii="宋体" w:hAnsi="宋体" w:eastAsia="宋体" w:cs="宋体"/>
          <w:color w:val="auto"/>
          <w:sz w:val="72"/>
          <w:szCs w:val="72"/>
          <w:highlight w:val="none"/>
        </w:rPr>
      </w:pPr>
    </w:p>
    <w:p w14:paraId="71FF21B7">
      <w:pPr>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招 标 文 件</w:t>
      </w:r>
    </w:p>
    <w:p w14:paraId="040A0A6A">
      <w:pPr>
        <w:jc w:val="center"/>
        <w:rPr>
          <w:rStyle w:val="45"/>
          <w:rFonts w:hint="eastAsia" w:ascii="宋体" w:hAnsi="宋体" w:eastAsia="宋体" w:cs="宋体"/>
          <w:color w:val="auto"/>
          <w:sz w:val="48"/>
          <w:szCs w:val="48"/>
          <w:highlight w:val="none"/>
        </w:rPr>
      </w:pPr>
    </w:p>
    <w:p w14:paraId="58E1D9CC">
      <w:pPr>
        <w:jc w:val="center"/>
        <w:rPr>
          <w:rFonts w:hint="eastAsia" w:ascii="宋体" w:hAnsi="宋体" w:eastAsia="宋体" w:cs="宋体"/>
          <w:color w:val="auto"/>
          <w:sz w:val="48"/>
          <w:szCs w:val="48"/>
          <w:highlight w:val="none"/>
        </w:rPr>
      </w:pPr>
    </w:p>
    <w:p w14:paraId="5AB5489B">
      <w:pPr>
        <w:jc w:val="center"/>
        <w:rPr>
          <w:rFonts w:hint="eastAsia" w:ascii="宋体" w:hAnsi="宋体" w:eastAsia="宋体" w:cs="宋体"/>
          <w:color w:val="auto"/>
          <w:sz w:val="48"/>
          <w:szCs w:val="48"/>
          <w:highlight w:val="none"/>
        </w:rPr>
      </w:pPr>
    </w:p>
    <w:p w14:paraId="386A5674">
      <w:pPr>
        <w:jc w:val="center"/>
        <w:rPr>
          <w:rFonts w:hint="eastAsia" w:ascii="宋体" w:hAnsi="宋体" w:eastAsia="宋体" w:cs="宋体"/>
          <w:color w:val="auto"/>
          <w:sz w:val="48"/>
          <w:szCs w:val="48"/>
          <w:highlight w:val="none"/>
        </w:rPr>
      </w:pPr>
    </w:p>
    <w:p w14:paraId="0D0FFD52">
      <w:pPr>
        <w:jc w:val="center"/>
        <w:rPr>
          <w:rFonts w:hint="eastAsia" w:ascii="宋体" w:hAnsi="宋体" w:eastAsia="宋体" w:cs="宋体"/>
          <w:color w:val="auto"/>
          <w:sz w:val="48"/>
          <w:szCs w:val="48"/>
          <w:highlight w:val="none"/>
        </w:rPr>
      </w:pPr>
    </w:p>
    <w:p w14:paraId="759E4BF1">
      <w:pPr>
        <w:pStyle w:val="28"/>
        <w:rPr>
          <w:rFonts w:hint="eastAsia"/>
          <w:color w:val="auto"/>
          <w:highlight w:val="none"/>
        </w:rPr>
      </w:pPr>
    </w:p>
    <w:p w14:paraId="2355B058">
      <w:pPr>
        <w:rPr>
          <w:rFonts w:hint="eastAsia" w:ascii="宋体" w:hAnsi="宋体" w:eastAsia="宋体" w:cs="宋体"/>
          <w:color w:val="auto"/>
          <w:highlight w:val="none"/>
        </w:rPr>
      </w:pPr>
    </w:p>
    <w:p w14:paraId="0ADF0B7A">
      <w:pPr>
        <w:spacing w:line="360" w:lineRule="auto"/>
        <w:ind w:firstLine="1800" w:firstLineChars="600"/>
        <w:rPr>
          <w:rFonts w:hint="eastAsia" w:ascii="宋体" w:hAnsi="宋体" w:eastAsia="宋体" w:cs="宋体"/>
          <w:color w:val="auto"/>
          <w:sz w:val="30"/>
          <w:szCs w:val="30"/>
          <w:highlight w:val="none"/>
          <w:u w:val="none"/>
          <w:lang w:eastAsia="zh-CN"/>
        </w:rPr>
      </w:pPr>
      <w:r>
        <w:rPr>
          <w:rFonts w:hint="eastAsia" w:ascii="宋体" w:hAnsi="宋体" w:eastAsia="宋体" w:cs="宋体"/>
          <w:color w:val="auto"/>
          <w:sz w:val="30"/>
          <w:szCs w:val="30"/>
          <w:highlight w:val="none"/>
          <w:u w:val="none"/>
        </w:rPr>
        <w:t>招  标 单 位：</w:t>
      </w:r>
      <w:r>
        <w:rPr>
          <w:rFonts w:hint="eastAsia" w:ascii="宋体" w:hAnsi="宋体" w:eastAsia="宋体" w:cs="宋体"/>
          <w:color w:val="auto"/>
          <w:sz w:val="30"/>
          <w:szCs w:val="30"/>
          <w:highlight w:val="none"/>
          <w:u w:val="none"/>
          <w:lang w:eastAsia="zh-CN"/>
        </w:rPr>
        <w:t>广州市花都区交通运输局</w:t>
      </w:r>
    </w:p>
    <w:p w14:paraId="1843FBEC">
      <w:pPr>
        <w:spacing w:line="360" w:lineRule="auto"/>
        <w:ind w:firstLine="1800" w:firstLineChars="600"/>
        <w:rPr>
          <w:rFonts w:hint="eastAsia" w:ascii="宋体" w:hAnsi="宋体" w:eastAsia="宋体" w:cs="宋体"/>
          <w:color w:val="auto"/>
          <w:sz w:val="30"/>
          <w:szCs w:val="30"/>
          <w:highlight w:val="none"/>
          <w:u w:val="none"/>
          <w:lang w:eastAsia="zh-CN"/>
        </w:rPr>
      </w:pPr>
      <w:r>
        <w:rPr>
          <w:rFonts w:hint="eastAsia" w:ascii="宋体" w:hAnsi="宋体" w:eastAsia="宋体" w:cs="宋体"/>
          <w:color w:val="auto"/>
          <w:sz w:val="30"/>
          <w:szCs w:val="30"/>
          <w:highlight w:val="none"/>
          <w:u w:val="none"/>
        </w:rPr>
        <w:t>招标代理单位：</w:t>
      </w:r>
      <w:r>
        <w:rPr>
          <w:rFonts w:hint="eastAsia" w:ascii="宋体" w:hAnsi="宋体" w:eastAsia="宋体" w:cs="宋体"/>
          <w:color w:val="auto"/>
          <w:sz w:val="30"/>
          <w:szCs w:val="30"/>
          <w:highlight w:val="none"/>
          <w:u w:val="none"/>
          <w:lang w:val="en-US" w:eastAsia="zh-CN"/>
        </w:rPr>
        <w:t>广州市交正工程咨询有限公司</w:t>
      </w:r>
    </w:p>
    <w:p w14:paraId="4DBFBD21">
      <w:pPr>
        <w:spacing w:line="360" w:lineRule="auto"/>
        <w:ind w:firstLine="1800" w:firstLineChars="600"/>
        <w:rPr>
          <w:rFonts w:hint="eastAsia" w:ascii="宋体" w:hAnsi="宋体" w:eastAsia="宋体" w:cs="宋体"/>
          <w:color w:val="auto"/>
          <w:sz w:val="30"/>
          <w:szCs w:val="30"/>
          <w:highlight w:val="none"/>
          <w:u w:val="none"/>
        </w:rPr>
      </w:pPr>
      <w:r>
        <w:rPr>
          <w:rFonts w:hint="eastAsia" w:ascii="宋体" w:hAnsi="宋体" w:eastAsia="宋体" w:cs="宋体"/>
          <w:color w:val="auto"/>
          <w:sz w:val="30"/>
          <w:szCs w:val="30"/>
          <w:highlight w:val="none"/>
          <w:u w:val="none"/>
        </w:rPr>
        <w:t>日        期：202</w:t>
      </w:r>
      <w:r>
        <w:rPr>
          <w:rFonts w:hint="eastAsia" w:ascii="宋体" w:hAnsi="宋体" w:eastAsia="宋体" w:cs="宋体"/>
          <w:color w:val="auto"/>
          <w:sz w:val="30"/>
          <w:szCs w:val="30"/>
          <w:highlight w:val="none"/>
          <w:u w:val="none"/>
          <w:lang w:val="en-US" w:eastAsia="zh-CN"/>
        </w:rPr>
        <w:t>4</w:t>
      </w:r>
      <w:r>
        <w:rPr>
          <w:rFonts w:hint="eastAsia" w:ascii="宋体" w:hAnsi="宋体" w:eastAsia="宋体" w:cs="宋体"/>
          <w:color w:val="auto"/>
          <w:sz w:val="30"/>
          <w:szCs w:val="30"/>
          <w:highlight w:val="none"/>
          <w:u w:val="none"/>
        </w:rPr>
        <w:t>年</w:t>
      </w:r>
      <w:r>
        <w:rPr>
          <w:rFonts w:hint="eastAsia" w:ascii="宋体" w:hAnsi="宋体" w:eastAsia="宋体" w:cs="宋体"/>
          <w:color w:val="auto"/>
          <w:sz w:val="30"/>
          <w:szCs w:val="30"/>
          <w:highlight w:val="none"/>
          <w:u w:val="none"/>
          <w:lang w:val="en-US" w:eastAsia="zh-CN"/>
        </w:rPr>
        <w:t>10</w:t>
      </w:r>
      <w:r>
        <w:rPr>
          <w:rFonts w:hint="eastAsia" w:ascii="宋体" w:hAnsi="宋体" w:eastAsia="宋体" w:cs="宋体"/>
          <w:color w:val="auto"/>
          <w:sz w:val="30"/>
          <w:szCs w:val="30"/>
          <w:highlight w:val="none"/>
          <w:u w:val="none"/>
        </w:rPr>
        <w:t>月</w:t>
      </w:r>
    </w:p>
    <w:p w14:paraId="44B2F25E">
      <w:pPr>
        <w:spacing w:line="360" w:lineRule="auto"/>
        <w:jc w:val="center"/>
        <w:rPr>
          <w:rFonts w:hint="eastAsia" w:ascii="宋体" w:hAnsi="宋体" w:cs="宋体"/>
          <w:color w:val="auto"/>
          <w:sz w:val="24"/>
          <w:highlight w:val="none"/>
        </w:rPr>
      </w:pPr>
    </w:p>
    <w:p w14:paraId="39F6D18D">
      <w:pPr>
        <w:spacing w:line="400" w:lineRule="exact"/>
        <w:jc w:val="center"/>
        <w:rPr>
          <w:rFonts w:hint="eastAsia" w:ascii="宋体" w:hAnsi="宋体" w:cs="宋体"/>
          <w:color w:val="auto"/>
          <w:highlight w:val="none"/>
        </w:rPr>
        <w:sectPr>
          <w:pgSz w:w="11906" w:h="16838"/>
          <w:pgMar w:top="1418" w:right="1134" w:bottom="1418" w:left="1134" w:header="851" w:footer="572" w:gutter="0"/>
          <w:pgNumType w:start="1"/>
          <w:cols w:space="720" w:num="1"/>
          <w:titlePg/>
          <w:docGrid w:type="lines" w:linePitch="312" w:charSpace="0"/>
        </w:sectPr>
      </w:pPr>
      <w:bookmarkStart w:id="0" w:name="_Toc247527532"/>
      <w:bookmarkStart w:id="1" w:name="_Toc152042286"/>
      <w:bookmarkStart w:id="2" w:name="_Toc144974478"/>
      <w:bookmarkStart w:id="3" w:name="_Toc300834926"/>
    </w:p>
    <w:p w14:paraId="0F3DA979">
      <w:pPr>
        <w:spacing w:line="40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目     录</w:t>
      </w:r>
      <w:bookmarkEnd w:id="0"/>
      <w:bookmarkEnd w:id="1"/>
      <w:bookmarkEnd w:id="2"/>
      <w:bookmarkEnd w:id="3"/>
    </w:p>
    <w:p w14:paraId="4B9B3D81">
      <w:pPr>
        <w:pStyle w:val="28"/>
        <w:tabs>
          <w:tab w:val="right" w:leader="dot" w:pos="9638"/>
        </w:tabs>
        <w:rPr>
          <w:rFonts w:hint="eastAsia" w:ascii="宋体" w:hAnsi="宋体"/>
          <w:color w:val="auto"/>
          <w:highlight w:val="none"/>
        </w:rPr>
      </w:pPr>
      <w:bookmarkStart w:id="4" w:name="_Toc144974479"/>
      <w:bookmarkStart w:id="5" w:name="_Toc247513932"/>
      <w:bookmarkStart w:id="6" w:name="_Toc152045511"/>
      <w:bookmarkStart w:id="7" w:name="_Toc247527533"/>
      <w:bookmarkStart w:id="8" w:name="_Toc152042287"/>
      <w:r>
        <w:rPr>
          <w:rFonts w:hint="eastAsia" w:ascii="宋体" w:hAnsi="宋体" w:cs="宋体"/>
          <w:caps w:val="0"/>
          <w:color w:val="auto"/>
          <w:highlight w:val="none"/>
        </w:rPr>
        <w:fldChar w:fldCharType="begin"/>
      </w:r>
      <w:r>
        <w:rPr>
          <w:rFonts w:hint="eastAsia" w:ascii="宋体" w:hAnsi="宋体" w:cs="宋体"/>
          <w:caps w:val="0"/>
          <w:color w:val="auto"/>
          <w:highlight w:val="none"/>
        </w:rPr>
        <w:instrText xml:space="preserve"> TOC \o "1-3" \h \z \u </w:instrText>
      </w:r>
      <w:r>
        <w:rPr>
          <w:rFonts w:hint="eastAsia" w:ascii="宋体" w:hAnsi="宋体" w:cs="宋体"/>
          <w:caps w:val="0"/>
          <w:color w:val="auto"/>
          <w:highlight w:val="none"/>
        </w:rPr>
        <w:fldChar w:fldCharType="separate"/>
      </w:r>
      <w:r>
        <w:rPr>
          <w:color w:val="auto"/>
          <w:highlight w:val="none"/>
        </w:rPr>
        <w:fldChar w:fldCharType="begin"/>
      </w:r>
      <w:r>
        <w:rPr>
          <w:color w:val="auto"/>
          <w:highlight w:val="none"/>
        </w:rPr>
        <w:instrText xml:space="preserve"> HYPERLINK \l "_Toc11190" </w:instrText>
      </w:r>
      <w:r>
        <w:rPr>
          <w:color w:val="auto"/>
          <w:highlight w:val="none"/>
        </w:rPr>
        <w:fldChar w:fldCharType="separate"/>
      </w:r>
      <w:r>
        <w:rPr>
          <w:rFonts w:hint="eastAsia" w:ascii="宋体" w:hAnsi="宋体" w:cs="宋体"/>
          <w:color w:val="auto"/>
          <w:highlight w:val="none"/>
        </w:rPr>
        <w:t>第一章   招标公告</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_Toc11190 \h </w:instrText>
      </w:r>
      <w:r>
        <w:rPr>
          <w:rFonts w:ascii="宋体" w:hAnsi="宋体"/>
          <w:color w:val="auto"/>
          <w:highlight w:val="none"/>
        </w:rPr>
        <w:fldChar w:fldCharType="separate"/>
      </w:r>
      <w:r>
        <w:rPr>
          <w:rFonts w:ascii="宋体" w:hAnsi="宋体"/>
          <w:color w:val="auto"/>
          <w:highlight w:val="none"/>
        </w:rPr>
        <w:t>2</w:t>
      </w:r>
      <w:r>
        <w:rPr>
          <w:rFonts w:ascii="宋体" w:hAnsi="宋体"/>
          <w:color w:val="auto"/>
          <w:highlight w:val="none"/>
        </w:rPr>
        <w:fldChar w:fldCharType="end"/>
      </w:r>
      <w:r>
        <w:rPr>
          <w:rFonts w:ascii="宋体" w:hAnsi="宋体"/>
          <w:color w:val="auto"/>
          <w:highlight w:val="none"/>
        </w:rPr>
        <w:fldChar w:fldCharType="end"/>
      </w:r>
    </w:p>
    <w:p w14:paraId="1D9360B2">
      <w:pPr>
        <w:pStyle w:val="28"/>
        <w:tabs>
          <w:tab w:val="right" w:leader="dot" w:pos="9638"/>
        </w:tabs>
        <w:rPr>
          <w:rFonts w:hint="eastAsia" w:ascii="宋体" w:hAnsi="宋体"/>
          <w:color w:val="auto"/>
          <w:highlight w:val="none"/>
        </w:rPr>
      </w:pPr>
      <w:r>
        <w:rPr>
          <w:color w:val="auto"/>
          <w:highlight w:val="none"/>
        </w:rPr>
        <w:fldChar w:fldCharType="begin"/>
      </w:r>
      <w:r>
        <w:rPr>
          <w:color w:val="auto"/>
          <w:highlight w:val="none"/>
        </w:rPr>
        <w:instrText xml:space="preserve"> HYPERLINK \l "_Toc21307" </w:instrText>
      </w:r>
      <w:r>
        <w:rPr>
          <w:color w:val="auto"/>
          <w:highlight w:val="none"/>
        </w:rPr>
        <w:fldChar w:fldCharType="separate"/>
      </w:r>
      <w:r>
        <w:rPr>
          <w:rFonts w:hint="eastAsia" w:ascii="宋体" w:hAnsi="宋体"/>
          <w:color w:val="auto"/>
          <w:highlight w:val="none"/>
        </w:rPr>
        <w:t>第二章   投标人须知</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_Toc21307 \h </w:instrText>
      </w:r>
      <w:r>
        <w:rPr>
          <w:rFonts w:ascii="宋体" w:hAnsi="宋体"/>
          <w:color w:val="auto"/>
          <w:highlight w:val="none"/>
        </w:rPr>
        <w:fldChar w:fldCharType="separate"/>
      </w:r>
      <w:r>
        <w:rPr>
          <w:rFonts w:ascii="宋体" w:hAnsi="宋体"/>
          <w:color w:val="auto"/>
          <w:highlight w:val="none"/>
        </w:rPr>
        <w:t>3</w:t>
      </w:r>
      <w:r>
        <w:rPr>
          <w:rFonts w:ascii="宋体" w:hAnsi="宋体"/>
          <w:color w:val="auto"/>
          <w:highlight w:val="none"/>
        </w:rPr>
        <w:fldChar w:fldCharType="end"/>
      </w:r>
      <w:r>
        <w:rPr>
          <w:rFonts w:ascii="宋体" w:hAnsi="宋体"/>
          <w:color w:val="auto"/>
          <w:highlight w:val="none"/>
        </w:rPr>
        <w:fldChar w:fldCharType="end"/>
      </w:r>
    </w:p>
    <w:p w14:paraId="39F1568B">
      <w:pPr>
        <w:pStyle w:val="28"/>
        <w:tabs>
          <w:tab w:val="right" w:leader="dot" w:pos="9638"/>
        </w:tabs>
        <w:rPr>
          <w:rFonts w:hint="default" w:ascii="宋体" w:hAnsi="宋体" w:eastAsia="宋体"/>
          <w:color w:val="auto"/>
          <w:highlight w:val="none"/>
          <w:lang w:val="en-US" w:eastAsia="zh-CN"/>
        </w:rPr>
      </w:pPr>
      <w:r>
        <w:rPr>
          <w:color w:val="auto"/>
          <w:highlight w:val="none"/>
        </w:rPr>
        <w:fldChar w:fldCharType="begin"/>
      </w:r>
      <w:r>
        <w:rPr>
          <w:color w:val="auto"/>
          <w:highlight w:val="none"/>
        </w:rPr>
        <w:instrText xml:space="preserve"> HYPERLINK \l "_Toc28885" </w:instrText>
      </w:r>
      <w:r>
        <w:rPr>
          <w:color w:val="auto"/>
          <w:highlight w:val="none"/>
        </w:rPr>
        <w:fldChar w:fldCharType="separate"/>
      </w:r>
      <w:r>
        <w:rPr>
          <w:rFonts w:hint="eastAsia" w:ascii="宋体" w:hAnsi="宋体" w:cs="宋体"/>
          <w:color w:val="auto"/>
          <w:highlight w:val="none"/>
        </w:rPr>
        <w:t>第三章   评标办法（综合评估法）</w:t>
      </w:r>
      <w:r>
        <w:rPr>
          <w:rFonts w:ascii="宋体" w:hAnsi="宋体"/>
          <w:color w:val="auto"/>
          <w:highlight w:val="none"/>
        </w:rPr>
        <w:tab/>
      </w:r>
      <w:r>
        <w:rPr>
          <w:rFonts w:ascii="宋体" w:hAnsi="宋体"/>
          <w:color w:val="auto"/>
          <w:highlight w:val="none"/>
        </w:rPr>
        <w:fldChar w:fldCharType="end"/>
      </w:r>
      <w:r>
        <w:rPr>
          <w:rFonts w:hint="eastAsia" w:ascii="宋体" w:hAnsi="宋体"/>
          <w:color w:val="auto"/>
          <w:highlight w:val="none"/>
          <w:lang w:val="en-US" w:eastAsia="zh-CN"/>
        </w:rPr>
        <w:t>25</w:t>
      </w:r>
    </w:p>
    <w:p w14:paraId="7A91F014">
      <w:pPr>
        <w:pStyle w:val="28"/>
        <w:tabs>
          <w:tab w:val="right" w:leader="dot" w:pos="9638"/>
        </w:tabs>
        <w:rPr>
          <w:rFonts w:hint="default" w:ascii="宋体" w:hAnsi="宋体" w:eastAsia="宋体"/>
          <w:color w:val="auto"/>
          <w:highlight w:val="none"/>
          <w:lang w:val="en-US" w:eastAsia="zh-CN"/>
        </w:rPr>
      </w:pPr>
      <w:r>
        <w:rPr>
          <w:color w:val="auto"/>
          <w:highlight w:val="none"/>
        </w:rPr>
        <w:fldChar w:fldCharType="begin"/>
      </w:r>
      <w:r>
        <w:rPr>
          <w:color w:val="auto"/>
          <w:highlight w:val="none"/>
        </w:rPr>
        <w:instrText xml:space="preserve"> HYPERLINK \l "_Toc30231" </w:instrText>
      </w:r>
      <w:r>
        <w:rPr>
          <w:color w:val="auto"/>
          <w:highlight w:val="none"/>
        </w:rPr>
        <w:fldChar w:fldCharType="separate"/>
      </w:r>
      <w:r>
        <w:rPr>
          <w:rFonts w:hint="eastAsia" w:ascii="宋体" w:hAnsi="宋体" w:cs="宋体"/>
          <w:color w:val="auto"/>
          <w:highlight w:val="none"/>
        </w:rPr>
        <w:t>第四章   合同条款及格式</w:t>
      </w:r>
      <w:r>
        <w:rPr>
          <w:rFonts w:ascii="宋体" w:hAnsi="宋体"/>
          <w:color w:val="auto"/>
          <w:highlight w:val="none"/>
        </w:rPr>
        <w:tab/>
      </w:r>
      <w:r>
        <w:rPr>
          <w:rFonts w:ascii="宋体" w:hAnsi="宋体"/>
          <w:color w:val="auto"/>
          <w:highlight w:val="none"/>
        </w:rPr>
        <w:fldChar w:fldCharType="end"/>
      </w:r>
      <w:r>
        <w:rPr>
          <w:rFonts w:hint="eastAsia" w:ascii="宋体" w:hAnsi="宋体"/>
          <w:color w:val="auto"/>
          <w:highlight w:val="none"/>
          <w:lang w:val="en-US" w:eastAsia="zh-CN"/>
        </w:rPr>
        <w:t>37</w:t>
      </w:r>
    </w:p>
    <w:p w14:paraId="4BB42A73">
      <w:pPr>
        <w:pStyle w:val="28"/>
        <w:tabs>
          <w:tab w:val="right" w:leader="dot" w:pos="9638"/>
        </w:tabs>
        <w:rPr>
          <w:rFonts w:hint="default" w:ascii="宋体" w:hAnsi="宋体" w:eastAsia="宋体"/>
          <w:color w:val="auto"/>
          <w:highlight w:val="none"/>
          <w:lang w:val="en-US" w:eastAsia="zh-CN"/>
        </w:rPr>
      </w:pPr>
      <w:r>
        <w:rPr>
          <w:color w:val="auto"/>
          <w:highlight w:val="none"/>
        </w:rPr>
        <w:fldChar w:fldCharType="begin"/>
      </w:r>
      <w:r>
        <w:rPr>
          <w:color w:val="auto"/>
          <w:highlight w:val="none"/>
        </w:rPr>
        <w:instrText xml:space="preserve"> HYPERLINK \l "_Toc16246" </w:instrText>
      </w:r>
      <w:r>
        <w:rPr>
          <w:color w:val="auto"/>
          <w:highlight w:val="none"/>
        </w:rPr>
        <w:fldChar w:fldCharType="separate"/>
      </w:r>
      <w:r>
        <w:rPr>
          <w:rFonts w:hint="eastAsia" w:ascii="宋体" w:hAnsi="宋体" w:cs="宋体"/>
          <w:color w:val="auto"/>
          <w:highlight w:val="none"/>
        </w:rPr>
        <w:t>第五章   招标人要求</w:t>
      </w:r>
      <w:r>
        <w:rPr>
          <w:rFonts w:ascii="宋体" w:hAnsi="宋体"/>
          <w:color w:val="auto"/>
          <w:highlight w:val="none"/>
        </w:rPr>
        <w:tab/>
      </w:r>
      <w:r>
        <w:rPr>
          <w:rFonts w:ascii="宋体" w:hAnsi="宋体"/>
          <w:color w:val="auto"/>
          <w:highlight w:val="none"/>
        </w:rPr>
        <w:fldChar w:fldCharType="end"/>
      </w:r>
      <w:r>
        <w:rPr>
          <w:rFonts w:hint="eastAsia" w:ascii="宋体" w:hAnsi="宋体"/>
          <w:color w:val="auto"/>
          <w:highlight w:val="none"/>
          <w:lang w:val="en-US" w:eastAsia="zh-CN"/>
        </w:rPr>
        <w:t>38</w:t>
      </w:r>
    </w:p>
    <w:p w14:paraId="59CD48EE">
      <w:pPr>
        <w:pStyle w:val="28"/>
        <w:tabs>
          <w:tab w:val="right" w:leader="dot" w:pos="9638"/>
        </w:tabs>
        <w:rPr>
          <w:rFonts w:hint="default" w:ascii="宋体" w:hAnsi="宋体" w:eastAsia="宋体"/>
          <w:color w:val="auto"/>
          <w:highlight w:val="none"/>
          <w:lang w:val="en-US" w:eastAsia="zh-CN"/>
        </w:rPr>
      </w:pPr>
      <w:r>
        <w:rPr>
          <w:color w:val="auto"/>
          <w:highlight w:val="none"/>
        </w:rPr>
        <w:fldChar w:fldCharType="begin"/>
      </w:r>
      <w:r>
        <w:rPr>
          <w:color w:val="auto"/>
          <w:highlight w:val="none"/>
        </w:rPr>
        <w:instrText xml:space="preserve"> HYPERLINK \l "_Toc9205" </w:instrText>
      </w:r>
      <w:r>
        <w:rPr>
          <w:color w:val="auto"/>
          <w:highlight w:val="none"/>
        </w:rPr>
        <w:fldChar w:fldCharType="separate"/>
      </w:r>
      <w:r>
        <w:rPr>
          <w:rFonts w:hint="eastAsia" w:ascii="宋体" w:hAnsi="宋体" w:cs="宋体"/>
          <w:color w:val="auto"/>
          <w:highlight w:val="none"/>
        </w:rPr>
        <w:t>第六章   招标人提供的资料</w:t>
      </w:r>
      <w:r>
        <w:rPr>
          <w:rFonts w:ascii="宋体" w:hAnsi="宋体"/>
          <w:color w:val="auto"/>
          <w:highlight w:val="none"/>
        </w:rPr>
        <w:tab/>
      </w:r>
      <w:r>
        <w:rPr>
          <w:rFonts w:ascii="宋体" w:hAnsi="宋体"/>
          <w:color w:val="auto"/>
          <w:highlight w:val="none"/>
        </w:rPr>
        <w:fldChar w:fldCharType="end"/>
      </w:r>
      <w:r>
        <w:rPr>
          <w:rFonts w:hint="eastAsia" w:ascii="宋体" w:hAnsi="宋体"/>
          <w:color w:val="auto"/>
          <w:highlight w:val="none"/>
          <w:lang w:val="en-US" w:eastAsia="zh-CN"/>
        </w:rPr>
        <w:t>43</w:t>
      </w:r>
    </w:p>
    <w:p w14:paraId="3373B36B">
      <w:pPr>
        <w:pStyle w:val="28"/>
        <w:tabs>
          <w:tab w:val="right" w:leader="dot" w:pos="9638"/>
        </w:tabs>
        <w:rPr>
          <w:rFonts w:hint="default" w:ascii="宋体" w:hAnsi="宋体" w:eastAsia="宋体"/>
          <w:color w:val="auto"/>
          <w:highlight w:val="none"/>
          <w:lang w:val="en-US" w:eastAsia="zh-CN"/>
        </w:rPr>
      </w:pPr>
      <w:r>
        <w:rPr>
          <w:color w:val="auto"/>
          <w:highlight w:val="none"/>
        </w:rPr>
        <w:fldChar w:fldCharType="begin"/>
      </w:r>
      <w:r>
        <w:rPr>
          <w:color w:val="auto"/>
          <w:highlight w:val="none"/>
        </w:rPr>
        <w:instrText xml:space="preserve"> HYPERLINK \l "_Toc8104" </w:instrText>
      </w:r>
      <w:r>
        <w:rPr>
          <w:color w:val="auto"/>
          <w:highlight w:val="none"/>
        </w:rPr>
        <w:fldChar w:fldCharType="separate"/>
      </w:r>
      <w:r>
        <w:rPr>
          <w:rFonts w:hint="eastAsia" w:ascii="宋体" w:hAnsi="宋体" w:cs="宋体"/>
          <w:color w:val="auto"/>
          <w:highlight w:val="none"/>
        </w:rPr>
        <w:t>第七章   投标文件格式</w:t>
      </w:r>
      <w:r>
        <w:rPr>
          <w:rFonts w:ascii="宋体" w:hAnsi="宋体"/>
          <w:color w:val="auto"/>
          <w:highlight w:val="none"/>
        </w:rPr>
        <w:tab/>
      </w:r>
      <w:r>
        <w:rPr>
          <w:rFonts w:ascii="宋体" w:hAnsi="宋体"/>
          <w:color w:val="auto"/>
          <w:highlight w:val="none"/>
        </w:rPr>
        <w:fldChar w:fldCharType="end"/>
      </w:r>
      <w:r>
        <w:rPr>
          <w:rFonts w:hint="eastAsia" w:ascii="宋体" w:hAnsi="宋体"/>
          <w:color w:val="auto"/>
          <w:highlight w:val="none"/>
          <w:lang w:val="en-US" w:eastAsia="zh-CN"/>
        </w:rPr>
        <w:t>44</w:t>
      </w:r>
    </w:p>
    <w:p w14:paraId="78B6EB5B">
      <w:pPr>
        <w:pStyle w:val="32"/>
        <w:tabs>
          <w:tab w:val="right" w:leader="dot" w:pos="9638"/>
        </w:tabs>
        <w:rPr>
          <w:rFonts w:hint="eastAsia" w:ascii="宋体" w:hAnsi="宋体"/>
          <w:color w:val="auto"/>
          <w:highlight w:val="none"/>
        </w:rPr>
      </w:pPr>
    </w:p>
    <w:p w14:paraId="6103C7B0">
      <w:pPr>
        <w:rPr>
          <w:rFonts w:hint="eastAsia" w:ascii="宋体" w:hAnsi="宋体"/>
          <w:color w:val="auto"/>
          <w:highlight w:val="none"/>
        </w:rPr>
        <w:sectPr>
          <w:footerReference r:id="rId3" w:type="default"/>
          <w:pgSz w:w="11906" w:h="16838"/>
          <w:pgMar w:top="1418" w:right="1134" w:bottom="1418" w:left="1134" w:header="851" w:footer="992" w:gutter="0"/>
          <w:pgNumType w:start="1"/>
          <w:cols w:space="720" w:num="1"/>
          <w:docGrid w:type="lines" w:linePitch="312" w:charSpace="0"/>
        </w:sectPr>
      </w:pPr>
      <w:r>
        <w:rPr>
          <w:rFonts w:hint="eastAsia" w:ascii="宋体" w:hAnsi="宋体"/>
          <w:color w:val="auto"/>
          <w:highlight w:val="none"/>
        </w:rPr>
        <w:fldChar w:fldCharType="end"/>
      </w:r>
    </w:p>
    <w:bookmarkEnd w:id="4"/>
    <w:bookmarkEnd w:id="5"/>
    <w:bookmarkEnd w:id="6"/>
    <w:bookmarkEnd w:id="7"/>
    <w:bookmarkEnd w:id="8"/>
    <w:p w14:paraId="3423A68F">
      <w:pPr>
        <w:pStyle w:val="2"/>
        <w:jc w:val="center"/>
        <w:rPr>
          <w:rFonts w:hint="eastAsia" w:ascii="宋体" w:hAnsi="宋体" w:cs="宋体"/>
          <w:color w:val="auto"/>
          <w:highlight w:val="none"/>
        </w:rPr>
      </w:pPr>
      <w:bookmarkStart w:id="9" w:name="_Toc503806366"/>
      <w:bookmarkStart w:id="10" w:name="_Toc11190"/>
      <w:bookmarkStart w:id="11" w:name="_Toc11304"/>
      <w:bookmarkStart w:id="12" w:name="_Toc247513950"/>
      <w:bookmarkStart w:id="13" w:name="_Toc144974495"/>
      <w:bookmarkStart w:id="14" w:name="_Toc152042303"/>
      <w:bookmarkStart w:id="15" w:name="_Toc247527551"/>
      <w:bookmarkStart w:id="16" w:name="_Toc152045527"/>
      <w:r>
        <w:rPr>
          <w:rFonts w:hint="eastAsia" w:ascii="宋体" w:hAnsi="宋体" w:cs="宋体"/>
          <w:color w:val="auto"/>
          <w:highlight w:val="none"/>
        </w:rPr>
        <w:t xml:space="preserve">第一章  </w:t>
      </w:r>
      <w:bookmarkEnd w:id="9"/>
      <w:r>
        <w:rPr>
          <w:rFonts w:hint="eastAsia" w:ascii="宋体" w:hAnsi="宋体" w:cs="宋体"/>
          <w:color w:val="auto"/>
          <w:highlight w:val="none"/>
        </w:rPr>
        <w:t>招标公告</w:t>
      </w:r>
    </w:p>
    <w:p w14:paraId="1AEA3E6B">
      <w:pPr>
        <w:jc w:val="center"/>
        <w:rPr>
          <w:rFonts w:hint="eastAsia" w:ascii="宋体" w:hAnsi="宋体" w:cs="宋体"/>
          <w:color w:val="auto"/>
          <w:sz w:val="24"/>
          <w:highlight w:val="none"/>
          <w:u w:val="single"/>
        </w:rPr>
      </w:pPr>
      <w:r>
        <w:rPr>
          <w:rFonts w:hint="eastAsia" w:ascii="宋体" w:hAnsi="宋体" w:cs="宋体"/>
          <w:color w:val="auto"/>
          <w:sz w:val="24"/>
          <w:highlight w:val="none"/>
          <w:u w:val="single"/>
        </w:rPr>
        <w:t>（另册）</w:t>
      </w:r>
      <w:bookmarkEnd w:id="10"/>
      <w:bookmarkEnd w:id="11"/>
    </w:p>
    <w:p w14:paraId="27695FA5">
      <w:pPr>
        <w:pStyle w:val="2"/>
        <w:jc w:val="center"/>
        <w:rPr>
          <w:rFonts w:hint="eastAsia" w:ascii="宋体" w:hAnsi="宋体" w:cs="宋体"/>
          <w:color w:val="auto"/>
          <w:highlight w:val="none"/>
        </w:rPr>
      </w:pPr>
      <w:r>
        <w:rPr>
          <w:rFonts w:hint="eastAsia" w:ascii="宋体" w:hAnsi="宋体" w:cs="宋体"/>
          <w:color w:val="auto"/>
          <w:highlight w:val="none"/>
        </w:rPr>
        <w:br w:type="page"/>
      </w:r>
      <w:bookmarkStart w:id="17" w:name="_Toc25555"/>
      <w:bookmarkStart w:id="18" w:name="_Toc21307"/>
      <w:r>
        <w:rPr>
          <w:rFonts w:hint="eastAsia" w:ascii="宋体" w:hAnsi="宋体"/>
          <w:color w:val="auto"/>
          <w:highlight w:val="none"/>
        </w:rPr>
        <w:t>第二章  投标人须知</w:t>
      </w:r>
      <w:bookmarkEnd w:id="12"/>
      <w:bookmarkEnd w:id="13"/>
      <w:bookmarkEnd w:id="14"/>
      <w:bookmarkEnd w:id="15"/>
      <w:bookmarkEnd w:id="16"/>
      <w:bookmarkEnd w:id="17"/>
      <w:bookmarkEnd w:id="18"/>
    </w:p>
    <w:p w14:paraId="10870F71">
      <w:pPr>
        <w:pStyle w:val="3"/>
        <w:jc w:val="center"/>
        <w:rPr>
          <w:rFonts w:hint="eastAsia" w:ascii="宋体" w:hAnsi="宋体" w:eastAsia="宋体" w:cs="宋体"/>
          <w:color w:val="auto"/>
          <w:highlight w:val="none"/>
        </w:rPr>
      </w:pPr>
      <w:bookmarkStart w:id="19" w:name="_Toc247527552"/>
      <w:bookmarkStart w:id="20" w:name="_Toc13135"/>
      <w:bookmarkStart w:id="21" w:name="_Toc144974496"/>
      <w:bookmarkStart w:id="22" w:name="_Toc16626"/>
      <w:bookmarkStart w:id="23" w:name="_Toc152042304"/>
      <w:bookmarkStart w:id="24" w:name="_Toc247513951"/>
      <w:bookmarkStart w:id="25" w:name="_Toc152045528"/>
      <w:r>
        <w:rPr>
          <w:rFonts w:hint="eastAsia" w:ascii="宋体" w:hAnsi="宋体" w:eastAsia="宋体" w:cs="宋体"/>
          <w:color w:val="auto"/>
          <w:highlight w:val="none"/>
        </w:rPr>
        <w:t>投标人须知前附表</w:t>
      </w:r>
      <w:bookmarkEnd w:id="19"/>
      <w:bookmarkEnd w:id="20"/>
      <w:bookmarkEnd w:id="21"/>
      <w:bookmarkEnd w:id="22"/>
      <w:bookmarkEnd w:id="23"/>
      <w:bookmarkEnd w:id="24"/>
      <w:bookmarkEnd w:id="25"/>
    </w:p>
    <w:tbl>
      <w:tblPr>
        <w:tblStyle w:val="40"/>
        <w:tblW w:w="9854" w:type="dxa"/>
        <w:tblInd w:w="0" w:type="dxa"/>
        <w:tblLayout w:type="fixed"/>
        <w:tblCellMar>
          <w:top w:w="0" w:type="dxa"/>
          <w:left w:w="108" w:type="dxa"/>
          <w:bottom w:w="0" w:type="dxa"/>
          <w:right w:w="108" w:type="dxa"/>
        </w:tblCellMar>
      </w:tblPr>
      <w:tblGrid>
        <w:gridCol w:w="1165"/>
        <w:gridCol w:w="2226"/>
        <w:gridCol w:w="6463"/>
      </w:tblGrid>
      <w:tr w14:paraId="6C35EDD1">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28681501">
            <w:pPr>
              <w:spacing w:line="27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2226" w:type="dxa"/>
            <w:tcBorders>
              <w:top w:val="single" w:color="auto" w:sz="4" w:space="0"/>
              <w:left w:val="single" w:color="auto" w:sz="4" w:space="0"/>
              <w:bottom w:val="single" w:color="auto" w:sz="4" w:space="0"/>
              <w:right w:val="single" w:color="auto" w:sz="4" w:space="0"/>
            </w:tcBorders>
            <w:vAlign w:val="center"/>
          </w:tcPr>
          <w:p w14:paraId="3BFA8E9F">
            <w:pPr>
              <w:spacing w:line="27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条款名称</w:t>
            </w:r>
          </w:p>
        </w:tc>
        <w:tc>
          <w:tcPr>
            <w:tcW w:w="6463" w:type="dxa"/>
            <w:tcBorders>
              <w:top w:val="single" w:color="auto" w:sz="4" w:space="0"/>
              <w:left w:val="single" w:color="auto" w:sz="4" w:space="0"/>
              <w:bottom w:val="single" w:color="auto" w:sz="4" w:space="0"/>
              <w:right w:val="single" w:color="auto" w:sz="4" w:space="0"/>
            </w:tcBorders>
            <w:vAlign w:val="center"/>
          </w:tcPr>
          <w:p w14:paraId="163E39A3">
            <w:pPr>
              <w:spacing w:line="27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编列内容</w:t>
            </w:r>
          </w:p>
        </w:tc>
      </w:tr>
      <w:tr w14:paraId="7924AC88">
        <w:tblPrEx>
          <w:tblCellMar>
            <w:top w:w="0" w:type="dxa"/>
            <w:left w:w="108" w:type="dxa"/>
            <w:bottom w:w="0" w:type="dxa"/>
            <w:right w:w="108" w:type="dxa"/>
          </w:tblCellMar>
        </w:tblPrEx>
        <w:trPr>
          <w:trHeight w:val="90" w:hRule="atLeast"/>
        </w:trPr>
        <w:tc>
          <w:tcPr>
            <w:tcW w:w="1165" w:type="dxa"/>
            <w:tcBorders>
              <w:top w:val="single" w:color="auto" w:sz="4" w:space="0"/>
              <w:left w:val="single" w:color="auto" w:sz="4" w:space="0"/>
              <w:bottom w:val="single" w:color="auto" w:sz="4" w:space="0"/>
              <w:right w:val="single" w:color="auto" w:sz="4" w:space="0"/>
            </w:tcBorders>
            <w:vAlign w:val="center"/>
          </w:tcPr>
          <w:p w14:paraId="6BF14F54">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1.1.2</w:t>
            </w:r>
          </w:p>
        </w:tc>
        <w:tc>
          <w:tcPr>
            <w:tcW w:w="2226" w:type="dxa"/>
            <w:tcBorders>
              <w:top w:val="single" w:color="auto" w:sz="4" w:space="0"/>
              <w:left w:val="single" w:color="auto" w:sz="4" w:space="0"/>
              <w:bottom w:val="single" w:color="auto" w:sz="4" w:space="0"/>
              <w:right w:val="single" w:color="auto" w:sz="4" w:space="0"/>
            </w:tcBorders>
            <w:vAlign w:val="center"/>
          </w:tcPr>
          <w:p w14:paraId="237D32A4">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招标人</w:t>
            </w:r>
          </w:p>
        </w:tc>
        <w:tc>
          <w:tcPr>
            <w:tcW w:w="6463" w:type="dxa"/>
            <w:tcBorders>
              <w:top w:val="single" w:color="auto" w:sz="4" w:space="0"/>
              <w:left w:val="single" w:color="auto" w:sz="4" w:space="0"/>
              <w:bottom w:val="single" w:color="auto" w:sz="4" w:space="0"/>
              <w:right w:val="single" w:color="auto" w:sz="4" w:space="0"/>
            </w:tcBorders>
            <w:vAlign w:val="center"/>
          </w:tcPr>
          <w:p w14:paraId="150C916D">
            <w:pPr>
              <w:spacing w:line="276" w:lineRule="auto"/>
              <w:ind w:left="638" w:hanging="638" w:hangingChars="304"/>
              <w:rPr>
                <w:rFonts w:hint="eastAsia" w:ascii="宋体" w:hAnsi="宋体" w:cs="宋体"/>
                <w:color w:val="auto"/>
                <w:szCs w:val="21"/>
                <w:highlight w:val="none"/>
                <w:u w:val="single"/>
              </w:rPr>
            </w:pPr>
            <w:r>
              <w:rPr>
                <w:rFonts w:hint="eastAsia" w:ascii="宋体" w:hAnsi="宋体" w:cs="宋体"/>
                <w:color w:val="auto"/>
                <w:szCs w:val="21"/>
                <w:highlight w:val="none"/>
              </w:rPr>
              <w:t>名称：</w:t>
            </w:r>
            <w:r>
              <w:rPr>
                <w:rFonts w:hint="eastAsia" w:ascii="宋体" w:hAnsi="宋体" w:cs="宋体"/>
                <w:color w:val="auto"/>
                <w:szCs w:val="21"/>
                <w:highlight w:val="none"/>
                <w:u w:val="single"/>
              </w:rPr>
              <w:t>广州市花都区交通运输局</w:t>
            </w:r>
          </w:p>
          <w:p w14:paraId="1E33BFE4">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广州市花都区紫薇路</w:t>
            </w:r>
            <w:r>
              <w:rPr>
                <w:rFonts w:ascii="宋体" w:hAnsi="宋体" w:cs="宋体"/>
                <w:color w:val="auto"/>
                <w:szCs w:val="21"/>
                <w:highlight w:val="none"/>
                <w:u w:val="single"/>
              </w:rPr>
              <w:t>23号交通运输局</w:t>
            </w:r>
          </w:p>
          <w:p w14:paraId="425557A2">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single"/>
                <w:lang w:val="en-US" w:eastAsia="zh-CN"/>
              </w:rPr>
              <w:t>李</w:t>
            </w:r>
            <w:r>
              <w:rPr>
                <w:rFonts w:hint="eastAsia" w:ascii="宋体" w:hAnsi="宋体" w:cs="宋体"/>
                <w:color w:val="auto"/>
                <w:szCs w:val="21"/>
                <w:highlight w:val="none"/>
                <w:u w:val="single"/>
              </w:rPr>
              <w:t>工</w:t>
            </w:r>
          </w:p>
          <w:p w14:paraId="5F0FB878">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电话：</w:t>
            </w:r>
            <w:r>
              <w:rPr>
                <w:rFonts w:ascii="宋体" w:hAnsi="宋体" w:cs="宋体"/>
                <w:color w:val="auto"/>
                <w:szCs w:val="21"/>
                <w:highlight w:val="none"/>
                <w:u w:val="single"/>
              </w:rPr>
              <w:t>020-86970157</w:t>
            </w:r>
          </w:p>
        </w:tc>
      </w:tr>
      <w:tr w14:paraId="2CA0B3A7">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0EFBCE8D">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1.1.3</w:t>
            </w:r>
          </w:p>
        </w:tc>
        <w:tc>
          <w:tcPr>
            <w:tcW w:w="2226" w:type="dxa"/>
            <w:tcBorders>
              <w:top w:val="single" w:color="auto" w:sz="4" w:space="0"/>
              <w:left w:val="single" w:color="auto" w:sz="4" w:space="0"/>
              <w:bottom w:val="single" w:color="auto" w:sz="4" w:space="0"/>
              <w:right w:val="single" w:color="auto" w:sz="4" w:space="0"/>
            </w:tcBorders>
            <w:vAlign w:val="center"/>
          </w:tcPr>
          <w:p w14:paraId="6D2FB57C">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招标代理机构</w:t>
            </w:r>
          </w:p>
        </w:tc>
        <w:tc>
          <w:tcPr>
            <w:tcW w:w="6463" w:type="dxa"/>
            <w:tcBorders>
              <w:top w:val="single" w:color="auto" w:sz="4" w:space="0"/>
              <w:left w:val="single" w:color="auto" w:sz="4" w:space="0"/>
              <w:bottom w:val="single" w:color="auto" w:sz="4" w:space="0"/>
              <w:right w:val="single" w:color="auto" w:sz="4" w:space="0"/>
            </w:tcBorders>
            <w:vAlign w:val="center"/>
          </w:tcPr>
          <w:p w14:paraId="6A51785A">
            <w:pPr>
              <w:rPr>
                <w:rFonts w:hint="eastAsia" w:ascii="宋体" w:hAnsi="宋体" w:eastAsia="宋体" w:cs="宋体"/>
                <w:color w:val="auto"/>
                <w:kern w:val="0"/>
                <w:szCs w:val="21"/>
                <w:highlight w:val="none"/>
                <w:u w:val="single"/>
                <w:lang w:eastAsia="zh-CN" w:bidi="ar"/>
              </w:rPr>
            </w:pPr>
            <w:r>
              <w:rPr>
                <w:rFonts w:hint="eastAsia" w:ascii="宋体" w:hAnsi="宋体" w:eastAsia="宋体" w:cs="宋体"/>
                <w:color w:val="auto"/>
                <w:szCs w:val="21"/>
                <w:highlight w:val="none"/>
                <w:lang w:bidi="ar"/>
              </w:rPr>
              <w:t>名称：</w:t>
            </w:r>
            <w:r>
              <w:rPr>
                <w:rFonts w:hint="eastAsia" w:ascii="宋体" w:hAnsi="宋体" w:eastAsia="宋体" w:cs="宋体"/>
                <w:color w:val="auto"/>
                <w:kern w:val="0"/>
                <w:szCs w:val="21"/>
                <w:highlight w:val="none"/>
                <w:u w:val="single"/>
                <w:lang w:eastAsia="zh-CN" w:bidi="ar"/>
              </w:rPr>
              <w:t>广州市交正工程咨询有限公司</w:t>
            </w:r>
          </w:p>
          <w:p w14:paraId="08B90728">
            <w:pPr>
              <w:rPr>
                <w:rFonts w:hint="eastAsia" w:ascii="宋体" w:hAnsi="宋体" w:eastAsia="宋体" w:cs="宋体"/>
                <w:color w:val="auto"/>
                <w:szCs w:val="21"/>
                <w:highlight w:val="none"/>
                <w:u w:val="single"/>
                <w:lang w:eastAsia="zh-CN" w:bidi="ar"/>
              </w:rPr>
            </w:pPr>
            <w:r>
              <w:rPr>
                <w:rFonts w:hint="eastAsia" w:ascii="宋体" w:hAnsi="宋体" w:eastAsia="宋体" w:cs="宋体"/>
                <w:color w:val="auto"/>
                <w:szCs w:val="21"/>
                <w:highlight w:val="none"/>
                <w:lang w:bidi="ar"/>
              </w:rPr>
              <w:t>地址：</w:t>
            </w:r>
            <w:r>
              <w:rPr>
                <w:rFonts w:hint="eastAsia" w:ascii="宋体" w:hAnsi="宋体" w:eastAsia="宋体" w:cs="宋体"/>
                <w:color w:val="auto"/>
                <w:kern w:val="2"/>
                <w:sz w:val="21"/>
                <w:szCs w:val="21"/>
                <w:highlight w:val="none"/>
                <w:u w:val="single"/>
                <w:lang w:eastAsia="zh-CN"/>
              </w:rPr>
              <w:t>广州市番禺区洛浦街道北环路87号2号楼</w:t>
            </w:r>
          </w:p>
          <w:p w14:paraId="4F29C074">
            <w:pP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bidi="ar"/>
              </w:rPr>
              <w:t>联系人：</w:t>
            </w:r>
            <w:r>
              <w:rPr>
                <w:rFonts w:hint="eastAsia" w:ascii="宋体" w:hAnsi="宋体" w:eastAsia="宋体" w:cs="宋体"/>
                <w:color w:val="auto"/>
                <w:szCs w:val="21"/>
                <w:highlight w:val="none"/>
                <w:u w:val="single"/>
                <w:lang w:val="en-US" w:eastAsia="zh-CN" w:bidi="ar"/>
              </w:rPr>
              <w:t>羊工</w:t>
            </w:r>
          </w:p>
          <w:p w14:paraId="00D2A8C1">
            <w:pPr>
              <w:spacing w:line="276"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bidi="ar"/>
              </w:rPr>
              <w:t>电话：</w:t>
            </w:r>
            <w:r>
              <w:rPr>
                <w:rFonts w:hint="eastAsia" w:ascii="宋体" w:hAnsi="宋体" w:eastAsia="宋体" w:cs="宋体"/>
                <w:color w:val="auto"/>
                <w:szCs w:val="21"/>
                <w:highlight w:val="none"/>
                <w:u w:val="single"/>
                <w:lang w:eastAsia="zh-CN" w:bidi="ar"/>
              </w:rPr>
              <w:t>020-39185654</w:t>
            </w:r>
          </w:p>
        </w:tc>
      </w:tr>
      <w:tr w14:paraId="63AAD2A3">
        <w:tblPrEx>
          <w:tblCellMar>
            <w:top w:w="0" w:type="dxa"/>
            <w:left w:w="108" w:type="dxa"/>
            <w:bottom w:w="0" w:type="dxa"/>
            <w:right w:w="108" w:type="dxa"/>
          </w:tblCellMar>
        </w:tblPrEx>
        <w:trPr>
          <w:trHeight w:val="444" w:hRule="atLeast"/>
        </w:trPr>
        <w:tc>
          <w:tcPr>
            <w:tcW w:w="1165" w:type="dxa"/>
            <w:tcBorders>
              <w:top w:val="single" w:color="auto" w:sz="4" w:space="0"/>
              <w:left w:val="single" w:color="auto" w:sz="4" w:space="0"/>
              <w:bottom w:val="single" w:color="auto" w:sz="4" w:space="0"/>
              <w:right w:val="single" w:color="auto" w:sz="4" w:space="0"/>
            </w:tcBorders>
            <w:vAlign w:val="center"/>
          </w:tcPr>
          <w:p w14:paraId="2C18E8B5">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1.1.4</w:t>
            </w:r>
          </w:p>
        </w:tc>
        <w:tc>
          <w:tcPr>
            <w:tcW w:w="2226" w:type="dxa"/>
            <w:tcBorders>
              <w:top w:val="single" w:color="auto" w:sz="4" w:space="0"/>
              <w:left w:val="single" w:color="auto" w:sz="4" w:space="0"/>
              <w:bottom w:val="single" w:color="auto" w:sz="4" w:space="0"/>
              <w:right w:val="single" w:color="auto" w:sz="4" w:space="0"/>
            </w:tcBorders>
            <w:vAlign w:val="center"/>
          </w:tcPr>
          <w:p w14:paraId="52A44154">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6463" w:type="dxa"/>
            <w:tcBorders>
              <w:top w:val="single" w:color="auto" w:sz="4" w:space="0"/>
              <w:left w:val="single" w:color="auto" w:sz="4" w:space="0"/>
              <w:bottom w:val="single" w:color="auto" w:sz="4" w:space="0"/>
              <w:right w:val="single" w:color="auto" w:sz="4" w:space="0"/>
            </w:tcBorders>
            <w:vAlign w:val="center"/>
          </w:tcPr>
          <w:p w14:paraId="026B2659">
            <w:pPr>
              <w:spacing w:line="276" w:lineRule="auto"/>
              <w:rPr>
                <w:rFonts w:hint="eastAsia" w:ascii="宋体" w:hAnsi="宋体" w:cs="宋体"/>
                <w:color w:val="auto"/>
                <w:szCs w:val="21"/>
                <w:highlight w:val="none"/>
              </w:rPr>
            </w:pPr>
            <w:r>
              <w:rPr>
                <w:rFonts w:hint="eastAsia" w:ascii="宋体" w:hAnsi="宋体" w:cs="宋体"/>
                <w:color w:val="auto"/>
                <w:szCs w:val="21"/>
                <w:highlight w:val="none"/>
                <w:u w:val="single"/>
                <w:lang w:eastAsia="zh-CN"/>
              </w:rPr>
              <w:t>花景大道（右干渠-花都大道）工程设计施工总承包</w:t>
            </w:r>
          </w:p>
        </w:tc>
      </w:tr>
      <w:tr w14:paraId="7A19B7AA">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2B5F9ACC">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1.1.5</w:t>
            </w:r>
          </w:p>
        </w:tc>
        <w:tc>
          <w:tcPr>
            <w:tcW w:w="2226" w:type="dxa"/>
            <w:tcBorders>
              <w:top w:val="single" w:color="auto" w:sz="4" w:space="0"/>
              <w:left w:val="single" w:color="auto" w:sz="4" w:space="0"/>
              <w:bottom w:val="single" w:color="auto" w:sz="4" w:space="0"/>
              <w:right w:val="single" w:color="auto" w:sz="4" w:space="0"/>
            </w:tcBorders>
            <w:vAlign w:val="center"/>
          </w:tcPr>
          <w:p w14:paraId="0DC25DF4">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建设地点</w:t>
            </w:r>
          </w:p>
        </w:tc>
        <w:tc>
          <w:tcPr>
            <w:tcW w:w="6463" w:type="dxa"/>
            <w:tcBorders>
              <w:top w:val="single" w:color="auto" w:sz="4" w:space="0"/>
              <w:left w:val="single" w:color="auto" w:sz="4" w:space="0"/>
              <w:bottom w:val="single" w:color="auto" w:sz="4" w:space="0"/>
              <w:right w:val="single" w:color="auto" w:sz="4" w:space="0"/>
            </w:tcBorders>
            <w:vAlign w:val="center"/>
          </w:tcPr>
          <w:p w14:paraId="749B04F2">
            <w:pPr>
              <w:spacing w:line="276"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详见招标公告</w:t>
            </w:r>
          </w:p>
        </w:tc>
      </w:tr>
      <w:tr w14:paraId="54F55F12">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47A7E96C">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1.2.1</w:t>
            </w:r>
          </w:p>
        </w:tc>
        <w:tc>
          <w:tcPr>
            <w:tcW w:w="2226" w:type="dxa"/>
            <w:tcBorders>
              <w:top w:val="single" w:color="auto" w:sz="4" w:space="0"/>
              <w:left w:val="single" w:color="auto" w:sz="4" w:space="0"/>
              <w:bottom w:val="single" w:color="auto" w:sz="4" w:space="0"/>
              <w:right w:val="single" w:color="auto" w:sz="4" w:space="0"/>
            </w:tcBorders>
            <w:vAlign w:val="center"/>
          </w:tcPr>
          <w:p w14:paraId="0FB2A709">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资金来源及比例</w:t>
            </w:r>
          </w:p>
        </w:tc>
        <w:tc>
          <w:tcPr>
            <w:tcW w:w="6463" w:type="dxa"/>
            <w:tcBorders>
              <w:top w:val="single" w:color="auto" w:sz="4" w:space="0"/>
              <w:left w:val="single" w:color="auto" w:sz="4" w:space="0"/>
              <w:bottom w:val="single" w:color="auto" w:sz="4" w:space="0"/>
              <w:right w:val="single" w:color="auto" w:sz="4" w:space="0"/>
            </w:tcBorders>
            <w:vAlign w:val="center"/>
          </w:tcPr>
          <w:p w14:paraId="53BEACBB">
            <w:pPr>
              <w:spacing w:line="276"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详见招标公告</w:t>
            </w:r>
          </w:p>
        </w:tc>
      </w:tr>
      <w:tr w14:paraId="43F5E995">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644D06E9">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1.2.2</w:t>
            </w:r>
          </w:p>
        </w:tc>
        <w:tc>
          <w:tcPr>
            <w:tcW w:w="2226" w:type="dxa"/>
            <w:tcBorders>
              <w:top w:val="single" w:color="auto" w:sz="4" w:space="0"/>
              <w:left w:val="single" w:color="auto" w:sz="4" w:space="0"/>
              <w:bottom w:val="single" w:color="auto" w:sz="4" w:space="0"/>
              <w:right w:val="single" w:color="auto" w:sz="4" w:space="0"/>
            </w:tcBorders>
            <w:vAlign w:val="center"/>
          </w:tcPr>
          <w:p w14:paraId="7A0EFC85">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资金落实情况</w:t>
            </w:r>
          </w:p>
        </w:tc>
        <w:tc>
          <w:tcPr>
            <w:tcW w:w="6463" w:type="dxa"/>
            <w:tcBorders>
              <w:top w:val="single" w:color="auto" w:sz="4" w:space="0"/>
              <w:left w:val="single" w:color="auto" w:sz="4" w:space="0"/>
              <w:bottom w:val="single" w:color="auto" w:sz="4" w:space="0"/>
              <w:right w:val="single" w:color="auto" w:sz="4" w:space="0"/>
            </w:tcBorders>
            <w:vAlign w:val="center"/>
          </w:tcPr>
          <w:p w14:paraId="2BFA7F64">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已落实</w:t>
            </w:r>
          </w:p>
        </w:tc>
      </w:tr>
      <w:tr w14:paraId="73960B0D">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4C0ED331">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1.3.1</w:t>
            </w:r>
          </w:p>
        </w:tc>
        <w:tc>
          <w:tcPr>
            <w:tcW w:w="2226" w:type="dxa"/>
            <w:tcBorders>
              <w:top w:val="single" w:color="auto" w:sz="4" w:space="0"/>
              <w:left w:val="single" w:color="auto" w:sz="4" w:space="0"/>
              <w:bottom w:val="single" w:color="auto" w:sz="4" w:space="0"/>
              <w:right w:val="single" w:color="auto" w:sz="4" w:space="0"/>
            </w:tcBorders>
            <w:vAlign w:val="center"/>
          </w:tcPr>
          <w:p w14:paraId="6FC8E560">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招标范围</w:t>
            </w:r>
          </w:p>
        </w:tc>
        <w:tc>
          <w:tcPr>
            <w:tcW w:w="6463" w:type="dxa"/>
            <w:tcBorders>
              <w:top w:val="single" w:color="auto" w:sz="4" w:space="0"/>
              <w:left w:val="single" w:color="auto" w:sz="4" w:space="0"/>
              <w:bottom w:val="single" w:color="auto" w:sz="4" w:space="0"/>
              <w:right w:val="single" w:color="auto" w:sz="4" w:space="0"/>
            </w:tcBorders>
            <w:vAlign w:val="center"/>
          </w:tcPr>
          <w:p w14:paraId="09148745">
            <w:pPr>
              <w:spacing w:line="276"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详见招标公告</w:t>
            </w:r>
          </w:p>
        </w:tc>
      </w:tr>
      <w:tr w14:paraId="1BFDDE4E">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5E32D946">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1.3.2</w:t>
            </w:r>
          </w:p>
        </w:tc>
        <w:tc>
          <w:tcPr>
            <w:tcW w:w="2226" w:type="dxa"/>
            <w:tcBorders>
              <w:top w:val="single" w:color="auto" w:sz="4" w:space="0"/>
              <w:left w:val="single" w:color="auto" w:sz="4" w:space="0"/>
              <w:bottom w:val="single" w:color="auto" w:sz="4" w:space="0"/>
              <w:right w:val="single" w:color="auto" w:sz="4" w:space="0"/>
            </w:tcBorders>
            <w:vAlign w:val="center"/>
          </w:tcPr>
          <w:p w14:paraId="5FC62D77">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计划工期</w:t>
            </w:r>
          </w:p>
        </w:tc>
        <w:tc>
          <w:tcPr>
            <w:tcW w:w="6463" w:type="dxa"/>
            <w:tcBorders>
              <w:top w:val="single" w:color="auto" w:sz="4" w:space="0"/>
              <w:left w:val="single" w:color="auto" w:sz="4" w:space="0"/>
              <w:bottom w:val="single" w:color="auto" w:sz="4" w:space="0"/>
              <w:right w:val="single" w:color="auto" w:sz="4" w:space="0"/>
            </w:tcBorders>
            <w:vAlign w:val="center"/>
          </w:tcPr>
          <w:p w14:paraId="50CB22AB">
            <w:pPr>
              <w:spacing w:line="276"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详见招标公告</w:t>
            </w:r>
          </w:p>
        </w:tc>
      </w:tr>
      <w:tr w14:paraId="271E80CA">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75460430">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1.3.3</w:t>
            </w:r>
          </w:p>
        </w:tc>
        <w:tc>
          <w:tcPr>
            <w:tcW w:w="2226" w:type="dxa"/>
            <w:tcBorders>
              <w:top w:val="single" w:color="auto" w:sz="4" w:space="0"/>
              <w:left w:val="single" w:color="auto" w:sz="4" w:space="0"/>
              <w:bottom w:val="single" w:color="auto" w:sz="4" w:space="0"/>
              <w:right w:val="single" w:color="auto" w:sz="4" w:space="0"/>
            </w:tcBorders>
            <w:vAlign w:val="center"/>
          </w:tcPr>
          <w:p w14:paraId="1A1BABF0">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质量标准</w:t>
            </w:r>
          </w:p>
        </w:tc>
        <w:tc>
          <w:tcPr>
            <w:tcW w:w="6463" w:type="dxa"/>
            <w:tcBorders>
              <w:top w:val="single" w:color="auto" w:sz="4" w:space="0"/>
              <w:left w:val="single" w:color="auto" w:sz="4" w:space="0"/>
              <w:bottom w:val="single" w:color="auto" w:sz="4" w:space="0"/>
              <w:right w:val="single" w:color="auto" w:sz="4" w:space="0"/>
            </w:tcBorders>
            <w:vAlign w:val="center"/>
          </w:tcPr>
          <w:p w14:paraId="329FCB76">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设计要求：</w:t>
            </w:r>
            <w:r>
              <w:rPr>
                <w:rFonts w:hint="eastAsia" w:ascii="宋体" w:hAnsi="宋体" w:cs="宋体"/>
                <w:color w:val="auto"/>
                <w:szCs w:val="21"/>
                <w:highlight w:val="none"/>
                <w:u w:val="single"/>
              </w:rPr>
              <w:t>符合《建设工程质量管理条例》及《建设工程勘察设计管理条例》等国家及地方有关工程设计管理法规和规章，达到《市政公用工程设计文件编制深度规定（2013年版）（修订版）》及行业相关规范技术标准等要求。</w:t>
            </w:r>
          </w:p>
          <w:p w14:paraId="374D4D54">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施工要求：</w:t>
            </w:r>
            <w:r>
              <w:rPr>
                <w:rFonts w:hint="eastAsia" w:ascii="宋体" w:hAnsi="宋体" w:cs="宋体"/>
                <w:color w:val="auto"/>
                <w:szCs w:val="21"/>
                <w:highlight w:val="none"/>
                <w:u w:val="single"/>
              </w:rPr>
              <w:t>符合设计图纸要求和国家、省、市相关法律法规规定要求及行业颁发的工程质量合格标准。</w:t>
            </w:r>
          </w:p>
          <w:p w14:paraId="2B9C52BA">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工程质量标准：</w:t>
            </w:r>
            <w:r>
              <w:rPr>
                <w:rFonts w:hint="eastAsia" w:ascii="宋体" w:hAnsi="宋体" w:cs="宋体"/>
                <w:color w:val="auto"/>
                <w:szCs w:val="21"/>
                <w:highlight w:val="none"/>
                <w:u w:val="single"/>
              </w:rPr>
              <w:t>合格。</w:t>
            </w:r>
          </w:p>
        </w:tc>
      </w:tr>
      <w:tr w14:paraId="68BF6481">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583F8957">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1.4.1</w:t>
            </w:r>
          </w:p>
        </w:tc>
        <w:tc>
          <w:tcPr>
            <w:tcW w:w="2226" w:type="dxa"/>
            <w:tcBorders>
              <w:top w:val="single" w:color="auto" w:sz="4" w:space="0"/>
              <w:left w:val="single" w:color="auto" w:sz="4" w:space="0"/>
              <w:bottom w:val="single" w:color="auto" w:sz="4" w:space="0"/>
              <w:right w:val="single" w:color="auto" w:sz="4" w:space="0"/>
            </w:tcBorders>
            <w:vAlign w:val="center"/>
          </w:tcPr>
          <w:p w14:paraId="1884C525">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投标人资质条件、能力和信誉</w:t>
            </w:r>
          </w:p>
        </w:tc>
        <w:tc>
          <w:tcPr>
            <w:tcW w:w="6463" w:type="dxa"/>
            <w:tcBorders>
              <w:top w:val="single" w:color="auto" w:sz="4" w:space="0"/>
              <w:left w:val="single" w:color="auto" w:sz="4" w:space="0"/>
              <w:bottom w:val="single" w:color="auto" w:sz="4" w:space="0"/>
              <w:right w:val="single" w:color="auto" w:sz="4" w:space="0"/>
            </w:tcBorders>
            <w:vAlign w:val="center"/>
          </w:tcPr>
          <w:p w14:paraId="388BDD8E">
            <w:pPr>
              <w:spacing w:line="276" w:lineRule="auto"/>
              <w:rPr>
                <w:rFonts w:hint="eastAsia" w:ascii="宋体" w:hAnsi="宋体" w:cs="宋体"/>
                <w:color w:val="auto"/>
                <w:szCs w:val="21"/>
                <w:highlight w:val="none"/>
              </w:rPr>
            </w:pPr>
            <w:r>
              <w:rPr>
                <w:rFonts w:hint="eastAsia" w:ascii="宋体" w:hAnsi="宋体" w:cs="宋体"/>
                <w:color w:val="auto"/>
                <w:szCs w:val="21"/>
                <w:highlight w:val="none"/>
                <w:u w:val="single"/>
              </w:rPr>
              <w:t>详见招标公告</w:t>
            </w:r>
          </w:p>
        </w:tc>
      </w:tr>
      <w:tr w14:paraId="1440E24F">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117F937D">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1.4.2</w:t>
            </w:r>
          </w:p>
        </w:tc>
        <w:tc>
          <w:tcPr>
            <w:tcW w:w="2226" w:type="dxa"/>
            <w:tcBorders>
              <w:top w:val="single" w:color="auto" w:sz="4" w:space="0"/>
              <w:left w:val="single" w:color="auto" w:sz="4" w:space="0"/>
              <w:bottom w:val="single" w:color="auto" w:sz="4" w:space="0"/>
              <w:right w:val="single" w:color="auto" w:sz="4" w:space="0"/>
            </w:tcBorders>
            <w:vAlign w:val="center"/>
          </w:tcPr>
          <w:p w14:paraId="6649E817">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是否接受联合体投标</w:t>
            </w:r>
          </w:p>
        </w:tc>
        <w:tc>
          <w:tcPr>
            <w:tcW w:w="6463" w:type="dxa"/>
            <w:tcBorders>
              <w:top w:val="single" w:color="auto" w:sz="4" w:space="0"/>
              <w:left w:val="single" w:color="auto" w:sz="4" w:space="0"/>
              <w:bottom w:val="single" w:color="auto" w:sz="4" w:space="0"/>
              <w:right w:val="single" w:color="auto" w:sz="4" w:space="0"/>
            </w:tcBorders>
            <w:vAlign w:val="center"/>
          </w:tcPr>
          <w:p w14:paraId="3C59B7B6">
            <w:pPr>
              <w:pStyle w:val="15"/>
              <w:topLinePunct/>
              <w:spacing w:line="276" w:lineRule="auto"/>
              <w:rPr>
                <w:rFonts w:hint="eastAsia" w:hAnsi="宋体" w:cs="宋体"/>
                <w:color w:val="auto"/>
                <w:sz w:val="21"/>
                <w:szCs w:val="21"/>
                <w:highlight w:val="none"/>
              </w:rPr>
            </w:pPr>
            <w:r>
              <w:rPr>
                <w:rFonts w:hint="eastAsia" w:hAnsi="宋体" w:cs="宋体"/>
                <w:color w:val="auto"/>
                <w:sz w:val="21"/>
                <w:szCs w:val="21"/>
                <w:highlight w:val="none"/>
              </w:rPr>
              <w:t>□不接受</w:t>
            </w:r>
          </w:p>
          <w:p w14:paraId="58E99689">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■接受，应满足下列要求：</w:t>
            </w:r>
            <w:r>
              <w:rPr>
                <w:rFonts w:hint="eastAsia" w:ascii="宋体" w:hAnsi="宋体" w:cs="宋体"/>
                <w:color w:val="auto"/>
                <w:szCs w:val="21"/>
                <w:highlight w:val="none"/>
                <w:u w:val="single"/>
              </w:rPr>
              <w:t>详见招标公告</w:t>
            </w:r>
          </w:p>
        </w:tc>
      </w:tr>
      <w:tr w14:paraId="080AF123">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1836B0B1">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2226" w:type="dxa"/>
            <w:tcBorders>
              <w:top w:val="single" w:color="auto" w:sz="4" w:space="0"/>
              <w:left w:val="single" w:color="auto" w:sz="4" w:space="0"/>
              <w:bottom w:val="single" w:color="auto" w:sz="4" w:space="0"/>
              <w:right w:val="single" w:color="auto" w:sz="4" w:space="0"/>
            </w:tcBorders>
            <w:vAlign w:val="center"/>
          </w:tcPr>
          <w:p w14:paraId="05252E6D">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费用承担和设计成果补偿</w:t>
            </w:r>
          </w:p>
        </w:tc>
        <w:tc>
          <w:tcPr>
            <w:tcW w:w="6463" w:type="dxa"/>
            <w:tcBorders>
              <w:top w:val="single" w:color="auto" w:sz="4" w:space="0"/>
              <w:left w:val="single" w:color="auto" w:sz="4" w:space="0"/>
              <w:bottom w:val="single" w:color="auto" w:sz="4" w:space="0"/>
              <w:right w:val="single" w:color="auto" w:sz="4" w:space="0"/>
            </w:tcBorders>
            <w:vAlign w:val="center"/>
          </w:tcPr>
          <w:p w14:paraId="7E72C0F1">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■不补偿</w:t>
            </w:r>
          </w:p>
          <w:p w14:paraId="1360EA58">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□补偿，补偿标准：</w:t>
            </w:r>
            <w:r>
              <w:rPr>
                <w:rFonts w:hint="eastAsia" w:ascii="宋体" w:hAnsi="宋体" w:cs="宋体"/>
                <w:color w:val="auto"/>
                <w:szCs w:val="21"/>
                <w:highlight w:val="none"/>
                <w:u w:val="single"/>
              </w:rPr>
              <w:t>详见招标公告</w:t>
            </w:r>
          </w:p>
        </w:tc>
      </w:tr>
      <w:tr w14:paraId="1D0799C9">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26D183EA">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1.9.1</w:t>
            </w:r>
          </w:p>
        </w:tc>
        <w:tc>
          <w:tcPr>
            <w:tcW w:w="2226" w:type="dxa"/>
            <w:tcBorders>
              <w:top w:val="single" w:color="auto" w:sz="4" w:space="0"/>
              <w:left w:val="single" w:color="auto" w:sz="4" w:space="0"/>
              <w:bottom w:val="single" w:color="auto" w:sz="4" w:space="0"/>
              <w:right w:val="single" w:color="auto" w:sz="4" w:space="0"/>
            </w:tcBorders>
            <w:vAlign w:val="center"/>
          </w:tcPr>
          <w:p w14:paraId="4EBE6453">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踏勘</w:t>
            </w:r>
          </w:p>
        </w:tc>
        <w:tc>
          <w:tcPr>
            <w:tcW w:w="6463" w:type="dxa"/>
            <w:tcBorders>
              <w:top w:val="single" w:color="auto" w:sz="4" w:space="0"/>
              <w:left w:val="single" w:color="auto" w:sz="4" w:space="0"/>
              <w:bottom w:val="single" w:color="auto" w:sz="4" w:space="0"/>
              <w:right w:val="single" w:color="auto" w:sz="4" w:space="0"/>
            </w:tcBorders>
            <w:vAlign w:val="center"/>
          </w:tcPr>
          <w:p w14:paraId="791BA675">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■不组织：</w:t>
            </w:r>
            <w:r>
              <w:rPr>
                <w:rFonts w:hint="eastAsia" w:ascii="宋体" w:hAnsi="宋体" w:cs="宋体"/>
                <w:color w:val="auto"/>
                <w:szCs w:val="21"/>
                <w:highlight w:val="none"/>
                <w:u w:val="single"/>
              </w:rPr>
              <w:t>自行踏勘</w:t>
            </w:r>
          </w:p>
          <w:p w14:paraId="34CDBC55">
            <w:pPr>
              <w:pStyle w:val="11"/>
              <w:spacing w:line="276" w:lineRule="auto"/>
              <w:ind w:left="0" w:leftChars="0"/>
              <w:rPr>
                <w:rFonts w:hint="eastAsia"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u w:val="single"/>
              </w:rPr>
              <w:t>自本公告发布之日起具备现场踏勘条件</w:t>
            </w:r>
          </w:p>
          <w:p w14:paraId="53BEDD06">
            <w:pPr>
              <w:spacing w:line="276" w:lineRule="auto"/>
              <w:rPr>
                <w:rFonts w:hint="eastAsia" w:ascii="宋体" w:hAnsi="宋体" w:cs="宋体"/>
                <w:color w:val="auto"/>
                <w:szCs w:val="21"/>
                <w:highlight w:val="none"/>
                <w:u w:val="single"/>
              </w:rPr>
            </w:pPr>
            <w:r>
              <w:rPr>
                <w:rFonts w:hint="eastAsia" w:ascii="宋体" w:hAnsi="宋体" w:cs="宋体"/>
                <w:color w:val="auto"/>
                <w:szCs w:val="21"/>
                <w:highlight w:val="none"/>
              </w:rPr>
              <w:t>现场详细地点：</w:t>
            </w:r>
            <w:r>
              <w:rPr>
                <w:rFonts w:hint="eastAsia" w:ascii="宋体" w:hAnsi="宋体" w:cs="宋体"/>
                <w:color w:val="auto"/>
                <w:szCs w:val="21"/>
                <w:highlight w:val="none"/>
                <w:u w:val="single"/>
              </w:rPr>
              <w:t>广州市花都区</w:t>
            </w:r>
          </w:p>
          <w:p w14:paraId="5C320858">
            <w:pPr>
              <w:tabs>
                <w:tab w:val="left" w:pos="4830"/>
              </w:tabs>
              <w:spacing w:line="276" w:lineRule="auto"/>
              <w:rPr>
                <w:rFonts w:hint="eastAsia" w:ascii="宋体" w:hAnsi="宋体" w:cs="宋体"/>
                <w:color w:val="auto"/>
                <w:szCs w:val="21"/>
                <w:highlight w:val="none"/>
              </w:rPr>
            </w:pPr>
            <w:r>
              <w:rPr>
                <w:rFonts w:hint="eastAsia" w:ascii="宋体" w:hAnsi="宋体" w:cs="宋体"/>
                <w:color w:val="auto"/>
                <w:szCs w:val="21"/>
                <w:highlight w:val="none"/>
              </w:rPr>
              <w:t>□组织，踏勘时间：</w:t>
            </w:r>
          </w:p>
          <w:p w14:paraId="0676F7A8">
            <w:pPr>
              <w:spacing w:line="276"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踏勘集中地点：</w:t>
            </w:r>
          </w:p>
        </w:tc>
      </w:tr>
      <w:tr w14:paraId="03979464">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47A37EDF">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1.10.1</w:t>
            </w:r>
          </w:p>
        </w:tc>
        <w:tc>
          <w:tcPr>
            <w:tcW w:w="2226" w:type="dxa"/>
            <w:tcBorders>
              <w:top w:val="single" w:color="auto" w:sz="4" w:space="0"/>
              <w:left w:val="single" w:color="auto" w:sz="4" w:space="0"/>
              <w:bottom w:val="single" w:color="auto" w:sz="4" w:space="0"/>
              <w:right w:val="single" w:color="auto" w:sz="4" w:space="0"/>
            </w:tcBorders>
            <w:vAlign w:val="center"/>
          </w:tcPr>
          <w:p w14:paraId="66471C75">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投标预备会</w:t>
            </w:r>
          </w:p>
        </w:tc>
        <w:tc>
          <w:tcPr>
            <w:tcW w:w="6463" w:type="dxa"/>
            <w:tcBorders>
              <w:top w:val="single" w:color="auto" w:sz="4" w:space="0"/>
              <w:left w:val="single" w:color="auto" w:sz="4" w:space="0"/>
              <w:bottom w:val="single" w:color="auto" w:sz="4" w:space="0"/>
              <w:right w:val="single" w:color="auto" w:sz="4" w:space="0"/>
            </w:tcBorders>
            <w:vAlign w:val="center"/>
          </w:tcPr>
          <w:p w14:paraId="511BA07A">
            <w:pPr>
              <w:pStyle w:val="15"/>
              <w:topLinePunct/>
              <w:spacing w:line="276" w:lineRule="auto"/>
              <w:rPr>
                <w:rFonts w:hint="eastAsia" w:hAnsi="宋体" w:cs="宋体"/>
                <w:color w:val="auto"/>
                <w:sz w:val="21"/>
                <w:szCs w:val="21"/>
                <w:highlight w:val="none"/>
              </w:rPr>
            </w:pPr>
            <w:r>
              <w:rPr>
                <w:rFonts w:hint="eastAsia" w:hAnsi="宋体" w:cs="宋体"/>
                <w:color w:val="auto"/>
                <w:sz w:val="21"/>
                <w:szCs w:val="21"/>
                <w:highlight w:val="none"/>
              </w:rPr>
              <w:t>■不召开</w:t>
            </w:r>
          </w:p>
          <w:p w14:paraId="2BE83858">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□召开，召开时间：</w:t>
            </w:r>
          </w:p>
          <w:p w14:paraId="06C66183">
            <w:pPr>
              <w:spacing w:line="276"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召开地点：</w:t>
            </w:r>
          </w:p>
        </w:tc>
      </w:tr>
      <w:tr w14:paraId="5CE2C4D7">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692483D6">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1.10.2</w:t>
            </w:r>
          </w:p>
        </w:tc>
        <w:tc>
          <w:tcPr>
            <w:tcW w:w="2226" w:type="dxa"/>
            <w:tcBorders>
              <w:top w:val="single" w:color="auto" w:sz="4" w:space="0"/>
              <w:left w:val="single" w:color="auto" w:sz="4" w:space="0"/>
              <w:bottom w:val="single" w:color="auto" w:sz="4" w:space="0"/>
              <w:right w:val="single" w:color="auto" w:sz="4" w:space="0"/>
            </w:tcBorders>
            <w:vAlign w:val="center"/>
          </w:tcPr>
          <w:p w14:paraId="38E29BD5">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投标人提出问题的截止时间</w:t>
            </w:r>
          </w:p>
        </w:tc>
        <w:tc>
          <w:tcPr>
            <w:tcW w:w="6463" w:type="dxa"/>
            <w:tcBorders>
              <w:top w:val="single" w:color="auto" w:sz="4" w:space="0"/>
              <w:left w:val="single" w:color="auto" w:sz="4" w:space="0"/>
              <w:bottom w:val="single" w:color="auto" w:sz="4" w:space="0"/>
              <w:right w:val="single" w:color="auto" w:sz="4" w:space="0"/>
            </w:tcBorders>
            <w:vAlign w:val="center"/>
          </w:tcPr>
          <w:p w14:paraId="68811437">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1.方式：</w:t>
            </w:r>
            <w:r>
              <w:rPr>
                <w:rFonts w:hint="eastAsia" w:ascii="宋体" w:hAnsi="宋体" w:cs="宋体"/>
                <w:color w:val="auto"/>
                <w:szCs w:val="21"/>
                <w:highlight w:val="none"/>
                <w:u w:val="single"/>
              </w:rPr>
              <w:t>网上答疑。</w:t>
            </w:r>
          </w:p>
          <w:p w14:paraId="3AF17A04">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2.投标人提出问题期限：</w:t>
            </w:r>
            <w:r>
              <w:rPr>
                <w:rFonts w:hint="eastAsia" w:ascii="宋体" w:hAnsi="宋体" w:cs="宋体"/>
                <w:color w:val="auto"/>
                <w:szCs w:val="21"/>
                <w:highlight w:val="none"/>
                <w:u w:val="single"/>
              </w:rPr>
              <w:t>在递交投标文件截止时间18日前提出。</w:t>
            </w:r>
          </w:p>
        </w:tc>
      </w:tr>
      <w:tr w14:paraId="61F398B7">
        <w:tblPrEx>
          <w:tblCellMar>
            <w:top w:w="0" w:type="dxa"/>
            <w:left w:w="108" w:type="dxa"/>
            <w:bottom w:w="0" w:type="dxa"/>
            <w:right w:w="108" w:type="dxa"/>
          </w:tblCellMar>
        </w:tblPrEx>
        <w:trPr>
          <w:trHeight w:val="90" w:hRule="atLeast"/>
        </w:trPr>
        <w:tc>
          <w:tcPr>
            <w:tcW w:w="1165" w:type="dxa"/>
            <w:tcBorders>
              <w:top w:val="single" w:color="auto" w:sz="4" w:space="0"/>
              <w:left w:val="single" w:color="auto" w:sz="4" w:space="0"/>
              <w:bottom w:val="single" w:color="auto" w:sz="4" w:space="0"/>
              <w:right w:val="single" w:color="auto" w:sz="4" w:space="0"/>
            </w:tcBorders>
            <w:vAlign w:val="center"/>
          </w:tcPr>
          <w:p w14:paraId="02A660B3">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1.10.3</w:t>
            </w:r>
          </w:p>
        </w:tc>
        <w:tc>
          <w:tcPr>
            <w:tcW w:w="2226" w:type="dxa"/>
            <w:tcBorders>
              <w:top w:val="single" w:color="auto" w:sz="4" w:space="0"/>
              <w:left w:val="single" w:color="auto" w:sz="4" w:space="0"/>
              <w:bottom w:val="single" w:color="auto" w:sz="4" w:space="0"/>
              <w:right w:val="single" w:color="auto" w:sz="4" w:space="0"/>
            </w:tcBorders>
            <w:vAlign w:val="center"/>
          </w:tcPr>
          <w:p w14:paraId="43D8586B">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招标人书面澄清的时间</w:t>
            </w:r>
          </w:p>
        </w:tc>
        <w:tc>
          <w:tcPr>
            <w:tcW w:w="6463" w:type="dxa"/>
            <w:tcBorders>
              <w:top w:val="single" w:color="auto" w:sz="4" w:space="0"/>
              <w:left w:val="single" w:color="auto" w:sz="4" w:space="0"/>
              <w:bottom w:val="single" w:color="auto" w:sz="4" w:space="0"/>
              <w:right w:val="single" w:color="auto" w:sz="4" w:space="0"/>
            </w:tcBorders>
            <w:vAlign w:val="center"/>
          </w:tcPr>
          <w:p w14:paraId="5DC4CCD9">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递交投标文件截止日期</w:t>
            </w:r>
            <w:r>
              <w:rPr>
                <w:rFonts w:hint="eastAsia" w:ascii="宋体" w:hAnsi="宋体" w:cs="宋体"/>
                <w:color w:val="auto"/>
                <w:kern w:val="0"/>
                <w:szCs w:val="21"/>
                <w:highlight w:val="none"/>
                <w:u w:val="single"/>
              </w:rPr>
              <w:t>15日前</w:t>
            </w:r>
          </w:p>
        </w:tc>
      </w:tr>
      <w:tr w14:paraId="3BE80416">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5936964C">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1.11.1</w:t>
            </w:r>
          </w:p>
        </w:tc>
        <w:tc>
          <w:tcPr>
            <w:tcW w:w="2226" w:type="dxa"/>
            <w:tcBorders>
              <w:top w:val="single" w:color="auto" w:sz="4" w:space="0"/>
              <w:left w:val="single" w:color="auto" w:sz="4" w:space="0"/>
              <w:bottom w:val="single" w:color="auto" w:sz="4" w:space="0"/>
              <w:right w:val="single" w:color="auto" w:sz="4" w:space="0"/>
            </w:tcBorders>
            <w:vAlign w:val="center"/>
          </w:tcPr>
          <w:p w14:paraId="1E30B814">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招标人规定由分包人承担的工作</w:t>
            </w:r>
          </w:p>
        </w:tc>
        <w:tc>
          <w:tcPr>
            <w:tcW w:w="6463" w:type="dxa"/>
            <w:tcBorders>
              <w:top w:val="single" w:color="auto" w:sz="4" w:space="0"/>
              <w:left w:val="single" w:color="auto" w:sz="4" w:space="0"/>
              <w:bottom w:val="single" w:color="auto" w:sz="4" w:space="0"/>
              <w:right w:val="single" w:color="auto" w:sz="4" w:space="0"/>
            </w:tcBorders>
            <w:vAlign w:val="center"/>
          </w:tcPr>
          <w:p w14:paraId="4E12A245">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按照合同相关约定执行</w:t>
            </w:r>
          </w:p>
        </w:tc>
      </w:tr>
      <w:tr w14:paraId="5086A54D">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4EF1A3B9">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1.11.2</w:t>
            </w:r>
          </w:p>
        </w:tc>
        <w:tc>
          <w:tcPr>
            <w:tcW w:w="2226" w:type="dxa"/>
            <w:tcBorders>
              <w:top w:val="single" w:color="auto" w:sz="4" w:space="0"/>
              <w:left w:val="single" w:color="auto" w:sz="4" w:space="0"/>
              <w:bottom w:val="single" w:color="auto" w:sz="4" w:space="0"/>
              <w:right w:val="single" w:color="auto" w:sz="4" w:space="0"/>
            </w:tcBorders>
            <w:vAlign w:val="center"/>
          </w:tcPr>
          <w:p w14:paraId="2722C0FB">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投标人拟分包的工作</w:t>
            </w:r>
          </w:p>
        </w:tc>
        <w:tc>
          <w:tcPr>
            <w:tcW w:w="6463" w:type="dxa"/>
            <w:tcBorders>
              <w:top w:val="single" w:color="auto" w:sz="4" w:space="0"/>
              <w:left w:val="single" w:color="auto" w:sz="4" w:space="0"/>
              <w:bottom w:val="single" w:color="auto" w:sz="4" w:space="0"/>
              <w:right w:val="single" w:color="auto" w:sz="4" w:space="0"/>
            </w:tcBorders>
            <w:vAlign w:val="center"/>
          </w:tcPr>
          <w:p w14:paraId="7B522FAD">
            <w:pPr>
              <w:pStyle w:val="15"/>
              <w:topLinePunct/>
              <w:spacing w:line="276" w:lineRule="auto"/>
              <w:rPr>
                <w:rFonts w:hint="eastAsia" w:hAnsi="宋体" w:cs="宋体"/>
                <w:color w:val="auto"/>
                <w:sz w:val="21"/>
                <w:szCs w:val="21"/>
                <w:highlight w:val="none"/>
              </w:rPr>
            </w:pPr>
            <w:r>
              <w:rPr>
                <w:rFonts w:hint="eastAsia" w:hAnsi="宋体" w:cs="宋体"/>
                <w:color w:val="auto"/>
                <w:sz w:val="21"/>
                <w:szCs w:val="21"/>
                <w:highlight w:val="none"/>
              </w:rPr>
              <w:t>□不允许</w:t>
            </w:r>
          </w:p>
          <w:p w14:paraId="1AFBFF87">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■允许，</w:t>
            </w:r>
            <w:r>
              <w:rPr>
                <w:rFonts w:hint="eastAsia" w:ascii="宋体" w:hAnsi="宋体" w:cs="宋体"/>
                <w:color w:val="auto"/>
                <w:kern w:val="0"/>
                <w:szCs w:val="21"/>
                <w:highlight w:val="none"/>
              </w:rPr>
              <w:t>允许非主体、非关键性工程进行分包，</w:t>
            </w:r>
            <w:r>
              <w:rPr>
                <w:rFonts w:hint="eastAsia" w:ascii="宋体" w:hAnsi="宋体" w:cs="宋体"/>
                <w:color w:val="auto"/>
                <w:kern w:val="0"/>
                <w:szCs w:val="21"/>
                <w:highlight w:val="none"/>
                <w:lang w:val="en-US" w:eastAsia="zh-CN"/>
              </w:rPr>
              <w:t>具体详见合同约定</w:t>
            </w:r>
            <w:r>
              <w:rPr>
                <w:rFonts w:hint="eastAsia" w:ascii="宋体" w:hAnsi="宋体" w:cs="宋体"/>
                <w:color w:val="auto"/>
                <w:kern w:val="0"/>
                <w:szCs w:val="21"/>
                <w:highlight w:val="none"/>
              </w:rPr>
              <w:t>。</w:t>
            </w:r>
          </w:p>
        </w:tc>
      </w:tr>
      <w:tr w14:paraId="13A95870">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58804AD8">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1.12</w:t>
            </w:r>
          </w:p>
        </w:tc>
        <w:tc>
          <w:tcPr>
            <w:tcW w:w="2226" w:type="dxa"/>
            <w:tcBorders>
              <w:top w:val="single" w:color="auto" w:sz="4" w:space="0"/>
              <w:left w:val="single" w:color="auto" w:sz="4" w:space="0"/>
              <w:bottom w:val="single" w:color="auto" w:sz="4" w:space="0"/>
              <w:right w:val="single" w:color="auto" w:sz="4" w:space="0"/>
            </w:tcBorders>
            <w:vAlign w:val="center"/>
          </w:tcPr>
          <w:p w14:paraId="4CC4326F">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偏离</w:t>
            </w:r>
          </w:p>
        </w:tc>
        <w:tc>
          <w:tcPr>
            <w:tcW w:w="6463" w:type="dxa"/>
            <w:tcBorders>
              <w:top w:val="single" w:color="auto" w:sz="4" w:space="0"/>
              <w:left w:val="single" w:color="auto" w:sz="4" w:space="0"/>
              <w:bottom w:val="single" w:color="auto" w:sz="4" w:space="0"/>
              <w:right w:val="single" w:color="auto" w:sz="4" w:space="0"/>
            </w:tcBorders>
            <w:vAlign w:val="center"/>
          </w:tcPr>
          <w:p w14:paraId="1DCFB0BB">
            <w:pPr>
              <w:pStyle w:val="15"/>
              <w:topLinePunct/>
              <w:spacing w:line="276" w:lineRule="auto"/>
              <w:rPr>
                <w:rFonts w:hint="eastAsia" w:hAnsi="宋体" w:cs="宋体"/>
                <w:color w:val="auto"/>
                <w:sz w:val="21"/>
                <w:szCs w:val="21"/>
                <w:highlight w:val="none"/>
              </w:rPr>
            </w:pPr>
            <w:r>
              <w:rPr>
                <w:rFonts w:hint="eastAsia" w:hAnsi="宋体" w:cs="宋体"/>
                <w:color w:val="auto"/>
                <w:sz w:val="21"/>
                <w:szCs w:val="21"/>
                <w:highlight w:val="none"/>
              </w:rPr>
              <w:t>■不允许</w:t>
            </w:r>
          </w:p>
          <w:p w14:paraId="43BBB8B2">
            <w:pPr>
              <w:pStyle w:val="15"/>
              <w:topLinePunct/>
              <w:spacing w:line="276" w:lineRule="auto"/>
              <w:rPr>
                <w:rFonts w:hint="eastAsia" w:hAnsi="宋体" w:cs="宋体"/>
                <w:color w:val="auto"/>
                <w:sz w:val="21"/>
                <w:szCs w:val="21"/>
                <w:highlight w:val="none"/>
              </w:rPr>
            </w:pPr>
            <w:r>
              <w:rPr>
                <w:rFonts w:hint="eastAsia" w:hAnsi="宋体" w:cs="宋体"/>
                <w:color w:val="auto"/>
                <w:sz w:val="21"/>
                <w:szCs w:val="21"/>
                <w:highlight w:val="none"/>
              </w:rPr>
              <w:t>□允许，允许偏离的内容、偏离范围和幅度</w:t>
            </w:r>
          </w:p>
        </w:tc>
      </w:tr>
      <w:tr w14:paraId="625C3833">
        <w:tblPrEx>
          <w:tblCellMar>
            <w:top w:w="0" w:type="dxa"/>
            <w:left w:w="108" w:type="dxa"/>
            <w:bottom w:w="0" w:type="dxa"/>
            <w:right w:w="108" w:type="dxa"/>
          </w:tblCellMar>
        </w:tblPrEx>
        <w:trPr>
          <w:trHeight w:val="1076" w:hRule="atLeast"/>
        </w:trPr>
        <w:tc>
          <w:tcPr>
            <w:tcW w:w="1165" w:type="dxa"/>
            <w:tcBorders>
              <w:top w:val="single" w:color="auto" w:sz="4" w:space="0"/>
              <w:left w:val="single" w:color="auto" w:sz="4" w:space="0"/>
              <w:bottom w:val="single" w:color="auto" w:sz="4" w:space="0"/>
              <w:right w:val="single" w:color="auto" w:sz="4" w:space="0"/>
            </w:tcBorders>
            <w:vAlign w:val="center"/>
          </w:tcPr>
          <w:p w14:paraId="62B27702">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2226" w:type="dxa"/>
            <w:tcBorders>
              <w:top w:val="single" w:color="auto" w:sz="4" w:space="0"/>
              <w:left w:val="single" w:color="auto" w:sz="4" w:space="0"/>
              <w:bottom w:val="single" w:color="auto" w:sz="4" w:space="0"/>
              <w:right w:val="single" w:color="auto" w:sz="4" w:space="0"/>
            </w:tcBorders>
            <w:vAlign w:val="center"/>
          </w:tcPr>
          <w:p w14:paraId="738C7C03">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构成招标文件的其他资料</w:t>
            </w:r>
          </w:p>
        </w:tc>
        <w:tc>
          <w:tcPr>
            <w:tcW w:w="6463" w:type="dxa"/>
            <w:tcBorders>
              <w:top w:val="single" w:color="auto" w:sz="4" w:space="0"/>
              <w:left w:val="single" w:color="auto" w:sz="4" w:space="0"/>
              <w:bottom w:val="single" w:color="auto" w:sz="4" w:space="0"/>
              <w:right w:val="single" w:color="auto" w:sz="4" w:space="0"/>
            </w:tcBorders>
            <w:vAlign w:val="center"/>
          </w:tcPr>
          <w:p w14:paraId="6F7E7BB1">
            <w:pPr>
              <w:spacing w:line="276" w:lineRule="auto"/>
              <w:rPr>
                <w:rFonts w:hint="eastAsia" w:ascii="宋体" w:hAnsi="宋体" w:cs="宋体"/>
                <w:color w:val="auto"/>
                <w:szCs w:val="21"/>
                <w:highlight w:val="none"/>
              </w:rPr>
            </w:pPr>
            <w:r>
              <w:rPr>
                <w:rFonts w:hint="eastAsia" w:ascii="宋体" w:hAnsi="宋体" w:cs="宋体"/>
                <w:color w:val="auto"/>
                <w:kern w:val="0"/>
                <w:szCs w:val="21"/>
                <w:highlight w:val="none"/>
                <w:u w:val="single"/>
              </w:rPr>
              <w:t>招标文件</w:t>
            </w:r>
            <w:r>
              <w:rPr>
                <w:rFonts w:hint="eastAsia" w:ascii="宋体" w:hAnsi="宋体" w:cs="宋体"/>
                <w:color w:val="auto"/>
                <w:szCs w:val="21"/>
                <w:highlight w:val="none"/>
                <w:u w:val="single"/>
              </w:rPr>
              <w:t>答疑纪要、澄清文件等（如有）。</w:t>
            </w:r>
          </w:p>
        </w:tc>
      </w:tr>
      <w:tr w14:paraId="77B4796E">
        <w:tblPrEx>
          <w:tblCellMar>
            <w:top w:w="0" w:type="dxa"/>
            <w:left w:w="108" w:type="dxa"/>
            <w:bottom w:w="0" w:type="dxa"/>
            <w:right w:w="108" w:type="dxa"/>
          </w:tblCellMar>
        </w:tblPrEx>
        <w:trPr>
          <w:trHeight w:val="1637" w:hRule="atLeast"/>
        </w:trPr>
        <w:tc>
          <w:tcPr>
            <w:tcW w:w="1165" w:type="dxa"/>
            <w:tcBorders>
              <w:top w:val="single" w:color="auto" w:sz="4" w:space="0"/>
              <w:left w:val="single" w:color="auto" w:sz="4" w:space="0"/>
              <w:bottom w:val="single" w:color="auto" w:sz="4" w:space="0"/>
              <w:right w:val="single" w:color="auto" w:sz="4" w:space="0"/>
            </w:tcBorders>
            <w:vAlign w:val="center"/>
          </w:tcPr>
          <w:p w14:paraId="06E4E2F5">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2.2.1</w:t>
            </w:r>
          </w:p>
        </w:tc>
        <w:tc>
          <w:tcPr>
            <w:tcW w:w="2226" w:type="dxa"/>
            <w:tcBorders>
              <w:top w:val="single" w:color="auto" w:sz="4" w:space="0"/>
              <w:left w:val="single" w:color="auto" w:sz="4" w:space="0"/>
              <w:bottom w:val="single" w:color="auto" w:sz="4" w:space="0"/>
              <w:right w:val="single" w:color="auto" w:sz="4" w:space="0"/>
            </w:tcBorders>
            <w:vAlign w:val="center"/>
          </w:tcPr>
          <w:p w14:paraId="15E39019">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投标人要求澄清招标文件的截止时间</w:t>
            </w:r>
          </w:p>
        </w:tc>
        <w:tc>
          <w:tcPr>
            <w:tcW w:w="6463" w:type="dxa"/>
            <w:tcBorders>
              <w:top w:val="single" w:color="auto" w:sz="4" w:space="0"/>
              <w:left w:val="single" w:color="auto" w:sz="4" w:space="0"/>
              <w:bottom w:val="single" w:color="auto" w:sz="4" w:space="0"/>
              <w:right w:val="single" w:color="auto" w:sz="4" w:space="0"/>
            </w:tcBorders>
            <w:vAlign w:val="center"/>
          </w:tcPr>
          <w:p w14:paraId="561BC04F">
            <w:pPr>
              <w:spacing w:line="276"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招标答疑采用网上答疑方式进行。投标人若对招标文件有疑问的，可在递交投标文件截止时间18日前提出。</w:t>
            </w:r>
          </w:p>
          <w:p w14:paraId="01AD7D81">
            <w:pPr>
              <w:spacing w:line="276" w:lineRule="auto"/>
              <w:rPr>
                <w:rFonts w:hint="eastAsia" w:ascii="宋体" w:hAnsi="宋体" w:cs="宋体"/>
                <w:color w:val="auto"/>
                <w:szCs w:val="21"/>
                <w:highlight w:val="none"/>
              </w:rPr>
            </w:pPr>
            <w:r>
              <w:rPr>
                <w:rFonts w:hint="eastAsia" w:ascii="宋体" w:hAnsi="宋体" w:cs="宋体"/>
                <w:color w:val="auto"/>
                <w:szCs w:val="21"/>
                <w:highlight w:val="none"/>
                <w:u w:val="single"/>
              </w:rPr>
              <w:t>投标人疑问通过网上提交。具体操作方法详见广州交易集团有限公司（广州公共资源交易中心）网站发布的最新版操作指引。</w:t>
            </w:r>
          </w:p>
        </w:tc>
      </w:tr>
      <w:tr w14:paraId="6B3119E6">
        <w:tblPrEx>
          <w:tblCellMar>
            <w:top w:w="0" w:type="dxa"/>
            <w:left w:w="108" w:type="dxa"/>
            <w:bottom w:w="0" w:type="dxa"/>
            <w:right w:w="108" w:type="dxa"/>
          </w:tblCellMar>
        </w:tblPrEx>
        <w:trPr>
          <w:trHeight w:val="511" w:hRule="atLeast"/>
        </w:trPr>
        <w:tc>
          <w:tcPr>
            <w:tcW w:w="1165" w:type="dxa"/>
            <w:tcBorders>
              <w:top w:val="single" w:color="auto" w:sz="4" w:space="0"/>
              <w:left w:val="single" w:color="auto" w:sz="4" w:space="0"/>
              <w:bottom w:val="single" w:color="auto" w:sz="4" w:space="0"/>
              <w:right w:val="single" w:color="auto" w:sz="4" w:space="0"/>
            </w:tcBorders>
            <w:vAlign w:val="center"/>
          </w:tcPr>
          <w:p w14:paraId="61A35A50">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2.2.2</w:t>
            </w:r>
          </w:p>
        </w:tc>
        <w:tc>
          <w:tcPr>
            <w:tcW w:w="2226" w:type="dxa"/>
            <w:tcBorders>
              <w:top w:val="single" w:color="auto" w:sz="4" w:space="0"/>
              <w:left w:val="single" w:color="auto" w:sz="4" w:space="0"/>
              <w:bottom w:val="single" w:color="auto" w:sz="4" w:space="0"/>
              <w:right w:val="single" w:color="auto" w:sz="4" w:space="0"/>
            </w:tcBorders>
            <w:vAlign w:val="center"/>
          </w:tcPr>
          <w:p w14:paraId="52CC8873">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投标截止时间</w:t>
            </w:r>
          </w:p>
        </w:tc>
        <w:tc>
          <w:tcPr>
            <w:tcW w:w="6463" w:type="dxa"/>
            <w:tcBorders>
              <w:top w:val="single" w:color="auto" w:sz="4" w:space="0"/>
              <w:left w:val="single" w:color="auto" w:sz="4" w:space="0"/>
              <w:bottom w:val="single" w:color="auto" w:sz="4" w:space="0"/>
              <w:right w:val="single" w:color="auto" w:sz="4" w:space="0"/>
            </w:tcBorders>
            <w:vAlign w:val="center"/>
          </w:tcPr>
          <w:p w14:paraId="0B9B985F">
            <w:pPr>
              <w:spacing w:line="276" w:lineRule="auto"/>
              <w:jc w:val="left"/>
              <w:rPr>
                <w:rFonts w:hint="eastAsia" w:ascii="宋体" w:hAnsi="宋体"/>
                <w:color w:val="auto"/>
                <w:szCs w:val="21"/>
                <w:highlight w:val="none"/>
              </w:rPr>
            </w:pPr>
            <w:r>
              <w:rPr>
                <w:rFonts w:hint="eastAsia" w:ascii="宋体" w:hAnsi="宋体"/>
                <w:color w:val="auto"/>
                <w:szCs w:val="21"/>
                <w:highlight w:val="none"/>
              </w:rPr>
              <w:t>详见招标公告</w:t>
            </w:r>
          </w:p>
        </w:tc>
      </w:tr>
      <w:tr w14:paraId="1F1B69A9">
        <w:tblPrEx>
          <w:tblCellMar>
            <w:top w:w="0" w:type="dxa"/>
            <w:left w:w="108" w:type="dxa"/>
            <w:bottom w:w="0" w:type="dxa"/>
            <w:right w:w="108" w:type="dxa"/>
          </w:tblCellMar>
        </w:tblPrEx>
        <w:trPr>
          <w:trHeight w:val="1303" w:hRule="atLeast"/>
        </w:trPr>
        <w:tc>
          <w:tcPr>
            <w:tcW w:w="1165" w:type="dxa"/>
            <w:tcBorders>
              <w:top w:val="single" w:color="auto" w:sz="4" w:space="0"/>
              <w:left w:val="single" w:color="auto" w:sz="4" w:space="0"/>
              <w:bottom w:val="single" w:color="auto" w:sz="4" w:space="0"/>
              <w:right w:val="single" w:color="auto" w:sz="4" w:space="0"/>
            </w:tcBorders>
            <w:vAlign w:val="center"/>
          </w:tcPr>
          <w:p w14:paraId="55BB7EE5">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2.2.3</w:t>
            </w:r>
          </w:p>
        </w:tc>
        <w:tc>
          <w:tcPr>
            <w:tcW w:w="2226" w:type="dxa"/>
            <w:tcBorders>
              <w:top w:val="single" w:color="auto" w:sz="4" w:space="0"/>
              <w:left w:val="single" w:color="auto" w:sz="4" w:space="0"/>
              <w:bottom w:val="single" w:color="auto" w:sz="4" w:space="0"/>
              <w:right w:val="single" w:color="auto" w:sz="4" w:space="0"/>
            </w:tcBorders>
            <w:vAlign w:val="center"/>
          </w:tcPr>
          <w:p w14:paraId="14FFF83A">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投标人确认收到招标文件澄清的时间</w:t>
            </w:r>
          </w:p>
        </w:tc>
        <w:tc>
          <w:tcPr>
            <w:tcW w:w="6463" w:type="dxa"/>
            <w:tcBorders>
              <w:top w:val="single" w:color="auto" w:sz="4" w:space="0"/>
              <w:left w:val="single" w:color="auto" w:sz="4" w:space="0"/>
              <w:bottom w:val="single" w:color="auto" w:sz="4" w:space="0"/>
              <w:right w:val="single" w:color="auto" w:sz="4" w:space="0"/>
            </w:tcBorders>
            <w:vAlign w:val="center"/>
          </w:tcPr>
          <w:p w14:paraId="3AE2852A">
            <w:pPr>
              <w:spacing w:line="276"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招标文件的澄清或修改在广州交易集团有限公司（广州公共资源交易中心）网站发布。招标文件的澄清或修改一经在广州交易集团有限公司（广州公共资源交易中心）网站发布，视作已发放给所有投标人。</w:t>
            </w:r>
          </w:p>
        </w:tc>
      </w:tr>
      <w:tr w14:paraId="6D9B00B9">
        <w:tblPrEx>
          <w:tblCellMar>
            <w:top w:w="0" w:type="dxa"/>
            <w:left w:w="108" w:type="dxa"/>
            <w:bottom w:w="0" w:type="dxa"/>
            <w:right w:w="108" w:type="dxa"/>
          </w:tblCellMar>
        </w:tblPrEx>
        <w:trPr>
          <w:trHeight w:val="1366" w:hRule="atLeast"/>
        </w:trPr>
        <w:tc>
          <w:tcPr>
            <w:tcW w:w="1165" w:type="dxa"/>
            <w:tcBorders>
              <w:top w:val="single" w:color="auto" w:sz="4" w:space="0"/>
              <w:left w:val="single" w:color="auto" w:sz="4" w:space="0"/>
              <w:bottom w:val="single" w:color="auto" w:sz="4" w:space="0"/>
              <w:right w:val="single" w:color="auto" w:sz="4" w:space="0"/>
            </w:tcBorders>
            <w:vAlign w:val="center"/>
          </w:tcPr>
          <w:p w14:paraId="79B14438">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2.3.2</w:t>
            </w:r>
          </w:p>
        </w:tc>
        <w:tc>
          <w:tcPr>
            <w:tcW w:w="2226" w:type="dxa"/>
            <w:tcBorders>
              <w:top w:val="single" w:color="auto" w:sz="4" w:space="0"/>
              <w:left w:val="single" w:color="auto" w:sz="4" w:space="0"/>
              <w:bottom w:val="single" w:color="auto" w:sz="4" w:space="0"/>
              <w:right w:val="single" w:color="auto" w:sz="4" w:space="0"/>
            </w:tcBorders>
            <w:vAlign w:val="center"/>
          </w:tcPr>
          <w:p w14:paraId="209311A8">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投标人确认收到招标文件修改的时间</w:t>
            </w:r>
          </w:p>
        </w:tc>
        <w:tc>
          <w:tcPr>
            <w:tcW w:w="6463" w:type="dxa"/>
            <w:tcBorders>
              <w:top w:val="single" w:color="auto" w:sz="4" w:space="0"/>
              <w:left w:val="single" w:color="auto" w:sz="4" w:space="0"/>
              <w:bottom w:val="single" w:color="auto" w:sz="4" w:space="0"/>
              <w:right w:val="single" w:color="auto" w:sz="4" w:space="0"/>
            </w:tcBorders>
            <w:vAlign w:val="center"/>
          </w:tcPr>
          <w:p w14:paraId="45191081">
            <w:pPr>
              <w:spacing w:line="276"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招标文件的澄清或修改在广州交易集团有限公司（广州公共资源交易中心）网站发布。招标文件的澄清或修改一经在广州交易集团有限公司（广州公共资源交易中心）网站发布，视作已发放给所有投标人。</w:t>
            </w:r>
          </w:p>
        </w:tc>
      </w:tr>
      <w:tr w14:paraId="2A18AC61">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6E77AD91">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3.1.1</w:t>
            </w:r>
          </w:p>
        </w:tc>
        <w:tc>
          <w:tcPr>
            <w:tcW w:w="2226" w:type="dxa"/>
            <w:tcBorders>
              <w:top w:val="single" w:color="auto" w:sz="4" w:space="0"/>
              <w:left w:val="single" w:color="auto" w:sz="4" w:space="0"/>
              <w:bottom w:val="single" w:color="auto" w:sz="4" w:space="0"/>
              <w:right w:val="single" w:color="auto" w:sz="4" w:space="0"/>
            </w:tcBorders>
            <w:vAlign w:val="center"/>
          </w:tcPr>
          <w:p w14:paraId="004A9754">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构成投标文件的其他资料</w:t>
            </w:r>
          </w:p>
        </w:tc>
        <w:tc>
          <w:tcPr>
            <w:tcW w:w="6463" w:type="dxa"/>
            <w:tcBorders>
              <w:top w:val="single" w:color="auto" w:sz="4" w:space="0"/>
              <w:left w:val="single" w:color="auto" w:sz="4" w:space="0"/>
              <w:bottom w:val="single" w:color="auto" w:sz="4" w:space="0"/>
              <w:right w:val="single" w:color="auto" w:sz="4" w:space="0"/>
            </w:tcBorders>
            <w:vAlign w:val="center"/>
          </w:tcPr>
          <w:p w14:paraId="489C2A89">
            <w:pPr>
              <w:tabs>
                <w:tab w:val="left" w:pos="4620"/>
              </w:tabs>
              <w:spacing w:line="276" w:lineRule="auto"/>
              <w:rPr>
                <w:rFonts w:hint="eastAsia" w:ascii="宋体" w:hAnsi="宋体" w:cs="宋体"/>
                <w:color w:val="auto"/>
                <w:szCs w:val="21"/>
                <w:highlight w:val="none"/>
              </w:rPr>
            </w:pPr>
            <w:r>
              <w:rPr>
                <w:rFonts w:hint="eastAsia" w:ascii="宋体" w:hAnsi="宋体" w:cs="Calibri"/>
                <w:color w:val="auto"/>
                <w:szCs w:val="21"/>
                <w:highlight w:val="none"/>
              </w:rPr>
              <w:t>详见“3.1 投标文件的组成”和第七章《投标文件格式》要求</w:t>
            </w:r>
          </w:p>
        </w:tc>
      </w:tr>
      <w:tr w14:paraId="4DB81754">
        <w:tblPrEx>
          <w:tblCellMar>
            <w:top w:w="0" w:type="dxa"/>
            <w:left w:w="108" w:type="dxa"/>
            <w:bottom w:w="0" w:type="dxa"/>
            <w:right w:w="108" w:type="dxa"/>
          </w:tblCellMar>
        </w:tblPrEx>
        <w:trPr>
          <w:trHeight w:val="546" w:hRule="atLeast"/>
        </w:trPr>
        <w:tc>
          <w:tcPr>
            <w:tcW w:w="1165" w:type="dxa"/>
            <w:tcBorders>
              <w:top w:val="single" w:color="auto" w:sz="4" w:space="0"/>
              <w:left w:val="single" w:color="auto" w:sz="4" w:space="0"/>
              <w:bottom w:val="single" w:color="auto" w:sz="4" w:space="0"/>
              <w:right w:val="single" w:color="auto" w:sz="4" w:space="0"/>
            </w:tcBorders>
            <w:vAlign w:val="center"/>
          </w:tcPr>
          <w:p w14:paraId="0F99C89A">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3.2.2</w:t>
            </w:r>
          </w:p>
        </w:tc>
        <w:tc>
          <w:tcPr>
            <w:tcW w:w="2226" w:type="dxa"/>
            <w:tcBorders>
              <w:top w:val="single" w:color="auto" w:sz="4" w:space="0"/>
              <w:left w:val="single" w:color="auto" w:sz="4" w:space="0"/>
              <w:bottom w:val="single" w:color="auto" w:sz="4" w:space="0"/>
              <w:right w:val="single" w:color="auto" w:sz="4" w:space="0"/>
            </w:tcBorders>
            <w:vAlign w:val="center"/>
          </w:tcPr>
          <w:p w14:paraId="19B17ABD">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最高投标限价或其计算方法</w:t>
            </w:r>
          </w:p>
        </w:tc>
        <w:tc>
          <w:tcPr>
            <w:tcW w:w="6463" w:type="dxa"/>
            <w:tcBorders>
              <w:top w:val="single" w:color="auto" w:sz="4" w:space="0"/>
              <w:left w:val="single" w:color="auto" w:sz="4" w:space="0"/>
              <w:bottom w:val="single" w:color="auto" w:sz="4" w:space="0"/>
              <w:right w:val="single" w:color="auto" w:sz="4" w:space="0"/>
            </w:tcBorders>
            <w:vAlign w:val="center"/>
          </w:tcPr>
          <w:p w14:paraId="1ADF2000">
            <w:pPr>
              <w:spacing w:line="276" w:lineRule="auto"/>
              <w:rPr>
                <w:rFonts w:hint="eastAsia" w:ascii="宋体" w:hAnsi="宋体" w:cs="宋体"/>
                <w:color w:val="auto"/>
                <w:szCs w:val="21"/>
                <w:highlight w:val="none"/>
                <w:u w:val="single"/>
              </w:rPr>
            </w:pPr>
            <w:r>
              <w:rPr>
                <w:rFonts w:hint="eastAsia" w:ascii="宋体" w:hAnsi="宋体" w:eastAsia="宋体" w:cs="宋体"/>
                <w:color w:val="auto"/>
                <w:szCs w:val="21"/>
                <w:highlight w:val="none"/>
              </w:rPr>
              <w:t>本项目最高投标限价总价为</w:t>
            </w:r>
            <w:r>
              <w:rPr>
                <w:rFonts w:hint="eastAsia" w:ascii="宋体" w:hAnsi="宋体" w:eastAsia="宋体" w:cs="宋体"/>
                <w:color w:val="auto"/>
                <w:szCs w:val="21"/>
                <w:highlight w:val="none"/>
                <w:u w:val="single"/>
                <w:lang w:val="en-US" w:eastAsia="zh-CN"/>
              </w:rPr>
              <w:t>9077.70</w:t>
            </w:r>
            <w:r>
              <w:rPr>
                <w:rFonts w:hint="eastAsia" w:ascii="宋体" w:hAnsi="宋体" w:eastAsia="宋体" w:cs="宋体"/>
                <w:color w:val="auto"/>
                <w:szCs w:val="21"/>
                <w:highlight w:val="none"/>
              </w:rPr>
              <w:t>万元；其中：建安工程费最高投标限价为</w:t>
            </w:r>
            <w:r>
              <w:rPr>
                <w:rFonts w:hint="eastAsia" w:ascii="宋体" w:hAnsi="宋体" w:eastAsia="宋体" w:cs="宋体"/>
                <w:color w:val="auto"/>
                <w:szCs w:val="21"/>
                <w:highlight w:val="none"/>
                <w:u w:val="single"/>
                <w:lang w:val="en-US" w:eastAsia="zh-CN"/>
              </w:rPr>
              <w:t>8783.77</w:t>
            </w:r>
            <w:r>
              <w:rPr>
                <w:rFonts w:hint="eastAsia" w:ascii="宋体" w:hAnsi="宋体" w:eastAsia="宋体" w:cs="宋体"/>
                <w:color w:val="auto"/>
                <w:szCs w:val="21"/>
                <w:highlight w:val="none"/>
              </w:rPr>
              <w:t>万元，设计费最高投标限价为</w:t>
            </w:r>
            <w:r>
              <w:rPr>
                <w:rFonts w:hint="eastAsia" w:ascii="宋体" w:hAnsi="宋体" w:cs="宋体"/>
                <w:color w:val="auto"/>
                <w:szCs w:val="21"/>
                <w:highlight w:val="none"/>
                <w:u w:val="single"/>
                <w:lang w:val="en-US" w:eastAsia="zh-CN"/>
              </w:rPr>
              <w:t>293.93</w:t>
            </w:r>
            <w:r>
              <w:rPr>
                <w:rFonts w:hint="eastAsia" w:ascii="宋体" w:hAnsi="宋体" w:eastAsia="宋体" w:cs="宋体"/>
                <w:color w:val="auto"/>
                <w:szCs w:val="21"/>
                <w:highlight w:val="none"/>
              </w:rPr>
              <w:t>万元。</w:t>
            </w:r>
          </w:p>
          <w:p w14:paraId="4A843A29">
            <w:pPr>
              <w:spacing w:line="276" w:lineRule="auto"/>
              <w:rPr>
                <w:rFonts w:hint="eastAsia" w:ascii="宋体" w:hAnsi="宋体"/>
                <w:color w:val="auto"/>
                <w:szCs w:val="21"/>
                <w:highlight w:val="none"/>
              </w:rPr>
            </w:pPr>
            <w:r>
              <w:rPr>
                <w:rFonts w:hint="eastAsia" w:ascii="宋体" w:hAnsi="宋体" w:cs="宋体"/>
                <w:color w:val="auto"/>
                <w:szCs w:val="21"/>
                <w:highlight w:val="none"/>
                <w:u w:val="single"/>
              </w:rPr>
              <w:t>注：投标人未按要求报价或投标报价（含投标总报价、建安工程费报价、设计费报价）超过上述相应最高投标限价的为无效标。</w:t>
            </w:r>
          </w:p>
        </w:tc>
      </w:tr>
      <w:tr w14:paraId="21337859">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2A63C297">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3.2.3</w:t>
            </w:r>
          </w:p>
        </w:tc>
        <w:tc>
          <w:tcPr>
            <w:tcW w:w="2226" w:type="dxa"/>
            <w:tcBorders>
              <w:top w:val="single" w:color="auto" w:sz="4" w:space="0"/>
              <w:left w:val="single" w:color="auto" w:sz="4" w:space="0"/>
              <w:bottom w:val="single" w:color="auto" w:sz="4" w:space="0"/>
              <w:right w:val="single" w:color="auto" w:sz="4" w:space="0"/>
            </w:tcBorders>
            <w:vAlign w:val="center"/>
          </w:tcPr>
          <w:p w14:paraId="502CE2DC">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投标报价的其他要求</w:t>
            </w:r>
          </w:p>
        </w:tc>
        <w:tc>
          <w:tcPr>
            <w:tcW w:w="6463" w:type="dxa"/>
            <w:tcBorders>
              <w:top w:val="single" w:color="auto" w:sz="4" w:space="0"/>
              <w:left w:val="single" w:color="auto" w:sz="4" w:space="0"/>
              <w:bottom w:val="single" w:color="auto" w:sz="4" w:space="0"/>
              <w:right w:val="single" w:color="auto" w:sz="4" w:space="0"/>
            </w:tcBorders>
            <w:vAlign w:val="center"/>
          </w:tcPr>
          <w:p w14:paraId="7F1FA4A6">
            <w:pPr>
              <w:pStyle w:val="39"/>
              <w:spacing w:after="0" w:line="276" w:lineRule="auto"/>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（1）设计费：由投标人根据招标文件要求以及企业自身情况自行报价和填报下浮率，结算方式按照合同约定的相应条款执行。</w:t>
            </w:r>
          </w:p>
          <w:p w14:paraId="7BFC82D1">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）建安工程费：由投标人根据招标文件要求以及企业自身情况自行报价和填报下浮率，结算方式按照合同约定的相应条款执行。</w:t>
            </w:r>
          </w:p>
        </w:tc>
      </w:tr>
      <w:tr w14:paraId="52D93380">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4E9CC1E0">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3.3.1</w:t>
            </w:r>
          </w:p>
        </w:tc>
        <w:tc>
          <w:tcPr>
            <w:tcW w:w="2226" w:type="dxa"/>
            <w:tcBorders>
              <w:top w:val="single" w:color="auto" w:sz="4" w:space="0"/>
              <w:left w:val="single" w:color="auto" w:sz="4" w:space="0"/>
              <w:bottom w:val="single" w:color="auto" w:sz="4" w:space="0"/>
              <w:right w:val="single" w:color="auto" w:sz="4" w:space="0"/>
            </w:tcBorders>
            <w:vAlign w:val="center"/>
          </w:tcPr>
          <w:p w14:paraId="6EC69C84">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投标有效期</w:t>
            </w:r>
          </w:p>
        </w:tc>
        <w:tc>
          <w:tcPr>
            <w:tcW w:w="6463" w:type="dxa"/>
            <w:tcBorders>
              <w:top w:val="single" w:color="auto" w:sz="4" w:space="0"/>
              <w:left w:val="single" w:color="auto" w:sz="4" w:space="0"/>
              <w:bottom w:val="single" w:color="auto" w:sz="4" w:space="0"/>
              <w:right w:val="single" w:color="auto" w:sz="4" w:space="0"/>
            </w:tcBorders>
            <w:vAlign w:val="center"/>
          </w:tcPr>
          <w:p w14:paraId="546F749B">
            <w:pPr>
              <w:spacing w:line="276" w:lineRule="auto"/>
              <w:rPr>
                <w:rFonts w:hint="eastAsia" w:ascii="宋体" w:hAnsi="宋体" w:cs="宋体"/>
                <w:color w:val="auto"/>
                <w:szCs w:val="21"/>
                <w:highlight w:val="none"/>
              </w:rPr>
            </w:pPr>
            <w:r>
              <w:rPr>
                <w:rFonts w:hint="eastAsia" w:ascii="宋体" w:hAnsi="宋体" w:cs="宋体"/>
                <w:b/>
                <w:bCs/>
                <w:color w:val="auto"/>
                <w:kern w:val="0"/>
                <w:szCs w:val="21"/>
                <w:highlight w:val="none"/>
                <w:u w:val="single"/>
              </w:rPr>
              <w:t>90</w:t>
            </w:r>
            <w:r>
              <w:rPr>
                <w:rFonts w:hint="eastAsia" w:ascii="宋体" w:hAnsi="宋体" w:cs="宋体"/>
                <w:color w:val="auto"/>
                <w:kern w:val="0"/>
                <w:szCs w:val="21"/>
                <w:highlight w:val="none"/>
              </w:rPr>
              <w:t>日历天（从投标截止之日计起）</w:t>
            </w:r>
          </w:p>
        </w:tc>
      </w:tr>
      <w:tr w14:paraId="361126B7">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7199A37E">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3.4.1</w:t>
            </w:r>
          </w:p>
        </w:tc>
        <w:tc>
          <w:tcPr>
            <w:tcW w:w="2226" w:type="dxa"/>
            <w:tcBorders>
              <w:top w:val="single" w:color="auto" w:sz="4" w:space="0"/>
              <w:left w:val="single" w:color="auto" w:sz="4" w:space="0"/>
              <w:bottom w:val="single" w:color="auto" w:sz="4" w:space="0"/>
              <w:right w:val="single" w:color="auto" w:sz="4" w:space="0"/>
            </w:tcBorders>
            <w:vAlign w:val="center"/>
          </w:tcPr>
          <w:p w14:paraId="2E220B7D">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投标保证金</w:t>
            </w:r>
          </w:p>
        </w:tc>
        <w:tc>
          <w:tcPr>
            <w:tcW w:w="6463" w:type="dxa"/>
            <w:tcBorders>
              <w:top w:val="single" w:color="auto" w:sz="4" w:space="0"/>
              <w:left w:val="single" w:color="auto" w:sz="4" w:space="0"/>
              <w:bottom w:val="single" w:color="auto" w:sz="4" w:space="0"/>
              <w:right w:val="single" w:color="auto" w:sz="4" w:space="0"/>
            </w:tcBorders>
            <w:vAlign w:val="center"/>
          </w:tcPr>
          <w:p w14:paraId="6B1F97D8">
            <w:pPr>
              <w:widowControl/>
              <w:spacing w:line="276" w:lineRule="auto"/>
              <w:jc w:val="left"/>
              <w:rPr>
                <w:rFonts w:hint="eastAsia" w:ascii="宋体" w:hAnsi="宋体" w:cs="宋体"/>
                <w:color w:val="auto"/>
                <w:kern w:val="0"/>
                <w:szCs w:val="21"/>
                <w:highlight w:val="none"/>
                <w:u w:val="single"/>
              </w:rPr>
            </w:pPr>
            <w:r>
              <w:rPr>
                <w:rFonts w:hint="eastAsia" w:ascii="宋体" w:hAnsi="宋体"/>
                <w:color w:val="auto"/>
                <w:szCs w:val="21"/>
                <w:highlight w:val="none"/>
              </w:rPr>
              <w:t>本项目不要求递交投标保证金</w:t>
            </w:r>
          </w:p>
        </w:tc>
      </w:tr>
      <w:tr w14:paraId="57BC602B">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4B070E06">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3.5.2</w:t>
            </w:r>
          </w:p>
        </w:tc>
        <w:tc>
          <w:tcPr>
            <w:tcW w:w="2226" w:type="dxa"/>
            <w:tcBorders>
              <w:top w:val="single" w:color="auto" w:sz="4" w:space="0"/>
              <w:left w:val="single" w:color="auto" w:sz="4" w:space="0"/>
              <w:bottom w:val="single" w:color="auto" w:sz="4" w:space="0"/>
              <w:right w:val="single" w:color="auto" w:sz="4" w:space="0"/>
            </w:tcBorders>
            <w:vAlign w:val="center"/>
          </w:tcPr>
          <w:p w14:paraId="68B1EA52">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近年财务状况</w:t>
            </w:r>
          </w:p>
        </w:tc>
        <w:tc>
          <w:tcPr>
            <w:tcW w:w="6463" w:type="dxa"/>
            <w:tcBorders>
              <w:top w:val="single" w:color="auto" w:sz="4" w:space="0"/>
              <w:left w:val="single" w:color="auto" w:sz="4" w:space="0"/>
              <w:bottom w:val="single" w:color="auto" w:sz="4" w:space="0"/>
              <w:right w:val="single" w:color="auto" w:sz="4" w:space="0"/>
            </w:tcBorders>
            <w:vAlign w:val="center"/>
          </w:tcPr>
          <w:p w14:paraId="0C774C72">
            <w:pPr>
              <w:spacing w:line="276" w:lineRule="auto"/>
              <w:rPr>
                <w:rFonts w:hint="eastAsia" w:ascii="宋体" w:hAnsi="宋体" w:cs="宋体"/>
                <w:color w:val="auto"/>
                <w:szCs w:val="21"/>
                <w:highlight w:val="none"/>
              </w:rPr>
            </w:pPr>
            <w:r>
              <w:rPr>
                <w:rFonts w:hint="eastAsia" w:ascii="宋体" w:hAnsi="宋体" w:cs="宋体"/>
                <w:color w:val="auto"/>
                <w:szCs w:val="21"/>
                <w:highlight w:val="none"/>
                <w:u w:val="single"/>
              </w:rPr>
              <w:t>/</w:t>
            </w:r>
          </w:p>
        </w:tc>
      </w:tr>
      <w:tr w14:paraId="5AAB2855">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70C238A5">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3.5.3</w:t>
            </w:r>
          </w:p>
        </w:tc>
        <w:tc>
          <w:tcPr>
            <w:tcW w:w="2226" w:type="dxa"/>
            <w:tcBorders>
              <w:top w:val="single" w:color="auto" w:sz="4" w:space="0"/>
              <w:left w:val="single" w:color="auto" w:sz="4" w:space="0"/>
              <w:bottom w:val="single" w:color="auto" w:sz="4" w:space="0"/>
              <w:right w:val="single" w:color="auto" w:sz="4" w:space="0"/>
            </w:tcBorders>
            <w:vAlign w:val="center"/>
          </w:tcPr>
          <w:p w14:paraId="660408C7">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近年完成的类似项目</w:t>
            </w:r>
          </w:p>
        </w:tc>
        <w:tc>
          <w:tcPr>
            <w:tcW w:w="6463" w:type="dxa"/>
            <w:tcBorders>
              <w:top w:val="single" w:color="auto" w:sz="4" w:space="0"/>
              <w:left w:val="single" w:color="auto" w:sz="4" w:space="0"/>
              <w:bottom w:val="single" w:color="auto" w:sz="4" w:space="0"/>
              <w:right w:val="single" w:color="auto" w:sz="4" w:space="0"/>
            </w:tcBorders>
            <w:vAlign w:val="center"/>
          </w:tcPr>
          <w:p w14:paraId="43D1976E">
            <w:pPr>
              <w:spacing w:line="276" w:lineRule="auto"/>
              <w:rPr>
                <w:rFonts w:hint="eastAsia" w:ascii="宋体" w:hAnsi="宋体" w:cs="宋体"/>
                <w:color w:val="auto"/>
                <w:szCs w:val="21"/>
                <w:highlight w:val="none"/>
              </w:rPr>
            </w:pPr>
            <w:r>
              <w:rPr>
                <w:rFonts w:hint="eastAsia" w:ascii="宋体" w:hAnsi="宋体" w:cs="宋体"/>
                <w:color w:val="auto"/>
                <w:kern w:val="0"/>
                <w:szCs w:val="21"/>
                <w:highlight w:val="none"/>
                <w:u w:val="single"/>
              </w:rPr>
              <w:t>/</w:t>
            </w:r>
          </w:p>
        </w:tc>
      </w:tr>
      <w:tr w14:paraId="51DA905D">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733728C1">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3.5.5</w:t>
            </w:r>
          </w:p>
        </w:tc>
        <w:tc>
          <w:tcPr>
            <w:tcW w:w="2226" w:type="dxa"/>
            <w:tcBorders>
              <w:top w:val="single" w:color="auto" w:sz="4" w:space="0"/>
              <w:left w:val="single" w:color="auto" w:sz="4" w:space="0"/>
              <w:bottom w:val="single" w:color="auto" w:sz="4" w:space="0"/>
              <w:right w:val="single" w:color="auto" w:sz="4" w:space="0"/>
            </w:tcBorders>
            <w:vAlign w:val="center"/>
          </w:tcPr>
          <w:p w14:paraId="26237930">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近年发生的重大诉讼及仲裁情况</w:t>
            </w:r>
          </w:p>
        </w:tc>
        <w:tc>
          <w:tcPr>
            <w:tcW w:w="6463" w:type="dxa"/>
            <w:tcBorders>
              <w:top w:val="single" w:color="auto" w:sz="4" w:space="0"/>
              <w:left w:val="single" w:color="auto" w:sz="4" w:space="0"/>
              <w:bottom w:val="single" w:color="auto" w:sz="4" w:space="0"/>
              <w:right w:val="single" w:color="auto" w:sz="4" w:space="0"/>
            </w:tcBorders>
            <w:vAlign w:val="center"/>
          </w:tcPr>
          <w:p w14:paraId="39ECF0B1">
            <w:pPr>
              <w:spacing w:line="276" w:lineRule="auto"/>
              <w:rPr>
                <w:rFonts w:hint="eastAsia" w:ascii="宋体" w:hAnsi="宋体" w:cs="宋体"/>
                <w:color w:val="auto"/>
                <w:szCs w:val="21"/>
                <w:highlight w:val="none"/>
              </w:rPr>
            </w:pPr>
            <w:r>
              <w:rPr>
                <w:rFonts w:hint="eastAsia" w:ascii="宋体" w:hAnsi="宋体" w:cs="宋体"/>
                <w:color w:val="auto"/>
                <w:szCs w:val="21"/>
                <w:highlight w:val="none"/>
                <w:u w:val="single"/>
              </w:rPr>
              <w:t>/</w:t>
            </w:r>
          </w:p>
        </w:tc>
      </w:tr>
      <w:tr w14:paraId="1C38AA85">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48E1265D">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3.6</w:t>
            </w:r>
          </w:p>
        </w:tc>
        <w:tc>
          <w:tcPr>
            <w:tcW w:w="2226" w:type="dxa"/>
            <w:tcBorders>
              <w:top w:val="single" w:color="auto" w:sz="4" w:space="0"/>
              <w:left w:val="single" w:color="auto" w:sz="4" w:space="0"/>
              <w:bottom w:val="single" w:color="auto" w:sz="4" w:space="0"/>
              <w:right w:val="single" w:color="auto" w:sz="4" w:space="0"/>
            </w:tcBorders>
            <w:vAlign w:val="center"/>
          </w:tcPr>
          <w:p w14:paraId="00898AD1">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是否允许递交备选投标方案</w:t>
            </w:r>
          </w:p>
        </w:tc>
        <w:tc>
          <w:tcPr>
            <w:tcW w:w="6463" w:type="dxa"/>
            <w:tcBorders>
              <w:top w:val="single" w:color="auto" w:sz="4" w:space="0"/>
              <w:left w:val="single" w:color="auto" w:sz="4" w:space="0"/>
              <w:bottom w:val="single" w:color="auto" w:sz="4" w:space="0"/>
              <w:right w:val="single" w:color="auto" w:sz="4" w:space="0"/>
            </w:tcBorders>
            <w:vAlign w:val="center"/>
          </w:tcPr>
          <w:p w14:paraId="379F1CEA">
            <w:pPr>
              <w:pStyle w:val="15"/>
              <w:topLinePunct/>
              <w:spacing w:line="276" w:lineRule="auto"/>
              <w:rPr>
                <w:rFonts w:hint="eastAsia" w:hAnsi="宋体" w:cs="宋体"/>
                <w:color w:val="auto"/>
                <w:sz w:val="21"/>
                <w:szCs w:val="21"/>
                <w:highlight w:val="none"/>
              </w:rPr>
            </w:pPr>
            <w:r>
              <w:rPr>
                <w:rFonts w:hint="eastAsia" w:hAnsi="宋体" w:cs="宋体"/>
                <w:color w:val="auto"/>
                <w:sz w:val="21"/>
                <w:szCs w:val="21"/>
                <w:highlight w:val="none"/>
              </w:rPr>
              <w:t>■不允许</w:t>
            </w:r>
          </w:p>
          <w:p w14:paraId="6E24FE32">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□允许</w:t>
            </w:r>
          </w:p>
        </w:tc>
      </w:tr>
      <w:tr w14:paraId="7F744C0A">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44F26896">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3.7.3</w:t>
            </w:r>
          </w:p>
        </w:tc>
        <w:tc>
          <w:tcPr>
            <w:tcW w:w="2226" w:type="dxa"/>
            <w:tcBorders>
              <w:top w:val="single" w:color="auto" w:sz="4" w:space="0"/>
              <w:left w:val="single" w:color="auto" w:sz="4" w:space="0"/>
              <w:bottom w:val="single" w:color="auto" w:sz="4" w:space="0"/>
              <w:right w:val="single" w:color="auto" w:sz="4" w:space="0"/>
            </w:tcBorders>
            <w:vAlign w:val="center"/>
          </w:tcPr>
          <w:p w14:paraId="22A32C25">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签字或盖章要求</w:t>
            </w:r>
          </w:p>
        </w:tc>
        <w:tc>
          <w:tcPr>
            <w:tcW w:w="6463" w:type="dxa"/>
            <w:tcBorders>
              <w:top w:val="single" w:color="auto" w:sz="4" w:space="0"/>
              <w:left w:val="single" w:color="auto" w:sz="4" w:space="0"/>
              <w:bottom w:val="single" w:color="auto" w:sz="4" w:space="0"/>
              <w:right w:val="single" w:color="auto" w:sz="4" w:space="0"/>
            </w:tcBorders>
            <w:vAlign w:val="center"/>
          </w:tcPr>
          <w:p w14:paraId="68E13F43">
            <w:pPr>
              <w:spacing w:line="276" w:lineRule="auto"/>
              <w:rPr>
                <w:rFonts w:hint="eastAsia" w:ascii="宋体" w:hAnsi="宋体"/>
                <w:color w:val="auto"/>
                <w:szCs w:val="21"/>
                <w:highlight w:val="none"/>
                <w:u w:val="single"/>
              </w:rPr>
            </w:pPr>
            <w:r>
              <w:rPr>
                <w:rFonts w:hint="eastAsia" w:ascii="宋体" w:hAnsi="宋体"/>
                <w:color w:val="auto"/>
                <w:szCs w:val="21"/>
                <w:highlight w:val="none"/>
                <w:u w:val="single"/>
              </w:rPr>
              <w:t>投标人采用单位数字证书，按招标文件要求在相应位置加盖电子印章。投标文件中需个人签字或盖章的，应加盖个人电子印章或在线下完成后扫描上传。按照广州交易集团有限公司（广州公共资源交易中心）交易平台关于全流程电子化项目的相关指南进行操作。联合体投标的，除投标文件中的《联合体共同投标协议书》需联合体各方盖章、签字外，投标文件其他内容中的“投标人”、“声明企业”应填写联合体各方的单位全称，但由主办方盖章、签字即可。</w:t>
            </w:r>
          </w:p>
          <w:p w14:paraId="2444D38B">
            <w:pPr>
              <w:pStyle w:val="16"/>
              <w:spacing w:line="276" w:lineRule="auto"/>
              <w:rPr>
                <w:rFonts w:hint="eastAsia" w:ascii="宋体" w:hAnsi="宋体"/>
                <w:color w:val="auto"/>
                <w:szCs w:val="21"/>
                <w:highlight w:val="none"/>
              </w:rPr>
            </w:pPr>
            <w:r>
              <w:rPr>
                <w:rFonts w:hint="eastAsia" w:ascii="宋体" w:hAnsi="宋体"/>
                <w:b/>
                <w:color w:val="auto"/>
                <w:szCs w:val="21"/>
                <w:highlight w:val="none"/>
                <w:u w:val="single"/>
              </w:rPr>
              <w:t>注：设计方案投标文件为暗标，投标人在设计方案内不得标注名称、印章、商标、图形等记认符号，且不得识辨出投标人或其专业技术人员的身份。</w:t>
            </w:r>
          </w:p>
        </w:tc>
      </w:tr>
      <w:tr w14:paraId="090815F0">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2B9625F4">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3.7.4</w:t>
            </w:r>
          </w:p>
        </w:tc>
        <w:tc>
          <w:tcPr>
            <w:tcW w:w="2226" w:type="dxa"/>
            <w:tcBorders>
              <w:top w:val="single" w:color="auto" w:sz="4" w:space="0"/>
              <w:left w:val="single" w:color="auto" w:sz="4" w:space="0"/>
              <w:bottom w:val="single" w:color="auto" w:sz="4" w:space="0"/>
              <w:right w:val="single" w:color="auto" w:sz="4" w:space="0"/>
            </w:tcBorders>
            <w:vAlign w:val="center"/>
          </w:tcPr>
          <w:p w14:paraId="3A3AC11B">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投标文件份数</w:t>
            </w:r>
          </w:p>
        </w:tc>
        <w:tc>
          <w:tcPr>
            <w:tcW w:w="6463" w:type="dxa"/>
            <w:tcBorders>
              <w:top w:val="single" w:color="auto" w:sz="4" w:space="0"/>
              <w:left w:val="single" w:color="auto" w:sz="4" w:space="0"/>
              <w:bottom w:val="single" w:color="auto" w:sz="4" w:space="0"/>
              <w:right w:val="single" w:color="auto" w:sz="4" w:space="0"/>
            </w:tcBorders>
            <w:vAlign w:val="center"/>
          </w:tcPr>
          <w:p w14:paraId="7B0EFCE0">
            <w:pPr>
              <w:spacing w:line="276" w:lineRule="auto"/>
              <w:rPr>
                <w:rFonts w:hint="eastAsia" w:ascii="宋体" w:hAnsi="宋体" w:cs="宋体"/>
                <w:color w:val="auto"/>
                <w:szCs w:val="21"/>
                <w:highlight w:val="none"/>
              </w:rPr>
            </w:pPr>
            <w:r>
              <w:rPr>
                <w:rFonts w:hint="eastAsia" w:ascii="宋体" w:hAnsi="宋体" w:cs="宋体"/>
                <w:color w:val="auto"/>
                <w:szCs w:val="21"/>
                <w:highlight w:val="none"/>
                <w:u w:val="single"/>
              </w:rPr>
              <w:t>/</w:t>
            </w:r>
          </w:p>
        </w:tc>
      </w:tr>
      <w:tr w14:paraId="7F91812A">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163E55B5">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3.7.5</w:t>
            </w:r>
          </w:p>
        </w:tc>
        <w:tc>
          <w:tcPr>
            <w:tcW w:w="2226" w:type="dxa"/>
            <w:tcBorders>
              <w:top w:val="single" w:color="auto" w:sz="4" w:space="0"/>
              <w:left w:val="single" w:color="auto" w:sz="4" w:space="0"/>
              <w:bottom w:val="single" w:color="auto" w:sz="4" w:space="0"/>
              <w:right w:val="single" w:color="auto" w:sz="4" w:space="0"/>
            </w:tcBorders>
            <w:vAlign w:val="center"/>
          </w:tcPr>
          <w:p w14:paraId="706AB919">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装订要求</w:t>
            </w:r>
          </w:p>
        </w:tc>
        <w:tc>
          <w:tcPr>
            <w:tcW w:w="6463" w:type="dxa"/>
            <w:tcBorders>
              <w:top w:val="single" w:color="auto" w:sz="4" w:space="0"/>
              <w:left w:val="single" w:color="auto" w:sz="4" w:space="0"/>
              <w:bottom w:val="single" w:color="auto" w:sz="4" w:space="0"/>
              <w:right w:val="single" w:color="auto" w:sz="4" w:space="0"/>
            </w:tcBorders>
            <w:vAlign w:val="center"/>
          </w:tcPr>
          <w:p w14:paraId="494BE4B3">
            <w:pPr>
              <w:spacing w:line="276" w:lineRule="auto"/>
              <w:rPr>
                <w:rFonts w:hint="eastAsia" w:ascii="宋体" w:hAnsi="宋体" w:cs="宋体"/>
                <w:color w:val="auto"/>
                <w:szCs w:val="21"/>
                <w:highlight w:val="none"/>
              </w:rPr>
            </w:pPr>
            <w:r>
              <w:rPr>
                <w:rFonts w:hint="eastAsia" w:ascii="宋体" w:hAnsi="宋体" w:cs="宋体"/>
                <w:color w:val="auto"/>
                <w:szCs w:val="21"/>
                <w:highlight w:val="none"/>
                <w:u w:val="single"/>
              </w:rPr>
              <w:t>/</w:t>
            </w:r>
          </w:p>
        </w:tc>
      </w:tr>
      <w:tr w14:paraId="22C80733">
        <w:tblPrEx>
          <w:tblCellMar>
            <w:top w:w="0" w:type="dxa"/>
            <w:left w:w="108" w:type="dxa"/>
            <w:bottom w:w="0" w:type="dxa"/>
            <w:right w:w="108" w:type="dxa"/>
          </w:tblCellMar>
        </w:tblPrEx>
        <w:trPr>
          <w:trHeight w:val="185" w:hRule="atLeast"/>
        </w:trPr>
        <w:tc>
          <w:tcPr>
            <w:tcW w:w="1165" w:type="dxa"/>
            <w:tcBorders>
              <w:top w:val="single" w:color="auto" w:sz="4" w:space="0"/>
              <w:left w:val="single" w:color="auto" w:sz="4" w:space="0"/>
              <w:bottom w:val="single" w:color="auto" w:sz="4" w:space="0"/>
              <w:right w:val="single" w:color="auto" w:sz="4" w:space="0"/>
            </w:tcBorders>
            <w:vAlign w:val="center"/>
          </w:tcPr>
          <w:p w14:paraId="0C1515CE">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4.1.2</w:t>
            </w:r>
          </w:p>
        </w:tc>
        <w:tc>
          <w:tcPr>
            <w:tcW w:w="2226" w:type="dxa"/>
            <w:tcBorders>
              <w:top w:val="single" w:color="auto" w:sz="4" w:space="0"/>
              <w:left w:val="single" w:color="auto" w:sz="4" w:space="0"/>
              <w:bottom w:val="single" w:color="auto" w:sz="4" w:space="0"/>
              <w:right w:val="single" w:color="auto" w:sz="4" w:space="0"/>
            </w:tcBorders>
            <w:vAlign w:val="center"/>
          </w:tcPr>
          <w:p w14:paraId="1FF248E5">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封套上应载明的信息</w:t>
            </w:r>
          </w:p>
        </w:tc>
        <w:tc>
          <w:tcPr>
            <w:tcW w:w="6463" w:type="dxa"/>
            <w:tcBorders>
              <w:top w:val="single" w:color="auto" w:sz="4" w:space="0"/>
              <w:left w:val="single" w:color="auto" w:sz="4" w:space="0"/>
              <w:bottom w:val="single" w:color="auto" w:sz="4" w:space="0"/>
              <w:right w:val="single" w:color="auto" w:sz="4" w:space="0"/>
            </w:tcBorders>
            <w:vAlign w:val="center"/>
          </w:tcPr>
          <w:p w14:paraId="2CE3307D">
            <w:pPr>
              <w:spacing w:line="276"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w:t>
            </w:r>
          </w:p>
        </w:tc>
      </w:tr>
      <w:tr w14:paraId="74161769">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6EC8F68F">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4.2.2</w:t>
            </w:r>
          </w:p>
        </w:tc>
        <w:tc>
          <w:tcPr>
            <w:tcW w:w="2226" w:type="dxa"/>
            <w:tcBorders>
              <w:top w:val="single" w:color="auto" w:sz="4" w:space="0"/>
              <w:left w:val="single" w:color="auto" w:sz="4" w:space="0"/>
              <w:bottom w:val="single" w:color="auto" w:sz="4" w:space="0"/>
              <w:right w:val="single" w:color="auto" w:sz="4" w:space="0"/>
            </w:tcBorders>
            <w:vAlign w:val="center"/>
          </w:tcPr>
          <w:p w14:paraId="2EA7AD48">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递交投标文件地点</w:t>
            </w:r>
          </w:p>
        </w:tc>
        <w:tc>
          <w:tcPr>
            <w:tcW w:w="6463" w:type="dxa"/>
            <w:tcBorders>
              <w:top w:val="single" w:color="auto" w:sz="4" w:space="0"/>
              <w:left w:val="single" w:color="auto" w:sz="4" w:space="0"/>
              <w:bottom w:val="single" w:color="auto" w:sz="4" w:space="0"/>
              <w:right w:val="single" w:color="auto" w:sz="4" w:space="0"/>
            </w:tcBorders>
            <w:vAlign w:val="center"/>
          </w:tcPr>
          <w:p w14:paraId="71AF7B32">
            <w:pPr>
              <w:spacing w:line="276" w:lineRule="auto"/>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投标人应在截止时间前通过广州交易集团有限公司（广州公共资源交易中心）交易平台递交电子投标文件。</w:t>
            </w:r>
          </w:p>
        </w:tc>
      </w:tr>
      <w:tr w14:paraId="069C6863">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0E8D06DE">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4.2.3</w:t>
            </w:r>
          </w:p>
        </w:tc>
        <w:tc>
          <w:tcPr>
            <w:tcW w:w="2226" w:type="dxa"/>
            <w:tcBorders>
              <w:top w:val="single" w:color="auto" w:sz="4" w:space="0"/>
              <w:left w:val="single" w:color="auto" w:sz="4" w:space="0"/>
              <w:bottom w:val="single" w:color="auto" w:sz="4" w:space="0"/>
              <w:right w:val="single" w:color="auto" w:sz="4" w:space="0"/>
            </w:tcBorders>
            <w:vAlign w:val="center"/>
          </w:tcPr>
          <w:p w14:paraId="534D1F88">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是否退还投标文件</w:t>
            </w:r>
          </w:p>
        </w:tc>
        <w:tc>
          <w:tcPr>
            <w:tcW w:w="6463" w:type="dxa"/>
            <w:tcBorders>
              <w:top w:val="single" w:color="auto" w:sz="4" w:space="0"/>
              <w:left w:val="single" w:color="auto" w:sz="4" w:space="0"/>
              <w:bottom w:val="single" w:color="auto" w:sz="4" w:space="0"/>
              <w:right w:val="single" w:color="auto" w:sz="4" w:space="0"/>
            </w:tcBorders>
            <w:vAlign w:val="center"/>
          </w:tcPr>
          <w:p w14:paraId="50BF76AD">
            <w:pPr>
              <w:pStyle w:val="15"/>
              <w:topLinePunct/>
              <w:spacing w:line="276" w:lineRule="auto"/>
              <w:rPr>
                <w:rFonts w:hint="eastAsia" w:hAnsi="宋体" w:cs="宋体"/>
                <w:color w:val="auto"/>
                <w:sz w:val="21"/>
                <w:szCs w:val="21"/>
                <w:highlight w:val="none"/>
              </w:rPr>
            </w:pPr>
            <w:r>
              <w:rPr>
                <w:rFonts w:hint="eastAsia" w:hAnsi="宋体" w:cs="宋体"/>
                <w:color w:val="auto"/>
                <w:sz w:val="21"/>
                <w:szCs w:val="21"/>
                <w:highlight w:val="none"/>
              </w:rPr>
              <w:t>■否</w:t>
            </w:r>
          </w:p>
          <w:p w14:paraId="5C38B59E">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□是</w:t>
            </w:r>
          </w:p>
        </w:tc>
      </w:tr>
      <w:tr w14:paraId="2AEBC058">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right w:val="single" w:color="auto" w:sz="4" w:space="0"/>
            </w:tcBorders>
            <w:vAlign w:val="center"/>
          </w:tcPr>
          <w:p w14:paraId="395D465A">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2226" w:type="dxa"/>
            <w:tcBorders>
              <w:top w:val="single" w:color="auto" w:sz="4" w:space="0"/>
              <w:left w:val="single" w:color="auto" w:sz="4" w:space="0"/>
              <w:right w:val="single" w:color="auto" w:sz="4" w:space="0"/>
            </w:tcBorders>
            <w:vAlign w:val="center"/>
          </w:tcPr>
          <w:p w14:paraId="4A60C0DD">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开标时间和地点</w:t>
            </w:r>
          </w:p>
        </w:tc>
        <w:tc>
          <w:tcPr>
            <w:tcW w:w="6463" w:type="dxa"/>
            <w:tcBorders>
              <w:top w:val="single" w:color="auto" w:sz="4" w:space="0"/>
              <w:left w:val="single" w:color="auto" w:sz="4" w:space="0"/>
              <w:right w:val="single" w:color="auto" w:sz="4" w:space="0"/>
            </w:tcBorders>
            <w:vAlign w:val="center"/>
          </w:tcPr>
          <w:p w14:paraId="7CD3B3C6">
            <w:pPr>
              <w:widowControl/>
              <w:spacing w:line="276"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开标时间：</w:t>
            </w:r>
            <w:r>
              <w:rPr>
                <w:rFonts w:hint="eastAsia" w:ascii="宋体" w:hAnsi="宋体" w:cs="宋体"/>
                <w:color w:val="auto"/>
                <w:kern w:val="0"/>
                <w:szCs w:val="21"/>
                <w:highlight w:val="none"/>
                <w:u w:val="single"/>
              </w:rPr>
              <w:t>开标时间同投标截止时间。</w:t>
            </w:r>
          </w:p>
          <w:p w14:paraId="60A4BCCC">
            <w:pPr>
              <w:widowControl/>
              <w:spacing w:line="276"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开标地点：</w:t>
            </w:r>
            <w:r>
              <w:rPr>
                <w:rFonts w:hint="eastAsia" w:ascii="宋体" w:hAnsi="宋体" w:cs="宋体"/>
                <w:color w:val="auto"/>
                <w:kern w:val="0"/>
                <w:szCs w:val="21"/>
                <w:highlight w:val="none"/>
                <w:u w:val="single"/>
              </w:rPr>
              <w:t>在广州交易集团有限公司（广州公共资源交易中心）交易平台进行网上开标。</w:t>
            </w:r>
          </w:p>
        </w:tc>
      </w:tr>
      <w:tr w14:paraId="1B731792">
        <w:tblPrEx>
          <w:tblCellMar>
            <w:top w:w="0" w:type="dxa"/>
            <w:left w:w="108" w:type="dxa"/>
            <w:bottom w:w="0" w:type="dxa"/>
            <w:right w:w="108" w:type="dxa"/>
          </w:tblCellMar>
        </w:tblPrEx>
        <w:trPr>
          <w:trHeight w:val="381" w:hRule="atLeast"/>
        </w:trPr>
        <w:tc>
          <w:tcPr>
            <w:tcW w:w="1165" w:type="dxa"/>
            <w:tcBorders>
              <w:top w:val="single" w:color="auto" w:sz="4" w:space="0"/>
              <w:left w:val="single" w:color="auto" w:sz="4" w:space="0"/>
              <w:right w:val="single" w:color="auto" w:sz="4" w:space="0"/>
            </w:tcBorders>
            <w:vAlign w:val="center"/>
          </w:tcPr>
          <w:p w14:paraId="313EA877">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5.2</w:t>
            </w:r>
          </w:p>
        </w:tc>
        <w:tc>
          <w:tcPr>
            <w:tcW w:w="2226" w:type="dxa"/>
            <w:tcBorders>
              <w:top w:val="single" w:color="auto" w:sz="4" w:space="0"/>
              <w:left w:val="single" w:color="auto" w:sz="4" w:space="0"/>
              <w:right w:val="single" w:color="auto" w:sz="4" w:space="0"/>
            </w:tcBorders>
            <w:vAlign w:val="center"/>
          </w:tcPr>
          <w:p w14:paraId="4BD1B56C">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开标程序</w:t>
            </w:r>
          </w:p>
        </w:tc>
        <w:tc>
          <w:tcPr>
            <w:tcW w:w="6463" w:type="dxa"/>
            <w:tcBorders>
              <w:top w:val="single" w:color="auto" w:sz="4" w:space="0"/>
              <w:left w:val="single" w:color="auto" w:sz="4" w:space="0"/>
              <w:right w:val="single" w:color="auto" w:sz="4" w:space="0"/>
            </w:tcBorders>
            <w:vAlign w:val="center"/>
          </w:tcPr>
          <w:p w14:paraId="4729C20E">
            <w:pPr>
              <w:spacing w:line="276" w:lineRule="auto"/>
              <w:rPr>
                <w:rFonts w:hint="eastAsia" w:ascii="宋体" w:hAnsi="宋体" w:cs="新宋体"/>
                <w:color w:val="auto"/>
                <w:szCs w:val="21"/>
                <w:highlight w:val="none"/>
                <w:u w:val="single"/>
              </w:rPr>
            </w:pPr>
            <w:r>
              <w:rPr>
                <w:rFonts w:hint="eastAsia" w:ascii="宋体" w:hAnsi="宋体" w:cs="新宋体"/>
                <w:color w:val="auto"/>
                <w:szCs w:val="21"/>
                <w:highlight w:val="none"/>
                <w:u w:val="single"/>
              </w:rPr>
              <w:t>主持人按下列程序进行开标：</w:t>
            </w:r>
          </w:p>
          <w:p w14:paraId="28067A6A">
            <w:pPr>
              <w:spacing w:line="276" w:lineRule="auto"/>
              <w:rPr>
                <w:rFonts w:hint="eastAsia" w:ascii="宋体" w:hAnsi="宋体" w:cs="新宋体"/>
                <w:color w:val="auto"/>
                <w:szCs w:val="21"/>
                <w:highlight w:val="none"/>
                <w:u w:val="single"/>
              </w:rPr>
            </w:pPr>
            <w:r>
              <w:rPr>
                <w:rFonts w:hint="eastAsia" w:ascii="宋体" w:hAnsi="宋体" w:cs="新宋体"/>
                <w:color w:val="auto"/>
                <w:szCs w:val="21"/>
                <w:highlight w:val="none"/>
                <w:u w:val="single"/>
              </w:rPr>
              <w:t>（1）宣布开标纪律；</w:t>
            </w:r>
          </w:p>
          <w:p w14:paraId="1B92FA7E">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2）在投标截止时间后30分钟内，投标人通过递交投标文件的交易平台对已递交的电子投标文件进行解密。投标人完成解密后，再由招标人进行解密（投标人只用执行一次解密，招标人执行解密次数根据招标文件开标次数确定）。</w:t>
            </w:r>
          </w:p>
          <w:p w14:paraId="70A08046">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3）解密完成后，公布：a投标人名称；b投标文件递交情况；c投标文件解密情况；d项目负责人、施工负责人、设计负责人、专职安全员；e投标报价（含设计费报价和建安工程费报价）；f工期；g投标人的加密打包投标文件电脑机器特征码等主要内容，并记录在案。未在规定时间内解密的投标文件不参与开标、评标。</w:t>
            </w:r>
          </w:p>
          <w:p w14:paraId="5865E8BA">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（4）截标后，开标开始时间因故推迟的，相关评标信息仍以原定的开标开始时间的信息为准。</w:t>
            </w:r>
          </w:p>
          <w:p w14:paraId="589E059B">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（5）备用光盘的读取按“10 电子招标投标”第6点的规定执行。</w:t>
            </w:r>
          </w:p>
          <w:p w14:paraId="4149E393">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6）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4AAC5731">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7）参加现场开标的投标人对开标结果有异议的，应当在开标现场提出，招标人应当当场作出答复，并制作记录。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5099D601">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（8）投标人未参加开标或在规定的时间内未提出异议的，视为对开标无异议。</w:t>
            </w:r>
          </w:p>
          <w:p w14:paraId="38B3D116">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（9）开标时，两个（含两个）以上的投标人加密打包投标文件电脑机器特征码一致的，不参与下一程序，并由评标委员会否决其投标。</w:t>
            </w:r>
          </w:p>
          <w:p w14:paraId="656901F8">
            <w:pPr>
              <w:spacing w:line="276" w:lineRule="auto"/>
              <w:rPr>
                <w:rFonts w:hint="eastAsia" w:ascii="宋体" w:hAnsi="宋体"/>
                <w:color w:val="auto"/>
                <w:szCs w:val="21"/>
                <w:highlight w:val="none"/>
              </w:rPr>
            </w:pPr>
            <w:r>
              <w:rPr>
                <w:rFonts w:hint="eastAsia" w:ascii="宋体" w:hAnsi="宋体" w:cs="宋体"/>
                <w:color w:val="auto"/>
                <w:szCs w:val="21"/>
                <w:highlight w:val="none"/>
              </w:rPr>
              <w:t>（10）投标文件（设计方案）开标时不得开启，在评标时由交易平台随机编号后开启，交由评标委员会进行评审。编号所对应的投标人在设计方案评审结束前不得告知评标委员会、交易平台工作人员、招标人或招标代理机构。</w:t>
            </w:r>
          </w:p>
          <w:p w14:paraId="087D8427">
            <w:pPr>
              <w:spacing w:line="276" w:lineRule="auto"/>
              <w:rPr>
                <w:rFonts w:hint="eastAsia" w:ascii="宋体" w:hAnsi="宋体" w:cs="新宋体"/>
                <w:color w:val="auto"/>
                <w:szCs w:val="21"/>
                <w:highlight w:val="none"/>
              </w:rPr>
            </w:pPr>
            <w:r>
              <w:rPr>
                <w:rFonts w:hint="eastAsia" w:ascii="宋体" w:hAnsi="宋体" w:cs="宋体"/>
                <w:color w:val="auto"/>
                <w:szCs w:val="21"/>
                <w:highlight w:val="none"/>
              </w:rPr>
              <w:t>（11）</w:t>
            </w:r>
            <w:r>
              <w:rPr>
                <w:rFonts w:hint="eastAsia" w:ascii="宋体" w:hAnsi="宋体" w:cs="新宋体"/>
                <w:color w:val="auto"/>
                <w:szCs w:val="21"/>
                <w:highlight w:val="none"/>
              </w:rPr>
              <w:t>投标人未参加开标或在规定的时间内未提出异议的，视为对开标无异议。</w:t>
            </w:r>
          </w:p>
          <w:p w14:paraId="524385B6">
            <w:pPr>
              <w:spacing w:line="276" w:lineRule="auto"/>
              <w:rPr>
                <w:rFonts w:hint="eastAsia" w:ascii="宋体" w:hAnsi="宋体" w:cs="新宋体"/>
                <w:color w:val="auto"/>
                <w:szCs w:val="21"/>
                <w:highlight w:val="none"/>
              </w:rPr>
            </w:pPr>
            <w:r>
              <w:rPr>
                <w:rFonts w:hint="eastAsia" w:ascii="宋体" w:hAnsi="宋体" w:cs="新宋体"/>
                <w:color w:val="auto"/>
                <w:szCs w:val="21"/>
                <w:highlight w:val="none"/>
              </w:rPr>
              <w:t>（12）投标人代表、招标人代表、监标人、记录人等有关人员在开标记录上签字确认；若有关人员不签字的，不影响开标程序；</w:t>
            </w:r>
          </w:p>
          <w:p w14:paraId="036D8424">
            <w:pPr>
              <w:spacing w:line="276" w:lineRule="auto"/>
              <w:rPr>
                <w:rFonts w:hint="eastAsia" w:ascii="宋体" w:hAnsi="宋体" w:cs="宋体"/>
                <w:color w:val="auto"/>
                <w:szCs w:val="21"/>
                <w:highlight w:val="none"/>
              </w:rPr>
            </w:pPr>
            <w:r>
              <w:rPr>
                <w:rFonts w:hint="eastAsia" w:ascii="宋体" w:hAnsi="宋体" w:cs="新宋体"/>
                <w:color w:val="auto"/>
                <w:szCs w:val="21"/>
                <w:highlight w:val="none"/>
              </w:rPr>
              <w:t>（13）开标结束。</w:t>
            </w:r>
          </w:p>
        </w:tc>
      </w:tr>
      <w:tr w14:paraId="4A6A5BDF">
        <w:tblPrEx>
          <w:tblCellMar>
            <w:top w:w="0" w:type="dxa"/>
            <w:left w:w="108" w:type="dxa"/>
            <w:bottom w:w="0" w:type="dxa"/>
            <w:right w:w="108" w:type="dxa"/>
          </w:tblCellMar>
        </w:tblPrEx>
        <w:trPr>
          <w:trHeight w:val="1135" w:hRule="atLeast"/>
        </w:trPr>
        <w:tc>
          <w:tcPr>
            <w:tcW w:w="1165" w:type="dxa"/>
            <w:tcBorders>
              <w:top w:val="single" w:color="auto" w:sz="4" w:space="0"/>
              <w:left w:val="single" w:color="auto" w:sz="4" w:space="0"/>
              <w:bottom w:val="single" w:color="auto" w:sz="4" w:space="0"/>
              <w:right w:val="single" w:color="auto" w:sz="4" w:space="0"/>
            </w:tcBorders>
            <w:vAlign w:val="center"/>
          </w:tcPr>
          <w:p w14:paraId="295C0240">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6.1.1</w:t>
            </w:r>
          </w:p>
        </w:tc>
        <w:tc>
          <w:tcPr>
            <w:tcW w:w="2226" w:type="dxa"/>
            <w:tcBorders>
              <w:top w:val="single" w:color="auto" w:sz="4" w:space="0"/>
              <w:left w:val="single" w:color="auto" w:sz="4" w:space="0"/>
              <w:bottom w:val="single" w:color="auto" w:sz="4" w:space="0"/>
              <w:right w:val="single" w:color="auto" w:sz="4" w:space="0"/>
            </w:tcBorders>
            <w:vAlign w:val="center"/>
          </w:tcPr>
          <w:p w14:paraId="49CF0C4B">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评标委员会的组建</w:t>
            </w:r>
          </w:p>
        </w:tc>
        <w:tc>
          <w:tcPr>
            <w:tcW w:w="6463" w:type="dxa"/>
            <w:tcBorders>
              <w:top w:val="single" w:color="auto" w:sz="4" w:space="0"/>
              <w:left w:val="single" w:color="auto" w:sz="4" w:space="0"/>
              <w:bottom w:val="single" w:color="auto" w:sz="4" w:space="0"/>
              <w:right w:val="single" w:color="auto" w:sz="4" w:space="0"/>
            </w:tcBorders>
            <w:vAlign w:val="center"/>
          </w:tcPr>
          <w:p w14:paraId="2717782F">
            <w:pPr>
              <w:spacing w:line="276" w:lineRule="auto"/>
              <w:ind w:left="1476" w:hanging="1476" w:hangingChars="703"/>
              <w:rPr>
                <w:rFonts w:hint="eastAsia" w:ascii="宋体" w:hAnsi="宋体" w:cs="宋体"/>
                <w:color w:val="auto"/>
                <w:szCs w:val="21"/>
                <w:highlight w:val="none"/>
              </w:rPr>
            </w:pPr>
            <w:r>
              <w:rPr>
                <w:rFonts w:hint="eastAsia" w:ascii="宋体" w:hAnsi="宋体" w:cs="宋体"/>
                <w:color w:val="auto"/>
                <w:szCs w:val="21"/>
                <w:highlight w:val="none"/>
              </w:rPr>
              <w:t>评标委员会构成：由招标人依法组建。</w:t>
            </w:r>
          </w:p>
        </w:tc>
      </w:tr>
      <w:tr w14:paraId="0E902FE7">
        <w:tblPrEx>
          <w:tblCellMar>
            <w:top w:w="0" w:type="dxa"/>
            <w:left w:w="108" w:type="dxa"/>
            <w:bottom w:w="0" w:type="dxa"/>
            <w:right w:w="108" w:type="dxa"/>
          </w:tblCellMar>
        </w:tblPrEx>
        <w:trPr>
          <w:trHeight w:val="995" w:hRule="atLeast"/>
        </w:trPr>
        <w:tc>
          <w:tcPr>
            <w:tcW w:w="1165" w:type="dxa"/>
            <w:tcBorders>
              <w:top w:val="single" w:color="auto" w:sz="4" w:space="0"/>
              <w:left w:val="single" w:color="auto" w:sz="4" w:space="0"/>
              <w:bottom w:val="single" w:color="auto" w:sz="4" w:space="0"/>
              <w:right w:val="single" w:color="auto" w:sz="4" w:space="0"/>
            </w:tcBorders>
            <w:vAlign w:val="center"/>
          </w:tcPr>
          <w:p w14:paraId="6D5347B6">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7.1</w:t>
            </w:r>
          </w:p>
        </w:tc>
        <w:tc>
          <w:tcPr>
            <w:tcW w:w="2226" w:type="dxa"/>
            <w:tcBorders>
              <w:top w:val="single" w:color="auto" w:sz="4" w:space="0"/>
              <w:left w:val="single" w:color="auto" w:sz="4" w:space="0"/>
              <w:bottom w:val="single" w:color="auto" w:sz="4" w:space="0"/>
              <w:right w:val="single" w:color="auto" w:sz="4" w:space="0"/>
            </w:tcBorders>
            <w:vAlign w:val="center"/>
          </w:tcPr>
          <w:p w14:paraId="2EF2F8D2">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是否授权评标委员会确定中标人</w:t>
            </w:r>
          </w:p>
        </w:tc>
        <w:tc>
          <w:tcPr>
            <w:tcW w:w="6463" w:type="dxa"/>
            <w:tcBorders>
              <w:top w:val="single" w:color="auto" w:sz="4" w:space="0"/>
              <w:left w:val="single" w:color="auto" w:sz="4" w:space="0"/>
              <w:bottom w:val="single" w:color="auto" w:sz="4" w:space="0"/>
              <w:right w:val="single" w:color="auto" w:sz="4" w:space="0"/>
            </w:tcBorders>
            <w:vAlign w:val="center"/>
          </w:tcPr>
          <w:p w14:paraId="3A4052C0">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□是</w:t>
            </w:r>
          </w:p>
          <w:p w14:paraId="50B36E02">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■否，推荐的中标候选人数：3人。</w:t>
            </w:r>
          </w:p>
        </w:tc>
      </w:tr>
      <w:tr w14:paraId="2033056E">
        <w:tblPrEx>
          <w:tblCellMar>
            <w:top w:w="0" w:type="dxa"/>
            <w:left w:w="108" w:type="dxa"/>
            <w:bottom w:w="0" w:type="dxa"/>
            <w:right w:w="108" w:type="dxa"/>
          </w:tblCellMar>
        </w:tblPrEx>
        <w:trPr>
          <w:trHeight w:val="1042" w:hRule="atLeast"/>
        </w:trPr>
        <w:tc>
          <w:tcPr>
            <w:tcW w:w="1165" w:type="dxa"/>
            <w:tcBorders>
              <w:top w:val="single" w:color="auto" w:sz="4" w:space="0"/>
              <w:left w:val="single" w:color="auto" w:sz="4" w:space="0"/>
              <w:right w:val="single" w:color="auto" w:sz="4" w:space="0"/>
            </w:tcBorders>
            <w:vAlign w:val="center"/>
          </w:tcPr>
          <w:p w14:paraId="4C8A56FB">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7.2</w:t>
            </w:r>
          </w:p>
        </w:tc>
        <w:tc>
          <w:tcPr>
            <w:tcW w:w="2226" w:type="dxa"/>
            <w:tcBorders>
              <w:top w:val="single" w:color="auto" w:sz="4" w:space="0"/>
              <w:left w:val="single" w:color="auto" w:sz="4" w:space="0"/>
              <w:right w:val="single" w:color="auto" w:sz="4" w:space="0"/>
            </w:tcBorders>
            <w:vAlign w:val="center"/>
          </w:tcPr>
          <w:p w14:paraId="7237BF83">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中标候选人公示媒介</w:t>
            </w:r>
          </w:p>
        </w:tc>
        <w:tc>
          <w:tcPr>
            <w:tcW w:w="6463" w:type="dxa"/>
            <w:tcBorders>
              <w:top w:val="single" w:color="auto" w:sz="4" w:space="0"/>
              <w:left w:val="single" w:color="auto" w:sz="4" w:space="0"/>
              <w:right w:val="single" w:color="auto" w:sz="4" w:space="0"/>
            </w:tcBorders>
            <w:vAlign w:val="center"/>
          </w:tcPr>
          <w:p w14:paraId="5FBAE6BF">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广州交易集团有限公司（广州公共资源交易中心）、广东省招标投标监管网和中国招标投标公共服务平台</w:t>
            </w:r>
          </w:p>
        </w:tc>
      </w:tr>
      <w:tr w14:paraId="7FBDF7F1">
        <w:tblPrEx>
          <w:tblCellMar>
            <w:top w:w="0" w:type="dxa"/>
            <w:left w:w="108" w:type="dxa"/>
            <w:bottom w:w="0" w:type="dxa"/>
            <w:right w:w="108" w:type="dxa"/>
          </w:tblCellMar>
        </w:tblPrEx>
        <w:trPr>
          <w:trHeight w:val="1128" w:hRule="atLeast"/>
        </w:trPr>
        <w:tc>
          <w:tcPr>
            <w:tcW w:w="1165" w:type="dxa"/>
            <w:tcBorders>
              <w:top w:val="single" w:color="auto" w:sz="4" w:space="0"/>
              <w:left w:val="single" w:color="auto" w:sz="4" w:space="0"/>
              <w:bottom w:val="single" w:color="auto" w:sz="4" w:space="0"/>
              <w:right w:val="single" w:color="auto" w:sz="4" w:space="0"/>
            </w:tcBorders>
            <w:vAlign w:val="center"/>
          </w:tcPr>
          <w:p w14:paraId="606410D8">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7.4.1</w:t>
            </w:r>
          </w:p>
        </w:tc>
        <w:tc>
          <w:tcPr>
            <w:tcW w:w="2226" w:type="dxa"/>
            <w:tcBorders>
              <w:top w:val="single" w:color="auto" w:sz="4" w:space="0"/>
              <w:left w:val="single" w:color="auto" w:sz="4" w:space="0"/>
              <w:bottom w:val="single" w:color="auto" w:sz="4" w:space="0"/>
              <w:right w:val="single" w:color="auto" w:sz="4" w:space="0"/>
            </w:tcBorders>
            <w:vAlign w:val="center"/>
          </w:tcPr>
          <w:p w14:paraId="79E71E09">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履约担保</w:t>
            </w:r>
          </w:p>
        </w:tc>
        <w:tc>
          <w:tcPr>
            <w:tcW w:w="6463" w:type="dxa"/>
            <w:tcBorders>
              <w:top w:val="single" w:color="auto" w:sz="4" w:space="0"/>
              <w:left w:val="single" w:color="auto" w:sz="4" w:space="0"/>
              <w:bottom w:val="single" w:color="auto" w:sz="4" w:space="0"/>
              <w:right w:val="single" w:color="auto" w:sz="4" w:space="0"/>
            </w:tcBorders>
            <w:vAlign w:val="center"/>
          </w:tcPr>
          <w:p w14:paraId="32782ADE">
            <w:pPr>
              <w:widowControl/>
              <w:spacing w:line="276"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履约担保的形式：以合同约定为准。</w:t>
            </w:r>
          </w:p>
          <w:p w14:paraId="47115A32">
            <w:pPr>
              <w:spacing w:line="276" w:lineRule="auto"/>
              <w:rPr>
                <w:rFonts w:hint="eastAsia" w:ascii="宋体" w:hAnsi="宋体" w:cs="宋体"/>
                <w:color w:val="auto"/>
                <w:szCs w:val="21"/>
                <w:highlight w:val="none"/>
              </w:rPr>
            </w:pPr>
            <w:r>
              <w:rPr>
                <w:rFonts w:hint="eastAsia" w:ascii="宋体" w:hAnsi="宋体" w:cs="宋体"/>
                <w:color w:val="auto"/>
                <w:kern w:val="0"/>
                <w:szCs w:val="21"/>
                <w:highlight w:val="none"/>
              </w:rPr>
              <w:t>履约担保的金额：履约担保金额为中标合同金额的10%。联合体中标的，其履约担保由联合体主办方按中标合同金额的10%</w:t>
            </w:r>
            <w:r>
              <w:rPr>
                <w:rFonts w:hint="eastAsia" w:ascii="宋体" w:hAnsi="宋体" w:cs="宋体"/>
                <w:color w:val="auto"/>
                <w:szCs w:val="21"/>
                <w:highlight w:val="none"/>
              </w:rPr>
              <w:t>开具。</w:t>
            </w:r>
          </w:p>
        </w:tc>
      </w:tr>
      <w:tr w14:paraId="7CB2949F">
        <w:tblPrEx>
          <w:tblCellMar>
            <w:top w:w="0" w:type="dxa"/>
            <w:left w:w="108" w:type="dxa"/>
            <w:bottom w:w="0" w:type="dxa"/>
            <w:right w:w="108" w:type="dxa"/>
          </w:tblCellMar>
        </w:tblPrEx>
        <w:trPr>
          <w:trHeight w:val="324" w:hRule="atLeast"/>
        </w:trPr>
        <w:tc>
          <w:tcPr>
            <w:tcW w:w="1165" w:type="dxa"/>
            <w:tcBorders>
              <w:top w:val="single" w:color="auto" w:sz="4" w:space="0"/>
              <w:left w:val="single" w:color="auto" w:sz="4" w:space="0"/>
              <w:bottom w:val="single" w:color="auto" w:sz="4" w:space="0"/>
              <w:right w:val="single" w:color="auto" w:sz="4" w:space="0"/>
            </w:tcBorders>
            <w:vAlign w:val="center"/>
          </w:tcPr>
          <w:p w14:paraId="35DDD934">
            <w:pPr>
              <w:spacing w:line="27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9</w:t>
            </w:r>
          </w:p>
        </w:tc>
        <w:tc>
          <w:tcPr>
            <w:tcW w:w="8689" w:type="dxa"/>
            <w:gridSpan w:val="2"/>
            <w:tcBorders>
              <w:top w:val="single" w:color="auto" w:sz="4" w:space="0"/>
              <w:left w:val="single" w:color="auto" w:sz="4" w:space="0"/>
              <w:bottom w:val="single" w:color="auto" w:sz="4" w:space="0"/>
              <w:right w:val="single" w:color="auto" w:sz="4" w:space="0"/>
            </w:tcBorders>
            <w:vAlign w:val="center"/>
          </w:tcPr>
          <w:p w14:paraId="1AE27516">
            <w:pPr>
              <w:spacing w:line="27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需要补充的其他内容</w:t>
            </w:r>
          </w:p>
        </w:tc>
      </w:tr>
      <w:tr w14:paraId="3422A45C">
        <w:tblPrEx>
          <w:tblCellMar>
            <w:top w:w="0" w:type="dxa"/>
            <w:left w:w="108" w:type="dxa"/>
            <w:bottom w:w="0" w:type="dxa"/>
            <w:right w:w="108" w:type="dxa"/>
          </w:tblCellMar>
        </w:tblPrEx>
        <w:trPr>
          <w:trHeight w:val="330" w:hRule="atLeast"/>
        </w:trPr>
        <w:tc>
          <w:tcPr>
            <w:tcW w:w="1165" w:type="dxa"/>
            <w:tcBorders>
              <w:top w:val="single" w:color="auto" w:sz="4" w:space="0"/>
              <w:left w:val="single" w:color="auto" w:sz="4" w:space="0"/>
              <w:bottom w:val="single" w:color="auto" w:sz="4" w:space="0"/>
              <w:right w:val="single" w:color="auto" w:sz="4" w:space="0"/>
            </w:tcBorders>
            <w:vAlign w:val="center"/>
          </w:tcPr>
          <w:p w14:paraId="69FC8A7A">
            <w:pPr>
              <w:spacing w:line="276"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9.1</w:t>
            </w:r>
          </w:p>
        </w:tc>
        <w:tc>
          <w:tcPr>
            <w:tcW w:w="8689" w:type="dxa"/>
            <w:gridSpan w:val="2"/>
            <w:tcBorders>
              <w:top w:val="single" w:color="auto" w:sz="4" w:space="0"/>
              <w:left w:val="single" w:color="auto" w:sz="4" w:space="0"/>
              <w:bottom w:val="single" w:color="auto" w:sz="4" w:space="0"/>
              <w:right w:val="single" w:color="auto" w:sz="4" w:space="0"/>
            </w:tcBorders>
            <w:vAlign w:val="center"/>
          </w:tcPr>
          <w:p w14:paraId="185947C2">
            <w:pPr>
              <w:spacing w:line="276" w:lineRule="auto"/>
              <w:rPr>
                <w:rFonts w:hint="eastAsia" w:ascii="宋体" w:hAnsi="宋体" w:cs="宋体"/>
                <w:bCs/>
                <w:color w:val="auto"/>
                <w:szCs w:val="21"/>
                <w:highlight w:val="none"/>
              </w:rPr>
            </w:pPr>
            <w:r>
              <w:rPr>
                <w:rFonts w:hint="eastAsia" w:ascii="宋体" w:hAnsi="宋体" w:cs="宋体"/>
                <w:bCs/>
                <w:color w:val="auto"/>
                <w:kern w:val="0"/>
                <w:szCs w:val="21"/>
                <w:highlight w:val="none"/>
              </w:rPr>
              <w:t>施工保修期限：按照《建设工程质量管理条例》规定。</w:t>
            </w:r>
          </w:p>
        </w:tc>
      </w:tr>
      <w:tr w14:paraId="4618B679">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300830D2">
            <w:pPr>
              <w:spacing w:line="276"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9.2</w:t>
            </w:r>
          </w:p>
        </w:tc>
        <w:tc>
          <w:tcPr>
            <w:tcW w:w="8689" w:type="dxa"/>
            <w:gridSpan w:val="2"/>
            <w:tcBorders>
              <w:top w:val="single" w:color="auto" w:sz="4" w:space="0"/>
              <w:left w:val="single" w:color="auto" w:sz="4" w:space="0"/>
              <w:bottom w:val="single" w:color="auto" w:sz="4" w:space="0"/>
              <w:right w:val="single" w:color="auto" w:sz="4" w:space="0"/>
            </w:tcBorders>
            <w:vAlign w:val="center"/>
          </w:tcPr>
          <w:p w14:paraId="4545A222">
            <w:pPr>
              <w:spacing w:line="276"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建设工程质量检测管理办法：</w:t>
            </w:r>
          </w:p>
          <w:p w14:paraId="1B69D4E3">
            <w:pPr>
              <w:spacing w:line="276" w:lineRule="auto"/>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660187A8">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3D1D07AA">
            <w:pPr>
              <w:spacing w:line="276"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9.3</w:t>
            </w:r>
          </w:p>
        </w:tc>
        <w:tc>
          <w:tcPr>
            <w:tcW w:w="8689" w:type="dxa"/>
            <w:gridSpan w:val="2"/>
            <w:tcBorders>
              <w:top w:val="single" w:color="auto" w:sz="4" w:space="0"/>
              <w:left w:val="single" w:color="auto" w:sz="4" w:space="0"/>
              <w:bottom w:val="single" w:color="auto" w:sz="4" w:space="0"/>
              <w:right w:val="single" w:color="auto" w:sz="4" w:space="0"/>
            </w:tcBorders>
            <w:vAlign w:val="center"/>
          </w:tcPr>
          <w:p w14:paraId="1DBBD815">
            <w:pPr>
              <w:spacing w:line="276"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在招标和合同实施期间，业主要求投标人和承包人遵守最高的道德标准。</w:t>
            </w:r>
          </w:p>
          <w:p w14:paraId="4A5D5081">
            <w:pPr>
              <w:spacing w:line="276"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1、对本条款的规定，特定义如下词汇：</w:t>
            </w:r>
          </w:p>
          <w:p w14:paraId="78E64B83">
            <w:pPr>
              <w:spacing w:line="276"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（1）“腐败行为”是指在招标或合同执行期间，通过提供、给予、接受或索要任何有价值的东西，从而影响招标人有关人员工作的行为；</w:t>
            </w:r>
          </w:p>
          <w:p w14:paraId="35EBDAF3">
            <w:pPr>
              <w:spacing w:line="276"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2）“欺诈行为”是指通过提供伪证影响招标或合同执行，从而损害招标人利益的行为；也包括投标人之间串通（在提交投标书之前或之后），人为地使招标过程失去竞争性，从而使业主无法从公开的自由竞争中获得利益的行为。</w:t>
            </w:r>
          </w:p>
          <w:p w14:paraId="343B6795">
            <w:pPr>
              <w:spacing w:line="276"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2、如果投标人被认定在本招标的竞争中有腐败或欺诈行为，则会被取消投标资格。</w:t>
            </w:r>
          </w:p>
        </w:tc>
      </w:tr>
      <w:tr w14:paraId="6C0BA2ED">
        <w:tblPrEx>
          <w:tblCellMar>
            <w:top w:w="0" w:type="dxa"/>
            <w:left w:w="108" w:type="dxa"/>
            <w:bottom w:w="0" w:type="dxa"/>
            <w:right w:w="108" w:type="dxa"/>
          </w:tblCellMar>
        </w:tblPrEx>
        <w:trPr>
          <w:trHeight w:val="998" w:hRule="atLeast"/>
        </w:trPr>
        <w:tc>
          <w:tcPr>
            <w:tcW w:w="1165" w:type="dxa"/>
            <w:tcBorders>
              <w:top w:val="single" w:color="auto" w:sz="4" w:space="0"/>
              <w:left w:val="single" w:color="auto" w:sz="4" w:space="0"/>
              <w:bottom w:val="single" w:color="auto" w:sz="4" w:space="0"/>
              <w:right w:val="single" w:color="auto" w:sz="4" w:space="0"/>
            </w:tcBorders>
            <w:vAlign w:val="center"/>
          </w:tcPr>
          <w:p w14:paraId="63BE31A3">
            <w:pPr>
              <w:spacing w:line="276"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9.4</w:t>
            </w:r>
          </w:p>
        </w:tc>
        <w:tc>
          <w:tcPr>
            <w:tcW w:w="8689" w:type="dxa"/>
            <w:gridSpan w:val="2"/>
            <w:tcBorders>
              <w:top w:val="single" w:color="auto" w:sz="4" w:space="0"/>
              <w:left w:val="single" w:color="auto" w:sz="4" w:space="0"/>
              <w:bottom w:val="single" w:color="auto" w:sz="4" w:space="0"/>
              <w:right w:val="single" w:color="auto" w:sz="4" w:space="0"/>
            </w:tcBorders>
            <w:vAlign w:val="center"/>
          </w:tcPr>
          <w:p w14:paraId="128332DA">
            <w:pPr>
              <w:widowControl/>
              <w:spacing w:line="276" w:lineRule="auto"/>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职业健康安全管理目标：杜绝一般等级以上的伤亡事故且工伤责任事故人数为零。</w:t>
            </w:r>
          </w:p>
          <w:p w14:paraId="4E42999B">
            <w:pPr>
              <w:spacing w:line="276" w:lineRule="auto"/>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环境管理目标：严格执行《广州市建设工程现场文明施工管理办法》等市有关文明施工方面的文件。</w:t>
            </w:r>
          </w:p>
        </w:tc>
      </w:tr>
      <w:tr w14:paraId="1C5DD3E5">
        <w:tblPrEx>
          <w:tblCellMar>
            <w:top w:w="0" w:type="dxa"/>
            <w:left w:w="108" w:type="dxa"/>
            <w:bottom w:w="0" w:type="dxa"/>
            <w:right w:w="108" w:type="dxa"/>
          </w:tblCellMar>
        </w:tblPrEx>
        <w:trPr>
          <w:trHeight w:val="90" w:hRule="atLeast"/>
        </w:trPr>
        <w:tc>
          <w:tcPr>
            <w:tcW w:w="1165" w:type="dxa"/>
            <w:tcBorders>
              <w:top w:val="single" w:color="auto" w:sz="4" w:space="0"/>
              <w:left w:val="single" w:color="auto" w:sz="4" w:space="0"/>
              <w:bottom w:val="single" w:color="auto" w:sz="4" w:space="0"/>
              <w:right w:val="single" w:color="auto" w:sz="4" w:space="0"/>
            </w:tcBorders>
            <w:vAlign w:val="center"/>
          </w:tcPr>
          <w:p w14:paraId="15765337">
            <w:pPr>
              <w:spacing w:line="276"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9.5</w:t>
            </w:r>
          </w:p>
        </w:tc>
        <w:tc>
          <w:tcPr>
            <w:tcW w:w="8689" w:type="dxa"/>
            <w:gridSpan w:val="2"/>
            <w:tcBorders>
              <w:top w:val="single" w:color="auto" w:sz="4" w:space="0"/>
              <w:left w:val="single" w:color="auto" w:sz="4" w:space="0"/>
              <w:bottom w:val="single" w:color="auto" w:sz="4" w:space="0"/>
              <w:right w:val="single" w:color="auto" w:sz="4" w:space="0"/>
            </w:tcBorders>
            <w:vAlign w:val="center"/>
          </w:tcPr>
          <w:p w14:paraId="776314DB">
            <w:pPr>
              <w:spacing w:line="276"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承包方式：</w:t>
            </w:r>
            <w:r>
              <w:rPr>
                <w:rFonts w:hint="eastAsia" w:ascii="宋体" w:hAnsi="宋体"/>
                <w:color w:val="auto"/>
                <w:szCs w:val="21"/>
                <w:highlight w:val="none"/>
                <w:u w:val="single"/>
              </w:rPr>
              <w:t>包设计、包施工、包材料、包工期、包质量、包安全、包环保、包文明施工、包保修、包相关配合服务。</w:t>
            </w:r>
          </w:p>
          <w:p w14:paraId="2F241862">
            <w:pPr>
              <w:spacing w:line="276"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结算方式具体按合同条款规定。</w:t>
            </w:r>
          </w:p>
          <w:p w14:paraId="16C84723">
            <w:pPr>
              <w:spacing w:line="276" w:lineRule="auto"/>
              <w:jc w:val="left"/>
              <w:rPr>
                <w:rFonts w:hint="eastAsia" w:ascii="宋体" w:hAnsi="宋体" w:cs="宋体"/>
                <w:bCs/>
                <w:color w:val="auto"/>
                <w:szCs w:val="21"/>
                <w:highlight w:val="none"/>
              </w:rPr>
            </w:pPr>
            <w:r>
              <w:rPr>
                <w:rFonts w:hint="eastAsia" w:ascii="宋体" w:hAnsi="宋体" w:cs="宋体"/>
                <w:color w:val="auto"/>
                <w:szCs w:val="21"/>
                <w:highlight w:val="none"/>
                <w:u w:val="single"/>
              </w:rPr>
              <w:t>本工程实行全过程限额设计施工，限额投资。所有工程变更需经过建设单位审定后方可实施。</w:t>
            </w:r>
          </w:p>
        </w:tc>
      </w:tr>
      <w:tr w14:paraId="2EF96395">
        <w:tblPrEx>
          <w:tblCellMar>
            <w:top w:w="0" w:type="dxa"/>
            <w:left w:w="108" w:type="dxa"/>
            <w:bottom w:w="0" w:type="dxa"/>
            <w:right w:w="108" w:type="dxa"/>
          </w:tblCellMar>
        </w:tblPrEx>
        <w:trPr>
          <w:trHeight w:val="1144" w:hRule="atLeast"/>
        </w:trPr>
        <w:tc>
          <w:tcPr>
            <w:tcW w:w="1165" w:type="dxa"/>
            <w:tcBorders>
              <w:top w:val="single" w:color="auto" w:sz="4" w:space="0"/>
              <w:left w:val="single" w:color="auto" w:sz="4" w:space="0"/>
              <w:bottom w:val="single" w:color="auto" w:sz="4" w:space="0"/>
              <w:right w:val="single" w:color="auto" w:sz="4" w:space="0"/>
            </w:tcBorders>
            <w:vAlign w:val="center"/>
          </w:tcPr>
          <w:p w14:paraId="5696CB49">
            <w:pPr>
              <w:spacing w:line="276"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9.6</w:t>
            </w:r>
          </w:p>
        </w:tc>
        <w:tc>
          <w:tcPr>
            <w:tcW w:w="8689" w:type="dxa"/>
            <w:gridSpan w:val="2"/>
            <w:tcBorders>
              <w:top w:val="single" w:color="auto" w:sz="4" w:space="0"/>
              <w:left w:val="single" w:color="auto" w:sz="4" w:space="0"/>
              <w:bottom w:val="single" w:color="auto" w:sz="4" w:space="0"/>
              <w:right w:val="single" w:color="auto" w:sz="4" w:space="0"/>
            </w:tcBorders>
            <w:vAlign w:val="center"/>
          </w:tcPr>
          <w:p w14:paraId="72019A37">
            <w:pPr>
              <w:numPr>
                <w:ilvl w:val="0"/>
                <w:numId w:val="1"/>
              </w:numPr>
              <w:spacing w:line="276" w:lineRule="auto"/>
              <w:jc w:val="left"/>
              <w:rPr>
                <w:rFonts w:hint="eastAsia" w:ascii="宋体" w:hAnsi="宋体" w:cs="宋体"/>
                <w:color w:val="auto"/>
                <w:szCs w:val="21"/>
                <w:highlight w:val="none"/>
              </w:rPr>
            </w:pPr>
            <w:r>
              <w:rPr>
                <w:rFonts w:hint="eastAsia" w:ascii="宋体" w:hAnsi="宋体" w:cs="宋体"/>
                <w:color w:val="auto"/>
                <w:szCs w:val="21"/>
                <w:highlight w:val="none"/>
              </w:rPr>
              <w:t>中标人代缴交易服务费，其费用包含在中标人报价中，由广州交易集团有限公司（广州公共资源交易中心）向中标人开具发票。</w:t>
            </w:r>
          </w:p>
          <w:p w14:paraId="428622FF">
            <w:pPr>
              <w:pStyle w:val="11"/>
              <w:spacing w:line="276" w:lineRule="auto"/>
              <w:ind w:left="0" w:leftChars="0"/>
              <w:rPr>
                <w:rFonts w:hint="eastAsia" w:ascii="宋体" w:hAnsi="宋体" w:cs="宋体"/>
                <w:color w:val="auto"/>
                <w:szCs w:val="21"/>
                <w:highlight w:val="none"/>
              </w:rPr>
            </w:pPr>
            <w:r>
              <w:rPr>
                <w:rFonts w:hint="eastAsia" w:ascii="宋体" w:hAnsi="宋体" w:cs="宋体"/>
                <w:color w:val="auto"/>
                <w:szCs w:val="21"/>
                <w:highlight w:val="none"/>
              </w:rPr>
              <w:t>2、本项目招标代理服务费由中标人支付，招标代理服务费</w:t>
            </w:r>
            <w:r>
              <w:rPr>
                <w:rFonts w:hint="eastAsia" w:ascii="宋体" w:hAnsi="宋体" w:cs="Times New Roman"/>
                <w:sz w:val="21"/>
                <w:szCs w:val="21"/>
                <w:highlight w:val="none"/>
              </w:rPr>
              <w:t>按招标人与招标代理机构签署的合同计算，具体</w:t>
            </w:r>
            <w:r>
              <w:rPr>
                <w:rFonts w:hint="eastAsia" w:ascii="宋体" w:hAnsi="宋体" w:cs="Times New Roman"/>
                <w:sz w:val="21"/>
                <w:szCs w:val="21"/>
                <w:highlight w:val="none"/>
                <w:lang w:val="en-US" w:eastAsia="zh-CN"/>
              </w:rPr>
              <w:t>缴费时间和缴费金额</w:t>
            </w:r>
            <w:r>
              <w:rPr>
                <w:rFonts w:hint="eastAsia" w:ascii="宋体" w:hAnsi="宋体" w:cs="Times New Roman"/>
                <w:sz w:val="21"/>
                <w:szCs w:val="21"/>
                <w:highlight w:val="none"/>
              </w:rPr>
              <w:t>以招标代理发出的缴费通知书为准。</w:t>
            </w:r>
          </w:p>
        </w:tc>
      </w:tr>
      <w:tr w14:paraId="0D7B3867">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306E27E4">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2226" w:type="dxa"/>
            <w:tcBorders>
              <w:top w:val="single" w:color="auto" w:sz="4" w:space="0"/>
              <w:left w:val="single" w:color="auto" w:sz="4" w:space="0"/>
              <w:bottom w:val="single" w:color="auto" w:sz="4" w:space="0"/>
              <w:right w:val="single" w:color="auto" w:sz="4" w:space="0"/>
            </w:tcBorders>
            <w:vAlign w:val="center"/>
          </w:tcPr>
          <w:p w14:paraId="0CFD2ABA">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电子招标投标</w:t>
            </w:r>
          </w:p>
        </w:tc>
        <w:tc>
          <w:tcPr>
            <w:tcW w:w="6463" w:type="dxa"/>
            <w:tcBorders>
              <w:top w:val="single" w:color="auto" w:sz="4" w:space="0"/>
              <w:left w:val="single" w:color="auto" w:sz="4" w:space="0"/>
              <w:bottom w:val="single" w:color="auto" w:sz="4" w:space="0"/>
              <w:right w:val="single" w:color="auto" w:sz="4" w:space="0"/>
            </w:tcBorders>
            <w:vAlign w:val="center"/>
          </w:tcPr>
          <w:p w14:paraId="675CCD54">
            <w:pPr>
              <w:spacing w:line="272" w:lineRule="auto"/>
              <w:rPr>
                <w:rFonts w:hint="eastAsia" w:ascii="宋体" w:hAnsi="宋体" w:cs="宋体"/>
                <w:color w:val="auto"/>
                <w:szCs w:val="21"/>
                <w:highlight w:val="none"/>
              </w:rPr>
            </w:pPr>
            <w:r>
              <w:rPr>
                <w:rFonts w:hint="eastAsia" w:ascii="宋体" w:hAnsi="宋体" w:cs="宋体"/>
                <w:color w:val="auto"/>
                <w:szCs w:val="21"/>
                <w:highlight w:val="none"/>
              </w:rPr>
              <w:t>□否</w:t>
            </w:r>
          </w:p>
          <w:p w14:paraId="6E3DEC59">
            <w:pPr>
              <w:spacing w:line="272" w:lineRule="auto"/>
              <w:rPr>
                <w:rFonts w:hint="eastAsia" w:ascii="宋体" w:hAnsi="宋体" w:cs="宋体"/>
                <w:color w:val="auto"/>
                <w:szCs w:val="21"/>
                <w:highlight w:val="none"/>
              </w:rPr>
            </w:pPr>
            <w:r>
              <w:rPr>
                <w:rFonts w:hint="eastAsia" w:ascii="宋体" w:hAnsi="宋体" w:cs="宋体"/>
                <w:color w:val="auto"/>
                <w:szCs w:val="21"/>
                <w:highlight w:val="none"/>
              </w:rPr>
              <w:t>■是，具体要求：</w:t>
            </w:r>
          </w:p>
          <w:p w14:paraId="58A1148E">
            <w:pPr>
              <w:spacing w:line="272"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1、投标文件形式：投标文件全部采用电子文档，投标文件应按交易平台相关操作指南编制。如不按上述要求编制引起系统无法检索、读取相关信息的，其后果由投标人承担。投标文件所附证书证件均为原件扫描件，并采用单位数字证书，按招标文件要求在相应位置加盖电子印章。投标文件中需个人签字或盖章的，应加盖个人电子印章或在线下完成后扫描上传。具体操作详见交易平台相关操作指南。</w:t>
            </w:r>
          </w:p>
          <w:p w14:paraId="369E801A">
            <w:pPr>
              <w:spacing w:line="272"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2、投标文件的修改与撤回：投标人修改或撤回已递交的投标文件，需在交易平台发出撤回通知，并按要求加盖电子印章。电子招标投标交易平台收到通知后，即时向投标人发出确认回执通知。</w:t>
            </w:r>
          </w:p>
          <w:p w14:paraId="79A52A3A">
            <w:pPr>
              <w:spacing w:line="272"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3、（重要风险提示）备用光盘或u盘。投标人可使用投标文件制作工具生成非加密的电子投标文件载入光盘或u盘（1份，载体形式由投标人自选），在规定的时间、地点提交备用。(刻录好的投标文件光盘或u盘密封在密封袋中，并在封口处加盖投标人单位公章。密封袋上应写明项目名称和招标人名称。递交的投标文件光盘或u盘(备用)不得加密。光盘或u盘（备用投标文件）无法读取或导入的，则视为未提交投标文件光盘或u盘(备用)。如果投标人没有按规定通过交易平台网上递交电子投标文件的，不再读取提交的光盘或u盘。投标人也可不提交投标文件光盘或u盘(备用)。</w:t>
            </w:r>
          </w:p>
          <w:p w14:paraId="5051E988">
            <w:pPr>
              <w:spacing w:line="272"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4、投标文件的递交：</w:t>
            </w:r>
          </w:p>
          <w:p w14:paraId="7178E6FC">
            <w:pPr>
              <w:spacing w:line="272"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fldChar w:fldCharType="begin"/>
            </w:r>
            <w:r>
              <w:rPr>
                <w:rFonts w:hint="eastAsia" w:ascii="宋体" w:hAnsi="宋体" w:cs="宋体"/>
                <w:color w:val="auto"/>
                <w:szCs w:val="21"/>
                <w:highlight w:val="none"/>
                <w:u w:val="single"/>
              </w:rPr>
              <w:instrText xml:space="preserve"> = 1 \* GB3 </w:instrText>
            </w:r>
            <w:r>
              <w:rPr>
                <w:rFonts w:hint="eastAsia" w:ascii="宋体" w:hAnsi="宋体" w:cs="宋体"/>
                <w:color w:val="auto"/>
                <w:szCs w:val="21"/>
                <w:highlight w:val="none"/>
                <w:u w:val="single"/>
              </w:rPr>
              <w:fldChar w:fldCharType="separate"/>
            </w:r>
            <w:r>
              <w:rPr>
                <w:rFonts w:hint="eastAsia" w:ascii="宋体" w:hAnsi="宋体" w:cs="宋体"/>
                <w:color w:val="auto"/>
                <w:szCs w:val="21"/>
                <w:highlight w:val="none"/>
                <w:u w:val="single"/>
              </w:rPr>
              <w:t>①</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u w:val="single"/>
              </w:rPr>
              <w:t>投标文件递交的截止时间（投标截止时间，下同）为  年  月  日  时  分，投标人应在截止时间前通过电子招标投标交易平台递交电子投标文件。</w:t>
            </w:r>
          </w:p>
          <w:p w14:paraId="464256EB">
            <w:pPr>
              <w:spacing w:line="272"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fldChar w:fldCharType="begin"/>
            </w:r>
            <w:r>
              <w:rPr>
                <w:rFonts w:hint="eastAsia" w:ascii="宋体" w:hAnsi="宋体" w:cs="宋体"/>
                <w:color w:val="auto"/>
                <w:szCs w:val="21"/>
                <w:highlight w:val="none"/>
                <w:u w:val="single"/>
              </w:rPr>
              <w:instrText xml:space="preserve"> = 2 \* GB3 </w:instrText>
            </w:r>
            <w:r>
              <w:rPr>
                <w:rFonts w:hint="eastAsia" w:ascii="宋体" w:hAnsi="宋体" w:cs="宋体"/>
                <w:color w:val="auto"/>
                <w:szCs w:val="21"/>
                <w:highlight w:val="none"/>
                <w:u w:val="single"/>
              </w:rPr>
              <w:fldChar w:fldCharType="separate"/>
            </w:r>
            <w:r>
              <w:rPr>
                <w:rFonts w:hint="eastAsia" w:ascii="宋体" w:hAnsi="宋体" w:cs="宋体"/>
                <w:color w:val="auto"/>
                <w:szCs w:val="21"/>
                <w:highlight w:val="none"/>
                <w:u w:val="single"/>
              </w:rPr>
              <w:t>②</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u w:val="single"/>
              </w:rPr>
              <w:t>提交投标文件备用光盘或u盘。</w:t>
            </w:r>
          </w:p>
          <w:p w14:paraId="7A0D5B7F">
            <w:pPr>
              <w:spacing w:line="272"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投标文件光盘或u盘(备用)递交时间：投标文件递交的截止时间前15分钟。地点：</w:t>
            </w:r>
            <w:r>
              <w:rPr>
                <w:rFonts w:hint="eastAsia" w:ascii="宋体" w:hAnsi="宋体" w:eastAsia="宋体" w:cs="宋体"/>
                <w:color w:val="auto"/>
                <w:kern w:val="0"/>
                <w:szCs w:val="21"/>
                <w:highlight w:val="none"/>
                <w:u w:val="single"/>
                <w:shd w:val="clear" w:color="auto" w:fill="FFFFFF"/>
                <w:lang w:bidi="ar"/>
              </w:rPr>
              <w:t>场地安排以广州交易集团有限公司（广州公共资源交易中心）网站中“建设工程”→“项目查询（日程安排、答疑纪要）”公布的为准</w:t>
            </w:r>
            <w:r>
              <w:rPr>
                <w:rFonts w:hint="eastAsia" w:ascii="宋体" w:hAnsi="宋体" w:cs="宋体"/>
                <w:color w:val="auto"/>
                <w:szCs w:val="21"/>
                <w:highlight w:val="none"/>
                <w:u w:val="single"/>
              </w:rPr>
              <w:t>。</w:t>
            </w:r>
          </w:p>
          <w:p w14:paraId="6D7C0714">
            <w:pPr>
              <w:spacing w:line="272"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fldChar w:fldCharType="begin"/>
            </w:r>
            <w:r>
              <w:rPr>
                <w:rFonts w:hint="eastAsia" w:ascii="宋体" w:hAnsi="宋体" w:cs="宋体"/>
                <w:color w:val="auto"/>
                <w:szCs w:val="21"/>
                <w:highlight w:val="none"/>
                <w:u w:val="single"/>
              </w:rPr>
              <w:instrText xml:space="preserve"> = 3 \* GB3 </w:instrText>
            </w:r>
            <w:r>
              <w:rPr>
                <w:rFonts w:hint="eastAsia" w:ascii="宋体" w:hAnsi="宋体" w:cs="宋体"/>
                <w:color w:val="auto"/>
                <w:szCs w:val="21"/>
                <w:highlight w:val="none"/>
                <w:u w:val="single"/>
              </w:rPr>
              <w:fldChar w:fldCharType="separate"/>
            </w:r>
            <w:r>
              <w:rPr>
                <w:rFonts w:hint="eastAsia" w:ascii="宋体" w:hAnsi="宋体" w:cs="宋体"/>
                <w:color w:val="auto"/>
                <w:szCs w:val="21"/>
                <w:highlight w:val="none"/>
                <w:u w:val="single"/>
              </w:rPr>
              <w:t>③</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u w:val="single"/>
              </w:rPr>
              <w:t>投标人完成电子投标上传后，电子招标投标交易平台即时向投标人发出递交回执通知。递交时间以递交回执通知载明的传输时间为准。</w:t>
            </w:r>
          </w:p>
          <w:p w14:paraId="4A28727E">
            <w:pPr>
              <w:spacing w:line="272"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fldChar w:fldCharType="begin"/>
            </w:r>
            <w:r>
              <w:rPr>
                <w:rFonts w:hint="eastAsia" w:ascii="宋体" w:hAnsi="宋体" w:cs="宋体"/>
                <w:color w:val="auto"/>
                <w:szCs w:val="21"/>
                <w:highlight w:val="none"/>
                <w:u w:val="single"/>
              </w:rPr>
              <w:instrText xml:space="preserve"> = 4 \* GB3 </w:instrText>
            </w:r>
            <w:r>
              <w:rPr>
                <w:rFonts w:hint="eastAsia" w:ascii="宋体" w:hAnsi="宋体" w:cs="宋体"/>
                <w:color w:val="auto"/>
                <w:szCs w:val="21"/>
                <w:highlight w:val="none"/>
                <w:u w:val="single"/>
              </w:rPr>
              <w:fldChar w:fldCharType="separate"/>
            </w:r>
            <w:r>
              <w:rPr>
                <w:rFonts w:hint="eastAsia" w:ascii="宋体" w:hAnsi="宋体" w:cs="宋体"/>
                <w:color w:val="auto"/>
                <w:szCs w:val="21"/>
                <w:highlight w:val="none"/>
                <w:u w:val="single"/>
              </w:rPr>
              <w:t>④</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u w:val="single"/>
              </w:rPr>
              <w:t>逾期送达的投标文件，电子招标投标交易平台将予以拒收。</w:t>
            </w:r>
          </w:p>
          <w:p w14:paraId="0CBD18BA">
            <w:pPr>
              <w:spacing w:line="272"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5、投标文件加密要求：</w:t>
            </w:r>
          </w:p>
          <w:p w14:paraId="4D6A5FF3">
            <w:pPr>
              <w:spacing w:line="272"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fldChar w:fldCharType="begin"/>
            </w:r>
            <w:r>
              <w:rPr>
                <w:rFonts w:hint="eastAsia" w:ascii="宋体" w:hAnsi="宋体" w:cs="宋体"/>
                <w:color w:val="auto"/>
                <w:szCs w:val="21"/>
                <w:highlight w:val="none"/>
                <w:u w:val="single"/>
              </w:rPr>
              <w:instrText xml:space="preserve"> = 1 \* GB3 </w:instrText>
            </w:r>
            <w:r>
              <w:rPr>
                <w:rFonts w:hint="eastAsia" w:ascii="宋体" w:hAnsi="宋体" w:cs="宋体"/>
                <w:color w:val="auto"/>
                <w:szCs w:val="21"/>
                <w:highlight w:val="none"/>
                <w:u w:val="single"/>
              </w:rPr>
              <w:fldChar w:fldCharType="separate"/>
            </w:r>
            <w:r>
              <w:rPr>
                <w:rFonts w:hint="eastAsia" w:ascii="宋体" w:hAnsi="宋体" w:cs="宋体"/>
                <w:color w:val="auto"/>
                <w:szCs w:val="21"/>
                <w:highlight w:val="none"/>
                <w:u w:val="single"/>
              </w:rPr>
              <w:t>①</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u w:val="single"/>
              </w:rPr>
              <w:t>网上递交的电子投标文件须进行加密。具体操作详见交易平台相关操作指南。</w:t>
            </w:r>
          </w:p>
          <w:p w14:paraId="04EFD8F4">
            <w:pPr>
              <w:spacing w:line="272"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fldChar w:fldCharType="begin"/>
            </w:r>
            <w:r>
              <w:rPr>
                <w:rFonts w:hint="eastAsia" w:ascii="宋体" w:hAnsi="宋体" w:cs="宋体"/>
                <w:color w:val="auto"/>
                <w:szCs w:val="21"/>
                <w:highlight w:val="none"/>
                <w:u w:val="single"/>
              </w:rPr>
              <w:instrText xml:space="preserve"> = 2 \* GB3 </w:instrText>
            </w:r>
            <w:r>
              <w:rPr>
                <w:rFonts w:hint="eastAsia" w:ascii="宋体" w:hAnsi="宋体" w:cs="宋体"/>
                <w:color w:val="auto"/>
                <w:szCs w:val="21"/>
                <w:highlight w:val="none"/>
                <w:u w:val="single"/>
              </w:rPr>
              <w:fldChar w:fldCharType="separate"/>
            </w:r>
            <w:r>
              <w:rPr>
                <w:rFonts w:hint="eastAsia" w:ascii="宋体" w:hAnsi="宋体" w:cs="宋体"/>
                <w:color w:val="auto"/>
                <w:szCs w:val="21"/>
                <w:highlight w:val="none"/>
                <w:u w:val="single"/>
              </w:rPr>
              <w:t>②</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u w:val="single"/>
              </w:rPr>
              <w:t>未按要求加密的投标文件，招标人将予以拒收。</w:t>
            </w:r>
          </w:p>
          <w:p w14:paraId="0062BCCC">
            <w:pPr>
              <w:spacing w:line="272"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6、投标文件解密失败的补救方案：</w:t>
            </w:r>
          </w:p>
          <w:p w14:paraId="66F17B67">
            <w:pPr>
              <w:spacing w:line="272"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在规定时间内，因投标人之外原因(指网络瘫痪、服务器损坏、交易系统故障短期无法恢复)导致的电子投标文件解密失败，在开标现场读取光盘或u盘内容，继续开标程序。若出现招标人无法正常解密或导入开标系统的情况，在开标现场读取已成功解密、以及因投标人之外的原因导致电子投标文件解密失败的投标人递交的电子光盘或u盘内容。出现上述情况的，评标委员会对其投标文件的评审以光盘或u盘内容为准。因投标人之外原因解密失败且未递交电子光盘或u盘的，视为撤回投标文件。</w:t>
            </w:r>
          </w:p>
          <w:p w14:paraId="59181F72">
            <w:pPr>
              <w:spacing w:line="272" w:lineRule="auto"/>
              <w:rPr>
                <w:rFonts w:hint="eastAsia" w:ascii="宋体" w:hAnsi="宋体" w:cs="宋体"/>
                <w:color w:val="auto"/>
                <w:szCs w:val="21"/>
                <w:highlight w:val="none"/>
              </w:rPr>
            </w:pPr>
            <w:r>
              <w:rPr>
                <w:rFonts w:hint="eastAsia" w:ascii="宋体" w:hAnsi="宋体" w:cs="宋体"/>
                <w:color w:val="auto"/>
                <w:szCs w:val="21"/>
                <w:highlight w:val="none"/>
                <w:u w:val="single"/>
              </w:rPr>
              <w:t>除发生上述情况外，开标评标均以投标人通过交易平台网上递交的电子投标文件为准。</w:t>
            </w:r>
          </w:p>
        </w:tc>
      </w:tr>
      <w:tr w14:paraId="5345792C">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4B2F6EAE">
            <w:pPr>
              <w:spacing w:line="276" w:lineRule="auto"/>
              <w:jc w:val="center"/>
              <w:rPr>
                <w:rFonts w:hint="eastAsia" w:ascii="宋体" w:hAnsi="宋体" w:cs="宋体"/>
                <w:color w:val="auto"/>
                <w:szCs w:val="21"/>
                <w:highlight w:val="none"/>
              </w:rPr>
            </w:pPr>
            <w:r>
              <w:rPr>
                <w:rFonts w:hint="eastAsia" w:ascii="宋体" w:hAnsi="宋体"/>
                <w:color w:val="auto"/>
                <w:szCs w:val="21"/>
                <w:highlight w:val="none"/>
              </w:rPr>
              <w:t>10.1</w:t>
            </w:r>
          </w:p>
        </w:tc>
        <w:tc>
          <w:tcPr>
            <w:tcW w:w="2226" w:type="dxa"/>
            <w:tcBorders>
              <w:top w:val="single" w:color="auto" w:sz="4" w:space="0"/>
              <w:left w:val="single" w:color="auto" w:sz="4" w:space="0"/>
              <w:bottom w:val="single" w:color="auto" w:sz="4" w:space="0"/>
              <w:right w:val="single" w:color="auto" w:sz="4" w:space="0"/>
            </w:tcBorders>
            <w:vAlign w:val="center"/>
          </w:tcPr>
          <w:p w14:paraId="75B5E9F1">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投标人不得存在的情形</w:t>
            </w:r>
          </w:p>
        </w:tc>
        <w:tc>
          <w:tcPr>
            <w:tcW w:w="6463" w:type="dxa"/>
            <w:tcBorders>
              <w:top w:val="single" w:color="auto" w:sz="4" w:space="0"/>
              <w:left w:val="single" w:color="auto" w:sz="4" w:space="0"/>
              <w:bottom w:val="single" w:color="auto" w:sz="4" w:space="0"/>
              <w:right w:val="single" w:color="auto" w:sz="4" w:space="0"/>
            </w:tcBorders>
            <w:vAlign w:val="center"/>
          </w:tcPr>
          <w:p w14:paraId="5EDCAF7F">
            <w:pPr>
              <w:spacing w:line="276" w:lineRule="auto"/>
              <w:rPr>
                <w:rFonts w:hint="eastAsia" w:ascii="宋体" w:hAnsi="宋体" w:cs="宋体"/>
                <w:color w:val="auto"/>
                <w:szCs w:val="21"/>
                <w:highlight w:val="none"/>
              </w:rPr>
            </w:pPr>
            <w:r>
              <w:rPr>
                <w:rFonts w:ascii="宋体" w:hAnsi="宋体" w:cs="宋体"/>
                <w:color w:val="auto"/>
                <w:szCs w:val="21"/>
                <w:highlight w:val="none"/>
              </w:rPr>
              <w:t>投标人不得存在的情形以</w:t>
            </w:r>
            <w:r>
              <w:rPr>
                <w:rFonts w:hint="eastAsia" w:ascii="宋体" w:hAnsi="宋体" w:cs="宋体"/>
                <w:color w:val="auto"/>
                <w:szCs w:val="21"/>
                <w:highlight w:val="none"/>
              </w:rPr>
              <w:t>招标公告及《投标人声明》第</w:t>
            </w:r>
            <w:r>
              <w:rPr>
                <w:rFonts w:ascii="宋体" w:hAnsi="宋体" w:cs="宋体"/>
                <w:color w:val="auto"/>
                <w:szCs w:val="21"/>
                <w:highlight w:val="none"/>
              </w:rPr>
              <w:t>三点的规定为准。</w:t>
            </w:r>
          </w:p>
        </w:tc>
      </w:tr>
    </w:tbl>
    <w:p w14:paraId="2B466540">
      <w:pPr>
        <w:pStyle w:val="3"/>
        <w:rPr>
          <w:rFonts w:hint="eastAsia" w:ascii="宋体" w:hAnsi="宋体" w:eastAsia="宋体" w:cs="宋体"/>
          <w:b w:val="0"/>
          <w:bCs w:val="0"/>
          <w:color w:val="auto"/>
          <w:highlight w:val="none"/>
        </w:rPr>
      </w:pPr>
      <w:r>
        <w:rPr>
          <w:rFonts w:hint="eastAsia" w:ascii="宋体" w:hAnsi="宋体" w:eastAsia="宋体" w:cs="宋体"/>
          <w:color w:val="auto"/>
          <w:highlight w:val="none"/>
        </w:rPr>
        <w:br w:type="page"/>
      </w:r>
      <w:bookmarkStart w:id="26" w:name="_Toc152045529"/>
      <w:bookmarkStart w:id="27" w:name="_Toc152042305"/>
      <w:bookmarkStart w:id="28" w:name="_Toc247527553"/>
      <w:bookmarkStart w:id="29" w:name="_Toc144974497"/>
      <w:bookmarkStart w:id="30" w:name="_Toc247513952"/>
      <w:r>
        <w:rPr>
          <w:rFonts w:hint="eastAsia" w:ascii="宋体" w:hAnsi="宋体" w:eastAsia="宋体" w:cs="宋体"/>
          <w:color w:val="auto"/>
          <w:highlight w:val="none"/>
        </w:rPr>
        <w:t>1. 总则</w:t>
      </w:r>
      <w:bookmarkEnd w:id="26"/>
      <w:bookmarkEnd w:id="27"/>
      <w:bookmarkEnd w:id="28"/>
      <w:bookmarkEnd w:id="29"/>
      <w:bookmarkEnd w:id="30"/>
    </w:p>
    <w:p w14:paraId="46A7210A">
      <w:pPr>
        <w:pStyle w:val="4"/>
        <w:rPr>
          <w:rFonts w:hint="eastAsia" w:ascii="宋体" w:eastAsia="宋体" w:cs="宋体"/>
          <w:color w:val="auto"/>
          <w:highlight w:val="none"/>
        </w:rPr>
      </w:pPr>
      <w:bookmarkStart w:id="31" w:name="_Toc26896"/>
      <w:bookmarkStart w:id="32" w:name="_Toc152045530"/>
      <w:bookmarkStart w:id="33" w:name="_Toc144974498"/>
      <w:bookmarkStart w:id="34" w:name="_Toc152042306"/>
      <w:bookmarkStart w:id="35" w:name="_Toc247527554"/>
      <w:bookmarkStart w:id="36" w:name="_Toc247513953"/>
      <w:bookmarkStart w:id="37" w:name="_Toc31341"/>
      <w:r>
        <w:rPr>
          <w:rFonts w:hint="eastAsia" w:ascii="宋体" w:eastAsia="宋体" w:cs="宋体"/>
          <w:color w:val="auto"/>
          <w:highlight w:val="none"/>
        </w:rPr>
        <w:t>1.1 项目概况</w:t>
      </w:r>
      <w:bookmarkEnd w:id="31"/>
      <w:bookmarkEnd w:id="32"/>
      <w:bookmarkEnd w:id="33"/>
      <w:bookmarkEnd w:id="34"/>
      <w:bookmarkEnd w:id="35"/>
      <w:bookmarkEnd w:id="36"/>
      <w:bookmarkEnd w:id="37"/>
    </w:p>
    <w:p w14:paraId="14AB5FD7">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1.1.1根据《中华人民共和国招标投标法》等有关法律、法规和规章的规定，本招标项目已具备招标条件，现对该项目设计施工进行总承包招标。</w:t>
      </w:r>
    </w:p>
    <w:p w14:paraId="0D888177">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1.1.2 招标人：见投标人须知前附表。</w:t>
      </w:r>
    </w:p>
    <w:p w14:paraId="48DB7B36">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1.1.3 招标代理机构：见投标人须知前附表。</w:t>
      </w:r>
    </w:p>
    <w:p w14:paraId="27129D50">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1.1.4 招标项目名称：见投标人须知前附表。</w:t>
      </w:r>
    </w:p>
    <w:p w14:paraId="1029BF9C">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1.1.5 项目建设地点：见投标人须知前附表。</w:t>
      </w:r>
    </w:p>
    <w:p w14:paraId="2CA88A55">
      <w:pPr>
        <w:pStyle w:val="4"/>
        <w:rPr>
          <w:rFonts w:hint="eastAsia" w:ascii="宋体" w:eastAsia="宋体" w:cs="宋体"/>
          <w:color w:val="auto"/>
          <w:highlight w:val="none"/>
        </w:rPr>
      </w:pPr>
      <w:bookmarkStart w:id="38" w:name="_Toc247513954"/>
      <w:bookmarkStart w:id="39" w:name="_Toc247527555"/>
      <w:bookmarkStart w:id="40" w:name="_Toc152045531"/>
      <w:bookmarkStart w:id="41" w:name="_Toc152042307"/>
      <w:bookmarkStart w:id="42" w:name="_Toc144974499"/>
      <w:bookmarkStart w:id="43" w:name="_Toc1053"/>
      <w:bookmarkStart w:id="44" w:name="_Toc30664"/>
      <w:r>
        <w:rPr>
          <w:rFonts w:hint="eastAsia" w:ascii="宋体" w:eastAsia="宋体" w:cs="宋体"/>
          <w:color w:val="auto"/>
          <w:highlight w:val="none"/>
        </w:rPr>
        <w:t>1.2 项目的资金来源和落实情况</w:t>
      </w:r>
      <w:bookmarkEnd w:id="38"/>
      <w:bookmarkEnd w:id="39"/>
      <w:bookmarkEnd w:id="40"/>
      <w:bookmarkEnd w:id="41"/>
      <w:bookmarkEnd w:id="42"/>
      <w:bookmarkEnd w:id="43"/>
      <w:bookmarkEnd w:id="44"/>
    </w:p>
    <w:p w14:paraId="58CF9D5E">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1.2.1 资金来源及比例：见投标人须知前附表。</w:t>
      </w:r>
    </w:p>
    <w:p w14:paraId="2FD50BB9">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1.2.2 资金落实情况：见投标人须知前附表。</w:t>
      </w:r>
    </w:p>
    <w:p w14:paraId="1B2F7341">
      <w:pPr>
        <w:pStyle w:val="4"/>
        <w:rPr>
          <w:rFonts w:hint="eastAsia" w:ascii="宋体" w:eastAsia="宋体" w:cs="宋体"/>
          <w:color w:val="auto"/>
          <w:highlight w:val="none"/>
        </w:rPr>
      </w:pPr>
      <w:bookmarkStart w:id="45" w:name="_Toc152042308"/>
      <w:bookmarkStart w:id="46" w:name="_Toc152045532"/>
      <w:bookmarkStart w:id="47" w:name="_Toc247513955"/>
      <w:bookmarkStart w:id="48" w:name="_Toc247527556"/>
      <w:bookmarkStart w:id="49" w:name="_Toc144974500"/>
      <w:bookmarkStart w:id="50" w:name="_Toc11582"/>
      <w:bookmarkStart w:id="51" w:name="_Toc17207"/>
      <w:r>
        <w:rPr>
          <w:rFonts w:hint="eastAsia" w:ascii="宋体" w:eastAsia="宋体" w:cs="宋体"/>
          <w:color w:val="auto"/>
          <w:highlight w:val="none"/>
        </w:rPr>
        <w:t>1.3 招标范围、计划工期和</w:t>
      </w:r>
      <w:bookmarkEnd w:id="45"/>
      <w:bookmarkEnd w:id="46"/>
      <w:bookmarkEnd w:id="47"/>
      <w:bookmarkEnd w:id="48"/>
      <w:bookmarkEnd w:id="49"/>
      <w:r>
        <w:rPr>
          <w:rFonts w:hint="eastAsia" w:ascii="宋体" w:eastAsia="宋体" w:cs="宋体"/>
          <w:color w:val="auto"/>
          <w:highlight w:val="none"/>
        </w:rPr>
        <w:t>质量标准</w:t>
      </w:r>
      <w:bookmarkEnd w:id="50"/>
      <w:bookmarkEnd w:id="51"/>
    </w:p>
    <w:p w14:paraId="06653D30">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1.3.1 招标范围：见投标人须知前附表。</w:t>
      </w:r>
    </w:p>
    <w:p w14:paraId="74E9133B">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1.3.2 计划工期：见投标人须知前附表。</w:t>
      </w:r>
    </w:p>
    <w:p w14:paraId="2C93B280">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1.3.3 质量标准：见投标人须知前附表。</w:t>
      </w:r>
    </w:p>
    <w:p w14:paraId="393399EA">
      <w:pPr>
        <w:pStyle w:val="4"/>
        <w:rPr>
          <w:rFonts w:hint="eastAsia" w:ascii="宋体" w:eastAsia="宋体" w:cs="宋体"/>
          <w:color w:val="auto"/>
          <w:highlight w:val="none"/>
        </w:rPr>
      </w:pPr>
      <w:bookmarkStart w:id="52" w:name="_Toc17274"/>
      <w:bookmarkStart w:id="53" w:name="_Toc144974502"/>
      <w:bookmarkStart w:id="54" w:name="_Toc247527558"/>
      <w:bookmarkStart w:id="55" w:name="_Toc152042310"/>
      <w:bookmarkStart w:id="56" w:name="_Toc17813"/>
      <w:bookmarkStart w:id="57" w:name="_Toc152045534"/>
      <w:bookmarkStart w:id="58" w:name="_Toc247513957"/>
      <w:r>
        <w:rPr>
          <w:rFonts w:hint="eastAsia" w:ascii="宋体" w:eastAsia="宋体" w:cs="宋体"/>
          <w:color w:val="auto"/>
          <w:highlight w:val="none"/>
        </w:rPr>
        <w:t>1.4 投标人资格要求（适用于未进行资格预审的）</w:t>
      </w:r>
      <w:bookmarkEnd w:id="52"/>
      <w:bookmarkEnd w:id="53"/>
      <w:bookmarkEnd w:id="54"/>
      <w:bookmarkEnd w:id="55"/>
      <w:bookmarkEnd w:id="56"/>
      <w:bookmarkEnd w:id="57"/>
      <w:bookmarkEnd w:id="58"/>
    </w:p>
    <w:p w14:paraId="0BA46F71">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1.4.1 投标人应具备承担本招标项目资质条件、能力和信誉：</w:t>
      </w:r>
      <w:r>
        <w:rPr>
          <w:rFonts w:hint="eastAsia" w:ascii="宋体" w:hAnsi="宋体"/>
          <w:color w:val="auto"/>
          <w:highlight w:val="none"/>
        </w:rPr>
        <w:t>详见招标公告。</w:t>
      </w:r>
    </w:p>
    <w:p w14:paraId="3E53F5D4">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1.4.2 投标人须知前附表规定接受联合体投标的，除应符合本章第1.4.1项和投标人须知前附表的要求外，还应遵守以下规定： </w:t>
      </w:r>
    </w:p>
    <w:p w14:paraId="360A8D33">
      <w:pPr>
        <w:spacing w:line="400" w:lineRule="exact"/>
        <w:ind w:firstLine="315" w:firstLineChars="150"/>
        <w:rPr>
          <w:rFonts w:hint="eastAsia" w:ascii="宋体" w:hAnsi="宋体" w:cs="宋体"/>
          <w:color w:val="auto"/>
          <w:highlight w:val="none"/>
        </w:rPr>
      </w:pPr>
      <w:r>
        <w:rPr>
          <w:rFonts w:hint="eastAsia" w:ascii="宋体" w:hAnsi="宋体" w:cs="宋体"/>
          <w:color w:val="auto"/>
          <w:highlight w:val="none"/>
        </w:rPr>
        <w:t>（1）联合体各方应按招标文件提供的格式签订联合体共同投标协议书，明确联合体主办方和各方权利义务；</w:t>
      </w:r>
    </w:p>
    <w:p w14:paraId="4DD7A66F">
      <w:pPr>
        <w:spacing w:line="400" w:lineRule="exact"/>
        <w:ind w:firstLine="315" w:firstLineChars="150"/>
        <w:rPr>
          <w:rFonts w:hint="eastAsia" w:ascii="宋体" w:hAnsi="宋体" w:cs="宋体"/>
          <w:color w:val="auto"/>
          <w:highlight w:val="none"/>
        </w:rPr>
      </w:pPr>
      <w:r>
        <w:rPr>
          <w:rFonts w:hint="eastAsia" w:ascii="宋体" w:hAnsi="宋体" w:cs="宋体"/>
          <w:color w:val="auto"/>
          <w:highlight w:val="none"/>
        </w:rPr>
        <w:t>（2）由同一专业的单位组成的联合体，按照资质等级较低的单位确定资质等级；</w:t>
      </w:r>
    </w:p>
    <w:p w14:paraId="6518C00C">
      <w:pPr>
        <w:spacing w:line="400" w:lineRule="exact"/>
        <w:ind w:firstLine="315" w:firstLineChars="150"/>
        <w:rPr>
          <w:rFonts w:hint="eastAsia" w:ascii="宋体" w:hAnsi="宋体" w:cs="宋体"/>
          <w:color w:val="auto"/>
          <w:highlight w:val="none"/>
        </w:rPr>
      </w:pPr>
      <w:r>
        <w:rPr>
          <w:rFonts w:hint="eastAsia" w:ascii="宋体" w:hAnsi="宋体" w:cs="宋体"/>
          <w:color w:val="auto"/>
          <w:highlight w:val="none"/>
        </w:rPr>
        <w:t>（3）联合体各方不得再以自己名义单独或参加其他联合体在本招标项目中投标。</w:t>
      </w:r>
    </w:p>
    <w:p w14:paraId="018C7065">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1.4.3 投标人不得存在下列情形之一（以投标人提供的《投标人声明》中的承诺内容为准）：</w:t>
      </w:r>
    </w:p>
    <w:p w14:paraId="03C0729D">
      <w:pPr>
        <w:spacing w:line="400" w:lineRule="exact"/>
        <w:ind w:firstLine="315" w:firstLineChars="150"/>
        <w:rPr>
          <w:rFonts w:hint="eastAsia" w:ascii="宋体" w:hAnsi="宋体" w:cs="宋体"/>
          <w:strike/>
          <w:color w:val="auto"/>
          <w:highlight w:val="none"/>
        </w:rPr>
      </w:pPr>
      <w:r>
        <w:rPr>
          <w:rFonts w:hint="eastAsia" w:ascii="宋体" w:hAnsi="宋体" w:cs="宋体"/>
          <w:strike/>
          <w:color w:val="auto"/>
          <w:highlight w:val="none"/>
        </w:rPr>
        <w:t xml:space="preserve">（1）为招标人不具有独立法人资格的附属机构（单位）； </w:t>
      </w:r>
    </w:p>
    <w:p w14:paraId="08F9B30D">
      <w:pPr>
        <w:spacing w:line="400" w:lineRule="exact"/>
        <w:ind w:firstLine="315" w:firstLineChars="150"/>
        <w:rPr>
          <w:rFonts w:hint="eastAsia" w:ascii="宋体" w:hAnsi="宋体" w:cs="宋体"/>
          <w:strike/>
          <w:color w:val="auto"/>
          <w:highlight w:val="none"/>
        </w:rPr>
      </w:pPr>
      <w:r>
        <w:rPr>
          <w:rFonts w:hint="eastAsia" w:ascii="宋体" w:hAnsi="宋体" w:cs="宋体"/>
          <w:strike/>
          <w:color w:val="auto"/>
          <w:highlight w:val="none"/>
        </w:rPr>
        <w:t>（2）为招标项目前期工作提供咨询服务的；</w:t>
      </w:r>
    </w:p>
    <w:p w14:paraId="6E56B9AB">
      <w:pPr>
        <w:spacing w:line="400" w:lineRule="exact"/>
        <w:ind w:firstLine="315" w:firstLineChars="150"/>
        <w:rPr>
          <w:rFonts w:hint="eastAsia" w:ascii="宋体" w:hAnsi="宋体" w:cs="宋体"/>
          <w:strike/>
          <w:color w:val="auto"/>
          <w:highlight w:val="none"/>
        </w:rPr>
      </w:pPr>
      <w:r>
        <w:rPr>
          <w:rFonts w:hint="eastAsia" w:ascii="宋体" w:hAnsi="宋体" w:cs="宋体"/>
          <w:strike/>
          <w:color w:val="auto"/>
          <w:highlight w:val="none"/>
        </w:rPr>
        <w:t>（3）为本招标项目的监理人；</w:t>
      </w:r>
    </w:p>
    <w:p w14:paraId="101DBBAF">
      <w:pPr>
        <w:spacing w:line="400" w:lineRule="exact"/>
        <w:ind w:firstLine="315" w:firstLineChars="150"/>
        <w:rPr>
          <w:rFonts w:hint="eastAsia" w:ascii="宋体" w:hAnsi="宋体" w:cs="宋体"/>
          <w:strike/>
          <w:color w:val="auto"/>
          <w:highlight w:val="none"/>
        </w:rPr>
      </w:pPr>
      <w:r>
        <w:rPr>
          <w:rFonts w:hint="eastAsia" w:ascii="宋体" w:hAnsi="宋体" w:cs="宋体"/>
          <w:strike/>
          <w:color w:val="auto"/>
          <w:highlight w:val="none"/>
        </w:rPr>
        <w:t xml:space="preserve">（4）为本招标项目的代建人； </w:t>
      </w:r>
    </w:p>
    <w:p w14:paraId="5FB5D71A">
      <w:pPr>
        <w:spacing w:line="400" w:lineRule="exact"/>
        <w:ind w:firstLine="315" w:firstLineChars="150"/>
        <w:rPr>
          <w:rFonts w:hint="eastAsia" w:ascii="宋体" w:hAnsi="宋体" w:cs="宋体"/>
          <w:strike/>
          <w:color w:val="auto"/>
          <w:highlight w:val="none"/>
        </w:rPr>
      </w:pPr>
      <w:r>
        <w:rPr>
          <w:rFonts w:hint="eastAsia" w:ascii="宋体" w:hAnsi="宋体" w:cs="宋体"/>
          <w:strike/>
          <w:color w:val="auto"/>
          <w:highlight w:val="none"/>
        </w:rPr>
        <w:t xml:space="preserve">（5）为本招标项目提供招标代理服务的； </w:t>
      </w:r>
    </w:p>
    <w:p w14:paraId="5E09F8EE">
      <w:pPr>
        <w:spacing w:line="400" w:lineRule="exact"/>
        <w:ind w:firstLine="315" w:firstLineChars="150"/>
        <w:rPr>
          <w:rFonts w:hint="eastAsia" w:ascii="宋体" w:hAnsi="宋体" w:cs="宋体"/>
          <w:strike/>
          <w:color w:val="auto"/>
          <w:highlight w:val="none"/>
        </w:rPr>
      </w:pPr>
      <w:r>
        <w:rPr>
          <w:rFonts w:hint="eastAsia" w:ascii="宋体" w:hAnsi="宋体" w:cs="宋体"/>
          <w:strike/>
          <w:color w:val="auto"/>
          <w:highlight w:val="none"/>
        </w:rPr>
        <w:t xml:space="preserve">（6）被责令停业的； </w:t>
      </w:r>
    </w:p>
    <w:p w14:paraId="3F9F9F4C">
      <w:pPr>
        <w:spacing w:line="400" w:lineRule="exact"/>
        <w:ind w:firstLine="315" w:firstLineChars="150"/>
        <w:rPr>
          <w:rFonts w:hint="eastAsia" w:ascii="宋体" w:hAnsi="宋体" w:cs="宋体"/>
          <w:strike/>
          <w:color w:val="auto"/>
          <w:highlight w:val="none"/>
        </w:rPr>
      </w:pPr>
      <w:r>
        <w:rPr>
          <w:rFonts w:hint="eastAsia" w:ascii="宋体" w:hAnsi="宋体" w:cs="宋体"/>
          <w:strike/>
          <w:color w:val="auto"/>
          <w:highlight w:val="none"/>
        </w:rPr>
        <w:t xml:space="preserve">（7）被暂停或取消投标资格的； </w:t>
      </w:r>
    </w:p>
    <w:p w14:paraId="69AF0278">
      <w:pPr>
        <w:spacing w:line="400" w:lineRule="exact"/>
        <w:ind w:firstLine="315" w:firstLineChars="150"/>
        <w:rPr>
          <w:rFonts w:hint="eastAsia" w:ascii="宋体" w:hAnsi="宋体" w:cs="宋体"/>
          <w:strike/>
          <w:color w:val="auto"/>
          <w:highlight w:val="none"/>
        </w:rPr>
      </w:pPr>
      <w:r>
        <w:rPr>
          <w:rFonts w:hint="eastAsia" w:ascii="宋体" w:hAnsi="宋体" w:cs="宋体"/>
          <w:strike/>
          <w:color w:val="auto"/>
          <w:highlight w:val="none"/>
        </w:rPr>
        <w:t>（8）财产被接管或冻结的；</w:t>
      </w:r>
    </w:p>
    <w:p w14:paraId="79FEA9F4">
      <w:pPr>
        <w:spacing w:line="400" w:lineRule="exact"/>
        <w:ind w:firstLine="315" w:firstLineChars="150"/>
        <w:rPr>
          <w:rFonts w:hint="eastAsia" w:ascii="宋体" w:hAnsi="宋体" w:cs="宋体"/>
          <w:strike/>
          <w:color w:val="auto"/>
          <w:highlight w:val="none"/>
        </w:rPr>
      </w:pPr>
      <w:r>
        <w:rPr>
          <w:rFonts w:hint="eastAsia" w:ascii="宋体" w:hAnsi="宋体" w:cs="宋体"/>
          <w:strike/>
          <w:color w:val="auto"/>
          <w:highlight w:val="none"/>
        </w:rPr>
        <w:t>（9）在最近三年内有骗取中标或严重违约或重大工程质量问题的；</w:t>
      </w:r>
    </w:p>
    <w:p w14:paraId="39CAF937">
      <w:pPr>
        <w:spacing w:line="400" w:lineRule="exact"/>
        <w:ind w:firstLine="315" w:firstLineChars="150"/>
        <w:rPr>
          <w:rFonts w:hint="eastAsia" w:ascii="宋体" w:hAnsi="宋体" w:cs="宋体"/>
          <w:strike/>
          <w:color w:val="auto"/>
          <w:highlight w:val="none"/>
        </w:rPr>
      </w:pPr>
      <w:r>
        <w:rPr>
          <w:rFonts w:hint="eastAsia" w:ascii="宋体" w:hAnsi="宋体" w:cs="宋体"/>
          <w:strike/>
          <w:color w:val="auto"/>
          <w:highlight w:val="none"/>
        </w:rPr>
        <w:t>（10）与本招标项目的监理人或代建人或招标代理机构同为一个法定代表人的；</w:t>
      </w:r>
    </w:p>
    <w:p w14:paraId="3AC78B52">
      <w:pPr>
        <w:spacing w:line="400" w:lineRule="exact"/>
        <w:ind w:firstLine="315" w:firstLineChars="150"/>
        <w:rPr>
          <w:rFonts w:hint="eastAsia" w:ascii="宋体" w:hAnsi="宋体" w:cs="宋体"/>
          <w:strike/>
          <w:color w:val="auto"/>
          <w:highlight w:val="none"/>
        </w:rPr>
      </w:pPr>
      <w:r>
        <w:rPr>
          <w:rFonts w:hint="eastAsia" w:ascii="宋体" w:hAnsi="宋体" w:cs="宋体"/>
          <w:strike/>
          <w:color w:val="auto"/>
          <w:highlight w:val="none"/>
        </w:rPr>
        <w:t>（11）与本招标项目的监理人或代建人或招标代理机构相互控股或参股的；</w:t>
      </w:r>
    </w:p>
    <w:p w14:paraId="1438A88D">
      <w:pPr>
        <w:spacing w:line="400" w:lineRule="exact"/>
        <w:ind w:firstLine="315" w:firstLineChars="150"/>
        <w:rPr>
          <w:rFonts w:hint="eastAsia" w:ascii="宋体" w:hAnsi="宋体" w:cs="宋体"/>
          <w:strike/>
          <w:color w:val="auto"/>
          <w:highlight w:val="none"/>
        </w:rPr>
      </w:pPr>
      <w:r>
        <w:rPr>
          <w:rFonts w:hint="eastAsia" w:ascii="宋体" w:hAnsi="宋体" w:cs="宋体"/>
          <w:strike/>
          <w:color w:val="auto"/>
          <w:highlight w:val="none"/>
        </w:rPr>
        <w:t>（12）与本招标项目的监理人或代建人或招标代理机构相互任职或工作的。</w:t>
      </w:r>
    </w:p>
    <w:p w14:paraId="5CA6E1F1">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1.4.4 单位负责人为同一人或者存在控股、管理关系的不同单位，不得同时参加本招标项目投标（以投标人提供的《投标人声明》中的承诺内容为准）。</w:t>
      </w:r>
    </w:p>
    <w:p w14:paraId="0936C7A6">
      <w:pPr>
        <w:pStyle w:val="4"/>
        <w:rPr>
          <w:rFonts w:hint="eastAsia" w:ascii="宋体" w:eastAsia="宋体" w:cs="宋体"/>
          <w:color w:val="auto"/>
          <w:highlight w:val="none"/>
        </w:rPr>
      </w:pPr>
      <w:bookmarkStart w:id="59" w:name="_Toc247527559"/>
      <w:bookmarkStart w:id="60" w:name="_Toc152045535"/>
      <w:bookmarkStart w:id="61" w:name="_Toc152042311"/>
      <w:bookmarkStart w:id="62" w:name="_Toc144974503"/>
      <w:bookmarkStart w:id="63" w:name="_Toc247513958"/>
      <w:bookmarkStart w:id="64" w:name="_Toc24413"/>
      <w:bookmarkStart w:id="65" w:name="_Toc28201"/>
      <w:r>
        <w:rPr>
          <w:rFonts w:hint="eastAsia" w:ascii="宋体" w:eastAsia="宋体" w:cs="宋体"/>
          <w:color w:val="auto"/>
          <w:highlight w:val="none"/>
        </w:rPr>
        <w:t>1.5 费用承担</w:t>
      </w:r>
      <w:bookmarkEnd w:id="59"/>
      <w:bookmarkEnd w:id="60"/>
      <w:bookmarkEnd w:id="61"/>
      <w:bookmarkEnd w:id="62"/>
      <w:bookmarkEnd w:id="63"/>
      <w:r>
        <w:rPr>
          <w:rFonts w:hint="eastAsia" w:ascii="宋体" w:eastAsia="宋体" w:cs="宋体"/>
          <w:color w:val="auto"/>
          <w:highlight w:val="none"/>
        </w:rPr>
        <w:t>和设计成果补偿</w:t>
      </w:r>
      <w:bookmarkEnd w:id="64"/>
      <w:bookmarkEnd w:id="65"/>
    </w:p>
    <w:p w14:paraId="1595F0C4">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1.5.1 投标人准备和参加投标活动发生的费用自理。</w:t>
      </w:r>
    </w:p>
    <w:p w14:paraId="3442514A">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1.5.2 招标人对符合招标文件规定的未中标人的设计成果进行补偿的，按投标人须知前附表规定给予补偿，并有权免费使用未中标人设计成果。</w:t>
      </w:r>
    </w:p>
    <w:p w14:paraId="6F3565A9">
      <w:pPr>
        <w:pStyle w:val="4"/>
        <w:rPr>
          <w:rFonts w:hint="eastAsia" w:ascii="宋体" w:eastAsia="宋体" w:cs="宋体"/>
          <w:color w:val="auto"/>
          <w:highlight w:val="none"/>
        </w:rPr>
      </w:pPr>
      <w:bookmarkStart w:id="66" w:name="_Toc10402"/>
      <w:bookmarkStart w:id="67" w:name="_Toc152045536"/>
      <w:bookmarkStart w:id="68" w:name="_Toc247513959"/>
      <w:bookmarkStart w:id="69" w:name="_Toc22870"/>
      <w:bookmarkStart w:id="70" w:name="_Toc247527560"/>
      <w:bookmarkStart w:id="71" w:name="_Toc152042312"/>
      <w:bookmarkStart w:id="72" w:name="_Toc144974504"/>
      <w:r>
        <w:rPr>
          <w:rFonts w:hint="eastAsia" w:ascii="宋体" w:eastAsia="宋体" w:cs="宋体"/>
          <w:color w:val="auto"/>
          <w:highlight w:val="none"/>
        </w:rPr>
        <w:t>1.6 保密</w:t>
      </w:r>
      <w:bookmarkEnd w:id="66"/>
      <w:bookmarkEnd w:id="67"/>
      <w:bookmarkEnd w:id="68"/>
      <w:bookmarkEnd w:id="69"/>
      <w:bookmarkEnd w:id="70"/>
      <w:bookmarkEnd w:id="71"/>
      <w:bookmarkEnd w:id="72"/>
    </w:p>
    <w:p w14:paraId="6E8A062B">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参与招标投标活动的各方应对招标文件和投标文件中的商业和技术等秘密保密，否则应承担相应的法律责任。 </w:t>
      </w:r>
    </w:p>
    <w:p w14:paraId="401B908A">
      <w:pPr>
        <w:pStyle w:val="4"/>
        <w:rPr>
          <w:rFonts w:hint="eastAsia" w:ascii="宋体" w:eastAsia="宋体" w:cs="宋体"/>
          <w:color w:val="auto"/>
          <w:highlight w:val="none"/>
        </w:rPr>
      </w:pPr>
      <w:bookmarkStart w:id="73" w:name="_Toc144974505"/>
      <w:bookmarkStart w:id="74" w:name="_Toc247513960"/>
      <w:bookmarkStart w:id="75" w:name="_Toc3068"/>
      <w:bookmarkStart w:id="76" w:name="_Toc152042313"/>
      <w:bookmarkStart w:id="77" w:name="_Toc152045537"/>
      <w:bookmarkStart w:id="78" w:name="_Toc247527561"/>
      <w:bookmarkStart w:id="79" w:name="_Toc19774"/>
      <w:r>
        <w:rPr>
          <w:rFonts w:hint="eastAsia" w:ascii="宋体" w:eastAsia="宋体" w:cs="宋体"/>
          <w:color w:val="auto"/>
          <w:highlight w:val="none"/>
        </w:rPr>
        <w:t>1.7 语言</w:t>
      </w:r>
      <w:bookmarkEnd w:id="73"/>
      <w:r>
        <w:rPr>
          <w:rFonts w:hint="eastAsia" w:ascii="宋体" w:eastAsia="宋体" w:cs="宋体"/>
          <w:color w:val="auto"/>
          <w:highlight w:val="none"/>
        </w:rPr>
        <w:t>文字</w:t>
      </w:r>
      <w:bookmarkEnd w:id="74"/>
      <w:bookmarkEnd w:id="75"/>
      <w:bookmarkEnd w:id="76"/>
      <w:bookmarkEnd w:id="77"/>
      <w:bookmarkEnd w:id="78"/>
      <w:bookmarkEnd w:id="79"/>
    </w:p>
    <w:p w14:paraId="7C84CDC7">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招标投标文件使用的语言文字为中文。专用术语使用外文的，应附有中文注释。</w:t>
      </w:r>
    </w:p>
    <w:p w14:paraId="0DD74EB8">
      <w:pPr>
        <w:pStyle w:val="4"/>
        <w:rPr>
          <w:rFonts w:hint="eastAsia" w:ascii="宋体" w:eastAsia="宋体" w:cs="宋体"/>
          <w:color w:val="auto"/>
          <w:highlight w:val="none"/>
        </w:rPr>
      </w:pPr>
      <w:bookmarkStart w:id="80" w:name="_Toc247527562"/>
      <w:bookmarkStart w:id="81" w:name="_Toc152045538"/>
      <w:bookmarkStart w:id="82" w:name="_Toc152042314"/>
      <w:bookmarkStart w:id="83" w:name="_Toc247513961"/>
      <w:bookmarkStart w:id="84" w:name="_Toc25773"/>
      <w:bookmarkStart w:id="85" w:name="_Toc144974506"/>
      <w:bookmarkStart w:id="86" w:name="_Toc8865"/>
      <w:r>
        <w:rPr>
          <w:rFonts w:hint="eastAsia" w:ascii="宋体" w:eastAsia="宋体" w:cs="宋体"/>
          <w:color w:val="auto"/>
          <w:highlight w:val="none"/>
        </w:rPr>
        <w:t>1.8 计量单位</w:t>
      </w:r>
      <w:bookmarkEnd w:id="80"/>
      <w:bookmarkEnd w:id="81"/>
      <w:bookmarkEnd w:id="82"/>
      <w:bookmarkEnd w:id="83"/>
      <w:bookmarkEnd w:id="84"/>
      <w:bookmarkEnd w:id="85"/>
      <w:bookmarkEnd w:id="86"/>
    </w:p>
    <w:p w14:paraId="17F3B366">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1.8.1 所有计量均采用中华人民共和国法定计量单位。</w:t>
      </w:r>
    </w:p>
    <w:p w14:paraId="7B361FA0">
      <w:pPr>
        <w:spacing w:line="40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1.8.2 本工程投标报价采用的币种为人民币。</w:t>
      </w:r>
    </w:p>
    <w:p w14:paraId="66683994">
      <w:pPr>
        <w:pStyle w:val="4"/>
        <w:rPr>
          <w:rFonts w:hint="eastAsia" w:ascii="宋体" w:eastAsia="宋体" w:cs="宋体"/>
          <w:color w:val="auto"/>
          <w:highlight w:val="none"/>
        </w:rPr>
      </w:pPr>
      <w:bookmarkStart w:id="87" w:name="_Toc25098"/>
      <w:bookmarkStart w:id="88" w:name="_Toc19101"/>
      <w:bookmarkStart w:id="89" w:name="_Toc247513962"/>
      <w:bookmarkStart w:id="90" w:name="_Toc247527563"/>
      <w:bookmarkStart w:id="91" w:name="_Toc144974507"/>
      <w:bookmarkStart w:id="92" w:name="_Toc152042315"/>
      <w:bookmarkStart w:id="93" w:name="_Toc152045539"/>
      <w:r>
        <w:rPr>
          <w:rFonts w:hint="eastAsia" w:ascii="宋体" w:eastAsia="宋体" w:cs="宋体"/>
          <w:color w:val="auto"/>
          <w:highlight w:val="none"/>
        </w:rPr>
        <w:t>1.9 踏勘现场</w:t>
      </w:r>
      <w:bookmarkEnd w:id="87"/>
      <w:bookmarkEnd w:id="88"/>
      <w:bookmarkEnd w:id="89"/>
      <w:bookmarkEnd w:id="90"/>
      <w:bookmarkEnd w:id="91"/>
      <w:bookmarkEnd w:id="92"/>
      <w:bookmarkEnd w:id="93"/>
    </w:p>
    <w:p w14:paraId="4775D7BB">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1.9.1 投标人须知前附表规定组织踏勘现场的，招标人按投标人须知前附表规定的时间、地点组织投标人踏勘项目现场。 </w:t>
      </w:r>
    </w:p>
    <w:p w14:paraId="0EE1E92B">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1.9.2 投标人踏勘现场发生的费用自理。</w:t>
      </w:r>
    </w:p>
    <w:p w14:paraId="0BBACDFF">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1.9.3 除招标人的原因外，投标人自行负责在踏勘现场中所发生的人员伤亡和财产损失。</w:t>
      </w:r>
    </w:p>
    <w:p w14:paraId="187D6C08">
      <w:pPr>
        <w:spacing w:line="40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1.9.4 现场由投标人自行踏勘，投标人不进行踏勘的，视为已熟知现场条件，自行承担相关风险。招标人不对投标人自行踏勘现场作出的判断和决策负责。</w:t>
      </w:r>
    </w:p>
    <w:p w14:paraId="1EA631D2">
      <w:pPr>
        <w:spacing w:line="400" w:lineRule="exact"/>
        <w:ind w:firstLine="420" w:firstLineChars="200"/>
        <w:rPr>
          <w:rFonts w:hint="eastAsia" w:ascii="宋体" w:hAnsi="宋体" w:cs="宋体"/>
          <w:color w:val="auto"/>
          <w:highlight w:val="none"/>
        </w:rPr>
      </w:pPr>
    </w:p>
    <w:p w14:paraId="68D200A1">
      <w:pPr>
        <w:pStyle w:val="4"/>
        <w:rPr>
          <w:rFonts w:hint="eastAsia" w:ascii="宋体" w:eastAsia="宋体" w:cs="宋体"/>
          <w:color w:val="auto"/>
          <w:highlight w:val="none"/>
        </w:rPr>
      </w:pPr>
      <w:bookmarkStart w:id="94" w:name="_Toc247513963"/>
      <w:bookmarkStart w:id="95" w:name="_Toc152045540"/>
      <w:bookmarkStart w:id="96" w:name="_Toc17152"/>
      <w:bookmarkStart w:id="97" w:name="_Toc144974508"/>
      <w:bookmarkStart w:id="98" w:name="_Toc152042316"/>
      <w:bookmarkStart w:id="99" w:name="_Toc2420"/>
      <w:bookmarkStart w:id="100" w:name="_Toc247527564"/>
      <w:r>
        <w:rPr>
          <w:rFonts w:hint="eastAsia" w:ascii="宋体" w:eastAsia="宋体" w:cs="宋体"/>
          <w:color w:val="auto"/>
          <w:highlight w:val="none"/>
        </w:rPr>
        <w:t>1.10 投标预备会</w:t>
      </w:r>
      <w:bookmarkEnd w:id="94"/>
      <w:bookmarkEnd w:id="95"/>
      <w:bookmarkEnd w:id="96"/>
      <w:bookmarkEnd w:id="97"/>
      <w:bookmarkEnd w:id="98"/>
      <w:bookmarkEnd w:id="99"/>
      <w:bookmarkEnd w:id="100"/>
    </w:p>
    <w:p w14:paraId="5B6F1B4B">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1.10.1 投标人须知前附表规定召开投标预备会的，招标人按投标人须知前附表规定的时间和地点召开投标预备会，澄清投标人提出的问题。</w:t>
      </w:r>
    </w:p>
    <w:p w14:paraId="50770149">
      <w:pPr>
        <w:spacing w:line="400" w:lineRule="exact"/>
        <w:ind w:firstLine="420" w:firstLineChars="200"/>
        <w:rPr>
          <w:rFonts w:hint="eastAsia" w:ascii="宋体" w:hAnsi="宋体"/>
          <w:color w:val="auto"/>
          <w:highlight w:val="none"/>
        </w:rPr>
      </w:pPr>
      <w:r>
        <w:rPr>
          <w:rFonts w:hint="eastAsia" w:ascii="宋体" w:hAnsi="宋体" w:cs="宋体"/>
          <w:color w:val="auto"/>
          <w:highlight w:val="none"/>
        </w:rPr>
        <w:t>1.10.2 投标人应在投标人须知前附表规定的时间前，</w:t>
      </w:r>
      <w:r>
        <w:rPr>
          <w:rFonts w:hint="eastAsia" w:ascii="宋体" w:hAnsi="宋体" w:cs="宋体"/>
          <w:color w:val="auto"/>
          <w:highlight w:val="none"/>
          <w:u w:val="single"/>
        </w:rPr>
        <w:t>进行网上答疑</w:t>
      </w:r>
      <w:r>
        <w:rPr>
          <w:rFonts w:hint="eastAsia" w:ascii="宋体" w:hAnsi="宋体"/>
          <w:color w:val="auto"/>
          <w:highlight w:val="none"/>
          <w:u w:val="single"/>
        </w:rPr>
        <w:t>。</w:t>
      </w:r>
    </w:p>
    <w:p w14:paraId="00791CB9">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1.10.3 招标人在投标人须知前附表规定的时间内，将对投标人所提问题的澄清，</w:t>
      </w:r>
      <w:r>
        <w:rPr>
          <w:rFonts w:hint="eastAsia" w:ascii="宋体" w:hAnsi="宋体" w:cs="宋体"/>
          <w:color w:val="auto"/>
          <w:highlight w:val="none"/>
          <w:u w:val="single"/>
        </w:rPr>
        <w:t>以网上发布形式通知所有潜在投标人，澄清文件一经在广州交易集团有限公司（广州公共资源交易中心）网站发布，视作已发放给所有投标人。</w:t>
      </w:r>
      <w:r>
        <w:rPr>
          <w:rFonts w:hint="eastAsia" w:ascii="宋体" w:hAnsi="宋体" w:cs="宋体"/>
          <w:color w:val="auto"/>
          <w:highlight w:val="none"/>
        </w:rPr>
        <w:t>该澄清内容为招标文件的组成部分</w:t>
      </w:r>
      <w:r>
        <w:rPr>
          <w:rFonts w:hint="eastAsia" w:ascii="宋体" w:hAnsi="宋体"/>
          <w:color w:val="auto"/>
          <w:highlight w:val="none"/>
        </w:rPr>
        <w:t>。</w:t>
      </w:r>
    </w:p>
    <w:p w14:paraId="414F9875">
      <w:pPr>
        <w:pStyle w:val="4"/>
        <w:rPr>
          <w:rFonts w:hint="eastAsia" w:ascii="宋体" w:eastAsia="宋体" w:cs="宋体"/>
          <w:color w:val="auto"/>
          <w:highlight w:val="none"/>
        </w:rPr>
      </w:pPr>
      <w:bookmarkStart w:id="101" w:name="_Toc144974509"/>
      <w:bookmarkStart w:id="102" w:name="_Toc152042317"/>
      <w:bookmarkStart w:id="103" w:name="_Toc21297"/>
      <w:bookmarkStart w:id="104" w:name="_Toc152045541"/>
      <w:bookmarkStart w:id="105" w:name="_Toc247527565"/>
      <w:bookmarkStart w:id="106" w:name="_Toc3694"/>
      <w:bookmarkStart w:id="107" w:name="_Toc247513964"/>
      <w:r>
        <w:rPr>
          <w:rFonts w:hint="eastAsia" w:ascii="宋体" w:eastAsia="宋体" w:cs="宋体"/>
          <w:color w:val="auto"/>
          <w:highlight w:val="none"/>
        </w:rPr>
        <w:t>1.11 分包</w:t>
      </w:r>
      <w:bookmarkEnd w:id="101"/>
      <w:bookmarkEnd w:id="102"/>
      <w:bookmarkEnd w:id="103"/>
      <w:bookmarkEnd w:id="104"/>
      <w:bookmarkEnd w:id="105"/>
      <w:bookmarkEnd w:id="106"/>
      <w:bookmarkEnd w:id="107"/>
    </w:p>
    <w:p w14:paraId="2598A3A3">
      <w:pPr>
        <w:spacing w:line="400" w:lineRule="exact"/>
        <w:ind w:firstLine="567" w:firstLineChars="270"/>
        <w:rPr>
          <w:rFonts w:hint="eastAsia" w:ascii="宋体" w:hAnsi="宋体" w:cs="宋体"/>
          <w:color w:val="auto"/>
          <w:highlight w:val="none"/>
        </w:rPr>
      </w:pPr>
      <w:r>
        <w:rPr>
          <w:rFonts w:hint="eastAsia" w:ascii="宋体" w:hAnsi="宋体" w:cs="宋体"/>
          <w:color w:val="auto"/>
          <w:highlight w:val="none"/>
        </w:rPr>
        <w:t>1.11.1 投标人须知前附表规定应当由分包人实施的非主体、非关键性工作，投标人应当按照第五章“招标人要求”的规定提供分包人侯选名单及其相应资料。</w:t>
      </w:r>
    </w:p>
    <w:p w14:paraId="6BCA6F11">
      <w:pPr>
        <w:spacing w:line="400" w:lineRule="exact"/>
        <w:ind w:firstLine="567" w:firstLineChars="270"/>
        <w:rPr>
          <w:rFonts w:hint="eastAsia" w:ascii="宋体" w:hAnsi="宋体" w:cs="宋体"/>
          <w:color w:val="auto"/>
          <w:highlight w:val="none"/>
        </w:rPr>
      </w:pPr>
      <w:r>
        <w:rPr>
          <w:rFonts w:hint="eastAsia" w:ascii="宋体" w:hAnsi="宋体" w:cs="宋体"/>
          <w:color w:val="auto"/>
          <w:highlight w:val="none"/>
        </w:rPr>
        <w:t>1.11.2 投标人拟在中标后将中标项目的部分非主体、非关键性工作进行分包的，应符合投标人须知前附表规定的分包内容、分包金额和资质要求等限制性条件。</w:t>
      </w:r>
    </w:p>
    <w:p w14:paraId="5013CA9F">
      <w:pPr>
        <w:pStyle w:val="4"/>
        <w:rPr>
          <w:rFonts w:hint="eastAsia" w:ascii="宋体" w:eastAsia="宋体" w:cs="宋体"/>
          <w:color w:val="auto"/>
          <w:highlight w:val="none"/>
        </w:rPr>
      </w:pPr>
      <w:bookmarkStart w:id="108" w:name="_Toc247513965"/>
      <w:bookmarkStart w:id="109" w:name="_Toc247527566"/>
      <w:bookmarkStart w:id="110" w:name="_Toc13521"/>
      <w:bookmarkStart w:id="111" w:name="_Toc9023"/>
      <w:r>
        <w:rPr>
          <w:rFonts w:hint="eastAsia" w:ascii="宋体" w:eastAsia="宋体" w:cs="宋体"/>
          <w:color w:val="auto"/>
          <w:highlight w:val="none"/>
        </w:rPr>
        <w:t>1.12 偏离</w:t>
      </w:r>
      <w:bookmarkEnd w:id="108"/>
      <w:bookmarkEnd w:id="109"/>
      <w:bookmarkEnd w:id="110"/>
      <w:bookmarkEnd w:id="111"/>
    </w:p>
    <w:p w14:paraId="225121E3">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投标人须知前附表允许投标文件偏离招标文件某些要求的，偏离应当符合招标文件规定的偏离范围和幅度。</w:t>
      </w:r>
    </w:p>
    <w:p w14:paraId="1D8DB910">
      <w:pPr>
        <w:pStyle w:val="3"/>
        <w:rPr>
          <w:rFonts w:hint="eastAsia" w:ascii="宋体" w:hAnsi="宋体" w:eastAsia="宋体" w:cs="宋体"/>
          <w:color w:val="auto"/>
          <w:highlight w:val="none"/>
        </w:rPr>
      </w:pPr>
      <w:bookmarkStart w:id="112" w:name="_Toc9146"/>
      <w:bookmarkStart w:id="113" w:name="_Toc144974510"/>
      <w:bookmarkStart w:id="114" w:name="_Toc247527567"/>
      <w:bookmarkStart w:id="115" w:name="_Toc152045542"/>
      <w:bookmarkStart w:id="116" w:name="_Toc152042318"/>
      <w:bookmarkStart w:id="117" w:name="_Toc29782"/>
      <w:bookmarkStart w:id="118" w:name="_Toc247513966"/>
      <w:r>
        <w:rPr>
          <w:rFonts w:hint="eastAsia" w:ascii="宋体" w:hAnsi="宋体" w:eastAsia="宋体" w:cs="宋体"/>
          <w:color w:val="auto"/>
          <w:highlight w:val="none"/>
        </w:rPr>
        <w:t>2. 招标文件</w:t>
      </w:r>
      <w:bookmarkEnd w:id="112"/>
      <w:bookmarkEnd w:id="113"/>
      <w:bookmarkEnd w:id="114"/>
      <w:bookmarkEnd w:id="115"/>
      <w:bookmarkEnd w:id="116"/>
      <w:bookmarkEnd w:id="117"/>
      <w:bookmarkEnd w:id="118"/>
    </w:p>
    <w:p w14:paraId="61016C1C">
      <w:pPr>
        <w:pStyle w:val="4"/>
        <w:rPr>
          <w:rFonts w:hint="eastAsia" w:ascii="宋体" w:eastAsia="宋体" w:cs="宋体"/>
          <w:color w:val="auto"/>
          <w:highlight w:val="none"/>
        </w:rPr>
      </w:pPr>
      <w:bookmarkStart w:id="119" w:name="_Toc30638"/>
      <w:bookmarkStart w:id="120" w:name="_Toc152045543"/>
      <w:bookmarkStart w:id="121" w:name="_Toc247527568"/>
      <w:bookmarkStart w:id="122" w:name="_Toc247513967"/>
      <w:bookmarkStart w:id="123" w:name="_Toc152042319"/>
      <w:bookmarkStart w:id="124" w:name="_Toc144974511"/>
      <w:bookmarkStart w:id="125" w:name="_Toc9990"/>
      <w:r>
        <w:rPr>
          <w:rFonts w:hint="eastAsia" w:ascii="宋体" w:eastAsia="宋体" w:cs="宋体"/>
          <w:color w:val="auto"/>
          <w:highlight w:val="none"/>
        </w:rPr>
        <w:t>2.1 招标文件的组成</w:t>
      </w:r>
      <w:bookmarkEnd w:id="119"/>
      <w:bookmarkEnd w:id="120"/>
      <w:bookmarkEnd w:id="121"/>
      <w:bookmarkEnd w:id="122"/>
      <w:bookmarkEnd w:id="123"/>
      <w:bookmarkEnd w:id="124"/>
      <w:bookmarkEnd w:id="125"/>
    </w:p>
    <w:p w14:paraId="0E9D4B16">
      <w:pPr>
        <w:spacing w:line="400" w:lineRule="exact"/>
        <w:rPr>
          <w:rFonts w:hint="eastAsia" w:ascii="宋体" w:hAnsi="宋体" w:cs="宋体"/>
          <w:color w:val="auto"/>
          <w:highlight w:val="none"/>
        </w:rPr>
      </w:pPr>
      <w:r>
        <w:rPr>
          <w:rFonts w:hint="eastAsia" w:ascii="宋体" w:hAnsi="宋体" w:cs="宋体"/>
          <w:color w:val="auto"/>
          <w:highlight w:val="none"/>
        </w:rPr>
        <w:t>　　本招标文件包括：</w:t>
      </w:r>
    </w:p>
    <w:p w14:paraId="43564776">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（1）招标公告（另册）；</w:t>
      </w:r>
    </w:p>
    <w:p w14:paraId="600043BF">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（2）投标人须知；</w:t>
      </w:r>
    </w:p>
    <w:p w14:paraId="0533D3FA">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（3）评标办法；</w:t>
      </w:r>
    </w:p>
    <w:p w14:paraId="3057CC47">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（4）合同条款及格式(另册)；</w:t>
      </w:r>
    </w:p>
    <w:p w14:paraId="33448AF2">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（5）招标人要求；</w:t>
      </w:r>
    </w:p>
    <w:p w14:paraId="679346DF">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（6）招标人提供的资料；</w:t>
      </w:r>
    </w:p>
    <w:p w14:paraId="1812B480">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（7）投标文件格式；</w:t>
      </w:r>
    </w:p>
    <w:p w14:paraId="20A36406">
      <w:pPr>
        <w:spacing w:line="400" w:lineRule="exact"/>
        <w:ind w:firstLine="359" w:firstLineChars="171"/>
        <w:rPr>
          <w:rFonts w:hint="eastAsia" w:ascii="宋体" w:hAnsi="宋体" w:cs="宋体"/>
          <w:color w:val="auto"/>
          <w:highlight w:val="none"/>
          <w:u w:val="single"/>
        </w:rPr>
      </w:pPr>
      <w:r>
        <w:rPr>
          <w:rFonts w:hint="eastAsia" w:ascii="宋体" w:hAnsi="宋体" w:cs="宋体"/>
          <w:color w:val="auto"/>
          <w:highlight w:val="none"/>
        </w:rPr>
        <w:t>（8）投标人须知前附表规定的其他资料。</w:t>
      </w:r>
    </w:p>
    <w:p w14:paraId="374105A2">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根据本章第1.10款、第2.2款和第2.3款对招标文件所作的澄清、修改，</w:t>
      </w:r>
      <w:r>
        <w:rPr>
          <w:rFonts w:hint="eastAsia" w:ascii="宋体" w:hAnsi="宋体" w:cs="宋体"/>
          <w:color w:val="auto"/>
          <w:highlight w:val="none"/>
          <w:u w:val="single"/>
        </w:rPr>
        <w:t>构成招标文件的组成部分。当招标文件的澄清、修改等在同一内容的表述不一致时，以最后发出的书面文件为准</w:t>
      </w:r>
      <w:r>
        <w:rPr>
          <w:rFonts w:hint="eastAsia" w:ascii="宋体" w:hAnsi="宋体" w:cs="宋体"/>
          <w:color w:val="auto"/>
          <w:highlight w:val="none"/>
        </w:rPr>
        <w:t>。</w:t>
      </w:r>
    </w:p>
    <w:p w14:paraId="5481EE51">
      <w:pPr>
        <w:pStyle w:val="4"/>
        <w:rPr>
          <w:rFonts w:hint="eastAsia" w:ascii="宋体" w:eastAsia="宋体" w:cs="宋体"/>
          <w:color w:val="auto"/>
          <w:highlight w:val="none"/>
        </w:rPr>
      </w:pPr>
      <w:bookmarkStart w:id="126" w:name="_Toc144974512"/>
      <w:bookmarkStart w:id="127" w:name="_Toc247527569"/>
      <w:bookmarkStart w:id="128" w:name="_Toc247513968"/>
      <w:bookmarkStart w:id="129" w:name="_Toc152045544"/>
      <w:bookmarkStart w:id="130" w:name="_Toc152042320"/>
      <w:bookmarkStart w:id="131" w:name="_Toc19158"/>
      <w:bookmarkStart w:id="132" w:name="_Toc23073"/>
      <w:r>
        <w:rPr>
          <w:rFonts w:hint="eastAsia" w:ascii="宋体" w:eastAsia="宋体" w:cs="宋体"/>
          <w:color w:val="auto"/>
          <w:highlight w:val="none"/>
        </w:rPr>
        <w:t>2.2 招标文件的澄清</w:t>
      </w:r>
      <w:bookmarkEnd w:id="126"/>
      <w:bookmarkEnd w:id="127"/>
      <w:bookmarkEnd w:id="128"/>
      <w:bookmarkEnd w:id="129"/>
      <w:bookmarkEnd w:id="130"/>
      <w:bookmarkEnd w:id="131"/>
      <w:bookmarkEnd w:id="132"/>
    </w:p>
    <w:p w14:paraId="17A08ACC">
      <w:pPr>
        <w:spacing w:line="40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rPr>
        <w:t>2.2.1</w:t>
      </w:r>
      <w:r>
        <w:rPr>
          <w:rFonts w:hint="eastAsia" w:ascii="宋体" w:hAnsi="宋体" w:cs="宋体"/>
          <w:color w:val="auto"/>
          <w:highlight w:val="none"/>
          <w:u w:val="single"/>
        </w:rPr>
        <w:t>招标答疑采用网上答疑方式进行。投标人若对招标文件有疑问的，可在递交投标文件截止日期18日前通过广州交易集团有限公司（广州公共资源交易中心）网站将问题提交给招标人或招标代理人。提交问题时一律不得署名。</w:t>
      </w:r>
    </w:p>
    <w:p w14:paraId="04F960C5">
      <w:pPr>
        <w:spacing w:line="40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rPr>
        <w:t>2.2.2</w:t>
      </w:r>
      <w:r>
        <w:rPr>
          <w:rFonts w:hint="eastAsia" w:ascii="宋体" w:hAnsi="宋体" w:cs="宋体"/>
          <w:color w:val="auto"/>
          <w:highlight w:val="none"/>
          <w:u w:val="single"/>
        </w:rPr>
        <w:t>招标人应在投标截止时间15日前解答投标人对招标文件提出的疑问，形成答疑纪要，在广州交易集团有限公司（广州公共资源交易中心）网站发布。</w:t>
      </w:r>
    </w:p>
    <w:p w14:paraId="6E0222EE">
      <w:pPr>
        <w:spacing w:line="40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2.2.3招标文件的答疑纪要在广州交易集团有限公司（广州公共资源交易中心）网站发布，一经发布，视作已发放给所有投标人。</w:t>
      </w:r>
    </w:p>
    <w:p w14:paraId="6302FB98">
      <w:pPr>
        <w:spacing w:line="40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2.2.4 招标答疑纪要为招标文件的一部分。投标人可在广州交易集团有限公司（广州公共资源交易中心）网站浏览、下载招标答疑纪要。</w:t>
      </w:r>
    </w:p>
    <w:p w14:paraId="047AEF3B">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u w:val="single"/>
        </w:rPr>
        <w:t>2.2.5 若招标答疑纪要与招标文件有矛盾时，以广州交易集团有限公司（广州公共资源交易中心）网站最后发布的答疑纪要为准。</w:t>
      </w:r>
    </w:p>
    <w:p w14:paraId="7B386B51">
      <w:pPr>
        <w:pStyle w:val="4"/>
        <w:rPr>
          <w:rFonts w:hint="eastAsia" w:ascii="宋体" w:eastAsia="宋体" w:cs="宋体"/>
          <w:color w:val="auto"/>
          <w:highlight w:val="none"/>
        </w:rPr>
      </w:pPr>
      <w:bookmarkStart w:id="133" w:name="_Toc152045545"/>
      <w:bookmarkStart w:id="134" w:name="_Toc247527570"/>
      <w:bookmarkStart w:id="135" w:name="_Toc152042321"/>
      <w:bookmarkStart w:id="136" w:name="_Toc25207"/>
      <w:bookmarkStart w:id="137" w:name="_Toc144974513"/>
      <w:bookmarkStart w:id="138" w:name="_Toc5830"/>
      <w:bookmarkStart w:id="139" w:name="_Toc247513969"/>
      <w:r>
        <w:rPr>
          <w:rFonts w:hint="eastAsia" w:ascii="宋体" w:eastAsia="宋体" w:cs="宋体"/>
          <w:color w:val="auto"/>
          <w:highlight w:val="none"/>
        </w:rPr>
        <w:t>2.3 招标文件的修改</w:t>
      </w:r>
      <w:bookmarkEnd w:id="133"/>
      <w:bookmarkEnd w:id="134"/>
      <w:bookmarkEnd w:id="135"/>
      <w:bookmarkEnd w:id="136"/>
      <w:bookmarkEnd w:id="137"/>
      <w:bookmarkEnd w:id="138"/>
      <w:bookmarkEnd w:id="139"/>
    </w:p>
    <w:p w14:paraId="3E7A0E2B">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2.3.1 </w:t>
      </w:r>
      <w:r>
        <w:rPr>
          <w:rFonts w:hint="eastAsia" w:ascii="宋体" w:hAnsi="宋体" w:cs="宋体"/>
          <w:color w:val="auto"/>
          <w:highlight w:val="none"/>
          <w:u w:val="single"/>
        </w:rPr>
        <w:t>在投标截止时间15天前，招标人可对招标文件进行必要的澄清或修改，并通过广州交易集团有限公司（广州公共资源交易中心）网站发布。如果修改招标文件的时间距投标截止时间不足15 天，并且修改内容影响投标文件编制的，相应延长投标截止时间。投标人应及时通过广州交易集团有限公司（广州公共资源交易中心）网站浏览、下载招标文件修改。</w:t>
      </w:r>
    </w:p>
    <w:p w14:paraId="6B7E5851">
      <w:pPr>
        <w:spacing w:line="40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rPr>
        <w:t xml:space="preserve">2.3.2 </w:t>
      </w:r>
      <w:r>
        <w:rPr>
          <w:rFonts w:hint="eastAsia" w:ascii="宋体" w:hAnsi="宋体" w:cs="宋体"/>
          <w:color w:val="auto"/>
          <w:highlight w:val="none"/>
          <w:u w:val="single"/>
        </w:rPr>
        <w:t>招标文件的澄清或修改在广州交易集团有限公司（广州公共资源交易中心）网站发布。招标文件的澄清或修改一经在广州交易集团有限公司（广州公共资源交易中心）网站发布，视作已发放给所有投标人。</w:t>
      </w:r>
    </w:p>
    <w:p w14:paraId="690F0D51">
      <w:pPr>
        <w:spacing w:line="40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2.3.3 招标文件的澄清、修改作为招标文件的组成部分，具有约束作用。</w:t>
      </w:r>
    </w:p>
    <w:p w14:paraId="017EB9DE">
      <w:pPr>
        <w:spacing w:line="40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2.3.4 招标文件的澄清、修改均以广州交易集团有限公司（广州公共资源交易中心）网站发布的内容为准。当招标文件的澄清、修改在同一内容的表述不一致时，以广州交易集团有限公司（广州公共资源交易中心）网站最后发布的内容为准。</w:t>
      </w:r>
    </w:p>
    <w:p w14:paraId="75AD1A2A">
      <w:pPr>
        <w:spacing w:line="400" w:lineRule="exact"/>
        <w:ind w:firstLine="420" w:firstLineChars="200"/>
        <w:rPr>
          <w:rFonts w:hint="eastAsia" w:ascii="宋体" w:hAnsi="宋体" w:cs="宋体"/>
          <w:color w:val="auto"/>
          <w:highlight w:val="none"/>
          <w:u w:val="single"/>
        </w:rPr>
      </w:pPr>
    </w:p>
    <w:p w14:paraId="0CD1B705">
      <w:pPr>
        <w:pStyle w:val="3"/>
        <w:rPr>
          <w:rFonts w:hint="eastAsia" w:ascii="宋体" w:hAnsi="宋体" w:eastAsia="宋体" w:cs="宋体"/>
          <w:color w:val="auto"/>
          <w:highlight w:val="none"/>
        </w:rPr>
      </w:pPr>
      <w:bookmarkStart w:id="140" w:name="_Toc152045546"/>
      <w:bookmarkStart w:id="141" w:name="_Toc144974514"/>
      <w:bookmarkStart w:id="142" w:name="_Toc247513970"/>
      <w:bookmarkStart w:id="143" w:name="_Toc247527571"/>
      <w:bookmarkStart w:id="144" w:name="_Toc30863"/>
      <w:bookmarkStart w:id="145" w:name="_Toc152042322"/>
      <w:bookmarkStart w:id="146" w:name="_Toc11733"/>
      <w:r>
        <w:rPr>
          <w:rFonts w:hint="eastAsia" w:ascii="宋体" w:hAnsi="宋体" w:eastAsia="宋体" w:cs="宋体"/>
          <w:color w:val="auto"/>
          <w:highlight w:val="none"/>
        </w:rPr>
        <w:t>3. 投标文件</w:t>
      </w:r>
      <w:bookmarkEnd w:id="140"/>
      <w:bookmarkEnd w:id="141"/>
      <w:bookmarkEnd w:id="142"/>
      <w:bookmarkEnd w:id="143"/>
      <w:bookmarkEnd w:id="144"/>
      <w:bookmarkEnd w:id="145"/>
      <w:bookmarkEnd w:id="146"/>
    </w:p>
    <w:p w14:paraId="64670046">
      <w:pPr>
        <w:pStyle w:val="4"/>
        <w:rPr>
          <w:rFonts w:hint="eastAsia" w:ascii="宋体" w:eastAsia="宋体" w:cs="宋体"/>
          <w:color w:val="auto"/>
          <w:highlight w:val="none"/>
        </w:rPr>
      </w:pPr>
      <w:bookmarkStart w:id="147" w:name="_Toc356469195"/>
      <w:bookmarkStart w:id="148" w:name="_Toc144974515"/>
      <w:bookmarkStart w:id="149" w:name="_Toc152042323"/>
      <w:bookmarkStart w:id="150" w:name="_Toc357089529"/>
      <w:bookmarkStart w:id="151" w:name="_Toc439240616"/>
      <w:bookmarkStart w:id="152" w:name="_Toc300834968"/>
      <w:bookmarkStart w:id="153" w:name="_Toc32041"/>
      <w:bookmarkStart w:id="154" w:name="_Toc247527572"/>
      <w:bookmarkStart w:id="155" w:name="_Toc439246015"/>
      <w:bookmarkStart w:id="156" w:name="_Toc247513971"/>
      <w:bookmarkStart w:id="157" w:name="_Toc152045547"/>
      <w:bookmarkStart w:id="158" w:name="_Toc682"/>
      <w:bookmarkStart w:id="159" w:name="_Toc251"/>
      <w:r>
        <w:rPr>
          <w:rFonts w:hint="eastAsia" w:ascii="宋体" w:eastAsia="宋体" w:cs="宋体"/>
          <w:color w:val="auto"/>
          <w:highlight w:val="none"/>
        </w:rPr>
        <w:t>3.1 投标文件的组成</w:t>
      </w:r>
      <w:bookmarkEnd w:id="147"/>
      <w:bookmarkEnd w:id="148"/>
      <w:bookmarkEnd w:id="149"/>
      <w:bookmarkEnd w:id="150"/>
      <w:bookmarkEnd w:id="151"/>
      <w:bookmarkEnd w:id="152"/>
      <w:bookmarkEnd w:id="153"/>
      <w:bookmarkEnd w:id="154"/>
      <w:bookmarkEnd w:id="155"/>
      <w:bookmarkEnd w:id="156"/>
      <w:bookmarkEnd w:id="157"/>
      <w:bookmarkEnd w:id="158"/>
      <w:bookmarkEnd w:id="159"/>
    </w:p>
    <w:p w14:paraId="5E8265E1">
      <w:pPr>
        <w:spacing w:line="400" w:lineRule="exact"/>
        <w:ind w:firstLine="420" w:firstLineChars="200"/>
        <w:rPr>
          <w:rFonts w:hint="eastAsia" w:ascii="宋体" w:hAnsi="宋体"/>
          <w:color w:val="auto"/>
          <w:highlight w:val="none"/>
          <w:u w:val="single"/>
        </w:rPr>
      </w:pPr>
      <w:r>
        <w:rPr>
          <w:rFonts w:hint="eastAsia" w:ascii="宋体" w:hAnsi="宋体"/>
          <w:color w:val="auto"/>
          <w:highlight w:val="none"/>
          <w:u w:val="single"/>
        </w:rPr>
        <w:t>3.1.1投标文件由</w:t>
      </w:r>
      <w:r>
        <w:rPr>
          <w:rFonts w:hint="eastAsia" w:ascii="宋体" w:hAnsi="宋体"/>
          <w:b/>
          <w:bCs/>
          <w:color w:val="auto"/>
          <w:highlight w:val="none"/>
          <w:u w:val="single"/>
        </w:rPr>
        <w:t>资格审查文件、设计方案投标文件、工程总承包实施方案投标文件三部分组成</w:t>
      </w:r>
      <w:r>
        <w:rPr>
          <w:rFonts w:hint="eastAsia" w:ascii="宋体" w:hAnsi="宋体"/>
          <w:color w:val="auto"/>
          <w:highlight w:val="none"/>
          <w:u w:val="single"/>
        </w:rPr>
        <w:t>，如招标文件没有格式规定的，由投标人自行编制。</w:t>
      </w:r>
    </w:p>
    <w:p w14:paraId="4B8B4A85">
      <w:pPr>
        <w:spacing w:line="400" w:lineRule="exact"/>
        <w:ind w:firstLine="422" w:firstLineChars="200"/>
        <w:rPr>
          <w:rFonts w:hint="eastAsia" w:ascii="宋体" w:hAnsi="宋体" w:cs="宋体"/>
          <w:b/>
          <w:bCs/>
          <w:color w:val="auto"/>
          <w:highlight w:val="none"/>
          <w:u w:val="single"/>
        </w:rPr>
      </w:pPr>
      <w:r>
        <w:rPr>
          <w:rFonts w:hint="eastAsia" w:ascii="宋体" w:hAnsi="宋体" w:cs="宋体"/>
          <w:b/>
          <w:bCs/>
          <w:color w:val="auto"/>
          <w:highlight w:val="none"/>
          <w:u w:val="single"/>
        </w:rPr>
        <w:t>3.1.2资格审查文件</w:t>
      </w:r>
    </w:p>
    <w:p w14:paraId="39B6ABBB">
      <w:pPr>
        <w:numPr>
          <w:ilvl w:val="0"/>
          <w:numId w:val="2"/>
        </w:numPr>
        <w:spacing w:line="400" w:lineRule="exact"/>
        <w:ind w:hanging="5"/>
        <w:rPr>
          <w:rFonts w:hint="eastAsia" w:ascii="宋体" w:hAnsi="宋体" w:cs="宋体"/>
          <w:color w:val="auto"/>
          <w:highlight w:val="none"/>
          <w:u w:val="single"/>
        </w:rPr>
      </w:pPr>
      <w:r>
        <w:rPr>
          <w:rFonts w:hint="eastAsia" w:ascii="宋体" w:hAnsi="宋体" w:cs="宋体"/>
          <w:color w:val="auto"/>
          <w:highlight w:val="none"/>
          <w:u w:val="single"/>
        </w:rPr>
        <w:t>投标单位法定代表人证明书及法人授权委托证明书（联合体投标的，由联合体主办方单位代表联合体授权））；</w:t>
      </w:r>
    </w:p>
    <w:p w14:paraId="2FE6EF7D">
      <w:pPr>
        <w:numPr>
          <w:ilvl w:val="0"/>
          <w:numId w:val="2"/>
        </w:numPr>
        <w:spacing w:line="400" w:lineRule="exact"/>
        <w:ind w:hanging="5"/>
        <w:rPr>
          <w:rFonts w:hint="eastAsia" w:ascii="宋体" w:hAnsi="宋体" w:cs="宋体"/>
          <w:color w:val="auto"/>
          <w:highlight w:val="none"/>
          <w:u w:val="single"/>
        </w:rPr>
      </w:pPr>
      <w:r>
        <w:rPr>
          <w:rFonts w:hint="eastAsia" w:ascii="宋体" w:hAnsi="宋体" w:cs="宋体"/>
          <w:color w:val="auto"/>
          <w:highlight w:val="none"/>
          <w:u w:val="single"/>
        </w:rPr>
        <w:t>企业营业执照（联合体投标的，联合体各方均提供）；</w:t>
      </w:r>
    </w:p>
    <w:p w14:paraId="497E5DFC">
      <w:pPr>
        <w:numPr>
          <w:ilvl w:val="0"/>
          <w:numId w:val="2"/>
        </w:numPr>
        <w:spacing w:line="400" w:lineRule="exact"/>
        <w:ind w:hanging="5"/>
        <w:rPr>
          <w:rFonts w:hint="eastAsia" w:ascii="宋体" w:hAnsi="宋体" w:cs="宋体"/>
          <w:color w:val="auto"/>
          <w:highlight w:val="none"/>
          <w:u w:val="single"/>
        </w:rPr>
      </w:pPr>
      <w:r>
        <w:rPr>
          <w:rFonts w:hint="eastAsia" w:ascii="宋体" w:hAnsi="宋体" w:cs="宋体"/>
          <w:color w:val="auto"/>
          <w:highlight w:val="none"/>
          <w:u w:val="single"/>
        </w:rPr>
        <w:t>资质证书（联合体投标的，联合体各方均提供）；</w:t>
      </w:r>
    </w:p>
    <w:p w14:paraId="0FE862A5">
      <w:pPr>
        <w:numPr>
          <w:ilvl w:val="0"/>
          <w:numId w:val="2"/>
        </w:numPr>
        <w:spacing w:line="400" w:lineRule="exact"/>
        <w:ind w:hanging="5"/>
        <w:rPr>
          <w:rFonts w:hint="eastAsia" w:ascii="宋体" w:hAnsi="宋体" w:cs="宋体"/>
          <w:color w:val="auto"/>
          <w:highlight w:val="none"/>
          <w:u w:val="single"/>
        </w:rPr>
      </w:pPr>
      <w:r>
        <w:rPr>
          <w:rFonts w:hint="eastAsia" w:ascii="宋体" w:hAnsi="宋体" w:cs="宋体"/>
          <w:color w:val="auto"/>
          <w:highlight w:val="none"/>
          <w:u w:val="single"/>
        </w:rPr>
        <w:t>安全生产许可证（联合体投标的，</w:t>
      </w:r>
      <w:r>
        <w:rPr>
          <w:rFonts w:hint="eastAsia" w:ascii="宋体" w:hAnsi="宋体" w:cs="宋体"/>
          <w:color w:val="auto"/>
          <w:szCs w:val="21"/>
          <w:highlight w:val="none"/>
          <w:u w:val="single"/>
        </w:rPr>
        <w:t>由施工方提供</w:t>
      </w:r>
      <w:r>
        <w:rPr>
          <w:rFonts w:hint="eastAsia" w:ascii="宋体" w:hAnsi="宋体" w:cs="宋体"/>
          <w:color w:val="auto"/>
          <w:highlight w:val="none"/>
          <w:u w:val="single"/>
        </w:rPr>
        <w:t>）；</w:t>
      </w:r>
    </w:p>
    <w:p w14:paraId="611CFC1A">
      <w:pPr>
        <w:numPr>
          <w:ilvl w:val="0"/>
          <w:numId w:val="2"/>
        </w:numPr>
        <w:spacing w:line="400" w:lineRule="exact"/>
        <w:ind w:hanging="5"/>
        <w:rPr>
          <w:rFonts w:hint="eastAsia" w:ascii="宋体" w:hAnsi="宋体" w:cs="宋体"/>
          <w:color w:val="auto"/>
          <w:highlight w:val="none"/>
          <w:u w:val="single"/>
        </w:rPr>
      </w:pPr>
      <w:r>
        <w:rPr>
          <w:rFonts w:hint="eastAsia" w:ascii="宋体" w:hAnsi="宋体" w:cs="宋体"/>
          <w:color w:val="auto"/>
          <w:highlight w:val="none"/>
          <w:u w:val="single"/>
        </w:rPr>
        <w:t>投标人（或联合体主办方）拟派项目负责人（可兼任施工负责人）的相关证书；</w:t>
      </w:r>
    </w:p>
    <w:p w14:paraId="30005913">
      <w:pPr>
        <w:numPr>
          <w:ilvl w:val="0"/>
          <w:numId w:val="2"/>
        </w:numPr>
        <w:spacing w:line="400" w:lineRule="exact"/>
        <w:ind w:hanging="5"/>
        <w:rPr>
          <w:rFonts w:hint="eastAsia" w:ascii="宋体" w:hAnsi="宋体" w:cs="宋体"/>
          <w:color w:val="auto"/>
          <w:highlight w:val="none"/>
          <w:u w:val="single"/>
        </w:rPr>
      </w:pPr>
      <w:r>
        <w:rPr>
          <w:rFonts w:hint="eastAsia" w:ascii="宋体" w:hAnsi="宋体" w:cs="宋体"/>
          <w:color w:val="auto"/>
          <w:highlight w:val="none"/>
          <w:u w:val="single"/>
        </w:rPr>
        <w:t>投标人（或联合体主办方）拟派施工负责人的建造师注册证书，持有在有效期内的安全培训考核合格证书（B类）或建筑施工企业项目负责人安全生产考核合格证书；</w:t>
      </w:r>
    </w:p>
    <w:p w14:paraId="1865E966">
      <w:pPr>
        <w:numPr>
          <w:ilvl w:val="0"/>
          <w:numId w:val="2"/>
        </w:numPr>
        <w:spacing w:line="400" w:lineRule="exact"/>
        <w:ind w:hanging="5"/>
        <w:rPr>
          <w:rFonts w:hint="eastAsia" w:ascii="宋体" w:hAnsi="宋体" w:cs="宋体"/>
          <w:color w:val="auto"/>
          <w:highlight w:val="none"/>
          <w:u w:val="single"/>
        </w:rPr>
      </w:pPr>
      <w:r>
        <w:rPr>
          <w:rFonts w:hint="eastAsia" w:ascii="宋体" w:hAnsi="宋体" w:cs="宋体"/>
          <w:color w:val="auto"/>
          <w:highlight w:val="none"/>
          <w:u w:val="single"/>
        </w:rPr>
        <w:t>投标人（或联合体设计方）拟派设计负责人的职称证书；</w:t>
      </w:r>
    </w:p>
    <w:p w14:paraId="18B7AA13">
      <w:pPr>
        <w:numPr>
          <w:ilvl w:val="0"/>
          <w:numId w:val="2"/>
        </w:numPr>
        <w:spacing w:line="400" w:lineRule="exact"/>
        <w:ind w:hanging="5"/>
        <w:rPr>
          <w:rFonts w:hint="eastAsia" w:ascii="宋体" w:hAnsi="宋体" w:cs="宋体"/>
          <w:color w:val="auto"/>
          <w:highlight w:val="none"/>
          <w:u w:val="single"/>
        </w:rPr>
      </w:pPr>
      <w:r>
        <w:rPr>
          <w:rFonts w:hint="eastAsia" w:ascii="宋体" w:hAnsi="宋体" w:cs="宋体"/>
          <w:color w:val="auto"/>
          <w:highlight w:val="none"/>
          <w:u w:val="single"/>
        </w:rPr>
        <w:t>投标人（或联合体主办方）拟派专职安全员具有</w:t>
      </w:r>
      <w:r>
        <w:rPr>
          <w:rFonts w:hint="eastAsia" w:ascii="宋体" w:hAnsi="宋体" w:cs="宋体"/>
          <w:color w:val="auto"/>
          <w:szCs w:val="21"/>
          <w:highlight w:val="none"/>
          <w:u w:val="single"/>
        </w:rPr>
        <w:t>在有效期内的安全生产考核合格证书（C类）或建筑施工企业专职安全生产管理人员安全生产考核合格证书（C3类）</w:t>
      </w:r>
      <w:r>
        <w:rPr>
          <w:rFonts w:hint="eastAsia" w:ascii="宋体" w:hAnsi="宋体" w:cs="宋体"/>
          <w:color w:val="auto"/>
          <w:highlight w:val="none"/>
          <w:u w:val="single"/>
        </w:rPr>
        <w:t>；</w:t>
      </w:r>
    </w:p>
    <w:p w14:paraId="59046155">
      <w:pPr>
        <w:numPr>
          <w:ilvl w:val="0"/>
          <w:numId w:val="2"/>
        </w:numPr>
        <w:spacing w:line="400" w:lineRule="exact"/>
        <w:ind w:hanging="5"/>
        <w:rPr>
          <w:rFonts w:hint="eastAsia" w:ascii="宋体" w:hAnsi="宋体"/>
          <w:color w:val="auto"/>
          <w:highlight w:val="none"/>
        </w:rPr>
      </w:pPr>
      <w:r>
        <w:rPr>
          <w:rFonts w:hint="eastAsia" w:ascii="宋体" w:hAnsi="宋体" w:cs="宋体"/>
          <w:color w:val="auto"/>
          <w:highlight w:val="none"/>
          <w:u w:val="single"/>
        </w:rPr>
        <w:t>投标人（或联合体主办方）拟派施工技术负责人的</w:t>
      </w:r>
      <w:r>
        <w:rPr>
          <w:rFonts w:hint="eastAsia" w:ascii="宋体" w:hAnsi="宋体" w:cs="宋体"/>
          <w:color w:val="auto"/>
          <w:szCs w:val="21"/>
          <w:highlight w:val="none"/>
          <w:u w:val="single"/>
        </w:rPr>
        <w:t>职称证书；</w:t>
      </w:r>
    </w:p>
    <w:p w14:paraId="1816F032">
      <w:pPr>
        <w:numPr>
          <w:ilvl w:val="0"/>
          <w:numId w:val="2"/>
        </w:numPr>
        <w:spacing w:line="400" w:lineRule="exact"/>
        <w:ind w:hanging="5"/>
        <w:rPr>
          <w:rFonts w:hint="eastAsia" w:ascii="宋体" w:hAnsi="宋体" w:cs="宋体"/>
          <w:color w:val="auto"/>
          <w:highlight w:val="none"/>
          <w:u w:val="single"/>
        </w:rPr>
      </w:pPr>
      <w:r>
        <w:rPr>
          <w:rFonts w:hint="eastAsia" w:ascii="宋体" w:hAnsi="宋体" w:cs="宋体"/>
          <w:color w:val="auto"/>
          <w:highlight w:val="none"/>
          <w:u w:val="single"/>
        </w:rPr>
        <w:t>按招标公告附件一盖章签署的《投标人声明》；</w:t>
      </w:r>
    </w:p>
    <w:p w14:paraId="43095A5F">
      <w:pPr>
        <w:numPr>
          <w:ilvl w:val="0"/>
          <w:numId w:val="2"/>
        </w:numPr>
        <w:spacing w:line="400" w:lineRule="exact"/>
        <w:ind w:hanging="5"/>
        <w:rPr>
          <w:rFonts w:hint="eastAsia" w:ascii="宋体" w:hAnsi="宋体" w:cs="宋体"/>
          <w:color w:val="auto"/>
          <w:highlight w:val="none"/>
          <w:u w:val="single"/>
        </w:rPr>
      </w:pPr>
      <w:r>
        <w:rPr>
          <w:rFonts w:hint="eastAsia" w:ascii="宋体" w:hAnsi="宋体" w:cs="宋体"/>
          <w:color w:val="auto"/>
          <w:highlight w:val="none"/>
          <w:u w:val="single"/>
        </w:rPr>
        <w:t xml:space="preserve">盖章签署的《联合体共同投标协议书》（参考格式）（如有）； </w:t>
      </w:r>
    </w:p>
    <w:p w14:paraId="58DCCECB">
      <w:pPr>
        <w:numPr>
          <w:ilvl w:val="0"/>
          <w:numId w:val="2"/>
        </w:numPr>
        <w:spacing w:line="400" w:lineRule="exact"/>
        <w:ind w:hanging="5"/>
        <w:rPr>
          <w:rFonts w:hint="eastAsia" w:ascii="宋体" w:hAnsi="宋体" w:cs="宋体"/>
          <w:color w:val="auto"/>
          <w:highlight w:val="none"/>
          <w:u w:val="single"/>
        </w:rPr>
      </w:pPr>
      <w:r>
        <w:rPr>
          <w:rFonts w:hint="eastAsia" w:ascii="宋体" w:hAnsi="宋体" w:cs="宋体"/>
          <w:color w:val="auto"/>
          <w:highlight w:val="none"/>
          <w:u w:val="single"/>
        </w:rPr>
        <w:t>投标登记前，投标人（含联合体各方）须在广州交易集团有限公司（广州公共资源交易中心）办理企业信息登记，拟担任本工程项目负责人、施工负责人、设计负责人、专职安全员须是投标人本企业信息登记中的在册人员（联合体投标的，企业信息登记和人员在册情况为联合体共同投标协议书分工对应企业库内的登记信息）。</w:t>
      </w:r>
    </w:p>
    <w:p w14:paraId="29F62B3F">
      <w:pPr>
        <w:numPr>
          <w:ilvl w:val="0"/>
          <w:numId w:val="2"/>
        </w:numPr>
        <w:spacing w:line="400" w:lineRule="exact"/>
        <w:ind w:hanging="5"/>
        <w:rPr>
          <w:rFonts w:hint="eastAsia" w:ascii="宋体" w:hAnsi="宋体" w:cs="宋体"/>
          <w:color w:val="auto"/>
          <w:highlight w:val="none"/>
          <w:u w:val="single"/>
        </w:rPr>
      </w:pPr>
      <w:r>
        <w:rPr>
          <w:rFonts w:hint="eastAsia" w:ascii="宋体" w:hAnsi="宋体" w:cs="宋体"/>
          <w:color w:val="auto"/>
          <w:highlight w:val="none"/>
          <w:u w:val="single"/>
        </w:rPr>
        <w:t>投标人（含联合体各方）不是本项目的代建单位、项目管理单位、监理单位、造价咨询单位、招标代理单位。投标人（含联合体各方）须承诺应当具有相应的项目管理体系和项目管理能力、财务和风险承担能力。（按投标人提供的《投标人声明》内容进行评审）</w:t>
      </w:r>
    </w:p>
    <w:p w14:paraId="63E5E022">
      <w:pPr>
        <w:numPr>
          <w:ilvl w:val="0"/>
          <w:numId w:val="2"/>
        </w:numPr>
        <w:spacing w:line="400" w:lineRule="exact"/>
        <w:ind w:hanging="5"/>
        <w:rPr>
          <w:rFonts w:hint="eastAsia" w:ascii="宋体" w:hAnsi="宋体" w:cs="宋体"/>
          <w:color w:val="auto"/>
          <w:highlight w:val="none"/>
          <w:u w:val="single"/>
        </w:rPr>
      </w:pPr>
      <w:r>
        <w:rPr>
          <w:rFonts w:hint="eastAsia" w:ascii="宋体" w:hAnsi="宋体" w:cs="宋体"/>
          <w:color w:val="auto"/>
          <w:highlight w:val="none"/>
          <w:u w:val="single"/>
        </w:rPr>
        <w:t>投标人认为应该提供的其他资料。</w:t>
      </w:r>
    </w:p>
    <w:p w14:paraId="04D466CD">
      <w:pPr>
        <w:spacing w:line="400" w:lineRule="exact"/>
        <w:ind w:firstLine="422" w:firstLineChars="200"/>
        <w:rPr>
          <w:rFonts w:hint="eastAsia" w:ascii="宋体" w:hAnsi="宋体" w:cs="宋体"/>
          <w:b/>
          <w:bCs/>
          <w:color w:val="auto"/>
          <w:highlight w:val="none"/>
          <w:u w:val="single"/>
        </w:rPr>
      </w:pPr>
      <w:r>
        <w:rPr>
          <w:rFonts w:hint="eastAsia" w:ascii="宋体" w:hAnsi="宋体" w:cs="宋体"/>
          <w:b/>
          <w:bCs/>
          <w:color w:val="auto"/>
          <w:highlight w:val="none"/>
          <w:u w:val="single"/>
        </w:rPr>
        <w:t>3.1.3设计方案文件</w:t>
      </w:r>
    </w:p>
    <w:p w14:paraId="63786FE8">
      <w:pPr>
        <w:pStyle w:val="39"/>
        <w:spacing w:after="0" w:line="360" w:lineRule="auto"/>
        <w:ind w:firstLine="422"/>
        <w:rPr>
          <w:rFonts w:hint="eastAsia" w:ascii="宋体" w:hAnsi="宋体"/>
          <w:b/>
          <w:color w:val="auto"/>
          <w:szCs w:val="21"/>
          <w:highlight w:val="none"/>
          <w:u w:val="single"/>
        </w:rPr>
      </w:pPr>
      <w:r>
        <w:rPr>
          <w:rFonts w:hint="eastAsia" w:ascii="宋体" w:hAnsi="宋体"/>
          <w:b/>
          <w:color w:val="auto"/>
          <w:szCs w:val="21"/>
          <w:highlight w:val="none"/>
          <w:u w:val="single"/>
        </w:rPr>
        <w:t>设计方案评审采用“暗标”形式，不得出现可以辨认投标人及专业技术人员身份的名称、印章、商标、图形等记认</w:t>
      </w:r>
      <w:r>
        <w:rPr>
          <w:rFonts w:ascii="宋体" w:hAnsi="宋体"/>
          <w:b/>
          <w:color w:val="auto"/>
          <w:szCs w:val="21"/>
          <w:highlight w:val="none"/>
          <w:u w:val="single"/>
        </w:rPr>
        <w:t>符号</w:t>
      </w:r>
      <w:r>
        <w:rPr>
          <w:rFonts w:hint="eastAsia" w:ascii="宋体" w:hAnsi="宋体"/>
          <w:b/>
          <w:color w:val="auto"/>
          <w:szCs w:val="21"/>
          <w:highlight w:val="none"/>
          <w:u w:val="single"/>
        </w:rPr>
        <w:t>，也不得通过明标、</w:t>
      </w:r>
      <w:r>
        <w:rPr>
          <w:rFonts w:ascii="宋体" w:hAnsi="宋体"/>
          <w:b/>
          <w:color w:val="auto"/>
          <w:szCs w:val="21"/>
          <w:highlight w:val="none"/>
          <w:u w:val="single"/>
        </w:rPr>
        <w:t>暗标中包含的相同内容</w:t>
      </w:r>
      <w:r>
        <w:rPr>
          <w:rFonts w:hint="eastAsia" w:ascii="宋体" w:hAnsi="宋体"/>
          <w:b/>
          <w:color w:val="auto"/>
          <w:szCs w:val="21"/>
          <w:highlight w:val="none"/>
          <w:u w:val="single"/>
        </w:rPr>
        <w:t>（如</w:t>
      </w:r>
      <w:r>
        <w:rPr>
          <w:rFonts w:ascii="宋体" w:hAnsi="宋体"/>
          <w:b/>
          <w:color w:val="auto"/>
          <w:szCs w:val="21"/>
          <w:highlight w:val="none"/>
          <w:u w:val="single"/>
        </w:rPr>
        <w:t>报价等</w:t>
      </w:r>
      <w:r>
        <w:rPr>
          <w:rFonts w:hint="eastAsia" w:ascii="宋体" w:hAnsi="宋体"/>
          <w:b/>
          <w:color w:val="auto"/>
          <w:szCs w:val="21"/>
          <w:highlight w:val="none"/>
          <w:u w:val="single"/>
        </w:rPr>
        <w:t>）互相</w:t>
      </w:r>
      <w:r>
        <w:rPr>
          <w:rFonts w:ascii="宋体" w:hAnsi="宋体"/>
          <w:b/>
          <w:color w:val="auto"/>
          <w:szCs w:val="21"/>
          <w:highlight w:val="none"/>
          <w:u w:val="single"/>
        </w:rPr>
        <w:t>印证、</w:t>
      </w:r>
      <w:r>
        <w:rPr>
          <w:rFonts w:hint="eastAsia" w:ascii="宋体" w:hAnsi="宋体"/>
          <w:b/>
          <w:color w:val="auto"/>
          <w:szCs w:val="21"/>
          <w:highlight w:val="none"/>
          <w:u w:val="single"/>
        </w:rPr>
        <w:t>辨认</w:t>
      </w:r>
      <w:r>
        <w:rPr>
          <w:rFonts w:ascii="宋体" w:hAnsi="宋体"/>
          <w:b/>
          <w:color w:val="auto"/>
          <w:szCs w:val="21"/>
          <w:highlight w:val="none"/>
          <w:u w:val="single"/>
        </w:rPr>
        <w:t>投标人身份</w:t>
      </w:r>
      <w:r>
        <w:rPr>
          <w:rFonts w:hint="eastAsia" w:ascii="宋体" w:hAnsi="宋体"/>
          <w:b/>
          <w:color w:val="auto"/>
          <w:szCs w:val="21"/>
          <w:highlight w:val="none"/>
          <w:u w:val="single"/>
        </w:rPr>
        <w:t>，应包含但不限于以下内容:</w:t>
      </w:r>
    </w:p>
    <w:p w14:paraId="1E6A0248">
      <w:pPr>
        <w:pStyle w:val="38"/>
        <w:spacing w:after="0" w:line="360" w:lineRule="auto"/>
        <w:ind w:left="640" w:firstLine="0"/>
        <w:rPr>
          <w:rFonts w:hint="eastAsia" w:ascii="宋体" w:hAnsi="宋体" w:cs="宋体"/>
          <w:color w:val="auto"/>
          <w:szCs w:val="21"/>
          <w:highlight w:val="none"/>
          <w:u w:val="single"/>
        </w:rPr>
      </w:pPr>
      <w:r>
        <w:rPr>
          <w:rFonts w:hint="eastAsia" w:ascii="宋体" w:hAnsi="宋体" w:cs="宋体"/>
          <w:color w:val="auto"/>
          <w:szCs w:val="21"/>
          <w:highlight w:val="none"/>
          <w:u w:val="single"/>
        </w:rPr>
        <w:t>（1）目录；</w:t>
      </w:r>
    </w:p>
    <w:p w14:paraId="63E64651">
      <w:pPr>
        <w:pStyle w:val="38"/>
        <w:spacing w:after="0" w:line="360" w:lineRule="auto"/>
        <w:ind w:left="640" w:firstLine="0"/>
        <w:rPr>
          <w:rFonts w:hint="eastAsia" w:ascii="宋体" w:hAnsi="宋体" w:cs="宋体"/>
          <w:color w:val="auto"/>
          <w:szCs w:val="21"/>
          <w:highlight w:val="none"/>
          <w:u w:val="single"/>
        </w:rPr>
      </w:pPr>
      <w:r>
        <w:rPr>
          <w:rFonts w:hint="eastAsia" w:ascii="宋体" w:hAnsi="宋体" w:cs="宋体"/>
          <w:color w:val="auto"/>
          <w:szCs w:val="21"/>
          <w:highlight w:val="none"/>
          <w:u w:val="single"/>
        </w:rPr>
        <w:t>（2）设计方案；</w:t>
      </w:r>
      <w:r>
        <w:rPr>
          <w:rFonts w:hint="eastAsia" w:ascii="宋体" w:hAnsi="宋体" w:cs="宋体"/>
          <w:b/>
          <w:color w:val="auto"/>
          <w:szCs w:val="21"/>
          <w:highlight w:val="none"/>
          <w:u w:val="single"/>
          <w:lang w:val="zh-CN"/>
        </w:rPr>
        <w:t>（注：投资估算中不能体现相应的投标报价）</w:t>
      </w:r>
    </w:p>
    <w:p w14:paraId="566FE7A3">
      <w:pPr>
        <w:pStyle w:val="38"/>
        <w:spacing w:after="0" w:line="360" w:lineRule="auto"/>
        <w:ind w:left="640" w:firstLine="0"/>
        <w:rPr>
          <w:rFonts w:hint="eastAsia" w:ascii="宋体" w:hAnsi="宋体"/>
          <w:color w:val="auto"/>
          <w:szCs w:val="21"/>
          <w:highlight w:val="none"/>
          <w:u w:val="single"/>
        </w:rPr>
      </w:pPr>
      <w:r>
        <w:rPr>
          <w:rFonts w:hint="eastAsia" w:ascii="宋体" w:hAnsi="宋体"/>
          <w:color w:val="auto"/>
          <w:szCs w:val="21"/>
          <w:highlight w:val="none"/>
          <w:u w:val="single"/>
        </w:rPr>
        <w:t>（</w:t>
      </w:r>
      <w:r>
        <w:rPr>
          <w:rFonts w:hint="eastAsia" w:ascii="宋体" w:hAnsi="宋体"/>
          <w:color w:val="auto"/>
          <w:szCs w:val="21"/>
          <w:highlight w:val="none"/>
          <w:u w:val="single"/>
          <w:lang w:val="en-US" w:eastAsia="zh-CN"/>
        </w:rPr>
        <w:t>3</w:t>
      </w:r>
      <w:r>
        <w:rPr>
          <w:rFonts w:hint="eastAsia" w:ascii="宋体" w:hAnsi="宋体"/>
          <w:color w:val="auto"/>
          <w:szCs w:val="21"/>
          <w:highlight w:val="none"/>
          <w:u w:val="single"/>
        </w:rPr>
        <w:t>）投标人认为有必要提供的其他资料。</w:t>
      </w:r>
    </w:p>
    <w:p w14:paraId="1E164982">
      <w:pPr>
        <w:spacing w:line="400" w:lineRule="exact"/>
        <w:ind w:firstLine="422" w:firstLineChars="200"/>
        <w:rPr>
          <w:rFonts w:hint="eastAsia" w:ascii="宋体" w:hAnsi="宋体" w:cs="宋体"/>
          <w:b/>
          <w:bCs/>
          <w:color w:val="auto"/>
          <w:highlight w:val="none"/>
          <w:u w:val="single"/>
        </w:rPr>
      </w:pPr>
      <w:r>
        <w:rPr>
          <w:rFonts w:hint="eastAsia" w:ascii="宋体" w:hAnsi="宋体" w:cs="宋体"/>
          <w:b/>
          <w:bCs/>
          <w:color w:val="auto"/>
          <w:highlight w:val="none"/>
          <w:u w:val="single"/>
        </w:rPr>
        <w:t>3.1.4</w:t>
      </w:r>
      <w:r>
        <w:rPr>
          <w:rFonts w:hint="eastAsia" w:ascii="宋体" w:hAnsi="宋体"/>
          <w:b/>
          <w:bCs/>
          <w:color w:val="auto"/>
          <w:highlight w:val="none"/>
          <w:u w:val="single"/>
        </w:rPr>
        <w:t>工程总承包实施方案投标文件</w:t>
      </w:r>
      <w:r>
        <w:rPr>
          <w:rFonts w:hint="eastAsia" w:ascii="宋体" w:hAnsi="宋体" w:cs="宋体"/>
          <w:b/>
          <w:bCs/>
          <w:color w:val="auto"/>
          <w:highlight w:val="none"/>
          <w:u w:val="single"/>
        </w:rPr>
        <w:t>：</w:t>
      </w:r>
    </w:p>
    <w:p w14:paraId="580ECC47">
      <w:pPr>
        <w:numPr>
          <w:ilvl w:val="0"/>
          <w:numId w:val="3"/>
        </w:numPr>
        <w:spacing w:before="62" w:beforeLines="20" w:after="4"/>
        <w:ind w:hanging="34"/>
        <w:rPr>
          <w:rFonts w:hint="eastAsia" w:ascii="宋体" w:hAnsi="宋体" w:cs="宋体"/>
          <w:color w:val="auto"/>
          <w:highlight w:val="none"/>
          <w:u w:val="single"/>
        </w:rPr>
      </w:pPr>
      <w:r>
        <w:rPr>
          <w:rFonts w:hint="eastAsia" w:ascii="宋体" w:hAnsi="宋体" w:cs="宋体"/>
          <w:color w:val="auto"/>
          <w:highlight w:val="none"/>
          <w:u w:val="single"/>
        </w:rPr>
        <w:t>投标书；</w:t>
      </w:r>
    </w:p>
    <w:p w14:paraId="4ABFA7A5">
      <w:pPr>
        <w:numPr>
          <w:ilvl w:val="0"/>
          <w:numId w:val="3"/>
        </w:numPr>
        <w:spacing w:before="62" w:beforeLines="20" w:after="4"/>
        <w:ind w:hanging="34"/>
        <w:rPr>
          <w:rFonts w:hint="eastAsia" w:ascii="宋体" w:hAnsi="宋体" w:cs="宋体"/>
          <w:color w:val="auto"/>
          <w:highlight w:val="none"/>
          <w:u w:val="single"/>
        </w:rPr>
      </w:pPr>
      <w:r>
        <w:rPr>
          <w:rFonts w:hint="eastAsia" w:ascii="宋体" w:hAnsi="宋体" w:cs="宋体"/>
          <w:color w:val="auto"/>
          <w:highlight w:val="none"/>
          <w:u w:val="single"/>
        </w:rPr>
        <w:t>投标承诺函；</w:t>
      </w:r>
    </w:p>
    <w:p w14:paraId="31C45AC8">
      <w:pPr>
        <w:numPr>
          <w:ilvl w:val="0"/>
          <w:numId w:val="3"/>
        </w:numPr>
        <w:spacing w:before="62" w:beforeLines="20" w:after="4"/>
        <w:ind w:hanging="34"/>
        <w:rPr>
          <w:rFonts w:hint="eastAsia" w:ascii="宋体" w:hAnsi="宋体" w:cs="宋体"/>
          <w:color w:val="auto"/>
          <w:highlight w:val="none"/>
          <w:u w:val="single"/>
        </w:rPr>
      </w:pPr>
      <w:r>
        <w:rPr>
          <w:rFonts w:hint="eastAsia" w:ascii="宋体" w:hAnsi="宋体" w:cs="宋体"/>
          <w:color w:val="auto"/>
          <w:highlight w:val="none"/>
          <w:u w:val="single"/>
          <w:lang w:val="zh-CN"/>
        </w:rPr>
        <w:t>项目管理团队人员信息表；</w:t>
      </w:r>
    </w:p>
    <w:p w14:paraId="358F3557">
      <w:pPr>
        <w:numPr>
          <w:ilvl w:val="0"/>
          <w:numId w:val="3"/>
        </w:numPr>
        <w:spacing w:before="62" w:beforeLines="20" w:after="4"/>
        <w:ind w:hanging="34"/>
        <w:rPr>
          <w:rFonts w:hint="eastAsia" w:ascii="宋体" w:hAnsi="宋体" w:cs="宋体"/>
          <w:color w:val="auto"/>
          <w:highlight w:val="none"/>
          <w:u w:val="single"/>
        </w:rPr>
      </w:pPr>
      <w:r>
        <w:rPr>
          <w:rFonts w:hint="eastAsia" w:ascii="宋体" w:hAnsi="宋体" w:cs="宋体"/>
          <w:color w:val="auto"/>
          <w:highlight w:val="none"/>
          <w:u w:val="single"/>
        </w:rPr>
        <w:t>工程总承包实施方案（按评分要求提供相关材料）；</w:t>
      </w:r>
    </w:p>
    <w:p w14:paraId="51FE209F">
      <w:pPr>
        <w:numPr>
          <w:ilvl w:val="0"/>
          <w:numId w:val="3"/>
        </w:numPr>
        <w:spacing w:before="62" w:beforeLines="20" w:after="4"/>
        <w:ind w:hanging="34"/>
        <w:rPr>
          <w:rFonts w:hint="eastAsia" w:ascii="宋体" w:hAnsi="宋体" w:cs="宋体"/>
          <w:color w:val="auto"/>
          <w:highlight w:val="none"/>
          <w:u w:val="single"/>
        </w:rPr>
      </w:pPr>
      <w:r>
        <w:rPr>
          <w:rFonts w:hint="eastAsia" w:ascii="宋体" w:hAnsi="宋体" w:cs="宋体"/>
          <w:color w:val="auto"/>
          <w:highlight w:val="none"/>
          <w:u w:val="single"/>
        </w:rPr>
        <w:t>参与编制投标文件人员名单；</w:t>
      </w:r>
    </w:p>
    <w:p w14:paraId="1D3661AF">
      <w:pPr>
        <w:numPr>
          <w:ilvl w:val="0"/>
          <w:numId w:val="3"/>
        </w:numPr>
        <w:spacing w:before="62" w:beforeLines="20" w:after="4"/>
        <w:ind w:hanging="34"/>
        <w:rPr>
          <w:rFonts w:hint="eastAsia" w:ascii="宋体" w:hAnsi="宋体" w:cs="宋体"/>
          <w:color w:val="auto"/>
          <w:highlight w:val="none"/>
          <w:u w:val="single"/>
        </w:rPr>
      </w:pPr>
      <w:r>
        <w:rPr>
          <w:rFonts w:hint="eastAsia" w:ascii="宋体" w:hAnsi="宋体" w:cs="宋体"/>
          <w:color w:val="auto"/>
          <w:highlight w:val="none"/>
          <w:u w:val="single"/>
        </w:rPr>
        <w:t>投标人认为应该提供的其他资料。</w:t>
      </w:r>
    </w:p>
    <w:p w14:paraId="4A4E3BF5">
      <w:pPr>
        <w:pStyle w:val="4"/>
        <w:rPr>
          <w:rFonts w:hint="eastAsia" w:ascii="宋体" w:eastAsia="宋体" w:cs="宋体"/>
          <w:color w:val="auto"/>
          <w:highlight w:val="none"/>
        </w:rPr>
      </w:pPr>
      <w:bookmarkStart w:id="160" w:name="_Toc247513972"/>
      <w:bookmarkStart w:id="161" w:name="_Toc152042324"/>
      <w:bookmarkStart w:id="162" w:name="_Toc152045548"/>
      <w:bookmarkStart w:id="163" w:name="_Toc247527573"/>
      <w:bookmarkStart w:id="164" w:name="_Toc22089"/>
      <w:bookmarkStart w:id="165" w:name="_Toc144974516"/>
      <w:bookmarkStart w:id="166" w:name="_Toc16275"/>
      <w:r>
        <w:rPr>
          <w:rFonts w:hint="eastAsia" w:ascii="宋体" w:eastAsia="宋体" w:cs="宋体"/>
          <w:color w:val="auto"/>
          <w:highlight w:val="none"/>
        </w:rPr>
        <w:t>3.2 投标报价</w:t>
      </w:r>
      <w:bookmarkEnd w:id="160"/>
      <w:bookmarkEnd w:id="161"/>
      <w:bookmarkEnd w:id="162"/>
      <w:bookmarkEnd w:id="163"/>
      <w:bookmarkEnd w:id="164"/>
      <w:bookmarkEnd w:id="165"/>
      <w:bookmarkEnd w:id="166"/>
    </w:p>
    <w:p w14:paraId="365F077D">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highlight w:val="none"/>
        </w:rPr>
        <w:t xml:space="preserve">3.2.1 </w:t>
      </w:r>
      <w:r>
        <w:rPr>
          <w:rFonts w:hint="eastAsia" w:ascii="宋体" w:hAnsi="宋体" w:cs="宋体"/>
          <w:color w:val="auto"/>
          <w:szCs w:val="21"/>
          <w:highlight w:val="none"/>
        </w:rPr>
        <w:t>投标人应充分了解施工场地的位置、周边环境、道路、装卸、保管、安装限制以及影响投标报价的其他要素。投标人根据投标设计，结合市场情况进行投标报价。</w:t>
      </w:r>
    </w:p>
    <w:p w14:paraId="76AF05F2">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3.2.2 招标人设有最高投标限价的，投标人的投标报价不得超过最高投标限价，最高投标限价或其计算方法在投标人须知前附表中载明。</w:t>
      </w:r>
    </w:p>
    <w:p w14:paraId="33841651">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3.2.3 投标报价的其他要求见投标人须知前附表。</w:t>
      </w:r>
    </w:p>
    <w:p w14:paraId="6D58EF93">
      <w:pPr>
        <w:pStyle w:val="4"/>
        <w:rPr>
          <w:rFonts w:hint="eastAsia" w:ascii="宋体" w:eastAsia="宋体" w:cs="宋体"/>
          <w:color w:val="auto"/>
          <w:highlight w:val="none"/>
        </w:rPr>
      </w:pPr>
      <w:bookmarkStart w:id="167" w:name="_Toc152042325"/>
      <w:bookmarkStart w:id="168" w:name="_Toc247527574"/>
      <w:bookmarkStart w:id="169" w:name="_Toc16455"/>
      <w:bookmarkStart w:id="170" w:name="_Toc247513973"/>
      <w:bookmarkStart w:id="171" w:name="_Toc144974517"/>
      <w:bookmarkStart w:id="172" w:name="_Toc6310"/>
      <w:bookmarkStart w:id="173" w:name="_Toc152045549"/>
      <w:r>
        <w:rPr>
          <w:rFonts w:hint="eastAsia" w:ascii="宋体" w:eastAsia="宋体" w:cs="宋体"/>
          <w:color w:val="auto"/>
          <w:highlight w:val="none"/>
        </w:rPr>
        <w:t>3.3 投标有效期</w:t>
      </w:r>
      <w:bookmarkEnd w:id="167"/>
      <w:bookmarkEnd w:id="168"/>
      <w:bookmarkEnd w:id="169"/>
      <w:bookmarkEnd w:id="170"/>
      <w:bookmarkEnd w:id="171"/>
      <w:bookmarkEnd w:id="172"/>
      <w:bookmarkEnd w:id="173"/>
    </w:p>
    <w:p w14:paraId="07EBC58E">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3.3.1 除投标人须知前附表另有规定外，投标有效期为</w:t>
      </w:r>
      <w:r>
        <w:rPr>
          <w:rFonts w:hint="eastAsia" w:ascii="宋体" w:hAnsi="宋体" w:cs="宋体"/>
          <w:color w:val="auto"/>
          <w:highlight w:val="none"/>
          <w:u w:val="single"/>
        </w:rPr>
        <w:t>90</w:t>
      </w:r>
      <w:r>
        <w:rPr>
          <w:rFonts w:hint="eastAsia" w:ascii="宋体" w:hAnsi="宋体" w:cs="宋体"/>
          <w:color w:val="auto"/>
          <w:highlight w:val="none"/>
        </w:rPr>
        <w:t>天。</w:t>
      </w:r>
    </w:p>
    <w:p w14:paraId="7B068278">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3.3.2 在投标有效期内，投标人撤销或修改其投标文件的，应承担招标文件和法律规定的责任。</w:t>
      </w:r>
    </w:p>
    <w:p w14:paraId="43C8240A">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3.3.3 出现特殊情况需要延长投标有效期的，招标人以书面形式通知所有投标人延长投标有效期。投标人同意延长的，</w:t>
      </w:r>
      <w:r>
        <w:rPr>
          <w:rFonts w:hint="eastAsia" w:ascii="宋体" w:hAnsi="宋体" w:cs="宋体"/>
          <w:strike/>
          <w:color w:val="auto"/>
          <w:highlight w:val="none"/>
        </w:rPr>
        <w:t>应相应延长其投标保证金的有效期，但</w:t>
      </w:r>
      <w:r>
        <w:rPr>
          <w:rFonts w:hint="eastAsia" w:ascii="宋体" w:hAnsi="宋体" w:cs="宋体"/>
          <w:color w:val="auto"/>
          <w:highlight w:val="none"/>
        </w:rPr>
        <w:t>不得要求或被允许修改或撤销其投标文件；投标人拒绝延长的，其投标失效</w:t>
      </w:r>
      <w:r>
        <w:rPr>
          <w:rFonts w:hint="eastAsia" w:ascii="宋体" w:hAnsi="宋体" w:cs="宋体"/>
          <w:strike/>
          <w:color w:val="auto"/>
          <w:highlight w:val="none"/>
        </w:rPr>
        <w:t>，但投标人有权收回其投标保证金</w:t>
      </w:r>
      <w:r>
        <w:rPr>
          <w:rFonts w:hint="eastAsia" w:ascii="宋体" w:hAnsi="宋体" w:cs="宋体"/>
          <w:color w:val="auto"/>
          <w:highlight w:val="none"/>
        </w:rPr>
        <w:t xml:space="preserve">。 </w:t>
      </w:r>
    </w:p>
    <w:p w14:paraId="701B6394">
      <w:pPr>
        <w:pStyle w:val="4"/>
        <w:rPr>
          <w:rFonts w:hint="eastAsia" w:ascii="宋体" w:eastAsia="宋体" w:cs="宋体"/>
          <w:strike/>
          <w:color w:val="auto"/>
          <w:highlight w:val="none"/>
        </w:rPr>
      </w:pPr>
      <w:bookmarkStart w:id="174" w:name="_Toc247513974"/>
      <w:bookmarkStart w:id="175" w:name="_Toc247527575"/>
      <w:bookmarkStart w:id="176" w:name="_Toc152042326"/>
      <w:bookmarkStart w:id="177" w:name="_Toc14731"/>
      <w:bookmarkStart w:id="178" w:name="_Toc152045550"/>
      <w:bookmarkStart w:id="179" w:name="_Toc144974518"/>
      <w:bookmarkStart w:id="180" w:name="_Toc562"/>
      <w:r>
        <w:rPr>
          <w:rFonts w:hint="eastAsia" w:ascii="宋体" w:eastAsia="宋体" w:cs="宋体"/>
          <w:strike/>
          <w:color w:val="auto"/>
          <w:highlight w:val="none"/>
        </w:rPr>
        <w:t>3.4 投标保证金</w:t>
      </w:r>
      <w:bookmarkEnd w:id="174"/>
      <w:bookmarkEnd w:id="175"/>
      <w:bookmarkEnd w:id="176"/>
      <w:bookmarkEnd w:id="177"/>
      <w:bookmarkEnd w:id="178"/>
      <w:bookmarkEnd w:id="179"/>
      <w:bookmarkEnd w:id="180"/>
    </w:p>
    <w:p w14:paraId="65C81DB3">
      <w:pPr>
        <w:spacing w:line="400" w:lineRule="exact"/>
        <w:ind w:firstLine="420" w:firstLineChars="200"/>
        <w:rPr>
          <w:rFonts w:hint="eastAsia" w:ascii="宋体" w:hAnsi="宋体" w:cs="宋体"/>
          <w:strike/>
          <w:color w:val="auto"/>
          <w:highlight w:val="none"/>
        </w:rPr>
      </w:pPr>
      <w:r>
        <w:rPr>
          <w:rFonts w:hint="eastAsia" w:ascii="宋体" w:hAnsi="宋体" w:cs="宋体"/>
          <w:strike/>
          <w:color w:val="auto"/>
          <w:highlight w:val="none"/>
        </w:rPr>
        <w:t xml:space="preserve">3.4.1 </w:t>
      </w:r>
      <w:r>
        <w:rPr>
          <w:rFonts w:hint="eastAsia" w:ascii="宋体" w:hAnsi="宋体" w:cs="宋体"/>
          <w:strike/>
          <w:color w:val="auto"/>
          <w:highlight w:val="none"/>
          <w:u w:val="single"/>
        </w:rPr>
        <w:t>投标人在投标截止时间前，应按投标人须知前附表规定的金额、形式递交投标保证金</w:t>
      </w:r>
      <w:r>
        <w:rPr>
          <w:rFonts w:hint="eastAsia" w:ascii="宋体" w:hAnsi="宋体" w:cs="宋体"/>
          <w:strike/>
          <w:color w:val="auto"/>
          <w:highlight w:val="none"/>
        </w:rPr>
        <w:t>，并作为其投标文件的组成部分。联合体投标的，其投标保证金由主办方递交，并应符合投标人须知前附表的规定。</w:t>
      </w:r>
    </w:p>
    <w:p w14:paraId="49283C76">
      <w:pPr>
        <w:spacing w:line="400" w:lineRule="exact"/>
        <w:ind w:firstLine="420" w:firstLineChars="200"/>
        <w:rPr>
          <w:rFonts w:hint="eastAsia" w:ascii="宋体" w:hAnsi="宋体" w:cs="宋体"/>
          <w:strike/>
          <w:color w:val="auto"/>
          <w:highlight w:val="none"/>
        </w:rPr>
      </w:pPr>
      <w:r>
        <w:rPr>
          <w:rFonts w:hint="eastAsia" w:ascii="宋体" w:hAnsi="宋体" w:cs="宋体"/>
          <w:strike/>
          <w:color w:val="auto"/>
          <w:highlight w:val="none"/>
        </w:rPr>
        <w:t>3.4.2 投标人不按本章第3.4.1项要求提交投标保证金的，评标委员会将否决其投标。</w:t>
      </w:r>
    </w:p>
    <w:p w14:paraId="27A44BF1">
      <w:pPr>
        <w:spacing w:line="400" w:lineRule="exact"/>
        <w:ind w:firstLine="420" w:firstLineChars="200"/>
        <w:rPr>
          <w:rFonts w:hint="eastAsia" w:ascii="宋体" w:hAnsi="宋体" w:cs="宋体"/>
          <w:strike/>
          <w:color w:val="auto"/>
          <w:highlight w:val="none"/>
          <w:u w:val="single"/>
        </w:rPr>
      </w:pPr>
      <w:r>
        <w:rPr>
          <w:rFonts w:hint="eastAsia" w:ascii="宋体" w:hAnsi="宋体" w:cs="宋体"/>
          <w:strike/>
          <w:color w:val="auto"/>
          <w:highlight w:val="none"/>
          <w:u w:val="single"/>
        </w:rPr>
        <w:t>3.4.3未中标的投标人的投标保证金将尽快退还，最迟不超过招标人与中标人签定合同后的5个工作日。中标人的投标保证金，在签署合同并按要求提供了履约担保后予以退还。</w:t>
      </w:r>
    </w:p>
    <w:p w14:paraId="6502248E">
      <w:pPr>
        <w:spacing w:line="400" w:lineRule="exact"/>
        <w:ind w:firstLine="420" w:firstLineChars="200"/>
        <w:rPr>
          <w:rFonts w:hint="eastAsia" w:ascii="宋体" w:hAnsi="宋体" w:cs="宋体"/>
          <w:strike/>
          <w:color w:val="auto"/>
          <w:highlight w:val="none"/>
        </w:rPr>
      </w:pPr>
      <w:r>
        <w:rPr>
          <w:rFonts w:hint="eastAsia" w:ascii="宋体" w:hAnsi="宋体" w:cs="宋体"/>
          <w:strike/>
          <w:color w:val="auto"/>
          <w:highlight w:val="none"/>
        </w:rPr>
        <w:t xml:space="preserve">3.4.4有下列情形之一的，投标保证金将不予退还： </w:t>
      </w:r>
    </w:p>
    <w:p w14:paraId="1E414AC8">
      <w:pPr>
        <w:pStyle w:val="21"/>
        <w:ind w:firstLine="420" w:firstLineChars="200"/>
        <w:rPr>
          <w:rFonts w:hint="eastAsia" w:hAnsi="宋体"/>
          <w:strike/>
          <w:color w:val="auto"/>
          <w:highlight w:val="none"/>
          <w:u w:val="single"/>
        </w:rPr>
      </w:pPr>
      <w:bookmarkStart w:id="181" w:name="_Toc247527577"/>
      <w:bookmarkStart w:id="182" w:name="_Toc144974520"/>
      <w:bookmarkStart w:id="183" w:name="_Toc152042328"/>
      <w:bookmarkStart w:id="184" w:name="_Toc21104"/>
      <w:bookmarkStart w:id="185" w:name="_Toc152045552"/>
      <w:bookmarkStart w:id="186" w:name="_Toc29040"/>
      <w:bookmarkStart w:id="187" w:name="_Toc247513976"/>
      <w:r>
        <w:rPr>
          <w:rFonts w:hint="eastAsia" w:hAnsi="宋体"/>
          <w:strike/>
          <w:color w:val="auto"/>
          <w:highlight w:val="none"/>
          <w:u w:val="single"/>
        </w:rPr>
        <w:t>（1）因投标人原因造成投标文件未解密的；</w:t>
      </w:r>
    </w:p>
    <w:p w14:paraId="49DEA369">
      <w:pPr>
        <w:pStyle w:val="21"/>
        <w:ind w:firstLine="420" w:firstLineChars="200"/>
        <w:rPr>
          <w:rFonts w:hint="eastAsia" w:hAnsi="宋体"/>
          <w:strike/>
          <w:color w:val="auto"/>
          <w:highlight w:val="none"/>
          <w:u w:val="single"/>
        </w:rPr>
      </w:pPr>
      <w:r>
        <w:rPr>
          <w:rFonts w:hint="eastAsia" w:hAnsi="宋体"/>
          <w:strike/>
          <w:color w:val="auto"/>
          <w:highlight w:val="none"/>
          <w:u w:val="single"/>
        </w:rPr>
        <w:t>（2）投标人在投标有效期内撤销投标文件；</w:t>
      </w:r>
    </w:p>
    <w:p w14:paraId="7D2FDB4B">
      <w:pPr>
        <w:pStyle w:val="21"/>
        <w:ind w:firstLine="420" w:firstLineChars="200"/>
        <w:rPr>
          <w:rFonts w:hint="eastAsia" w:hAnsi="宋体"/>
          <w:strike/>
          <w:color w:val="auto"/>
          <w:highlight w:val="none"/>
          <w:u w:val="single"/>
        </w:rPr>
      </w:pPr>
      <w:r>
        <w:rPr>
          <w:rFonts w:hint="eastAsia" w:hAnsi="宋体"/>
          <w:strike/>
          <w:color w:val="auto"/>
          <w:highlight w:val="none"/>
          <w:u w:val="single"/>
        </w:rPr>
        <w:t>（3）中标人未能在规定期限内按要求提交履约担保；</w:t>
      </w:r>
    </w:p>
    <w:p w14:paraId="2FFCB885">
      <w:pPr>
        <w:pStyle w:val="21"/>
        <w:ind w:firstLine="420" w:firstLineChars="200"/>
        <w:rPr>
          <w:rFonts w:hint="eastAsia" w:hAnsi="宋体"/>
          <w:strike/>
          <w:color w:val="auto"/>
          <w:highlight w:val="none"/>
          <w:u w:val="single"/>
        </w:rPr>
      </w:pPr>
      <w:r>
        <w:rPr>
          <w:rFonts w:hint="eastAsia" w:hAnsi="宋体"/>
          <w:strike/>
          <w:color w:val="auto"/>
          <w:highlight w:val="none"/>
          <w:u w:val="single"/>
        </w:rPr>
        <w:t>（4）中标人未能在规定期限内签署合同协议。</w:t>
      </w:r>
    </w:p>
    <w:p w14:paraId="0D3F8BEE">
      <w:pPr>
        <w:pStyle w:val="4"/>
        <w:rPr>
          <w:rFonts w:hint="eastAsia" w:ascii="宋体" w:eastAsia="宋体" w:cs="宋体"/>
          <w:color w:val="auto"/>
          <w:highlight w:val="none"/>
        </w:rPr>
      </w:pPr>
      <w:r>
        <w:rPr>
          <w:rFonts w:hint="eastAsia" w:ascii="宋体" w:eastAsia="宋体" w:cs="宋体"/>
          <w:color w:val="auto"/>
          <w:highlight w:val="none"/>
        </w:rPr>
        <w:t>3.5 资格审查资料（适用于未进行资格预审的）</w:t>
      </w:r>
      <w:bookmarkEnd w:id="181"/>
      <w:bookmarkEnd w:id="182"/>
      <w:bookmarkEnd w:id="183"/>
      <w:bookmarkEnd w:id="184"/>
      <w:bookmarkEnd w:id="185"/>
      <w:bookmarkEnd w:id="186"/>
      <w:bookmarkEnd w:id="187"/>
    </w:p>
    <w:p w14:paraId="59E7D31F">
      <w:pPr>
        <w:spacing w:line="400" w:lineRule="exact"/>
        <w:ind w:firstLine="315" w:firstLineChars="150"/>
        <w:rPr>
          <w:rFonts w:hint="eastAsia" w:ascii="宋体" w:hAnsi="宋体" w:cs="宋体"/>
          <w:color w:val="auto"/>
          <w:highlight w:val="none"/>
          <w:u w:val="single"/>
        </w:rPr>
      </w:pPr>
      <w:bookmarkStart w:id="188" w:name="_Toc152045553"/>
      <w:bookmarkStart w:id="189" w:name="_Toc152042329"/>
      <w:bookmarkStart w:id="190" w:name="_Toc247527578"/>
      <w:bookmarkStart w:id="191" w:name="_Toc144974521"/>
      <w:bookmarkStart w:id="192" w:name="_Toc247513977"/>
      <w:r>
        <w:rPr>
          <w:rFonts w:hint="eastAsia" w:ascii="宋体" w:hAnsi="宋体" w:cs="宋体"/>
          <w:color w:val="auto"/>
          <w:highlight w:val="none"/>
          <w:u w:val="single"/>
        </w:rPr>
        <w:t>3.5.1本项目采用电子化资格后审，由评标委员会负责对投标人的资格进行审查，评标时只对通过资格审查的投标人进行下一阶段的评审。</w:t>
      </w:r>
    </w:p>
    <w:p w14:paraId="2D9B25CD">
      <w:pPr>
        <w:spacing w:line="400" w:lineRule="exact"/>
        <w:ind w:firstLine="315" w:firstLineChars="150"/>
        <w:rPr>
          <w:rFonts w:hint="eastAsia" w:ascii="宋体" w:hAnsi="宋体" w:cs="宋体"/>
          <w:color w:val="auto"/>
          <w:highlight w:val="none"/>
          <w:u w:val="single"/>
        </w:rPr>
      </w:pPr>
      <w:r>
        <w:rPr>
          <w:rFonts w:hint="eastAsia" w:ascii="宋体" w:hAnsi="宋体" w:cs="宋体"/>
          <w:color w:val="auto"/>
          <w:highlight w:val="none"/>
          <w:u w:val="single"/>
        </w:rPr>
        <w:t>3.5.2资审合格后，投标人的资格发生变化而不满足投标人合格条件，在发出中标通知书前，资格问题仍未解决的，招标人将取消其中标资格。</w:t>
      </w:r>
    </w:p>
    <w:p w14:paraId="340605A3">
      <w:pPr>
        <w:pStyle w:val="4"/>
        <w:rPr>
          <w:rFonts w:hint="eastAsia" w:ascii="宋体" w:eastAsia="宋体" w:cs="宋体"/>
          <w:color w:val="auto"/>
          <w:highlight w:val="none"/>
        </w:rPr>
      </w:pPr>
      <w:bookmarkStart w:id="193" w:name="_Toc9896"/>
      <w:bookmarkStart w:id="194" w:name="_Toc21817"/>
      <w:r>
        <w:rPr>
          <w:rFonts w:hint="eastAsia" w:ascii="宋体" w:eastAsia="宋体" w:cs="宋体"/>
          <w:color w:val="auto"/>
          <w:highlight w:val="none"/>
        </w:rPr>
        <w:t>3.6 备选投标方案</w:t>
      </w:r>
      <w:bookmarkEnd w:id="188"/>
      <w:bookmarkEnd w:id="189"/>
      <w:bookmarkEnd w:id="190"/>
      <w:bookmarkEnd w:id="191"/>
      <w:bookmarkEnd w:id="192"/>
      <w:bookmarkEnd w:id="193"/>
      <w:bookmarkEnd w:id="194"/>
    </w:p>
    <w:p w14:paraId="661301B9">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除投标人须知前附表另有规定外，投标人不得递交备选投标方案。</w:t>
      </w:r>
    </w:p>
    <w:p w14:paraId="0236094D">
      <w:pPr>
        <w:pStyle w:val="4"/>
        <w:rPr>
          <w:rFonts w:hint="eastAsia" w:ascii="宋体" w:eastAsia="宋体" w:cs="宋体"/>
          <w:color w:val="auto"/>
          <w:highlight w:val="none"/>
        </w:rPr>
      </w:pPr>
      <w:bookmarkStart w:id="195" w:name="_Toc247527579"/>
      <w:bookmarkStart w:id="196" w:name="_Toc152045554"/>
      <w:bookmarkStart w:id="197" w:name="_Toc247513978"/>
      <w:bookmarkStart w:id="198" w:name="_Toc152042330"/>
      <w:bookmarkStart w:id="199" w:name="_Toc22621"/>
      <w:bookmarkStart w:id="200" w:name="_Toc144974522"/>
      <w:bookmarkStart w:id="201" w:name="_Toc25571"/>
      <w:r>
        <w:rPr>
          <w:rFonts w:hint="eastAsia" w:ascii="宋体" w:eastAsia="宋体" w:cs="宋体"/>
          <w:color w:val="auto"/>
          <w:highlight w:val="none"/>
        </w:rPr>
        <w:t>3.7 投标文件的编制</w:t>
      </w:r>
      <w:bookmarkEnd w:id="195"/>
      <w:bookmarkEnd w:id="196"/>
      <w:bookmarkEnd w:id="197"/>
      <w:bookmarkEnd w:id="198"/>
      <w:bookmarkEnd w:id="199"/>
      <w:bookmarkEnd w:id="200"/>
      <w:bookmarkEnd w:id="201"/>
    </w:p>
    <w:p w14:paraId="6E0F8272">
      <w:pPr>
        <w:spacing w:line="400" w:lineRule="exact"/>
        <w:ind w:firstLine="420" w:firstLineChars="200"/>
        <w:rPr>
          <w:rFonts w:hint="eastAsia" w:ascii="宋体" w:hAnsi="宋体" w:cs="宋体"/>
          <w:color w:val="auto"/>
          <w:highlight w:val="none"/>
        </w:rPr>
      </w:pPr>
      <w:bookmarkStart w:id="202" w:name="_Toc152042331"/>
      <w:bookmarkStart w:id="203" w:name="_Toc152045555"/>
      <w:bookmarkStart w:id="204" w:name="_Toc247513979"/>
      <w:bookmarkStart w:id="205" w:name="_Toc247527580"/>
      <w:bookmarkStart w:id="206" w:name="_Toc144974523"/>
      <w:r>
        <w:rPr>
          <w:rFonts w:hint="eastAsia" w:ascii="宋体" w:hAnsi="宋体" w:cs="宋体"/>
          <w:color w:val="auto"/>
          <w:highlight w:val="none"/>
        </w:rPr>
        <w:t xml:space="preserve">3.7.1 </w:t>
      </w:r>
      <w:r>
        <w:rPr>
          <w:rFonts w:hint="eastAsia" w:ascii="宋体" w:hAnsi="宋体" w:cs="宋体"/>
          <w:color w:val="auto"/>
          <w:highlight w:val="none"/>
          <w:u w:val="single"/>
        </w:rPr>
        <w:t>投标文件应按第七章“投标文件格式”进行编写，如有必要，可以增加附页，作为投标文件的组成部分。</w:t>
      </w:r>
    </w:p>
    <w:p w14:paraId="640C477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highlight w:val="none"/>
        </w:rPr>
        <w:t>3.7.2 投标文件应当对招标文件有关</w:t>
      </w:r>
      <w:r>
        <w:rPr>
          <w:rFonts w:hint="eastAsia" w:ascii="宋体" w:hAnsi="宋体" w:cs="宋体"/>
          <w:color w:val="auto"/>
          <w:szCs w:val="21"/>
          <w:highlight w:val="none"/>
        </w:rPr>
        <w:t>招标范围、投标有效期、工期、质量标准、招标人要求等实质性内容作出响应。</w:t>
      </w:r>
    </w:p>
    <w:p w14:paraId="461DF73F">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3.7.3</w:t>
      </w:r>
      <w:r>
        <w:rPr>
          <w:rFonts w:hint="eastAsia" w:ascii="宋体" w:hAnsi="宋体" w:cs="宋体"/>
          <w:color w:val="auto"/>
          <w:highlight w:val="none"/>
          <w:u w:val="single"/>
        </w:rPr>
        <w:t>投标人采用单位数字证书，按招标文件要求在相应位置加盖电子印章。投标文件中需个人签字或盖章的，应加盖个人电子印章或在线下完成后扫描上传。按照广州交易集团有限公司（广州公共资源交易中心）交易平台关于全流程电子化项目的相关指南进行操作。联合体投标的，除投标文件中的《联合体共同投标协议书》需联合体各方盖章、签字外，投标文件其他内容中的“投标人”、“声明企业”应填写联合体各方的单位全称，但由主办方盖章、签字即可。</w:t>
      </w:r>
    </w:p>
    <w:p w14:paraId="06A2F805">
      <w:pPr>
        <w:pStyle w:val="3"/>
        <w:rPr>
          <w:rFonts w:hint="eastAsia" w:ascii="宋体" w:hAnsi="宋体" w:eastAsia="宋体" w:cs="宋体"/>
          <w:color w:val="auto"/>
          <w:highlight w:val="none"/>
        </w:rPr>
      </w:pPr>
      <w:bookmarkStart w:id="207" w:name="_Toc13446"/>
      <w:bookmarkStart w:id="208" w:name="_Toc148"/>
      <w:r>
        <w:rPr>
          <w:rFonts w:hint="eastAsia" w:ascii="宋体" w:hAnsi="宋体" w:eastAsia="宋体" w:cs="宋体"/>
          <w:color w:val="auto"/>
          <w:highlight w:val="none"/>
        </w:rPr>
        <w:t>4. 投标</w:t>
      </w:r>
      <w:bookmarkEnd w:id="202"/>
      <w:bookmarkEnd w:id="203"/>
      <w:bookmarkEnd w:id="204"/>
      <w:bookmarkEnd w:id="205"/>
      <w:bookmarkEnd w:id="206"/>
      <w:bookmarkEnd w:id="207"/>
      <w:bookmarkEnd w:id="208"/>
    </w:p>
    <w:p w14:paraId="351179E9">
      <w:pPr>
        <w:pStyle w:val="4"/>
        <w:rPr>
          <w:rFonts w:hint="eastAsia" w:ascii="宋体" w:eastAsia="宋体" w:cs="宋体"/>
          <w:color w:val="auto"/>
          <w:highlight w:val="none"/>
        </w:rPr>
      </w:pPr>
      <w:bookmarkStart w:id="209" w:name="_Toc152042332"/>
      <w:bookmarkStart w:id="210" w:name="_Toc31640"/>
      <w:bookmarkStart w:id="211" w:name="_Toc152045556"/>
      <w:bookmarkStart w:id="212" w:name="_Toc247513980"/>
      <w:bookmarkStart w:id="213" w:name="_Toc144974524"/>
      <w:bookmarkStart w:id="214" w:name="_Toc18344"/>
      <w:bookmarkStart w:id="215" w:name="_Toc247527581"/>
      <w:r>
        <w:rPr>
          <w:rFonts w:hint="eastAsia" w:ascii="宋体" w:eastAsia="宋体" w:cs="宋体"/>
          <w:color w:val="auto"/>
          <w:highlight w:val="none"/>
        </w:rPr>
        <w:t>4.1 投标文件的密封和标记</w:t>
      </w:r>
      <w:bookmarkEnd w:id="209"/>
      <w:bookmarkEnd w:id="210"/>
      <w:bookmarkEnd w:id="211"/>
      <w:bookmarkEnd w:id="212"/>
      <w:bookmarkEnd w:id="213"/>
      <w:bookmarkEnd w:id="214"/>
      <w:bookmarkEnd w:id="215"/>
    </w:p>
    <w:p w14:paraId="7A7EABEB">
      <w:pPr>
        <w:spacing w:line="400" w:lineRule="exact"/>
        <w:ind w:firstLine="420" w:firstLineChars="200"/>
        <w:rPr>
          <w:rFonts w:hint="eastAsia" w:ascii="宋体" w:hAnsi="宋体"/>
          <w:color w:val="auto"/>
          <w:highlight w:val="none"/>
          <w:u w:val="single"/>
        </w:rPr>
      </w:pPr>
      <w:bookmarkStart w:id="216" w:name="_Toc247527582"/>
      <w:bookmarkStart w:id="217" w:name="_Toc247513981"/>
      <w:bookmarkStart w:id="218" w:name="_Toc152045557"/>
      <w:bookmarkStart w:id="219" w:name="_Toc144974525"/>
      <w:bookmarkStart w:id="220" w:name="_Toc152042333"/>
      <w:r>
        <w:rPr>
          <w:rFonts w:hint="eastAsia" w:ascii="宋体" w:hAnsi="宋体"/>
          <w:color w:val="auto"/>
          <w:highlight w:val="none"/>
          <w:u w:val="single"/>
        </w:rPr>
        <w:t>4.1.1</w:t>
      </w:r>
      <w:r>
        <w:rPr>
          <w:rFonts w:hint="eastAsia" w:ascii="宋体" w:hAnsi="宋体" w:cs="宋体"/>
          <w:color w:val="auto"/>
          <w:szCs w:val="21"/>
          <w:highlight w:val="none"/>
          <w:u w:val="single"/>
        </w:rPr>
        <w:t>投</w:t>
      </w:r>
      <w:r>
        <w:rPr>
          <w:rFonts w:hint="eastAsia" w:ascii="宋体" w:hAnsi="宋体" w:cs="宋体"/>
          <w:color w:val="auto"/>
          <w:spacing w:val="-2"/>
          <w:szCs w:val="21"/>
          <w:highlight w:val="none"/>
          <w:u w:val="single"/>
        </w:rPr>
        <w:t>标</w:t>
      </w:r>
      <w:r>
        <w:rPr>
          <w:rFonts w:hint="eastAsia" w:ascii="宋体" w:hAnsi="宋体" w:cs="宋体"/>
          <w:color w:val="auto"/>
          <w:szCs w:val="21"/>
          <w:highlight w:val="none"/>
          <w:u w:val="single"/>
        </w:rPr>
        <w:t>人</w:t>
      </w:r>
      <w:r>
        <w:rPr>
          <w:rFonts w:hint="eastAsia" w:ascii="宋体" w:hAnsi="宋体" w:cs="宋体"/>
          <w:color w:val="auto"/>
          <w:spacing w:val="-2"/>
          <w:szCs w:val="21"/>
          <w:highlight w:val="none"/>
          <w:u w:val="single"/>
        </w:rPr>
        <w:t>应</w:t>
      </w:r>
      <w:r>
        <w:rPr>
          <w:rFonts w:hint="eastAsia" w:ascii="宋体" w:hAnsi="宋体" w:cs="宋体"/>
          <w:color w:val="auto"/>
          <w:szCs w:val="21"/>
          <w:highlight w:val="none"/>
          <w:u w:val="single"/>
        </w:rPr>
        <w:t>当</w:t>
      </w:r>
      <w:r>
        <w:rPr>
          <w:rFonts w:hint="eastAsia" w:ascii="宋体" w:hAnsi="宋体" w:cs="宋体"/>
          <w:color w:val="auto"/>
          <w:spacing w:val="-2"/>
          <w:szCs w:val="21"/>
          <w:highlight w:val="none"/>
          <w:u w:val="single"/>
        </w:rPr>
        <w:t>按</w:t>
      </w:r>
      <w:r>
        <w:rPr>
          <w:rFonts w:hint="eastAsia" w:ascii="宋体" w:hAnsi="宋体" w:cs="宋体"/>
          <w:color w:val="auto"/>
          <w:szCs w:val="21"/>
          <w:highlight w:val="none"/>
          <w:u w:val="single"/>
        </w:rPr>
        <w:t>照招</w:t>
      </w:r>
      <w:r>
        <w:rPr>
          <w:rFonts w:hint="eastAsia" w:ascii="宋体" w:hAnsi="宋体" w:cs="宋体"/>
          <w:color w:val="auto"/>
          <w:spacing w:val="-2"/>
          <w:szCs w:val="21"/>
          <w:highlight w:val="none"/>
          <w:u w:val="single"/>
        </w:rPr>
        <w:t>标</w:t>
      </w:r>
      <w:r>
        <w:rPr>
          <w:rFonts w:hint="eastAsia" w:ascii="宋体" w:hAnsi="宋体" w:cs="宋体"/>
          <w:color w:val="auto"/>
          <w:szCs w:val="21"/>
          <w:highlight w:val="none"/>
          <w:u w:val="single"/>
        </w:rPr>
        <w:t>文</w:t>
      </w:r>
      <w:r>
        <w:rPr>
          <w:rFonts w:hint="eastAsia" w:ascii="宋体" w:hAnsi="宋体" w:cs="宋体"/>
          <w:color w:val="auto"/>
          <w:spacing w:val="-2"/>
          <w:szCs w:val="21"/>
          <w:highlight w:val="none"/>
          <w:u w:val="single"/>
        </w:rPr>
        <w:t>件</w:t>
      </w:r>
      <w:r>
        <w:rPr>
          <w:rFonts w:hint="eastAsia" w:ascii="宋体" w:hAnsi="宋体" w:cs="宋体"/>
          <w:color w:val="auto"/>
          <w:szCs w:val="21"/>
          <w:highlight w:val="none"/>
          <w:u w:val="single"/>
        </w:rPr>
        <w:t>和</w:t>
      </w:r>
      <w:r>
        <w:rPr>
          <w:rFonts w:hint="eastAsia" w:ascii="宋体" w:hAnsi="宋体" w:cs="宋体"/>
          <w:color w:val="auto"/>
          <w:spacing w:val="-2"/>
          <w:szCs w:val="21"/>
          <w:highlight w:val="none"/>
          <w:u w:val="single"/>
        </w:rPr>
        <w:t>电</w:t>
      </w:r>
      <w:r>
        <w:rPr>
          <w:rFonts w:hint="eastAsia" w:ascii="宋体" w:hAnsi="宋体" w:cs="宋体"/>
          <w:color w:val="auto"/>
          <w:szCs w:val="21"/>
          <w:highlight w:val="none"/>
          <w:u w:val="single"/>
        </w:rPr>
        <w:t>子</w:t>
      </w:r>
      <w:r>
        <w:rPr>
          <w:rFonts w:hint="eastAsia" w:ascii="宋体" w:hAnsi="宋体" w:cs="宋体"/>
          <w:color w:val="auto"/>
          <w:spacing w:val="-2"/>
          <w:szCs w:val="21"/>
          <w:highlight w:val="none"/>
          <w:u w:val="single"/>
        </w:rPr>
        <w:t>招</w:t>
      </w:r>
      <w:r>
        <w:rPr>
          <w:rFonts w:hint="eastAsia" w:ascii="宋体" w:hAnsi="宋体" w:cs="宋体"/>
          <w:color w:val="auto"/>
          <w:szCs w:val="21"/>
          <w:highlight w:val="none"/>
          <w:u w:val="single"/>
        </w:rPr>
        <w:t>标</w:t>
      </w:r>
      <w:r>
        <w:rPr>
          <w:rFonts w:hint="eastAsia" w:ascii="宋体" w:hAnsi="宋体" w:cs="宋体"/>
          <w:color w:val="auto"/>
          <w:spacing w:val="-2"/>
          <w:szCs w:val="21"/>
          <w:highlight w:val="none"/>
          <w:u w:val="single"/>
        </w:rPr>
        <w:t>投</w:t>
      </w:r>
      <w:r>
        <w:rPr>
          <w:rFonts w:hint="eastAsia" w:ascii="宋体" w:hAnsi="宋体" w:cs="宋体"/>
          <w:color w:val="auto"/>
          <w:szCs w:val="21"/>
          <w:highlight w:val="none"/>
          <w:u w:val="single"/>
        </w:rPr>
        <w:t>标交</w:t>
      </w:r>
      <w:r>
        <w:rPr>
          <w:rFonts w:hint="eastAsia" w:ascii="宋体" w:hAnsi="宋体" w:cs="宋体"/>
          <w:color w:val="auto"/>
          <w:spacing w:val="-2"/>
          <w:szCs w:val="21"/>
          <w:highlight w:val="none"/>
          <w:u w:val="single"/>
        </w:rPr>
        <w:t>易</w:t>
      </w:r>
      <w:r>
        <w:rPr>
          <w:rFonts w:hint="eastAsia" w:ascii="宋体" w:hAnsi="宋体" w:cs="宋体"/>
          <w:color w:val="auto"/>
          <w:szCs w:val="21"/>
          <w:highlight w:val="none"/>
          <w:u w:val="single"/>
        </w:rPr>
        <w:t>平</w:t>
      </w:r>
      <w:r>
        <w:rPr>
          <w:rFonts w:hint="eastAsia" w:ascii="宋体" w:hAnsi="宋体" w:cs="宋体"/>
          <w:color w:val="auto"/>
          <w:spacing w:val="-2"/>
          <w:szCs w:val="21"/>
          <w:highlight w:val="none"/>
          <w:u w:val="single"/>
        </w:rPr>
        <w:t>台</w:t>
      </w:r>
      <w:r>
        <w:rPr>
          <w:rFonts w:hint="eastAsia" w:ascii="宋体" w:hAnsi="宋体" w:cs="宋体"/>
          <w:color w:val="auto"/>
          <w:szCs w:val="21"/>
          <w:highlight w:val="none"/>
          <w:u w:val="single"/>
        </w:rPr>
        <w:t>的</w:t>
      </w:r>
      <w:r>
        <w:rPr>
          <w:rFonts w:hint="eastAsia" w:ascii="宋体" w:hAnsi="宋体" w:cs="宋体"/>
          <w:color w:val="auto"/>
          <w:spacing w:val="-2"/>
          <w:szCs w:val="21"/>
          <w:highlight w:val="none"/>
          <w:u w:val="single"/>
        </w:rPr>
        <w:t>要</w:t>
      </w:r>
      <w:r>
        <w:rPr>
          <w:rFonts w:hint="eastAsia" w:ascii="宋体" w:hAnsi="宋体" w:cs="宋体"/>
          <w:color w:val="auto"/>
          <w:szCs w:val="21"/>
          <w:highlight w:val="none"/>
          <w:u w:val="single"/>
        </w:rPr>
        <w:t>求</w:t>
      </w:r>
      <w:r>
        <w:rPr>
          <w:rFonts w:hint="eastAsia" w:ascii="宋体" w:hAnsi="宋体" w:cs="宋体"/>
          <w:color w:val="auto"/>
          <w:spacing w:val="-2"/>
          <w:szCs w:val="21"/>
          <w:highlight w:val="none"/>
          <w:u w:val="single"/>
        </w:rPr>
        <w:t>加</w:t>
      </w:r>
      <w:r>
        <w:rPr>
          <w:rFonts w:hint="eastAsia" w:ascii="宋体" w:hAnsi="宋体" w:cs="宋体"/>
          <w:color w:val="auto"/>
          <w:szCs w:val="21"/>
          <w:highlight w:val="none"/>
          <w:u w:val="single"/>
        </w:rPr>
        <w:t>密</w:t>
      </w:r>
      <w:r>
        <w:rPr>
          <w:rFonts w:hint="eastAsia" w:ascii="宋体" w:hAnsi="宋体" w:cs="宋体"/>
          <w:color w:val="auto"/>
          <w:spacing w:val="-2"/>
          <w:szCs w:val="21"/>
          <w:highlight w:val="none"/>
          <w:u w:val="single"/>
        </w:rPr>
        <w:t>投</w:t>
      </w:r>
      <w:r>
        <w:rPr>
          <w:rFonts w:hint="eastAsia" w:ascii="宋体" w:hAnsi="宋体" w:cs="宋体"/>
          <w:color w:val="auto"/>
          <w:szCs w:val="21"/>
          <w:highlight w:val="none"/>
          <w:u w:val="single"/>
        </w:rPr>
        <w:t>标文</w:t>
      </w:r>
      <w:r>
        <w:rPr>
          <w:rFonts w:hint="eastAsia" w:ascii="宋体" w:hAnsi="宋体" w:cs="宋体"/>
          <w:color w:val="auto"/>
          <w:spacing w:val="-2"/>
          <w:szCs w:val="21"/>
          <w:highlight w:val="none"/>
          <w:u w:val="single"/>
        </w:rPr>
        <w:t>件，</w:t>
      </w:r>
      <w:r>
        <w:rPr>
          <w:rFonts w:hint="eastAsia" w:ascii="宋体" w:hAnsi="宋体" w:cs="宋体"/>
          <w:color w:val="auto"/>
          <w:szCs w:val="21"/>
          <w:highlight w:val="none"/>
        </w:rPr>
        <w:t>具</w:t>
      </w:r>
      <w:r>
        <w:rPr>
          <w:rFonts w:hint="eastAsia" w:ascii="宋体" w:hAnsi="宋体" w:cs="宋体"/>
          <w:color w:val="auto"/>
          <w:szCs w:val="21"/>
          <w:highlight w:val="none"/>
          <w:u w:val="single"/>
        </w:rPr>
        <w:t>体操作详见广州交易集团有限公司（广州公共资源交易中心）网站发布的最新版操作指引。</w:t>
      </w:r>
    </w:p>
    <w:p w14:paraId="68965320">
      <w:pPr>
        <w:spacing w:line="400" w:lineRule="exact"/>
        <w:ind w:firstLine="420" w:firstLineChars="200"/>
        <w:rPr>
          <w:rFonts w:hint="eastAsia" w:ascii="宋体" w:hAnsi="宋体"/>
          <w:color w:val="auto"/>
          <w:highlight w:val="none"/>
        </w:rPr>
      </w:pPr>
      <w:r>
        <w:rPr>
          <w:rFonts w:hint="eastAsia" w:ascii="宋体" w:hAnsi="宋体"/>
          <w:color w:val="auto"/>
          <w:highlight w:val="none"/>
        </w:rPr>
        <w:t>4.1.2</w:t>
      </w:r>
      <w:r>
        <w:rPr>
          <w:rFonts w:hint="eastAsia" w:ascii="宋体" w:hAnsi="宋体" w:cs="宋体"/>
          <w:color w:val="auto"/>
          <w:highlight w:val="none"/>
        </w:rPr>
        <w:t>投标文件封套上应写明的内容见投标人须知前附表。</w:t>
      </w:r>
    </w:p>
    <w:p w14:paraId="69FFDD19">
      <w:pPr>
        <w:spacing w:line="400" w:lineRule="exact"/>
        <w:ind w:firstLine="420" w:firstLineChars="200"/>
        <w:rPr>
          <w:rFonts w:hint="eastAsia" w:ascii="宋体" w:hAnsi="宋体" w:cs="宋体"/>
          <w:color w:val="auto"/>
          <w:highlight w:val="none"/>
          <w:u w:val="single"/>
        </w:rPr>
      </w:pPr>
      <w:r>
        <w:rPr>
          <w:rFonts w:hint="eastAsia" w:ascii="宋体" w:hAnsi="宋体"/>
          <w:color w:val="auto"/>
          <w:highlight w:val="none"/>
        </w:rPr>
        <w:t>4.1.3</w:t>
      </w:r>
      <w:r>
        <w:rPr>
          <w:rFonts w:hint="eastAsia" w:ascii="宋体" w:hAnsi="宋体" w:cs="宋体"/>
          <w:color w:val="auto"/>
          <w:highlight w:val="none"/>
        </w:rPr>
        <w:t>未按本章第4.1.1项或第4.1.2项要求密封和加写标记的投标文件，招标人不予受理。</w:t>
      </w:r>
    </w:p>
    <w:p w14:paraId="17D1E632">
      <w:pPr>
        <w:pStyle w:val="4"/>
        <w:rPr>
          <w:rFonts w:hint="eastAsia" w:ascii="宋体" w:eastAsia="宋体" w:cs="宋体"/>
          <w:color w:val="auto"/>
          <w:highlight w:val="none"/>
        </w:rPr>
      </w:pPr>
      <w:bookmarkStart w:id="221" w:name="_Toc27773"/>
      <w:bookmarkStart w:id="222" w:name="_Toc20052"/>
      <w:r>
        <w:rPr>
          <w:rFonts w:hint="eastAsia" w:ascii="宋体" w:eastAsia="宋体" w:cs="宋体"/>
          <w:color w:val="auto"/>
          <w:highlight w:val="none"/>
        </w:rPr>
        <w:t>4.2 投标文件的递交</w:t>
      </w:r>
      <w:bookmarkEnd w:id="216"/>
      <w:bookmarkEnd w:id="217"/>
      <w:bookmarkEnd w:id="218"/>
      <w:bookmarkEnd w:id="219"/>
      <w:bookmarkEnd w:id="220"/>
      <w:bookmarkEnd w:id="221"/>
      <w:bookmarkEnd w:id="222"/>
    </w:p>
    <w:p w14:paraId="6A78C508">
      <w:pPr>
        <w:spacing w:line="400" w:lineRule="exact"/>
        <w:ind w:firstLine="420" w:firstLineChars="200"/>
        <w:rPr>
          <w:rFonts w:hint="eastAsia" w:ascii="宋体" w:hAnsi="宋体" w:cs="宋体"/>
          <w:color w:val="auto"/>
          <w:highlight w:val="none"/>
        </w:rPr>
      </w:pPr>
      <w:bookmarkStart w:id="223" w:name="_Toc152042334"/>
      <w:bookmarkStart w:id="224" w:name="_Toc144974526"/>
      <w:bookmarkStart w:id="225" w:name="_Toc152045558"/>
      <w:bookmarkStart w:id="226" w:name="_Toc247513982"/>
      <w:bookmarkStart w:id="227" w:name="_Toc247527583"/>
      <w:r>
        <w:rPr>
          <w:rFonts w:hint="eastAsia" w:ascii="宋体" w:hAnsi="宋体" w:cs="宋体"/>
          <w:color w:val="auto"/>
          <w:highlight w:val="none"/>
        </w:rPr>
        <w:t>4.2.1投标人应在第2.2.2项规定的投标截止时间前递交投标文件。</w:t>
      </w:r>
    </w:p>
    <w:p w14:paraId="362BBEF0">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4.2.2 投标人递交投标文件的地点：见投标人须知前附表。</w:t>
      </w:r>
    </w:p>
    <w:p w14:paraId="4748E0C4">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4.2.3 除投标人须知前附表另有规定外，投标人所递交的投标文件不予退还。</w:t>
      </w:r>
    </w:p>
    <w:p w14:paraId="51E3A867">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4.2.4 </w:t>
      </w:r>
      <w:r>
        <w:rPr>
          <w:rFonts w:hint="eastAsia" w:ascii="宋体" w:hAnsi="宋体" w:cs="宋体"/>
          <w:color w:val="auto"/>
          <w:highlight w:val="none"/>
          <w:u w:val="single"/>
        </w:rPr>
        <w:t>投标人完成电子投标文件上传后，电子招标投标交易平台即时向投标人发出递交回执通知。递交时间以递交回执通知载明的传输完成时间为准。</w:t>
      </w:r>
    </w:p>
    <w:p w14:paraId="25C05228">
      <w:pPr>
        <w:spacing w:line="40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4.2.5</w:t>
      </w:r>
      <w:r>
        <w:rPr>
          <w:rFonts w:hint="eastAsia" w:ascii="宋体" w:hAnsi="宋体" w:cs="宋体"/>
          <w:color w:val="auto"/>
          <w:spacing w:val="-2"/>
          <w:szCs w:val="21"/>
          <w:highlight w:val="none"/>
          <w:u w:val="single"/>
        </w:rPr>
        <w:t>逾</w:t>
      </w:r>
      <w:r>
        <w:rPr>
          <w:rFonts w:hint="eastAsia" w:ascii="宋体" w:hAnsi="宋体" w:cs="宋体"/>
          <w:color w:val="auto"/>
          <w:szCs w:val="21"/>
          <w:highlight w:val="none"/>
          <w:u w:val="single"/>
        </w:rPr>
        <w:t>期</w:t>
      </w:r>
      <w:r>
        <w:rPr>
          <w:rFonts w:hint="eastAsia" w:ascii="宋体" w:hAnsi="宋体" w:cs="宋体"/>
          <w:color w:val="auto"/>
          <w:spacing w:val="-2"/>
          <w:szCs w:val="21"/>
          <w:highlight w:val="none"/>
          <w:u w:val="single"/>
        </w:rPr>
        <w:t>送</w:t>
      </w:r>
      <w:r>
        <w:rPr>
          <w:rFonts w:hint="eastAsia" w:ascii="宋体" w:hAnsi="宋体" w:cs="宋体"/>
          <w:color w:val="auto"/>
          <w:szCs w:val="21"/>
          <w:highlight w:val="none"/>
          <w:u w:val="single"/>
        </w:rPr>
        <w:t>达</w:t>
      </w:r>
      <w:r>
        <w:rPr>
          <w:rFonts w:hint="eastAsia" w:ascii="宋体" w:hAnsi="宋体" w:cs="宋体"/>
          <w:color w:val="auto"/>
          <w:spacing w:val="-2"/>
          <w:szCs w:val="21"/>
          <w:highlight w:val="none"/>
          <w:u w:val="single"/>
        </w:rPr>
        <w:t>的投</w:t>
      </w:r>
      <w:r>
        <w:rPr>
          <w:rFonts w:hint="eastAsia" w:ascii="宋体" w:hAnsi="宋体" w:cs="宋体"/>
          <w:color w:val="auto"/>
          <w:szCs w:val="21"/>
          <w:highlight w:val="none"/>
          <w:u w:val="single"/>
        </w:rPr>
        <w:t>标文</w:t>
      </w:r>
      <w:r>
        <w:rPr>
          <w:rFonts w:hint="eastAsia" w:ascii="宋体" w:hAnsi="宋体" w:cs="宋体"/>
          <w:color w:val="auto"/>
          <w:spacing w:val="-2"/>
          <w:szCs w:val="21"/>
          <w:highlight w:val="none"/>
          <w:u w:val="single"/>
        </w:rPr>
        <w:t>件</w:t>
      </w:r>
      <w:r>
        <w:rPr>
          <w:rFonts w:hint="eastAsia" w:ascii="宋体" w:hAnsi="宋体" w:cs="宋体"/>
          <w:color w:val="auto"/>
          <w:szCs w:val="21"/>
          <w:highlight w:val="none"/>
          <w:u w:val="single"/>
        </w:rPr>
        <w:t>，</w:t>
      </w:r>
      <w:r>
        <w:rPr>
          <w:rFonts w:hint="eastAsia" w:ascii="宋体" w:hAnsi="宋体" w:cs="宋体"/>
          <w:color w:val="auto"/>
          <w:spacing w:val="-2"/>
          <w:szCs w:val="21"/>
          <w:highlight w:val="none"/>
          <w:u w:val="single"/>
        </w:rPr>
        <w:t>电</w:t>
      </w:r>
      <w:r>
        <w:rPr>
          <w:rFonts w:hint="eastAsia" w:ascii="宋体" w:hAnsi="宋体" w:cs="宋体"/>
          <w:color w:val="auto"/>
          <w:szCs w:val="21"/>
          <w:highlight w:val="none"/>
          <w:u w:val="single"/>
        </w:rPr>
        <w:t>子</w:t>
      </w:r>
      <w:r>
        <w:rPr>
          <w:rFonts w:hint="eastAsia" w:ascii="宋体" w:hAnsi="宋体" w:cs="宋体"/>
          <w:color w:val="auto"/>
          <w:spacing w:val="-2"/>
          <w:szCs w:val="21"/>
          <w:highlight w:val="none"/>
          <w:u w:val="single"/>
        </w:rPr>
        <w:t>招</w:t>
      </w:r>
      <w:r>
        <w:rPr>
          <w:rFonts w:hint="eastAsia" w:ascii="宋体" w:hAnsi="宋体" w:cs="宋体"/>
          <w:color w:val="auto"/>
          <w:szCs w:val="21"/>
          <w:highlight w:val="none"/>
          <w:u w:val="single"/>
        </w:rPr>
        <w:t>标</w:t>
      </w:r>
      <w:r>
        <w:rPr>
          <w:rFonts w:hint="eastAsia" w:ascii="宋体" w:hAnsi="宋体" w:cs="宋体"/>
          <w:color w:val="auto"/>
          <w:spacing w:val="-2"/>
          <w:szCs w:val="21"/>
          <w:highlight w:val="none"/>
          <w:u w:val="single"/>
        </w:rPr>
        <w:t>投</w:t>
      </w:r>
      <w:r>
        <w:rPr>
          <w:rFonts w:hint="eastAsia" w:ascii="宋体" w:hAnsi="宋体" w:cs="宋体"/>
          <w:color w:val="auto"/>
          <w:szCs w:val="21"/>
          <w:highlight w:val="none"/>
          <w:u w:val="single"/>
        </w:rPr>
        <w:t>标</w:t>
      </w:r>
      <w:r>
        <w:rPr>
          <w:rFonts w:hint="eastAsia" w:ascii="宋体" w:hAnsi="宋体" w:cs="宋体"/>
          <w:color w:val="auto"/>
          <w:spacing w:val="-2"/>
          <w:szCs w:val="21"/>
          <w:highlight w:val="none"/>
          <w:u w:val="single"/>
        </w:rPr>
        <w:t>交</w:t>
      </w:r>
      <w:r>
        <w:rPr>
          <w:rFonts w:hint="eastAsia" w:ascii="宋体" w:hAnsi="宋体" w:cs="宋体"/>
          <w:color w:val="auto"/>
          <w:szCs w:val="21"/>
          <w:highlight w:val="none"/>
          <w:u w:val="single"/>
        </w:rPr>
        <w:t>易平</w:t>
      </w:r>
      <w:r>
        <w:rPr>
          <w:rFonts w:hint="eastAsia" w:ascii="宋体" w:hAnsi="宋体" w:cs="宋体"/>
          <w:color w:val="auto"/>
          <w:spacing w:val="-2"/>
          <w:szCs w:val="21"/>
          <w:highlight w:val="none"/>
          <w:u w:val="single"/>
        </w:rPr>
        <w:t>台</w:t>
      </w:r>
      <w:r>
        <w:rPr>
          <w:rFonts w:hint="eastAsia" w:ascii="宋体" w:hAnsi="宋体" w:cs="宋体"/>
          <w:color w:val="auto"/>
          <w:szCs w:val="21"/>
          <w:highlight w:val="none"/>
          <w:u w:val="single"/>
        </w:rPr>
        <w:t>将</w:t>
      </w:r>
      <w:r>
        <w:rPr>
          <w:rFonts w:hint="eastAsia" w:ascii="宋体" w:hAnsi="宋体" w:cs="宋体"/>
          <w:color w:val="auto"/>
          <w:spacing w:val="-2"/>
          <w:szCs w:val="21"/>
          <w:highlight w:val="none"/>
          <w:u w:val="single"/>
        </w:rPr>
        <w:t>予</w:t>
      </w:r>
      <w:r>
        <w:rPr>
          <w:rFonts w:hint="eastAsia" w:ascii="宋体" w:hAnsi="宋体" w:cs="宋体"/>
          <w:color w:val="auto"/>
          <w:szCs w:val="21"/>
          <w:highlight w:val="none"/>
          <w:u w:val="single"/>
        </w:rPr>
        <w:t>以</w:t>
      </w:r>
      <w:r>
        <w:rPr>
          <w:rFonts w:hint="eastAsia" w:ascii="宋体" w:hAnsi="宋体" w:cs="宋体"/>
          <w:color w:val="auto"/>
          <w:spacing w:val="-2"/>
          <w:szCs w:val="21"/>
          <w:highlight w:val="none"/>
          <w:u w:val="single"/>
        </w:rPr>
        <w:t>拒</w:t>
      </w:r>
      <w:r>
        <w:rPr>
          <w:rFonts w:hint="eastAsia" w:ascii="宋体" w:hAnsi="宋体" w:cs="宋体"/>
          <w:color w:val="auto"/>
          <w:szCs w:val="21"/>
          <w:highlight w:val="none"/>
          <w:u w:val="single"/>
        </w:rPr>
        <w:t>收</w:t>
      </w:r>
      <w:r>
        <w:rPr>
          <w:rFonts w:hint="eastAsia" w:ascii="宋体" w:hAnsi="宋体" w:cs="宋体"/>
          <w:color w:val="auto"/>
          <w:highlight w:val="none"/>
        </w:rPr>
        <w:t>。</w:t>
      </w:r>
    </w:p>
    <w:p w14:paraId="5E1CA118">
      <w:pPr>
        <w:pStyle w:val="4"/>
        <w:rPr>
          <w:rFonts w:hint="eastAsia" w:ascii="宋体" w:eastAsia="宋体" w:cs="宋体"/>
          <w:color w:val="auto"/>
          <w:highlight w:val="none"/>
        </w:rPr>
      </w:pPr>
      <w:bookmarkStart w:id="228" w:name="_Toc19593"/>
      <w:bookmarkStart w:id="229" w:name="_Toc32044"/>
      <w:r>
        <w:rPr>
          <w:rFonts w:hint="eastAsia" w:ascii="宋体" w:eastAsia="宋体" w:cs="宋体"/>
          <w:color w:val="auto"/>
          <w:highlight w:val="none"/>
        </w:rPr>
        <w:t>4.3 投标文件的修改与撤回</w:t>
      </w:r>
      <w:bookmarkEnd w:id="223"/>
      <w:bookmarkEnd w:id="224"/>
      <w:bookmarkEnd w:id="225"/>
      <w:bookmarkEnd w:id="226"/>
      <w:bookmarkEnd w:id="227"/>
      <w:bookmarkEnd w:id="228"/>
      <w:bookmarkEnd w:id="229"/>
    </w:p>
    <w:p w14:paraId="0B5D0A63">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4.3.1 在规定的投标截止时间前，投标人可以修改或撤回已递交的投标文件，但应以书面形式通知招标人。</w:t>
      </w:r>
    </w:p>
    <w:p w14:paraId="0B642453">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4.3.2 投标人修改或撤回已递交投标文件的书面通知应按照本章第3.7.3项的要求签字或盖章。招标人收到书面通知后，向投标人出具签收凭证。</w:t>
      </w:r>
    </w:p>
    <w:p w14:paraId="1BD24C03">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4.3.3 修改的内容为投标文件的组成部分。修改的投标文件应按照本章第3条、第4条规定进行编制、密封、标记和递交，并标明“修改”字样。</w:t>
      </w:r>
    </w:p>
    <w:p w14:paraId="6DBAC9FB">
      <w:pPr>
        <w:pStyle w:val="3"/>
        <w:rPr>
          <w:rFonts w:hint="eastAsia" w:ascii="宋体" w:hAnsi="宋体" w:eastAsia="宋体" w:cs="宋体"/>
          <w:color w:val="auto"/>
          <w:highlight w:val="none"/>
        </w:rPr>
      </w:pPr>
      <w:bookmarkStart w:id="230" w:name="_Toc25580"/>
      <w:bookmarkStart w:id="231" w:name="_Toc144974527"/>
      <w:bookmarkStart w:id="232" w:name="_Toc247513983"/>
      <w:bookmarkStart w:id="233" w:name="_Toc247527584"/>
      <w:bookmarkStart w:id="234" w:name="_Toc152042335"/>
      <w:bookmarkStart w:id="235" w:name="_Toc17781"/>
      <w:bookmarkStart w:id="236" w:name="_Toc152045559"/>
      <w:r>
        <w:rPr>
          <w:rFonts w:hint="eastAsia" w:ascii="宋体" w:hAnsi="宋体" w:eastAsia="宋体" w:cs="宋体"/>
          <w:color w:val="auto"/>
          <w:highlight w:val="none"/>
        </w:rPr>
        <w:t>5. 开标</w:t>
      </w:r>
      <w:bookmarkEnd w:id="230"/>
      <w:bookmarkEnd w:id="231"/>
      <w:bookmarkEnd w:id="232"/>
      <w:bookmarkEnd w:id="233"/>
      <w:bookmarkEnd w:id="234"/>
      <w:bookmarkEnd w:id="235"/>
      <w:bookmarkEnd w:id="236"/>
    </w:p>
    <w:p w14:paraId="31E3998C">
      <w:pPr>
        <w:pStyle w:val="4"/>
        <w:rPr>
          <w:rFonts w:hint="eastAsia" w:ascii="宋体" w:eastAsia="宋体" w:cs="宋体"/>
          <w:color w:val="auto"/>
          <w:highlight w:val="none"/>
        </w:rPr>
      </w:pPr>
      <w:bookmarkStart w:id="237" w:name="_Toc247527585"/>
      <w:bookmarkStart w:id="238" w:name="_Toc247513984"/>
      <w:bookmarkStart w:id="239" w:name="_Toc144974528"/>
      <w:bookmarkStart w:id="240" w:name="_Toc19889"/>
      <w:bookmarkStart w:id="241" w:name="_Toc152045560"/>
      <w:bookmarkStart w:id="242" w:name="_Toc20557"/>
      <w:bookmarkStart w:id="243" w:name="_Toc152042336"/>
      <w:r>
        <w:rPr>
          <w:rFonts w:hint="eastAsia" w:ascii="宋体" w:eastAsia="宋体" w:cs="宋体"/>
          <w:color w:val="auto"/>
          <w:highlight w:val="none"/>
        </w:rPr>
        <w:t>5.1 开标时间和地点</w:t>
      </w:r>
      <w:bookmarkEnd w:id="237"/>
      <w:bookmarkEnd w:id="238"/>
      <w:bookmarkEnd w:id="239"/>
      <w:bookmarkEnd w:id="240"/>
      <w:bookmarkEnd w:id="241"/>
      <w:bookmarkEnd w:id="242"/>
      <w:bookmarkEnd w:id="243"/>
    </w:p>
    <w:p w14:paraId="038650FA">
      <w:pPr>
        <w:spacing w:line="40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rPr>
        <w:t>招标人在规定的投标截止时间（开标时间）和投标人须知前附表规定的地点公开开标，并邀请所有投标人的法定代表人或其委托代理人准时参加。</w:t>
      </w:r>
      <w:r>
        <w:rPr>
          <w:rFonts w:hint="eastAsia" w:ascii="宋体" w:hAnsi="宋体" w:cs="宋体"/>
          <w:color w:val="auto"/>
          <w:highlight w:val="none"/>
          <w:u w:val="single"/>
        </w:rPr>
        <w:t>若投标人不参加开标会的，其投标文件在开标现场的投标人（如有）、招标人代表（如有）、招标代理机构代表及交易中心代表见证下公开开启，并视同该投标人认可开标结果。</w:t>
      </w:r>
    </w:p>
    <w:p w14:paraId="52DD3460">
      <w:pPr>
        <w:pStyle w:val="4"/>
        <w:rPr>
          <w:rFonts w:hint="eastAsia" w:ascii="宋体" w:eastAsia="宋体" w:cs="宋体"/>
          <w:color w:val="auto"/>
          <w:highlight w:val="none"/>
        </w:rPr>
      </w:pPr>
      <w:bookmarkStart w:id="244" w:name="_Toc152042337"/>
      <w:bookmarkStart w:id="245" w:name="_Toc247527586"/>
      <w:bookmarkStart w:id="246" w:name="_Toc19617"/>
      <w:bookmarkStart w:id="247" w:name="_Toc247513985"/>
      <w:bookmarkStart w:id="248" w:name="_Toc3783"/>
      <w:bookmarkStart w:id="249" w:name="_Toc152045561"/>
      <w:bookmarkStart w:id="250" w:name="_Toc144974529"/>
      <w:r>
        <w:rPr>
          <w:rFonts w:hint="eastAsia" w:ascii="宋体" w:eastAsia="宋体" w:cs="宋体"/>
          <w:color w:val="auto"/>
          <w:highlight w:val="none"/>
        </w:rPr>
        <w:t>5.2 开标程序</w:t>
      </w:r>
      <w:bookmarkEnd w:id="244"/>
      <w:bookmarkEnd w:id="245"/>
      <w:bookmarkEnd w:id="246"/>
      <w:bookmarkEnd w:id="247"/>
      <w:bookmarkEnd w:id="248"/>
      <w:bookmarkEnd w:id="249"/>
      <w:bookmarkEnd w:id="250"/>
    </w:p>
    <w:p w14:paraId="0B2F3180">
      <w:pPr>
        <w:spacing w:line="360" w:lineRule="auto"/>
        <w:ind w:firstLine="420" w:firstLineChars="200"/>
        <w:rPr>
          <w:rFonts w:hint="eastAsia" w:ascii="宋体" w:hAnsi="宋体"/>
          <w:color w:val="auto"/>
          <w:highlight w:val="none"/>
        </w:rPr>
      </w:pPr>
      <w:r>
        <w:rPr>
          <w:rFonts w:hint="eastAsia" w:ascii="宋体" w:hAnsi="宋体" w:cs="新宋体"/>
          <w:color w:val="auto"/>
          <w:szCs w:val="21"/>
          <w:highlight w:val="none"/>
          <w:u w:val="single"/>
        </w:rPr>
        <w:t>主持人按下列程序进行开标：按“投标人须知前附表”第5</w:t>
      </w:r>
      <w:r>
        <w:rPr>
          <w:rFonts w:ascii="宋体" w:hAnsi="宋体" w:cs="新宋体"/>
          <w:color w:val="auto"/>
          <w:szCs w:val="21"/>
          <w:highlight w:val="none"/>
          <w:u w:val="single"/>
        </w:rPr>
        <w:t>.2</w:t>
      </w:r>
      <w:r>
        <w:rPr>
          <w:rFonts w:hint="eastAsia" w:ascii="宋体" w:hAnsi="宋体" w:cs="新宋体"/>
          <w:color w:val="auto"/>
          <w:szCs w:val="21"/>
          <w:highlight w:val="none"/>
          <w:u w:val="single"/>
        </w:rPr>
        <w:t>条。</w:t>
      </w:r>
    </w:p>
    <w:p w14:paraId="2C8AC12F">
      <w:pPr>
        <w:pStyle w:val="4"/>
        <w:rPr>
          <w:rFonts w:hint="eastAsia" w:ascii="宋体" w:eastAsia="宋体" w:cs="宋体"/>
          <w:color w:val="auto"/>
          <w:highlight w:val="none"/>
        </w:rPr>
      </w:pPr>
      <w:bookmarkStart w:id="251" w:name="_Toc26944"/>
      <w:bookmarkStart w:id="252" w:name="_Toc26051"/>
      <w:r>
        <w:rPr>
          <w:rFonts w:hint="eastAsia" w:ascii="宋体" w:eastAsia="宋体" w:cs="宋体"/>
          <w:color w:val="auto"/>
          <w:highlight w:val="none"/>
        </w:rPr>
        <w:t>5.3 开标异议</w:t>
      </w:r>
      <w:bookmarkEnd w:id="251"/>
      <w:bookmarkEnd w:id="252"/>
    </w:p>
    <w:p w14:paraId="6221FF10">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投标人对开标有异议的，应当在</w:t>
      </w:r>
      <w:r>
        <w:rPr>
          <w:rFonts w:hint="eastAsia" w:ascii="宋体" w:hAnsi="宋体" w:cs="宋体"/>
          <w:color w:val="auto"/>
          <w:highlight w:val="none"/>
          <w:u w:val="single"/>
        </w:rPr>
        <w:t>交易平台规定的时间内或开标现场</w:t>
      </w:r>
      <w:r>
        <w:rPr>
          <w:rFonts w:hint="eastAsia" w:ascii="宋体" w:hAnsi="宋体" w:cs="宋体"/>
          <w:color w:val="auto"/>
          <w:highlight w:val="none"/>
        </w:rPr>
        <w:t>提出，招标人当场作出答复，并制作记录。</w:t>
      </w:r>
    </w:p>
    <w:p w14:paraId="4D430498">
      <w:pPr>
        <w:pStyle w:val="3"/>
        <w:rPr>
          <w:rFonts w:hint="eastAsia" w:ascii="宋体" w:hAnsi="宋体" w:eastAsia="宋体" w:cs="宋体"/>
          <w:color w:val="auto"/>
          <w:highlight w:val="none"/>
        </w:rPr>
      </w:pPr>
      <w:bookmarkStart w:id="253" w:name="_Toc26114"/>
      <w:bookmarkStart w:id="254" w:name="_Toc4553"/>
      <w:bookmarkStart w:id="255" w:name="_Toc144974530"/>
      <w:bookmarkStart w:id="256" w:name="_Toc247513986"/>
      <w:bookmarkStart w:id="257" w:name="_Toc152042338"/>
      <w:bookmarkStart w:id="258" w:name="_Toc247527587"/>
      <w:bookmarkStart w:id="259" w:name="_Toc152045562"/>
      <w:r>
        <w:rPr>
          <w:rFonts w:hint="eastAsia" w:ascii="宋体" w:hAnsi="宋体" w:eastAsia="宋体" w:cs="宋体"/>
          <w:color w:val="auto"/>
          <w:highlight w:val="none"/>
        </w:rPr>
        <w:t>6. 评标</w:t>
      </w:r>
      <w:bookmarkEnd w:id="253"/>
      <w:bookmarkEnd w:id="254"/>
      <w:bookmarkEnd w:id="255"/>
      <w:bookmarkEnd w:id="256"/>
      <w:bookmarkEnd w:id="257"/>
      <w:bookmarkEnd w:id="258"/>
      <w:bookmarkEnd w:id="259"/>
    </w:p>
    <w:p w14:paraId="1F1417C2">
      <w:pPr>
        <w:pStyle w:val="4"/>
        <w:rPr>
          <w:rFonts w:hint="eastAsia" w:ascii="宋体" w:eastAsia="宋体" w:cs="宋体"/>
          <w:color w:val="auto"/>
          <w:highlight w:val="none"/>
        </w:rPr>
      </w:pPr>
      <w:bookmarkStart w:id="260" w:name="_Toc8592"/>
      <w:bookmarkStart w:id="261" w:name="_Toc15286"/>
      <w:bookmarkStart w:id="262" w:name="_Toc152045563"/>
      <w:bookmarkStart w:id="263" w:name="_Toc247513987"/>
      <w:bookmarkStart w:id="264" w:name="_Toc144974531"/>
      <w:bookmarkStart w:id="265" w:name="_Toc152042339"/>
      <w:bookmarkStart w:id="266" w:name="_Toc247527588"/>
      <w:r>
        <w:rPr>
          <w:rFonts w:hint="eastAsia" w:ascii="宋体" w:eastAsia="宋体" w:cs="宋体"/>
          <w:color w:val="auto"/>
          <w:highlight w:val="none"/>
        </w:rPr>
        <w:t>6.1 评标委员会</w:t>
      </w:r>
      <w:bookmarkEnd w:id="260"/>
      <w:bookmarkEnd w:id="261"/>
      <w:bookmarkEnd w:id="262"/>
      <w:bookmarkEnd w:id="263"/>
      <w:bookmarkEnd w:id="264"/>
      <w:bookmarkEnd w:id="265"/>
      <w:bookmarkEnd w:id="266"/>
    </w:p>
    <w:p w14:paraId="60E02D77">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6.1.1 </w:t>
      </w:r>
      <w:r>
        <w:rPr>
          <w:rFonts w:hint="eastAsia" w:ascii="宋体" w:hAnsi="宋体"/>
          <w:color w:val="auto"/>
          <w:highlight w:val="none"/>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133D0CB8">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6.1.2 评标委员会成员有下列情形之一的，应当回避：</w:t>
      </w:r>
    </w:p>
    <w:p w14:paraId="281DA432">
      <w:pPr>
        <w:spacing w:line="400" w:lineRule="exact"/>
        <w:ind w:firstLine="718" w:firstLineChars="342"/>
        <w:rPr>
          <w:rFonts w:hint="eastAsia" w:ascii="宋体" w:hAnsi="宋体" w:cs="宋体"/>
          <w:color w:val="auto"/>
          <w:highlight w:val="none"/>
        </w:rPr>
      </w:pPr>
      <w:r>
        <w:rPr>
          <w:rFonts w:hint="eastAsia" w:ascii="宋体" w:hAnsi="宋体" w:cs="宋体"/>
          <w:color w:val="auto"/>
          <w:highlight w:val="none"/>
        </w:rPr>
        <w:t>（1）投标人或投标人主要负责人的近亲属；</w:t>
      </w:r>
    </w:p>
    <w:p w14:paraId="1430D23B">
      <w:pPr>
        <w:spacing w:line="400" w:lineRule="exact"/>
        <w:ind w:firstLine="718" w:firstLineChars="342"/>
        <w:rPr>
          <w:rFonts w:hint="eastAsia" w:ascii="宋体" w:hAnsi="宋体" w:cs="宋体"/>
          <w:color w:val="auto"/>
          <w:highlight w:val="none"/>
        </w:rPr>
      </w:pPr>
      <w:r>
        <w:rPr>
          <w:rFonts w:hint="eastAsia" w:ascii="宋体" w:hAnsi="宋体" w:cs="宋体"/>
          <w:color w:val="auto"/>
          <w:highlight w:val="none"/>
        </w:rPr>
        <w:t>（2）项目主管部门或者行政监督部门的人员；</w:t>
      </w:r>
    </w:p>
    <w:p w14:paraId="2FFDE086">
      <w:pPr>
        <w:spacing w:line="400" w:lineRule="exact"/>
        <w:ind w:firstLine="718" w:firstLineChars="342"/>
        <w:rPr>
          <w:rFonts w:hint="eastAsia" w:ascii="宋体" w:hAnsi="宋体" w:cs="宋体"/>
          <w:color w:val="auto"/>
          <w:highlight w:val="none"/>
        </w:rPr>
      </w:pPr>
      <w:r>
        <w:rPr>
          <w:rFonts w:hint="eastAsia" w:ascii="宋体" w:hAnsi="宋体" w:cs="宋体"/>
          <w:color w:val="auto"/>
          <w:highlight w:val="none"/>
        </w:rPr>
        <w:t>（3）与投标人有经济利益关系，可能影响对投标公正评审的；</w:t>
      </w:r>
    </w:p>
    <w:p w14:paraId="399B4C46">
      <w:pPr>
        <w:spacing w:line="400" w:lineRule="exact"/>
        <w:ind w:firstLine="718" w:firstLineChars="342"/>
        <w:rPr>
          <w:rFonts w:hint="eastAsia" w:ascii="宋体" w:hAnsi="宋体" w:cs="宋体"/>
          <w:color w:val="auto"/>
          <w:highlight w:val="none"/>
        </w:rPr>
      </w:pPr>
      <w:r>
        <w:rPr>
          <w:rFonts w:hint="eastAsia" w:ascii="宋体" w:hAnsi="宋体" w:cs="宋体"/>
          <w:color w:val="auto"/>
          <w:highlight w:val="none"/>
        </w:rPr>
        <w:t>（4）曾因在招标、评标以及其他与招标投标有关活动中从事违法行为而受过行政处罚或刑事处罚的；</w:t>
      </w:r>
    </w:p>
    <w:p w14:paraId="15C9D9DF">
      <w:pPr>
        <w:spacing w:line="400" w:lineRule="exact"/>
        <w:ind w:firstLine="718" w:firstLineChars="342"/>
        <w:rPr>
          <w:rFonts w:hint="eastAsia" w:ascii="宋体" w:hAnsi="宋体" w:cs="宋体"/>
          <w:color w:val="auto"/>
          <w:highlight w:val="none"/>
        </w:rPr>
      </w:pPr>
      <w:r>
        <w:rPr>
          <w:rFonts w:hint="eastAsia" w:ascii="宋体" w:hAnsi="宋体" w:cs="宋体"/>
          <w:color w:val="auto"/>
          <w:highlight w:val="none"/>
        </w:rPr>
        <w:t>（5）与投标人有其他利害关系。</w:t>
      </w:r>
    </w:p>
    <w:p w14:paraId="7BB7FB94">
      <w:pPr>
        <w:pStyle w:val="4"/>
        <w:rPr>
          <w:rFonts w:hint="eastAsia" w:ascii="宋体" w:eastAsia="宋体" w:cs="宋体"/>
          <w:color w:val="auto"/>
          <w:highlight w:val="none"/>
        </w:rPr>
      </w:pPr>
      <w:bookmarkStart w:id="267" w:name="_Toc144974532"/>
      <w:bookmarkStart w:id="268" w:name="_Toc7258"/>
      <w:bookmarkStart w:id="269" w:name="_Toc152042340"/>
      <w:bookmarkStart w:id="270" w:name="_Toc152045564"/>
      <w:bookmarkStart w:id="271" w:name="_Toc247527589"/>
      <w:bookmarkStart w:id="272" w:name="_Toc12581"/>
      <w:bookmarkStart w:id="273" w:name="_Toc247513988"/>
      <w:r>
        <w:rPr>
          <w:rFonts w:hint="eastAsia" w:ascii="宋体" w:eastAsia="宋体" w:cs="宋体"/>
          <w:color w:val="auto"/>
          <w:highlight w:val="none"/>
        </w:rPr>
        <w:t>6.2 评标原则</w:t>
      </w:r>
      <w:bookmarkEnd w:id="267"/>
      <w:bookmarkEnd w:id="268"/>
      <w:bookmarkEnd w:id="269"/>
      <w:bookmarkEnd w:id="270"/>
      <w:bookmarkEnd w:id="271"/>
      <w:bookmarkEnd w:id="272"/>
      <w:bookmarkEnd w:id="273"/>
      <w:r>
        <w:rPr>
          <w:rFonts w:hint="eastAsia" w:ascii="宋体" w:eastAsia="宋体" w:cs="宋体"/>
          <w:color w:val="auto"/>
          <w:highlight w:val="none"/>
        </w:rPr>
        <w:tab/>
      </w:r>
    </w:p>
    <w:p w14:paraId="5C3B461D">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评标活动遵循公平、公正、科学和择优的原则。</w:t>
      </w:r>
    </w:p>
    <w:p w14:paraId="68FDAF5C">
      <w:pPr>
        <w:pStyle w:val="4"/>
        <w:rPr>
          <w:rFonts w:hint="eastAsia" w:ascii="宋体" w:eastAsia="宋体" w:cs="宋体"/>
          <w:color w:val="auto"/>
          <w:highlight w:val="none"/>
        </w:rPr>
      </w:pPr>
      <w:bookmarkStart w:id="274" w:name="_Toc247513989"/>
      <w:bookmarkStart w:id="275" w:name="_Toc144974533"/>
      <w:bookmarkStart w:id="276" w:name="_Toc6862"/>
      <w:bookmarkStart w:id="277" w:name="_Toc16289"/>
      <w:bookmarkStart w:id="278" w:name="_Toc152045565"/>
      <w:bookmarkStart w:id="279" w:name="_Toc152042341"/>
      <w:bookmarkStart w:id="280" w:name="_Toc247527590"/>
      <w:r>
        <w:rPr>
          <w:rFonts w:hint="eastAsia" w:ascii="宋体" w:eastAsia="宋体" w:cs="宋体"/>
          <w:color w:val="auto"/>
          <w:highlight w:val="none"/>
        </w:rPr>
        <w:t>6.3 评标</w:t>
      </w:r>
      <w:bookmarkEnd w:id="274"/>
      <w:bookmarkEnd w:id="275"/>
      <w:bookmarkEnd w:id="276"/>
      <w:bookmarkEnd w:id="277"/>
      <w:bookmarkEnd w:id="278"/>
      <w:bookmarkEnd w:id="279"/>
      <w:bookmarkEnd w:id="280"/>
    </w:p>
    <w:p w14:paraId="673D3AAE">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评标委员会按照第三章“评标办法”规定的方法、评审因素、标准和程序对投标文件进行评审。第三章“评标办法”没有规定的方法、评审因素和标准，不作为评标依据。</w:t>
      </w:r>
    </w:p>
    <w:p w14:paraId="33011262">
      <w:pPr>
        <w:pStyle w:val="3"/>
        <w:rPr>
          <w:rFonts w:hint="eastAsia" w:ascii="宋体" w:hAnsi="宋体" w:eastAsia="宋体" w:cs="宋体"/>
          <w:color w:val="auto"/>
          <w:highlight w:val="none"/>
        </w:rPr>
      </w:pPr>
      <w:bookmarkStart w:id="281" w:name="_Toc152045566"/>
      <w:bookmarkStart w:id="282" w:name="_Toc144974534"/>
      <w:bookmarkStart w:id="283" w:name="_Toc152042342"/>
      <w:bookmarkStart w:id="284" w:name="_Toc11904"/>
      <w:bookmarkStart w:id="285" w:name="_Toc247513990"/>
      <w:bookmarkStart w:id="286" w:name="_Toc247527591"/>
      <w:bookmarkStart w:id="287" w:name="_Toc11622"/>
      <w:r>
        <w:rPr>
          <w:rFonts w:hint="eastAsia" w:ascii="宋体" w:hAnsi="宋体" w:eastAsia="宋体" w:cs="宋体"/>
          <w:color w:val="auto"/>
          <w:highlight w:val="none"/>
        </w:rPr>
        <w:t>7. 合同授予</w:t>
      </w:r>
      <w:bookmarkEnd w:id="281"/>
      <w:bookmarkEnd w:id="282"/>
      <w:bookmarkEnd w:id="283"/>
      <w:bookmarkEnd w:id="284"/>
      <w:bookmarkEnd w:id="285"/>
      <w:bookmarkEnd w:id="286"/>
      <w:bookmarkEnd w:id="287"/>
    </w:p>
    <w:p w14:paraId="4B2B0607">
      <w:pPr>
        <w:pStyle w:val="4"/>
        <w:rPr>
          <w:rFonts w:hint="eastAsia" w:ascii="宋体" w:eastAsia="宋体" w:cs="宋体"/>
          <w:color w:val="auto"/>
          <w:highlight w:val="none"/>
        </w:rPr>
      </w:pPr>
      <w:bookmarkStart w:id="288" w:name="_Toc247527592"/>
      <w:bookmarkStart w:id="289" w:name="_Toc31858"/>
      <w:bookmarkStart w:id="290" w:name="_Toc152045567"/>
      <w:bookmarkStart w:id="291" w:name="_Toc152042343"/>
      <w:bookmarkStart w:id="292" w:name="_Toc247513991"/>
      <w:bookmarkStart w:id="293" w:name="_Toc7899"/>
      <w:bookmarkStart w:id="294" w:name="_Toc144974535"/>
      <w:r>
        <w:rPr>
          <w:rFonts w:hint="eastAsia" w:ascii="宋体" w:eastAsia="宋体" w:cs="宋体"/>
          <w:color w:val="auto"/>
          <w:highlight w:val="none"/>
        </w:rPr>
        <w:t>7.1 定标方式</w:t>
      </w:r>
      <w:bookmarkEnd w:id="288"/>
      <w:bookmarkEnd w:id="289"/>
      <w:bookmarkEnd w:id="290"/>
      <w:bookmarkEnd w:id="291"/>
      <w:bookmarkEnd w:id="292"/>
      <w:bookmarkEnd w:id="293"/>
      <w:bookmarkEnd w:id="294"/>
    </w:p>
    <w:p w14:paraId="4C931EDF">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7.1.1除投标人须知前附表规定评标委员会直接确定中标人外，招标人依据评标委员会推荐的中标候选人确定中标人，评标委员会推荐中标候选人的人数见投标人须知前附表。</w:t>
      </w:r>
    </w:p>
    <w:p w14:paraId="4314332B">
      <w:pPr>
        <w:spacing w:line="40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7.1.2 依法必须进行公开招标的项目，招标人应当确定排名第一的中标候选人为中标人。</w:t>
      </w:r>
    </w:p>
    <w:p w14:paraId="78FBD082">
      <w:pPr>
        <w:spacing w:line="40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7.1.3 排名第一的中标候选人放弃中标、或被取消中标资格，或因不可抗力提出不能履行合同，或者招标文件规定应当提交履约担保而在规定的期限内未能提交的，</w:t>
      </w:r>
      <w:r>
        <w:rPr>
          <w:rFonts w:hint="eastAsia" w:ascii="宋体" w:hAnsi="宋体" w:cs="宋体"/>
          <w:color w:val="auto"/>
          <w:szCs w:val="21"/>
          <w:highlight w:val="none"/>
          <w:u w:val="single"/>
        </w:rPr>
        <w:t>或者被查实存在影响中标结果的违法行为等情形，不符合中标条件的，</w:t>
      </w:r>
      <w:r>
        <w:rPr>
          <w:rFonts w:hint="eastAsia" w:ascii="宋体" w:hAnsi="宋体" w:cs="宋体"/>
          <w:color w:val="auto"/>
          <w:highlight w:val="none"/>
          <w:u w:val="single"/>
        </w:rPr>
        <w:t>招标人可以按照中标候选人顺序依次上升替补定标，以此类推，也可以重新招标。</w:t>
      </w:r>
    </w:p>
    <w:p w14:paraId="6F7B0DE6">
      <w:pPr>
        <w:spacing w:line="40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7.1.4 若本项目所有中标候选人都不能成为中标人，则本项目招标失败，招标人依法重新招标。</w:t>
      </w:r>
    </w:p>
    <w:p w14:paraId="5ED1285D">
      <w:pPr>
        <w:pStyle w:val="4"/>
        <w:rPr>
          <w:rFonts w:hint="eastAsia" w:ascii="宋体" w:eastAsia="宋体" w:cs="宋体"/>
          <w:color w:val="auto"/>
          <w:highlight w:val="none"/>
        </w:rPr>
      </w:pPr>
      <w:bookmarkStart w:id="295" w:name="_Toc13071"/>
      <w:bookmarkStart w:id="296" w:name="_Toc10439"/>
      <w:r>
        <w:rPr>
          <w:rFonts w:hint="eastAsia" w:ascii="宋体" w:eastAsia="宋体" w:cs="宋体"/>
          <w:color w:val="auto"/>
          <w:highlight w:val="none"/>
        </w:rPr>
        <w:t>7.2 中标候选人公示</w:t>
      </w:r>
      <w:bookmarkEnd w:id="295"/>
      <w:bookmarkEnd w:id="296"/>
    </w:p>
    <w:p w14:paraId="190662B6">
      <w:pPr>
        <w:spacing w:line="400" w:lineRule="exact"/>
        <w:ind w:firstLine="420" w:firstLineChars="200"/>
        <w:rPr>
          <w:rFonts w:hint="eastAsia" w:ascii="宋体" w:hAnsi="宋体" w:cs="宋体"/>
          <w:color w:val="auto"/>
          <w:highlight w:val="none"/>
          <w:u w:val="single"/>
        </w:rPr>
      </w:pPr>
      <w:bookmarkStart w:id="297" w:name="_Toc152042344"/>
      <w:bookmarkStart w:id="298" w:name="_Toc247513992"/>
      <w:bookmarkStart w:id="299" w:name="_Toc152045568"/>
      <w:bookmarkStart w:id="300" w:name="_Toc247527593"/>
      <w:bookmarkStart w:id="301" w:name="_Toc144974536"/>
      <w:r>
        <w:rPr>
          <w:rFonts w:hint="eastAsia" w:ascii="宋体" w:hAnsi="宋体" w:cs="宋体"/>
          <w:color w:val="auto"/>
          <w:highlight w:val="none"/>
        </w:rPr>
        <w:t>招标人在投标人须知前附表规定的媒介公示中标候选人。</w:t>
      </w:r>
      <w:r>
        <w:rPr>
          <w:rFonts w:hint="eastAsia" w:ascii="宋体" w:hAnsi="宋体" w:cs="宋体"/>
          <w:color w:val="auto"/>
          <w:highlight w:val="none"/>
          <w:u w:val="single"/>
        </w:rPr>
        <w:t>公示时间为3天，公示期间的最后1天应当为工作日。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r>
        <w:rPr>
          <w:rFonts w:hint="eastAsia" w:ascii="宋体" w:hAnsi="宋体"/>
          <w:color w:val="auto"/>
          <w:highlight w:val="none"/>
          <w:u w:val="single"/>
        </w:rPr>
        <w:t>。</w:t>
      </w:r>
    </w:p>
    <w:p w14:paraId="25059B50">
      <w:pPr>
        <w:pStyle w:val="4"/>
        <w:rPr>
          <w:rFonts w:hint="eastAsia" w:ascii="宋体" w:eastAsia="宋体" w:cs="宋体"/>
          <w:color w:val="auto"/>
          <w:highlight w:val="none"/>
        </w:rPr>
      </w:pPr>
      <w:bookmarkStart w:id="302" w:name="_Toc3472"/>
      <w:bookmarkStart w:id="303" w:name="_Toc12824"/>
      <w:r>
        <w:rPr>
          <w:rFonts w:hint="eastAsia" w:ascii="宋体" w:eastAsia="宋体" w:cs="宋体"/>
          <w:color w:val="auto"/>
          <w:highlight w:val="none"/>
        </w:rPr>
        <w:t>7.3 中标通知</w:t>
      </w:r>
      <w:bookmarkEnd w:id="297"/>
      <w:bookmarkEnd w:id="298"/>
      <w:bookmarkEnd w:id="299"/>
      <w:bookmarkEnd w:id="300"/>
      <w:bookmarkEnd w:id="301"/>
      <w:bookmarkEnd w:id="302"/>
      <w:bookmarkEnd w:id="303"/>
    </w:p>
    <w:p w14:paraId="63241291">
      <w:pPr>
        <w:spacing w:line="400" w:lineRule="exact"/>
        <w:ind w:firstLine="420" w:firstLineChars="200"/>
        <w:rPr>
          <w:rFonts w:hint="eastAsia" w:ascii="宋体" w:hAnsi="宋体" w:cs="宋体"/>
          <w:color w:val="auto"/>
          <w:highlight w:val="none"/>
        </w:rPr>
      </w:pPr>
      <w:bookmarkStart w:id="304" w:name="_Toc144974537"/>
      <w:bookmarkStart w:id="305" w:name="_Toc152042345"/>
      <w:bookmarkStart w:id="306" w:name="_Toc152045569"/>
      <w:bookmarkStart w:id="307" w:name="_Toc247513993"/>
      <w:bookmarkStart w:id="308" w:name="_Toc247527594"/>
      <w:r>
        <w:rPr>
          <w:rFonts w:hint="eastAsia" w:ascii="宋体" w:hAnsi="宋体" w:cs="宋体"/>
          <w:color w:val="auto"/>
          <w:highlight w:val="none"/>
        </w:rPr>
        <w:t>在本章第3.3款规定的投标有效期内，招标人以书面形式向中标人发出中标通知书，同时将中标结果通知未中标的投标人。</w:t>
      </w:r>
    </w:p>
    <w:p w14:paraId="79E941F4">
      <w:pPr>
        <w:pStyle w:val="4"/>
        <w:rPr>
          <w:rFonts w:hint="eastAsia" w:ascii="宋体" w:eastAsia="宋体" w:cs="宋体"/>
          <w:color w:val="auto"/>
          <w:highlight w:val="none"/>
        </w:rPr>
      </w:pPr>
      <w:bookmarkStart w:id="309" w:name="_Toc32705"/>
      <w:bookmarkStart w:id="310" w:name="_Toc16203"/>
      <w:r>
        <w:rPr>
          <w:rFonts w:hint="eastAsia" w:ascii="宋体" w:eastAsia="宋体" w:cs="宋体"/>
          <w:color w:val="auto"/>
          <w:highlight w:val="none"/>
        </w:rPr>
        <w:t>7.4 履约担保</w:t>
      </w:r>
      <w:bookmarkEnd w:id="304"/>
      <w:bookmarkEnd w:id="305"/>
      <w:bookmarkEnd w:id="306"/>
      <w:bookmarkEnd w:id="307"/>
      <w:bookmarkEnd w:id="308"/>
      <w:bookmarkEnd w:id="309"/>
      <w:bookmarkEnd w:id="310"/>
    </w:p>
    <w:p w14:paraId="04942275">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7.4.1 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10%。联合体中标的，其履约担保由联合体主办方的名义提交。</w:t>
      </w:r>
    </w:p>
    <w:p w14:paraId="41FA9CE0">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7.4.2 中标人不能按本章第7.4.1项要求提交履约担保的，视为放弃中标，其</w:t>
      </w:r>
      <w:r>
        <w:rPr>
          <w:rFonts w:hint="eastAsia" w:ascii="宋体" w:hAnsi="宋体" w:cs="宋体"/>
          <w:strike/>
          <w:color w:val="auto"/>
          <w:highlight w:val="none"/>
        </w:rPr>
        <w:t>投标保证金不予退还</w:t>
      </w:r>
      <w:r>
        <w:rPr>
          <w:rFonts w:hint="eastAsia" w:ascii="宋体" w:hAnsi="宋体" w:cs="宋体"/>
          <w:color w:val="auto"/>
          <w:highlight w:val="none"/>
        </w:rPr>
        <w:t>，给招标人造成的损失</w:t>
      </w:r>
      <w:r>
        <w:rPr>
          <w:rFonts w:hint="eastAsia" w:ascii="宋体" w:hAnsi="宋体" w:cs="宋体"/>
          <w:strike/>
          <w:color w:val="auto"/>
          <w:highlight w:val="none"/>
        </w:rPr>
        <w:t>超过投标保证金数额</w:t>
      </w:r>
      <w:r>
        <w:rPr>
          <w:rFonts w:hint="eastAsia" w:ascii="宋体" w:hAnsi="宋体" w:cs="宋体"/>
          <w:color w:val="auto"/>
          <w:highlight w:val="none"/>
        </w:rPr>
        <w:t>的，中标人还应当</w:t>
      </w:r>
      <w:r>
        <w:rPr>
          <w:rFonts w:hint="eastAsia" w:ascii="宋体" w:hAnsi="宋体" w:cs="宋体"/>
          <w:strike/>
          <w:color w:val="auto"/>
          <w:highlight w:val="none"/>
        </w:rPr>
        <w:t>对超过部分</w:t>
      </w:r>
      <w:r>
        <w:rPr>
          <w:rFonts w:hint="eastAsia" w:ascii="宋体" w:hAnsi="宋体" w:cs="宋体"/>
          <w:color w:val="auto"/>
          <w:highlight w:val="none"/>
        </w:rPr>
        <w:t>予以赔偿。</w:t>
      </w:r>
    </w:p>
    <w:p w14:paraId="466103F5">
      <w:pPr>
        <w:pStyle w:val="4"/>
        <w:rPr>
          <w:rFonts w:hint="eastAsia" w:ascii="宋体" w:eastAsia="宋体" w:cs="宋体"/>
          <w:color w:val="auto"/>
          <w:highlight w:val="none"/>
        </w:rPr>
      </w:pPr>
      <w:bookmarkStart w:id="311" w:name="_Toc247513994"/>
      <w:bookmarkStart w:id="312" w:name="_Toc152042346"/>
      <w:bookmarkStart w:id="313" w:name="_Toc32105"/>
      <w:bookmarkStart w:id="314" w:name="_Toc247527595"/>
      <w:bookmarkStart w:id="315" w:name="_Toc144974538"/>
      <w:bookmarkStart w:id="316" w:name="_Toc29062"/>
      <w:bookmarkStart w:id="317" w:name="_Toc152045570"/>
      <w:r>
        <w:rPr>
          <w:rFonts w:hint="eastAsia" w:ascii="宋体" w:eastAsia="宋体" w:cs="宋体"/>
          <w:color w:val="auto"/>
          <w:highlight w:val="none"/>
        </w:rPr>
        <w:t>7.5 签订合同</w:t>
      </w:r>
      <w:bookmarkEnd w:id="311"/>
      <w:bookmarkEnd w:id="312"/>
      <w:bookmarkEnd w:id="313"/>
      <w:bookmarkEnd w:id="314"/>
      <w:bookmarkEnd w:id="315"/>
      <w:bookmarkEnd w:id="316"/>
      <w:bookmarkEnd w:id="317"/>
    </w:p>
    <w:p w14:paraId="12E1ABE4">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7.5.1 招标人和中标人应当自中标通知书发出之日起30天内，根据招标文件和中标人的投标文件订立书面合同。中标人无正当理由拒签合同的，招标人取消其中标资格，</w:t>
      </w:r>
      <w:r>
        <w:rPr>
          <w:rFonts w:hint="eastAsia" w:ascii="宋体" w:hAnsi="宋体" w:cs="宋体"/>
          <w:strike/>
          <w:color w:val="auto"/>
          <w:highlight w:val="none"/>
        </w:rPr>
        <w:t>其投标保证金不予退还</w:t>
      </w:r>
      <w:r>
        <w:rPr>
          <w:rFonts w:hint="eastAsia" w:ascii="宋体" w:hAnsi="宋体" w:cs="宋体"/>
          <w:color w:val="auto"/>
          <w:highlight w:val="none"/>
        </w:rPr>
        <w:t>；给招标人造成的损失</w:t>
      </w:r>
      <w:r>
        <w:rPr>
          <w:rFonts w:hint="eastAsia" w:ascii="宋体" w:hAnsi="宋体" w:cs="宋体"/>
          <w:strike/>
          <w:color w:val="auto"/>
          <w:highlight w:val="none"/>
        </w:rPr>
        <w:t>超过投标保证金数额的</w:t>
      </w:r>
      <w:r>
        <w:rPr>
          <w:rFonts w:hint="eastAsia" w:ascii="宋体" w:hAnsi="宋体" w:cs="宋体"/>
          <w:color w:val="auto"/>
          <w:highlight w:val="none"/>
        </w:rPr>
        <w:t xml:space="preserve">，中标人还应当对超过部分予以赔偿。 </w:t>
      </w:r>
    </w:p>
    <w:p w14:paraId="768C1427">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7.5.2 发出中标通知书后，招标人无正当理由拒签合同的，</w:t>
      </w:r>
      <w:r>
        <w:rPr>
          <w:rFonts w:hint="eastAsia" w:ascii="宋体" w:hAnsi="宋体" w:cs="宋体"/>
          <w:strike/>
          <w:color w:val="auto"/>
          <w:highlight w:val="none"/>
        </w:rPr>
        <w:t>招标人向中标人退还投标保证金</w:t>
      </w:r>
      <w:r>
        <w:rPr>
          <w:rFonts w:hint="eastAsia" w:ascii="宋体" w:hAnsi="宋体" w:cs="宋体"/>
          <w:color w:val="auto"/>
          <w:highlight w:val="none"/>
        </w:rPr>
        <w:t xml:space="preserve">；给中标人造成损失的，还应当赔偿损失。 </w:t>
      </w:r>
    </w:p>
    <w:p w14:paraId="76EE238F">
      <w:pPr>
        <w:pStyle w:val="3"/>
        <w:rPr>
          <w:rFonts w:hint="eastAsia" w:ascii="宋体" w:hAnsi="宋体" w:eastAsia="宋体" w:cs="宋体"/>
          <w:color w:val="auto"/>
          <w:highlight w:val="none"/>
        </w:rPr>
      </w:pPr>
      <w:bookmarkStart w:id="318" w:name="_Toc152045571"/>
      <w:bookmarkStart w:id="319" w:name="_Toc247527596"/>
      <w:bookmarkStart w:id="320" w:name="_Toc144974539"/>
      <w:bookmarkStart w:id="321" w:name="_Toc247513995"/>
      <w:bookmarkStart w:id="322" w:name="_Toc152042347"/>
      <w:bookmarkStart w:id="323" w:name="_Toc3454"/>
      <w:bookmarkStart w:id="324" w:name="_Toc15293"/>
      <w:r>
        <w:rPr>
          <w:rFonts w:hint="eastAsia" w:ascii="宋体" w:hAnsi="宋体" w:eastAsia="宋体" w:cs="宋体"/>
          <w:color w:val="auto"/>
          <w:highlight w:val="none"/>
        </w:rPr>
        <w:t>8.</w:t>
      </w:r>
      <w:bookmarkEnd w:id="318"/>
      <w:bookmarkEnd w:id="319"/>
      <w:bookmarkEnd w:id="320"/>
      <w:bookmarkEnd w:id="321"/>
      <w:bookmarkEnd w:id="322"/>
      <w:bookmarkStart w:id="325" w:name="_Toc152042350"/>
      <w:bookmarkStart w:id="326" w:name="_Toc152045574"/>
      <w:bookmarkStart w:id="327" w:name="_Toc144974542"/>
      <w:bookmarkStart w:id="328" w:name="_Toc247513998"/>
      <w:bookmarkStart w:id="329" w:name="_Toc247527599"/>
      <w:r>
        <w:rPr>
          <w:rFonts w:hint="eastAsia" w:ascii="宋体" w:hAnsi="宋体" w:eastAsia="宋体" w:cs="宋体"/>
          <w:color w:val="auto"/>
          <w:highlight w:val="none"/>
        </w:rPr>
        <w:t xml:space="preserve"> 纪律和监督</w:t>
      </w:r>
      <w:bookmarkEnd w:id="323"/>
      <w:bookmarkEnd w:id="324"/>
      <w:bookmarkEnd w:id="325"/>
      <w:bookmarkEnd w:id="326"/>
      <w:bookmarkEnd w:id="327"/>
      <w:bookmarkEnd w:id="328"/>
      <w:bookmarkEnd w:id="329"/>
    </w:p>
    <w:p w14:paraId="28D72DD8">
      <w:pPr>
        <w:pStyle w:val="4"/>
        <w:rPr>
          <w:rFonts w:hint="eastAsia" w:ascii="宋体" w:eastAsia="宋体" w:cs="宋体"/>
          <w:color w:val="auto"/>
          <w:highlight w:val="none"/>
        </w:rPr>
      </w:pPr>
      <w:bookmarkStart w:id="330" w:name="_Toc247527600"/>
      <w:bookmarkStart w:id="331" w:name="_Toc22859"/>
      <w:bookmarkStart w:id="332" w:name="_Toc152042351"/>
      <w:bookmarkStart w:id="333" w:name="_Toc247513999"/>
      <w:bookmarkStart w:id="334" w:name="_Toc144974543"/>
      <w:bookmarkStart w:id="335" w:name="_Toc18127"/>
      <w:bookmarkStart w:id="336" w:name="_Toc152045575"/>
      <w:r>
        <w:rPr>
          <w:rFonts w:hint="eastAsia" w:ascii="宋体" w:eastAsia="宋体" w:cs="宋体"/>
          <w:color w:val="auto"/>
          <w:highlight w:val="none"/>
        </w:rPr>
        <w:t>8.1 对招标人的纪律要求</w:t>
      </w:r>
      <w:bookmarkEnd w:id="330"/>
      <w:bookmarkEnd w:id="331"/>
      <w:bookmarkEnd w:id="332"/>
      <w:bookmarkEnd w:id="333"/>
      <w:bookmarkEnd w:id="334"/>
      <w:bookmarkEnd w:id="335"/>
      <w:bookmarkEnd w:id="336"/>
    </w:p>
    <w:p w14:paraId="62068BE9">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招标人不得泄漏招标投标活动中应当保密的情况和资料，不得与投标人串通损害国家利益、社会公共利益或者他人合法权益。</w:t>
      </w:r>
    </w:p>
    <w:p w14:paraId="30325EAF">
      <w:pPr>
        <w:pStyle w:val="4"/>
        <w:rPr>
          <w:rFonts w:hint="eastAsia" w:ascii="宋体" w:eastAsia="宋体" w:cs="宋体"/>
          <w:color w:val="auto"/>
          <w:highlight w:val="none"/>
        </w:rPr>
      </w:pPr>
      <w:bookmarkStart w:id="337" w:name="_Toc247527601"/>
      <w:bookmarkStart w:id="338" w:name="_Toc15285"/>
      <w:bookmarkStart w:id="339" w:name="_Toc152042352"/>
      <w:bookmarkStart w:id="340" w:name="_Toc152045576"/>
      <w:bookmarkStart w:id="341" w:name="_Toc144974544"/>
      <w:bookmarkStart w:id="342" w:name="_Toc17310"/>
      <w:bookmarkStart w:id="343" w:name="_Toc247514000"/>
      <w:r>
        <w:rPr>
          <w:rFonts w:hint="eastAsia" w:ascii="宋体" w:eastAsia="宋体" w:cs="宋体"/>
          <w:color w:val="auto"/>
          <w:highlight w:val="none"/>
        </w:rPr>
        <w:t>8.2 对投标人的纪律要求</w:t>
      </w:r>
      <w:bookmarkEnd w:id="337"/>
      <w:bookmarkEnd w:id="338"/>
      <w:bookmarkEnd w:id="339"/>
      <w:bookmarkEnd w:id="340"/>
      <w:bookmarkEnd w:id="341"/>
      <w:bookmarkEnd w:id="342"/>
      <w:bookmarkEnd w:id="343"/>
    </w:p>
    <w:p w14:paraId="17672EC7">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6C7A3B8B">
      <w:pPr>
        <w:pStyle w:val="4"/>
        <w:rPr>
          <w:rFonts w:hint="eastAsia" w:ascii="宋体" w:eastAsia="宋体" w:cs="宋体"/>
          <w:color w:val="auto"/>
          <w:highlight w:val="none"/>
        </w:rPr>
      </w:pPr>
      <w:bookmarkStart w:id="344" w:name="_Toc21803"/>
      <w:bookmarkStart w:id="345" w:name="_Toc152045577"/>
      <w:bookmarkStart w:id="346" w:name="_Toc247514001"/>
      <w:bookmarkStart w:id="347" w:name="_Toc247527602"/>
      <w:bookmarkStart w:id="348" w:name="_Toc152042353"/>
      <w:bookmarkStart w:id="349" w:name="_Toc8598"/>
      <w:bookmarkStart w:id="350" w:name="_Toc144974545"/>
      <w:r>
        <w:rPr>
          <w:rFonts w:hint="eastAsia" w:ascii="宋体" w:eastAsia="宋体" w:cs="宋体"/>
          <w:color w:val="auto"/>
          <w:highlight w:val="none"/>
        </w:rPr>
        <w:t>8.3 对评标委员会成员的纪律要求</w:t>
      </w:r>
      <w:bookmarkEnd w:id="344"/>
      <w:bookmarkEnd w:id="345"/>
      <w:bookmarkEnd w:id="346"/>
      <w:bookmarkEnd w:id="347"/>
      <w:bookmarkEnd w:id="348"/>
      <w:bookmarkEnd w:id="349"/>
      <w:bookmarkEnd w:id="350"/>
    </w:p>
    <w:p w14:paraId="284B26A1">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6615ADF3">
      <w:pPr>
        <w:pStyle w:val="4"/>
        <w:rPr>
          <w:rFonts w:hint="eastAsia" w:ascii="宋体" w:eastAsia="宋体" w:cs="宋体"/>
          <w:color w:val="auto"/>
          <w:highlight w:val="none"/>
        </w:rPr>
      </w:pPr>
      <w:bookmarkStart w:id="351" w:name="_Toc152042354"/>
      <w:bookmarkStart w:id="352" w:name="_Toc152045578"/>
      <w:bookmarkStart w:id="353" w:name="_Toc247527603"/>
      <w:bookmarkStart w:id="354" w:name="_Toc12506"/>
      <w:bookmarkStart w:id="355" w:name="_Toc24179"/>
      <w:bookmarkStart w:id="356" w:name="_Toc247514002"/>
      <w:bookmarkStart w:id="357" w:name="_Toc144974546"/>
      <w:r>
        <w:rPr>
          <w:rFonts w:hint="eastAsia" w:ascii="宋体" w:eastAsia="宋体" w:cs="宋体"/>
          <w:color w:val="auto"/>
          <w:highlight w:val="none"/>
        </w:rPr>
        <w:t>8.4 对与评标活动有关的工作人员的纪律要求</w:t>
      </w:r>
      <w:bookmarkEnd w:id="351"/>
      <w:bookmarkEnd w:id="352"/>
      <w:bookmarkEnd w:id="353"/>
      <w:bookmarkEnd w:id="354"/>
      <w:bookmarkEnd w:id="355"/>
      <w:bookmarkEnd w:id="356"/>
    </w:p>
    <w:p w14:paraId="68BF3DB5">
      <w:pPr>
        <w:spacing w:line="400" w:lineRule="exact"/>
        <w:ind w:firstLine="420" w:firstLineChars="200"/>
        <w:rPr>
          <w:rFonts w:hint="eastAsia" w:ascii="宋体" w:hAnsi="宋体" w:cs="宋体"/>
          <w:color w:val="auto"/>
          <w:highlight w:val="none"/>
        </w:rPr>
      </w:pPr>
      <w:bookmarkStart w:id="358" w:name="_Toc152042355"/>
      <w:r>
        <w:rPr>
          <w:rFonts w:hint="eastAsia" w:ascii="宋体" w:hAnsi="宋体" w:cs="宋体"/>
          <w:color w:val="auto"/>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8"/>
    </w:p>
    <w:p w14:paraId="0BAF4151">
      <w:pPr>
        <w:pStyle w:val="4"/>
        <w:rPr>
          <w:rFonts w:hint="eastAsia" w:ascii="宋体" w:eastAsia="宋体" w:cs="宋体"/>
          <w:color w:val="auto"/>
          <w:highlight w:val="none"/>
        </w:rPr>
      </w:pPr>
      <w:bookmarkStart w:id="359" w:name="_Toc152045579"/>
      <w:bookmarkStart w:id="360" w:name="_Toc9992"/>
      <w:bookmarkStart w:id="361" w:name="_Toc152042356"/>
      <w:bookmarkStart w:id="362" w:name="_Toc247514003"/>
      <w:bookmarkStart w:id="363" w:name="_Toc26562"/>
      <w:bookmarkStart w:id="364" w:name="_Toc247527604"/>
      <w:r>
        <w:rPr>
          <w:rFonts w:hint="eastAsia" w:ascii="宋体" w:eastAsia="宋体" w:cs="宋体"/>
          <w:color w:val="auto"/>
          <w:highlight w:val="none"/>
        </w:rPr>
        <w:t>8.5 投诉</w:t>
      </w:r>
      <w:bookmarkEnd w:id="357"/>
      <w:bookmarkEnd w:id="359"/>
      <w:bookmarkEnd w:id="360"/>
      <w:bookmarkEnd w:id="361"/>
      <w:bookmarkEnd w:id="362"/>
      <w:bookmarkEnd w:id="363"/>
      <w:bookmarkEnd w:id="364"/>
    </w:p>
    <w:p w14:paraId="5D697DDE">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投标人和其他利害关系人认为本次招标活动违反法律、法规和规章规定的，有权向有关行政监督部门投诉。</w:t>
      </w:r>
    </w:p>
    <w:p w14:paraId="330E8564">
      <w:pPr>
        <w:pStyle w:val="3"/>
        <w:rPr>
          <w:rFonts w:hint="eastAsia" w:ascii="宋体" w:hAnsi="宋体" w:eastAsia="宋体" w:cs="宋体"/>
          <w:color w:val="auto"/>
          <w:highlight w:val="none"/>
        </w:rPr>
      </w:pPr>
      <w:bookmarkStart w:id="365" w:name="_Toc152042357"/>
      <w:bookmarkStart w:id="366" w:name="_Toc25723"/>
      <w:bookmarkStart w:id="367" w:name="_Toc152045580"/>
      <w:bookmarkStart w:id="368" w:name="_Toc247514004"/>
      <w:bookmarkStart w:id="369" w:name="_Toc247527605"/>
      <w:bookmarkStart w:id="370" w:name="_Toc144974547"/>
      <w:bookmarkStart w:id="371" w:name="_Toc32659"/>
      <w:r>
        <w:rPr>
          <w:rFonts w:hint="eastAsia" w:ascii="宋体" w:hAnsi="宋体" w:eastAsia="宋体" w:cs="宋体"/>
          <w:color w:val="auto"/>
          <w:highlight w:val="none"/>
        </w:rPr>
        <w:t>9. 需要补充的其他内容</w:t>
      </w:r>
      <w:bookmarkEnd w:id="365"/>
      <w:bookmarkEnd w:id="366"/>
      <w:bookmarkEnd w:id="367"/>
      <w:bookmarkEnd w:id="368"/>
      <w:bookmarkEnd w:id="369"/>
      <w:bookmarkEnd w:id="370"/>
      <w:bookmarkEnd w:id="371"/>
    </w:p>
    <w:p w14:paraId="4F201BB4">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需要补充的其他内容：见投标人须知前附表。</w:t>
      </w:r>
    </w:p>
    <w:p w14:paraId="1DD3A215">
      <w:pPr>
        <w:pStyle w:val="3"/>
        <w:rPr>
          <w:rFonts w:hint="eastAsia" w:ascii="宋体" w:hAnsi="宋体" w:eastAsia="宋体" w:cs="宋体"/>
          <w:color w:val="auto"/>
          <w:highlight w:val="none"/>
        </w:rPr>
      </w:pPr>
      <w:bookmarkStart w:id="372" w:name="_Toc661"/>
      <w:bookmarkStart w:id="373" w:name="_Toc22808"/>
      <w:r>
        <w:rPr>
          <w:rFonts w:hint="eastAsia" w:ascii="宋体" w:hAnsi="宋体" w:eastAsia="宋体" w:cs="宋体"/>
          <w:color w:val="auto"/>
          <w:highlight w:val="none"/>
        </w:rPr>
        <w:t>10. 电子招标投标</w:t>
      </w:r>
      <w:bookmarkEnd w:id="372"/>
      <w:bookmarkEnd w:id="373"/>
    </w:p>
    <w:p w14:paraId="5AFDC35D">
      <w:pPr>
        <w:spacing w:line="40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采用电子招标投标，对投标文件的编制、加密和标记、递交、开标、评标等具体要求，见投标人须知前附表。</w:t>
      </w:r>
    </w:p>
    <w:p w14:paraId="756A3923">
      <w:pPr>
        <w:spacing w:line="400" w:lineRule="exact"/>
        <w:ind w:firstLine="420" w:firstLineChars="200"/>
        <w:rPr>
          <w:rFonts w:hint="eastAsia" w:ascii="宋体" w:hAnsi="宋体" w:cs="宋体"/>
          <w:color w:val="auto"/>
          <w:highlight w:val="none"/>
          <w:u w:val="single"/>
        </w:rPr>
        <w:sectPr>
          <w:pgSz w:w="11906" w:h="16838"/>
          <w:pgMar w:top="1418" w:right="1134" w:bottom="1418" w:left="1134" w:header="851" w:footer="992" w:gutter="0"/>
          <w:cols w:space="720" w:num="1"/>
          <w:docGrid w:type="lines" w:linePitch="312" w:charSpace="0"/>
        </w:sectPr>
      </w:pPr>
    </w:p>
    <w:p w14:paraId="3615DE59">
      <w:pPr>
        <w:pStyle w:val="4"/>
        <w:spacing w:before="0"/>
        <w:ind w:firstLine="0" w:firstLineChars="0"/>
        <w:rPr>
          <w:rFonts w:hint="eastAsia" w:ascii="宋体" w:eastAsia="宋体" w:cs="宋体"/>
          <w:color w:val="auto"/>
          <w:highlight w:val="none"/>
        </w:rPr>
      </w:pPr>
      <w:bookmarkStart w:id="374" w:name="_Toc10524"/>
      <w:bookmarkStart w:id="375" w:name="_Toc3477"/>
      <w:r>
        <w:rPr>
          <w:rFonts w:hint="eastAsia" w:ascii="宋体" w:eastAsia="宋体" w:cs="宋体"/>
          <w:color w:val="auto"/>
          <w:highlight w:val="none"/>
        </w:rPr>
        <w:t>附件一：</w:t>
      </w:r>
      <w:r>
        <w:rPr>
          <w:rFonts w:hint="eastAsia" w:ascii="宋体" w:eastAsia="宋体" w:cs="宋体"/>
          <w:color w:val="auto"/>
          <w:highlight w:val="none"/>
          <w:u w:val="single"/>
        </w:rPr>
        <w:t>开标记录表</w:t>
      </w:r>
      <w:bookmarkEnd w:id="374"/>
      <w:bookmarkEnd w:id="375"/>
    </w:p>
    <w:p w14:paraId="7FFFCF20">
      <w:pPr>
        <w:spacing w:line="4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开标记录表（以交易中心系统为准）</w:t>
      </w:r>
    </w:p>
    <w:p w14:paraId="13B9F3D1">
      <w:pPr>
        <w:spacing w:line="400" w:lineRule="exact"/>
        <w:ind w:right="420"/>
        <w:jc w:val="left"/>
        <w:rPr>
          <w:rFonts w:hint="eastAsia" w:ascii="宋体" w:hAnsi="宋体" w:cs="宋体"/>
          <w:color w:val="auto"/>
          <w:szCs w:val="21"/>
          <w:highlight w:val="none"/>
        </w:rPr>
      </w:pPr>
      <w:r>
        <w:rPr>
          <w:rFonts w:hint="eastAsia" w:ascii="宋体" w:hAnsi="宋体" w:cs="宋体"/>
          <w:color w:val="auto"/>
          <w:szCs w:val="21"/>
          <w:highlight w:val="none"/>
        </w:rPr>
        <w:t>项目编号：       项目名称：</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p>
    <w:p w14:paraId="5FCB4FB2">
      <w:pPr>
        <w:spacing w:line="400" w:lineRule="exact"/>
        <w:ind w:right="420"/>
        <w:jc w:val="left"/>
        <w:rPr>
          <w:rFonts w:hint="eastAsia" w:ascii="宋体" w:hAnsi="宋体" w:cs="宋体"/>
          <w:color w:val="auto"/>
          <w:szCs w:val="21"/>
          <w:highlight w:val="none"/>
        </w:rPr>
      </w:pPr>
      <w:r>
        <w:rPr>
          <w:rFonts w:hint="eastAsia" w:ascii="宋体" w:hAnsi="宋体" w:cs="宋体"/>
          <w:color w:val="auto"/>
          <w:szCs w:val="21"/>
          <w:highlight w:val="none"/>
        </w:rPr>
        <w:t>最高投标限价(元)：</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rPr>
        <w:tab/>
      </w:r>
    </w:p>
    <w:tbl>
      <w:tblPr>
        <w:tblStyle w:val="40"/>
        <w:tblW w:w="14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2"/>
        <w:gridCol w:w="993"/>
        <w:gridCol w:w="992"/>
        <w:gridCol w:w="1134"/>
        <w:gridCol w:w="709"/>
        <w:gridCol w:w="1134"/>
        <w:gridCol w:w="1275"/>
        <w:gridCol w:w="1418"/>
        <w:gridCol w:w="1417"/>
        <w:gridCol w:w="1418"/>
        <w:gridCol w:w="1166"/>
        <w:gridCol w:w="895"/>
      </w:tblGrid>
      <w:tr w14:paraId="3F467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5BD5767">
            <w:pPr>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992" w:type="dxa"/>
            <w:tcBorders>
              <w:top w:val="single" w:color="auto" w:sz="4" w:space="0"/>
              <w:left w:val="single" w:color="auto" w:sz="4" w:space="0"/>
              <w:bottom w:val="single" w:color="auto" w:sz="4" w:space="0"/>
              <w:right w:val="single" w:color="auto" w:sz="4" w:space="0"/>
            </w:tcBorders>
            <w:vAlign w:val="center"/>
          </w:tcPr>
          <w:p w14:paraId="1BCEC7F0">
            <w:pPr>
              <w:jc w:val="center"/>
              <w:rPr>
                <w:rFonts w:hint="eastAsia" w:ascii="宋体" w:hAnsi="宋体" w:cs="宋体"/>
                <w:color w:val="auto"/>
                <w:szCs w:val="21"/>
                <w:highlight w:val="none"/>
              </w:rPr>
            </w:pPr>
            <w:r>
              <w:rPr>
                <w:rFonts w:hint="eastAsia" w:ascii="宋体" w:hAnsi="宋体" w:cs="宋体"/>
                <w:color w:val="auto"/>
                <w:szCs w:val="21"/>
                <w:highlight w:val="none"/>
              </w:rPr>
              <w:t>投标人名称</w:t>
            </w:r>
          </w:p>
        </w:tc>
        <w:tc>
          <w:tcPr>
            <w:tcW w:w="993" w:type="dxa"/>
            <w:tcBorders>
              <w:top w:val="single" w:color="auto" w:sz="4" w:space="0"/>
              <w:left w:val="single" w:color="auto" w:sz="4" w:space="0"/>
              <w:bottom w:val="single" w:color="auto" w:sz="4" w:space="0"/>
              <w:right w:val="single" w:color="auto" w:sz="4" w:space="0"/>
            </w:tcBorders>
            <w:vAlign w:val="center"/>
          </w:tcPr>
          <w:p w14:paraId="66D8FA88">
            <w:pPr>
              <w:jc w:val="center"/>
              <w:rPr>
                <w:rFonts w:hint="eastAsia" w:ascii="宋体" w:hAnsi="宋体" w:cs="宋体"/>
                <w:color w:val="auto"/>
                <w:szCs w:val="21"/>
                <w:highlight w:val="none"/>
              </w:rPr>
            </w:pPr>
            <w:r>
              <w:rPr>
                <w:rFonts w:hint="eastAsia" w:ascii="宋体" w:hAnsi="宋体" w:cs="宋体"/>
                <w:color w:val="auto"/>
                <w:szCs w:val="21"/>
                <w:highlight w:val="none"/>
              </w:rPr>
              <w:t>投标文件递交情况</w:t>
            </w:r>
          </w:p>
        </w:tc>
        <w:tc>
          <w:tcPr>
            <w:tcW w:w="992" w:type="dxa"/>
            <w:tcBorders>
              <w:top w:val="single" w:color="auto" w:sz="4" w:space="0"/>
              <w:left w:val="single" w:color="auto" w:sz="4" w:space="0"/>
              <w:bottom w:val="single" w:color="auto" w:sz="4" w:space="0"/>
              <w:right w:val="single" w:color="auto" w:sz="4" w:space="0"/>
            </w:tcBorders>
            <w:vAlign w:val="center"/>
          </w:tcPr>
          <w:p w14:paraId="2D102406">
            <w:pPr>
              <w:jc w:val="center"/>
              <w:rPr>
                <w:rFonts w:hint="eastAsia" w:ascii="宋体" w:hAnsi="宋体" w:cs="宋体"/>
                <w:color w:val="auto"/>
                <w:szCs w:val="21"/>
                <w:highlight w:val="none"/>
              </w:rPr>
            </w:pPr>
            <w:r>
              <w:rPr>
                <w:rFonts w:hint="eastAsia" w:ascii="宋体" w:hAnsi="宋体" w:cs="宋体"/>
                <w:color w:val="auto"/>
                <w:szCs w:val="21"/>
                <w:highlight w:val="none"/>
              </w:rPr>
              <w:t>投标文件解密情况</w:t>
            </w:r>
          </w:p>
        </w:tc>
        <w:tc>
          <w:tcPr>
            <w:tcW w:w="1134" w:type="dxa"/>
            <w:tcBorders>
              <w:top w:val="single" w:color="auto" w:sz="4" w:space="0"/>
              <w:left w:val="single" w:color="auto" w:sz="4" w:space="0"/>
              <w:bottom w:val="single" w:color="auto" w:sz="4" w:space="0"/>
              <w:right w:val="single" w:color="auto" w:sz="4" w:space="0"/>
            </w:tcBorders>
            <w:vAlign w:val="center"/>
          </w:tcPr>
          <w:p w14:paraId="5F42D43E">
            <w:pPr>
              <w:jc w:val="center"/>
              <w:rPr>
                <w:rFonts w:hint="eastAsia" w:ascii="宋体" w:hAnsi="宋体" w:cs="宋体"/>
                <w:color w:val="auto"/>
                <w:szCs w:val="21"/>
                <w:highlight w:val="none"/>
              </w:rPr>
            </w:pPr>
            <w:r>
              <w:rPr>
                <w:rFonts w:hint="eastAsia" w:ascii="宋体" w:hAnsi="宋体" w:cs="宋体"/>
                <w:color w:val="auto"/>
                <w:szCs w:val="21"/>
                <w:highlight w:val="none"/>
              </w:rPr>
              <w:t>投标担保递交情况</w:t>
            </w:r>
          </w:p>
        </w:tc>
        <w:tc>
          <w:tcPr>
            <w:tcW w:w="709" w:type="dxa"/>
            <w:tcBorders>
              <w:top w:val="single" w:color="auto" w:sz="4" w:space="0"/>
              <w:left w:val="single" w:color="auto" w:sz="4" w:space="0"/>
              <w:bottom w:val="single" w:color="auto" w:sz="4" w:space="0"/>
              <w:right w:val="single" w:color="auto" w:sz="4" w:space="0"/>
            </w:tcBorders>
            <w:vAlign w:val="center"/>
          </w:tcPr>
          <w:p w14:paraId="21D5351A">
            <w:pPr>
              <w:jc w:val="center"/>
              <w:rPr>
                <w:rFonts w:hint="eastAsia" w:ascii="宋体" w:hAnsi="宋体" w:cs="宋体"/>
                <w:color w:val="auto"/>
                <w:szCs w:val="21"/>
                <w:highlight w:val="none"/>
              </w:rPr>
            </w:pPr>
            <w:r>
              <w:rPr>
                <w:rFonts w:hint="eastAsia" w:ascii="宋体" w:hAnsi="宋体" w:cs="宋体"/>
                <w:color w:val="auto"/>
                <w:szCs w:val="21"/>
                <w:highlight w:val="none"/>
              </w:rPr>
              <w:t>工期</w:t>
            </w:r>
          </w:p>
        </w:tc>
        <w:tc>
          <w:tcPr>
            <w:tcW w:w="1134" w:type="dxa"/>
            <w:tcBorders>
              <w:top w:val="single" w:color="auto" w:sz="4" w:space="0"/>
              <w:left w:val="single" w:color="auto" w:sz="4" w:space="0"/>
              <w:bottom w:val="single" w:color="auto" w:sz="4" w:space="0"/>
              <w:right w:val="single" w:color="auto" w:sz="4" w:space="0"/>
            </w:tcBorders>
            <w:vAlign w:val="center"/>
          </w:tcPr>
          <w:p w14:paraId="0B62F37A">
            <w:pPr>
              <w:jc w:val="center"/>
              <w:rPr>
                <w:rFonts w:hint="eastAsia" w:ascii="宋体" w:hAnsi="宋体" w:cs="宋体"/>
                <w:color w:val="auto"/>
                <w:szCs w:val="21"/>
                <w:highlight w:val="none"/>
              </w:rPr>
            </w:pPr>
            <w:r>
              <w:rPr>
                <w:rFonts w:hint="eastAsia" w:ascii="宋体" w:hAnsi="宋体" w:cs="宋体"/>
                <w:color w:val="auto"/>
                <w:szCs w:val="21"/>
                <w:highlight w:val="none"/>
              </w:rPr>
              <w:t>质量标准</w:t>
            </w:r>
          </w:p>
        </w:tc>
        <w:tc>
          <w:tcPr>
            <w:tcW w:w="1275" w:type="dxa"/>
            <w:tcBorders>
              <w:top w:val="single" w:color="auto" w:sz="4" w:space="0"/>
              <w:left w:val="single" w:color="auto" w:sz="4" w:space="0"/>
              <w:right w:val="single" w:color="auto" w:sz="4" w:space="0"/>
            </w:tcBorders>
            <w:vAlign w:val="center"/>
          </w:tcPr>
          <w:p w14:paraId="6E23384E">
            <w:pPr>
              <w:jc w:val="center"/>
              <w:rPr>
                <w:rFonts w:hint="eastAsia" w:ascii="宋体" w:hAnsi="宋体" w:cs="宋体"/>
                <w:color w:val="auto"/>
                <w:szCs w:val="21"/>
                <w:highlight w:val="none"/>
              </w:rPr>
            </w:pPr>
            <w:r>
              <w:rPr>
                <w:rFonts w:hint="eastAsia" w:ascii="宋体" w:hAnsi="宋体" w:cs="宋体"/>
                <w:color w:val="auto"/>
                <w:szCs w:val="21"/>
                <w:highlight w:val="none"/>
              </w:rPr>
              <w:t>项目负责人</w:t>
            </w:r>
          </w:p>
        </w:tc>
        <w:tc>
          <w:tcPr>
            <w:tcW w:w="1418" w:type="dxa"/>
            <w:tcBorders>
              <w:top w:val="single" w:color="auto" w:sz="4" w:space="0"/>
              <w:left w:val="single" w:color="auto" w:sz="4" w:space="0"/>
              <w:right w:val="single" w:color="auto" w:sz="4" w:space="0"/>
            </w:tcBorders>
            <w:vAlign w:val="center"/>
          </w:tcPr>
          <w:p w14:paraId="5833EFE3">
            <w:pPr>
              <w:jc w:val="center"/>
              <w:rPr>
                <w:rFonts w:hint="eastAsia" w:ascii="宋体" w:hAnsi="宋体" w:cs="宋体"/>
                <w:color w:val="auto"/>
                <w:szCs w:val="21"/>
                <w:highlight w:val="none"/>
              </w:rPr>
            </w:pPr>
            <w:r>
              <w:rPr>
                <w:rFonts w:hint="eastAsia" w:ascii="宋体" w:hAnsi="宋体" w:cs="宋体"/>
                <w:color w:val="auto"/>
                <w:szCs w:val="21"/>
                <w:highlight w:val="none"/>
              </w:rPr>
              <w:t>施工负责人</w:t>
            </w:r>
          </w:p>
        </w:tc>
        <w:tc>
          <w:tcPr>
            <w:tcW w:w="1417" w:type="dxa"/>
            <w:tcBorders>
              <w:top w:val="single" w:color="auto" w:sz="4" w:space="0"/>
              <w:left w:val="single" w:color="auto" w:sz="4" w:space="0"/>
              <w:right w:val="single" w:color="auto" w:sz="4" w:space="0"/>
            </w:tcBorders>
            <w:vAlign w:val="center"/>
          </w:tcPr>
          <w:p w14:paraId="5B86B280">
            <w:pPr>
              <w:jc w:val="center"/>
              <w:rPr>
                <w:rFonts w:hint="eastAsia" w:ascii="宋体" w:hAnsi="宋体" w:cs="宋体"/>
                <w:color w:val="auto"/>
                <w:szCs w:val="21"/>
                <w:highlight w:val="none"/>
              </w:rPr>
            </w:pPr>
            <w:r>
              <w:rPr>
                <w:rFonts w:hint="eastAsia" w:ascii="宋体" w:hAnsi="宋体" w:cs="宋体"/>
                <w:color w:val="auto"/>
                <w:szCs w:val="21"/>
                <w:highlight w:val="none"/>
              </w:rPr>
              <w:t>设计负责人</w:t>
            </w:r>
          </w:p>
        </w:tc>
        <w:tc>
          <w:tcPr>
            <w:tcW w:w="1418" w:type="dxa"/>
            <w:tcBorders>
              <w:top w:val="single" w:color="auto" w:sz="4" w:space="0"/>
              <w:left w:val="single" w:color="auto" w:sz="4" w:space="0"/>
              <w:right w:val="single" w:color="auto" w:sz="4" w:space="0"/>
            </w:tcBorders>
            <w:vAlign w:val="center"/>
          </w:tcPr>
          <w:p w14:paraId="597ACCF0">
            <w:pPr>
              <w:jc w:val="center"/>
              <w:rPr>
                <w:rFonts w:hint="eastAsia" w:ascii="宋体" w:hAnsi="宋体" w:cs="宋体"/>
                <w:color w:val="auto"/>
                <w:szCs w:val="21"/>
                <w:highlight w:val="none"/>
              </w:rPr>
            </w:pPr>
            <w:r>
              <w:rPr>
                <w:rFonts w:hint="eastAsia" w:ascii="宋体" w:hAnsi="宋体" w:cs="宋体"/>
                <w:color w:val="auto"/>
                <w:szCs w:val="21"/>
                <w:highlight w:val="none"/>
              </w:rPr>
              <w:t>专职安全员</w:t>
            </w:r>
          </w:p>
        </w:tc>
        <w:tc>
          <w:tcPr>
            <w:tcW w:w="1166" w:type="dxa"/>
            <w:tcBorders>
              <w:top w:val="single" w:color="auto" w:sz="4" w:space="0"/>
              <w:left w:val="single" w:color="auto" w:sz="4" w:space="0"/>
              <w:right w:val="single" w:color="auto" w:sz="4" w:space="0"/>
            </w:tcBorders>
            <w:vAlign w:val="center"/>
          </w:tcPr>
          <w:p w14:paraId="5714F75E">
            <w:pPr>
              <w:jc w:val="center"/>
              <w:rPr>
                <w:rFonts w:hint="eastAsia" w:ascii="宋体" w:hAnsi="宋体" w:cs="宋体"/>
                <w:color w:val="auto"/>
                <w:szCs w:val="21"/>
                <w:highlight w:val="none"/>
              </w:rPr>
            </w:pPr>
            <w:r>
              <w:rPr>
                <w:rFonts w:hint="eastAsia" w:ascii="宋体" w:hAnsi="宋体" w:cs="宋体"/>
                <w:color w:val="auto"/>
                <w:szCs w:val="21"/>
                <w:highlight w:val="none"/>
              </w:rPr>
              <w:t>投标总报价（元）</w:t>
            </w:r>
          </w:p>
        </w:tc>
        <w:tc>
          <w:tcPr>
            <w:tcW w:w="895" w:type="dxa"/>
            <w:tcBorders>
              <w:top w:val="single" w:color="auto" w:sz="4" w:space="0"/>
              <w:left w:val="single" w:color="auto" w:sz="4" w:space="0"/>
              <w:right w:val="single" w:color="auto" w:sz="4" w:space="0"/>
            </w:tcBorders>
            <w:vAlign w:val="center"/>
          </w:tcPr>
          <w:p w14:paraId="42AE9993">
            <w:pPr>
              <w:jc w:val="center"/>
              <w:rPr>
                <w:rFonts w:hint="eastAsia" w:ascii="宋体" w:hAnsi="宋体" w:cs="宋体"/>
                <w:color w:val="auto"/>
                <w:szCs w:val="21"/>
                <w:highlight w:val="none"/>
              </w:rPr>
            </w:pPr>
            <w:r>
              <w:rPr>
                <w:rFonts w:hint="eastAsia" w:ascii="宋体" w:hAnsi="宋体" w:cs="宋体"/>
                <w:color w:val="auto"/>
                <w:szCs w:val="21"/>
                <w:highlight w:val="none"/>
              </w:rPr>
              <w:t>投标人签名</w:t>
            </w:r>
          </w:p>
        </w:tc>
      </w:tr>
      <w:tr w14:paraId="5F1FE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0CC01660">
            <w:pPr>
              <w:spacing w:line="620" w:lineRule="exact"/>
              <w:jc w:val="center"/>
              <w:rPr>
                <w:rFonts w:hint="eastAsia" w:ascii="宋体" w:hAnsi="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40271639">
            <w:pPr>
              <w:spacing w:line="620" w:lineRule="exact"/>
              <w:jc w:val="center"/>
              <w:rPr>
                <w:rFonts w:hint="eastAsia" w:ascii="宋体" w:hAnsi="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368C6F23">
            <w:pPr>
              <w:spacing w:line="620" w:lineRule="exact"/>
              <w:jc w:val="center"/>
              <w:rPr>
                <w:rFonts w:hint="eastAsia" w:ascii="宋体" w:hAnsi="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449050CE">
            <w:pPr>
              <w:spacing w:line="620" w:lineRule="exact"/>
              <w:jc w:val="center"/>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F78C66D">
            <w:pPr>
              <w:spacing w:line="620" w:lineRule="exact"/>
              <w:jc w:val="center"/>
              <w:rPr>
                <w:rFonts w:hint="eastAsia" w:ascii="宋体" w:hAnsi="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07612A67">
            <w:pPr>
              <w:spacing w:line="620" w:lineRule="exact"/>
              <w:jc w:val="center"/>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5A46CFD">
            <w:pPr>
              <w:spacing w:line="620" w:lineRule="exact"/>
              <w:jc w:val="center"/>
              <w:rPr>
                <w:rFonts w:hint="eastAsia" w:ascii="宋体" w:hAnsi="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7FF5E8E4">
            <w:pPr>
              <w:spacing w:line="620" w:lineRule="exact"/>
              <w:jc w:val="center"/>
              <w:rPr>
                <w:rFonts w:hint="eastAsia" w:ascii="宋体"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17F481DE">
            <w:pPr>
              <w:spacing w:line="620" w:lineRule="exact"/>
              <w:jc w:val="center"/>
              <w:rPr>
                <w:rFonts w:hint="eastAsia" w:ascii="宋体" w:hAnsi="宋体" w:cs="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1A26F20D">
            <w:pPr>
              <w:spacing w:line="620" w:lineRule="exact"/>
              <w:jc w:val="center"/>
              <w:rPr>
                <w:rFonts w:hint="eastAsia" w:ascii="宋体"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3208C60">
            <w:pPr>
              <w:spacing w:line="620" w:lineRule="exact"/>
              <w:jc w:val="center"/>
              <w:rPr>
                <w:rFonts w:hint="eastAsia" w:ascii="宋体" w:hAnsi="宋体" w:cs="宋体"/>
                <w:color w:val="auto"/>
                <w:szCs w:val="21"/>
                <w:highlight w:val="none"/>
              </w:rPr>
            </w:pPr>
          </w:p>
        </w:tc>
        <w:tc>
          <w:tcPr>
            <w:tcW w:w="1166" w:type="dxa"/>
            <w:tcBorders>
              <w:top w:val="single" w:color="auto" w:sz="4" w:space="0"/>
              <w:left w:val="single" w:color="auto" w:sz="4" w:space="0"/>
              <w:bottom w:val="single" w:color="auto" w:sz="4" w:space="0"/>
              <w:right w:val="single" w:color="auto" w:sz="4" w:space="0"/>
            </w:tcBorders>
            <w:vAlign w:val="center"/>
          </w:tcPr>
          <w:p w14:paraId="72B62CCB">
            <w:pPr>
              <w:spacing w:line="620" w:lineRule="exact"/>
              <w:jc w:val="center"/>
              <w:rPr>
                <w:rFonts w:hint="eastAsia" w:ascii="宋体" w:hAnsi="宋体" w:cs="宋体"/>
                <w:color w:val="auto"/>
                <w:szCs w:val="21"/>
                <w:highlight w:val="none"/>
              </w:rPr>
            </w:pPr>
          </w:p>
        </w:tc>
        <w:tc>
          <w:tcPr>
            <w:tcW w:w="895" w:type="dxa"/>
            <w:tcBorders>
              <w:top w:val="single" w:color="auto" w:sz="4" w:space="0"/>
              <w:left w:val="single" w:color="auto" w:sz="4" w:space="0"/>
              <w:bottom w:val="single" w:color="auto" w:sz="4" w:space="0"/>
              <w:right w:val="single" w:color="auto" w:sz="4" w:space="0"/>
            </w:tcBorders>
          </w:tcPr>
          <w:p w14:paraId="723E67C5">
            <w:pPr>
              <w:spacing w:line="620" w:lineRule="exact"/>
              <w:jc w:val="center"/>
              <w:rPr>
                <w:rFonts w:hint="eastAsia" w:ascii="宋体" w:hAnsi="宋体" w:cs="宋体"/>
                <w:color w:val="auto"/>
                <w:szCs w:val="21"/>
                <w:highlight w:val="none"/>
              </w:rPr>
            </w:pPr>
          </w:p>
        </w:tc>
      </w:tr>
      <w:tr w14:paraId="5774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65BDFA3F">
            <w:pPr>
              <w:spacing w:line="620" w:lineRule="exact"/>
              <w:jc w:val="center"/>
              <w:rPr>
                <w:rFonts w:hint="eastAsia" w:ascii="宋体" w:hAnsi="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44363A9F">
            <w:pPr>
              <w:spacing w:line="620" w:lineRule="exact"/>
              <w:jc w:val="center"/>
              <w:rPr>
                <w:rFonts w:hint="eastAsia" w:ascii="宋体" w:hAnsi="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6F73C9A3">
            <w:pPr>
              <w:spacing w:line="620" w:lineRule="exact"/>
              <w:jc w:val="center"/>
              <w:rPr>
                <w:rFonts w:hint="eastAsia" w:ascii="宋体" w:hAnsi="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480B774A">
            <w:pPr>
              <w:spacing w:line="620" w:lineRule="exact"/>
              <w:jc w:val="center"/>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AEC1C22">
            <w:pPr>
              <w:spacing w:line="620" w:lineRule="exact"/>
              <w:jc w:val="center"/>
              <w:rPr>
                <w:rFonts w:hint="eastAsia" w:ascii="宋体" w:hAnsi="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4F0044C7">
            <w:pPr>
              <w:spacing w:line="620" w:lineRule="exact"/>
              <w:jc w:val="center"/>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85B6D05">
            <w:pPr>
              <w:spacing w:line="620" w:lineRule="exact"/>
              <w:jc w:val="center"/>
              <w:rPr>
                <w:rFonts w:hint="eastAsia" w:ascii="宋体" w:hAnsi="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467233C7">
            <w:pPr>
              <w:spacing w:line="620" w:lineRule="exact"/>
              <w:jc w:val="center"/>
              <w:rPr>
                <w:rFonts w:hint="eastAsia" w:ascii="宋体"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263946C4">
            <w:pPr>
              <w:spacing w:line="620" w:lineRule="exact"/>
              <w:jc w:val="center"/>
              <w:rPr>
                <w:rFonts w:hint="eastAsia" w:ascii="宋体" w:hAnsi="宋体" w:cs="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E5C8F23">
            <w:pPr>
              <w:spacing w:line="620" w:lineRule="exact"/>
              <w:jc w:val="center"/>
              <w:rPr>
                <w:rFonts w:hint="eastAsia" w:ascii="宋体"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3FEC2BEC">
            <w:pPr>
              <w:spacing w:line="620" w:lineRule="exact"/>
              <w:jc w:val="center"/>
              <w:rPr>
                <w:rFonts w:hint="eastAsia" w:ascii="宋体" w:hAnsi="宋体" w:cs="宋体"/>
                <w:color w:val="auto"/>
                <w:szCs w:val="21"/>
                <w:highlight w:val="none"/>
              </w:rPr>
            </w:pPr>
          </w:p>
        </w:tc>
        <w:tc>
          <w:tcPr>
            <w:tcW w:w="1166" w:type="dxa"/>
            <w:tcBorders>
              <w:top w:val="single" w:color="auto" w:sz="4" w:space="0"/>
              <w:left w:val="single" w:color="auto" w:sz="4" w:space="0"/>
              <w:bottom w:val="single" w:color="auto" w:sz="4" w:space="0"/>
              <w:right w:val="single" w:color="auto" w:sz="4" w:space="0"/>
            </w:tcBorders>
            <w:vAlign w:val="center"/>
          </w:tcPr>
          <w:p w14:paraId="625DE076">
            <w:pPr>
              <w:spacing w:line="620" w:lineRule="exact"/>
              <w:jc w:val="center"/>
              <w:rPr>
                <w:rFonts w:hint="eastAsia" w:ascii="宋体" w:hAnsi="宋体" w:cs="宋体"/>
                <w:color w:val="auto"/>
                <w:szCs w:val="21"/>
                <w:highlight w:val="none"/>
              </w:rPr>
            </w:pPr>
          </w:p>
        </w:tc>
        <w:tc>
          <w:tcPr>
            <w:tcW w:w="895" w:type="dxa"/>
            <w:tcBorders>
              <w:top w:val="single" w:color="auto" w:sz="4" w:space="0"/>
              <w:left w:val="single" w:color="auto" w:sz="4" w:space="0"/>
              <w:bottom w:val="single" w:color="auto" w:sz="4" w:space="0"/>
              <w:right w:val="single" w:color="auto" w:sz="4" w:space="0"/>
            </w:tcBorders>
          </w:tcPr>
          <w:p w14:paraId="7F14AE6A">
            <w:pPr>
              <w:spacing w:line="620" w:lineRule="exact"/>
              <w:jc w:val="center"/>
              <w:rPr>
                <w:rFonts w:hint="eastAsia" w:ascii="宋体" w:hAnsi="宋体" w:cs="宋体"/>
                <w:color w:val="auto"/>
                <w:szCs w:val="21"/>
                <w:highlight w:val="none"/>
              </w:rPr>
            </w:pPr>
          </w:p>
        </w:tc>
      </w:tr>
      <w:tr w14:paraId="0D03E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1A668124">
            <w:pPr>
              <w:spacing w:line="620" w:lineRule="exact"/>
              <w:jc w:val="center"/>
              <w:rPr>
                <w:rFonts w:hint="eastAsia" w:ascii="宋体" w:hAnsi="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69750E0E">
            <w:pPr>
              <w:spacing w:line="620" w:lineRule="exact"/>
              <w:jc w:val="center"/>
              <w:rPr>
                <w:rFonts w:hint="eastAsia" w:ascii="宋体" w:hAnsi="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4AA90FF8">
            <w:pPr>
              <w:spacing w:line="620" w:lineRule="exact"/>
              <w:jc w:val="center"/>
              <w:rPr>
                <w:rFonts w:hint="eastAsia" w:ascii="宋体" w:hAnsi="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52D6719D">
            <w:pPr>
              <w:spacing w:line="620" w:lineRule="exact"/>
              <w:jc w:val="center"/>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7D169AF">
            <w:pPr>
              <w:spacing w:line="620" w:lineRule="exact"/>
              <w:jc w:val="center"/>
              <w:rPr>
                <w:rFonts w:hint="eastAsia" w:ascii="宋体" w:hAnsi="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07D0034B">
            <w:pPr>
              <w:spacing w:line="620" w:lineRule="exact"/>
              <w:jc w:val="center"/>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21B07DF">
            <w:pPr>
              <w:spacing w:line="620" w:lineRule="exact"/>
              <w:jc w:val="center"/>
              <w:rPr>
                <w:rFonts w:hint="eastAsia" w:ascii="宋体" w:hAnsi="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7209D59E">
            <w:pPr>
              <w:spacing w:line="620" w:lineRule="exact"/>
              <w:jc w:val="center"/>
              <w:rPr>
                <w:rFonts w:hint="eastAsia" w:ascii="宋体"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7E5505E8">
            <w:pPr>
              <w:spacing w:line="620" w:lineRule="exact"/>
              <w:jc w:val="center"/>
              <w:rPr>
                <w:rFonts w:hint="eastAsia" w:ascii="宋体" w:hAnsi="宋体" w:cs="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1ED08AB2">
            <w:pPr>
              <w:spacing w:line="620" w:lineRule="exact"/>
              <w:jc w:val="center"/>
              <w:rPr>
                <w:rFonts w:hint="eastAsia" w:ascii="宋体"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41659A6B">
            <w:pPr>
              <w:spacing w:line="620" w:lineRule="exact"/>
              <w:jc w:val="center"/>
              <w:rPr>
                <w:rFonts w:hint="eastAsia" w:ascii="宋体" w:hAnsi="宋体" w:cs="宋体"/>
                <w:color w:val="auto"/>
                <w:szCs w:val="21"/>
                <w:highlight w:val="none"/>
              </w:rPr>
            </w:pPr>
          </w:p>
        </w:tc>
        <w:tc>
          <w:tcPr>
            <w:tcW w:w="1166" w:type="dxa"/>
            <w:tcBorders>
              <w:top w:val="single" w:color="auto" w:sz="4" w:space="0"/>
              <w:left w:val="single" w:color="auto" w:sz="4" w:space="0"/>
              <w:bottom w:val="single" w:color="auto" w:sz="4" w:space="0"/>
              <w:right w:val="single" w:color="auto" w:sz="4" w:space="0"/>
            </w:tcBorders>
            <w:vAlign w:val="center"/>
          </w:tcPr>
          <w:p w14:paraId="71E1C6D8">
            <w:pPr>
              <w:spacing w:line="620" w:lineRule="exact"/>
              <w:jc w:val="center"/>
              <w:rPr>
                <w:rFonts w:hint="eastAsia" w:ascii="宋体" w:hAnsi="宋体" w:cs="宋体"/>
                <w:color w:val="auto"/>
                <w:szCs w:val="21"/>
                <w:highlight w:val="none"/>
              </w:rPr>
            </w:pPr>
          </w:p>
        </w:tc>
        <w:tc>
          <w:tcPr>
            <w:tcW w:w="895" w:type="dxa"/>
            <w:tcBorders>
              <w:top w:val="single" w:color="auto" w:sz="4" w:space="0"/>
              <w:left w:val="single" w:color="auto" w:sz="4" w:space="0"/>
              <w:bottom w:val="single" w:color="auto" w:sz="4" w:space="0"/>
              <w:right w:val="single" w:color="auto" w:sz="4" w:space="0"/>
            </w:tcBorders>
          </w:tcPr>
          <w:p w14:paraId="1C15D7C9">
            <w:pPr>
              <w:spacing w:line="620" w:lineRule="exact"/>
              <w:jc w:val="center"/>
              <w:rPr>
                <w:rFonts w:hint="eastAsia" w:ascii="宋体" w:hAnsi="宋体" w:cs="宋体"/>
                <w:color w:val="auto"/>
                <w:szCs w:val="21"/>
                <w:highlight w:val="none"/>
              </w:rPr>
            </w:pPr>
          </w:p>
        </w:tc>
      </w:tr>
      <w:tr w14:paraId="5FB99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6A30F904">
            <w:pPr>
              <w:spacing w:line="620" w:lineRule="exact"/>
              <w:jc w:val="center"/>
              <w:rPr>
                <w:rFonts w:hint="eastAsia" w:ascii="宋体" w:hAnsi="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73CDEDD6">
            <w:pPr>
              <w:spacing w:line="620" w:lineRule="exact"/>
              <w:jc w:val="center"/>
              <w:rPr>
                <w:rFonts w:hint="eastAsia" w:ascii="宋体" w:hAnsi="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3E2A0D59">
            <w:pPr>
              <w:spacing w:line="620" w:lineRule="exact"/>
              <w:jc w:val="center"/>
              <w:rPr>
                <w:rFonts w:hint="eastAsia" w:ascii="宋体" w:hAnsi="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6E4EEAAB">
            <w:pPr>
              <w:spacing w:line="620" w:lineRule="exact"/>
              <w:jc w:val="center"/>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48D8C11">
            <w:pPr>
              <w:spacing w:line="620" w:lineRule="exact"/>
              <w:jc w:val="center"/>
              <w:rPr>
                <w:rFonts w:hint="eastAsia" w:ascii="宋体" w:hAnsi="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25436263">
            <w:pPr>
              <w:spacing w:line="620" w:lineRule="exact"/>
              <w:jc w:val="center"/>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5222D42">
            <w:pPr>
              <w:spacing w:line="620" w:lineRule="exact"/>
              <w:jc w:val="center"/>
              <w:rPr>
                <w:rFonts w:hint="eastAsia" w:ascii="宋体" w:hAnsi="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2B2F06C8">
            <w:pPr>
              <w:spacing w:line="620" w:lineRule="exact"/>
              <w:jc w:val="center"/>
              <w:rPr>
                <w:rFonts w:hint="eastAsia" w:ascii="宋体"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4623FD46">
            <w:pPr>
              <w:spacing w:line="620" w:lineRule="exact"/>
              <w:jc w:val="center"/>
              <w:rPr>
                <w:rFonts w:hint="eastAsia" w:ascii="宋体" w:hAnsi="宋体" w:cs="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DB83F5E">
            <w:pPr>
              <w:spacing w:line="620" w:lineRule="exact"/>
              <w:jc w:val="center"/>
              <w:rPr>
                <w:rFonts w:hint="eastAsia" w:ascii="宋体"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5063EA4A">
            <w:pPr>
              <w:spacing w:line="620" w:lineRule="exact"/>
              <w:jc w:val="center"/>
              <w:rPr>
                <w:rFonts w:hint="eastAsia" w:ascii="宋体" w:hAnsi="宋体" w:cs="宋体"/>
                <w:color w:val="auto"/>
                <w:szCs w:val="21"/>
                <w:highlight w:val="none"/>
              </w:rPr>
            </w:pPr>
          </w:p>
        </w:tc>
        <w:tc>
          <w:tcPr>
            <w:tcW w:w="1166" w:type="dxa"/>
            <w:tcBorders>
              <w:top w:val="single" w:color="auto" w:sz="4" w:space="0"/>
              <w:left w:val="single" w:color="auto" w:sz="4" w:space="0"/>
              <w:bottom w:val="single" w:color="auto" w:sz="4" w:space="0"/>
              <w:right w:val="single" w:color="auto" w:sz="4" w:space="0"/>
            </w:tcBorders>
            <w:vAlign w:val="center"/>
          </w:tcPr>
          <w:p w14:paraId="241FFD83">
            <w:pPr>
              <w:spacing w:line="620" w:lineRule="exact"/>
              <w:jc w:val="center"/>
              <w:rPr>
                <w:rFonts w:hint="eastAsia" w:ascii="宋体" w:hAnsi="宋体" w:cs="宋体"/>
                <w:color w:val="auto"/>
                <w:szCs w:val="21"/>
                <w:highlight w:val="none"/>
              </w:rPr>
            </w:pPr>
          </w:p>
        </w:tc>
        <w:tc>
          <w:tcPr>
            <w:tcW w:w="895" w:type="dxa"/>
            <w:tcBorders>
              <w:top w:val="single" w:color="auto" w:sz="4" w:space="0"/>
              <w:left w:val="single" w:color="auto" w:sz="4" w:space="0"/>
              <w:bottom w:val="single" w:color="auto" w:sz="4" w:space="0"/>
              <w:right w:val="single" w:color="auto" w:sz="4" w:space="0"/>
            </w:tcBorders>
          </w:tcPr>
          <w:p w14:paraId="3F2DEBBD">
            <w:pPr>
              <w:spacing w:line="620" w:lineRule="exact"/>
              <w:jc w:val="center"/>
              <w:rPr>
                <w:rFonts w:hint="eastAsia" w:ascii="宋体" w:hAnsi="宋体" w:cs="宋体"/>
                <w:color w:val="auto"/>
                <w:szCs w:val="21"/>
                <w:highlight w:val="none"/>
              </w:rPr>
            </w:pPr>
          </w:p>
        </w:tc>
      </w:tr>
    </w:tbl>
    <w:p w14:paraId="6D3D72C1">
      <w:pPr>
        <w:spacing w:line="400" w:lineRule="exact"/>
        <w:ind w:right="420"/>
        <w:jc w:val="left"/>
        <w:rPr>
          <w:rFonts w:hint="eastAsia" w:ascii="宋体" w:hAnsi="宋体" w:cs="宋体"/>
          <w:color w:val="auto"/>
          <w:szCs w:val="21"/>
          <w:highlight w:val="none"/>
        </w:rPr>
      </w:pPr>
    </w:p>
    <w:p w14:paraId="78F23617">
      <w:pPr>
        <w:spacing w:line="620" w:lineRule="exact"/>
        <w:rPr>
          <w:rFonts w:hint="eastAsia" w:ascii="宋体" w:hAnsi="宋体"/>
          <w:color w:val="auto"/>
          <w:szCs w:val="21"/>
          <w:highlight w:val="none"/>
        </w:rPr>
      </w:pPr>
      <w:r>
        <w:rPr>
          <w:rFonts w:hint="eastAsia" w:ascii="宋体" w:hAnsi="宋体" w:cs="宋体"/>
          <w:color w:val="auto"/>
          <w:szCs w:val="21"/>
          <w:highlight w:val="none"/>
        </w:rPr>
        <w:tab/>
      </w:r>
      <w:r>
        <w:rPr>
          <w:rFonts w:ascii="宋体" w:hAnsi="宋体"/>
          <w:color w:val="auto"/>
          <w:szCs w:val="21"/>
          <w:highlight w:val="none"/>
        </w:rPr>
        <w:t>招标人代表：</w:t>
      </w:r>
      <w:r>
        <w:rPr>
          <w:rFonts w:ascii="宋体" w:hAnsi="宋体"/>
          <w:color w:val="auto"/>
          <w:szCs w:val="21"/>
          <w:highlight w:val="none"/>
          <w:u w:val="single"/>
        </w:rPr>
        <w:t xml:space="preserve">            </w:t>
      </w:r>
      <w:r>
        <w:rPr>
          <w:rFonts w:ascii="宋体" w:hAnsi="宋体"/>
          <w:color w:val="auto"/>
          <w:szCs w:val="21"/>
          <w:highlight w:val="none"/>
        </w:rPr>
        <w:t xml:space="preserve"> 记录人：</w:t>
      </w:r>
      <w:r>
        <w:rPr>
          <w:rFonts w:ascii="宋体" w:hAnsi="宋体"/>
          <w:color w:val="auto"/>
          <w:szCs w:val="21"/>
          <w:highlight w:val="none"/>
          <w:u w:val="single"/>
        </w:rPr>
        <w:t xml:space="preserve">            </w:t>
      </w:r>
      <w:r>
        <w:rPr>
          <w:rFonts w:ascii="宋体" w:hAnsi="宋体"/>
          <w:color w:val="auto"/>
          <w:szCs w:val="21"/>
          <w:highlight w:val="none"/>
        </w:rPr>
        <w:t xml:space="preserve"> 监标人：</w:t>
      </w:r>
      <w:r>
        <w:rPr>
          <w:rFonts w:ascii="宋体" w:hAnsi="宋体"/>
          <w:color w:val="auto"/>
          <w:szCs w:val="21"/>
          <w:highlight w:val="none"/>
          <w:u w:val="single"/>
        </w:rPr>
        <w:t xml:space="preserve">            </w:t>
      </w:r>
      <w:r>
        <w:rPr>
          <w:rFonts w:ascii="宋体" w:hAnsi="宋体"/>
          <w:color w:val="auto"/>
          <w:szCs w:val="21"/>
          <w:highlight w:val="none"/>
        </w:rPr>
        <w:t xml:space="preserve"> </w:t>
      </w:r>
    </w:p>
    <w:p w14:paraId="7F120889">
      <w:pPr>
        <w:spacing w:line="620" w:lineRule="exact"/>
        <w:rPr>
          <w:rFonts w:hint="eastAsia" w:ascii="宋体" w:hAnsi="宋体"/>
          <w:color w:val="auto"/>
          <w:sz w:val="20"/>
          <w:szCs w:val="20"/>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highlight w:val="none"/>
          <w:u w:val="single"/>
        </w:rPr>
        <w:t xml:space="preserve">      </w:t>
      </w:r>
      <w:r>
        <w:rPr>
          <w:rFonts w:ascii="宋体" w:hAnsi="宋体"/>
          <w:color w:val="auto"/>
          <w:szCs w:val="21"/>
          <w:highlight w:val="none"/>
        </w:rPr>
        <w:t>年</w:t>
      </w:r>
      <w:r>
        <w:rPr>
          <w:rFonts w:hint="eastAsia" w:ascii="宋体" w:hAnsi="宋体"/>
          <w:color w:val="auto"/>
          <w:highlight w:val="none"/>
          <w:u w:val="single"/>
        </w:rPr>
        <w:t xml:space="preserve">      </w:t>
      </w:r>
      <w:r>
        <w:rPr>
          <w:rFonts w:ascii="宋体" w:hAnsi="宋体"/>
          <w:color w:val="auto"/>
          <w:szCs w:val="21"/>
          <w:highlight w:val="none"/>
        </w:rPr>
        <w:t>月</w:t>
      </w:r>
      <w:r>
        <w:rPr>
          <w:rFonts w:hint="eastAsia" w:ascii="宋体" w:hAnsi="宋体"/>
          <w:color w:val="auto"/>
          <w:highlight w:val="none"/>
          <w:u w:val="single"/>
        </w:rPr>
        <w:t xml:space="preserve">      </w:t>
      </w:r>
      <w:r>
        <w:rPr>
          <w:rFonts w:ascii="宋体" w:hAnsi="宋体"/>
          <w:color w:val="auto"/>
          <w:szCs w:val="21"/>
          <w:highlight w:val="none"/>
        </w:rPr>
        <w:t>日</w:t>
      </w:r>
    </w:p>
    <w:p w14:paraId="704A2904">
      <w:pPr>
        <w:spacing w:line="400" w:lineRule="exact"/>
        <w:ind w:right="420"/>
        <w:jc w:val="left"/>
        <w:rPr>
          <w:rFonts w:hint="eastAsia" w:ascii="宋体" w:hAnsi="宋体" w:cs="宋体"/>
          <w:color w:val="auto"/>
          <w:highlight w:val="none"/>
        </w:rPr>
        <w:sectPr>
          <w:pgSz w:w="16838" w:h="11906" w:orient="landscape"/>
          <w:pgMar w:top="1134" w:right="1418" w:bottom="1134" w:left="1418" w:header="851" w:footer="992" w:gutter="0"/>
          <w:cols w:space="720" w:num="1"/>
          <w:docGrid w:type="lines" w:linePitch="312" w:charSpace="0"/>
        </w:sectPr>
      </w:pPr>
    </w:p>
    <w:p w14:paraId="1A43557F">
      <w:pPr>
        <w:pStyle w:val="4"/>
        <w:spacing w:before="0"/>
        <w:ind w:firstLine="0" w:firstLineChars="0"/>
        <w:rPr>
          <w:rFonts w:hint="eastAsia" w:ascii="宋体" w:eastAsia="宋体" w:cs="宋体"/>
          <w:color w:val="auto"/>
          <w:highlight w:val="none"/>
        </w:rPr>
      </w:pPr>
      <w:bookmarkStart w:id="376" w:name="_Toc247514006"/>
      <w:bookmarkStart w:id="377" w:name="_Toc247527607"/>
      <w:bookmarkStart w:id="378" w:name="_Toc144974549"/>
      <w:bookmarkStart w:id="379" w:name="_Toc152042359"/>
      <w:bookmarkStart w:id="380" w:name="_Toc152045582"/>
      <w:r>
        <w:rPr>
          <w:rFonts w:hint="eastAsia" w:ascii="宋体" w:eastAsia="宋体" w:cs="宋体"/>
          <w:color w:val="auto"/>
          <w:highlight w:val="none"/>
        </w:rPr>
        <w:t>附件二：问题澄清通知</w:t>
      </w:r>
      <w:bookmarkEnd w:id="376"/>
      <w:bookmarkEnd w:id="377"/>
      <w:bookmarkEnd w:id="378"/>
      <w:bookmarkEnd w:id="379"/>
      <w:bookmarkEnd w:id="380"/>
    </w:p>
    <w:p w14:paraId="24339B6A">
      <w:pPr>
        <w:spacing w:line="440" w:lineRule="exact"/>
        <w:jc w:val="center"/>
        <w:rPr>
          <w:rFonts w:hint="eastAsia" w:ascii="宋体" w:hAnsi="宋体" w:cs="宋体"/>
          <w:color w:val="auto"/>
          <w:szCs w:val="21"/>
          <w:highlight w:val="none"/>
        </w:rPr>
      </w:pPr>
    </w:p>
    <w:p w14:paraId="6ADE06C6">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问题澄清通知</w:t>
      </w:r>
    </w:p>
    <w:p w14:paraId="62B6CEE4">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编号：</w:t>
      </w:r>
    </w:p>
    <w:p w14:paraId="1A2BEF80">
      <w:pPr>
        <w:spacing w:line="440" w:lineRule="exact"/>
        <w:rPr>
          <w:rFonts w:hint="eastAsia" w:ascii="宋体" w:hAnsi="宋体" w:cs="宋体"/>
          <w:color w:val="auto"/>
          <w:szCs w:val="21"/>
          <w:highlight w:val="none"/>
        </w:rPr>
      </w:pPr>
    </w:p>
    <w:p w14:paraId="228FBFD8">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（投标人名称）：</w:t>
      </w:r>
    </w:p>
    <w:p w14:paraId="7FBF79BD">
      <w:pPr>
        <w:spacing w:line="440" w:lineRule="exact"/>
        <w:rPr>
          <w:rFonts w:hint="eastAsia" w:ascii="宋体" w:hAnsi="宋体" w:cs="宋体"/>
          <w:color w:val="auto"/>
          <w:szCs w:val="21"/>
          <w:highlight w:val="none"/>
        </w:rPr>
      </w:pPr>
    </w:p>
    <w:p w14:paraId="6FAE314E">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（工程名称）设计施工总承包招标的评标委员会，对你方的投标文件进行了仔细的审查，现需你方对下列问题以书面形式予以澄清：</w:t>
      </w:r>
    </w:p>
    <w:p w14:paraId="08A6820A">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w:t>
      </w:r>
    </w:p>
    <w:p w14:paraId="76D7611E">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1.</w:t>
      </w:r>
    </w:p>
    <w:p w14:paraId="3FB5B189">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2.</w:t>
      </w:r>
    </w:p>
    <w:p w14:paraId="3868B581">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   </w:t>
      </w:r>
    </w:p>
    <w:p w14:paraId="2407DC73">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w:t>
      </w:r>
    </w:p>
    <w:p w14:paraId="5CA0DF4C">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请将上述问题的澄清于年月日时前递交至（详细地址）或传真至（传真号码）。采用传真方式的，应在年月日时前将原件递交至（详细地址）。</w:t>
      </w:r>
    </w:p>
    <w:p w14:paraId="22A3574E">
      <w:pPr>
        <w:spacing w:line="440" w:lineRule="exact"/>
        <w:rPr>
          <w:rFonts w:hint="eastAsia" w:ascii="宋体" w:hAnsi="宋体" w:cs="宋体"/>
          <w:color w:val="auto"/>
          <w:szCs w:val="21"/>
          <w:highlight w:val="none"/>
        </w:rPr>
      </w:pPr>
    </w:p>
    <w:p w14:paraId="6F590601">
      <w:pPr>
        <w:spacing w:line="440" w:lineRule="exact"/>
        <w:rPr>
          <w:rFonts w:hint="eastAsia" w:ascii="宋体" w:hAnsi="宋体" w:cs="宋体"/>
          <w:color w:val="auto"/>
          <w:szCs w:val="21"/>
          <w:highlight w:val="none"/>
        </w:rPr>
      </w:pPr>
    </w:p>
    <w:p w14:paraId="454836D2">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评标委员会授权的招标人或招标代理机构：（签字或盖章）</w:t>
      </w:r>
    </w:p>
    <w:p w14:paraId="7E6BE3D6">
      <w:pPr>
        <w:spacing w:line="440" w:lineRule="exact"/>
        <w:rPr>
          <w:rFonts w:hint="eastAsia" w:ascii="宋体" w:hAnsi="宋体" w:cs="宋体"/>
          <w:color w:val="auto"/>
          <w:szCs w:val="21"/>
          <w:highlight w:val="none"/>
        </w:rPr>
      </w:pPr>
    </w:p>
    <w:p w14:paraId="0C1088E0">
      <w:pPr>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rPr>
        <w:t>年月日</w:t>
      </w:r>
    </w:p>
    <w:p w14:paraId="715F9DDD">
      <w:pPr>
        <w:spacing w:line="400" w:lineRule="exact"/>
        <w:rPr>
          <w:rFonts w:hint="eastAsia" w:ascii="宋体" w:hAnsi="宋体" w:cs="宋体"/>
          <w:color w:val="auto"/>
          <w:szCs w:val="21"/>
          <w:highlight w:val="none"/>
        </w:rPr>
      </w:pPr>
    </w:p>
    <w:p w14:paraId="7C3812BB">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br w:type="page"/>
      </w:r>
    </w:p>
    <w:p w14:paraId="0E337C0F">
      <w:pPr>
        <w:pStyle w:val="4"/>
        <w:ind w:firstLine="0" w:firstLineChars="0"/>
        <w:rPr>
          <w:rFonts w:hint="eastAsia" w:ascii="宋体" w:eastAsia="宋体" w:cs="宋体"/>
          <w:color w:val="auto"/>
          <w:highlight w:val="none"/>
        </w:rPr>
      </w:pPr>
      <w:bookmarkStart w:id="381" w:name="_Toc152042360"/>
      <w:bookmarkStart w:id="382" w:name="_Toc247527608"/>
      <w:bookmarkStart w:id="383" w:name="_Toc144974550"/>
      <w:bookmarkStart w:id="384" w:name="_Toc152045583"/>
      <w:bookmarkStart w:id="385" w:name="_Toc14870"/>
      <w:bookmarkStart w:id="386" w:name="_Toc11670"/>
      <w:bookmarkStart w:id="387" w:name="_Toc247514007"/>
      <w:r>
        <w:rPr>
          <w:rFonts w:hint="eastAsia" w:ascii="宋体" w:eastAsia="宋体" w:cs="宋体"/>
          <w:color w:val="auto"/>
          <w:highlight w:val="none"/>
        </w:rPr>
        <w:t>附件三：问题的澄清</w:t>
      </w:r>
      <w:bookmarkEnd w:id="381"/>
      <w:bookmarkEnd w:id="382"/>
      <w:bookmarkEnd w:id="383"/>
      <w:bookmarkEnd w:id="384"/>
      <w:bookmarkEnd w:id="385"/>
      <w:bookmarkEnd w:id="386"/>
      <w:bookmarkEnd w:id="387"/>
    </w:p>
    <w:p w14:paraId="682B031E">
      <w:pPr>
        <w:spacing w:line="400" w:lineRule="exact"/>
        <w:jc w:val="center"/>
        <w:rPr>
          <w:rFonts w:hint="eastAsia" w:ascii="宋体" w:hAnsi="宋体" w:cs="宋体"/>
          <w:color w:val="auto"/>
          <w:szCs w:val="21"/>
          <w:highlight w:val="none"/>
        </w:rPr>
      </w:pPr>
    </w:p>
    <w:p w14:paraId="55239487">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问题的澄清</w:t>
      </w:r>
    </w:p>
    <w:p w14:paraId="5105D7D5">
      <w:pPr>
        <w:spacing w:line="400" w:lineRule="exact"/>
        <w:ind w:firstLine="3465" w:firstLineChars="1650"/>
        <w:rPr>
          <w:rFonts w:hint="eastAsia" w:ascii="宋体" w:hAnsi="宋体" w:cs="宋体"/>
          <w:color w:val="auto"/>
          <w:szCs w:val="21"/>
          <w:highlight w:val="none"/>
        </w:rPr>
      </w:pPr>
      <w:r>
        <w:rPr>
          <w:rFonts w:hint="eastAsia" w:ascii="宋体" w:hAnsi="宋体" w:cs="宋体"/>
          <w:color w:val="auto"/>
          <w:szCs w:val="21"/>
          <w:highlight w:val="none"/>
        </w:rPr>
        <w:t xml:space="preserve">编号： </w:t>
      </w:r>
    </w:p>
    <w:p w14:paraId="6835E995">
      <w:pPr>
        <w:spacing w:line="400" w:lineRule="exact"/>
        <w:rPr>
          <w:rFonts w:hint="eastAsia" w:ascii="宋体" w:hAnsi="宋体" w:cs="宋体"/>
          <w:color w:val="auto"/>
          <w:szCs w:val="21"/>
          <w:highlight w:val="none"/>
        </w:rPr>
      </w:pPr>
    </w:p>
    <w:p w14:paraId="774EE5D9">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（工程名称）设计施工总承包招标评标委员会：</w:t>
      </w:r>
    </w:p>
    <w:p w14:paraId="28D4A52D">
      <w:pPr>
        <w:spacing w:line="440" w:lineRule="exact"/>
        <w:rPr>
          <w:rFonts w:hint="eastAsia" w:ascii="宋体" w:hAnsi="宋体" w:cs="宋体"/>
          <w:color w:val="auto"/>
          <w:szCs w:val="21"/>
          <w:highlight w:val="none"/>
        </w:rPr>
      </w:pPr>
    </w:p>
    <w:p w14:paraId="00D18632">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问题澄清通知（编号：）已收悉，现澄清如下：</w:t>
      </w:r>
    </w:p>
    <w:p w14:paraId="0115CD49">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1.</w:t>
      </w:r>
    </w:p>
    <w:p w14:paraId="3C7127F0">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2.</w:t>
      </w:r>
    </w:p>
    <w:p w14:paraId="5C15ECED">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w:t>
      </w:r>
    </w:p>
    <w:p w14:paraId="502F1D4F">
      <w:pPr>
        <w:spacing w:line="440" w:lineRule="exact"/>
        <w:rPr>
          <w:rFonts w:hint="eastAsia" w:ascii="宋体" w:hAnsi="宋体" w:cs="宋体"/>
          <w:color w:val="auto"/>
          <w:szCs w:val="21"/>
          <w:highlight w:val="none"/>
        </w:rPr>
      </w:pPr>
    </w:p>
    <w:p w14:paraId="3A84380A">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7D66B763">
      <w:pPr>
        <w:spacing w:line="440" w:lineRule="exact"/>
        <w:rPr>
          <w:rFonts w:hint="eastAsia" w:ascii="宋体" w:hAnsi="宋体" w:cs="宋体"/>
          <w:color w:val="auto"/>
          <w:szCs w:val="21"/>
          <w:highlight w:val="none"/>
        </w:rPr>
      </w:pPr>
    </w:p>
    <w:p w14:paraId="68965669">
      <w:pPr>
        <w:spacing w:line="440" w:lineRule="exact"/>
        <w:rPr>
          <w:rFonts w:hint="eastAsia" w:ascii="宋体" w:hAnsi="宋体" w:cs="宋体"/>
          <w:color w:val="auto"/>
          <w:szCs w:val="21"/>
          <w:highlight w:val="none"/>
        </w:rPr>
      </w:pPr>
    </w:p>
    <w:p w14:paraId="6A7DE750">
      <w:pPr>
        <w:spacing w:line="440" w:lineRule="exact"/>
        <w:rPr>
          <w:rFonts w:hint="eastAsia" w:ascii="宋体" w:hAnsi="宋体" w:cs="宋体"/>
          <w:color w:val="auto"/>
          <w:szCs w:val="21"/>
          <w:highlight w:val="none"/>
        </w:rPr>
      </w:pPr>
    </w:p>
    <w:p w14:paraId="7B1FDAD9">
      <w:pPr>
        <w:spacing w:line="440" w:lineRule="exact"/>
        <w:rPr>
          <w:rFonts w:hint="eastAsia" w:ascii="宋体" w:hAnsi="宋体" w:cs="宋体"/>
          <w:color w:val="auto"/>
          <w:szCs w:val="21"/>
          <w:highlight w:val="none"/>
        </w:rPr>
      </w:pPr>
    </w:p>
    <w:p w14:paraId="101BC187">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投标人：（盖单位章）</w:t>
      </w:r>
    </w:p>
    <w:p w14:paraId="13DC13EA">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w:t>
      </w:r>
    </w:p>
    <w:p w14:paraId="7CF4B080">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法定代表人或其委托代理人：（签字）</w:t>
      </w:r>
    </w:p>
    <w:p w14:paraId="52241D0E">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w:t>
      </w:r>
    </w:p>
    <w:p w14:paraId="4E7B73FB">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年月日</w:t>
      </w:r>
    </w:p>
    <w:p w14:paraId="711D527A">
      <w:pPr>
        <w:spacing w:line="400" w:lineRule="exact"/>
        <w:rPr>
          <w:rFonts w:hint="eastAsia" w:ascii="宋体" w:hAnsi="宋体" w:cs="宋体"/>
          <w:color w:val="auto"/>
          <w:highlight w:val="none"/>
        </w:rPr>
      </w:pPr>
    </w:p>
    <w:p w14:paraId="0CF1FA8D">
      <w:pPr>
        <w:spacing w:line="400" w:lineRule="exact"/>
        <w:rPr>
          <w:rFonts w:hint="eastAsia" w:ascii="宋体" w:hAnsi="宋体" w:cs="宋体"/>
          <w:color w:val="auto"/>
          <w:highlight w:val="none"/>
        </w:rPr>
      </w:pPr>
      <w:r>
        <w:rPr>
          <w:rFonts w:hint="eastAsia" w:ascii="宋体" w:hAnsi="宋体" w:cs="宋体"/>
          <w:color w:val="auto"/>
          <w:highlight w:val="none"/>
        </w:rPr>
        <w:br w:type="page"/>
      </w:r>
    </w:p>
    <w:p w14:paraId="3A2599D0">
      <w:pPr>
        <w:pStyle w:val="4"/>
        <w:ind w:firstLine="0" w:firstLineChars="0"/>
        <w:rPr>
          <w:rFonts w:hint="eastAsia" w:ascii="宋体" w:eastAsia="宋体" w:cs="宋体"/>
          <w:color w:val="auto"/>
          <w:highlight w:val="none"/>
        </w:rPr>
      </w:pPr>
      <w:bookmarkStart w:id="388" w:name="_Toc247527609"/>
      <w:bookmarkStart w:id="389" w:name="_Toc152045584"/>
      <w:bookmarkStart w:id="390" w:name="_Toc247514008"/>
      <w:bookmarkStart w:id="391" w:name="_Toc32746"/>
      <w:bookmarkStart w:id="392" w:name="_Toc30680"/>
      <w:bookmarkStart w:id="393" w:name="_Toc144974551"/>
      <w:bookmarkStart w:id="394" w:name="_Toc152042361"/>
      <w:r>
        <w:rPr>
          <w:rFonts w:hint="eastAsia" w:ascii="宋体" w:eastAsia="宋体" w:cs="宋体"/>
          <w:color w:val="auto"/>
          <w:highlight w:val="none"/>
        </w:rPr>
        <w:t>附件四：中标通知书</w:t>
      </w:r>
      <w:bookmarkEnd w:id="388"/>
      <w:bookmarkEnd w:id="389"/>
      <w:bookmarkEnd w:id="390"/>
      <w:bookmarkEnd w:id="391"/>
      <w:bookmarkEnd w:id="392"/>
      <w:bookmarkEnd w:id="393"/>
      <w:bookmarkEnd w:id="394"/>
    </w:p>
    <w:p w14:paraId="42F2B85E">
      <w:pPr>
        <w:spacing w:line="400" w:lineRule="exact"/>
        <w:jc w:val="center"/>
        <w:rPr>
          <w:rFonts w:hint="eastAsia" w:ascii="宋体" w:hAnsi="宋体" w:cs="宋体"/>
          <w:color w:val="auto"/>
          <w:sz w:val="28"/>
          <w:szCs w:val="28"/>
          <w:highlight w:val="none"/>
          <w:u w:val="single"/>
        </w:rPr>
      </w:pPr>
      <w:r>
        <w:rPr>
          <w:rFonts w:hint="eastAsia" w:ascii="宋体" w:hAnsi="宋体" w:cs="宋体"/>
          <w:color w:val="auto"/>
          <w:sz w:val="28"/>
          <w:szCs w:val="28"/>
          <w:highlight w:val="none"/>
          <w:u w:val="single"/>
        </w:rPr>
        <w:t>中标通知书（以交易中心出具为准）</w:t>
      </w:r>
    </w:p>
    <w:p w14:paraId="41B6525B">
      <w:pPr>
        <w:pStyle w:val="2"/>
        <w:jc w:val="center"/>
        <w:rPr>
          <w:rFonts w:hint="eastAsia" w:ascii="宋体" w:hAnsi="宋体" w:cs="宋体"/>
          <w:color w:val="auto"/>
          <w:highlight w:val="none"/>
        </w:rPr>
      </w:pPr>
      <w:bookmarkStart w:id="395" w:name="_Toc247527623"/>
      <w:bookmarkStart w:id="396" w:name="_Toc152042375"/>
      <w:bookmarkStart w:id="397" w:name="_Toc152045598"/>
      <w:bookmarkStart w:id="398" w:name="_Toc247514022"/>
      <w:bookmarkStart w:id="399" w:name="_Toc144974565"/>
      <w:r>
        <w:rPr>
          <w:rFonts w:hint="eastAsia" w:ascii="宋体" w:hAnsi="宋体" w:cs="宋体"/>
          <w:color w:val="auto"/>
          <w:highlight w:val="none"/>
        </w:rPr>
        <w:br w:type="page"/>
      </w:r>
      <w:bookmarkStart w:id="400" w:name="_Toc28885"/>
      <w:bookmarkStart w:id="401" w:name="_Toc12849"/>
      <w:r>
        <w:rPr>
          <w:rFonts w:hint="eastAsia" w:ascii="宋体" w:hAnsi="宋体" w:cs="宋体"/>
          <w:color w:val="auto"/>
          <w:highlight w:val="none"/>
        </w:rPr>
        <w:t>第三章  评标办法（综合评估法）</w:t>
      </w:r>
      <w:bookmarkEnd w:id="395"/>
      <w:bookmarkEnd w:id="396"/>
      <w:bookmarkEnd w:id="397"/>
      <w:bookmarkEnd w:id="398"/>
      <w:bookmarkEnd w:id="399"/>
      <w:bookmarkEnd w:id="400"/>
      <w:bookmarkEnd w:id="401"/>
    </w:p>
    <w:p w14:paraId="0A824DCB">
      <w:pPr>
        <w:pStyle w:val="3"/>
        <w:jc w:val="center"/>
        <w:rPr>
          <w:rFonts w:hint="eastAsia" w:ascii="宋体" w:hAnsi="宋体" w:eastAsia="宋体" w:cs="宋体"/>
          <w:color w:val="auto"/>
          <w:highlight w:val="none"/>
        </w:rPr>
      </w:pPr>
      <w:bookmarkStart w:id="402" w:name="_Toc144974566"/>
      <w:bookmarkStart w:id="403" w:name="_Toc247527624"/>
      <w:bookmarkStart w:id="404" w:name="_Toc152045599"/>
      <w:bookmarkStart w:id="405" w:name="_Toc12277"/>
      <w:bookmarkStart w:id="406" w:name="_Toc152042376"/>
      <w:bookmarkStart w:id="407" w:name="_Toc247514023"/>
      <w:bookmarkStart w:id="408" w:name="_Toc4306"/>
      <w:r>
        <w:rPr>
          <w:rFonts w:hint="eastAsia" w:ascii="宋体" w:hAnsi="宋体" w:eastAsia="宋体" w:cs="宋体"/>
          <w:color w:val="auto"/>
          <w:highlight w:val="none"/>
        </w:rPr>
        <w:t>评标办法前附表</w:t>
      </w:r>
      <w:bookmarkEnd w:id="402"/>
      <w:bookmarkEnd w:id="403"/>
      <w:bookmarkEnd w:id="404"/>
      <w:bookmarkEnd w:id="405"/>
      <w:bookmarkEnd w:id="406"/>
      <w:bookmarkEnd w:id="407"/>
      <w:bookmarkEnd w:id="408"/>
    </w:p>
    <w:tbl>
      <w:tblPr>
        <w:tblStyle w:val="40"/>
        <w:tblW w:w="995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9"/>
        <w:gridCol w:w="171"/>
        <w:gridCol w:w="670"/>
        <w:gridCol w:w="891"/>
        <w:gridCol w:w="1499"/>
        <w:gridCol w:w="6052"/>
      </w:tblGrid>
      <w:tr w14:paraId="5F1C8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401" w:type="dxa"/>
            <w:gridSpan w:val="4"/>
            <w:tcBorders>
              <w:top w:val="single" w:color="auto" w:sz="4" w:space="0"/>
              <w:bottom w:val="single" w:color="auto" w:sz="4" w:space="0"/>
              <w:right w:val="single" w:color="auto" w:sz="4" w:space="0"/>
            </w:tcBorders>
            <w:vAlign w:val="center"/>
          </w:tcPr>
          <w:p w14:paraId="495E1367">
            <w:pPr>
              <w:spacing w:line="27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1499" w:type="dxa"/>
            <w:tcBorders>
              <w:top w:val="single" w:color="auto" w:sz="4" w:space="0"/>
              <w:left w:val="single" w:color="auto" w:sz="4" w:space="0"/>
              <w:bottom w:val="single" w:color="auto" w:sz="4" w:space="0"/>
              <w:right w:val="single" w:color="auto" w:sz="4" w:space="0"/>
            </w:tcBorders>
            <w:vAlign w:val="center"/>
          </w:tcPr>
          <w:p w14:paraId="391B20BF">
            <w:pPr>
              <w:spacing w:line="27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评审因素</w:t>
            </w:r>
          </w:p>
        </w:tc>
        <w:tc>
          <w:tcPr>
            <w:tcW w:w="6052" w:type="dxa"/>
            <w:tcBorders>
              <w:top w:val="single" w:color="auto" w:sz="4" w:space="0"/>
              <w:left w:val="single" w:color="auto" w:sz="4" w:space="0"/>
              <w:bottom w:val="single" w:color="auto" w:sz="4" w:space="0"/>
              <w:right w:val="single" w:color="auto" w:sz="4" w:space="0"/>
            </w:tcBorders>
            <w:vAlign w:val="center"/>
          </w:tcPr>
          <w:p w14:paraId="60C4206B">
            <w:pPr>
              <w:spacing w:line="27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评审标准</w:t>
            </w:r>
          </w:p>
        </w:tc>
      </w:tr>
      <w:tr w14:paraId="6E62AD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9" w:type="dxa"/>
            <w:vMerge w:val="restart"/>
            <w:tcBorders>
              <w:top w:val="single" w:color="auto" w:sz="4" w:space="0"/>
              <w:bottom w:val="single" w:color="auto" w:sz="4" w:space="0"/>
              <w:right w:val="single" w:color="auto" w:sz="4" w:space="0"/>
            </w:tcBorders>
            <w:vAlign w:val="center"/>
          </w:tcPr>
          <w:p w14:paraId="6519E2EA">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2.1.1</w:t>
            </w:r>
          </w:p>
        </w:tc>
        <w:tc>
          <w:tcPr>
            <w:tcW w:w="1732" w:type="dxa"/>
            <w:gridSpan w:val="3"/>
            <w:vMerge w:val="restart"/>
            <w:tcBorders>
              <w:top w:val="single" w:color="auto" w:sz="4" w:space="0"/>
              <w:bottom w:val="single" w:color="auto" w:sz="4" w:space="0"/>
              <w:right w:val="single" w:color="auto" w:sz="4" w:space="0"/>
            </w:tcBorders>
            <w:vAlign w:val="center"/>
          </w:tcPr>
          <w:p w14:paraId="2D231D33">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形式评审标准</w:t>
            </w:r>
          </w:p>
        </w:tc>
        <w:tc>
          <w:tcPr>
            <w:tcW w:w="1499" w:type="dxa"/>
            <w:tcBorders>
              <w:top w:val="single" w:color="auto" w:sz="4" w:space="0"/>
              <w:left w:val="single" w:color="auto" w:sz="4" w:space="0"/>
              <w:bottom w:val="single" w:color="auto" w:sz="4" w:space="0"/>
              <w:right w:val="single" w:color="auto" w:sz="4" w:space="0"/>
            </w:tcBorders>
            <w:vAlign w:val="center"/>
          </w:tcPr>
          <w:p w14:paraId="37240079">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投标人名称</w:t>
            </w:r>
          </w:p>
        </w:tc>
        <w:tc>
          <w:tcPr>
            <w:tcW w:w="6052" w:type="dxa"/>
            <w:tcBorders>
              <w:top w:val="single" w:color="auto" w:sz="4" w:space="0"/>
              <w:left w:val="single" w:color="auto" w:sz="4" w:space="0"/>
              <w:bottom w:val="single" w:color="auto" w:sz="4" w:space="0"/>
              <w:right w:val="single" w:color="auto" w:sz="4" w:space="0"/>
            </w:tcBorders>
            <w:vAlign w:val="center"/>
          </w:tcPr>
          <w:p w14:paraId="7B32FEB7">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与营业执照</w:t>
            </w:r>
            <w:r>
              <w:rPr>
                <w:rFonts w:hint="eastAsia" w:ascii="宋体" w:hAnsi="宋体" w:cs="宋体"/>
                <w:color w:val="auto"/>
                <w:szCs w:val="21"/>
                <w:highlight w:val="none"/>
                <w:u w:val="single"/>
              </w:rPr>
              <w:t>或法人证书</w:t>
            </w:r>
            <w:r>
              <w:rPr>
                <w:rFonts w:hint="eastAsia" w:ascii="宋体" w:hAnsi="宋体" w:cs="宋体"/>
                <w:color w:val="auto"/>
                <w:szCs w:val="21"/>
                <w:highlight w:val="none"/>
              </w:rPr>
              <w:t>、资质证书一致</w:t>
            </w:r>
          </w:p>
        </w:tc>
      </w:tr>
      <w:tr w14:paraId="4B75CC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9" w:type="dxa"/>
            <w:vMerge w:val="continue"/>
            <w:tcBorders>
              <w:right w:val="single" w:color="auto" w:sz="4" w:space="0"/>
            </w:tcBorders>
            <w:vAlign w:val="center"/>
          </w:tcPr>
          <w:p w14:paraId="5AAFFDDB">
            <w:pPr>
              <w:spacing w:line="276" w:lineRule="auto"/>
              <w:jc w:val="center"/>
              <w:rPr>
                <w:rFonts w:hint="eastAsia" w:ascii="宋体" w:hAnsi="宋体" w:cs="宋体"/>
                <w:color w:val="auto"/>
                <w:szCs w:val="21"/>
                <w:highlight w:val="none"/>
              </w:rPr>
            </w:pPr>
          </w:p>
        </w:tc>
        <w:tc>
          <w:tcPr>
            <w:tcW w:w="1732" w:type="dxa"/>
            <w:gridSpan w:val="3"/>
            <w:vMerge w:val="continue"/>
            <w:tcBorders>
              <w:right w:val="single" w:color="auto" w:sz="4" w:space="0"/>
            </w:tcBorders>
            <w:vAlign w:val="center"/>
          </w:tcPr>
          <w:p w14:paraId="2CAA9E71">
            <w:pPr>
              <w:spacing w:line="276" w:lineRule="auto"/>
              <w:jc w:val="center"/>
              <w:rPr>
                <w:rFonts w:hint="eastAsia" w:ascii="宋体" w:hAnsi="宋体" w:cs="宋体"/>
                <w:color w:val="auto"/>
                <w:szCs w:val="21"/>
                <w:highlight w:val="none"/>
              </w:rPr>
            </w:pPr>
          </w:p>
        </w:tc>
        <w:tc>
          <w:tcPr>
            <w:tcW w:w="1499" w:type="dxa"/>
            <w:tcBorders>
              <w:top w:val="single" w:color="auto" w:sz="4" w:space="0"/>
              <w:left w:val="single" w:color="auto" w:sz="4" w:space="0"/>
              <w:bottom w:val="single" w:color="auto" w:sz="4" w:space="0"/>
              <w:right w:val="single" w:color="auto" w:sz="4" w:space="0"/>
            </w:tcBorders>
            <w:vAlign w:val="center"/>
          </w:tcPr>
          <w:p w14:paraId="288D0D66">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法定代表人证明及授权</w:t>
            </w:r>
          </w:p>
        </w:tc>
        <w:tc>
          <w:tcPr>
            <w:tcW w:w="6052" w:type="dxa"/>
            <w:tcBorders>
              <w:top w:val="single" w:color="auto" w:sz="4" w:space="0"/>
              <w:left w:val="single" w:color="auto" w:sz="4" w:space="0"/>
              <w:bottom w:val="single" w:color="auto" w:sz="4" w:space="0"/>
              <w:right w:val="single" w:color="auto" w:sz="4" w:space="0"/>
            </w:tcBorders>
            <w:vAlign w:val="center"/>
          </w:tcPr>
          <w:p w14:paraId="4647CC4F">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投标文件中有有效的法定代表人证明书，或由委托代理人签字或盖章的投标文件中有法定代表人证明书和授权委托证明书</w:t>
            </w:r>
          </w:p>
        </w:tc>
      </w:tr>
      <w:tr w14:paraId="2657A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9" w:type="dxa"/>
            <w:vMerge w:val="continue"/>
            <w:tcBorders>
              <w:top w:val="nil"/>
              <w:bottom w:val="single" w:color="auto" w:sz="4" w:space="0"/>
              <w:right w:val="single" w:color="auto" w:sz="4" w:space="0"/>
            </w:tcBorders>
            <w:vAlign w:val="center"/>
          </w:tcPr>
          <w:p w14:paraId="013D3B6C">
            <w:pPr>
              <w:spacing w:line="276" w:lineRule="auto"/>
              <w:jc w:val="center"/>
              <w:rPr>
                <w:rFonts w:hint="eastAsia" w:ascii="宋体" w:hAnsi="宋体" w:cs="宋体"/>
                <w:color w:val="auto"/>
                <w:szCs w:val="21"/>
                <w:highlight w:val="none"/>
              </w:rPr>
            </w:pPr>
          </w:p>
        </w:tc>
        <w:tc>
          <w:tcPr>
            <w:tcW w:w="1732" w:type="dxa"/>
            <w:gridSpan w:val="3"/>
            <w:vMerge w:val="continue"/>
            <w:tcBorders>
              <w:top w:val="nil"/>
              <w:bottom w:val="single" w:color="auto" w:sz="4" w:space="0"/>
              <w:right w:val="single" w:color="auto" w:sz="4" w:space="0"/>
            </w:tcBorders>
            <w:vAlign w:val="center"/>
          </w:tcPr>
          <w:p w14:paraId="251D44E6">
            <w:pPr>
              <w:spacing w:line="276" w:lineRule="auto"/>
              <w:jc w:val="center"/>
              <w:rPr>
                <w:rFonts w:hint="eastAsia" w:ascii="宋体" w:hAnsi="宋体" w:cs="宋体"/>
                <w:color w:val="auto"/>
                <w:szCs w:val="21"/>
                <w:highlight w:val="none"/>
              </w:rPr>
            </w:pPr>
          </w:p>
        </w:tc>
        <w:tc>
          <w:tcPr>
            <w:tcW w:w="1499" w:type="dxa"/>
            <w:tcBorders>
              <w:top w:val="single" w:color="auto" w:sz="4" w:space="0"/>
              <w:left w:val="single" w:color="auto" w:sz="4" w:space="0"/>
              <w:bottom w:val="single" w:color="auto" w:sz="4" w:space="0"/>
              <w:right w:val="single" w:color="auto" w:sz="4" w:space="0"/>
            </w:tcBorders>
            <w:vAlign w:val="center"/>
          </w:tcPr>
          <w:p w14:paraId="6EE8FAE7">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投标承诺函</w:t>
            </w:r>
          </w:p>
        </w:tc>
        <w:tc>
          <w:tcPr>
            <w:tcW w:w="6052" w:type="dxa"/>
            <w:tcBorders>
              <w:top w:val="single" w:color="auto" w:sz="4" w:space="0"/>
              <w:left w:val="single" w:color="auto" w:sz="4" w:space="0"/>
              <w:bottom w:val="single" w:color="auto" w:sz="4" w:space="0"/>
              <w:right w:val="single" w:color="auto" w:sz="4" w:space="0"/>
            </w:tcBorders>
            <w:vAlign w:val="center"/>
          </w:tcPr>
          <w:p w14:paraId="7AEE62F8">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投标承诺函内容与招标文件规定一致，且按规定加盖投标人电子印章</w:t>
            </w:r>
          </w:p>
        </w:tc>
      </w:tr>
      <w:tr w14:paraId="266A6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9" w:type="dxa"/>
            <w:vMerge w:val="continue"/>
            <w:tcBorders>
              <w:top w:val="nil"/>
              <w:bottom w:val="single" w:color="auto" w:sz="4" w:space="0"/>
              <w:right w:val="single" w:color="auto" w:sz="4" w:space="0"/>
            </w:tcBorders>
            <w:vAlign w:val="center"/>
          </w:tcPr>
          <w:p w14:paraId="0CAE506A">
            <w:pPr>
              <w:spacing w:line="276" w:lineRule="auto"/>
              <w:jc w:val="center"/>
              <w:rPr>
                <w:rFonts w:hint="eastAsia" w:ascii="宋体" w:hAnsi="宋体" w:cs="宋体"/>
                <w:color w:val="auto"/>
                <w:szCs w:val="21"/>
                <w:highlight w:val="none"/>
              </w:rPr>
            </w:pPr>
          </w:p>
        </w:tc>
        <w:tc>
          <w:tcPr>
            <w:tcW w:w="1732" w:type="dxa"/>
            <w:gridSpan w:val="3"/>
            <w:vMerge w:val="continue"/>
            <w:tcBorders>
              <w:top w:val="nil"/>
              <w:bottom w:val="single" w:color="auto" w:sz="4" w:space="0"/>
              <w:right w:val="single" w:color="auto" w:sz="4" w:space="0"/>
            </w:tcBorders>
            <w:vAlign w:val="center"/>
          </w:tcPr>
          <w:p w14:paraId="164FBD70">
            <w:pPr>
              <w:spacing w:line="276" w:lineRule="auto"/>
              <w:jc w:val="center"/>
              <w:rPr>
                <w:rFonts w:hint="eastAsia" w:ascii="宋体" w:hAnsi="宋体" w:cs="宋体"/>
                <w:color w:val="auto"/>
                <w:szCs w:val="21"/>
                <w:highlight w:val="none"/>
              </w:rPr>
            </w:pPr>
          </w:p>
        </w:tc>
        <w:tc>
          <w:tcPr>
            <w:tcW w:w="1499" w:type="dxa"/>
            <w:tcBorders>
              <w:top w:val="single" w:color="auto" w:sz="4" w:space="0"/>
              <w:left w:val="single" w:color="auto" w:sz="4" w:space="0"/>
              <w:bottom w:val="single" w:color="auto" w:sz="4" w:space="0"/>
              <w:right w:val="single" w:color="auto" w:sz="4" w:space="0"/>
            </w:tcBorders>
            <w:vAlign w:val="center"/>
          </w:tcPr>
          <w:p w14:paraId="0C233DBE">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投标文件格式</w:t>
            </w:r>
          </w:p>
        </w:tc>
        <w:tc>
          <w:tcPr>
            <w:tcW w:w="6052" w:type="dxa"/>
            <w:tcBorders>
              <w:top w:val="single" w:color="auto" w:sz="4" w:space="0"/>
              <w:left w:val="single" w:color="auto" w:sz="4" w:space="0"/>
              <w:bottom w:val="single" w:color="auto" w:sz="4" w:space="0"/>
              <w:right w:val="single" w:color="auto" w:sz="4" w:space="0"/>
            </w:tcBorders>
            <w:vAlign w:val="center"/>
          </w:tcPr>
          <w:p w14:paraId="3F046383">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符合第七章“投标文件格式”的要求</w:t>
            </w:r>
          </w:p>
        </w:tc>
      </w:tr>
      <w:tr w14:paraId="2C5FB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9" w:type="dxa"/>
            <w:vMerge w:val="continue"/>
            <w:tcBorders>
              <w:top w:val="nil"/>
              <w:bottom w:val="single" w:color="auto" w:sz="4" w:space="0"/>
              <w:right w:val="single" w:color="auto" w:sz="4" w:space="0"/>
            </w:tcBorders>
            <w:vAlign w:val="center"/>
          </w:tcPr>
          <w:p w14:paraId="5B4A87ED">
            <w:pPr>
              <w:spacing w:line="276" w:lineRule="auto"/>
              <w:jc w:val="center"/>
              <w:rPr>
                <w:rFonts w:hint="eastAsia" w:ascii="宋体" w:hAnsi="宋体" w:cs="宋体"/>
                <w:color w:val="auto"/>
                <w:szCs w:val="21"/>
                <w:highlight w:val="none"/>
              </w:rPr>
            </w:pPr>
          </w:p>
        </w:tc>
        <w:tc>
          <w:tcPr>
            <w:tcW w:w="1732" w:type="dxa"/>
            <w:gridSpan w:val="3"/>
            <w:vMerge w:val="continue"/>
            <w:tcBorders>
              <w:top w:val="nil"/>
              <w:bottom w:val="single" w:color="auto" w:sz="4" w:space="0"/>
              <w:right w:val="single" w:color="auto" w:sz="4" w:space="0"/>
            </w:tcBorders>
            <w:vAlign w:val="center"/>
          </w:tcPr>
          <w:p w14:paraId="554D7D04">
            <w:pPr>
              <w:spacing w:line="276" w:lineRule="auto"/>
              <w:jc w:val="center"/>
              <w:rPr>
                <w:rFonts w:hint="eastAsia" w:ascii="宋体" w:hAnsi="宋体" w:cs="宋体"/>
                <w:color w:val="auto"/>
                <w:szCs w:val="21"/>
                <w:highlight w:val="none"/>
              </w:rPr>
            </w:pPr>
          </w:p>
        </w:tc>
        <w:tc>
          <w:tcPr>
            <w:tcW w:w="1499" w:type="dxa"/>
            <w:tcBorders>
              <w:top w:val="single" w:color="auto" w:sz="4" w:space="0"/>
              <w:left w:val="single" w:color="auto" w:sz="4" w:space="0"/>
              <w:bottom w:val="single" w:color="auto" w:sz="4" w:space="0"/>
              <w:right w:val="single" w:color="auto" w:sz="4" w:space="0"/>
            </w:tcBorders>
            <w:vAlign w:val="center"/>
          </w:tcPr>
          <w:p w14:paraId="18C1EE34">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报价唯一</w:t>
            </w:r>
          </w:p>
        </w:tc>
        <w:tc>
          <w:tcPr>
            <w:tcW w:w="6052" w:type="dxa"/>
            <w:tcBorders>
              <w:top w:val="single" w:color="auto" w:sz="4" w:space="0"/>
              <w:left w:val="single" w:color="auto" w:sz="4" w:space="0"/>
              <w:bottom w:val="single" w:color="auto" w:sz="4" w:space="0"/>
              <w:right w:val="single" w:color="auto" w:sz="4" w:space="0"/>
            </w:tcBorders>
            <w:vAlign w:val="center"/>
          </w:tcPr>
          <w:p w14:paraId="62DBFC02">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只能有一个有效报价</w:t>
            </w:r>
          </w:p>
        </w:tc>
      </w:tr>
      <w:tr w14:paraId="5457F7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9" w:type="dxa"/>
            <w:vMerge w:val="continue"/>
            <w:tcBorders>
              <w:top w:val="nil"/>
              <w:bottom w:val="single" w:color="auto" w:sz="4" w:space="0"/>
              <w:right w:val="single" w:color="auto" w:sz="4" w:space="0"/>
            </w:tcBorders>
            <w:vAlign w:val="center"/>
          </w:tcPr>
          <w:p w14:paraId="023BC1AF">
            <w:pPr>
              <w:spacing w:line="276" w:lineRule="auto"/>
              <w:jc w:val="center"/>
              <w:rPr>
                <w:rFonts w:hint="eastAsia" w:ascii="宋体" w:hAnsi="宋体" w:cs="宋体"/>
                <w:color w:val="auto"/>
                <w:szCs w:val="21"/>
                <w:highlight w:val="none"/>
              </w:rPr>
            </w:pPr>
          </w:p>
        </w:tc>
        <w:tc>
          <w:tcPr>
            <w:tcW w:w="1732" w:type="dxa"/>
            <w:gridSpan w:val="3"/>
            <w:vMerge w:val="continue"/>
            <w:tcBorders>
              <w:top w:val="nil"/>
              <w:bottom w:val="single" w:color="auto" w:sz="4" w:space="0"/>
              <w:right w:val="single" w:color="auto" w:sz="4" w:space="0"/>
            </w:tcBorders>
            <w:vAlign w:val="center"/>
          </w:tcPr>
          <w:p w14:paraId="498201A8">
            <w:pPr>
              <w:spacing w:line="276" w:lineRule="auto"/>
              <w:jc w:val="center"/>
              <w:rPr>
                <w:rFonts w:hint="eastAsia" w:ascii="宋体" w:hAnsi="宋体" w:cs="宋体"/>
                <w:color w:val="auto"/>
                <w:szCs w:val="21"/>
                <w:highlight w:val="none"/>
              </w:rPr>
            </w:pPr>
          </w:p>
        </w:tc>
        <w:tc>
          <w:tcPr>
            <w:tcW w:w="1499" w:type="dxa"/>
            <w:tcBorders>
              <w:top w:val="single" w:color="auto" w:sz="4" w:space="0"/>
              <w:left w:val="single" w:color="auto" w:sz="4" w:space="0"/>
              <w:bottom w:val="single" w:color="auto" w:sz="4" w:space="0"/>
              <w:right w:val="single" w:color="auto" w:sz="4" w:space="0"/>
            </w:tcBorders>
            <w:vAlign w:val="center"/>
          </w:tcPr>
          <w:p w14:paraId="1B8674E2">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机器特征码一致</w:t>
            </w:r>
          </w:p>
        </w:tc>
        <w:tc>
          <w:tcPr>
            <w:tcW w:w="6052" w:type="dxa"/>
            <w:tcBorders>
              <w:top w:val="single" w:color="auto" w:sz="4" w:space="0"/>
              <w:left w:val="single" w:color="auto" w:sz="4" w:space="0"/>
              <w:bottom w:val="single" w:color="auto" w:sz="4" w:space="0"/>
              <w:right w:val="single" w:color="auto" w:sz="4" w:space="0"/>
            </w:tcBorders>
            <w:vAlign w:val="center"/>
          </w:tcPr>
          <w:p w14:paraId="103ECD55">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不同投标人的加密打包投标文件电脑机器特征码不一致</w:t>
            </w:r>
          </w:p>
        </w:tc>
      </w:tr>
      <w:tr w14:paraId="6410F4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9" w:type="dxa"/>
            <w:vMerge w:val="restart"/>
            <w:tcBorders>
              <w:top w:val="single" w:color="auto" w:sz="4" w:space="0"/>
              <w:bottom w:val="single" w:color="auto" w:sz="4" w:space="0"/>
              <w:right w:val="single" w:color="auto" w:sz="4" w:space="0"/>
            </w:tcBorders>
            <w:vAlign w:val="center"/>
          </w:tcPr>
          <w:p w14:paraId="4DBC816B">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2.1.2</w:t>
            </w:r>
          </w:p>
        </w:tc>
        <w:tc>
          <w:tcPr>
            <w:tcW w:w="1732" w:type="dxa"/>
            <w:gridSpan w:val="3"/>
            <w:vMerge w:val="restart"/>
            <w:tcBorders>
              <w:top w:val="single" w:color="auto" w:sz="4" w:space="0"/>
              <w:bottom w:val="single" w:color="auto" w:sz="4" w:space="0"/>
              <w:right w:val="single" w:color="auto" w:sz="4" w:space="0"/>
            </w:tcBorders>
            <w:vAlign w:val="center"/>
          </w:tcPr>
          <w:p w14:paraId="53BDB7C4">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资格评审标准</w:t>
            </w:r>
          </w:p>
        </w:tc>
        <w:tc>
          <w:tcPr>
            <w:tcW w:w="1499" w:type="dxa"/>
            <w:tcBorders>
              <w:top w:val="single" w:color="auto" w:sz="4" w:space="0"/>
              <w:left w:val="single" w:color="auto" w:sz="4" w:space="0"/>
              <w:bottom w:val="single" w:color="auto" w:sz="4" w:space="0"/>
              <w:right w:val="single" w:color="auto" w:sz="4" w:space="0"/>
            </w:tcBorders>
            <w:vAlign w:val="center"/>
          </w:tcPr>
          <w:p w14:paraId="303FC880">
            <w:pPr>
              <w:spacing w:line="276" w:lineRule="auto"/>
              <w:jc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营业执照或法人证书</w:t>
            </w:r>
          </w:p>
        </w:tc>
        <w:tc>
          <w:tcPr>
            <w:tcW w:w="6052" w:type="dxa"/>
            <w:tcBorders>
              <w:top w:val="single" w:color="auto" w:sz="4" w:space="0"/>
              <w:left w:val="single" w:color="auto" w:sz="4" w:space="0"/>
              <w:bottom w:val="single" w:color="auto" w:sz="4" w:space="0"/>
              <w:right w:val="single" w:color="auto" w:sz="4" w:space="0"/>
            </w:tcBorders>
            <w:vAlign w:val="center"/>
          </w:tcPr>
          <w:p w14:paraId="19FB985D">
            <w:pPr>
              <w:spacing w:line="276"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国内投标人具有有效的营业执照或法人证书</w:t>
            </w:r>
          </w:p>
        </w:tc>
      </w:tr>
      <w:tr w14:paraId="4BF0BF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9" w:type="dxa"/>
            <w:vMerge w:val="continue"/>
            <w:tcBorders>
              <w:top w:val="nil"/>
              <w:bottom w:val="single" w:color="auto" w:sz="4" w:space="0"/>
              <w:right w:val="single" w:color="auto" w:sz="4" w:space="0"/>
            </w:tcBorders>
            <w:vAlign w:val="center"/>
          </w:tcPr>
          <w:p w14:paraId="7986DF2B">
            <w:pPr>
              <w:spacing w:line="276" w:lineRule="auto"/>
              <w:jc w:val="center"/>
              <w:rPr>
                <w:rFonts w:hint="eastAsia" w:ascii="宋体" w:hAnsi="宋体" w:cs="宋体"/>
                <w:color w:val="auto"/>
                <w:szCs w:val="21"/>
                <w:highlight w:val="none"/>
              </w:rPr>
            </w:pPr>
          </w:p>
        </w:tc>
        <w:tc>
          <w:tcPr>
            <w:tcW w:w="1732" w:type="dxa"/>
            <w:gridSpan w:val="3"/>
            <w:vMerge w:val="continue"/>
            <w:tcBorders>
              <w:top w:val="nil"/>
              <w:bottom w:val="single" w:color="auto" w:sz="4" w:space="0"/>
              <w:right w:val="single" w:color="auto" w:sz="4" w:space="0"/>
            </w:tcBorders>
            <w:vAlign w:val="center"/>
          </w:tcPr>
          <w:p w14:paraId="462C646A">
            <w:pPr>
              <w:spacing w:line="276" w:lineRule="auto"/>
              <w:jc w:val="center"/>
              <w:rPr>
                <w:rFonts w:hint="eastAsia" w:ascii="宋体" w:hAnsi="宋体" w:cs="宋体"/>
                <w:color w:val="auto"/>
                <w:szCs w:val="21"/>
                <w:highlight w:val="none"/>
              </w:rPr>
            </w:pPr>
          </w:p>
        </w:tc>
        <w:tc>
          <w:tcPr>
            <w:tcW w:w="1499" w:type="dxa"/>
            <w:tcBorders>
              <w:top w:val="single" w:color="auto" w:sz="4" w:space="0"/>
              <w:left w:val="single" w:color="auto" w:sz="4" w:space="0"/>
              <w:bottom w:val="single" w:color="auto" w:sz="4" w:space="0"/>
              <w:right w:val="single" w:color="auto" w:sz="4" w:space="0"/>
            </w:tcBorders>
            <w:vAlign w:val="center"/>
          </w:tcPr>
          <w:p w14:paraId="301510A6">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资质等级</w:t>
            </w:r>
          </w:p>
        </w:tc>
        <w:tc>
          <w:tcPr>
            <w:tcW w:w="6052" w:type="dxa"/>
            <w:tcBorders>
              <w:top w:val="single" w:color="auto" w:sz="4" w:space="0"/>
              <w:left w:val="single" w:color="auto" w:sz="4" w:space="0"/>
              <w:bottom w:val="single" w:color="auto" w:sz="4" w:space="0"/>
              <w:right w:val="single" w:color="auto" w:sz="4" w:space="0"/>
            </w:tcBorders>
            <w:vAlign w:val="center"/>
          </w:tcPr>
          <w:p w14:paraId="332C777D">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符合第二章“投标人须知”第1.4.1项规定</w:t>
            </w:r>
          </w:p>
        </w:tc>
      </w:tr>
      <w:tr w14:paraId="53BB1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9" w:type="dxa"/>
            <w:vMerge w:val="continue"/>
            <w:tcBorders>
              <w:top w:val="nil"/>
              <w:bottom w:val="single" w:color="auto" w:sz="4" w:space="0"/>
              <w:right w:val="single" w:color="auto" w:sz="4" w:space="0"/>
            </w:tcBorders>
            <w:vAlign w:val="center"/>
          </w:tcPr>
          <w:p w14:paraId="6DE85626">
            <w:pPr>
              <w:spacing w:line="276" w:lineRule="auto"/>
              <w:jc w:val="center"/>
              <w:rPr>
                <w:rFonts w:hint="eastAsia" w:ascii="宋体" w:hAnsi="宋体" w:cs="宋体"/>
                <w:color w:val="auto"/>
                <w:szCs w:val="21"/>
                <w:highlight w:val="none"/>
              </w:rPr>
            </w:pPr>
          </w:p>
        </w:tc>
        <w:tc>
          <w:tcPr>
            <w:tcW w:w="1732" w:type="dxa"/>
            <w:gridSpan w:val="3"/>
            <w:vMerge w:val="continue"/>
            <w:tcBorders>
              <w:top w:val="nil"/>
              <w:bottom w:val="single" w:color="auto" w:sz="4" w:space="0"/>
              <w:right w:val="single" w:color="auto" w:sz="4" w:space="0"/>
            </w:tcBorders>
            <w:vAlign w:val="center"/>
          </w:tcPr>
          <w:p w14:paraId="053DD3D6">
            <w:pPr>
              <w:spacing w:line="276" w:lineRule="auto"/>
              <w:jc w:val="center"/>
              <w:rPr>
                <w:rFonts w:hint="eastAsia" w:ascii="宋体" w:hAnsi="宋体" w:cs="宋体"/>
                <w:color w:val="auto"/>
                <w:szCs w:val="21"/>
                <w:highlight w:val="none"/>
              </w:rPr>
            </w:pPr>
          </w:p>
        </w:tc>
        <w:tc>
          <w:tcPr>
            <w:tcW w:w="1499" w:type="dxa"/>
            <w:tcBorders>
              <w:top w:val="single" w:color="auto" w:sz="4" w:space="0"/>
              <w:left w:val="single" w:color="auto" w:sz="4" w:space="0"/>
              <w:bottom w:val="single" w:color="auto" w:sz="4" w:space="0"/>
              <w:right w:val="single" w:color="auto" w:sz="4" w:space="0"/>
            </w:tcBorders>
            <w:vAlign w:val="center"/>
          </w:tcPr>
          <w:p w14:paraId="2FF47F1A">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财务状况</w:t>
            </w:r>
          </w:p>
        </w:tc>
        <w:tc>
          <w:tcPr>
            <w:tcW w:w="6052" w:type="dxa"/>
            <w:tcBorders>
              <w:top w:val="single" w:color="auto" w:sz="4" w:space="0"/>
              <w:left w:val="single" w:color="auto" w:sz="4" w:space="0"/>
              <w:bottom w:val="single" w:color="auto" w:sz="4" w:space="0"/>
              <w:right w:val="single" w:color="auto" w:sz="4" w:space="0"/>
            </w:tcBorders>
            <w:vAlign w:val="center"/>
          </w:tcPr>
          <w:p w14:paraId="51BCD16D">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w:t>
            </w:r>
          </w:p>
        </w:tc>
      </w:tr>
      <w:tr w14:paraId="2DD08E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9" w:type="dxa"/>
            <w:vMerge w:val="continue"/>
            <w:tcBorders>
              <w:top w:val="nil"/>
              <w:bottom w:val="single" w:color="auto" w:sz="4" w:space="0"/>
              <w:right w:val="single" w:color="auto" w:sz="4" w:space="0"/>
            </w:tcBorders>
            <w:vAlign w:val="center"/>
          </w:tcPr>
          <w:p w14:paraId="4BC60BCA">
            <w:pPr>
              <w:spacing w:line="276" w:lineRule="auto"/>
              <w:jc w:val="center"/>
              <w:rPr>
                <w:rFonts w:hint="eastAsia" w:ascii="宋体" w:hAnsi="宋体" w:cs="宋体"/>
                <w:color w:val="auto"/>
                <w:szCs w:val="21"/>
                <w:highlight w:val="none"/>
              </w:rPr>
            </w:pPr>
          </w:p>
        </w:tc>
        <w:tc>
          <w:tcPr>
            <w:tcW w:w="1732" w:type="dxa"/>
            <w:gridSpan w:val="3"/>
            <w:vMerge w:val="continue"/>
            <w:tcBorders>
              <w:top w:val="nil"/>
              <w:bottom w:val="single" w:color="auto" w:sz="4" w:space="0"/>
              <w:right w:val="single" w:color="auto" w:sz="4" w:space="0"/>
            </w:tcBorders>
            <w:vAlign w:val="center"/>
          </w:tcPr>
          <w:p w14:paraId="07BF3168">
            <w:pPr>
              <w:spacing w:line="276" w:lineRule="auto"/>
              <w:jc w:val="center"/>
              <w:rPr>
                <w:rFonts w:hint="eastAsia" w:ascii="宋体" w:hAnsi="宋体" w:cs="宋体"/>
                <w:color w:val="auto"/>
                <w:szCs w:val="21"/>
                <w:highlight w:val="none"/>
              </w:rPr>
            </w:pPr>
          </w:p>
        </w:tc>
        <w:tc>
          <w:tcPr>
            <w:tcW w:w="1499" w:type="dxa"/>
            <w:tcBorders>
              <w:top w:val="single" w:color="auto" w:sz="4" w:space="0"/>
              <w:left w:val="single" w:color="auto" w:sz="4" w:space="0"/>
              <w:bottom w:val="single" w:color="auto" w:sz="4" w:space="0"/>
              <w:right w:val="single" w:color="auto" w:sz="4" w:space="0"/>
            </w:tcBorders>
            <w:vAlign w:val="center"/>
          </w:tcPr>
          <w:p w14:paraId="4CD72145">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类似项目业绩</w:t>
            </w:r>
          </w:p>
        </w:tc>
        <w:tc>
          <w:tcPr>
            <w:tcW w:w="6052" w:type="dxa"/>
            <w:tcBorders>
              <w:top w:val="single" w:color="auto" w:sz="4" w:space="0"/>
              <w:left w:val="single" w:color="auto" w:sz="4" w:space="0"/>
              <w:bottom w:val="single" w:color="auto" w:sz="4" w:space="0"/>
              <w:right w:val="single" w:color="auto" w:sz="4" w:space="0"/>
            </w:tcBorders>
            <w:vAlign w:val="center"/>
          </w:tcPr>
          <w:p w14:paraId="742440A2">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w:t>
            </w:r>
          </w:p>
        </w:tc>
      </w:tr>
      <w:tr w14:paraId="5473AA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9" w:type="dxa"/>
            <w:vMerge w:val="continue"/>
            <w:tcBorders>
              <w:top w:val="nil"/>
              <w:bottom w:val="single" w:color="auto" w:sz="4" w:space="0"/>
              <w:right w:val="single" w:color="auto" w:sz="4" w:space="0"/>
            </w:tcBorders>
            <w:vAlign w:val="center"/>
          </w:tcPr>
          <w:p w14:paraId="34FC48B2">
            <w:pPr>
              <w:spacing w:line="276" w:lineRule="auto"/>
              <w:jc w:val="center"/>
              <w:rPr>
                <w:rFonts w:hint="eastAsia" w:ascii="宋体" w:hAnsi="宋体" w:cs="宋体"/>
                <w:color w:val="auto"/>
                <w:szCs w:val="21"/>
                <w:highlight w:val="none"/>
              </w:rPr>
            </w:pPr>
          </w:p>
        </w:tc>
        <w:tc>
          <w:tcPr>
            <w:tcW w:w="1732" w:type="dxa"/>
            <w:gridSpan w:val="3"/>
            <w:vMerge w:val="continue"/>
            <w:tcBorders>
              <w:top w:val="nil"/>
              <w:bottom w:val="single" w:color="auto" w:sz="4" w:space="0"/>
              <w:right w:val="single" w:color="auto" w:sz="4" w:space="0"/>
            </w:tcBorders>
            <w:vAlign w:val="center"/>
          </w:tcPr>
          <w:p w14:paraId="4D7DB3D3">
            <w:pPr>
              <w:spacing w:line="276" w:lineRule="auto"/>
              <w:jc w:val="center"/>
              <w:rPr>
                <w:rFonts w:hint="eastAsia" w:ascii="宋体" w:hAnsi="宋体" w:cs="宋体"/>
                <w:color w:val="auto"/>
                <w:szCs w:val="21"/>
                <w:highlight w:val="none"/>
              </w:rPr>
            </w:pPr>
          </w:p>
        </w:tc>
        <w:tc>
          <w:tcPr>
            <w:tcW w:w="1499" w:type="dxa"/>
            <w:tcBorders>
              <w:top w:val="single" w:color="auto" w:sz="4" w:space="0"/>
              <w:left w:val="single" w:color="auto" w:sz="4" w:space="0"/>
              <w:bottom w:val="single" w:color="auto" w:sz="4" w:space="0"/>
              <w:right w:val="single" w:color="auto" w:sz="4" w:space="0"/>
            </w:tcBorders>
            <w:vAlign w:val="center"/>
          </w:tcPr>
          <w:p w14:paraId="6A68735A">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信誉</w:t>
            </w:r>
          </w:p>
        </w:tc>
        <w:tc>
          <w:tcPr>
            <w:tcW w:w="6052" w:type="dxa"/>
            <w:tcBorders>
              <w:top w:val="single" w:color="auto" w:sz="4" w:space="0"/>
              <w:left w:val="single" w:color="auto" w:sz="4" w:space="0"/>
              <w:bottom w:val="single" w:color="auto" w:sz="4" w:space="0"/>
              <w:right w:val="single" w:color="auto" w:sz="4" w:space="0"/>
            </w:tcBorders>
            <w:vAlign w:val="center"/>
          </w:tcPr>
          <w:p w14:paraId="441E2B65">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w:t>
            </w:r>
          </w:p>
        </w:tc>
      </w:tr>
      <w:tr w14:paraId="2F3581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9" w:type="dxa"/>
            <w:vMerge w:val="continue"/>
            <w:tcBorders>
              <w:top w:val="nil"/>
              <w:bottom w:val="single" w:color="auto" w:sz="4" w:space="0"/>
              <w:right w:val="single" w:color="auto" w:sz="4" w:space="0"/>
            </w:tcBorders>
            <w:vAlign w:val="center"/>
          </w:tcPr>
          <w:p w14:paraId="74616836">
            <w:pPr>
              <w:spacing w:line="276" w:lineRule="auto"/>
              <w:jc w:val="center"/>
              <w:rPr>
                <w:rFonts w:hint="eastAsia" w:ascii="宋体" w:hAnsi="宋体" w:cs="宋体"/>
                <w:color w:val="auto"/>
                <w:szCs w:val="21"/>
                <w:highlight w:val="none"/>
              </w:rPr>
            </w:pPr>
          </w:p>
        </w:tc>
        <w:tc>
          <w:tcPr>
            <w:tcW w:w="1732" w:type="dxa"/>
            <w:gridSpan w:val="3"/>
            <w:vMerge w:val="continue"/>
            <w:tcBorders>
              <w:top w:val="nil"/>
              <w:bottom w:val="single" w:color="auto" w:sz="4" w:space="0"/>
              <w:right w:val="single" w:color="auto" w:sz="4" w:space="0"/>
            </w:tcBorders>
            <w:vAlign w:val="center"/>
          </w:tcPr>
          <w:p w14:paraId="57E7CCC9">
            <w:pPr>
              <w:spacing w:line="276" w:lineRule="auto"/>
              <w:jc w:val="center"/>
              <w:rPr>
                <w:rFonts w:hint="eastAsia" w:ascii="宋体" w:hAnsi="宋体" w:cs="宋体"/>
                <w:color w:val="auto"/>
                <w:szCs w:val="21"/>
                <w:highlight w:val="none"/>
              </w:rPr>
            </w:pPr>
          </w:p>
        </w:tc>
        <w:tc>
          <w:tcPr>
            <w:tcW w:w="1499" w:type="dxa"/>
            <w:tcBorders>
              <w:top w:val="single" w:color="auto" w:sz="4" w:space="0"/>
              <w:left w:val="single" w:color="auto" w:sz="4" w:space="0"/>
              <w:bottom w:val="single" w:color="auto" w:sz="4" w:space="0"/>
              <w:right w:val="single" w:color="auto" w:sz="4" w:space="0"/>
            </w:tcBorders>
            <w:vAlign w:val="center"/>
          </w:tcPr>
          <w:p w14:paraId="72A82DE2">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项目负责人</w:t>
            </w:r>
          </w:p>
        </w:tc>
        <w:tc>
          <w:tcPr>
            <w:tcW w:w="6052" w:type="dxa"/>
            <w:tcBorders>
              <w:top w:val="single" w:color="auto" w:sz="4" w:space="0"/>
              <w:left w:val="single" w:color="auto" w:sz="4" w:space="0"/>
              <w:bottom w:val="single" w:color="auto" w:sz="4" w:space="0"/>
              <w:right w:val="single" w:color="auto" w:sz="4" w:space="0"/>
            </w:tcBorders>
            <w:vAlign w:val="center"/>
          </w:tcPr>
          <w:p w14:paraId="38F52266">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符合第二章“投标人须知”第1.4.1项规定</w:t>
            </w:r>
          </w:p>
        </w:tc>
      </w:tr>
      <w:tr w14:paraId="389D63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9" w:type="dxa"/>
            <w:vMerge w:val="continue"/>
            <w:tcBorders>
              <w:top w:val="nil"/>
              <w:bottom w:val="single" w:color="auto" w:sz="4" w:space="0"/>
              <w:right w:val="single" w:color="auto" w:sz="4" w:space="0"/>
            </w:tcBorders>
            <w:vAlign w:val="center"/>
          </w:tcPr>
          <w:p w14:paraId="32A6279F">
            <w:pPr>
              <w:spacing w:line="276" w:lineRule="auto"/>
              <w:jc w:val="center"/>
              <w:rPr>
                <w:rFonts w:hint="eastAsia" w:ascii="宋体" w:hAnsi="宋体" w:cs="宋体"/>
                <w:color w:val="auto"/>
                <w:szCs w:val="21"/>
                <w:highlight w:val="none"/>
              </w:rPr>
            </w:pPr>
          </w:p>
        </w:tc>
        <w:tc>
          <w:tcPr>
            <w:tcW w:w="1732" w:type="dxa"/>
            <w:gridSpan w:val="3"/>
            <w:vMerge w:val="continue"/>
            <w:tcBorders>
              <w:top w:val="nil"/>
              <w:bottom w:val="single" w:color="auto" w:sz="4" w:space="0"/>
              <w:right w:val="single" w:color="auto" w:sz="4" w:space="0"/>
            </w:tcBorders>
            <w:vAlign w:val="center"/>
          </w:tcPr>
          <w:p w14:paraId="2B4AD78E">
            <w:pPr>
              <w:spacing w:line="276" w:lineRule="auto"/>
              <w:jc w:val="center"/>
              <w:rPr>
                <w:rFonts w:hint="eastAsia" w:ascii="宋体" w:hAnsi="宋体" w:cs="宋体"/>
                <w:color w:val="auto"/>
                <w:szCs w:val="21"/>
                <w:highlight w:val="none"/>
              </w:rPr>
            </w:pPr>
          </w:p>
        </w:tc>
        <w:tc>
          <w:tcPr>
            <w:tcW w:w="1499" w:type="dxa"/>
            <w:tcBorders>
              <w:top w:val="single" w:color="auto" w:sz="4" w:space="0"/>
              <w:left w:val="single" w:color="auto" w:sz="4" w:space="0"/>
              <w:bottom w:val="single" w:color="auto" w:sz="4" w:space="0"/>
              <w:right w:val="single" w:color="auto" w:sz="4" w:space="0"/>
            </w:tcBorders>
            <w:vAlign w:val="center"/>
          </w:tcPr>
          <w:p w14:paraId="713C1F6D">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施工负责人</w:t>
            </w:r>
          </w:p>
        </w:tc>
        <w:tc>
          <w:tcPr>
            <w:tcW w:w="6052" w:type="dxa"/>
            <w:tcBorders>
              <w:top w:val="single" w:color="auto" w:sz="4" w:space="0"/>
              <w:left w:val="single" w:color="auto" w:sz="4" w:space="0"/>
              <w:bottom w:val="single" w:color="auto" w:sz="4" w:space="0"/>
              <w:right w:val="single" w:color="auto" w:sz="4" w:space="0"/>
            </w:tcBorders>
            <w:vAlign w:val="center"/>
          </w:tcPr>
          <w:p w14:paraId="2A8E8552">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符合第二章“投标人须知”第1.4.1项规定</w:t>
            </w:r>
          </w:p>
        </w:tc>
      </w:tr>
      <w:tr w14:paraId="35BA9F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9" w:type="dxa"/>
            <w:vMerge w:val="continue"/>
            <w:tcBorders>
              <w:top w:val="nil"/>
              <w:bottom w:val="single" w:color="auto" w:sz="4" w:space="0"/>
              <w:right w:val="single" w:color="auto" w:sz="4" w:space="0"/>
            </w:tcBorders>
            <w:vAlign w:val="center"/>
          </w:tcPr>
          <w:p w14:paraId="090C3322">
            <w:pPr>
              <w:spacing w:line="276" w:lineRule="auto"/>
              <w:jc w:val="center"/>
              <w:rPr>
                <w:rFonts w:hint="eastAsia" w:ascii="宋体" w:hAnsi="宋体" w:cs="宋体"/>
                <w:color w:val="auto"/>
                <w:szCs w:val="21"/>
                <w:highlight w:val="none"/>
              </w:rPr>
            </w:pPr>
          </w:p>
        </w:tc>
        <w:tc>
          <w:tcPr>
            <w:tcW w:w="1732" w:type="dxa"/>
            <w:gridSpan w:val="3"/>
            <w:vMerge w:val="continue"/>
            <w:tcBorders>
              <w:top w:val="nil"/>
              <w:bottom w:val="single" w:color="auto" w:sz="4" w:space="0"/>
              <w:right w:val="single" w:color="auto" w:sz="4" w:space="0"/>
            </w:tcBorders>
            <w:vAlign w:val="center"/>
          </w:tcPr>
          <w:p w14:paraId="341254C7">
            <w:pPr>
              <w:spacing w:line="276" w:lineRule="auto"/>
              <w:jc w:val="center"/>
              <w:rPr>
                <w:rFonts w:hint="eastAsia" w:ascii="宋体" w:hAnsi="宋体" w:cs="宋体"/>
                <w:color w:val="auto"/>
                <w:szCs w:val="21"/>
                <w:highlight w:val="none"/>
              </w:rPr>
            </w:pPr>
          </w:p>
        </w:tc>
        <w:tc>
          <w:tcPr>
            <w:tcW w:w="1499" w:type="dxa"/>
            <w:tcBorders>
              <w:top w:val="single" w:color="auto" w:sz="4" w:space="0"/>
              <w:left w:val="single" w:color="auto" w:sz="4" w:space="0"/>
              <w:bottom w:val="single" w:color="auto" w:sz="4" w:space="0"/>
              <w:right w:val="single" w:color="auto" w:sz="4" w:space="0"/>
            </w:tcBorders>
            <w:vAlign w:val="center"/>
          </w:tcPr>
          <w:p w14:paraId="3E4B1D53">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设计负责人</w:t>
            </w:r>
          </w:p>
        </w:tc>
        <w:tc>
          <w:tcPr>
            <w:tcW w:w="6052" w:type="dxa"/>
            <w:tcBorders>
              <w:top w:val="single" w:color="auto" w:sz="4" w:space="0"/>
              <w:left w:val="single" w:color="auto" w:sz="4" w:space="0"/>
              <w:bottom w:val="single" w:color="auto" w:sz="4" w:space="0"/>
              <w:right w:val="single" w:color="auto" w:sz="4" w:space="0"/>
            </w:tcBorders>
            <w:vAlign w:val="center"/>
          </w:tcPr>
          <w:p w14:paraId="62B0DA7B">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符合第二章“投标人须知”第1.4.1项规定</w:t>
            </w:r>
          </w:p>
        </w:tc>
      </w:tr>
      <w:tr w14:paraId="14971E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9" w:type="dxa"/>
            <w:vMerge w:val="continue"/>
            <w:tcBorders>
              <w:top w:val="nil"/>
              <w:bottom w:val="single" w:color="auto" w:sz="4" w:space="0"/>
              <w:right w:val="single" w:color="auto" w:sz="4" w:space="0"/>
            </w:tcBorders>
            <w:vAlign w:val="center"/>
          </w:tcPr>
          <w:p w14:paraId="5373195E">
            <w:pPr>
              <w:spacing w:line="276" w:lineRule="auto"/>
              <w:jc w:val="center"/>
              <w:rPr>
                <w:rFonts w:hint="eastAsia" w:ascii="宋体" w:hAnsi="宋体" w:cs="宋体"/>
                <w:color w:val="auto"/>
                <w:szCs w:val="21"/>
                <w:highlight w:val="none"/>
              </w:rPr>
            </w:pPr>
          </w:p>
        </w:tc>
        <w:tc>
          <w:tcPr>
            <w:tcW w:w="1732" w:type="dxa"/>
            <w:gridSpan w:val="3"/>
            <w:vMerge w:val="continue"/>
            <w:tcBorders>
              <w:top w:val="nil"/>
              <w:bottom w:val="single" w:color="auto" w:sz="4" w:space="0"/>
              <w:right w:val="single" w:color="auto" w:sz="4" w:space="0"/>
            </w:tcBorders>
            <w:vAlign w:val="center"/>
          </w:tcPr>
          <w:p w14:paraId="01A11ED8">
            <w:pPr>
              <w:spacing w:line="276" w:lineRule="auto"/>
              <w:jc w:val="center"/>
              <w:rPr>
                <w:rFonts w:hint="eastAsia" w:ascii="宋体" w:hAnsi="宋体" w:cs="宋体"/>
                <w:color w:val="auto"/>
                <w:szCs w:val="21"/>
                <w:highlight w:val="none"/>
              </w:rPr>
            </w:pPr>
          </w:p>
        </w:tc>
        <w:tc>
          <w:tcPr>
            <w:tcW w:w="1499" w:type="dxa"/>
            <w:tcBorders>
              <w:top w:val="single" w:color="auto" w:sz="4" w:space="0"/>
              <w:left w:val="single" w:color="auto" w:sz="4" w:space="0"/>
              <w:bottom w:val="single" w:color="auto" w:sz="4" w:space="0"/>
              <w:right w:val="single" w:color="auto" w:sz="4" w:space="0"/>
            </w:tcBorders>
            <w:vAlign w:val="center"/>
          </w:tcPr>
          <w:p w14:paraId="1D28E2F8">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施工技术负责人</w:t>
            </w:r>
          </w:p>
        </w:tc>
        <w:tc>
          <w:tcPr>
            <w:tcW w:w="6052" w:type="dxa"/>
            <w:tcBorders>
              <w:top w:val="single" w:color="auto" w:sz="4" w:space="0"/>
              <w:left w:val="single" w:color="auto" w:sz="4" w:space="0"/>
              <w:bottom w:val="single" w:color="auto" w:sz="4" w:space="0"/>
              <w:right w:val="single" w:color="auto" w:sz="4" w:space="0"/>
            </w:tcBorders>
            <w:vAlign w:val="center"/>
          </w:tcPr>
          <w:p w14:paraId="4497F4CC">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符合第二章“投标人须知”第1.4.1项规定</w:t>
            </w:r>
          </w:p>
        </w:tc>
      </w:tr>
      <w:tr w14:paraId="71525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9" w:type="dxa"/>
            <w:vMerge w:val="continue"/>
            <w:tcBorders>
              <w:top w:val="nil"/>
              <w:bottom w:val="single" w:color="auto" w:sz="4" w:space="0"/>
              <w:right w:val="single" w:color="auto" w:sz="4" w:space="0"/>
            </w:tcBorders>
            <w:vAlign w:val="center"/>
          </w:tcPr>
          <w:p w14:paraId="0466A6BE">
            <w:pPr>
              <w:spacing w:line="276" w:lineRule="auto"/>
              <w:jc w:val="center"/>
              <w:rPr>
                <w:rFonts w:hint="eastAsia" w:ascii="宋体" w:hAnsi="宋体" w:cs="宋体"/>
                <w:color w:val="auto"/>
                <w:szCs w:val="21"/>
                <w:highlight w:val="none"/>
              </w:rPr>
            </w:pPr>
          </w:p>
        </w:tc>
        <w:tc>
          <w:tcPr>
            <w:tcW w:w="1732" w:type="dxa"/>
            <w:gridSpan w:val="3"/>
            <w:vMerge w:val="continue"/>
            <w:tcBorders>
              <w:top w:val="nil"/>
              <w:bottom w:val="single" w:color="auto" w:sz="4" w:space="0"/>
              <w:right w:val="single" w:color="auto" w:sz="4" w:space="0"/>
            </w:tcBorders>
            <w:vAlign w:val="center"/>
          </w:tcPr>
          <w:p w14:paraId="71177819">
            <w:pPr>
              <w:spacing w:line="276" w:lineRule="auto"/>
              <w:jc w:val="center"/>
              <w:rPr>
                <w:rFonts w:hint="eastAsia" w:ascii="宋体" w:hAnsi="宋体" w:cs="宋体"/>
                <w:color w:val="auto"/>
                <w:szCs w:val="21"/>
                <w:highlight w:val="none"/>
              </w:rPr>
            </w:pPr>
          </w:p>
        </w:tc>
        <w:tc>
          <w:tcPr>
            <w:tcW w:w="1499" w:type="dxa"/>
            <w:tcBorders>
              <w:top w:val="single" w:color="auto" w:sz="4" w:space="0"/>
              <w:left w:val="single" w:color="auto" w:sz="4" w:space="0"/>
              <w:bottom w:val="single" w:color="auto" w:sz="4" w:space="0"/>
              <w:right w:val="single" w:color="auto" w:sz="4" w:space="0"/>
            </w:tcBorders>
            <w:vAlign w:val="center"/>
          </w:tcPr>
          <w:p w14:paraId="2C675650">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专职安全员</w:t>
            </w:r>
          </w:p>
        </w:tc>
        <w:tc>
          <w:tcPr>
            <w:tcW w:w="6052" w:type="dxa"/>
            <w:tcBorders>
              <w:top w:val="single" w:color="auto" w:sz="4" w:space="0"/>
              <w:left w:val="single" w:color="auto" w:sz="4" w:space="0"/>
              <w:bottom w:val="single" w:color="auto" w:sz="4" w:space="0"/>
              <w:right w:val="single" w:color="auto" w:sz="4" w:space="0"/>
            </w:tcBorders>
            <w:vAlign w:val="center"/>
          </w:tcPr>
          <w:p w14:paraId="1366FF07">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符合第二章“投标人须知”第1.4.1项规定</w:t>
            </w:r>
          </w:p>
        </w:tc>
      </w:tr>
      <w:tr w14:paraId="4FCA4F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9" w:type="dxa"/>
            <w:vMerge w:val="continue"/>
            <w:tcBorders>
              <w:top w:val="nil"/>
              <w:bottom w:val="single" w:color="auto" w:sz="4" w:space="0"/>
              <w:right w:val="single" w:color="auto" w:sz="4" w:space="0"/>
            </w:tcBorders>
            <w:vAlign w:val="center"/>
          </w:tcPr>
          <w:p w14:paraId="7F3AB92B">
            <w:pPr>
              <w:spacing w:line="276" w:lineRule="auto"/>
              <w:jc w:val="center"/>
              <w:rPr>
                <w:rFonts w:hint="eastAsia" w:ascii="宋体" w:hAnsi="宋体" w:cs="宋体"/>
                <w:color w:val="auto"/>
                <w:szCs w:val="21"/>
                <w:highlight w:val="none"/>
              </w:rPr>
            </w:pPr>
          </w:p>
        </w:tc>
        <w:tc>
          <w:tcPr>
            <w:tcW w:w="1732" w:type="dxa"/>
            <w:gridSpan w:val="3"/>
            <w:vMerge w:val="continue"/>
            <w:tcBorders>
              <w:top w:val="nil"/>
              <w:bottom w:val="single" w:color="auto" w:sz="4" w:space="0"/>
              <w:right w:val="single" w:color="auto" w:sz="4" w:space="0"/>
            </w:tcBorders>
            <w:vAlign w:val="center"/>
          </w:tcPr>
          <w:p w14:paraId="0ADEA0FC">
            <w:pPr>
              <w:spacing w:line="276" w:lineRule="auto"/>
              <w:jc w:val="center"/>
              <w:rPr>
                <w:rFonts w:hint="eastAsia" w:ascii="宋体" w:hAnsi="宋体" w:cs="宋体"/>
                <w:color w:val="auto"/>
                <w:szCs w:val="21"/>
                <w:highlight w:val="none"/>
              </w:rPr>
            </w:pPr>
          </w:p>
        </w:tc>
        <w:tc>
          <w:tcPr>
            <w:tcW w:w="1499" w:type="dxa"/>
            <w:tcBorders>
              <w:top w:val="single" w:color="auto" w:sz="4" w:space="0"/>
              <w:left w:val="single" w:color="auto" w:sz="4" w:space="0"/>
              <w:bottom w:val="single" w:color="auto" w:sz="4" w:space="0"/>
              <w:right w:val="single" w:color="auto" w:sz="4" w:space="0"/>
            </w:tcBorders>
            <w:vAlign w:val="center"/>
          </w:tcPr>
          <w:p w14:paraId="19D2887D">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其他要求</w:t>
            </w:r>
          </w:p>
        </w:tc>
        <w:tc>
          <w:tcPr>
            <w:tcW w:w="6052" w:type="dxa"/>
            <w:tcBorders>
              <w:top w:val="single" w:color="auto" w:sz="4" w:space="0"/>
              <w:left w:val="single" w:color="auto" w:sz="4" w:space="0"/>
              <w:bottom w:val="single" w:color="auto" w:sz="4" w:space="0"/>
              <w:right w:val="single" w:color="auto" w:sz="4" w:space="0"/>
            </w:tcBorders>
            <w:vAlign w:val="center"/>
          </w:tcPr>
          <w:p w14:paraId="3CCAEBF1">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符合第二章“投标人须知”第1.4.1项规定</w:t>
            </w:r>
          </w:p>
        </w:tc>
      </w:tr>
      <w:tr w14:paraId="0BF05F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9" w:type="dxa"/>
            <w:vMerge w:val="continue"/>
            <w:tcBorders>
              <w:top w:val="nil"/>
              <w:bottom w:val="single" w:color="auto" w:sz="4" w:space="0"/>
              <w:right w:val="single" w:color="auto" w:sz="4" w:space="0"/>
            </w:tcBorders>
            <w:vAlign w:val="center"/>
          </w:tcPr>
          <w:p w14:paraId="1F641762">
            <w:pPr>
              <w:spacing w:line="276" w:lineRule="auto"/>
              <w:jc w:val="center"/>
              <w:rPr>
                <w:rFonts w:hint="eastAsia" w:ascii="宋体" w:hAnsi="宋体" w:cs="宋体"/>
                <w:color w:val="auto"/>
                <w:szCs w:val="21"/>
                <w:highlight w:val="none"/>
              </w:rPr>
            </w:pPr>
          </w:p>
        </w:tc>
        <w:tc>
          <w:tcPr>
            <w:tcW w:w="1732" w:type="dxa"/>
            <w:gridSpan w:val="3"/>
            <w:vMerge w:val="continue"/>
            <w:tcBorders>
              <w:top w:val="nil"/>
              <w:bottom w:val="single" w:color="auto" w:sz="4" w:space="0"/>
              <w:right w:val="single" w:color="auto" w:sz="4" w:space="0"/>
            </w:tcBorders>
            <w:vAlign w:val="center"/>
          </w:tcPr>
          <w:p w14:paraId="5DE1CF02">
            <w:pPr>
              <w:spacing w:line="276" w:lineRule="auto"/>
              <w:jc w:val="center"/>
              <w:rPr>
                <w:rFonts w:hint="eastAsia" w:ascii="宋体" w:hAnsi="宋体" w:cs="宋体"/>
                <w:color w:val="auto"/>
                <w:szCs w:val="21"/>
                <w:highlight w:val="none"/>
              </w:rPr>
            </w:pPr>
          </w:p>
        </w:tc>
        <w:tc>
          <w:tcPr>
            <w:tcW w:w="1499" w:type="dxa"/>
            <w:tcBorders>
              <w:top w:val="single" w:color="auto" w:sz="4" w:space="0"/>
              <w:left w:val="single" w:color="auto" w:sz="4" w:space="0"/>
              <w:bottom w:val="single" w:color="auto" w:sz="4" w:space="0"/>
              <w:right w:val="single" w:color="auto" w:sz="4" w:space="0"/>
            </w:tcBorders>
            <w:vAlign w:val="center"/>
          </w:tcPr>
          <w:p w14:paraId="3ACF79B6">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联合体投标人</w:t>
            </w:r>
          </w:p>
        </w:tc>
        <w:tc>
          <w:tcPr>
            <w:tcW w:w="6052" w:type="dxa"/>
            <w:tcBorders>
              <w:top w:val="single" w:color="auto" w:sz="4" w:space="0"/>
              <w:left w:val="single" w:color="auto" w:sz="4" w:space="0"/>
              <w:bottom w:val="single" w:color="auto" w:sz="4" w:space="0"/>
              <w:right w:val="single" w:color="auto" w:sz="4" w:space="0"/>
            </w:tcBorders>
            <w:vAlign w:val="center"/>
          </w:tcPr>
          <w:p w14:paraId="447D09DE">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符合第二章“投标人须知”第1.4.2项规定</w:t>
            </w:r>
          </w:p>
        </w:tc>
      </w:tr>
      <w:tr w14:paraId="641A8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9" w:type="dxa"/>
            <w:vMerge w:val="restart"/>
            <w:tcBorders>
              <w:top w:val="nil"/>
              <w:right w:val="single" w:color="auto" w:sz="4" w:space="0"/>
            </w:tcBorders>
            <w:vAlign w:val="center"/>
          </w:tcPr>
          <w:p w14:paraId="1F98AA6C">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2.1.3</w:t>
            </w:r>
          </w:p>
          <w:p w14:paraId="3ECEAE60">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732" w:type="dxa"/>
            <w:gridSpan w:val="3"/>
            <w:vMerge w:val="restart"/>
            <w:tcBorders>
              <w:top w:val="nil"/>
              <w:right w:val="single" w:color="auto" w:sz="4" w:space="0"/>
            </w:tcBorders>
            <w:vAlign w:val="center"/>
          </w:tcPr>
          <w:p w14:paraId="1A047B1C">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设计方案响应性评审标准</w:t>
            </w:r>
          </w:p>
        </w:tc>
        <w:tc>
          <w:tcPr>
            <w:tcW w:w="1499" w:type="dxa"/>
            <w:tcBorders>
              <w:top w:val="single" w:color="auto" w:sz="4" w:space="0"/>
              <w:left w:val="single" w:color="auto" w:sz="4" w:space="0"/>
              <w:bottom w:val="single" w:color="auto" w:sz="4" w:space="0"/>
              <w:right w:val="single" w:color="auto" w:sz="4" w:space="0"/>
            </w:tcBorders>
            <w:vAlign w:val="center"/>
          </w:tcPr>
          <w:p w14:paraId="38F399AB">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暗标形式</w:t>
            </w:r>
          </w:p>
        </w:tc>
        <w:tc>
          <w:tcPr>
            <w:tcW w:w="6052" w:type="dxa"/>
            <w:tcBorders>
              <w:top w:val="single" w:color="auto" w:sz="4" w:space="0"/>
              <w:left w:val="single" w:color="auto" w:sz="4" w:space="0"/>
              <w:bottom w:val="single" w:color="auto" w:sz="4" w:space="0"/>
              <w:right w:val="single" w:color="auto" w:sz="4" w:space="0"/>
            </w:tcBorders>
            <w:vAlign w:val="center"/>
          </w:tcPr>
          <w:p w14:paraId="745B0D4F">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投标人未在设计方案上标注或做任何可以辨认投标人及专业技术人员身份的名称、印章、商标、图形等</w:t>
            </w:r>
          </w:p>
        </w:tc>
      </w:tr>
      <w:tr w14:paraId="3EE4DA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9" w:type="dxa"/>
            <w:vMerge w:val="continue"/>
            <w:tcBorders>
              <w:right w:val="single" w:color="auto" w:sz="4" w:space="0"/>
            </w:tcBorders>
            <w:vAlign w:val="center"/>
          </w:tcPr>
          <w:p w14:paraId="68DBD06D">
            <w:pPr>
              <w:spacing w:line="276" w:lineRule="auto"/>
              <w:jc w:val="center"/>
              <w:rPr>
                <w:rFonts w:hint="eastAsia" w:ascii="宋体" w:hAnsi="宋体" w:cs="宋体"/>
                <w:color w:val="auto"/>
                <w:szCs w:val="21"/>
                <w:highlight w:val="none"/>
              </w:rPr>
            </w:pPr>
          </w:p>
        </w:tc>
        <w:tc>
          <w:tcPr>
            <w:tcW w:w="1732" w:type="dxa"/>
            <w:gridSpan w:val="3"/>
            <w:vMerge w:val="continue"/>
            <w:tcBorders>
              <w:right w:val="single" w:color="auto" w:sz="4" w:space="0"/>
            </w:tcBorders>
            <w:vAlign w:val="center"/>
          </w:tcPr>
          <w:p w14:paraId="53D7D1F1">
            <w:pPr>
              <w:spacing w:line="276" w:lineRule="auto"/>
              <w:jc w:val="center"/>
              <w:rPr>
                <w:rFonts w:hint="eastAsia" w:ascii="宋体" w:hAnsi="宋体" w:cs="宋体"/>
                <w:color w:val="auto"/>
                <w:szCs w:val="21"/>
                <w:highlight w:val="none"/>
              </w:rPr>
            </w:pPr>
          </w:p>
        </w:tc>
        <w:tc>
          <w:tcPr>
            <w:tcW w:w="1499" w:type="dxa"/>
            <w:tcBorders>
              <w:top w:val="single" w:color="auto" w:sz="4" w:space="0"/>
              <w:left w:val="single" w:color="auto" w:sz="4" w:space="0"/>
              <w:bottom w:val="single" w:color="auto" w:sz="4" w:space="0"/>
              <w:right w:val="single" w:color="auto" w:sz="4" w:space="0"/>
            </w:tcBorders>
            <w:vAlign w:val="center"/>
          </w:tcPr>
          <w:p w14:paraId="199DFD6B">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明标暗标互相印</w:t>
            </w:r>
            <w:r>
              <w:rPr>
                <w:rFonts w:hint="eastAsia" w:ascii="宋体" w:hAnsi="宋体" w:cs="宋体"/>
                <w:color w:val="auto"/>
                <w:szCs w:val="21"/>
                <w:highlight w:val="none"/>
                <w:lang w:val="en-US" w:eastAsia="zh-CN"/>
              </w:rPr>
              <w:t>证</w:t>
            </w:r>
          </w:p>
        </w:tc>
        <w:tc>
          <w:tcPr>
            <w:tcW w:w="6052" w:type="dxa"/>
            <w:tcBorders>
              <w:top w:val="single" w:color="auto" w:sz="4" w:space="0"/>
              <w:left w:val="single" w:color="auto" w:sz="4" w:space="0"/>
              <w:bottom w:val="single" w:color="auto" w:sz="4" w:space="0"/>
              <w:right w:val="single" w:color="auto" w:sz="4" w:space="0"/>
            </w:tcBorders>
            <w:vAlign w:val="center"/>
          </w:tcPr>
          <w:p w14:paraId="5D0FB6CE">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投标文件未通过明标、暗标中包含的相同内容（如报价等）互相印证、辨认投标人身份</w:t>
            </w:r>
          </w:p>
        </w:tc>
      </w:tr>
      <w:tr w14:paraId="4018C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9" w:type="dxa"/>
            <w:vMerge w:val="continue"/>
            <w:tcBorders>
              <w:right w:val="single" w:color="auto" w:sz="4" w:space="0"/>
            </w:tcBorders>
            <w:vAlign w:val="center"/>
          </w:tcPr>
          <w:p w14:paraId="6CAD7546">
            <w:pPr>
              <w:spacing w:line="276" w:lineRule="auto"/>
              <w:jc w:val="center"/>
              <w:rPr>
                <w:rFonts w:hint="eastAsia" w:ascii="宋体" w:hAnsi="宋体" w:cs="宋体"/>
                <w:color w:val="auto"/>
                <w:szCs w:val="21"/>
                <w:highlight w:val="none"/>
              </w:rPr>
            </w:pPr>
          </w:p>
        </w:tc>
        <w:tc>
          <w:tcPr>
            <w:tcW w:w="1732" w:type="dxa"/>
            <w:gridSpan w:val="3"/>
            <w:vMerge w:val="continue"/>
            <w:tcBorders>
              <w:right w:val="single" w:color="auto" w:sz="4" w:space="0"/>
            </w:tcBorders>
            <w:vAlign w:val="center"/>
          </w:tcPr>
          <w:p w14:paraId="5578FD95">
            <w:pPr>
              <w:spacing w:line="276" w:lineRule="auto"/>
              <w:jc w:val="center"/>
              <w:rPr>
                <w:rFonts w:hint="eastAsia" w:ascii="宋体" w:hAnsi="宋体" w:cs="宋体"/>
                <w:color w:val="auto"/>
                <w:szCs w:val="21"/>
                <w:highlight w:val="none"/>
              </w:rPr>
            </w:pPr>
          </w:p>
        </w:tc>
        <w:tc>
          <w:tcPr>
            <w:tcW w:w="1499" w:type="dxa"/>
            <w:tcBorders>
              <w:top w:val="single" w:color="auto" w:sz="4" w:space="0"/>
              <w:left w:val="single" w:color="auto" w:sz="4" w:space="0"/>
              <w:bottom w:val="single" w:color="auto" w:sz="4" w:space="0"/>
              <w:right w:val="single" w:color="auto" w:sz="4" w:space="0"/>
            </w:tcBorders>
            <w:vAlign w:val="center"/>
          </w:tcPr>
          <w:p w14:paraId="1DA52069">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合法合规性</w:t>
            </w:r>
          </w:p>
        </w:tc>
        <w:tc>
          <w:tcPr>
            <w:tcW w:w="6052" w:type="dxa"/>
            <w:tcBorders>
              <w:top w:val="single" w:color="auto" w:sz="4" w:space="0"/>
              <w:left w:val="single" w:color="auto" w:sz="4" w:space="0"/>
              <w:bottom w:val="single" w:color="auto" w:sz="4" w:space="0"/>
              <w:right w:val="single" w:color="auto" w:sz="4" w:space="0"/>
            </w:tcBorders>
            <w:vAlign w:val="center"/>
          </w:tcPr>
          <w:p w14:paraId="62D92978">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投标人之间不存在《广东省实施&lt;中华人民共和国招标投标法&gt;</w:t>
            </w:r>
            <w:r>
              <w:rPr>
                <w:rFonts w:hint="eastAsia" w:ascii="宋体" w:hAnsi="宋体" w:cs="宋体"/>
                <w:color w:val="auto"/>
                <w:szCs w:val="21"/>
                <w:highlight w:val="none"/>
                <w:lang w:val="en-US" w:eastAsia="zh-CN"/>
              </w:rPr>
              <w:t>办法</w:t>
            </w:r>
            <w:r>
              <w:rPr>
                <w:rFonts w:hint="eastAsia" w:ascii="宋体" w:hAnsi="宋体" w:cs="宋体"/>
                <w:color w:val="auto"/>
                <w:szCs w:val="21"/>
                <w:highlight w:val="none"/>
              </w:rPr>
              <w:t>》第十六条所禁止的情形的</w:t>
            </w:r>
          </w:p>
        </w:tc>
      </w:tr>
      <w:tr w14:paraId="6048B4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9" w:type="dxa"/>
            <w:vMerge w:val="continue"/>
            <w:tcBorders>
              <w:bottom w:val="single" w:color="auto" w:sz="4" w:space="0"/>
              <w:right w:val="single" w:color="auto" w:sz="4" w:space="0"/>
            </w:tcBorders>
            <w:vAlign w:val="center"/>
          </w:tcPr>
          <w:p w14:paraId="124FE7FF">
            <w:pPr>
              <w:spacing w:line="276" w:lineRule="auto"/>
              <w:jc w:val="center"/>
              <w:rPr>
                <w:rFonts w:hint="eastAsia" w:ascii="宋体" w:hAnsi="宋体" w:cs="宋体"/>
                <w:color w:val="auto"/>
                <w:szCs w:val="21"/>
                <w:highlight w:val="none"/>
              </w:rPr>
            </w:pPr>
          </w:p>
        </w:tc>
        <w:tc>
          <w:tcPr>
            <w:tcW w:w="1732" w:type="dxa"/>
            <w:gridSpan w:val="3"/>
            <w:vMerge w:val="continue"/>
            <w:tcBorders>
              <w:bottom w:val="single" w:color="auto" w:sz="4" w:space="0"/>
              <w:right w:val="single" w:color="auto" w:sz="4" w:space="0"/>
            </w:tcBorders>
            <w:vAlign w:val="center"/>
          </w:tcPr>
          <w:p w14:paraId="1E83D7AA">
            <w:pPr>
              <w:spacing w:line="276" w:lineRule="auto"/>
              <w:jc w:val="center"/>
              <w:rPr>
                <w:rFonts w:hint="eastAsia" w:ascii="宋体" w:hAnsi="宋体" w:cs="宋体"/>
                <w:color w:val="auto"/>
                <w:szCs w:val="21"/>
                <w:highlight w:val="none"/>
              </w:rPr>
            </w:pPr>
          </w:p>
        </w:tc>
        <w:tc>
          <w:tcPr>
            <w:tcW w:w="1499" w:type="dxa"/>
            <w:tcBorders>
              <w:top w:val="single" w:color="auto" w:sz="4" w:space="0"/>
              <w:left w:val="single" w:color="auto" w:sz="4" w:space="0"/>
              <w:bottom w:val="single" w:color="auto" w:sz="4" w:space="0"/>
              <w:right w:val="single" w:color="auto" w:sz="4" w:space="0"/>
            </w:tcBorders>
            <w:vAlign w:val="center"/>
          </w:tcPr>
          <w:p w14:paraId="42F546CF">
            <w:pPr>
              <w:spacing w:line="276" w:lineRule="auto"/>
              <w:jc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抄袭行为</w:t>
            </w:r>
          </w:p>
        </w:tc>
        <w:tc>
          <w:tcPr>
            <w:tcW w:w="6052" w:type="dxa"/>
            <w:tcBorders>
              <w:top w:val="single" w:color="auto" w:sz="4" w:space="0"/>
              <w:left w:val="single" w:color="auto" w:sz="4" w:space="0"/>
              <w:bottom w:val="single" w:color="auto" w:sz="4" w:space="0"/>
              <w:right w:val="single" w:color="auto" w:sz="4" w:space="0"/>
            </w:tcBorders>
            <w:vAlign w:val="center"/>
          </w:tcPr>
          <w:p w14:paraId="56AA59ED">
            <w:pPr>
              <w:spacing w:line="276" w:lineRule="auto"/>
              <w:jc w:val="both"/>
              <w:rPr>
                <w:rFonts w:hint="eastAsia" w:ascii="宋体" w:hAnsi="宋体" w:cs="宋体"/>
                <w:color w:val="auto"/>
                <w:szCs w:val="21"/>
                <w:highlight w:val="none"/>
                <w:u w:val="single"/>
              </w:rPr>
            </w:pPr>
            <w:r>
              <w:rPr>
                <w:rFonts w:hint="eastAsia" w:ascii="宋体" w:hAnsi="宋体" w:cs="宋体"/>
                <w:color w:val="auto"/>
                <w:szCs w:val="21"/>
                <w:highlight w:val="none"/>
                <w:u w:val="single"/>
              </w:rPr>
              <w:t>未发现明显抄袭行为</w:t>
            </w:r>
          </w:p>
        </w:tc>
      </w:tr>
      <w:tr w14:paraId="5996E0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9" w:type="dxa"/>
            <w:vMerge w:val="restart"/>
            <w:tcBorders>
              <w:top w:val="single" w:color="auto" w:sz="4" w:space="0"/>
              <w:bottom w:val="single" w:color="auto" w:sz="4" w:space="0"/>
              <w:right w:val="single" w:color="auto" w:sz="4" w:space="0"/>
            </w:tcBorders>
            <w:vAlign w:val="center"/>
          </w:tcPr>
          <w:p w14:paraId="603090EB">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2.1.3</w:t>
            </w:r>
          </w:p>
          <w:p w14:paraId="42346FAC">
            <w:pPr>
              <w:pStyle w:val="16"/>
              <w:spacing w:line="276" w:lineRule="auto"/>
              <w:rPr>
                <w:rFonts w:hint="eastAsia" w:ascii="宋体" w:hAnsi="宋体" w:cs="宋体"/>
                <w:color w:val="auto"/>
                <w:szCs w:val="21"/>
                <w:highlight w:val="none"/>
              </w:rPr>
            </w:pPr>
            <w:r>
              <w:rPr>
                <w:rFonts w:hint="eastAsia" w:ascii="宋体" w:hAnsi="宋体" w:cs="宋体"/>
                <w:color w:val="auto"/>
                <w:szCs w:val="21"/>
                <w:highlight w:val="none"/>
              </w:rPr>
              <w:t>（2）</w:t>
            </w:r>
          </w:p>
          <w:p w14:paraId="70ACED54">
            <w:pPr>
              <w:spacing w:line="276" w:lineRule="auto"/>
              <w:jc w:val="center"/>
              <w:rPr>
                <w:rFonts w:hint="eastAsia" w:ascii="宋体" w:hAnsi="宋体" w:cs="宋体"/>
                <w:color w:val="auto"/>
                <w:szCs w:val="21"/>
                <w:highlight w:val="none"/>
              </w:rPr>
            </w:pPr>
          </w:p>
        </w:tc>
        <w:tc>
          <w:tcPr>
            <w:tcW w:w="1732" w:type="dxa"/>
            <w:gridSpan w:val="3"/>
            <w:vMerge w:val="restart"/>
            <w:tcBorders>
              <w:top w:val="single" w:color="auto" w:sz="4" w:space="0"/>
              <w:left w:val="single" w:color="auto" w:sz="4" w:space="0"/>
              <w:bottom w:val="single" w:color="auto" w:sz="4" w:space="0"/>
              <w:right w:val="single" w:color="auto" w:sz="4" w:space="0"/>
            </w:tcBorders>
            <w:vAlign w:val="center"/>
          </w:tcPr>
          <w:p w14:paraId="3519932C">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工程总承包实施方案响应性评审标准</w:t>
            </w:r>
          </w:p>
        </w:tc>
        <w:tc>
          <w:tcPr>
            <w:tcW w:w="1499" w:type="dxa"/>
            <w:tcBorders>
              <w:top w:val="single" w:color="auto" w:sz="4" w:space="0"/>
              <w:left w:val="single" w:color="auto" w:sz="4" w:space="0"/>
              <w:bottom w:val="single" w:color="auto" w:sz="4" w:space="0"/>
              <w:right w:val="single" w:color="auto" w:sz="4" w:space="0"/>
            </w:tcBorders>
            <w:vAlign w:val="center"/>
          </w:tcPr>
          <w:p w14:paraId="312FC8F1">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投标报价</w:t>
            </w:r>
          </w:p>
        </w:tc>
        <w:tc>
          <w:tcPr>
            <w:tcW w:w="6052" w:type="dxa"/>
            <w:tcBorders>
              <w:top w:val="single" w:color="auto" w:sz="4" w:space="0"/>
              <w:left w:val="single" w:color="auto" w:sz="4" w:space="0"/>
              <w:bottom w:val="single" w:color="auto" w:sz="4" w:space="0"/>
              <w:right w:val="single" w:color="auto" w:sz="4" w:space="0"/>
            </w:tcBorders>
            <w:vAlign w:val="center"/>
          </w:tcPr>
          <w:p w14:paraId="113C83BF">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符合第二章“投标人须知”第3.2.2项规定</w:t>
            </w:r>
          </w:p>
        </w:tc>
      </w:tr>
      <w:tr w14:paraId="324AE0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9" w:type="dxa"/>
            <w:vMerge w:val="continue"/>
            <w:tcBorders>
              <w:top w:val="single" w:color="auto" w:sz="4" w:space="0"/>
              <w:bottom w:val="single" w:color="auto" w:sz="4" w:space="0"/>
              <w:right w:val="single" w:color="auto" w:sz="4" w:space="0"/>
            </w:tcBorders>
            <w:vAlign w:val="center"/>
          </w:tcPr>
          <w:p w14:paraId="0C37E4BD">
            <w:pPr>
              <w:spacing w:line="276" w:lineRule="auto"/>
              <w:jc w:val="center"/>
              <w:rPr>
                <w:rFonts w:hint="eastAsia" w:ascii="宋体" w:hAnsi="宋体" w:cs="宋体"/>
                <w:color w:val="auto"/>
                <w:szCs w:val="21"/>
                <w:highlight w:val="none"/>
              </w:rPr>
            </w:pPr>
          </w:p>
        </w:tc>
        <w:tc>
          <w:tcPr>
            <w:tcW w:w="1732" w:type="dxa"/>
            <w:gridSpan w:val="3"/>
            <w:vMerge w:val="continue"/>
            <w:tcBorders>
              <w:top w:val="single" w:color="auto" w:sz="4" w:space="0"/>
              <w:bottom w:val="single" w:color="auto" w:sz="4" w:space="0"/>
              <w:right w:val="single" w:color="auto" w:sz="4" w:space="0"/>
            </w:tcBorders>
            <w:vAlign w:val="center"/>
          </w:tcPr>
          <w:p w14:paraId="574EDDBB">
            <w:pPr>
              <w:spacing w:line="276" w:lineRule="auto"/>
              <w:jc w:val="center"/>
              <w:rPr>
                <w:rFonts w:hint="eastAsia" w:ascii="宋体" w:hAnsi="宋体" w:cs="宋体"/>
                <w:color w:val="auto"/>
                <w:szCs w:val="21"/>
                <w:highlight w:val="none"/>
              </w:rPr>
            </w:pPr>
          </w:p>
        </w:tc>
        <w:tc>
          <w:tcPr>
            <w:tcW w:w="1499" w:type="dxa"/>
            <w:tcBorders>
              <w:top w:val="single" w:color="auto" w:sz="4" w:space="0"/>
              <w:left w:val="single" w:color="auto" w:sz="4" w:space="0"/>
              <w:bottom w:val="single" w:color="auto" w:sz="4" w:space="0"/>
              <w:right w:val="single" w:color="auto" w:sz="4" w:space="0"/>
            </w:tcBorders>
            <w:vAlign w:val="center"/>
          </w:tcPr>
          <w:p w14:paraId="079D3C2F">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投标内容</w:t>
            </w:r>
          </w:p>
        </w:tc>
        <w:tc>
          <w:tcPr>
            <w:tcW w:w="6052" w:type="dxa"/>
            <w:tcBorders>
              <w:top w:val="single" w:color="auto" w:sz="4" w:space="0"/>
              <w:left w:val="single" w:color="auto" w:sz="4" w:space="0"/>
              <w:bottom w:val="single" w:color="auto" w:sz="4" w:space="0"/>
              <w:right w:val="single" w:color="auto" w:sz="4" w:space="0"/>
            </w:tcBorders>
            <w:vAlign w:val="center"/>
          </w:tcPr>
          <w:p w14:paraId="361A841B">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符合第二章“投标人须知”第1.3.1项规定</w:t>
            </w:r>
          </w:p>
        </w:tc>
      </w:tr>
      <w:tr w14:paraId="5FD26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9" w:type="dxa"/>
            <w:vMerge w:val="continue"/>
            <w:tcBorders>
              <w:top w:val="single" w:color="auto" w:sz="4" w:space="0"/>
              <w:bottom w:val="single" w:color="auto" w:sz="4" w:space="0"/>
              <w:right w:val="single" w:color="auto" w:sz="4" w:space="0"/>
            </w:tcBorders>
            <w:vAlign w:val="center"/>
          </w:tcPr>
          <w:p w14:paraId="7D80DBFB">
            <w:pPr>
              <w:spacing w:line="276" w:lineRule="auto"/>
              <w:jc w:val="center"/>
              <w:rPr>
                <w:rFonts w:hint="eastAsia" w:ascii="宋体" w:hAnsi="宋体" w:cs="宋体"/>
                <w:color w:val="auto"/>
                <w:szCs w:val="21"/>
                <w:highlight w:val="none"/>
              </w:rPr>
            </w:pPr>
          </w:p>
        </w:tc>
        <w:tc>
          <w:tcPr>
            <w:tcW w:w="1732" w:type="dxa"/>
            <w:gridSpan w:val="3"/>
            <w:vMerge w:val="continue"/>
            <w:tcBorders>
              <w:top w:val="single" w:color="auto" w:sz="4" w:space="0"/>
              <w:bottom w:val="single" w:color="auto" w:sz="4" w:space="0"/>
              <w:right w:val="single" w:color="auto" w:sz="4" w:space="0"/>
            </w:tcBorders>
            <w:vAlign w:val="center"/>
          </w:tcPr>
          <w:p w14:paraId="538426EA">
            <w:pPr>
              <w:spacing w:line="276" w:lineRule="auto"/>
              <w:jc w:val="center"/>
              <w:rPr>
                <w:rFonts w:hint="eastAsia" w:ascii="宋体" w:hAnsi="宋体" w:cs="宋体"/>
                <w:color w:val="auto"/>
                <w:szCs w:val="21"/>
                <w:highlight w:val="none"/>
              </w:rPr>
            </w:pPr>
          </w:p>
        </w:tc>
        <w:tc>
          <w:tcPr>
            <w:tcW w:w="1499" w:type="dxa"/>
            <w:tcBorders>
              <w:top w:val="single" w:color="auto" w:sz="4" w:space="0"/>
              <w:left w:val="single" w:color="auto" w:sz="4" w:space="0"/>
              <w:bottom w:val="single" w:color="auto" w:sz="4" w:space="0"/>
              <w:right w:val="single" w:color="auto" w:sz="4" w:space="0"/>
            </w:tcBorders>
            <w:vAlign w:val="center"/>
          </w:tcPr>
          <w:p w14:paraId="0FD5CD3B">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工期</w:t>
            </w:r>
          </w:p>
        </w:tc>
        <w:tc>
          <w:tcPr>
            <w:tcW w:w="6052" w:type="dxa"/>
            <w:tcBorders>
              <w:top w:val="single" w:color="auto" w:sz="4" w:space="0"/>
              <w:left w:val="single" w:color="auto" w:sz="4" w:space="0"/>
              <w:bottom w:val="single" w:color="auto" w:sz="4" w:space="0"/>
              <w:right w:val="single" w:color="auto" w:sz="4" w:space="0"/>
            </w:tcBorders>
            <w:vAlign w:val="center"/>
          </w:tcPr>
          <w:p w14:paraId="182F0B54">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符合第二章“投标人须知”第1.3.2项规定</w:t>
            </w:r>
          </w:p>
        </w:tc>
      </w:tr>
      <w:tr w14:paraId="08B0C9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9" w:type="dxa"/>
            <w:vMerge w:val="continue"/>
            <w:tcBorders>
              <w:top w:val="single" w:color="auto" w:sz="4" w:space="0"/>
              <w:bottom w:val="single" w:color="auto" w:sz="4" w:space="0"/>
              <w:right w:val="single" w:color="auto" w:sz="4" w:space="0"/>
            </w:tcBorders>
            <w:vAlign w:val="center"/>
          </w:tcPr>
          <w:p w14:paraId="25B396FE">
            <w:pPr>
              <w:spacing w:line="276" w:lineRule="auto"/>
              <w:jc w:val="center"/>
              <w:rPr>
                <w:rFonts w:hint="eastAsia" w:ascii="宋体" w:hAnsi="宋体" w:cs="宋体"/>
                <w:color w:val="auto"/>
                <w:szCs w:val="21"/>
                <w:highlight w:val="none"/>
              </w:rPr>
            </w:pPr>
          </w:p>
        </w:tc>
        <w:tc>
          <w:tcPr>
            <w:tcW w:w="1732" w:type="dxa"/>
            <w:gridSpan w:val="3"/>
            <w:vMerge w:val="continue"/>
            <w:tcBorders>
              <w:top w:val="single" w:color="auto" w:sz="4" w:space="0"/>
              <w:bottom w:val="single" w:color="auto" w:sz="4" w:space="0"/>
              <w:right w:val="single" w:color="auto" w:sz="4" w:space="0"/>
            </w:tcBorders>
            <w:vAlign w:val="center"/>
          </w:tcPr>
          <w:p w14:paraId="75B45B39">
            <w:pPr>
              <w:spacing w:line="276" w:lineRule="auto"/>
              <w:jc w:val="center"/>
              <w:rPr>
                <w:rFonts w:hint="eastAsia" w:ascii="宋体" w:hAnsi="宋体" w:cs="宋体"/>
                <w:color w:val="auto"/>
                <w:szCs w:val="21"/>
                <w:highlight w:val="none"/>
              </w:rPr>
            </w:pPr>
          </w:p>
        </w:tc>
        <w:tc>
          <w:tcPr>
            <w:tcW w:w="1499" w:type="dxa"/>
            <w:tcBorders>
              <w:top w:val="single" w:color="auto" w:sz="4" w:space="0"/>
              <w:left w:val="single" w:color="auto" w:sz="4" w:space="0"/>
              <w:bottom w:val="single" w:color="auto" w:sz="4" w:space="0"/>
              <w:right w:val="single" w:color="auto" w:sz="4" w:space="0"/>
            </w:tcBorders>
            <w:vAlign w:val="center"/>
          </w:tcPr>
          <w:p w14:paraId="231C8874">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质量标准</w:t>
            </w:r>
          </w:p>
        </w:tc>
        <w:tc>
          <w:tcPr>
            <w:tcW w:w="6052" w:type="dxa"/>
            <w:tcBorders>
              <w:top w:val="single" w:color="auto" w:sz="4" w:space="0"/>
              <w:left w:val="single" w:color="auto" w:sz="4" w:space="0"/>
              <w:bottom w:val="single" w:color="auto" w:sz="4" w:space="0"/>
              <w:right w:val="single" w:color="auto" w:sz="4" w:space="0"/>
            </w:tcBorders>
            <w:vAlign w:val="center"/>
          </w:tcPr>
          <w:p w14:paraId="18AB8F9A">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符合第二章“投标人须知”第1.3.3项规定</w:t>
            </w:r>
          </w:p>
        </w:tc>
      </w:tr>
      <w:tr w14:paraId="7AE49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9" w:type="dxa"/>
            <w:vMerge w:val="continue"/>
            <w:tcBorders>
              <w:top w:val="single" w:color="auto" w:sz="4" w:space="0"/>
              <w:bottom w:val="single" w:color="auto" w:sz="4" w:space="0"/>
              <w:right w:val="single" w:color="auto" w:sz="4" w:space="0"/>
            </w:tcBorders>
            <w:vAlign w:val="center"/>
          </w:tcPr>
          <w:p w14:paraId="011D19B1">
            <w:pPr>
              <w:spacing w:line="276" w:lineRule="auto"/>
              <w:jc w:val="center"/>
              <w:rPr>
                <w:rFonts w:hint="eastAsia" w:ascii="宋体" w:hAnsi="宋体" w:cs="宋体"/>
                <w:color w:val="auto"/>
                <w:szCs w:val="21"/>
                <w:highlight w:val="none"/>
              </w:rPr>
            </w:pPr>
          </w:p>
        </w:tc>
        <w:tc>
          <w:tcPr>
            <w:tcW w:w="1732" w:type="dxa"/>
            <w:gridSpan w:val="3"/>
            <w:vMerge w:val="continue"/>
            <w:tcBorders>
              <w:top w:val="single" w:color="auto" w:sz="4" w:space="0"/>
              <w:bottom w:val="single" w:color="auto" w:sz="4" w:space="0"/>
              <w:right w:val="single" w:color="auto" w:sz="4" w:space="0"/>
            </w:tcBorders>
            <w:vAlign w:val="center"/>
          </w:tcPr>
          <w:p w14:paraId="546F5059">
            <w:pPr>
              <w:spacing w:line="276" w:lineRule="auto"/>
              <w:jc w:val="center"/>
              <w:rPr>
                <w:rFonts w:hint="eastAsia" w:ascii="宋体" w:hAnsi="宋体" w:cs="宋体"/>
                <w:color w:val="auto"/>
                <w:szCs w:val="21"/>
                <w:highlight w:val="none"/>
              </w:rPr>
            </w:pPr>
          </w:p>
        </w:tc>
        <w:tc>
          <w:tcPr>
            <w:tcW w:w="1499" w:type="dxa"/>
            <w:tcBorders>
              <w:top w:val="single" w:color="auto" w:sz="4" w:space="0"/>
              <w:left w:val="single" w:color="auto" w:sz="4" w:space="0"/>
              <w:bottom w:val="single" w:color="auto" w:sz="4" w:space="0"/>
              <w:right w:val="single" w:color="auto" w:sz="4" w:space="0"/>
            </w:tcBorders>
            <w:vAlign w:val="center"/>
          </w:tcPr>
          <w:p w14:paraId="4D6A5740">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投标有效期</w:t>
            </w:r>
          </w:p>
        </w:tc>
        <w:tc>
          <w:tcPr>
            <w:tcW w:w="6052" w:type="dxa"/>
            <w:tcBorders>
              <w:top w:val="single" w:color="auto" w:sz="4" w:space="0"/>
              <w:left w:val="single" w:color="auto" w:sz="4" w:space="0"/>
              <w:bottom w:val="single" w:color="auto" w:sz="4" w:space="0"/>
              <w:right w:val="single" w:color="auto" w:sz="4" w:space="0"/>
            </w:tcBorders>
            <w:vAlign w:val="center"/>
          </w:tcPr>
          <w:p w14:paraId="03A20D4B">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符合第二章“投标人须知”第3.3.1项规定</w:t>
            </w:r>
          </w:p>
        </w:tc>
      </w:tr>
      <w:tr w14:paraId="010439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9" w:type="dxa"/>
            <w:vMerge w:val="continue"/>
            <w:tcBorders>
              <w:top w:val="single" w:color="auto" w:sz="4" w:space="0"/>
              <w:bottom w:val="single" w:color="auto" w:sz="4" w:space="0"/>
              <w:right w:val="single" w:color="auto" w:sz="4" w:space="0"/>
            </w:tcBorders>
            <w:vAlign w:val="center"/>
          </w:tcPr>
          <w:p w14:paraId="2F8CA42F">
            <w:pPr>
              <w:spacing w:line="276" w:lineRule="auto"/>
              <w:jc w:val="center"/>
              <w:rPr>
                <w:rFonts w:hint="eastAsia" w:ascii="宋体" w:hAnsi="宋体" w:cs="宋体"/>
                <w:color w:val="auto"/>
                <w:szCs w:val="21"/>
                <w:highlight w:val="none"/>
              </w:rPr>
            </w:pPr>
          </w:p>
        </w:tc>
        <w:tc>
          <w:tcPr>
            <w:tcW w:w="1732" w:type="dxa"/>
            <w:gridSpan w:val="3"/>
            <w:vMerge w:val="continue"/>
            <w:tcBorders>
              <w:top w:val="single" w:color="auto" w:sz="4" w:space="0"/>
              <w:bottom w:val="single" w:color="auto" w:sz="4" w:space="0"/>
              <w:right w:val="single" w:color="auto" w:sz="4" w:space="0"/>
            </w:tcBorders>
            <w:vAlign w:val="center"/>
          </w:tcPr>
          <w:p w14:paraId="4183735E">
            <w:pPr>
              <w:spacing w:line="276" w:lineRule="auto"/>
              <w:jc w:val="center"/>
              <w:rPr>
                <w:rFonts w:hint="eastAsia" w:ascii="宋体" w:hAnsi="宋体" w:cs="宋体"/>
                <w:color w:val="auto"/>
                <w:szCs w:val="21"/>
                <w:highlight w:val="none"/>
              </w:rPr>
            </w:pPr>
          </w:p>
        </w:tc>
        <w:tc>
          <w:tcPr>
            <w:tcW w:w="1499" w:type="dxa"/>
            <w:tcBorders>
              <w:top w:val="single" w:color="auto" w:sz="4" w:space="0"/>
              <w:left w:val="single" w:color="auto" w:sz="4" w:space="0"/>
              <w:bottom w:val="single" w:color="auto" w:sz="4" w:space="0"/>
              <w:right w:val="single" w:color="auto" w:sz="4" w:space="0"/>
            </w:tcBorders>
            <w:vAlign w:val="center"/>
          </w:tcPr>
          <w:p w14:paraId="6AEDC43F">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合法合规性</w:t>
            </w:r>
          </w:p>
        </w:tc>
        <w:tc>
          <w:tcPr>
            <w:tcW w:w="6052" w:type="dxa"/>
            <w:tcBorders>
              <w:top w:val="single" w:color="auto" w:sz="4" w:space="0"/>
              <w:left w:val="single" w:color="auto" w:sz="4" w:space="0"/>
              <w:bottom w:val="single" w:color="auto" w:sz="4" w:space="0"/>
              <w:right w:val="single" w:color="auto" w:sz="4" w:space="0"/>
            </w:tcBorders>
            <w:vAlign w:val="center"/>
          </w:tcPr>
          <w:p w14:paraId="3E8EA2B1">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投标人之间不存在《广东省实施&lt;中华人民共和国招标投标法&gt;</w:t>
            </w:r>
            <w:r>
              <w:rPr>
                <w:rFonts w:hint="eastAsia" w:ascii="宋体" w:hAnsi="宋体" w:cs="宋体"/>
                <w:color w:val="auto"/>
                <w:szCs w:val="21"/>
                <w:highlight w:val="none"/>
                <w:lang w:val="en-US" w:eastAsia="zh-CN"/>
              </w:rPr>
              <w:t>办法</w:t>
            </w:r>
            <w:r>
              <w:rPr>
                <w:rFonts w:hint="eastAsia" w:ascii="宋体" w:hAnsi="宋体" w:cs="宋体"/>
                <w:color w:val="auto"/>
                <w:szCs w:val="21"/>
                <w:highlight w:val="none"/>
              </w:rPr>
              <w:t>》第十六条所禁止的情形的</w:t>
            </w:r>
          </w:p>
        </w:tc>
      </w:tr>
      <w:tr w14:paraId="10DB65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401" w:type="dxa"/>
            <w:gridSpan w:val="4"/>
            <w:tcBorders>
              <w:top w:val="single" w:color="auto" w:sz="4" w:space="0"/>
              <w:bottom w:val="single" w:color="auto" w:sz="4" w:space="0"/>
              <w:right w:val="single" w:color="auto" w:sz="4" w:space="0"/>
            </w:tcBorders>
            <w:vAlign w:val="center"/>
          </w:tcPr>
          <w:p w14:paraId="1A14CA4E">
            <w:pPr>
              <w:spacing w:line="27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1499" w:type="dxa"/>
            <w:tcBorders>
              <w:top w:val="single" w:color="auto" w:sz="4" w:space="0"/>
              <w:left w:val="single" w:color="auto" w:sz="4" w:space="0"/>
              <w:bottom w:val="single" w:color="auto" w:sz="4" w:space="0"/>
              <w:right w:val="single" w:color="auto" w:sz="4" w:space="0"/>
            </w:tcBorders>
            <w:vAlign w:val="center"/>
          </w:tcPr>
          <w:p w14:paraId="2AA1D074">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条款内容</w:t>
            </w:r>
          </w:p>
        </w:tc>
        <w:tc>
          <w:tcPr>
            <w:tcW w:w="6052" w:type="dxa"/>
            <w:tcBorders>
              <w:top w:val="single" w:color="auto" w:sz="4" w:space="0"/>
              <w:left w:val="single" w:color="auto" w:sz="4" w:space="0"/>
              <w:bottom w:val="single" w:color="auto" w:sz="4" w:space="0"/>
              <w:right w:val="single" w:color="auto" w:sz="4" w:space="0"/>
            </w:tcBorders>
            <w:vAlign w:val="center"/>
          </w:tcPr>
          <w:p w14:paraId="1CC6C760">
            <w:pPr>
              <w:spacing w:line="27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编列内容</w:t>
            </w:r>
          </w:p>
        </w:tc>
      </w:tr>
      <w:tr w14:paraId="2406EF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401" w:type="dxa"/>
            <w:gridSpan w:val="4"/>
            <w:tcBorders>
              <w:bottom w:val="single" w:color="auto" w:sz="4" w:space="0"/>
              <w:right w:val="single" w:color="auto" w:sz="4" w:space="0"/>
            </w:tcBorders>
            <w:vAlign w:val="center"/>
          </w:tcPr>
          <w:p w14:paraId="4BDD93AC">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2.2.1</w:t>
            </w:r>
          </w:p>
        </w:tc>
        <w:tc>
          <w:tcPr>
            <w:tcW w:w="1499" w:type="dxa"/>
            <w:tcBorders>
              <w:top w:val="single" w:color="auto" w:sz="4" w:space="0"/>
              <w:left w:val="single" w:color="auto" w:sz="4" w:space="0"/>
              <w:bottom w:val="single" w:color="auto" w:sz="4" w:space="0"/>
              <w:right w:val="single" w:color="auto" w:sz="4" w:space="0"/>
            </w:tcBorders>
            <w:vAlign w:val="center"/>
          </w:tcPr>
          <w:p w14:paraId="0E770B09">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分值构成</w:t>
            </w:r>
          </w:p>
          <w:p w14:paraId="07EF1677">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(总分100分)</w:t>
            </w:r>
          </w:p>
        </w:tc>
        <w:tc>
          <w:tcPr>
            <w:tcW w:w="6052" w:type="dxa"/>
            <w:tcBorders>
              <w:top w:val="single" w:color="auto" w:sz="4" w:space="0"/>
              <w:left w:val="single" w:color="auto" w:sz="4" w:space="0"/>
              <w:bottom w:val="single" w:color="auto" w:sz="4" w:space="0"/>
              <w:right w:val="single" w:color="auto" w:sz="4" w:space="0"/>
            </w:tcBorders>
            <w:vAlign w:val="center"/>
          </w:tcPr>
          <w:p w14:paraId="7A3D7D90">
            <w:pPr>
              <w:spacing w:line="276" w:lineRule="auto"/>
              <w:rPr>
                <w:rFonts w:hint="eastAsia" w:ascii="宋体" w:hAnsi="宋体" w:cs="宋体"/>
                <w:b/>
                <w:bCs/>
                <w:color w:val="auto"/>
                <w:szCs w:val="21"/>
                <w:highlight w:val="none"/>
                <w:u w:val="single"/>
              </w:rPr>
            </w:pPr>
            <w:r>
              <w:rPr>
                <w:rFonts w:hint="eastAsia" w:ascii="宋体" w:hAnsi="宋体" w:cs="宋体"/>
                <w:b/>
                <w:bCs/>
                <w:color w:val="auto"/>
                <w:szCs w:val="21"/>
                <w:highlight w:val="none"/>
              </w:rPr>
              <w:t>总分=设计方案得分（满分为100分）×权重（</w:t>
            </w:r>
            <w:r>
              <w:rPr>
                <w:rFonts w:ascii="宋体" w:hAnsi="宋体" w:cs="宋体"/>
                <w:b/>
                <w:bCs/>
                <w:color w:val="auto"/>
                <w:szCs w:val="21"/>
                <w:highlight w:val="none"/>
              </w:rPr>
              <w:t>3</w:t>
            </w:r>
            <w:r>
              <w:rPr>
                <w:rFonts w:hint="eastAsia" w:ascii="宋体" w:hAnsi="宋体" w:cs="宋体"/>
                <w:b/>
                <w:bCs/>
                <w:color w:val="auto"/>
                <w:szCs w:val="21"/>
                <w:highlight w:val="none"/>
              </w:rPr>
              <w:t>0%）+工程总承包实施方案得分（满分为100分）×权重（</w:t>
            </w:r>
            <w:r>
              <w:rPr>
                <w:rFonts w:ascii="宋体" w:hAnsi="宋体" w:cs="宋体"/>
                <w:b/>
                <w:bCs/>
                <w:color w:val="auto"/>
                <w:szCs w:val="21"/>
                <w:highlight w:val="none"/>
              </w:rPr>
              <w:t>35</w:t>
            </w:r>
            <w:r>
              <w:rPr>
                <w:rFonts w:hint="eastAsia" w:ascii="宋体" w:hAnsi="宋体" w:cs="宋体"/>
                <w:b/>
                <w:bCs/>
                <w:color w:val="auto"/>
                <w:szCs w:val="21"/>
                <w:highlight w:val="none"/>
              </w:rPr>
              <w:t>%）+投标报价得分（满分为100分）×权重（</w:t>
            </w:r>
            <w:r>
              <w:rPr>
                <w:rFonts w:ascii="宋体" w:hAnsi="宋体" w:cs="宋体"/>
                <w:b/>
                <w:bCs/>
                <w:color w:val="auto"/>
                <w:szCs w:val="21"/>
                <w:highlight w:val="none"/>
              </w:rPr>
              <w:t>35</w:t>
            </w:r>
            <w:r>
              <w:rPr>
                <w:rFonts w:hint="eastAsia" w:ascii="宋体" w:hAnsi="宋体" w:cs="宋体"/>
                <w:b/>
                <w:bCs/>
                <w:color w:val="auto"/>
                <w:szCs w:val="21"/>
                <w:highlight w:val="none"/>
              </w:rPr>
              <w:t>%）</w:t>
            </w:r>
          </w:p>
        </w:tc>
      </w:tr>
      <w:tr w14:paraId="3A88B3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401" w:type="dxa"/>
            <w:gridSpan w:val="4"/>
            <w:tcBorders>
              <w:top w:val="single" w:color="auto" w:sz="4" w:space="0"/>
              <w:bottom w:val="single" w:color="auto" w:sz="4" w:space="0"/>
              <w:right w:val="single" w:color="auto" w:sz="4" w:space="0"/>
            </w:tcBorders>
            <w:vAlign w:val="center"/>
          </w:tcPr>
          <w:p w14:paraId="39137B54">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2.2.2</w:t>
            </w:r>
          </w:p>
        </w:tc>
        <w:tc>
          <w:tcPr>
            <w:tcW w:w="1499" w:type="dxa"/>
            <w:tcBorders>
              <w:top w:val="single" w:color="auto" w:sz="4" w:space="0"/>
              <w:left w:val="single" w:color="auto" w:sz="4" w:space="0"/>
              <w:bottom w:val="single" w:color="auto" w:sz="4" w:space="0"/>
              <w:right w:val="single" w:color="auto" w:sz="4" w:space="0"/>
            </w:tcBorders>
            <w:vAlign w:val="center"/>
          </w:tcPr>
          <w:p w14:paraId="3B6F0C66">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评标基准价计算方法</w:t>
            </w:r>
          </w:p>
        </w:tc>
        <w:tc>
          <w:tcPr>
            <w:tcW w:w="6052" w:type="dxa"/>
            <w:tcBorders>
              <w:top w:val="single" w:color="auto" w:sz="4" w:space="0"/>
              <w:left w:val="single" w:color="auto" w:sz="4" w:space="0"/>
              <w:bottom w:val="single" w:color="auto" w:sz="4" w:space="0"/>
              <w:right w:val="single" w:color="auto" w:sz="4" w:space="0"/>
            </w:tcBorders>
            <w:vAlign w:val="center"/>
          </w:tcPr>
          <w:p w14:paraId="2E3B7874">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通过形式评审、资格评审、设计方案响应性评审和工程总承包实施方案响应性评审且经算术校核的投标总报价位于[本项目最高投标限价×90%，本项目最高投标限价]区间的投标人大于或等于5家时，去掉一个最高价和一个最低价后，取剩余报价的算术平均值为评标基准价；通过形式评审、资格评审、设计方案响应性评审和工程总承包实施方案响应性评审且经算术校核的投标总报价位于[本项目最高投标限价×90%，本项目最高投标限价]区间的投标人少于5家时，直接取区间中的投标总报价的算术平均值为评标基准价。通过形式评审、资格评审、设计方案响应性评审和工程总承包实施方案响应性评审且经算术校核的投标总报价若没有位于[本项目最高总投标限价×90%，本项目最高投标限价]区间，则以本项目最高投标限价×90%为评标基准价。</w:t>
            </w:r>
          </w:p>
        </w:tc>
      </w:tr>
      <w:tr w14:paraId="6DEC21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401" w:type="dxa"/>
            <w:gridSpan w:val="4"/>
            <w:tcBorders>
              <w:top w:val="single" w:color="auto" w:sz="4" w:space="0"/>
              <w:bottom w:val="single" w:color="auto" w:sz="4" w:space="0"/>
              <w:right w:val="single" w:color="auto" w:sz="4" w:space="0"/>
            </w:tcBorders>
            <w:vAlign w:val="center"/>
          </w:tcPr>
          <w:p w14:paraId="296DAD14">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2.2.3</w:t>
            </w:r>
          </w:p>
        </w:tc>
        <w:tc>
          <w:tcPr>
            <w:tcW w:w="1499" w:type="dxa"/>
            <w:tcBorders>
              <w:top w:val="single" w:color="auto" w:sz="4" w:space="0"/>
              <w:left w:val="single" w:color="auto" w:sz="4" w:space="0"/>
              <w:right w:val="single" w:color="auto" w:sz="4" w:space="0"/>
            </w:tcBorders>
            <w:vAlign w:val="center"/>
          </w:tcPr>
          <w:p w14:paraId="6F95ACA2">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投标报价的偏差率计算公式</w:t>
            </w:r>
          </w:p>
        </w:tc>
        <w:tc>
          <w:tcPr>
            <w:tcW w:w="6052" w:type="dxa"/>
            <w:tcBorders>
              <w:top w:val="single" w:color="auto" w:sz="4" w:space="0"/>
              <w:left w:val="single" w:color="auto" w:sz="4" w:space="0"/>
              <w:right w:val="single" w:color="auto" w:sz="4" w:space="0"/>
            </w:tcBorders>
            <w:vAlign w:val="center"/>
          </w:tcPr>
          <w:p w14:paraId="5C0CB0EB">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偏差率=100% ×（投标总报价－评标基准价）/评标基准价</w:t>
            </w:r>
          </w:p>
        </w:tc>
      </w:tr>
      <w:tr w14:paraId="2BE46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401" w:type="dxa"/>
            <w:gridSpan w:val="4"/>
            <w:tcBorders>
              <w:top w:val="nil"/>
              <w:bottom w:val="single" w:color="auto" w:sz="4" w:space="0"/>
              <w:right w:val="single" w:color="auto" w:sz="4" w:space="0"/>
            </w:tcBorders>
            <w:vAlign w:val="center"/>
          </w:tcPr>
          <w:p w14:paraId="16BFCF33">
            <w:pPr>
              <w:spacing w:line="276" w:lineRule="auto"/>
              <w:jc w:val="center"/>
              <w:rPr>
                <w:rFonts w:hint="eastAsia" w:ascii="宋体" w:hAnsi="宋体" w:cs="宋体"/>
                <w:color w:val="auto"/>
                <w:szCs w:val="21"/>
                <w:highlight w:val="none"/>
              </w:rPr>
            </w:pPr>
            <w:r>
              <w:rPr>
                <w:rFonts w:hint="eastAsia" w:ascii="宋体" w:hAnsi="宋体" w:cs="宋体"/>
                <w:b/>
                <w:color w:val="auto"/>
                <w:szCs w:val="21"/>
                <w:highlight w:val="none"/>
              </w:rPr>
              <w:t>条款号</w:t>
            </w:r>
          </w:p>
        </w:tc>
        <w:tc>
          <w:tcPr>
            <w:tcW w:w="1499" w:type="dxa"/>
            <w:tcBorders>
              <w:top w:val="single" w:color="auto" w:sz="4" w:space="0"/>
              <w:left w:val="single" w:color="auto" w:sz="4" w:space="0"/>
              <w:bottom w:val="single" w:color="auto" w:sz="4" w:space="0"/>
              <w:right w:val="single" w:color="auto" w:sz="4" w:space="0"/>
            </w:tcBorders>
            <w:vAlign w:val="center"/>
          </w:tcPr>
          <w:p w14:paraId="577C93B2">
            <w:pPr>
              <w:spacing w:line="276" w:lineRule="auto"/>
              <w:jc w:val="center"/>
              <w:rPr>
                <w:rFonts w:hint="eastAsia" w:ascii="宋体" w:hAnsi="宋体" w:cs="宋体"/>
                <w:color w:val="auto"/>
                <w:szCs w:val="21"/>
                <w:highlight w:val="none"/>
              </w:rPr>
            </w:pPr>
            <w:r>
              <w:rPr>
                <w:rFonts w:hint="eastAsia" w:ascii="宋体" w:hAnsi="宋体" w:cs="宋体"/>
                <w:b/>
                <w:bCs/>
                <w:color w:val="auto"/>
                <w:szCs w:val="21"/>
                <w:highlight w:val="none"/>
              </w:rPr>
              <w:t>评分因素</w:t>
            </w:r>
          </w:p>
        </w:tc>
        <w:tc>
          <w:tcPr>
            <w:tcW w:w="6052" w:type="dxa"/>
            <w:tcBorders>
              <w:top w:val="single" w:color="auto" w:sz="4" w:space="0"/>
              <w:left w:val="single" w:color="auto" w:sz="4" w:space="0"/>
              <w:bottom w:val="single" w:color="auto" w:sz="4" w:space="0"/>
              <w:right w:val="single" w:color="auto" w:sz="4" w:space="0"/>
            </w:tcBorders>
            <w:vAlign w:val="center"/>
          </w:tcPr>
          <w:p w14:paraId="613AE808">
            <w:pPr>
              <w:spacing w:line="276" w:lineRule="auto"/>
              <w:jc w:val="center"/>
              <w:rPr>
                <w:rFonts w:hint="eastAsia" w:ascii="宋体" w:hAnsi="宋体" w:cs="宋体"/>
                <w:color w:val="auto"/>
                <w:szCs w:val="21"/>
                <w:highlight w:val="none"/>
              </w:rPr>
            </w:pPr>
            <w:r>
              <w:rPr>
                <w:rFonts w:hint="eastAsia" w:ascii="宋体" w:hAnsi="宋体" w:cs="宋体"/>
                <w:b/>
                <w:color w:val="auto"/>
                <w:szCs w:val="21"/>
                <w:highlight w:val="none"/>
              </w:rPr>
              <w:t>评分标准</w:t>
            </w:r>
          </w:p>
        </w:tc>
      </w:tr>
      <w:tr w14:paraId="08647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40" w:type="dxa"/>
            <w:gridSpan w:val="2"/>
            <w:vMerge w:val="restart"/>
            <w:tcBorders>
              <w:top w:val="single" w:color="auto" w:sz="4" w:space="0"/>
              <w:left w:val="single" w:color="auto" w:sz="4" w:space="0"/>
              <w:bottom w:val="single" w:color="auto" w:sz="4" w:space="0"/>
              <w:right w:val="single" w:color="auto" w:sz="4" w:space="0"/>
            </w:tcBorders>
            <w:vAlign w:val="center"/>
          </w:tcPr>
          <w:p w14:paraId="749C1223">
            <w:pPr>
              <w:spacing w:line="276" w:lineRule="auto"/>
              <w:jc w:val="center"/>
              <w:rPr>
                <w:rFonts w:hint="eastAsia" w:ascii="宋体" w:hAnsi="宋体" w:cs="宋体"/>
                <w:color w:val="auto"/>
                <w:kern w:val="1"/>
                <w:szCs w:val="21"/>
                <w:highlight w:val="none"/>
              </w:rPr>
            </w:pPr>
            <w:bookmarkStart w:id="409" w:name="_Toc144974567"/>
            <w:bookmarkStart w:id="410" w:name="_Toc152042377"/>
            <w:bookmarkStart w:id="411" w:name="_Toc152045600"/>
            <w:bookmarkStart w:id="412" w:name="_Toc247527625"/>
            <w:bookmarkStart w:id="413" w:name="_Toc247514024"/>
            <w:r>
              <w:rPr>
                <w:rFonts w:hint="eastAsia" w:ascii="宋体" w:hAnsi="宋体" w:cs="宋体"/>
                <w:color w:val="auto"/>
                <w:kern w:val="1"/>
                <w:szCs w:val="21"/>
                <w:highlight w:val="none"/>
              </w:rPr>
              <w:t>2.2.4（1）</w:t>
            </w:r>
          </w:p>
        </w:tc>
        <w:tc>
          <w:tcPr>
            <w:tcW w:w="670" w:type="dxa"/>
            <w:vMerge w:val="restart"/>
            <w:tcBorders>
              <w:top w:val="single" w:color="auto" w:sz="4" w:space="0"/>
              <w:left w:val="single" w:color="auto" w:sz="4" w:space="0"/>
              <w:bottom w:val="single" w:color="auto" w:sz="4" w:space="0"/>
              <w:right w:val="single" w:color="auto" w:sz="4" w:space="0"/>
            </w:tcBorders>
            <w:vAlign w:val="center"/>
          </w:tcPr>
          <w:p w14:paraId="2270C852">
            <w:pPr>
              <w:spacing w:line="276"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设计方案评分标准（100分）</w:t>
            </w:r>
          </w:p>
        </w:tc>
        <w:tc>
          <w:tcPr>
            <w:tcW w:w="891" w:type="dxa"/>
            <w:tcBorders>
              <w:top w:val="single" w:color="auto" w:sz="4" w:space="0"/>
              <w:left w:val="single" w:color="auto" w:sz="4" w:space="0"/>
              <w:bottom w:val="single" w:color="auto" w:sz="4" w:space="0"/>
              <w:right w:val="single" w:color="auto" w:sz="4" w:space="0"/>
            </w:tcBorders>
            <w:vAlign w:val="center"/>
          </w:tcPr>
          <w:p w14:paraId="5BC1B227">
            <w:pPr>
              <w:spacing w:line="276" w:lineRule="auto"/>
              <w:jc w:val="left"/>
              <w:rPr>
                <w:rFonts w:hint="eastAsia" w:ascii="宋体" w:hAnsi="宋体" w:cs="宋体"/>
                <w:color w:val="auto"/>
                <w:kern w:val="1"/>
                <w:szCs w:val="21"/>
                <w:highlight w:val="none"/>
              </w:rPr>
            </w:pPr>
            <w:r>
              <w:rPr>
                <w:rFonts w:hint="eastAsia" w:ascii="宋体" w:hAnsi="宋体" w:cs="宋体"/>
                <w:color w:val="auto"/>
                <w:szCs w:val="21"/>
                <w:highlight w:val="none"/>
                <w:lang w:val="en-US" w:eastAsia="zh-CN"/>
              </w:rPr>
              <w:t>投标文件的符合性</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分】</w:t>
            </w:r>
          </w:p>
        </w:tc>
        <w:tc>
          <w:tcPr>
            <w:tcW w:w="1499" w:type="dxa"/>
            <w:tcBorders>
              <w:top w:val="single" w:color="auto" w:sz="4" w:space="0"/>
              <w:left w:val="single" w:color="auto" w:sz="4" w:space="0"/>
              <w:bottom w:val="single" w:color="auto" w:sz="4" w:space="0"/>
              <w:right w:val="single" w:color="auto" w:sz="4" w:space="0"/>
            </w:tcBorders>
            <w:vAlign w:val="center"/>
          </w:tcPr>
          <w:p w14:paraId="0950AFE3">
            <w:pPr>
              <w:wordWrap w:val="0"/>
              <w:topLinePunct/>
              <w:jc w:val="center"/>
              <w:rPr>
                <w:rFonts w:hint="eastAsia" w:ascii="宋体" w:hAnsi="宋体" w:cs="宋体"/>
                <w:color w:val="auto"/>
                <w:kern w:val="1"/>
                <w:szCs w:val="21"/>
                <w:highlight w:val="none"/>
              </w:rPr>
            </w:pPr>
            <w:r>
              <w:rPr>
                <w:rFonts w:hint="eastAsia" w:ascii="宋体" w:hAnsi="宋体" w:cs="宋体"/>
                <w:color w:val="auto"/>
                <w:szCs w:val="21"/>
                <w:highlight w:val="none"/>
                <w:lang w:val="en-US" w:eastAsia="zh-CN"/>
              </w:rPr>
              <w:t>投标文件的符合性</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分】</w:t>
            </w:r>
          </w:p>
        </w:tc>
        <w:tc>
          <w:tcPr>
            <w:tcW w:w="6052" w:type="dxa"/>
            <w:tcBorders>
              <w:top w:val="single" w:color="000000" w:sz="6" w:space="0"/>
              <w:left w:val="single" w:color="auto" w:sz="4" w:space="0"/>
              <w:bottom w:val="single" w:color="000000" w:sz="6" w:space="0"/>
              <w:right w:val="single" w:color="000000" w:sz="4" w:space="0"/>
            </w:tcBorders>
            <w:vAlign w:val="center"/>
          </w:tcPr>
          <w:p w14:paraId="10EDA876">
            <w:pPr>
              <w:pStyle w:val="12"/>
              <w:ind w:left="0" w:leftChars="0" w:firstLine="0" w:firstLineChars="0"/>
              <w:rPr>
                <w:rFonts w:hint="eastAsia" w:ascii="宋体" w:hAnsi="宋体" w:cs="宋体"/>
                <w:b/>
                <w:color w:val="auto"/>
                <w:kern w:val="1"/>
                <w:szCs w:val="21"/>
                <w:highlight w:val="none"/>
                <w:u w:val="single"/>
              </w:rPr>
            </w:pPr>
            <w:r>
              <w:rPr>
                <w:rFonts w:hint="eastAsia" w:ascii="宋体" w:hAnsi="宋体" w:eastAsia="宋体" w:cs="宋体"/>
                <w:color w:val="auto"/>
                <w:kern w:val="2"/>
                <w:sz w:val="21"/>
                <w:szCs w:val="21"/>
                <w:highlight w:val="none"/>
                <w:lang w:val="zh-CN" w:eastAsia="zh-CN" w:bidi="ar-SA"/>
              </w:rPr>
              <w:t>整个设计内容符合招标文件要求，专业齐全，内容全面，道路设计等级把握准确，设计总说明书文字表达清楚、思路清晰、重点和难点突出。优得</w:t>
            </w:r>
            <w:r>
              <w:rPr>
                <w:rFonts w:hint="eastAsia" w:ascii="宋体" w:hAnsi="宋体" w:eastAsia="宋体" w:cs="宋体"/>
                <w:color w:val="auto"/>
                <w:kern w:val="2"/>
                <w:sz w:val="21"/>
                <w:szCs w:val="21"/>
                <w:highlight w:val="none"/>
                <w:lang w:val="en-US" w:eastAsia="zh-CN" w:bidi="ar-SA"/>
              </w:rPr>
              <w:t>10</w:t>
            </w:r>
            <w:r>
              <w:rPr>
                <w:rFonts w:hint="eastAsia" w:ascii="宋体" w:hAnsi="宋体" w:eastAsia="宋体" w:cs="宋体"/>
                <w:color w:val="auto"/>
                <w:kern w:val="2"/>
                <w:sz w:val="21"/>
                <w:szCs w:val="21"/>
                <w:highlight w:val="none"/>
                <w:lang w:val="zh-CN" w:eastAsia="zh-CN" w:bidi="ar-SA"/>
              </w:rPr>
              <w:t>分，良得</w:t>
            </w:r>
            <w:r>
              <w:rPr>
                <w:rFonts w:hint="eastAsia" w:ascii="宋体" w:hAnsi="宋体"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zh-CN" w:eastAsia="zh-CN" w:bidi="ar-SA"/>
              </w:rPr>
              <w:t>分，一般得</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zh-CN" w:eastAsia="zh-CN" w:bidi="ar-SA"/>
              </w:rPr>
              <w:t>分。无</w:t>
            </w:r>
            <w:r>
              <w:rPr>
                <w:rFonts w:hint="eastAsia" w:ascii="宋体" w:hAnsi="宋体" w:cs="宋体"/>
                <w:color w:val="auto"/>
                <w:kern w:val="2"/>
                <w:sz w:val="21"/>
                <w:szCs w:val="21"/>
                <w:highlight w:val="none"/>
                <w:lang w:val="en-US" w:eastAsia="zh-CN" w:bidi="ar-SA"/>
              </w:rPr>
              <w:t>此项内容不得分</w:t>
            </w:r>
            <w:r>
              <w:rPr>
                <w:rFonts w:hint="eastAsia" w:ascii="宋体" w:hAnsi="宋体" w:eastAsia="宋体" w:cs="宋体"/>
                <w:color w:val="auto"/>
                <w:kern w:val="2"/>
                <w:sz w:val="21"/>
                <w:szCs w:val="21"/>
                <w:highlight w:val="none"/>
                <w:lang w:val="zh-CN" w:eastAsia="zh-CN" w:bidi="ar-SA"/>
              </w:rPr>
              <w:t>。</w:t>
            </w:r>
          </w:p>
        </w:tc>
      </w:tr>
      <w:tr w14:paraId="41E74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40" w:type="dxa"/>
            <w:gridSpan w:val="2"/>
            <w:vMerge w:val="continue"/>
            <w:tcBorders>
              <w:top w:val="single" w:color="auto" w:sz="4" w:space="0"/>
              <w:left w:val="single" w:color="auto" w:sz="4" w:space="0"/>
              <w:bottom w:val="single" w:color="auto" w:sz="4" w:space="0"/>
              <w:right w:val="single" w:color="000000" w:sz="6" w:space="0"/>
            </w:tcBorders>
            <w:vAlign w:val="center"/>
          </w:tcPr>
          <w:p w14:paraId="117B4AAF">
            <w:pPr>
              <w:spacing w:line="276" w:lineRule="auto"/>
              <w:jc w:val="center"/>
              <w:rPr>
                <w:rFonts w:hint="eastAsia" w:ascii="宋体" w:hAnsi="宋体" w:cs="宋体"/>
                <w:color w:val="auto"/>
                <w:kern w:val="1"/>
                <w:szCs w:val="21"/>
                <w:highlight w:val="none"/>
              </w:rPr>
            </w:pPr>
          </w:p>
        </w:tc>
        <w:tc>
          <w:tcPr>
            <w:tcW w:w="670" w:type="dxa"/>
            <w:vMerge w:val="continue"/>
            <w:tcBorders>
              <w:top w:val="single" w:color="auto" w:sz="4" w:space="0"/>
              <w:left w:val="single" w:color="000000" w:sz="4" w:space="0"/>
              <w:bottom w:val="single" w:color="auto" w:sz="4" w:space="0"/>
              <w:right w:val="single" w:color="000000" w:sz="6" w:space="0"/>
            </w:tcBorders>
            <w:vAlign w:val="center"/>
          </w:tcPr>
          <w:p w14:paraId="57B436D3">
            <w:pPr>
              <w:spacing w:line="276" w:lineRule="auto"/>
              <w:jc w:val="center"/>
              <w:rPr>
                <w:rFonts w:hint="eastAsia" w:ascii="宋体" w:hAnsi="宋体" w:cs="宋体"/>
                <w:color w:val="auto"/>
                <w:kern w:val="1"/>
                <w:szCs w:val="21"/>
                <w:highlight w:val="none"/>
              </w:rPr>
            </w:pPr>
          </w:p>
        </w:tc>
        <w:tc>
          <w:tcPr>
            <w:tcW w:w="891" w:type="dxa"/>
            <w:vMerge w:val="restart"/>
            <w:tcBorders>
              <w:top w:val="single" w:color="auto" w:sz="4" w:space="0"/>
              <w:left w:val="single" w:color="000000" w:sz="6" w:space="0"/>
              <w:right w:val="single" w:color="auto" w:sz="4" w:space="0"/>
            </w:tcBorders>
            <w:vAlign w:val="center"/>
          </w:tcPr>
          <w:p w14:paraId="70DFACE2">
            <w:pPr>
              <w:spacing w:line="276" w:lineRule="auto"/>
              <w:jc w:val="left"/>
              <w:rPr>
                <w:rFonts w:hint="eastAsia" w:ascii="宋体" w:hAnsi="宋体" w:cs="宋体"/>
                <w:color w:val="auto"/>
                <w:szCs w:val="21"/>
                <w:highlight w:val="none"/>
                <w:lang w:val="en-US" w:eastAsia="zh-CN"/>
              </w:rPr>
            </w:pPr>
          </w:p>
          <w:p w14:paraId="5600FB9F">
            <w:pPr>
              <w:spacing w:line="276" w:lineRule="auto"/>
              <w:jc w:val="left"/>
              <w:rPr>
                <w:rFonts w:hint="eastAsia" w:ascii="宋体" w:hAnsi="宋体" w:cs="宋体"/>
                <w:color w:val="auto"/>
                <w:szCs w:val="21"/>
                <w:highlight w:val="none"/>
                <w:lang w:val="en-US" w:eastAsia="zh-CN"/>
              </w:rPr>
            </w:pPr>
          </w:p>
          <w:p w14:paraId="1C9E27DF">
            <w:pPr>
              <w:spacing w:line="276" w:lineRule="auto"/>
              <w:jc w:val="left"/>
              <w:rPr>
                <w:rFonts w:hint="eastAsia" w:ascii="宋体" w:hAnsi="宋体" w:cs="宋体"/>
                <w:color w:val="auto"/>
                <w:szCs w:val="21"/>
                <w:highlight w:val="none"/>
                <w:lang w:val="en-US" w:eastAsia="zh-CN"/>
              </w:rPr>
            </w:pPr>
          </w:p>
          <w:p w14:paraId="7A366307">
            <w:pPr>
              <w:spacing w:line="276" w:lineRule="auto"/>
              <w:jc w:val="left"/>
              <w:rPr>
                <w:rFonts w:hint="eastAsia" w:ascii="宋体" w:hAnsi="宋体" w:cs="宋体"/>
                <w:color w:val="auto"/>
                <w:szCs w:val="21"/>
                <w:highlight w:val="none"/>
                <w:lang w:val="en-US" w:eastAsia="zh-CN"/>
              </w:rPr>
            </w:pPr>
          </w:p>
          <w:p w14:paraId="09AD83BC">
            <w:pPr>
              <w:spacing w:line="276" w:lineRule="auto"/>
              <w:jc w:val="left"/>
              <w:rPr>
                <w:rFonts w:hint="eastAsia" w:ascii="宋体" w:hAnsi="宋体" w:cs="宋体"/>
                <w:color w:val="auto"/>
                <w:szCs w:val="21"/>
                <w:highlight w:val="none"/>
                <w:lang w:val="en-US" w:eastAsia="zh-CN"/>
              </w:rPr>
            </w:pPr>
          </w:p>
          <w:p w14:paraId="6013A588">
            <w:pPr>
              <w:spacing w:line="276" w:lineRule="auto"/>
              <w:jc w:val="left"/>
              <w:rPr>
                <w:rFonts w:hint="eastAsia" w:ascii="宋体" w:hAnsi="宋体" w:cs="宋体"/>
                <w:color w:val="auto"/>
                <w:szCs w:val="21"/>
                <w:highlight w:val="none"/>
                <w:lang w:val="en-US" w:eastAsia="zh-CN"/>
              </w:rPr>
            </w:pPr>
          </w:p>
          <w:p w14:paraId="01F25251">
            <w:pPr>
              <w:spacing w:line="276" w:lineRule="auto"/>
              <w:jc w:val="left"/>
              <w:rPr>
                <w:rFonts w:hint="eastAsia" w:ascii="宋体" w:hAnsi="宋体" w:cs="宋体"/>
                <w:color w:val="auto"/>
                <w:szCs w:val="21"/>
                <w:highlight w:val="none"/>
                <w:lang w:val="en-US" w:eastAsia="zh-CN"/>
              </w:rPr>
            </w:pPr>
          </w:p>
          <w:p w14:paraId="43B4E4B8">
            <w:pPr>
              <w:spacing w:line="276" w:lineRule="auto"/>
              <w:jc w:val="left"/>
              <w:rPr>
                <w:rFonts w:hint="eastAsia" w:ascii="宋体" w:hAnsi="宋体" w:cs="宋体"/>
                <w:color w:val="auto"/>
                <w:kern w:val="1"/>
                <w:szCs w:val="21"/>
                <w:highlight w:val="none"/>
              </w:rPr>
            </w:pPr>
            <w:r>
              <w:rPr>
                <w:rFonts w:hint="eastAsia" w:ascii="宋体" w:hAnsi="宋体" w:cs="宋体"/>
                <w:color w:val="auto"/>
                <w:szCs w:val="21"/>
                <w:highlight w:val="none"/>
                <w:lang w:val="en-US" w:eastAsia="zh-CN"/>
              </w:rPr>
              <w:t>设计方案</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80</w:t>
            </w:r>
            <w:r>
              <w:rPr>
                <w:rFonts w:hint="eastAsia" w:ascii="宋体" w:hAnsi="宋体" w:eastAsia="宋体" w:cs="宋体"/>
                <w:color w:val="auto"/>
                <w:szCs w:val="21"/>
                <w:highlight w:val="none"/>
              </w:rPr>
              <w:t>分】</w:t>
            </w:r>
          </w:p>
        </w:tc>
        <w:tc>
          <w:tcPr>
            <w:tcW w:w="1499" w:type="dxa"/>
            <w:tcBorders>
              <w:top w:val="single" w:color="auto" w:sz="4" w:space="0"/>
              <w:left w:val="single" w:color="auto" w:sz="4" w:space="0"/>
              <w:bottom w:val="single" w:color="auto" w:sz="4" w:space="0"/>
              <w:right w:val="single" w:color="auto" w:sz="4" w:space="0"/>
            </w:tcBorders>
            <w:vAlign w:val="center"/>
          </w:tcPr>
          <w:p w14:paraId="1F50E1D1">
            <w:pPr>
              <w:rPr>
                <w:color w:val="auto"/>
                <w:highlight w:val="none"/>
              </w:rPr>
            </w:pPr>
            <w:r>
              <w:rPr>
                <w:rFonts w:hint="eastAsia" w:ascii="宋体" w:hAnsi="宋体" w:eastAsia="宋体" w:cs="宋体"/>
                <w:color w:val="auto"/>
                <w:szCs w:val="21"/>
                <w:highlight w:val="none"/>
              </w:rPr>
              <w:t>现状</w:t>
            </w:r>
            <w:r>
              <w:rPr>
                <w:rFonts w:hint="eastAsia" w:ascii="宋体" w:hAnsi="宋体" w:eastAsia="宋体" w:cs="宋体"/>
                <w:color w:val="auto"/>
                <w:szCs w:val="21"/>
                <w:highlight w:val="none"/>
                <w:lang w:eastAsia="zh-CN"/>
              </w:rPr>
              <w:t>调</w:t>
            </w:r>
            <w:r>
              <w:rPr>
                <w:rFonts w:hint="eastAsia" w:ascii="宋体" w:hAnsi="宋体" w:eastAsia="宋体" w:cs="宋体"/>
                <w:color w:val="auto"/>
                <w:szCs w:val="21"/>
                <w:highlight w:val="none"/>
              </w:rPr>
              <w:t>查</w:t>
            </w:r>
            <w:r>
              <w:rPr>
                <w:rFonts w:hint="eastAsia" w:ascii="宋体" w:hAnsi="宋体" w:eastAsia="宋体" w:cs="宋体"/>
                <w:color w:val="auto"/>
                <w:szCs w:val="21"/>
                <w:highlight w:val="none"/>
                <w:lang w:eastAsia="zh-CN"/>
              </w:rPr>
              <w:t>及分析</w:t>
            </w:r>
          </w:p>
          <w:p w14:paraId="255C59CD">
            <w:pPr>
              <w:wordWrap/>
              <w:topLinePunct w:val="0"/>
              <w:autoSpaceDE w:val="0"/>
              <w:autoSpaceDN w:val="0"/>
              <w:adjustRightInd w:val="0"/>
              <w:spacing w:line="260" w:lineRule="exact"/>
              <w:jc w:val="center"/>
              <w:rPr>
                <w:rFonts w:hint="eastAsia" w:ascii="宋体" w:hAnsi="宋体" w:cs="宋体"/>
                <w:color w:val="auto"/>
                <w:kern w:val="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分】</w:t>
            </w:r>
          </w:p>
        </w:tc>
        <w:tc>
          <w:tcPr>
            <w:tcW w:w="6052" w:type="dxa"/>
            <w:tcBorders>
              <w:top w:val="single" w:color="000000" w:sz="6" w:space="0"/>
              <w:left w:val="single" w:color="auto" w:sz="4" w:space="0"/>
              <w:bottom w:val="single" w:color="000000" w:sz="6" w:space="0"/>
              <w:right w:val="single" w:color="000000" w:sz="4" w:space="0"/>
            </w:tcBorders>
            <w:vAlign w:val="center"/>
          </w:tcPr>
          <w:p w14:paraId="76D3CD40">
            <w:pPr>
              <w:numPr>
                <w:ilvl w:val="0"/>
                <w:numId w:val="4"/>
              </w:numPr>
              <w:wordWrap w:val="0"/>
              <w:topLinePunct/>
              <w:ind w:left="425" w:leftChars="0" w:hanging="425" w:firstLineChars="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正确理解并执行道路设计意图，对周边沿线用地现状</w:t>
            </w:r>
            <w:r>
              <w:rPr>
                <w:rFonts w:hint="eastAsia" w:ascii="宋体" w:hAnsi="宋体" w:cs="宋体"/>
                <w:color w:val="auto"/>
                <w:szCs w:val="21"/>
                <w:highlight w:val="none"/>
                <w:lang w:val="en-US" w:eastAsia="zh-CN"/>
              </w:rPr>
              <w:t>及</w:t>
            </w:r>
            <w:r>
              <w:rPr>
                <w:rFonts w:hint="eastAsia" w:ascii="宋体" w:hAnsi="宋体" w:eastAsia="宋体" w:cs="宋体"/>
                <w:color w:val="auto"/>
                <w:szCs w:val="21"/>
                <w:highlight w:val="none"/>
                <w:lang w:val="zh-CN"/>
              </w:rPr>
              <w:t>规划摸查充分，对现状用地情况及规划需求有较深入的分析</w:t>
            </w:r>
            <w:r>
              <w:rPr>
                <w:rFonts w:hint="eastAsia" w:ascii="宋体" w:hAnsi="宋体" w:cs="宋体"/>
                <w:color w:val="auto"/>
                <w:szCs w:val="21"/>
                <w:highlight w:val="none"/>
                <w:lang w:val="zh-CN"/>
              </w:rPr>
              <w:t>；</w:t>
            </w:r>
          </w:p>
          <w:p w14:paraId="701EA16A">
            <w:pPr>
              <w:numPr>
                <w:ilvl w:val="0"/>
                <w:numId w:val="4"/>
              </w:numPr>
              <w:wordWrap w:val="0"/>
              <w:topLinePunct/>
              <w:ind w:left="425" w:leftChars="0" w:hanging="425" w:firstLineChars="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充分调查及分析现状地形地貌情况、对现状构建筑物、场地及周边标高情况了解充分</w:t>
            </w:r>
            <w:r>
              <w:rPr>
                <w:rFonts w:hint="eastAsia" w:ascii="宋体" w:hAnsi="宋体" w:cs="宋体"/>
                <w:color w:val="auto"/>
                <w:szCs w:val="21"/>
                <w:highlight w:val="none"/>
                <w:lang w:val="zh-CN"/>
              </w:rPr>
              <w:t>；</w:t>
            </w:r>
          </w:p>
          <w:p w14:paraId="6DEA68EF">
            <w:pPr>
              <w:numPr>
                <w:ilvl w:val="0"/>
                <w:numId w:val="4"/>
              </w:numPr>
              <w:wordWrap w:val="0"/>
              <w:topLinePunct/>
              <w:ind w:left="425" w:leftChars="0" w:hanging="425" w:firstLineChars="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对项目所在位置周边路网规划、周边</w:t>
            </w:r>
            <w:r>
              <w:rPr>
                <w:rFonts w:hint="eastAsia" w:ascii="宋体" w:hAnsi="宋体" w:cs="宋体"/>
                <w:color w:val="auto"/>
                <w:szCs w:val="21"/>
                <w:highlight w:val="none"/>
                <w:lang w:val="en-US" w:eastAsia="zh-CN"/>
              </w:rPr>
              <w:t>现状</w:t>
            </w:r>
            <w:r>
              <w:rPr>
                <w:rFonts w:hint="eastAsia" w:ascii="宋体" w:hAnsi="宋体" w:eastAsia="宋体" w:cs="宋体"/>
                <w:color w:val="auto"/>
                <w:szCs w:val="21"/>
                <w:highlight w:val="none"/>
                <w:lang w:val="zh-CN"/>
              </w:rPr>
              <w:t>道路及其管线、交通组织有充分的调查及分析</w:t>
            </w:r>
            <w:r>
              <w:rPr>
                <w:rFonts w:hint="eastAsia" w:ascii="宋体" w:hAnsi="宋体" w:cs="宋体"/>
                <w:color w:val="auto"/>
                <w:szCs w:val="21"/>
                <w:highlight w:val="none"/>
                <w:lang w:val="zh-CN"/>
              </w:rPr>
              <w:t>；</w:t>
            </w:r>
          </w:p>
          <w:p w14:paraId="6D0BEBD7">
            <w:pPr>
              <w:numPr>
                <w:ilvl w:val="0"/>
                <w:numId w:val="4"/>
              </w:numPr>
              <w:wordWrap w:val="0"/>
              <w:topLinePunct/>
              <w:ind w:left="425" w:leftChars="0" w:hanging="425" w:firstLineChars="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对项目所在区域的地质条件、河涌情况进行分析</w:t>
            </w:r>
            <w:r>
              <w:rPr>
                <w:rFonts w:hint="eastAsia" w:ascii="宋体" w:hAnsi="宋体" w:cs="宋体"/>
                <w:color w:val="auto"/>
                <w:highlight w:val="none"/>
                <w:lang w:val="zh-CN"/>
              </w:rPr>
              <w:t>。</w:t>
            </w:r>
          </w:p>
          <w:p w14:paraId="72AB178F">
            <w:pPr>
              <w:numPr>
                <w:ilvl w:val="0"/>
                <w:numId w:val="0"/>
              </w:numPr>
              <w:wordWrap w:val="0"/>
              <w:topLinePunct/>
              <w:ind w:left="0" w:leftChars="0" w:firstLine="0" w:firstLineChars="0"/>
              <w:rPr>
                <w:rFonts w:hint="eastAsia" w:ascii="宋体" w:hAnsi="宋体" w:cs="宋体"/>
                <w:b/>
                <w:color w:val="auto"/>
                <w:kern w:val="1"/>
                <w:szCs w:val="21"/>
                <w:highlight w:val="none"/>
                <w:u w:val="single"/>
              </w:rPr>
            </w:pPr>
            <w:r>
              <w:rPr>
                <w:rFonts w:hint="eastAsia" w:ascii="宋体" w:hAnsi="宋体" w:eastAsia="宋体" w:cs="宋体"/>
                <w:color w:val="auto"/>
                <w:kern w:val="2"/>
                <w:sz w:val="21"/>
                <w:szCs w:val="21"/>
                <w:highlight w:val="none"/>
                <w:lang w:val="zh-CN" w:eastAsia="zh-CN" w:bidi="ar-SA"/>
              </w:rPr>
              <w:t>优得</w:t>
            </w:r>
            <w:r>
              <w:rPr>
                <w:rFonts w:hint="eastAsia" w:ascii="宋体" w:hAnsi="宋体" w:eastAsia="宋体" w:cs="宋体"/>
                <w:color w:val="auto"/>
                <w:kern w:val="2"/>
                <w:sz w:val="21"/>
                <w:szCs w:val="21"/>
                <w:highlight w:val="none"/>
                <w:lang w:val="en-US" w:eastAsia="zh-CN" w:bidi="ar-SA"/>
              </w:rPr>
              <w:t>20</w:t>
            </w:r>
            <w:r>
              <w:rPr>
                <w:rFonts w:hint="eastAsia" w:ascii="宋体" w:hAnsi="宋体" w:eastAsia="宋体" w:cs="宋体"/>
                <w:color w:val="auto"/>
                <w:kern w:val="2"/>
                <w:sz w:val="21"/>
                <w:szCs w:val="21"/>
                <w:highlight w:val="none"/>
                <w:lang w:val="zh-CN" w:eastAsia="zh-CN" w:bidi="ar-SA"/>
              </w:rPr>
              <w:t>分，良得</w:t>
            </w:r>
            <w:r>
              <w:rPr>
                <w:rFonts w:hint="eastAsia" w:ascii="宋体" w:hAnsi="宋体" w:cs="宋体"/>
                <w:color w:val="auto"/>
                <w:kern w:val="2"/>
                <w:sz w:val="21"/>
                <w:szCs w:val="21"/>
                <w:highlight w:val="none"/>
                <w:lang w:val="en-US" w:eastAsia="zh-CN" w:bidi="ar-SA"/>
              </w:rPr>
              <w:t>16</w:t>
            </w:r>
            <w:r>
              <w:rPr>
                <w:rFonts w:hint="eastAsia" w:ascii="宋体" w:hAnsi="宋体" w:eastAsia="宋体" w:cs="宋体"/>
                <w:color w:val="auto"/>
                <w:kern w:val="2"/>
                <w:sz w:val="21"/>
                <w:szCs w:val="21"/>
                <w:highlight w:val="none"/>
                <w:lang w:val="zh-CN" w:eastAsia="zh-CN" w:bidi="ar-SA"/>
              </w:rPr>
              <w:t>分，一般得</w:t>
            </w:r>
            <w:r>
              <w:rPr>
                <w:rFonts w:hint="eastAsia" w:ascii="宋体" w:hAnsi="宋体" w:cs="宋体"/>
                <w:color w:val="auto"/>
                <w:kern w:val="2"/>
                <w:sz w:val="21"/>
                <w:szCs w:val="21"/>
                <w:highlight w:val="none"/>
                <w:lang w:val="en-US" w:eastAsia="zh-CN" w:bidi="ar-SA"/>
              </w:rPr>
              <w:t>12</w:t>
            </w:r>
            <w:r>
              <w:rPr>
                <w:rFonts w:hint="eastAsia" w:ascii="宋体" w:hAnsi="宋体" w:eastAsia="宋体" w:cs="宋体"/>
                <w:color w:val="auto"/>
                <w:kern w:val="2"/>
                <w:sz w:val="21"/>
                <w:szCs w:val="21"/>
                <w:highlight w:val="none"/>
                <w:lang w:val="zh-CN" w:eastAsia="zh-CN" w:bidi="ar-SA"/>
              </w:rPr>
              <w:t>分。无</w:t>
            </w:r>
            <w:r>
              <w:rPr>
                <w:rFonts w:hint="eastAsia" w:ascii="宋体" w:hAnsi="宋体" w:cs="宋体"/>
                <w:color w:val="auto"/>
                <w:kern w:val="2"/>
                <w:sz w:val="21"/>
                <w:szCs w:val="21"/>
                <w:highlight w:val="none"/>
                <w:lang w:val="en-US" w:eastAsia="zh-CN" w:bidi="ar-SA"/>
              </w:rPr>
              <w:t>此项内容不得分</w:t>
            </w:r>
            <w:r>
              <w:rPr>
                <w:rFonts w:hint="eastAsia" w:ascii="宋体" w:hAnsi="宋体" w:eastAsia="宋体" w:cs="宋体"/>
                <w:color w:val="auto"/>
                <w:kern w:val="2"/>
                <w:sz w:val="21"/>
                <w:szCs w:val="21"/>
                <w:highlight w:val="none"/>
                <w:lang w:val="zh-CN" w:eastAsia="zh-CN" w:bidi="ar-SA"/>
              </w:rPr>
              <w:t>。</w:t>
            </w:r>
          </w:p>
        </w:tc>
      </w:tr>
      <w:tr w14:paraId="74589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40" w:type="dxa"/>
            <w:gridSpan w:val="2"/>
            <w:vMerge w:val="continue"/>
            <w:tcBorders>
              <w:top w:val="single" w:color="auto" w:sz="4" w:space="0"/>
              <w:left w:val="single" w:color="auto" w:sz="4" w:space="0"/>
              <w:bottom w:val="single" w:color="auto" w:sz="4" w:space="0"/>
              <w:right w:val="single" w:color="000000" w:sz="6" w:space="0"/>
            </w:tcBorders>
            <w:vAlign w:val="center"/>
          </w:tcPr>
          <w:p w14:paraId="6D37F69D">
            <w:pPr>
              <w:spacing w:line="276" w:lineRule="auto"/>
              <w:jc w:val="center"/>
              <w:rPr>
                <w:rFonts w:hint="eastAsia" w:ascii="宋体" w:hAnsi="宋体" w:cs="宋体"/>
                <w:color w:val="auto"/>
                <w:kern w:val="1"/>
                <w:szCs w:val="21"/>
                <w:highlight w:val="none"/>
              </w:rPr>
            </w:pPr>
          </w:p>
        </w:tc>
        <w:tc>
          <w:tcPr>
            <w:tcW w:w="670" w:type="dxa"/>
            <w:vMerge w:val="continue"/>
            <w:tcBorders>
              <w:top w:val="single" w:color="auto" w:sz="4" w:space="0"/>
              <w:left w:val="single" w:color="000000" w:sz="4" w:space="0"/>
              <w:bottom w:val="single" w:color="auto" w:sz="4" w:space="0"/>
              <w:right w:val="single" w:color="000000" w:sz="6" w:space="0"/>
            </w:tcBorders>
            <w:vAlign w:val="center"/>
          </w:tcPr>
          <w:p w14:paraId="7D53BFBA">
            <w:pPr>
              <w:spacing w:line="276" w:lineRule="auto"/>
              <w:jc w:val="center"/>
              <w:rPr>
                <w:rFonts w:hint="eastAsia" w:ascii="宋体" w:hAnsi="宋体" w:cs="宋体"/>
                <w:color w:val="auto"/>
                <w:kern w:val="1"/>
                <w:szCs w:val="21"/>
                <w:highlight w:val="none"/>
              </w:rPr>
            </w:pPr>
          </w:p>
        </w:tc>
        <w:tc>
          <w:tcPr>
            <w:tcW w:w="891" w:type="dxa"/>
            <w:vMerge w:val="continue"/>
            <w:tcBorders>
              <w:left w:val="single" w:color="000000" w:sz="6" w:space="0"/>
              <w:right w:val="single" w:color="auto" w:sz="4" w:space="0"/>
            </w:tcBorders>
            <w:vAlign w:val="center"/>
          </w:tcPr>
          <w:p w14:paraId="187B1145">
            <w:pPr>
              <w:spacing w:line="276" w:lineRule="auto"/>
              <w:jc w:val="left"/>
              <w:rPr>
                <w:rFonts w:hint="eastAsia" w:ascii="宋体" w:hAnsi="宋体" w:cs="宋体"/>
                <w:color w:val="auto"/>
                <w:kern w:val="1"/>
                <w:szCs w:val="21"/>
                <w:highlight w:val="none"/>
              </w:rPr>
            </w:pPr>
          </w:p>
        </w:tc>
        <w:tc>
          <w:tcPr>
            <w:tcW w:w="1499" w:type="dxa"/>
            <w:tcBorders>
              <w:top w:val="single" w:color="auto" w:sz="4" w:space="0"/>
              <w:left w:val="single" w:color="auto" w:sz="4" w:space="0"/>
              <w:bottom w:val="single" w:color="auto" w:sz="4" w:space="0"/>
              <w:right w:val="single" w:color="auto" w:sz="4" w:space="0"/>
            </w:tcBorders>
            <w:vAlign w:val="center"/>
          </w:tcPr>
          <w:p w14:paraId="2C6A642F">
            <w:pPr>
              <w:autoSpaceDE w:val="0"/>
              <w:autoSpaceDN w:val="0"/>
              <w:adjustRightInd w:val="0"/>
              <w:spacing w:line="2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设计方案</w:t>
            </w:r>
          </w:p>
          <w:p w14:paraId="2653110F">
            <w:pPr>
              <w:wordWrap w:val="0"/>
              <w:topLinePunct/>
              <w:jc w:val="center"/>
              <w:rPr>
                <w:rFonts w:hint="eastAsia" w:ascii="宋体" w:hAnsi="宋体" w:cs="宋体"/>
                <w:color w:val="auto"/>
                <w:kern w:val="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分】</w:t>
            </w:r>
          </w:p>
        </w:tc>
        <w:tc>
          <w:tcPr>
            <w:tcW w:w="6052" w:type="dxa"/>
            <w:tcBorders>
              <w:top w:val="single" w:color="000000" w:sz="6" w:space="0"/>
              <w:left w:val="single" w:color="auto" w:sz="4" w:space="0"/>
              <w:bottom w:val="single" w:color="000000" w:sz="6" w:space="0"/>
              <w:right w:val="single" w:color="000000" w:sz="4" w:space="0"/>
            </w:tcBorders>
            <w:vAlign w:val="center"/>
          </w:tcPr>
          <w:p w14:paraId="0188FA3E">
            <w:pPr>
              <w:numPr>
                <w:ilvl w:val="0"/>
                <w:numId w:val="5"/>
              </w:numPr>
              <w:wordWrap w:val="0"/>
              <w:topLinePunct/>
              <w:ind w:left="425" w:leftChars="0" w:hanging="425" w:firstLineChars="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设计方案思路清晰、理据充分、科学合理、美观经济、落地性强</w:t>
            </w:r>
            <w:r>
              <w:rPr>
                <w:rFonts w:hint="eastAsia" w:ascii="宋体" w:hAnsi="宋体" w:cs="宋体"/>
                <w:color w:val="auto"/>
                <w:szCs w:val="21"/>
                <w:highlight w:val="none"/>
                <w:lang w:val="zh-CN"/>
              </w:rPr>
              <w:t>；</w:t>
            </w:r>
          </w:p>
          <w:p w14:paraId="10BA1E2E">
            <w:pPr>
              <w:numPr>
                <w:ilvl w:val="0"/>
                <w:numId w:val="5"/>
              </w:numPr>
              <w:wordWrap w:val="0"/>
              <w:topLinePunct/>
              <w:ind w:left="425" w:leftChars="0" w:hanging="425" w:firstLineChars="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方案符合项目定位，设计方案完整，与项目所在区域的规划充分衔接</w:t>
            </w:r>
            <w:r>
              <w:rPr>
                <w:rFonts w:hint="eastAsia" w:ascii="宋体" w:hAnsi="宋体" w:cs="宋体"/>
                <w:color w:val="auto"/>
                <w:szCs w:val="21"/>
                <w:highlight w:val="none"/>
                <w:lang w:val="zh-CN"/>
              </w:rPr>
              <w:t>；</w:t>
            </w:r>
          </w:p>
          <w:p w14:paraId="0F8F6E28">
            <w:pPr>
              <w:numPr>
                <w:ilvl w:val="0"/>
                <w:numId w:val="5"/>
              </w:numPr>
              <w:wordWrap w:val="0"/>
              <w:topLinePunct/>
              <w:ind w:left="425" w:leftChars="0" w:hanging="425" w:firstLineChars="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道路交通的需求分析充分，项目范围内的交通组织科学合理，充分满足道路车行和人行的通行需求和使用要求</w:t>
            </w:r>
            <w:r>
              <w:rPr>
                <w:rFonts w:hint="eastAsia" w:ascii="宋体" w:hAnsi="宋体" w:cs="宋体"/>
                <w:color w:val="auto"/>
                <w:szCs w:val="21"/>
                <w:highlight w:val="none"/>
                <w:lang w:val="zh-CN"/>
              </w:rPr>
              <w:t>；</w:t>
            </w:r>
          </w:p>
          <w:p w14:paraId="12B3D52A">
            <w:pPr>
              <w:numPr>
                <w:ilvl w:val="0"/>
                <w:numId w:val="5"/>
              </w:numPr>
              <w:wordWrap w:val="0"/>
              <w:topLinePunct/>
              <w:ind w:left="425" w:leftChars="0" w:hanging="425" w:firstLineChars="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结合现状道路情况，充分考虑现状路口、标高</w:t>
            </w:r>
            <w:r>
              <w:rPr>
                <w:rFonts w:hint="eastAsia" w:ascii="宋体" w:hAnsi="宋体" w:cs="宋体"/>
                <w:color w:val="auto"/>
                <w:szCs w:val="21"/>
                <w:highlight w:val="none"/>
                <w:lang w:val="zh-CN"/>
              </w:rPr>
              <w:t>、</w:t>
            </w:r>
            <w:r>
              <w:rPr>
                <w:rFonts w:hint="eastAsia" w:ascii="宋体" w:hAnsi="宋体" w:eastAsia="宋体" w:cs="宋体"/>
                <w:color w:val="auto"/>
                <w:szCs w:val="21"/>
                <w:highlight w:val="none"/>
                <w:lang w:val="zh-CN"/>
              </w:rPr>
              <w:t>管线等衔接方案</w:t>
            </w:r>
            <w:r>
              <w:rPr>
                <w:rFonts w:hint="eastAsia" w:ascii="宋体" w:hAnsi="宋体" w:cs="宋体"/>
                <w:color w:val="auto"/>
                <w:szCs w:val="21"/>
                <w:highlight w:val="none"/>
                <w:lang w:val="zh-CN"/>
              </w:rPr>
              <w:t>；</w:t>
            </w:r>
          </w:p>
          <w:p w14:paraId="3EA9466B">
            <w:pPr>
              <w:numPr>
                <w:ilvl w:val="0"/>
                <w:numId w:val="5"/>
              </w:numPr>
              <w:wordWrap w:val="0"/>
              <w:topLinePunct/>
              <w:ind w:left="425" w:leftChars="0" w:hanging="425" w:firstLineChars="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路基路面</w:t>
            </w:r>
            <w:r>
              <w:rPr>
                <w:rFonts w:hint="eastAsia" w:ascii="宋体" w:hAnsi="宋体" w:cs="宋体"/>
                <w:color w:val="auto"/>
                <w:highlight w:val="none"/>
                <w:lang w:val="zh-CN"/>
              </w:rPr>
              <w:t>、</w:t>
            </w:r>
            <w:r>
              <w:rPr>
                <w:rFonts w:hint="eastAsia" w:ascii="宋体" w:hAnsi="宋体" w:cs="宋体"/>
                <w:color w:val="auto"/>
                <w:highlight w:val="none"/>
                <w:lang w:val="en-US" w:eastAsia="zh-CN"/>
              </w:rPr>
              <w:t>箱涵、挡土墙</w:t>
            </w:r>
            <w:r>
              <w:rPr>
                <w:rFonts w:hint="eastAsia" w:ascii="宋体" w:hAnsi="宋体" w:eastAsia="宋体" w:cs="宋体"/>
                <w:color w:val="auto"/>
                <w:highlight w:val="none"/>
                <w:lang w:val="zh-CN"/>
              </w:rPr>
              <w:t>设计方案详细且合理，能与项目周边现场条件相契合</w:t>
            </w:r>
            <w:r>
              <w:rPr>
                <w:rFonts w:hint="eastAsia" w:ascii="宋体" w:hAnsi="宋体" w:cs="宋体"/>
                <w:color w:val="auto"/>
                <w:highlight w:val="none"/>
                <w:lang w:val="zh-CN"/>
              </w:rPr>
              <w:t>；</w:t>
            </w:r>
          </w:p>
          <w:p w14:paraId="72836823">
            <w:pPr>
              <w:numPr>
                <w:ilvl w:val="0"/>
                <w:numId w:val="5"/>
              </w:numPr>
              <w:wordWrap w:val="0"/>
              <w:topLinePunct/>
              <w:ind w:left="425" w:leftChars="0" w:hanging="425" w:firstLineChars="0"/>
              <w:rPr>
                <w:rFonts w:hint="eastAsia" w:ascii="宋体" w:hAnsi="宋体" w:eastAsia="宋体" w:cs="宋体"/>
                <w:color w:val="auto"/>
                <w:highlight w:val="none"/>
                <w:lang w:val="en-US"/>
              </w:rPr>
            </w:pPr>
            <w:r>
              <w:rPr>
                <w:rFonts w:hint="eastAsia" w:ascii="宋体" w:hAnsi="宋体" w:eastAsia="宋体" w:cs="宋体"/>
                <w:color w:val="auto"/>
                <w:highlight w:val="none"/>
                <w:lang w:val="zh-CN"/>
              </w:rPr>
              <w:t>给水排水照明电力等工程方案完整合理，</w:t>
            </w:r>
            <w:r>
              <w:rPr>
                <w:rFonts w:hint="eastAsia" w:ascii="宋体" w:hAnsi="宋体" w:eastAsia="宋体" w:cs="宋体"/>
                <w:color w:val="auto"/>
                <w:szCs w:val="21"/>
                <w:highlight w:val="none"/>
                <w:lang w:val="zh-CN"/>
              </w:rPr>
              <w:t>综合管线的布置形式系统、合理、经济、实用，充分考虑与市政道路的衔接与协调；</w:t>
            </w:r>
            <w:r>
              <w:rPr>
                <w:rFonts w:hint="eastAsia" w:ascii="宋体" w:hAnsi="宋体" w:eastAsia="宋体" w:cs="宋体"/>
                <w:color w:val="auto"/>
                <w:highlight w:val="none"/>
                <w:lang w:val="en-US" w:eastAsia="zh-CN"/>
              </w:rPr>
              <w:t>重力流管线</w:t>
            </w:r>
            <w:r>
              <w:rPr>
                <w:rFonts w:hint="eastAsia" w:ascii="宋体" w:hAnsi="宋体" w:eastAsia="宋体" w:cs="宋体"/>
                <w:color w:val="auto"/>
                <w:highlight w:val="none"/>
              </w:rPr>
              <w:t>系统总体布局充分利用地形，尽量采用自流，尽量避免穿越河道，缩短管线长度，减小主干管管径，</w:t>
            </w:r>
            <w:r>
              <w:rPr>
                <w:rFonts w:hint="eastAsia" w:ascii="宋体" w:hAnsi="宋体" w:eastAsia="宋体" w:cs="宋体"/>
                <w:color w:val="auto"/>
                <w:highlight w:val="none"/>
                <w:lang w:eastAsia="zh-CN"/>
              </w:rPr>
              <w:t>能</w:t>
            </w:r>
            <w:r>
              <w:rPr>
                <w:rFonts w:hint="eastAsia" w:ascii="宋体" w:hAnsi="宋体" w:eastAsia="宋体" w:cs="宋体"/>
                <w:color w:val="auto"/>
                <w:highlight w:val="none"/>
              </w:rPr>
              <w:t>充分考虑其可实施性和可操作性</w:t>
            </w:r>
            <w:r>
              <w:rPr>
                <w:rFonts w:hint="eastAsia" w:ascii="宋体" w:hAnsi="宋体" w:cs="宋体"/>
                <w:color w:val="auto"/>
                <w:szCs w:val="21"/>
                <w:highlight w:val="none"/>
                <w:lang w:val="en-US" w:eastAsia="zh-CN"/>
              </w:rPr>
              <w:t>。</w:t>
            </w:r>
          </w:p>
          <w:p w14:paraId="7C988D65">
            <w:pPr>
              <w:pStyle w:val="38"/>
              <w:ind w:left="0" w:leftChars="0" w:firstLine="0" w:firstLineChars="0"/>
              <w:rPr>
                <w:rFonts w:hint="eastAsia" w:ascii="宋体" w:hAnsi="宋体" w:cs="宋体"/>
                <w:b/>
                <w:color w:val="auto"/>
                <w:kern w:val="1"/>
                <w:szCs w:val="21"/>
                <w:highlight w:val="none"/>
                <w:u w:val="single"/>
              </w:rPr>
            </w:pPr>
            <w:r>
              <w:rPr>
                <w:rFonts w:hint="eastAsia" w:ascii="宋体" w:hAnsi="宋体" w:eastAsia="宋体" w:cs="宋体"/>
                <w:color w:val="auto"/>
                <w:kern w:val="2"/>
                <w:sz w:val="21"/>
                <w:szCs w:val="21"/>
                <w:highlight w:val="none"/>
                <w:lang w:val="zh-CN" w:eastAsia="zh-CN" w:bidi="ar-SA"/>
              </w:rPr>
              <w:t>优得</w:t>
            </w:r>
            <w:r>
              <w:rPr>
                <w:rFonts w:hint="eastAsia" w:ascii="宋体" w:hAnsi="宋体" w:eastAsia="宋体" w:cs="宋体"/>
                <w:color w:val="auto"/>
                <w:kern w:val="2"/>
                <w:sz w:val="21"/>
                <w:szCs w:val="21"/>
                <w:highlight w:val="none"/>
                <w:lang w:val="en-US" w:eastAsia="zh-CN" w:bidi="ar-SA"/>
              </w:rPr>
              <w:t>30</w:t>
            </w:r>
            <w:r>
              <w:rPr>
                <w:rFonts w:hint="eastAsia" w:ascii="宋体" w:hAnsi="宋体" w:eastAsia="宋体" w:cs="宋体"/>
                <w:color w:val="auto"/>
                <w:kern w:val="2"/>
                <w:sz w:val="21"/>
                <w:szCs w:val="21"/>
                <w:highlight w:val="none"/>
                <w:lang w:val="zh-CN" w:eastAsia="zh-CN" w:bidi="ar-SA"/>
              </w:rPr>
              <w:t>分，良得</w:t>
            </w:r>
            <w:r>
              <w:rPr>
                <w:rFonts w:hint="eastAsia" w:ascii="宋体" w:hAnsi="宋体" w:cs="宋体"/>
                <w:color w:val="auto"/>
                <w:kern w:val="2"/>
                <w:sz w:val="21"/>
                <w:szCs w:val="21"/>
                <w:highlight w:val="none"/>
                <w:lang w:val="en-US" w:eastAsia="zh-CN" w:bidi="ar-SA"/>
              </w:rPr>
              <w:t>24</w:t>
            </w:r>
            <w:r>
              <w:rPr>
                <w:rFonts w:hint="eastAsia" w:ascii="宋体" w:hAnsi="宋体" w:eastAsia="宋体" w:cs="宋体"/>
                <w:color w:val="auto"/>
                <w:kern w:val="2"/>
                <w:sz w:val="21"/>
                <w:szCs w:val="21"/>
                <w:highlight w:val="none"/>
                <w:lang w:val="zh-CN" w:eastAsia="zh-CN" w:bidi="ar-SA"/>
              </w:rPr>
              <w:t>分，一般得</w:t>
            </w:r>
            <w:r>
              <w:rPr>
                <w:rFonts w:hint="eastAsia" w:ascii="宋体" w:hAnsi="宋体" w:cs="宋体"/>
                <w:color w:val="auto"/>
                <w:kern w:val="2"/>
                <w:sz w:val="21"/>
                <w:szCs w:val="21"/>
                <w:highlight w:val="none"/>
                <w:lang w:val="en-US" w:eastAsia="zh-CN" w:bidi="ar-SA"/>
              </w:rPr>
              <w:t>18</w:t>
            </w:r>
            <w:r>
              <w:rPr>
                <w:rFonts w:hint="eastAsia" w:ascii="宋体" w:hAnsi="宋体" w:eastAsia="宋体" w:cs="宋体"/>
                <w:color w:val="auto"/>
                <w:kern w:val="2"/>
                <w:sz w:val="21"/>
                <w:szCs w:val="21"/>
                <w:highlight w:val="none"/>
                <w:lang w:val="zh-CN" w:eastAsia="zh-CN" w:bidi="ar-SA"/>
              </w:rPr>
              <w:t>分。无</w:t>
            </w:r>
            <w:r>
              <w:rPr>
                <w:rFonts w:hint="eastAsia" w:ascii="宋体" w:hAnsi="宋体" w:cs="宋体"/>
                <w:color w:val="auto"/>
                <w:kern w:val="2"/>
                <w:sz w:val="21"/>
                <w:szCs w:val="21"/>
                <w:highlight w:val="none"/>
                <w:lang w:val="en-US" w:eastAsia="zh-CN" w:bidi="ar-SA"/>
              </w:rPr>
              <w:t>此项内容不得分</w:t>
            </w:r>
            <w:r>
              <w:rPr>
                <w:rFonts w:hint="eastAsia" w:ascii="宋体" w:hAnsi="宋体" w:eastAsia="宋体" w:cs="宋体"/>
                <w:color w:val="auto"/>
                <w:kern w:val="2"/>
                <w:sz w:val="21"/>
                <w:szCs w:val="21"/>
                <w:highlight w:val="none"/>
                <w:lang w:val="zh-CN" w:eastAsia="zh-CN" w:bidi="ar-SA"/>
              </w:rPr>
              <w:t>。</w:t>
            </w:r>
          </w:p>
        </w:tc>
      </w:tr>
      <w:tr w14:paraId="7E5D7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40" w:type="dxa"/>
            <w:gridSpan w:val="2"/>
            <w:vMerge w:val="continue"/>
            <w:tcBorders>
              <w:top w:val="single" w:color="auto" w:sz="4" w:space="0"/>
              <w:left w:val="single" w:color="auto" w:sz="4" w:space="0"/>
              <w:bottom w:val="single" w:color="auto" w:sz="4" w:space="0"/>
              <w:right w:val="single" w:color="000000" w:sz="6" w:space="0"/>
            </w:tcBorders>
            <w:vAlign w:val="center"/>
          </w:tcPr>
          <w:p w14:paraId="736D9E65">
            <w:pPr>
              <w:spacing w:line="276" w:lineRule="auto"/>
              <w:jc w:val="center"/>
              <w:rPr>
                <w:rFonts w:hint="eastAsia" w:ascii="宋体" w:hAnsi="宋体" w:cs="宋体"/>
                <w:color w:val="auto"/>
                <w:kern w:val="1"/>
                <w:szCs w:val="21"/>
                <w:highlight w:val="none"/>
              </w:rPr>
            </w:pPr>
          </w:p>
        </w:tc>
        <w:tc>
          <w:tcPr>
            <w:tcW w:w="670" w:type="dxa"/>
            <w:vMerge w:val="continue"/>
            <w:tcBorders>
              <w:top w:val="single" w:color="auto" w:sz="4" w:space="0"/>
              <w:left w:val="single" w:color="000000" w:sz="4" w:space="0"/>
              <w:bottom w:val="single" w:color="auto" w:sz="4" w:space="0"/>
              <w:right w:val="single" w:color="000000" w:sz="6" w:space="0"/>
            </w:tcBorders>
            <w:vAlign w:val="center"/>
          </w:tcPr>
          <w:p w14:paraId="6EA777B1">
            <w:pPr>
              <w:spacing w:line="276" w:lineRule="auto"/>
              <w:jc w:val="center"/>
              <w:rPr>
                <w:rFonts w:hint="eastAsia" w:ascii="宋体" w:hAnsi="宋体" w:cs="宋体"/>
                <w:color w:val="auto"/>
                <w:kern w:val="1"/>
                <w:szCs w:val="21"/>
                <w:highlight w:val="none"/>
              </w:rPr>
            </w:pPr>
          </w:p>
        </w:tc>
        <w:tc>
          <w:tcPr>
            <w:tcW w:w="891" w:type="dxa"/>
            <w:vMerge w:val="continue"/>
            <w:tcBorders>
              <w:left w:val="single" w:color="000000" w:sz="6" w:space="0"/>
              <w:right w:val="single" w:color="auto" w:sz="4" w:space="0"/>
            </w:tcBorders>
            <w:vAlign w:val="center"/>
          </w:tcPr>
          <w:p w14:paraId="266BADF2">
            <w:pPr>
              <w:spacing w:line="276" w:lineRule="auto"/>
              <w:jc w:val="left"/>
              <w:rPr>
                <w:rFonts w:hint="eastAsia" w:ascii="宋体" w:hAnsi="宋体" w:cs="宋体"/>
                <w:color w:val="auto"/>
                <w:kern w:val="1"/>
                <w:szCs w:val="21"/>
                <w:highlight w:val="none"/>
              </w:rPr>
            </w:pPr>
          </w:p>
        </w:tc>
        <w:tc>
          <w:tcPr>
            <w:tcW w:w="1499" w:type="dxa"/>
            <w:tcBorders>
              <w:top w:val="single" w:color="auto" w:sz="4" w:space="0"/>
              <w:left w:val="single" w:color="auto" w:sz="4" w:space="0"/>
              <w:bottom w:val="single" w:color="auto" w:sz="4" w:space="0"/>
              <w:right w:val="single" w:color="auto" w:sz="4" w:space="0"/>
            </w:tcBorders>
            <w:vAlign w:val="center"/>
          </w:tcPr>
          <w:p w14:paraId="0586B5DA">
            <w:pPr>
              <w:autoSpaceDE w:val="0"/>
              <w:autoSpaceDN w:val="0"/>
              <w:adjustRightInd w:val="0"/>
              <w:spacing w:line="2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设计深度</w:t>
            </w:r>
          </w:p>
          <w:p w14:paraId="51976ABB">
            <w:pPr>
              <w:wordWrap w:val="0"/>
              <w:topLinePunct/>
              <w:jc w:val="center"/>
              <w:rPr>
                <w:rFonts w:hint="eastAsia" w:ascii="宋体" w:hAnsi="宋体" w:cs="宋体"/>
                <w:color w:val="auto"/>
                <w:kern w:val="1"/>
                <w:szCs w:val="21"/>
                <w:highlight w:val="none"/>
              </w:rPr>
            </w:pPr>
            <w:r>
              <w:rPr>
                <w:rFonts w:hint="eastAsia" w:ascii="宋体" w:hAnsi="宋体" w:eastAsia="宋体" w:cs="宋体"/>
                <w:color w:val="auto"/>
                <w:szCs w:val="21"/>
                <w:highlight w:val="none"/>
              </w:rPr>
              <w:t>【20分】</w:t>
            </w:r>
          </w:p>
        </w:tc>
        <w:tc>
          <w:tcPr>
            <w:tcW w:w="6052" w:type="dxa"/>
            <w:tcBorders>
              <w:top w:val="single" w:color="000000" w:sz="6" w:space="0"/>
              <w:left w:val="single" w:color="auto" w:sz="4" w:space="0"/>
              <w:bottom w:val="single" w:color="000000" w:sz="6" w:space="0"/>
              <w:right w:val="single" w:color="000000" w:sz="4" w:space="0"/>
            </w:tcBorders>
            <w:vAlign w:val="center"/>
          </w:tcPr>
          <w:p w14:paraId="745DD31C">
            <w:pPr>
              <w:pStyle w:val="12"/>
              <w:ind w:left="0" w:leftChars="0" w:firstLine="0" w:firstLineChars="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设计方案充分契合本项目设计任务书需求，</w:t>
            </w:r>
            <w:r>
              <w:rPr>
                <w:rFonts w:hint="eastAsia" w:ascii="宋体" w:hAnsi="宋体" w:eastAsia="宋体" w:cs="宋体"/>
                <w:color w:val="auto"/>
                <w:szCs w:val="21"/>
                <w:highlight w:val="none"/>
                <w:lang w:val="zh-CN"/>
              </w:rPr>
              <w:t>设计内容齐全、</w:t>
            </w:r>
            <w:r>
              <w:rPr>
                <w:rFonts w:hint="eastAsia" w:ascii="宋体" w:hAnsi="宋体" w:eastAsia="宋体" w:cs="宋体"/>
                <w:color w:val="auto"/>
                <w:kern w:val="2"/>
                <w:sz w:val="21"/>
                <w:szCs w:val="21"/>
                <w:highlight w:val="none"/>
                <w:lang w:val="zh-CN" w:eastAsia="zh-CN" w:bidi="ar-SA"/>
              </w:rPr>
              <w:t>细节到位、深度较高。</w:t>
            </w:r>
          </w:p>
          <w:p w14:paraId="2CC3946C">
            <w:pPr>
              <w:pStyle w:val="12"/>
              <w:ind w:left="0" w:leftChars="0" w:firstLine="0" w:firstLineChars="0"/>
              <w:rPr>
                <w:rFonts w:hint="eastAsia" w:ascii="宋体" w:hAnsi="宋体" w:cs="宋体"/>
                <w:b/>
                <w:color w:val="auto"/>
                <w:kern w:val="1"/>
                <w:szCs w:val="21"/>
                <w:highlight w:val="none"/>
                <w:u w:val="single"/>
              </w:rPr>
            </w:pPr>
            <w:r>
              <w:rPr>
                <w:rFonts w:hint="eastAsia" w:ascii="宋体" w:hAnsi="宋体" w:eastAsia="宋体" w:cs="宋体"/>
                <w:color w:val="auto"/>
                <w:kern w:val="2"/>
                <w:sz w:val="21"/>
                <w:szCs w:val="21"/>
                <w:highlight w:val="none"/>
                <w:lang w:val="zh-CN" w:eastAsia="zh-CN" w:bidi="ar-SA"/>
              </w:rPr>
              <w:t>优得</w:t>
            </w:r>
            <w:r>
              <w:rPr>
                <w:rFonts w:hint="eastAsia" w:ascii="宋体" w:hAnsi="宋体" w:eastAsia="宋体" w:cs="宋体"/>
                <w:color w:val="auto"/>
                <w:kern w:val="2"/>
                <w:sz w:val="21"/>
                <w:szCs w:val="21"/>
                <w:highlight w:val="none"/>
                <w:lang w:val="en-US" w:eastAsia="zh-CN" w:bidi="ar-SA"/>
              </w:rPr>
              <w:t>20</w:t>
            </w:r>
            <w:r>
              <w:rPr>
                <w:rFonts w:hint="eastAsia" w:ascii="宋体" w:hAnsi="宋体" w:eastAsia="宋体" w:cs="宋体"/>
                <w:color w:val="auto"/>
                <w:kern w:val="2"/>
                <w:sz w:val="21"/>
                <w:szCs w:val="21"/>
                <w:highlight w:val="none"/>
                <w:lang w:val="zh-CN" w:eastAsia="zh-CN" w:bidi="ar-SA"/>
              </w:rPr>
              <w:t>分，良得</w:t>
            </w:r>
            <w:r>
              <w:rPr>
                <w:rFonts w:hint="eastAsia" w:ascii="宋体" w:hAnsi="宋体" w:cs="宋体"/>
                <w:color w:val="auto"/>
                <w:kern w:val="2"/>
                <w:sz w:val="21"/>
                <w:szCs w:val="21"/>
                <w:highlight w:val="none"/>
                <w:lang w:val="en-US" w:eastAsia="zh-CN" w:bidi="ar-SA"/>
              </w:rPr>
              <w:t>16</w:t>
            </w:r>
            <w:r>
              <w:rPr>
                <w:rFonts w:hint="eastAsia" w:ascii="宋体" w:hAnsi="宋体" w:eastAsia="宋体" w:cs="宋体"/>
                <w:color w:val="auto"/>
                <w:kern w:val="2"/>
                <w:sz w:val="21"/>
                <w:szCs w:val="21"/>
                <w:highlight w:val="none"/>
                <w:lang w:val="zh-CN" w:eastAsia="zh-CN" w:bidi="ar-SA"/>
              </w:rPr>
              <w:t>分，一般得</w:t>
            </w:r>
            <w:r>
              <w:rPr>
                <w:rFonts w:hint="eastAsia" w:ascii="宋体" w:hAnsi="宋体" w:cs="宋体"/>
                <w:color w:val="auto"/>
                <w:kern w:val="2"/>
                <w:sz w:val="21"/>
                <w:szCs w:val="21"/>
                <w:highlight w:val="none"/>
                <w:lang w:val="en-US" w:eastAsia="zh-CN" w:bidi="ar-SA"/>
              </w:rPr>
              <w:t>12</w:t>
            </w:r>
            <w:r>
              <w:rPr>
                <w:rFonts w:hint="eastAsia" w:ascii="宋体" w:hAnsi="宋体" w:eastAsia="宋体" w:cs="宋体"/>
                <w:color w:val="auto"/>
                <w:kern w:val="2"/>
                <w:sz w:val="21"/>
                <w:szCs w:val="21"/>
                <w:highlight w:val="none"/>
                <w:lang w:val="zh-CN" w:eastAsia="zh-CN" w:bidi="ar-SA"/>
              </w:rPr>
              <w:t>分。无</w:t>
            </w:r>
            <w:r>
              <w:rPr>
                <w:rFonts w:hint="eastAsia" w:ascii="宋体" w:hAnsi="宋体" w:cs="宋体"/>
                <w:color w:val="auto"/>
                <w:kern w:val="2"/>
                <w:sz w:val="21"/>
                <w:szCs w:val="21"/>
                <w:highlight w:val="none"/>
                <w:lang w:val="en-US" w:eastAsia="zh-CN" w:bidi="ar-SA"/>
              </w:rPr>
              <w:t>此项内容不得分</w:t>
            </w:r>
            <w:r>
              <w:rPr>
                <w:rFonts w:hint="eastAsia" w:ascii="宋体" w:hAnsi="宋体" w:eastAsia="宋体" w:cs="宋体"/>
                <w:color w:val="auto"/>
                <w:kern w:val="2"/>
                <w:sz w:val="21"/>
                <w:szCs w:val="21"/>
                <w:highlight w:val="none"/>
                <w:lang w:val="zh-CN" w:eastAsia="zh-CN" w:bidi="ar-SA"/>
              </w:rPr>
              <w:t>。</w:t>
            </w:r>
          </w:p>
        </w:tc>
      </w:tr>
      <w:tr w14:paraId="3E65C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40" w:type="dxa"/>
            <w:gridSpan w:val="2"/>
            <w:vMerge w:val="continue"/>
            <w:tcBorders>
              <w:top w:val="single" w:color="auto" w:sz="4" w:space="0"/>
              <w:left w:val="single" w:color="auto" w:sz="4" w:space="0"/>
              <w:bottom w:val="single" w:color="auto" w:sz="4" w:space="0"/>
              <w:right w:val="single" w:color="000000" w:sz="6" w:space="0"/>
            </w:tcBorders>
            <w:vAlign w:val="center"/>
          </w:tcPr>
          <w:p w14:paraId="7A6763CB">
            <w:pPr>
              <w:spacing w:line="276" w:lineRule="auto"/>
              <w:jc w:val="center"/>
              <w:rPr>
                <w:rFonts w:hint="eastAsia" w:ascii="宋体" w:hAnsi="宋体" w:cs="宋体"/>
                <w:color w:val="auto"/>
                <w:kern w:val="1"/>
                <w:szCs w:val="21"/>
                <w:highlight w:val="none"/>
              </w:rPr>
            </w:pPr>
          </w:p>
        </w:tc>
        <w:tc>
          <w:tcPr>
            <w:tcW w:w="670" w:type="dxa"/>
            <w:vMerge w:val="continue"/>
            <w:tcBorders>
              <w:top w:val="single" w:color="auto" w:sz="4" w:space="0"/>
              <w:left w:val="single" w:color="000000" w:sz="4" w:space="0"/>
              <w:bottom w:val="single" w:color="auto" w:sz="4" w:space="0"/>
              <w:right w:val="single" w:color="000000" w:sz="6" w:space="0"/>
            </w:tcBorders>
            <w:vAlign w:val="center"/>
          </w:tcPr>
          <w:p w14:paraId="41ECD8DE">
            <w:pPr>
              <w:spacing w:line="276" w:lineRule="auto"/>
              <w:jc w:val="center"/>
              <w:rPr>
                <w:rFonts w:hint="eastAsia" w:ascii="宋体" w:hAnsi="宋体" w:cs="宋体"/>
                <w:color w:val="auto"/>
                <w:kern w:val="1"/>
                <w:szCs w:val="21"/>
                <w:highlight w:val="none"/>
              </w:rPr>
            </w:pPr>
          </w:p>
        </w:tc>
        <w:tc>
          <w:tcPr>
            <w:tcW w:w="891" w:type="dxa"/>
            <w:vMerge w:val="continue"/>
            <w:tcBorders>
              <w:left w:val="single" w:color="000000" w:sz="6" w:space="0"/>
              <w:bottom w:val="single" w:color="auto" w:sz="4" w:space="0"/>
              <w:right w:val="single" w:color="auto" w:sz="4" w:space="0"/>
            </w:tcBorders>
            <w:vAlign w:val="center"/>
          </w:tcPr>
          <w:p w14:paraId="36488674">
            <w:pPr>
              <w:spacing w:line="276" w:lineRule="auto"/>
              <w:jc w:val="left"/>
              <w:rPr>
                <w:rFonts w:hint="eastAsia" w:ascii="宋体" w:hAnsi="宋体" w:cs="宋体"/>
                <w:color w:val="auto"/>
                <w:kern w:val="1"/>
                <w:szCs w:val="21"/>
                <w:highlight w:val="none"/>
              </w:rPr>
            </w:pPr>
          </w:p>
        </w:tc>
        <w:tc>
          <w:tcPr>
            <w:tcW w:w="1499" w:type="dxa"/>
            <w:tcBorders>
              <w:top w:val="single" w:color="auto" w:sz="4" w:space="0"/>
              <w:left w:val="single" w:color="auto" w:sz="4" w:space="0"/>
              <w:bottom w:val="single" w:color="auto" w:sz="4" w:space="0"/>
              <w:right w:val="single" w:color="auto" w:sz="4" w:space="0"/>
            </w:tcBorders>
            <w:vAlign w:val="center"/>
          </w:tcPr>
          <w:p w14:paraId="1BAEEB78">
            <w:pPr>
              <w:autoSpaceDE w:val="0"/>
              <w:autoSpaceDN w:val="0"/>
              <w:adjustRightInd w:val="0"/>
              <w:spacing w:line="2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项目重难点分析</w:t>
            </w:r>
          </w:p>
          <w:p w14:paraId="58BED0D4">
            <w:pPr>
              <w:autoSpaceDE w:val="0"/>
              <w:autoSpaceDN w:val="0"/>
              <w:adjustRightInd w:val="0"/>
              <w:spacing w:line="260" w:lineRule="exact"/>
              <w:jc w:val="center"/>
              <w:rPr>
                <w:rFonts w:hint="eastAsia" w:ascii="宋体" w:hAnsi="宋体" w:cs="宋体"/>
                <w:color w:val="auto"/>
                <w:kern w:val="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分】</w:t>
            </w:r>
          </w:p>
        </w:tc>
        <w:tc>
          <w:tcPr>
            <w:tcW w:w="6052" w:type="dxa"/>
            <w:tcBorders>
              <w:top w:val="single" w:color="000000" w:sz="6" w:space="0"/>
              <w:left w:val="single" w:color="auto" w:sz="4" w:space="0"/>
              <w:bottom w:val="single" w:color="000000" w:sz="6" w:space="0"/>
              <w:right w:val="single" w:color="000000" w:sz="4" w:space="0"/>
            </w:tcBorders>
            <w:vAlign w:val="center"/>
          </w:tcPr>
          <w:p w14:paraId="50FB3149">
            <w:pPr>
              <w:pStyle w:val="12"/>
              <w:ind w:left="0" w:leftChars="0" w:firstLine="0" w:firstLineChars="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对项目功能定位清晰明确；对本项目工程建设的重点、难点分析透彻；对项目范围内重要节点的打造可能存在的问题分析透彻，并提出有针对性、合理的、可行的解决措施。</w:t>
            </w:r>
          </w:p>
          <w:p w14:paraId="5B5F489D">
            <w:pPr>
              <w:pStyle w:val="12"/>
              <w:ind w:left="0" w:leftChars="0" w:firstLine="0" w:firstLineChars="0"/>
              <w:rPr>
                <w:rFonts w:hint="eastAsia" w:ascii="宋体" w:hAnsi="宋体" w:cs="宋体"/>
                <w:b/>
                <w:color w:val="auto"/>
                <w:kern w:val="1"/>
                <w:szCs w:val="21"/>
                <w:highlight w:val="none"/>
                <w:u w:val="single"/>
              </w:rPr>
            </w:pPr>
            <w:r>
              <w:rPr>
                <w:rFonts w:hint="eastAsia" w:ascii="宋体" w:hAnsi="宋体" w:eastAsia="宋体" w:cs="宋体"/>
                <w:color w:val="auto"/>
                <w:kern w:val="2"/>
                <w:sz w:val="21"/>
                <w:szCs w:val="21"/>
                <w:highlight w:val="none"/>
                <w:lang w:val="zh-CN" w:eastAsia="zh-CN" w:bidi="ar-SA"/>
              </w:rPr>
              <w:t>优得</w:t>
            </w:r>
            <w:r>
              <w:rPr>
                <w:rFonts w:hint="eastAsia" w:ascii="宋体" w:hAnsi="宋体" w:eastAsia="宋体" w:cs="宋体"/>
                <w:color w:val="auto"/>
                <w:kern w:val="2"/>
                <w:sz w:val="21"/>
                <w:szCs w:val="21"/>
                <w:highlight w:val="none"/>
                <w:lang w:val="en-US" w:eastAsia="zh-CN" w:bidi="ar-SA"/>
              </w:rPr>
              <w:t>10</w:t>
            </w:r>
            <w:r>
              <w:rPr>
                <w:rFonts w:hint="eastAsia" w:ascii="宋体" w:hAnsi="宋体" w:eastAsia="宋体" w:cs="宋体"/>
                <w:color w:val="auto"/>
                <w:kern w:val="2"/>
                <w:sz w:val="21"/>
                <w:szCs w:val="21"/>
                <w:highlight w:val="none"/>
                <w:lang w:val="zh-CN" w:eastAsia="zh-CN" w:bidi="ar-SA"/>
              </w:rPr>
              <w:t>分，良得</w:t>
            </w:r>
            <w:r>
              <w:rPr>
                <w:rFonts w:hint="eastAsia" w:ascii="宋体" w:hAnsi="宋体"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zh-CN" w:eastAsia="zh-CN" w:bidi="ar-SA"/>
              </w:rPr>
              <w:t>分，一般得</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zh-CN" w:eastAsia="zh-CN" w:bidi="ar-SA"/>
              </w:rPr>
              <w:t>分。无</w:t>
            </w:r>
            <w:r>
              <w:rPr>
                <w:rFonts w:hint="eastAsia" w:ascii="宋体" w:hAnsi="宋体" w:cs="宋体"/>
                <w:color w:val="auto"/>
                <w:kern w:val="2"/>
                <w:sz w:val="21"/>
                <w:szCs w:val="21"/>
                <w:highlight w:val="none"/>
                <w:lang w:val="en-US" w:eastAsia="zh-CN" w:bidi="ar-SA"/>
              </w:rPr>
              <w:t>此项内容不得分</w:t>
            </w:r>
            <w:r>
              <w:rPr>
                <w:rFonts w:hint="eastAsia" w:ascii="宋体" w:hAnsi="宋体" w:eastAsia="宋体" w:cs="宋体"/>
                <w:color w:val="auto"/>
                <w:kern w:val="2"/>
                <w:sz w:val="21"/>
                <w:szCs w:val="21"/>
                <w:highlight w:val="none"/>
                <w:lang w:val="zh-CN" w:eastAsia="zh-CN" w:bidi="ar-SA"/>
              </w:rPr>
              <w:t>。</w:t>
            </w:r>
          </w:p>
        </w:tc>
      </w:tr>
      <w:tr w14:paraId="779AE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40" w:type="dxa"/>
            <w:gridSpan w:val="2"/>
            <w:vMerge w:val="continue"/>
            <w:tcBorders>
              <w:top w:val="single" w:color="auto" w:sz="4" w:space="0"/>
              <w:left w:val="single" w:color="auto" w:sz="4" w:space="0"/>
              <w:bottom w:val="single" w:color="auto" w:sz="4" w:space="0"/>
              <w:right w:val="single" w:color="000000" w:sz="6" w:space="0"/>
            </w:tcBorders>
            <w:vAlign w:val="center"/>
          </w:tcPr>
          <w:p w14:paraId="042DAB7F">
            <w:pPr>
              <w:spacing w:line="276" w:lineRule="auto"/>
              <w:jc w:val="center"/>
              <w:rPr>
                <w:rFonts w:hint="eastAsia" w:ascii="宋体" w:hAnsi="宋体" w:cs="宋体"/>
                <w:color w:val="auto"/>
                <w:kern w:val="1"/>
                <w:szCs w:val="21"/>
                <w:highlight w:val="none"/>
              </w:rPr>
            </w:pPr>
          </w:p>
        </w:tc>
        <w:tc>
          <w:tcPr>
            <w:tcW w:w="670" w:type="dxa"/>
            <w:vMerge w:val="continue"/>
            <w:tcBorders>
              <w:top w:val="single" w:color="auto" w:sz="4" w:space="0"/>
              <w:left w:val="single" w:color="000000" w:sz="4" w:space="0"/>
              <w:bottom w:val="single" w:color="auto" w:sz="4" w:space="0"/>
              <w:right w:val="single" w:color="000000" w:sz="6" w:space="0"/>
            </w:tcBorders>
            <w:vAlign w:val="center"/>
          </w:tcPr>
          <w:p w14:paraId="6718C747">
            <w:pPr>
              <w:spacing w:line="276" w:lineRule="auto"/>
              <w:jc w:val="center"/>
              <w:rPr>
                <w:rFonts w:hint="eastAsia" w:ascii="宋体" w:hAnsi="宋体" w:cs="宋体"/>
                <w:color w:val="auto"/>
                <w:kern w:val="1"/>
                <w:szCs w:val="21"/>
                <w:highlight w:val="none"/>
              </w:rPr>
            </w:pPr>
          </w:p>
        </w:tc>
        <w:tc>
          <w:tcPr>
            <w:tcW w:w="891" w:type="dxa"/>
            <w:tcBorders>
              <w:top w:val="single" w:color="auto" w:sz="4" w:space="0"/>
              <w:left w:val="single" w:color="000000" w:sz="6" w:space="0"/>
              <w:bottom w:val="single" w:color="auto" w:sz="4" w:space="0"/>
              <w:right w:val="single" w:color="auto" w:sz="4" w:space="0"/>
            </w:tcBorders>
            <w:vAlign w:val="center"/>
          </w:tcPr>
          <w:p w14:paraId="3CA1EC13">
            <w:pPr>
              <w:spacing w:line="276" w:lineRule="auto"/>
              <w:jc w:val="left"/>
              <w:rPr>
                <w:rFonts w:hint="eastAsia" w:ascii="宋体" w:hAnsi="宋体" w:cs="宋体"/>
                <w:color w:val="auto"/>
                <w:kern w:val="1"/>
                <w:szCs w:val="21"/>
                <w:highlight w:val="none"/>
              </w:rPr>
            </w:pPr>
            <w:r>
              <w:rPr>
                <w:rFonts w:hint="eastAsia" w:ascii="宋体" w:hAnsi="宋体" w:cs="宋体"/>
                <w:color w:val="auto"/>
                <w:kern w:val="1"/>
                <w:szCs w:val="21"/>
                <w:highlight w:val="none"/>
                <w:lang w:val="en-US" w:eastAsia="zh-CN"/>
              </w:rPr>
              <w:t>投资控制</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分】</w:t>
            </w:r>
          </w:p>
        </w:tc>
        <w:tc>
          <w:tcPr>
            <w:tcW w:w="1499" w:type="dxa"/>
            <w:tcBorders>
              <w:top w:val="single" w:color="auto" w:sz="4" w:space="0"/>
              <w:left w:val="single" w:color="auto" w:sz="4" w:space="0"/>
              <w:bottom w:val="single" w:color="auto" w:sz="4" w:space="0"/>
              <w:right w:val="single" w:color="auto" w:sz="4" w:space="0"/>
            </w:tcBorders>
            <w:vAlign w:val="center"/>
          </w:tcPr>
          <w:p w14:paraId="4AB2A16B">
            <w:pPr>
              <w:wordWrap w:val="0"/>
              <w:topLinePunct/>
              <w:jc w:val="center"/>
              <w:rPr>
                <w:rFonts w:hint="eastAsia" w:ascii="宋体" w:hAnsi="宋体" w:cs="宋体"/>
                <w:color w:val="auto"/>
                <w:szCs w:val="21"/>
                <w:highlight w:val="none"/>
              </w:rPr>
            </w:pPr>
            <w:r>
              <w:rPr>
                <w:rFonts w:hint="eastAsia" w:ascii="宋体" w:hAnsi="宋体" w:cs="宋体"/>
                <w:color w:val="auto"/>
                <w:kern w:val="1"/>
                <w:szCs w:val="21"/>
                <w:highlight w:val="none"/>
                <w:lang w:val="en-US" w:eastAsia="zh-CN"/>
              </w:rPr>
              <w:t>投资控制</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分】</w:t>
            </w:r>
          </w:p>
        </w:tc>
        <w:tc>
          <w:tcPr>
            <w:tcW w:w="6052" w:type="dxa"/>
            <w:tcBorders>
              <w:top w:val="single" w:color="000000" w:sz="6" w:space="0"/>
              <w:left w:val="single" w:color="auto" w:sz="4" w:space="0"/>
              <w:bottom w:val="single" w:color="000000" w:sz="6" w:space="0"/>
              <w:right w:val="single" w:color="000000" w:sz="4" w:space="0"/>
            </w:tcBorders>
            <w:vAlign w:val="center"/>
          </w:tcPr>
          <w:p w14:paraId="60AFA30B">
            <w:pPr>
              <w:pStyle w:val="12"/>
              <w:numPr>
                <w:ilvl w:val="-1"/>
                <w:numId w:val="0"/>
              </w:numPr>
              <w:ind w:left="0" w:leftChars="0" w:firstLine="0" w:firstLineChars="0"/>
              <w:rPr>
                <w:rFonts w:hint="eastAsia" w:ascii="宋体" w:hAnsi="宋体" w:eastAsia="宋体" w:cs="宋体"/>
                <w:color w:val="auto"/>
                <w:kern w:val="2"/>
                <w:sz w:val="21"/>
                <w:szCs w:val="21"/>
                <w:highlight w:val="none"/>
                <w:lang w:val="zh-CN"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zh-CN" w:eastAsia="zh-CN" w:bidi="ar-SA"/>
              </w:rPr>
              <w:t>工程总投资合理，节约工程总投资的措施及理由合理、科学、可行</w:t>
            </w:r>
            <w:r>
              <w:rPr>
                <w:rFonts w:hint="eastAsia" w:ascii="宋体" w:hAnsi="宋体" w:cs="宋体"/>
                <w:color w:val="auto"/>
                <w:kern w:val="2"/>
                <w:sz w:val="21"/>
                <w:szCs w:val="21"/>
                <w:highlight w:val="none"/>
                <w:lang w:val="zh-CN" w:eastAsia="zh-CN" w:bidi="ar-SA"/>
              </w:rPr>
              <w:t>；</w:t>
            </w:r>
          </w:p>
          <w:p w14:paraId="0D62D9A8">
            <w:pPr>
              <w:numPr>
                <w:ilvl w:val="-1"/>
                <w:numId w:val="0"/>
              </w:numPr>
              <w:ind w:left="0" w:leftChars="0" w:firstLine="0" w:firstLineChars="0"/>
              <w:rPr>
                <w:rFonts w:hint="eastAsia" w:ascii="宋体" w:hAnsi="宋体" w:cs="宋体"/>
                <w:color w:val="auto"/>
                <w:szCs w:val="21"/>
                <w:highlight w:val="none"/>
                <w:lang w:val="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zh-CN" w:eastAsia="zh-CN" w:bidi="ar-SA"/>
              </w:rPr>
              <w:t>投资估算编制依据正确，达到相应的深度要求，编制质量高。优得</w:t>
            </w:r>
            <w:r>
              <w:rPr>
                <w:rFonts w:hint="eastAsia" w:ascii="宋体" w:hAnsi="宋体" w:cs="宋体"/>
                <w:color w:val="auto"/>
                <w:kern w:val="2"/>
                <w:sz w:val="21"/>
                <w:szCs w:val="21"/>
                <w:highlight w:val="none"/>
                <w:lang w:val="en-US" w:eastAsia="zh-CN" w:bidi="ar-SA"/>
              </w:rPr>
              <w:t>10</w:t>
            </w:r>
            <w:r>
              <w:rPr>
                <w:rFonts w:hint="eastAsia" w:ascii="宋体" w:hAnsi="宋体" w:eastAsia="宋体" w:cs="宋体"/>
                <w:color w:val="auto"/>
                <w:kern w:val="2"/>
                <w:sz w:val="21"/>
                <w:szCs w:val="21"/>
                <w:highlight w:val="none"/>
                <w:lang w:val="zh-CN" w:eastAsia="zh-CN" w:bidi="ar-SA"/>
              </w:rPr>
              <w:t>分；良得</w:t>
            </w:r>
            <w:r>
              <w:rPr>
                <w:rFonts w:hint="eastAsia" w:ascii="宋体" w:hAnsi="宋体"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zh-CN" w:eastAsia="zh-CN" w:bidi="ar-SA"/>
              </w:rPr>
              <w:t>分，一般得</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zh-CN" w:eastAsia="zh-CN" w:bidi="ar-SA"/>
              </w:rPr>
              <w:t>分。无</w:t>
            </w:r>
            <w:r>
              <w:rPr>
                <w:rFonts w:hint="eastAsia" w:ascii="宋体" w:hAnsi="宋体" w:cs="宋体"/>
                <w:color w:val="auto"/>
                <w:kern w:val="2"/>
                <w:sz w:val="21"/>
                <w:szCs w:val="21"/>
                <w:highlight w:val="none"/>
                <w:lang w:val="en-US" w:eastAsia="zh-CN" w:bidi="ar-SA"/>
              </w:rPr>
              <w:t>此项内容不得分</w:t>
            </w:r>
            <w:r>
              <w:rPr>
                <w:rFonts w:hint="eastAsia" w:ascii="宋体" w:hAnsi="宋体" w:eastAsia="宋体" w:cs="宋体"/>
                <w:color w:val="auto"/>
                <w:kern w:val="2"/>
                <w:sz w:val="21"/>
                <w:szCs w:val="21"/>
                <w:highlight w:val="none"/>
                <w:lang w:val="zh-CN" w:eastAsia="zh-CN" w:bidi="ar-SA"/>
              </w:rPr>
              <w:t>。</w:t>
            </w:r>
          </w:p>
        </w:tc>
      </w:tr>
      <w:tr w14:paraId="5367F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40" w:type="dxa"/>
            <w:gridSpan w:val="2"/>
            <w:vMerge w:val="restart"/>
            <w:tcBorders>
              <w:top w:val="single" w:color="auto" w:sz="4" w:space="0"/>
              <w:left w:val="single" w:color="auto" w:sz="4" w:space="0"/>
              <w:bottom w:val="single" w:color="auto" w:sz="4" w:space="0"/>
              <w:right w:val="single" w:color="auto" w:sz="4" w:space="0"/>
            </w:tcBorders>
            <w:vAlign w:val="center"/>
          </w:tcPr>
          <w:p w14:paraId="6E57BD79">
            <w:pPr>
              <w:spacing w:line="276"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2.2.4（2）</w:t>
            </w:r>
          </w:p>
        </w:tc>
        <w:tc>
          <w:tcPr>
            <w:tcW w:w="670" w:type="dxa"/>
            <w:vMerge w:val="restart"/>
            <w:tcBorders>
              <w:top w:val="single" w:color="auto" w:sz="4" w:space="0"/>
              <w:left w:val="single" w:color="auto" w:sz="4" w:space="0"/>
              <w:bottom w:val="single" w:color="auto" w:sz="4" w:space="0"/>
              <w:right w:val="single" w:color="auto" w:sz="4" w:space="0"/>
            </w:tcBorders>
            <w:vAlign w:val="center"/>
          </w:tcPr>
          <w:p w14:paraId="370CB3DC">
            <w:pPr>
              <w:spacing w:line="276"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工程总承包实施方案评分标准（100分）</w:t>
            </w:r>
          </w:p>
        </w:tc>
        <w:tc>
          <w:tcPr>
            <w:tcW w:w="891" w:type="dxa"/>
            <w:vMerge w:val="restart"/>
            <w:tcBorders>
              <w:top w:val="single" w:color="auto" w:sz="4" w:space="0"/>
              <w:left w:val="single" w:color="auto" w:sz="4" w:space="0"/>
              <w:bottom w:val="single" w:color="auto" w:sz="4" w:space="0"/>
              <w:right w:val="single" w:color="auto" w:sz="4" w:space="0"/>
            </w:tcBorders>
            <w:vAlign w:val="center"/>
          </w:tcPr>
          <w:p w14:paraId="7D5CBDC9">
            <w:pPr>
              <w:spacing w:line="276"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资信部分</w:t>
            </w:r>
          </w:p>
          <w:p w14:paraId="69E9B111">
            <w:pPr>
              <w:spacing w:line="276"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w:t>
            </w:r>
            <w:r>
              <w:rPr>
                <w:rFonts w:hint="eastAsia" w:ascii="宋体" w:hAnsi="宋体" w:cs="宋体"/>
                <w:color w:val="auto"/>
                <w:kern w:val="1"/>
                <w:szCs w:val="21"/>
                <w:highlight w:val="none"/>
                <w:lang w:val="en-US" w:eastAsia="zh-CN"/>
              </w:rPr>
              <w:t>36</w:t>
            </w:r>
            <w:r>
              <w:rPr>
                <w:rFonts w:hint="eastAsia" w:ascii="宋体" w:hAnsi="宋体" w:cs="宋体"/>
                <w:color w:val="auto"/>
                <w:kern w:val="1"/>
                <w:szCs w:val="21"/>
                <w:highlight w:val="none"/>
              </w:rPr>
              <w:t>分）</w:t>
            </w:r>
          </w:p>
        </w:tc>
        <w:tc>
          <w:tcPr>
            <w:tcW w:w="149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6326AA4">
            <w:pPr>
              <w:spacing w:line="276" w:lineRule="auto"/>
              <w:jc w:val="center"/>
              <w:rPr>
                <w:rFonts w:hint="eastAsia" w:ascii="宋体" w:hAnsi="宋体" w:cs="宋体"/>
                <w:color w:val="auto"/>
                <w:kern w:val="1"/>
                <w:szCs w:val="21"/>
                <w:highlight w:val="none"/>
              </w:rPr>
            </w:pPr>
            <w:r>
              <w:rPr>
                <w:rFonts w:hint="eastAsia" w:ascii="宋体" w:hAnsi="宋体" w:cs="宋体"/>
                <w:color w:val="auto"/>
                <w:szCs w:val="21"/>
                <w:highlight w:val="none"/>
              </w:rPr>
              <w:t>企业类似业绩</w:t>
            </w:r>
          </w:p>
          <w:p w14:paraId="7BC3C627">
            <w:pPr>
              <w:spacing w:line="276"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shd w:val="clear" w:fill="FFFFFF" w:themeFill="background1"/>
              </w:rPr>
              <w:t>【</w:t>
            </w:r>
            <w:r>
              <w:rPr>
                <w:rFonts w:hint="eastAsia" w:ascii="宋体" w:hAnsi="宋体" w:cs="宋体"/>
                <w:color w:val="auto"/>
                <w:kern w:val="1"/>
                <w:szCs w:val="21"/>
                <w:highlight w:val="none"/>
                <w:shd w:val="clear" w:fill="FFFFFF" w:themeFill="background1"/>
                <w:lang w:val="en-US" w:eastAsia="zh-CN"/>
              </w:rPr>
              <w:t>12</w:t>
            </w:r>
            <w:r>
              <w:rPr>
                <w:rFonts w:hint="eastAsia" w:ascii="宋体" w:hAnsi="宋体" w:cs="宋体"/>
                <w:color w:val="auto"/>
                <w:kern w:val="1"/>
                <w:szCs w:val="21"/>
                <w:highlight w:val="none"/>
                <w:shd w:val="clear" w:fill="FFFFFF" w:themeFill="background1"/>
              </w:rPr>
              <w:t>分】</w:t>
            </w:r>
          </w:p>
        </w:tc>
        <w:tc>
          <w:tcPr>
            <w:tcW w:w="6052" w:type="dxa"/>
            <w:tcBorders>
              <w:top w:val="single" w:color="000000" w:sz="6" w:space="0"/>
              <w:left w:val="single" w:color="auto" w:sz="4" w:space="0"/>
              <w:bottom w:val="single" w:color="000000" w:sz="6" w:space="0"/>
              <w:right w:val="single" w:color="000000" w:sz="4" w:space="0"/>
            </w:tcBorders>
            <w:shd w:val="clear" w:color="auto" w:fill="FFFFFF" w:themeFill="background1"/>
            <w:vAlign w:val="center"/>
          </w:tcPr>
          <w:p w14:paraId="478AD9EC">
            <w:pPr>
              <w:autoSpaceDE w:val="0"/>
              <w:autoSpaceDN w:val="0"/>
              <w:spacing w:line="360" w:lineRule="exact"/>
              <w:rPr>
                <w:rFonts w:ascii="宋体" w:hAnsi="宋体" w:cs="宋体"/>
                <w:color w:val="auto"/>
                <w:szCs w:val="21"/>
                <w:highlight w:val="none"/>
              </w:rPr>
            </w:pPr>
            <w:r>
              <w:rPr>
                <w:rFonts w:hint="eastAsia" w:ascii="宋体" w:hAnsi="宋体" w:cs="宋体"/>
                <w:color w:val="auto"/>
                <w:szCs w:val="21"/>
                <w:highlight w:val="none"/>
              </w:rPr>
              <w:t>1、投标人（若为联合体，指联合体主办方）自</w:t>
            </w:r>
            <w:r>
              <w:rPr>
                <w:rFonts w:hint="eastAsia" w:ascii="宋体" w:hAnsi="宋体" w:cs="宋体"/>
                <w:color w:val="auto"/>
                <w:szCs w:val="21"/>
                <w:highlight w:val="none"/>
                <w:lang w:val="en-US" w:eastAsia="zh-CN"/>
              </w:rPr>
              <w:t>2019</w:t>
            </w:r>
            <w:r>
              <w:rPr>
                <w:rFonts w:hint="eastAsia" w:ascii="宋体" w:hAnsi="宋体" w:cs="宋体"/>
                <w:color w:val="auto"/>
                <w:szCs w:val="21"/>
                <w:highlight w:val="none"/>
              </w:rPr>
              <w:t>年1月1日至今完成过质量合格的</w:t>
            </w:r>
            <w:r>
              <w:rPr>
                <w:rFonts w:hint="eastAsia" w:ascii="宋体" w:hAnsi="宋体" w:cs="宋体"/>
                <w:szCs w:val="21"/>
              </w:rPr>
              <w:t>类似工程施工业绩</w:t>
            </w:r>
            <w:r>
              <w:rPr>
                <w:rFonts w:hint="eastAsia" w:ascii="宋体" w:hAnsi="宋体" w:cs="宋体"/>
                <w:color w:val="auto"/>
                <w:szCs w:val="21"/>
                <w:highlight w:val="none"/>
              </w:rPr>
              <w:t>，每项得1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分；本小项最高</w:t>
            </w:r>
            <w:r>
              <w:rPr>
                <w:rFonts w:hint="eastAsia" w:ascii="宋体" w:hAnsi="宋体" w:cs="宋体"/>
                <w:color w:val="auto"/>
                <w:szCs w:val="21"/>
                <w:highlight w:val="none"/>
                <w:shd w:val="clear" w:fill="FFFFFF" w:themeFill="background1"/>
              </w:rPr>
              <w:t>得</w:t>
            </w:r>
            <w:r>
              <w:rPr>
                <w:rFonts w:hint="eastAsia" w:ascii="宋体" w:hAnsi="宋体" w:cs="宋体"/>
                <w:color w:val="auto"/>
                <w:szCs w:val="21"/>
                <w:highlight w:val="none"/>
                <w:shd w:val="clear" w:fill="FFFFFF" w:themeFill="background1"/>
                <w:lang w:val="en-US" w:eastAsia="zh-CN"/>
              </w:rPr>
              <w:t>6</w:t>
            </w:r>
            <w:r>
              <w:rPr>
                <w:rFonts w:hint="eastAsia" w:ascii="宋体" w:hAnsi="宋体" w:cs="宋体"/>
                <w:color w:val="auto"/>
                <w:szCs w:val="21"/>
                <w:highlight w:val="none"/>
                <w:shd w:val="clear" w:fill="FFFFFF" w:themeFill="background1"/>
              </w:rPr>
              <w:t>分</w:t>
            </w:r>
            <w:r>
              <w:rPr>
                <w:rFonts w:hint="eastAsia" w:ascii="宋体" w:hAnsi="宋体" w:cs="宋体"/>
                <w:color w:val="auto"/>
                <w:szCs w:val="21"/>
                <w:highlight w:val="none"/>
              </w:rPr>
              <w:t>。</w:t>
            </w:r>
          </w:p>
          <w:p w14:paraId="51EA7FAE">
            <w:pPr>
              <w:spacing w:line="320" w:lineRule="exact"/>
              <w:rPr>
                <w:rFonts w:hint="eastAsia" w:ascii="宋体" w:hAnsi="宋体"/>
                <w:color w:val="auto"/>
                <w:highlight w:val="none"/>
              </w:rPr>
            </w:pPr>
            <w:r>
              <w:rPr>
                <w:rFonts w:hint="eastAsia" w:ascii="宋体" w:hAnsi="宋体" w:cs="宋体"/>
                <w:color w:val="auto"/>
                <w:szCs w:val="21"/>
                <w:highlight w:val="none"/>
              </w:rPr>
              <w:t>2、投标人（若为联合体，指联合体承担设计任务的单位）自</w:t>
            </w:r>
            <w:r>
              <w:rPr>
                <w:rFonts w:hint="eastAsia" w:ascii="宋体" w:hAnsi="宋体" w:cs="宋体"/>
                <w:color w:val="auto"/>
                <w:szCs w:val="21"/>
                <w:highlight w:val="none"/>
                <w:lang w:val="en-US" w:eastAsia="zh-CN"/>
              </w:rPr>
              <w:t>2019</w:t>
            </w:r>
            <w:r>
              <w:rPr>
                <w:rFonts w:hint="eastAsia" w:ascii="宋体" w:hAnsi="宋体" w:cs="宋体"/>
                <w:color w:val="auto"/>
                <w:szCs w:val="21"/>
                <w:highlight w:val="none"/>
              </w:rPr>
              <w:t>年1月1日至今完成过类似</w:t>
            </w:r>
            <w:r>
              <w:rPr>
                <w:rFonts w:hint="eastAsia" w:ascii="宋体" w:hAnsi="宋体" w:cs="宋体"/>
                <w:szCs w:val="21"/>
              </w:rPr>
              <w:t>工程设计业绩</w:t>
            </w:r>
            <w:r>
              <w:rPr>
                <w:rFonts w:hint="eastAsia" w:ascii="宋体" w:hAnsi="宋体" w:cs="宋体"/>
                <w:color w:val="auto"/>
                <w:szCs w:val="21"/>
                <w:highlight w:val="none"/>
              </w:rPr>
              <w:t>的，每项得1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分；本小项最高得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tc>
      </w:tr>
      <w:tr w14:paraId="041D5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40" w:type="dxa"/>
            <w:gridSpan w:val="2"/>
            <w:vMerge w:val="continue"/>
            <w:tcBorders>
              <w:left w:val="single" w:color="auto" w:sz="4" w:space="0"/>
              <w:right w:val="single" w:color="auto" w:sz="4" w:space="0"/>
            </w:tcBorders>
            <w:vAlign w:val="center"/>
          </w:tcPr>
          <w:p w14:paraId="56F9E5CA">
            <w:pPr>
              <w:spacing w:line="276" w:lineRule="auto"/>
              <w:jc w:val="center"/>
              <w:rPr>
                <w:rFonts w:hint="eastAsia" w:ascii="宋体" w:hAnsi="宋体" w:cs="宋体"/>
                <w:color w:val="auto"/>
                <w:kern w:val="1"/>
                <w:szCs w:val="21"/>
                <w:highlight w:val="none"/>
              </w:rPr>
            </w:pPr>
          </w:p>
        </w:tc>
        <w:tc>
          <w:tcPr>
            <w:tcW w:w="670" w:type="dxa"/>
            <w:vMerge w:val="continue"/>
            <w:tcBorders>
              <w:left w:val="single" w:color="auto" w:sz="4" w:space="0"/>
              <w:right w:val="single" w:color="auto" w:sz="4" w:space="0"/>
            </w:tcBorders>
            <w:vAlign w:val="center"/>
          </w:tcPr>
          <w:p w14:paraId="4BF1485B">
            <w:pPr>
              <w:spacing w:line="276" w:lineRule="auto"/>
              <w:jc w:val="center"/>
              <w:rPr>
                <w:rFonts w:hint="eastAsia" w:ascii="宋体" w:hAnsi="宋体" w:cs="宋体"/>
                <w:color w:val="auto"/>
                <w:kern w:val="1"/>
                <w:szCs w:val="21"/>
                <w:highlight w:val="none"/>
              </w:rPr>
            </w:pPr>
          </w:p>
        </w:tc>
        <w:tc>
          <w:tcPr>
            <w:tcW w:w="891" w:type="dxa"/>
            <w:vMerge w:val="continue"/>
            <w:tcBorders>
              <w:left w:val="single" w:color="auto" w:sz="4" w:space="0"/>
              <w:right w:val="single" w:color="auto" w:sz="4" w:space="0"/>
            </w:tcBorders>
            <w:vAlign w:val="center"/>
          </w:tcPr>
          <w:p w14:paraId="027199F6">
            <w:pPr>
              <w:spacing w:line="276" w:lineRule="auto"/>
              <w:jc w:val="center"/>
              <w:rPr>
                <w:rFonts w:hint="eastAsia" w:ascii="宋体" w:hAnsi="宋体" w:cs="宋体"/>
                <w:color w:val="auto"/>
                <w:kern w:val="1"/>
                <w:szCs w:val="21"/>
                <w:highlight w:val="none"/>
              </w:rPr>
            </w:pPr>
          </w:p>
        </w:tc>
        <w:tc>
          <w:tcPr>
            <w:tcW w:w="149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68C5E69">
            <w:pPr>
              <w:spacing w:line="276" w:lineRule="auto"/>
              <w:jc w:val="center"/>
              <w:rPr>
                <w:rFonts w:hint="eastAsia" w:ascii="宋体" w:hAnsi="宋体" w:cs="宋体"/>
                <w:color w:val="auto"/>
                <w:kern w:val="1"/>
                <w:szCs w:val="21"/>
                <w:highlight w:val="none"/>
              </w:rPr>
            </w:pPr>
            <w:r>
              <w:rPr>
                <w:rFonts w:hint="eastAsia" w:ascii="宋体" w:hAnsi="宋体" w:cs="宋体"/>
                <w:color w:val="auto"/>
                <w:szCs w:val="21"/>
                <w:highlight w:val="none"/>
                <w:lang w:val="zh-CN"/>
              </w:rPr>
              <w:t>企业</w:t>
            </w:r>
            <w:r>
              <w:rPr>
                <w:rFonts w:hint="eastAsia" w:ascii="宋体" w:hAnsi="宋体" w:cs="宋体"/>
                <w:color w:val="auto"/>
                <w:szCs w:val="21"/>
                <w:highlight w:val="none"/>
              </w:rPr>
              <w:t>业绩</w:t>
            </w:r>
            <w:r>
              <w:rPr>
                <w:rFonts w:hint="eastAsia" w:ascii="宋体" w:hAnsi="宋体" w:cs="宋体"/>
                <w:color w:val="auto"/>
                <w:szCs w:val="21"/>
                <w:highlight w:val="none"/>
                <w:lang w:val="zh-CN"/>
              </w:rPr>
              <w:t>获奖</w:t>
            </w:r>
          </w:p>
          <w:p w14:paraId="493E6F6D">
            <w:pPr>
              <w:spacing w:line="276"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shd w:val="clear" w:fill="FFFFFF" w:themeFill="background1"/>
              </w:rPr>
              <w:t>【</w:t>
            </w:r>
            <w:r>
              <w:rPr>
                <w:rFonts w:hint="eastAsia" w:ascii="宋体" w:hAnsi="宋体" w:cs="宋体"/>
                <w:color w:val="auto"/>
                <w:kern w:val="1"/>
                <w:szCs w:val="21"/>
                <w:highlight w:val="none"/>
                <w:shd w:val="clear" w:fill="FFFFFF" w:themeFill="background1"/>
                <w:lang w:val="en-US" w:eastAsia="zh-CN"/>
              </w:rPr>
              <w:t>10</w:t>
            </w:r>
            <w:r>
              <w:rPr>
                <w:rFonts w:hint="eastAsia" w:ascii="宋体" w:hAnsi="宋体" w:cs="宋体"/>
                <w:color w:val="auto"/>
                <w:kern w:val="1"/>
                <w:szCs w:val="21"/>
                <w:highlight w:val="none"/>
                <w:shd w:val="clear" w:fill="FFFFFF" w:themeFill="background1"/>
              </w:rPr>
              <w:t>分】</w:t>
            </w:r>
          </w:p>
        </w:tc>
        <w:tc>
          <w:tcPr>
            <w:tcW w:w="6052" w:type="dxa"/>
            <w:tcBorders>
              <w:top w:val="single" w:color="000000" w:sz="6" w:space="0"/>
              <w:left w:val="single" w:color="auto" w:sz="4" w:space="0"/>
              <w:bottom w:val="single" w:color="000000" w:sz="6" w:space="0"/>
              <w:right w:val="single" w:color="000000" w:sz="4" w:space="0"/>
            </w:tcBorders>
            <w:shd w:val="clear" w:color="auto" w:fill="FFFFFF" w:themeFill="background1"/>
            <w:vAlign w:val="center"/>
          </w:tcPr>
          <w:p w14:paraId="2FE15451">
            <w:pPr>
              <w:spacing w:line="276" w:lineRule="auto"/>
              <w:rPr>
                <w:color w:val="auto"/>
                <w:szCs w:val="21"/>
                <w:highlight w:val="none"/>
              </w:rPr>
            </w:pPr>
            <w:r>
              <w:rPr>
                <w:rFonts w:hint="eastAsia" w:ascii="宋体" w:hAnsi="宋体" w:cs="宋体"/>
                <w:color w:val="auto"/>
                <w:szCs w:val="21"/>
                <w:highlight w:val="none"/>
              </w:rPr>
              <w:t>1、</w:t>
            </w:r>
            <w:r>
              <w:rPr>
                <w:rFonts w:hint="eastAsia"/>
                <w:color w:val="auto"/>
                <w:szCs w:val="21"/>
                <w:highlight w:val="none"/>
              </w:rPr>
              <w:t>投标人</w:t>
            </w:r>
            <w:r>
              <w:rPr>
                <w:rFonts w:hint="eastAsia" w:ascii="宋体" w:hAnsi="宋体" w:cs="宋体"/>
                <w:color w:val="auto"/>
                <w:szCs w:val="21"/>
                <w:highlight w:val="none"/>
              </w:rPr>
              <w:t>（若为联合体，指联合体主办方）</w:t>
            </w:r>
            <w:r>
              <w:rPr>
                <w:rFonts w:hint="eastAsia"/>
                <w:color w:val="auto"/>
                <w:szCs w:val="21"/>
                <w:highlight w:val="none"/>
              </w:rPr>
              <w:t>自</w:t>
            </w:r>
            <w:r>
              <w:rPr>
                <w:rFonts w:hint="eastAsia"/>
                <w:color w:val="auto"/>
                <w:szCs w:val="21"/>
                <w:highlight w:val="none"/>
                <w:lang w:val="en-US" w:eastAsia="zh-CN"/>
              </w:rPr>
              <w:t>2019</w:t>
            </w:r>
            <w:r>
              <w:rPr>
                <w:rFonts w:hint="eastAsia"/>
                <w:color w:val="auto"/>
                <w:szCs w:val="21"/>
                <w:highlight w:val="none"/>
              </w:rPr>
              <w:t>年1月1日至今承接的</w:t>
            </w:r>
            <w:r>
              <w:rPr>
                <w:rFonts w:hint="eastAsia"/>
                <w:color w:val="auto"/>
                <w:sz w:val="21"/>
                <w:szCs w:val="21"/>
                <w:highlight w:val="none"/>
                <w:lang w:val="en-US" w:eastAsia="zh-CN"/>
              </w:rPr>
              <w:t>市政公用工程</w:t>
            </w:r>
            <w:r>
              <w:rPr>
                <w:rFonts w:hint="eastAsia"/>
                <w:color w:val="auto"/>
                <w:szCs w:val="21"/>
                <w:highlight w:val="none"/>
                <w:lang w:val="en-US" w:eastAsia="zh-CN"/>
              </w:rPr>
              <w:t>施工项目</w:t>
            </w:r>
            <w:r>
              <w:rPr>
                <w:rFonts w:hint="eastAsia"/>
                <w:color w:val="auto"/>
                <w:szCs w:val="21"/>
                <w:highlight w:val="none"/>
              </w:rPr>
              <w:t>获得过国家级工程质量奖，每项得</w:t>
            </w:r>
            <w:r>
              <w:rPr>
                <w:rFonts w:hint="eastAsia"/>
                <w:color w:val="auto"/>
                <w:szCs w:val="21"/>
                <w:highlight w:val="none"/>
                <w:lang w:val="en-US" w:eastAsia="zh-CN"/>
              </w:rPr>
              <w:t>3</w:t>
            </w:r>
            <w:r>
              <w:rPr>
                <w:rFonts w:hint="eastAsia"/>
                <w:color w:val="auto"/>
                <w:szCs w:val="21"/>
                <w:highlight w:val="none"/>
              </w:rPr>
              <w:t>分；获得省级工程质量奖，每项得</w:t>
            </w:r>
            <w:r>
              <w:rPr>
                <w:rFonts w:hint="eastAsia"/>
                <w:color w:val="auto"/>
                <w:szCs w:val="21"/>
                <w:highlight w:val="none"/>
                <w:lang w:val="en-US" w:eastAsia="zh-CN"/>
              </w:rPr>
              <w:t>2</w:t>
            </w:r>
            <w:r>
              <w:rPr>
                <w:rFonts w:hint="eastAsia"/>
                <w:color w:val="auto"/>
                <w:szCs w:val="21"/>
                <w:highlight w:val="none"/>
              </w:rPr>
              <w:t>分；获得市级</w:t>
            </w:r>
            <w:r>
              <w:rPr>
                <w:rFonts w:hint="eastAsia" w:ascii="宋体" w:hAnsi="宋体" w:cs="宋体"/>
                <w:color w:val="auto"/>
                <w:sz w:val="21"/>
                <w:szCs w:val="21"/>
                <w:highlight w:val="none"/>
                <w:lang w:val="zh-CN"/>
              </w:rPr>
              <w:t>（副省级）</w:t>
            </w:r>
            <w:r>
              <w:rPr>
                <w:rFonts w:hint="eastAsia"/>
                <w:color w:val="auto"/>
                <w:szCs w:val="21"/>
                <w:highlight w:val="none"/>
              </w:rPr>
              <w:t>工程质量奖的，每项得</w:t>
            </w:r>
            <w:r>
              <w:rPr>
                <w:rFonts w:hint="eastAsia"/>
                <w:color w:val="auto"/>
                <w:szCs w:val="21"/>
                <w:highlight w:val="none"/>
                <w:lang w:val="en-US" w:eastAsia="zh-CN"/>
              </w:rPr>
              <w:t>1</w:t>
            </w:r>
            <w:r>
              <w:rPr>
                <w:rFonts w:hint="eastAsia"/>
                <w:color w:val="auto"/>
                <w:szCs w:val="21"/>
                <w:highlight w:val="none"/>
              </w:rPr>
              <w:t>分；</w:t>
            </w:r>
          </w:p>
          <w:p w14:paraId="69B1C541">
            <w:pPr>
              <w:spacing w:line="276" w:lineRule="auto"/>
              <w:rPr>
                <w:color w:val="auto"/>
                <w:szCs w:val="21"/>
                <w:highlight w:val="none"/>
              </w:rPr>
            </w:pPr>
            <w:r>
              <w:rPr>
                <w:rFonts w:hint="eastAsia" w:ascii="宋体" w:hAnsi="宋体" w:cs="宋体"/>
                <w:color w:val="auto"/>
                <w:szCs w:val="21"/>
                <w:highlight w:val="none"/>
              </w:rPr>
              <w:t>本小项最高</w:t>
            </w:r>
            <w:r>
              <w:rPr>
                <w:rFonts w:hint="eastAsia" w:ascii="宋体" w:hAnsi="宋体" w:cs="宋体"/>
                <w:color w:val="auto"/>
                <w:szCs w:val="21"/>
                <w:highlight w:val="none"/>
                <w:shd w:val="clear" w:fill="auto"/>
              </w:rPr>
              <w:t>得</w:t>
            </w:r>
            <w:r>
              <w:rPr>
                <w:rFonts w:hint="eastAsia" w:ascii="宋体" w:hAnsi="宋体" w:cs="宋体"/>
                <w:color w:val="auto"/>
                <w:szCs w:val="21"/>
                <w:highlight w:val="none"/>
                <w:shd w:val="clear" w:fill="auto"/>
                <w:lang w:val="en-US" w:eastAsia="zh-CN"/>
              </w:rPr>
              <w:t>5</w:t>
            </w:r>
            <w:r>
              <w:rPr>
                <w:rFonts w:hint="eastAsia" w:ascii="宋体" w:hAnsi="宋体" w:cs="宋体"/>
                <w:color w:val="auto"/>
                <w:szCs w:val="21"/>
                <w:highlight w:val="none"/>
                <w:shd w:val="clear" w:fill="auto"/>
              </w:rPr>
              <w:t>分</w:t>
            </w:r>
            <w:r>
              <w:rPr>
                <w:rFonts w:hint="eastAsia"/>
                <w:color w:val="auto"/>
                <w:szCs w:val="21"/>
                <w:highlight w:val="none"/>
                <w:shd w:val="clear" w:fill="auto"/>
              </w:rPr>
              <w:t>。</w:t>
            </w:r>
          </w:p>
          <w:p w14:paraId="1C83C3A6">
            <w:pPr>
              <w:pStyle w:val="32"/>
              <w:tabs>
                <w:tab w:val="right" w:leader="dot" w:pos="8302"/>
              </w:tabs>
              <w:ind w:left="0" w:leftChars="0"/>
              <w:rPr>
                <w:rFonts w:ascii="宋体" w:hAnsi="宋体" w:cs="宋体"/>
                <w:color w:val="auto"/>
                <w:sz w:val="21"/>
                <w:szCs w:val="21"/>
                <w:highlight w:val="none"/>
                <w:lang w:val="zh-CN"/>
              </w:rPr>
            </w:pPr>
            <w:r>
              <w:rPr>
                <w:rFonts w:hint="eastAsia" w:ascii="宋体" w:hAnsi="宋体" w:cs="宋体"/>
                <w:color w:val="auto"/>
                <w:sz w:val="21"/>
                <w:szCs w:val="21"/>
                <w:highlight w:val="none"/>
              </w:rPr>
              <w:t>2、投标人（若为联合体，指联合体承担设计任务的单位）自</w:t>
            </w:r>
            <w:r>
              <w:rPr>
                <w:rFonts w:hint="eastAsia" w:ascii="宋体" w:hAnsi="宋体" w:cs="宋体"/>
                <w:color w:val="auto"/>
                <w:sz w:val="21"/>
                <w:szCs w:val="21"/>
                <w:highlight w:val="none"/>
                <w:lang w:val="en-US" w:eastAsia="zh-CN"/>
              </w:rPr>
              <w:t>2019</w:t>
            </w:r>
            <w:r>
              <w:rPr>
                <w:rFonts w:hint="eastAsia" w:ascii="宋体" w:hAnsi="宋体" w:cs="宋体"/>
                <w:color w:val="auto"/>
                <w:sz w:val="21"/>
                <w:szCs w:val="21"/>
                <w:highlight w:val="none"/>
              </w:rPr>
              <w:t>年1月1日至</w:t>
            </w:r>
            <w:r>
              <w:rPr>
                <w:rFonts w:hint="eastAsia"/>
                <w:color w:val="auto"/>
                <w:szCs w:val="21"/>
                <w:highlight w:val="none"/>
              </w:rPr>
              <w:t>今</w:t>
            </w:r>
            <w:r>
              <w:rPr>
                <w:rFonts w:hint="eastAsia" w:ascii="宋体" w:hAnsi="宋体" w:cs="宋体"/>
                <w:color w:val="auto"/>
                <w:sz w:val="21"/>
                <w:szCs w:val="21"/>
                <w:highlight w:val="none"/>
              </w:rPr>
              <w:t>承接</w:t>
            </w:r>
            <w:r>
              <w:rPr>
                <w:rFonts w:hint="eastAsia" w:ascii="宋体" w:hAnsi="宋体" w:cs="宋体"/>
                <w:color w:val="auto"/>
                <w:sz w:val="21"/>
                <w:szCs w:val="21"/>
                <w:highlight w:val="none"/>
                <w:lang w:val="zh-CN"/>
              </w:rPr>
              <w:t>的</w:t>
            </w:r>
            <w:r>
              <w:rPr>
                <w:rFonts w:hint="eastAsia"/>
                <w:smallCaps w:val="0"/>
                <w:color w:val="auto"/>
                <w:sz w:val="21"/>
                <w:szCs w:val="21"/>
                <w:highlight w:val="none"/>
                <w:lang w:val="en-US" w:eastAsia="zh-CN"/>
              </w:rPr>
              <w:t>市政公用工程</w:t>
            </w:r>
            <w:r>
              <w:rPr>
                <w:rFonts w:hint="eastAsia" w:ascii="宋体" w:hAnsi="宋体" w:cs="宋体"/>
                <w:color w:val="auto"/>
                <w:sz w:val="21"/>
                <w:szCs w:val="21"/>
                <w:highlight w:val="none"/>
                <w:lang w:val="zh-CN"/>
              </w:rPr>
              <w:t>设计</w:t>
            </w:r>
            <w:r>
              <w:rPr>
                <w:rFonts w:hint="eastAsia" w:ascii="宋体" w:hAnsi="宋体" w:cs="宋体"/>
                <w:color w:val="auto"/>
                <w:sz w:val="21"/>
                <w:szCs w:val="21"/>
                <w:highlight w:val="none"/>
                <w:lang w:val="en-US" w:eastAsia="zh-CN"/>
              </w:rPr>
              <w:t>项目</w:t>
            </w:r>
            <w:r>
              <w:rPr>
                <w:rFonts w:hint="eastAsia" w:ascii="宋体" w:hAnsi="宋体" w:cs="宋体"/>
                <w:color w:val="auto"/>
                <w:sz w:val="21"/>
                <w:szCs w:val="21"/>
                <w:highlight w:val="none"/>
                <w:lang w:val="zh-CN"/>
              </w:rPr>
              <w:t>获国家级奖项每项得</w:t>
            </w:r>
            <w:r>
              <w:rPr>
                <w:rFonts w:hint="eastAsia" w:ascii="宋体" w:hAnsi="宋体" w:cs="宋体"/>
                <w:color w:val="auto"/>
                <w:sz w:val="21"/>
                <w:szCs w:val="21"/>
                <w:highlight w:val="none"/>
              </w:rPr>
              <w:t>3</w:t>
            </w:r>
            <w:r>
              <w:rPr>
                <w:rFonts w:hint="eastAsia" w:ascii="宋体" w:hAnsi="宋体" w:cs="宋体"/>
                <w:color w:val="auto"/>
                <w:sz w:val="21"/>
                <w:szCs w:val="21"/>
                <w:highlight w:val="none"/>
                <w:lang w:val="zh-CN"/>
              </w:rPr>
              <w:t>分；获行业级奖项，每项得</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分；获省级奖项，每项得</w:t>
            </w:r>
            <w:r>
              <w:rPr>
                <w:rFonts w:hint="eastAsia" w:ascii="宋体" w:hAnsi="宋体" w:cs="宋体"/>
                <w:color w:val="auto"/>
                <w:sz w:val="21"/>
                <w:szCs w:val="21"/>
                <w:highlight w:val="none"/>
              </w:rPr>
              <w:t>1</w:t>
            </w:r>
            <w:r>
              <w:rPr>
                <w:rFonts w:hint="eastAsia" w:ascii="宋体" w:hAnsi="宋体" w:cs="宋体"/>
                <w:color w:val="auto"/>
                <w:sz w:val="21"/>
                <w:szCs w:val="21"/>
                <w:highlight w:val="none"/>
                <w:lang w:val="zh-CN"/>
              </w:rPr>
              <w:t>分；获市</w:t>
            </w:r>
            <w:r>
              <w:rPr>
                <w:rFonts w:hint="eastAsia" w:ascii="宋体" w:hAnsi="宋体" w:cs="宋体"/>
                <w:color w:val="auto"/>
                <w:sz w:val="21"/>
                <w:szCs w:val="21"/>
                <w:highlight w:val="none"/>
                <w:lang w:val="en-US" w:eastAsia="zh-CN"/>
              </w:rPr>
              <w:t>级</w:t>
            </w:r>
            <w:r>
              <w:rPr>
                <w:rFonts w:hint="eastAsia" w:ascii="宋体" w:hAnsi="宋体" w:cs="宋体"/>
                <w:color w:val="auto"/>
                <w:sz w:val="21"/>
                <w:szCs w:val="21"/>
                <w:highlight w:val="none"/>
                <w:lang w:val="zh-CN"/>
              </w:rPr>
              <w:t>（副省级）奖项，每项得</w:t>
            </w:r>
            <w:r>
              <w:rPr>
                <w:rFonts w:hint="eastAsia" w:ascii="宋体" w:hAnsi="宋体" w:cs="宋体"/>
                <w:color w:val="auto"/>
                <w:sz w:val="21"/>
                <w:szCs w:val="21"/>
                <w:highlight w:val="none"/>
              </w:rPr>
              <w:t>0.5</w:t>
            </w:r>
            <w:r>
              <w:rPr>
                <w:rFonts w:hint="eastAsia" w:ascii="宋体" w:hAnsi="宋体" w:cs="宋体"/>
                <w:color w:val="auto"/>
                <w:sz w:val="21"/>
                <w:szCs w:val="21"/>
                <w:highlight w:val="none"/>
                <w:lang w:val="zh-CN"/>
              </w:rPr>
              <w:t>分；</w:t>
            </w:r>
          </w:p>
          <w:p w14:paraId="4DF3AD64">
            <w:pPr>
              <w:pStyle w:val="32"/>
              <w:tabs>
                <w:tab w:val="right" w:leader="dot" w:pos="8302"/>
              </w:tabs>
              <w:ind w:left="0" w:leftChars="0"/>
              <w:rPr>
                <w:rFonts w:hint="eastAsia" w:ascii="宋体" w:hAnsi="宋体"/>
                <w:color w:val="auto"/>
                <w:highlight w:val="none"/>
              </w:rPr>
            </w:pPr>
            <w:r>
              <w:rPr>
                <w:rFonts w:hint="eastAsia" w:ascii="宋体" w:hAnsi="宋体" w:cs="宋体"/>
                <w:color w:val="auto"/>
                <w:sz w:val="21"/>
                <w:szCs w:val="21"/>
                <w:highlight w:val="none"/>
              </w:rPr>
              <w:t>本小项最高</w:t>
            </w:r>
            <w:r>
              <w:rPr>
                <w:rFonts w:hint="eastAsia" w:ascii="宋体" w:hAnsi="宋体" w:cs="宋体"/>
                <w:color w:val="auto"/>
                <w:sz w:val="21"/>
                <w:szCs w:val="21"/>
                <w:highlight w:val="none"/>
                <w:shd w:val="clear" w:fill="FFFFFF" w:themeFill="background1"/>
              </w:rPr>
              <w:t>得</w:t>
            </w:r>
            <w:r>
              <w:rPr>
                <w:rFonts w:hint="eastAsia" w:ascii="宋体" w:hAnsi="宋体" w:cs="宋体"/>
                <w:color w:val="auto"/>
                <w:sz w:val="21"/>
                <w:szCs w:val="21"/>
                <w:highlight w:val="none"/>
                <w:shd w:val="clear" w:fill="FFFFFF" w:themeFill="background1"/>
                <w:lang w:val="en-US" w:eastAsia="zh-CN"/>
              </w:rPr>
              <w:t>5</w:t>
            </w:r>
            <w:r>
              <w:rPr>
                <w:rFonts w:hint="eastAsia" w:ascii="宋体" w:hAnsi="宋体" w:cs="宋体"/>
                <w:color w:val="auto"/>
                <w:sz w:val="21"/>
                <w:szCs w:val="21"/>
                <w:highlight w:val="none"/>
                <w:shd w:val="clear" w:fill="FFFFFF" w:themeFill="background1"/>
              </w:rPr>
              <w:t>分。</w:t>
            </w:r>
          </w:p>
        </w:tc>
      </w:tr>
      <w:tr w14:paraId="184BA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40" w:type="dxa"/>
            <w:gridSpan w:val="2"/>
            <w:vMerge w:val="continue"/>
            <w:tcBorders>
              <w:left w:val="single" w:color="auto" w:sz="4" w:space="0"/>
              <w:right w:val="single" w:color="auto" w:sz="4" w:space="0"/>
            </w:tcBorders>
            <w:vAlign w:val="center"/>
          </w:tcPr>
          <w:p w14:paraId="07206701">
            <w:pPr>
              <w:spacing w:line="276" w:lineRule="auto"/>
              <w:jc w:val="center"/>
              <w:rPr>
                <w:rFonts w:hint="eastAsia" w:ascii="宋体" w:hAnsi="宋体" w:cs="宋体"/>
                <w:color w:val="auto"/>
                <w:kern w:val="1"/>
                <w:szCs w:val="21"/>
                <w:highlight w:val="none"/>
              </w:rPr>
            </w:pPr>
          </w:p>
        </w:tc>
        <w:tc>
          <w:tcPr>
            <w:tcW w:w="670" w:type="dxa"/>
            <w:vMerge w:val="continue"/>
            <w:tcBorders>
              <w:left w:val="single" w:color="auto" w:sz="4" w:space="0"/>
              <w:right w:val="single" w:color="auto" w:sz="4" w:space="0"/>
            </w:tcBorders>
            <w:vAlign w:val="center"/>
          </w:tcPr>
          <w:p w14:paraId="50FEE777">
            <w:pPr>
              <w:spacing w:line="276" w:lineRule="auto"/>
              <w:jc w:val="center"/>
              <w:rPr>
                <w:rFonts w:hint="eastAsia" w:ascii="宋体" w:hAnsi="宋体" w:cs="宋体"/>
                <w:color w:val="auto"/>
                <w:kern w:val="1"/>
                <w:szCs w:val="21"/>
                <w:highlight w:val="none"/>
              </w:rPr>
            </w:pPr>
          </w:p>
        </w:tc>
        <w:tc>
          <w:tcPr>
            <w:tcW w:w="891" w:type="dxa"/>
            <w:vMerge w:val="continue"/>
            <w:tcBorders>
              <w:left w:val="single" w:color="auto" w:sz="4" w:space="0"/>
              <w:right w:val="single" w:color="auto" w:sz="4" w:space="0"/>
            </w:tcBorders>
            <w:vAlign w:val="center"/>
          </w:tcPr>
          <w:p w14:paraId="7B19AA8B">
            <w:pPr>
              <w:spacing w:line="276" w:lineRule="auto"/>
              <w:jc w:val="center"/>
              <w:rPr>
                <w:rFonts w:hint="eastAsia" w:ascii="宋体" w:hAnsi="宋体" w:cs="宋体"/>
                <w:color w:val="auto"/>
                <w:kern w:val="1"/>
                <w:szCs w:val="21"/>
                <w:highlight w:val="none"/>
              </w:rPr>
            </w:pPr>
          </w:p>
        </w:tc>
        <w:tc>
          <w:tcPr>
            <w:tcW w:w="149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C225E7C">
            <w:pPr>
              <w:spacing w:line="276" w:lineRule="auto"/>
              <w:jc w:val="center"/>
              <w:rPr>
                <w:rFonts w:hint="eastAsia" w:ascii="宋体" w:hAnsi="宋体" w:cs="宋体"/>
                <w:color w:val="auto"/>
                <w:kern w:val="1"/>
                <w:szCs w:val="21"/>
                <w:highlight w:val="none"/>
              </w:rPr>
            </w:pPr>
            <w:r>
              <w:rPr>
                <w:rFonts w:hint="eastAsia"/>
                <w:color w:val="auto"/>
                <w:highlight w:val="none"/>
              </w:rPr>
              <w:t>工程研发能力</w:t>
            </w:r>
            <w:r>
              <w:rPr>
                <w:rFonts w:hint="eastAsia" w:ascii="宋体" w:hAnsi="宋体" w:cs="宋体"/>
                <w:color w:val="auto"/>
                <w:kern w:val="1"/>
                <w:szCs w:val="21"/>
                <w:highlight w:val="none"/>
              </w:rPr>
              <w:t>【</w:t>
            </w:r>
            <w:r>
              <w:rPr>
                <w:rFonts w:hint="eastAsia" w:ascii="宋体" w:hAnsi="宋体" w:cs="宋体"/>
                <w:color w:val="auto"/>
                <w:kern w:val="1"/>
                <w:szCs w:val="21"/>
                <w:highlight w:val="none"/>
                <w:lang w:val="en-US" w:eastAsia="zh-CN"/>
              </w:rPr>
              <w:t>7</w:t>
            </w:r>
            <w:r>
              <w:rPr>
                <w:rFonts w:hint="eastAsia" w:ascii="宋体" w:hAnsi="宋体" w:cs="宋体"/>
                <w:color w:val="auto"/>
                <w:kern w:val="1"/>
                <w:szCs w:val="21"/>
                <w:highlight w:val="none"/>
              </w:rPr>
              <w:t>分】</w:t>
            </w:r>
          </w:p>
        </w:tc>
        <w:tc>
          <w:tcPr>
            <w:tcW w:w="6052" w:type="dxa"/>
            <w:tcBorders>
              <w:top w:val="single" w:color="000000" w:sz="6" w:space="0"/>
              <w:left w:val="single" w:color="auto" w:sz="4" w:space="0"/>
              <w:bottom w:val="single" w:color="000000" w:sz="6" w:space="0"/>
              <w:right w:val="single" w:color="000000" w:sz="4" w:space="0"/>
            </w:tcBorders>
            <w:shd w:val="clear" w:color="auto" w:fill="FFFFFF" w:themeFill="background1"/>
            <w:vAlign w:val="center"/>
          </w:tcPr>
          <w:p w14:paraId="7669D531">
            <w:pPr>
              <w:rPr>
                <w:rFonts w:hint="eastAsia" w:ascii="宋体" w:hAnsi="宋体"/>
                <w:color w:val="auto"/>
                <w:highlight w:val="none"/>
              </w:rPr>
            </w:pPr>
            <w:r>
              <w:rPr>
                <w:rFonts w:hint="eastAsia"/>
                <w:color w:val="auto"/>
                <w:highlight w:val="none"/>
              </w:rPr>
              <w:t>投标人（联合体投标的，指联合体中的主办方）20</w:t>
            </w:r>
            <w:r>
              <w:rPr>
                <w:rFonts w:hint="eastAsia"/>
                <w:color w:val="auto"/>
                <w:highlight w:val="none"/>
                <w:lang w:val="en-US" w:eastAsia="zh-CN"/>
              </w:rPr>
              <w:t>19</w:t>
            </w:r>
            <w:r>
              <w:rPr>
                <w:rFonts w:hint="eastAsia"/>
                <w:color w:val="auto"/>
                <w:highlight w:val="none"/>
              </w:rPr>
              <w:t>年1月1日至今获得过</w:t>
            </w:r>
            <w:r>
              <w:rPr>
                <w:rFonts w:hint="eastAsia"/>
                <w:color w:val="auto"/>
                <w:highlight w:val="none"/>
                <w:lang w:val="en-US" w:eastAsia="zh-CN"/>
              </w:rPr>
              <w:t>土木工程类</w:t>
            </w:r>
            <w:r>
              <w:rPr>
                <w:rFonts w:hint="eastAsia"/>
                <w:color w:val="auto"/>
                <w:highlight w:val="none"/>
              </w:rPr>
              <w:t>国家级工法证书，每项得</w:t>
            </w:r>
            <w:r>
              <w:rPr>
                <w:color w:val="auto"/>
                <w:highlight w:val="none"/>
              </w:rPr>
              <w:t>2</w:t>
            </w:r>
            <w:r>
              <w:rPr>
                <w:rFonts w:hint="eastAsia"/>
                <w:color w:val="auto"/>
                <w:highlight w:val="none"/>
              </w:rPr>
              <w:t>分；省级工法证书，每项得1分；市级</w:t>
            </w:r>
            <w:r>
              <w:rPr>
                <w:rFonts w:hint="eastAsia" w:ascii="宋体" w:hAnsi="宋体" w:cs="宋体"/>
                <w:color w:val="auto"/>
                <w:sz w:val="21"/>
                <w:szCs w:val="21"/>
                <w:highlight w:val="none"/>
                <w:lang w:val="zh-CN"/>
              </w:rPr>
              <w:t>（副省级）</w:t>
            </w:r>
            <w:r>
              <w:rPr>
                <w:rFonts w:hint="eastAsia"/>
                <w:color w:val="auto"/>
                <w:highlight w:val="none"/>
              </w:rPr>
              <w:t>工法证书，每项得0.5分；本项最多</w:t>
            </w:r>
            <w:r>
              <w:rPr>
                <w:rFonts w:hint="eastAsia"/>
                <w:color w:val="auto"/>
                <w:highlight w:val="none"/>
                <w:shd w:val="clear" w:fill="FFFFFF" w:themeFill="background1"/>
              </w:rPr>
              <w:t>得</w:t>
            </w:r>
            <w:r>
              <w:rPr>
                <w:rFonts w:hint="eastAsia"/>
                <w:color w:val="auto"/>
                <w:highlight w:val="none"/>
                <w:shd w:val="clear" w:fill="FFFFFF" w:themeFill="background1"/>
                <w:lang w:val="en-US" w:eastAsia="zh-CN"/>
              </w:rPr>
              <w:t>7</w:t>
            </w:r>
            <w:r>
              <w:rPr>
                <w:rFonts w:hint="eastAsia"/>
                <w:color w:val="auto"/>
                <w:highlight w:val="none"/>
                <w:shd w:val="clear" w:fill="FFFFFF" w:themeFill="background1"/>
              </w:rPr>
              <w:t>分。</w:t>
            </w:r>
          </w:p>
        </w:tc>
      </w:tr>
      <w:tr w14:paraId="7028C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40" w:type="dxa"/>
            <w:gridSpan w:val="2"/>
            <w:vMerge w:val="continue"/>
            <w:tcBorders>
              <w:left w:val="single" w:color="auto" w:sz="4" w:space="0"/>
              <w:right w:val="single" w:color="auto" w:sz="4" w:space="0"/>
            </w:tcBorders>
            <w:vAlign w:val="center"/>
          </w:tcPr>
          <w:p w14:paraId="59E20141">
            <w:pPr>
              <w:spacing w:line="276" w:lineRule="auto"/>
              <w:jc w:val="center"/>
              <w:rPr>
                <w:rFonts w:hint="eastAsia" w:ascii="宋体" w:hAnsi="宋体" w:cs="宋体"/>
                <w:color w:val="auto"/>
                <w:kern w:val="1"/>
                <w:szCs w:val="21"/>
                <w:highlight w:val="none"/>
              </w:rPr>
            </w:pPr>
          </w:p>
        </w:tc>
        <w:tc>
          <w:tcPr>
            <w:tcW w:w="670" w:type="dxa"/>
            <w:vMerge w:val="continue"/>
            <w:tcBorders>
              <w:left w:val="single" w:color="auto" w:sz="4" w:space="0"/>
              <w:right w:val="single" w:color="auto" w:sz="4" w:space="0"/>
            </w:tcBorders>
            <w:vAlign w:val="center"/>
          </w:tcPr>
          <w:p w14:paraId="4683C20C">
            <w:pPr>
              <w:spacing w:line="276" w:lineRule="auto"/>
              <w:jc w:val="center"/>
              <w:rPr>
                <w:rFonts w:hint="eastAsia" w:ascii="宋体" w:hAnsi="宋体" w:cs="宋体"/>
                <w:color w:val="auto"/>
                <w:kern w:val="1"/>
                <w:szCs w:val="21"/>
                <w:highlight w:val="none"/>
              </w:rPr>
            </w:pPr>
          </w:p>
        </w:tc>
        <w:tc>
          <w:tcPr>
            <w:tcW w:w="891" w:type="dxa"/>
            <w:vMerge w:val="continue"/>
            <w:tcBorders>
              <w:left w:val="single" w:color="auto" w:sz="4" w:space="0"/>
              <w:right w:val="single" w:color="auto" w:sz="4" w:space="0"/>
            </w:tcBorders>
            <w:vAlign w:val="center"/>
          </w:tcPr>
          <w:p w14:paraId="78FFF8B1">
            <w:pPr>
              <w:spacing w:line="276" w:lineRule="auto"/>
              <w:jc w:val="center"/>
              <w:rPr>
                <w:rFonts w:hint="eastAsia" w:ascii="宋体" w:hAnsi="宋体" w:cs="宋体"/>
                <w:color w:val="auto"/>
                <w:kern w:val="1"/>
                <w:szCs w:val="21"/>
                <w:highlight w:val="none"/>
              </w:rPr>
            </w:pPr>
          </w:p>
        </w:tc>
        <w:tc>
          <w:tcPr>
            <w:tcW w:w="1499" w:type="dxa"/>
            <w:vMerge w:val="restart"/>
            <w:tcBorders>
              <w:top w:val="single" w:color="auto" w:sz="4" w:space="0"/>
              <w:left w:val="single" w:color="auto" w:sz="4" w:space="0"/>
              <w:right w:val="single" w:color="auto" w:sz="4" w:space="0"/>
            </w:tcBorders>
            <w:vAlign w:val="center"/>
          </w:tcPr>
          <w:p w14:paraId="1F071BE4">
            <w:pPr>
              <w:spacing w:line="276" w:lineRule="auto"/>
              <w:jc w:val="center"/>
              <w:rPr>
                <w:rFonts w:hint="eastAsia" w:ascii="宋体" w:hAnsi="宋体" w:cs="宋体"/>
                <w:color w:val="auto"/>
                <w:kern w:val="1"/>
                <w:szCs w:val="21"/>
                <w:highlight w:val="none"/>
              </w:rPr>
            </w:pPr>
            <w:r>
              <w:rPr>
                <w:rFonts w:hint="eastAsia" w:ascii="宋体" w:hAnsi="宋体" w:cs="宋体"/>
                <w:color w:val="auto"/>
                <w:szCs w:val="21"/>
                <w:highlight w:val="none"/>
              </w:rPr>
              <w:t>社会第三方信用评价</w:t>
            </w:r>
            <w:r>
              <w:rPr>
                <w:rFonts w:hint="eastAsia" w:ascii="宋体" w:hAnsi="宋体" w:cs="宋体"/>
                <w:color w:val="auto"/>
                <w:kern w:val="1"/>
                <w:szCs w:val="21"/>
                <w:highlight w:val="none"/>
              </w:rPr>
              <w:t>【</w:t>
            </w:r>
            <w:r>
              <w:rPr>
                <w:rFonts w:hint="eastAsia" w:ascii="宋体" w:hAnsi="宋体" w:cs="宋体"/>
                <w:color w:val="auto"/>
                <w:kern w:val="1"/>
                <w:szCs w:val="21"/>
                <w:highlight w:val="none"/>
                <w:lang w:val="en-US" w:eastAsia="zh-CN"/>
              </w:rPr>
              <w:t>7</w:t>
            </w:r>
            <w:r>
              <w:rPr>
                <w:rFonts w:hint="eastAsia" w:ascii="宋体" w:hAnsi="宋体" w:cs="宋体"/>
                <w:color w:val="auto"/>
                <w:kern w:val="1"/>
                <w:szCs w:val="21"/>
                <w:highlight w:val="none"/>
              </w:rPr>
              <w:t>分】</w:t>
            </w:r>
          </w:p>
        </w:tc>
        <w:tc>
          <w:tcPr>
            <w:tcW w:w="6052" w:type="dxa"/>
            <w:tcBorders>
              <w:top w:val="single" w:color="000000" w:sz="6" w:space="0"/>
              <w:left w:val="single" w:color="auto" w:sz="4" w:space="0"/>
              <w:bottom w:val="single" w:color="000000" w:sz="6" w:space="0"/>
              <w:right w:val="single" w:color="000000" w:sz="4" w:space="0"/>
            </w:tcBorders>
            <w:vAlign w:val="center"/>
          </w:tcPr>
          <w:p w14:paraId="35B2B582">
            <w:pPr>
              <w:pStyle w:val="12"/>
              <w:ind w:firstLine="0" w:firstLineChars="0"/>
              <w:rPr>
                <w:rFonts w:ascii="宋体" w:hAnsi="宋体" w:cs="宋体"/>
                <w:color w:val="auto"/>
                <w:szCs w:val="21"/>
                <w:highlight w:val="none"/>
              </w:rPr>
            </w:pPr>
            <w:r>
              <w:rPr>
                <w:rFonts w:hint="eastAsia" w:ascii="宋体" w:hAnsi="宋体" w:cs="宋体"/>
                <w:color w:val="auto"/>
                <w:szCs w:val="21"/>
                <w:highlight w:val="none"/>
              </w:rPr>
              <w:t>投标人（若为联合体，指联合体主办方）至今，连续获得“A级纳税人”称号情况：</w:t>
            </w:r>
          </w:p>
          <w:p w14:paraId="0B3BADD3">
            <w:pPr>
              <w:pStyle w:val="12"/>
              <w:ind w:firstLine="0" w:firstLineChars="0"/>
              <w:rPr>
                <w:rFonts w:ascii="宋体" w:hAnsi="宋体" w:cs="宋体"/>
                <w:color w:val="auto"/>
                <w:szCs w:val="21"/>
                <w:highlight w:val="none"/>
              </w:rPr>
            </w:pPr>
            <w:r>
              <w:rPr>
                <w:rFonts w:hint="eastAsia" w:ascii="宋体" w:hAnsi="宋体" w:cs="宋体"/>
                <w:color w:val="auto"/>
                <w:szCs w:val="21"/>
                <w:highlight w:val="none"/>
              </w:rPr>
              <w:t>连续获得5年或以上的，得</w:t>
            </w:r>
            <w:r>
              <w:rPr>
                <w:rFonts w:ascii="宋体" w:hAnsi="宋体" w:cs="宋体"/>
                <w:color w:val="auto"/>
                <w:szCs w:val="21"/>
                <w:highlight w:val="none"/>
              </w:rPr>
              <w:t>4</w:t>
            </w:r>
            <w:r>
              <w:rPr>
                <w:rFonts w:hint="eastAsia" w:ascii="宋体" w:hAnsi="宋体" w:cs="宋体"/>
                <w:color w:val="auto"/>
                <w:szCs w:val="21"/>
                <w:highlight w:val="none"/>
              </w:rPr>
              <w:t>分；</w:t>
            </w:r>
          </w:p>
          <w:p w14:paraId="23E97B2B">
            <w:pPr>
              <w:pStyle w:val="12"/>
              <w:ind w:firstLine="0" w:firstLineChars="0"/>
              <w:rPr>
                <w:rFonts w:ascii="宋体" w:hAnsi="宋体" w:cs="宋体"/>
                <w:color w:val="auto"/>
                <w:szCs w:val="21"/>
                <w:highlight w:val="none"/>
              </w:rPr>
            </w:pPr>
            <w:r>
              <w:rPr>
                <w:rFonts w:hint="eastAsia" w:ascii="宋体" w:hAnsi="宋体" w:cs="宋体"/>
                <w:color w:val="auto"/>
                <w:szCs w:val="21"/>
                <w:highlight w:val="none"/>
              </w:rPr>
              <w:t>连续获得3年-4年的，得</w:t>
            </w:r>
            <w:r>
              <w:rPr>
                <w:rFonts w:ascii="宋体" w:hAnsi="宋体" w:cs="宋体"/>
                <w:color w:val="auto"/>
                <w:szCs w:val="21"/>
                <w:highlight w:val="none"/>
              </w:rPr>
              <w:t>2</w:t>
            </w:r>
            <w:r>
              <w:rPr>
                <w:rFonts w:hint="eastAsia" w:ascii="宋体" w:hAnsi="宋体" w:cs="宋体"/>
                <w:color w:val="auto"/>
                <w:szCs w:val="21"/>
                <w:highlight w:val="none"/>
              </w:rPr>
              <w:t>分；</w:t>
            </w:r>
          </w:p>
          <w:p w14:paraId="547846C0">
            <w:pPr>
              <w:pStyle w:val="12"/>
              <w:ind w:firstLine="0" w:firstLineChars="0"/>
              <w:rPr>
                <w:rFonts w:ascii="宋体" w:hAnsi="宋体" w:cs="宋体"/>
                <w:color w:val="auto"/>
                <w:szCs w:val="21"/>
                <w:highlight w:val="none"/>
              </w:rPr>
            </w:pPr>
            <w:r>
              <w:rPr>
                <w:rFonts w:hint="eastAsia" w:ascii="宋体" w:hAnsi="宋体" w:cs="宋体"/>
                <w:color w:val="auto"/>
                <w:szCs w:val="21"/>
                <w:highlight w:val="none"/>
              </w:rPr>
              <w:t>连续获得1年-2年的，得</w:t>
            </w:r>
            <w:r>
              <w:rPr>
                <w:rFonts w:ascii="宋体" w:hAnsi="宋体" w:cs="宋体"/>
                <w:color w:val="auto"/>
                <w:szCs w:val="21"/>
                <w:highlight w:val="none"/>
              </w:rPr>
              <w:t>1</w:t>
            </w:r>
            <w:r>
              <w:rPr>
                <w:rFonts w:hint="eastAsia" w:ascii="宋体" w:hAnsi="宋体" w:cs="宋体"/>
                <w:color w:val="auto"/>
                <w:szCs w:val="21"/>
                <w:highlight w:val="none"/>
              </w:rPr>
              <w:t>分；</w:t>
            </w:r>
          </w:p>
          <w:p w14:paraId="223E706F">
            <w:pPr>
              <w:pStyle w:val="12"/>
              <w:ind w:firstLine="0" w:firstLineChars="0"/>
              <w:rPr>
                <w:rFonts w:hint="eastAsia"/>
                <w:color w:val="auto"/>
                <w:highlight w:val="none"/>
                <w:lang w:val="zh-CN"/>
              </w:rPr>
            </w:pPr>
            <w:r>
              <w:rPr>
                <w:rFonts w:hint="eastAsia" w:ascii="宋体" w:hAnsi="宋体" w:cs="宋体"/>
                <w:color w:val="auto"/>
                <w:szCs w:val="21"/>
                <w:highlight w:val="none"/>
              </w:rPr>
              <w:t>其他不得分。</w:t>
            </w:r>
          </w:p>
        </w:tc>
      </w:tr>
      <w:tr w14:paraId="27C11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40" w:type="dxa"/>
            <w:gridSpan w:val="2"/>
            <w:vMerge w:val="continue"/>
            <w:tcBorders>
              <w:left w:val="single" w:color="auto" w:sz="4" w:space="0"/>
              <w:right w:val="single" w:color="auto" w:sz="4" w:space="0"/>
            </w:tcBorders>
            <w:vAlign w:val="center"/>
          </w:tcPr>
          <w:p w14:paraId="0E5910CD">
            <w:pPr>
              <w:spacing w:line="276" w:lineRule="auto"/>
              <w:jc w:val="center"/>
              <w:rPr>
                <w:rFonts w:hint="eastAsia" w:ascii="宋体" w:hAnsi="宋体" w:cs="宋体"/>
                <w:color w:val="auto"/>
                <w:kern w:val="1"/>
                <w:szCs w:val="21"/>
                <w:highlight w:val="none"/>
              </w:rPr>
            </w:pPr>
          </w:p>
        </w:tc>
        <w:tc>
          <w:tcPr>
            <w:tcW w:w="670" w:type="dxa"/>
            <w:vMerge w:val="continue"/>
            <w:tcBorders>
              <w:left w:val="single" w:color="auto" w:sz="4" w:space="0"/>
              <w:right w:val="single" w:color="auto" w:sz="4" w:space="0"/>
            </w:tcBorders>
            <w:vAlign w:val="center"/>
          </w:tcPr>
          <w:p w14:paraId="011C58B3">
            <w:pPr>
              <w:spacing w:line="276" w:lineRule="auto"/>
              <w:jc w:val="center"/>
              <w:rPr>
                <w:rFonts w:hint="eastAsia" w:ascii="宋体" w:hAnsi="宋体" w:cs="宋体"/>
                <w:color w:val="auto"/>
                <w:kern w:val="1"/>
                <w:szCs w:val="21"/>
                <w:highlight w:val="none"/>
              </w:rPr>
            </w:pPr>
          </w:p>
        </w:tc>
        <w:tc>
          <w:tcPr>
            <w:tcW w:w="891" w:type="dxa"/>
            <w:vMerge w:val="continue"/>
            <w:tcBorders>
              <w:left w:val="single" w:color="auto" w:sz="4" w:space="0"/>
              <w:right w:val="single" w:color="auto" w:sz="4" w:space="0"/>
            </w:tcBorders>
            <w:vAlign w:val="center"/>
          </w:tcPr>
          <w:p w14:paraId="37837B82">
            <w:pPr>
              <w:spacing w:line="276" w:lineRule="auto"/>
              <w:jc w:val="center"/>
              <w:rPr>
                <w:rFonts w:hint="eastAsia" w:ascii="宋体" w:hAnsi="宋体" w:cs="宋体"/>
                <w:color w:val="auto"/>
                <w:kern w:val="1"/>
                <w:szCs w:val="21"/>
                <w:highlight w:val="none"/>
              </w:rPr>
            </w:pPr>
          </w:p>
        </w:tc>
        <w:tc>
          <w:tcPr>
            <w:tcW w:w="1499" w:type="dxa"/>
            <w:vMerge w:val="continue"/>
            <w:tcBorders>
              <w:left w:val="single" w:color="auto" w:sz="4" w:space="0"/>
              <w:bottom w:val="single" w:color="auto" w:sz="4" w:space="0"/>
              <w:right w:val="single" w:color="auto" w:sz="4" w:space="0"/>
            </w:tcBorders>
            <w:vAlign w:val="center"/>
          </w:tcPr>
          <w:p w14:paraId="2CB69CFF">
            <w:pPr>
              <w:spacing w:line="276" w:lineRule="auto"/>
              <w:jc w:val="center"/>
              <w:rPr>
                <w:rFonts w:hint="eastAsia" w:ascii="宋体" w:hAnsi="宋体" w:cs="宋体"/>
                <w:color w:val="auto"/>
                <w:kern w:val="1"/>
                <w:szCs w:val="21"/>
                <w:highlight w:val="none"/>
              </w:rPr>
            </w:pPr>
          </w:p>
        </w:tc>
        <w:tc>
          <w:tcPr>
            <w:tcW w:w="6052" w:type="dxa"/>
            <w:tcBorders>
              <w:top w:val="single" w:color="000000" w:sz="6" w:space="0"/>
              <w:left w:val="single" w:color="auto" w:sz="4" w:space="0"/>
              <w:bottom w:val="single" w:color="000000" w:sz="6" w:space="0"/>
              <w:right w:val="single" w:color="000000" w:sz="4" w:space="0"/>
            </w:tcBorders>
            <w:vAlign w:val="center"/>
          </w:tcPr>
          <w:p w14:paraId="2AC8DA0F">
            <w:pPr>
              <w:pStyle w:val="12"/>
              <w:ind w:firstLine="0" w:firstLineChars="0"/>
              <w:rPr>
                <w:rFonts w:hint="eastAsia" w:ascii="宋体" w:hAnsi="宋体"/>
                <w:color w:val="auto"/>
                <w:highlight w:val="none"/>
              </w:rPr>
            </w:pPr>
            <w:r>
              <w:rPr>
                <w:rFonts w:hint="eastAsia" w:ascii="宋体" w:hAnsi="宋体" w:cs="宋体"/>
                <w:color w:val="auto"/>
                <w:szCs w:val="21"/>
                <w:highlight w:val="none"/>
              </w:rPr>
              <w:t>投标人（若为联合体，指联合体承担设计任务的单位）获得企业信用等级证书且在有效期内，</w:t>
            </w:r>
            <w:r>
              <w:rPr>
                <w:rFonts w:hint="eastAsia" w:ascii="宋体" w:hAnsi="宋体" w:cs="宋体"/>
                <w:color w:val="auto"/>
                <w:szCs w:val="21"/>
                <w:highlight w:val="none"/>
                <w:lang w:val="zh-CN"/>
              </w:rPr>
              <w:t>AAA级或以上的得</w:t>
            </w:r>
            <w:r>
              <w:rPr>
                <w:rFonts w:ascii="宋体" w:hAnsi="宋体" w:cs="宋体"/>
                <w:color w:val="auto"/>
                <w:szCs w:val="21"/>
                <w:highlight w:val="none"/>
              </w:rPr>
              <w:t>3</w:t>
            </w:r>
            <w:r>
              <w:rPr>
                <w:rFonts w:hint="eastAsia" w:ascii="宋体" w:hAnsi="宋体" w:cs="宋体"/>
                <w:color w:val="auto"/>
                <w:szCs w:val="21"/>
                <w:highlight w:val="none"/>
                <w:lang w:val="zh-CN"/>
              </w:rPr>
              <w:t>分；AA级得</w:t>
            </w:r>
            <w:r>
              <w:rPr>
                <w:rFonts w:ascii="宋体" w:hAnsi="宋体" w:cs="宋体"/>
                <w:color w:val="auto"/>
                <w:szCs w:val="21"/>
                <w:highlight w:val="none"/>
              </w:rPr>
              <w:t>2</w:t>
            </w:r>
            <w:r>
              <w:rPr>
                <w:rFonts w:hint="eastAsia" w:ascii="宋体" w:hAnsi="宋体" w:cs="宋体"/>
                <w:color w:val="auto"/>
                <w:szCs w:val="21"/>
                <w:highlight w:val="none"/>
                <w:lang w:val="zh-CN"/>
              </w:rPr>
              <w:t>分；A级得</w:t>
            </w:r>
            <w:r>
              <w:rPr>
                <w:rFonts w:ascii="宋体" w:hAnsi="宋体" w:cs="宋体"/>
                <w:color w:val="auto"/>
                <w:szCs w:val="21"/>
                <w:highlight w:val="none"/>
              </w:rPr>
              <w:t>1</w:t>
            </w:r>
            <w:r>
              <w:rPr>
                <w:rFonts w:hint="eastAsia" w:ascii="宋体" w:hAnsi="宋体" w:cs="宋体"/>
                <w:color w:val="auto"/>
                <w:szCs w:val="21"/>
                <w:highlight w:val="none"/>
                <w:lang w:val="zh-CN"/>
              </w:rPr>
              <w:t>分；</w:t>
            </w:r>
            <w:r>
              <w:rPr>
                <w:rFonts w:hint="eastAsia" w:ascii="宋体" w:hAnsi="宋体" w:cs="宋体"/>
                <w:color w:val="auto"/>
                <w:szCs w:val="21"/>
                <w:highlight w:val="none"/>
              </w:rPr>
              <w:t>本小项最高得</w:t>
            </w:r>
            <w:r>
              <w:rPr>
                <w:rFonts w:ascii="宋体" w:hAnsi="宋体" w:cs="宋体"/>
                <w:color w:val="auto"/>
                <w:szCs w:val="21"/>
                <w:highlight w:val="none"/>
              </w:rPr>
              <w:t>3</w:t>
            </w:r>
            <w:r>
              <w:rPr>
                <w:rFonts w:hint="eastAsia" w:ascii="宋体" w:hAnsi="宋体" w:cs="宋体"/>
                <w:color w:val="auto"/>
                <w:szCs w:val="21"/>
                <w:highlight w:val="none"/>
              </w:rPr>
              <w:t>分。</w:t>
            </w:r>
          </w:p>
        </w:tc>
      </w:tr>
      <w:tr w14:paraId="020F4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40" w:type="dxa"/>
            <w:gridSpan w:val="2"/>
            <w:vMerge w:val="continue"/>
            <w:tcBorders>
              <w:top w:val="single" w:color="auto" w:sz="4" w:space="0"/>
              <w:left w:val="single" w:color="auto" w:sz="4" w:space="0"/>
              <w:bottom w:val="single" w:color="auto" w:sz="4" w:space="0"/>
              <w:right w:val="single" w:color="000000" w:sz="6" w:space="0"/>
            </w:tcBorders>
            <w:vAlign w:val="center"/>
          </w:tcPr>
          <w:p w14:paraId="0B536490">
            <w:pPr>
              <w:spacing w:line="276" w:lineRule="auto"/>
              <w:jc w:val="center"/>
              <w:rPr>
                <w:rFonts w:hint="eastAsia" w:ascii="宋体" w:hAnsi="宋体" w:cs="宋体"/>
                <w:color w:val="auto"/>
                <w:kern w:val="1"/>
                <w:szCs w:val="21"/>
                <w:highlight w:val="none"/>
              </w:rPr>
            </w:pPr>
          </w:p>
        </w:tc>
        <w:tc>
          <w:tcPr>
            <w:tcW w:w="670" w:type="dxa"/>
            <w:vMerge w:val="continue"/>
            <w:tcBorders>
              <w:top w:val="single" w:color="auto" w:sz="4" w:space="0"/>
              <w:left w:val="single" w:color="000000" w:sz="4" w:space="0"/>
              <w:bottom w:val="single" w:color="auto" w:sz="4" w:space="0"/>
              <w:right w:val="single" w:color="auto" w:sz="4" w:space="0"/>
            </w:tcBorders>
            <w:vAlign w:val="center"/>
          </w:tcPr>
          <w:p w14:paraId="19459832">
            <w:pPr>
              <w:spacing w:line="276" w:lineRule="auto"/>
              <w:jc w:val="center"/>
              <w:rPr>
                <w:rFonts w:hint="eastAsia" w:ascii="宋体" w:hAnsi="宋体" w:cs="宋体"/>
                <w:color w:val="auto"/>
                <w:kern w:val="1"/>
                <w:szCs w:val="21"/>
                <w:highlight w:val="none"/>
              </w:rPr>
            </w:pPr>
          </w:p>
        </w:tc>
        <w:tc>
          <w:tcPr>
            <w:tcW w:w="891" w:type="dxa"/>
            <w:vMerge w:val="restart"/>
            <w:tcBorders>
              <w:top w:val="single" w:color="auto" w:sz="4" w:space="0"/>
              <w:left w:val="single" w:color="auto" w:sz="4" w:space="0"/>
              <w:bottom w:val="single" w:color="auto" w:sz="4" w:space="0"/>
              <w:right w:val="single" w:color="auto" w:sz="4" w:space="0"/>
            </w:tcBorders>
            <w:vAlign w:val="center"/>
          </w:tcPr>
          <w:p w14:paraId="1DEC6C44">
            <w:pPr>
              <w:spacing w:line="276"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工程实施方案（</w:t>
            </w:r>
            <w:r>
              <w:rPr>
                <w:rFonts w:hint="eastAsia" w:ascii="宋体" w:hAnsi="宋体" w:cs="宋体"/>
                <w:color w:val="auto"/>
                <w:kern w:val="1"/>
                <w:szCs w:val="21"/>
                <w:highlight w:val="none"/>
                <w:lang w:val="en-US" w:eastAsia="zh-CN"/>
              </w:rPr>
              <w:t>64</w:t>
            </w:r>
            <w:r>
              <w:rPr>
                <w:rFonts w:hint="eastAsia" w:ascii="宋体" w:hAnsi="宋体" w:cs="宋体"/>
                <w:color w:val="auto"/>
                <w:kern w:val="1"/>
                <w:szCs w:val="21"/>
                <w:highlight w:val="none"/>
              </w:rPr>
              <w:t>分）</w:t>
            </w:r>
          </w:p>
        </w:tc>
        <w:tc>
          <w:tcPr>
            <w:tcW w:w="1499" w:type="dxa"/>
            <w:tcBorders>
              <w:top w:val="single" w:color="auto" w:sz="4" w:space="0"/>
              <w:left w:val="single" w:color="auto" w:sz="4" w:space="0"/>
              <w:bottom w:val="single" w:color="auto" w:sz="4" w:space="0"/>
              <w:right w:val="single" w:color="auto" w:sz="4" w:space="0"/>
            </w:tcBorders>
            <w:vAlign w:val="center"/>
          </w:tcPr>
          <w:p w14:paraId="0128B117">
            <w:pPr>
              <w:pStyle w:val="12"/>
              <w:ind w:firstLine="0" w:firstLineChars="0"/>
              <w:jc w:val="center"/>
              <w:rPr>
                <w:rFonts w:hint="eastAsia" w:ascii="宋体" w:hAnsi="宋体" w:cs="宋体"/>
                <w:color w:val="auto"/>
                <w:kern w:val="1"/>
                <w:szCs w:val="21"/>
                <w:highlight w:val="none"/>
              </w:rPr>
            </w:pPr>
            <w:r>
              <w:rPr>
                <w:rFonts w:hint="eastAsia" w:ascii="宋体" w:hAnsi="宋体" w:eastAsia="宋体" w:cs="宋体"/>
                <w:color w:val="auto"/>
                <w:szCs w:val="21"/>
                <w:highlight w:val="none"/>
              </w:rPr>
              <w:t>项目管理团队</w:t>
            </w:r>
          </w:p>
          <w:p w14:paraId="120225BA">
            <w:pPr>
              <w:pStyle w:val="12"/>
              <w:ind w:firstLine="0" w:firstLineChars="0"/>
              <w:jc w:val="center"/>
              <w:rPr>
                <w:rFonts w:hint="eastAsia" w:ascii="宋体" w:hAnsi="宋体"/>
                <w:color w:val="auto"/>
                <w:highlight w:val="none"/>
              </w:rPr>
            </w:pPr>
            <w:r>
              <w:rPr>
                <w:rFonts w:hint="eastAsia" w:ascii="宋体" w:hAnsi="宋体" w:cs="宋体"/>
                <w:color w:val="auto"/>
                <w:kern w:val="1"/>
                <w:szCs w:val="21"/>
                <w:highlight w:val="none"/>
              </w:rPr>
              <w:t>【</w:t>
            </w:r>
            <w:r>
              <w:rPr>
                <w:rFonts w:hint="eastAsia" w:ascii="宋体" w:hAnsi="宋体" w:cs="宋体"/>
                <w:color w:val="auto"/>
                <w:kern w:val="1"/>
                <w:szCs w:val="21"/>
                <w:highlight w:val="none"/>
                <w:lang w:val="en-US" w:eastAsia="zh-CN"/>
              </w:rPr>
              <w:t>15</w:t>
            </w:r>
            <w:r>
              <w:rPr>
                <w:rFonts w:hint="eastAsia" w:ascii="宋体" w:hAnsi="宋体" w:cs="宋体"/>
                <w:color w:val="auto"/>
                <w:kern w:val="1"/>
                <w:szCs w:val="21"/>
                <w:highlight w:val="none"/>
              </w:rPr>
              <w:t>分】</w:t>
            </w:r>
          </w:p>
        </w:tc>
        <w:tc>
          <w:tcPr>
            <w:tcW w:w="6052" w:type="dxa"/>
            <w:tcBorders>
              <w:top w:val="single" w:color="000000" w:sz="6" w:space="0"/>
              <w:left w:val="single" w:color="auto" w:sz="4" w:space="0"/>
              <w:bottom w:val="single" w:color="000000" w:sz="6" w:space="0"/>
              <w:right w:val="single" w:color="000000" w:sz="4" w:space="0"/>
            </w:tcBorders>
            <w:vAlign w:val="center"/>
          </w:tcPr>
          <w:p w14:paraId="667EACBD">
            <w:pPr>
              <w:pStyle w:val="32"/>
              <w:tabs>
                <w:tab w:val="right" w:leader="dot" w:pos="8302"/>
              </w:tabs>
              <w:ind w:left="0"/>
              <w:rPr>
                <w:rFonts w:ascii="宋体" w:hAnsi="宋体" w:cs="宋体"/>
                <w:b/>
                <w:bCs w:val="0"/>
                <w:snapToGrid w:val="0"/>
                <w:color w:val="auto"/>
                <w:kern w:val="0"/>
                <w:szCs w:val="21"/>
                <w:highlight w:val="none"/>
              </w:rPr>
            </w:pPr>
            <w:r>
              <w:rPr>
                <w:rFonts w:hint="eastAsia" w:ascii="宋体" w:hAnsi="宋体" w:cs="宋体"/>
                <w:b/>
                <w:bCs w:val="0"/>
                <w:snapToGrid w:val="0"/>
                <w:color w:val="auto"/>
                <w:kern w:val="0"/>
                <w:szCs w:val="21"/>
                <w:highlight w:val="none"/>
              </w:rPr>
              <w:t>设计项目管理团队（</w:t>
            </w:r>
            <w:r>
              <w:rPr>
                <w:rFonts w:hint="eastAsia" w:ascii="宋体" w:hAnsi="宋体" w:cs="宋体"/>
                <w:b/>
                <w:bCs w:val="0"/>
                <w:snapToGrid w:val="0"/>
                <w:color w:val="auto"/>
                <w:kern w:val="0"/>
                <w:szCs w:val="21"/>
                <w:highlight w:val="none"/>
                <w:lang w:eastAsia="zh-CN"/>
              </w:rPr>
              <w:t>9</w:t>
            </w:r>
            <w:r>
              <w:rPr>
                <w:rFonts w:hint="eastAsia" w:ascii="宋体" w:hAnsi="宋体" w:cs="宋体"/>
                <w:b/>
                <w:bCs w:val="0"/>
                <w:snapToGrid w:val="0"/>
                <w:color w:val="auto"/>
                <w:kern w:val="0"/>
                <w:szCs w:val="21"/>
                <w:highlight w:val="none"/>
              </w:rPr>
              <w:t>分）：</w:t>
            </w:r>
          </w:p>
          <w:p w14:paraId="3B3A7BF8">
            <w:pPr>
              <w:pStyle w:val="21"/>
              <w:rPr>
                <w:rFonts w:hAnsi="宋体" w:cs="宋体"/>
                <w:color w:val="auto"/>
                <w:sz w:val="21"/>
                <w:szCs w:val="21"/>
                <w:highlight w:val="none"/>
              </w:rPr>
            </w:pPr>
            <w:r>
              <w:rPr>
                <w:rFonts w:hint="eastAsia"/>
                <w:color w:val="auto"/>
                <w:highlight w:val="none"/>
              </w:rPr>
              <w:t>1、</w:t>
            </w:r>
            <w:r>
              <w:rPr>
                <w:rFonts w:hint="eastAsia" w:hAnsi="宋体" w:cs="宋体"/>
                <w:color w:val="auto"/>
                <w:sz w:val="21"/>
                <w:szCs w:val="21"/>
                <w:highlight w:val="none"/>
              </w:rPr>
              <w:t>设计负责人：</w:t>
            </w:r>
          </w:p>
          <w:p w14:paraId="3053916B">
            <w:pPr>
              <w:pStyle w:val="21"/>
              <w:rPr>
                <w:rFonts w:hAnsi="宋体" w:cs="宋体"/>
                <w:color w:val="auto"/>
                <w:sz w:val="21"/>
                <w:szCs w:val="21"/>
                <w:highlight w:val="none"/>
              </w:rPr>
            </w:pPr>
            <w:r>
              <w:rPr>
                <w:rFonts w:hint="eastAsia" w:hAnsi="宋体" w:cs="宋体"/>
                <w:color w:val="auto"/>
                <w:sz w:val="21"/>
                <w:szCs w:val="21"/>
                <w:highlight w:val="none"/>
              </w:rPr>
              <w:t>（1）项目设计负责人具有</w:t>
            </w:r>
            <w:r>
              <w:rPr>
                <w:rFonts w:hint="eastAsia" w:ascii="宋体" w:hAnsi="宋体" w:eastAsia="宋体" w:cs="宋体"/>
                <w:color w:val="auto"/>
                <w:szCs w:val="21"/>
                <w:highlight w:val="none"/>
                <w:u w:val="single"/>
              </w:rPr>
              <w:t>市政</w:t>
            </w:r>
            <w:r>
              <w:rPr>
                <w:rFonts w:hint="eastAsia" w:ascii="宋体" w:hAnsi="宋体" w:eastAsia="宋体" w:cs="宋体"/>
                <w:color w:val="auto"/>
                <w:szCs w:val="21"/>
                <w:highlight w:val="none"/>
                <w:u w:val="single"/>
                <w:lang w:val="en-US" w:eastAsia="zh-CN"/>
              </w:rPr>
              <w:t>工程</w:t>
            </w:r>
            <w:r>
              <w:rPr>
                <w:rFonts w:hint="eastAsia" w:ascii="宋体" w:hAnsi="宋体" w:eastAsia="宋体" w:cs="宋体"/>
                <w:color w:val="auto"/>
                <w:szCs w:val="21"/>
                <w:highlight w:val="none"/>
                <w:u w:val="single"/>
              </w:rPr>
              <w:t>相关专业</w:t>
            </w:r>
            <w:r>
              <w:rPr>
                <w:rFonts w:hint="eastAsia" w:hAnsi="宋体" w:cs="宋体"/>
                <w:color w:val="auto"/>
                <w:sz w:val="21"/>
                <w:szCs w:val="21"/>
                <w:highlight w:val="none"/>
              </w:rPr>
              <w:t>高级工程师职称</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得1.5</w:t>
            </w:r>
            <w:r>
              <w:rPr>
                <w:rFonts w:hint="eastAsia" w:hAnsi="宋体" w:cs="宋体"/>
                <w:color w:val="auto"/>
                <w:sz w:val="21"/>
                <w:szCs w:val="21"/>
                <w:highlight w:val="none"/>
              </w:rPr>
              <w:t>分；本小项最高得</w:t>
            </w:r>
            <w:r>
              <w:rPr>
                <w:rFonts w:hAnsi="宋体" w:cs="宋体"/>
                <w:color w:val="auto"/>
                <w:sz w:val="21"/>
                <w:szCs w:val="21"/>
                <w:highlight w:val="none"/>
              </w:rPr>
              <w:t>1</w:t>
            </w:r>
            <w:r>
              <w:rPr>
                <w:rFonts w:hint="eastAsia" w:hAnsi="宋体" w:cs="宋体"/>
                <w:color w:val="auto"/>
                <w:sz w:val="21"/>
                <w:szCs w:val="21"/>
                <w:highlight w:val="none"/>
                <w:lang w:val="en-US" w:eastAsia="zh-CN"/>
              </w:rPr>
              <w:t>.5</w:t>
            </w:r>
            <w:r>
              <w:rPr>
                <w:rFonts w:hint="eastAsia" w:hAnsi="宋体" w:cs="宋体"/>
                <w:color w:val="auto"/>
                <w:sz w:val="21"/>
                <w:szCs w:val="21"/>
                <w:highlight w:val="none"/>
              </w:rPr>
              <w:t>分。</w:t>
            </w:r>
          </w:p>
          <w:p w14:paraId="2009AEF8">
            <w:pPr>
              <w:pStyle w:val="21"/>
              <w:rPr>
                <w:rFonts w:hAnsi="宋体" w:cs="宋体"/>
                <w:color w:val="auto"/>
                <w:sz w:val="21"/>
                <w:szCs w:val="21"/>
                <w:highlight w:val="none"/>
              </w:rPr>
            </w:pPr>
            <w:r>
              <w:rPr>
                <w:rFonts w:hint="eastAsia" w:hAnsi="宋体" w:cs="宋体"/>
                <w:color w:val="auto"/>
                <w:sz w:val="21"/>
                <w:szCs w:val="21"/>
                <w:highlight w:val="none"/>
              </w:rPr>
              <w:t>（2）项目设计负责人具有注册土木工程师（道路工程）资格证书的，得1</w:t>
            </w:r>
            <w:r>
              <w:rPr>
                <w:rFonts w:hint="eastAsia" w:hAnsi="宋体" w:cs="宋体"/>
                <w:color w:val="auto"/>
                <w:sz w:val="21"/>
                <w:szCs w:val="21"/>
                <w:highlight w:val="none"/>
                <w:lang w:val="en-US" w:eastAsia="zh-CN"/>
              </w:rPr>
              <w:t>.5</w:t>
            </w:r>
            <w:r>
              <w:rPr>
                <w:rFonts w:hint="eastAsia" w:hAnsi="宋体" w:cs="宋体"/>
                <w:color w:val="auto"/>
                <w:sz w:val="21"/>
                <w:szCs w:val="21"/>
                <w:highlight w:val="none"/>
              </w:rPr>
              <w:t>分；本小项最高得</w:t>
            </w:r>
            <w:r>
              <w:rPr>
                <w:rFonts w:hAnsi="宋体" w:cs="宋体"/>
                <w:color w:val="auto"/>
                <w:sz w:val="21"/>
                <w:szCs w:val="21"/>
                <w:highlight w:val="none"/>
              </w:rPr>
              <w:t>1</w:t>
            </w:r>
            <w:r>
              <w:rPr>
                <w:rFonts w:hint="eastAsia" w:hAnsi="宋体" w:cs="宋体"/>
                <w:color w:val="auto"/>
                <w:sz w:val="21"/>
                <w:szCs w:val="21"/>
                <w:highlight w:val="none"/>
                <w:lang w:val="en-US" w:eastAsia="zh-CN"/>
              </w:rPr>
              <w:t>.5</w:t>
            </w:r>
            <w:r>
              <w:rPr>
                <w:rFonts w:hint="eastAsia" w:hAnsi="宋体" w:cs="宋体"/>
                <w:color w:val="auto"/>
                <w:sz w:val="21"/>
                <w:szCs w:val="21"/>
                <w:highlight w:val="none"/>
              </w:rPr>
              <w:t>分。</w:t>
            </w:r>
          </w:p>
          <w:p w14:paraId="2E874C41">
            <w:pPr>
              <w:pStyle w:val="21"/>
              <w:rPr>
                <w:rFonts w:hAnsi="宋体" w:cs="宋体"/>
                <w:color w:val="auto"/>
                <w:sz w:val="21"/>
                <w:szCs w:val="21"/>
                <w:highlight w:val="none"/>
              </w:rPr>
            </w:pPr>
            <w:r>
              <w:rPr>
                <w:rFonts w:hint="eastAsia" w:hAnsi="宋体" w:cs="宋体"/>
                <w:color w:val="auto"/>
                <w:sz w:val="21"/>
                <w:szCs w:val="21"/>
                <w:highlight w:val="none"/>
              </w:rPr>
              <w:t>（3）自</w:t>
            </w:r>
            <w:r>
              <w:rPr>
                <w:rFonts w:hint="eastAsia" w:hAnsi="宋体" w:cs="宋体"/>
                <w:color w:val="auto"/>
                <w:sz w:val="21"/>
                <w:szCs w:val="21"/>
                <w:highlight w:val="none"/>
                <w:lang w:val="en-US" w:eastAsia="zh-CN"/>
              </w:rPr>
              <w:t>2019</w:t>
            </w:r>
            <w:r>
              <w:rPr>
                <w:rFonts w:hint="eastAsia" w:hAnsi="宋体" w:cs="宋体"/>
                <w:color w:val="auto"/>
                <w:sz w:val="21"/>
                <w:szCs w:val="21"/>
                <w:highlight w:val="none"/>
              </w:rPr>
              <w:t>年1月1日至</w:t>
            </w:r>
            <w:r>
              <w:rPr>
                <w:rFonts w:hint="eastAsia" w:hAnsi="宋体" w:cs="宋体"/>
                <w:color w:val="auto"/>
                <w:sz w:val="21"/>
                <w:szCs w:val="21"/>
                <w:highlight w:val="none"/>
                <w:lang w:val="en-US" w:eastAsia="zh-CN"/>
              </w:rPr>
              <w:t>今</w:t>
            </w:r>
            <w:r>
              <w:rPr>
                <w:rFonts w:hint="eastAsia" w:hAnsi="宋体" w:cs="宋体"/>
                <w:color w:val="auto"/>
                <w:sz w:val="21"/>
                <w:szCs w:val="21"/>
                <w:highlight w:val="none"/>
              </w:rPr>
              <w:t>，</w:t>
            </w:r>
            <w:r>
              <w:rPr>
                <w:rFonts w:hint="eastAsia" w:hAnsi="宋体" w:cs="宋体"/>
                <w:color w:val="auto"/>
                <w:sz w:val="21"/>
                <w:szCs w:val="21"/>
                <w:highlight w:val="none"/>
                <w:lang w:val="zh-CN"/>
              </w:rPr>
              <w:t>设计的</w:t>
            </w:r>
            <w:r>
              <w:rPr>
                <w:rFonts w:hint="eastAsia" w:ascii="Times New Roman" w:hAnsi="Times New Roman"/>
                <w:color w:val="auto"/>
                <w:sz w:val="21"/>
                <w:szCs w:val="21"/>
                <w:highlight w:val="none"/>
                <w:lang w:val="en-US" w:eastAsia="zh-CN"/>
              </w:rPr>
              <w:t>市政公用工程</w:t>
            </w:r>
            <w:r>
              <w:rPr>
                <w:rFonts w:hint="eastAsia" w:hAnsi="宋体" w:cs="宋体"/>
                <w:color w:val="auto"/>
                <w:sz w:val="21"/>
                <w:szCs w:val="21"/>
                <w:highlight w:val="none"/>
              </w:rPr>
              <w:t>设计</w:t>
            </w:r>
            <w:r>
              <w:rPr>
                <w:rFonts w:hint="eastAsia" w:hAnsi="宋体" w:cs="宋体"/>
                <w:color w:val="auto"/>
                <w:sz w:val="21"/>
                <w:szCs w:val="21"/>
                <w:highlight w:val="none"/>
                <w:lang w:val="zh-CN"/>
              </w:rPr>
              <w:t>项目获国家级奖项每项得</w:t>
            </w:r>
            <w:r>
              <w:rPr>
                <w:rFonts w:hint="eastAsia" w:hAnsi="宋体" w:cs="宋体"/>
                <w:color w:val="auto"/>
                <w:sz w:val="21"/>
                <w:szCs w:val="21"/>
                <w:highlight w:val="none"/>
              </w:rPr>
              <w:t>2</w:t>
            </w:r>
            <w:r>
              <w:rPr>
                <w:rFonts w:hint="eastAsia" w:hAnsi="宋体" w:cs="宋体"/>
                <w:color w:val="auto"/>
                <w:sz w:val="21"/>
                <w:szCs w:val="21"/>
                <w:highlight w:val="none"/>
                <w:lang w:val="zh-CN"/>
              </w:rPr>
              <w:t>分；获行业级奖项，每项得</w:t>
            </w:r>
            <w:r>
              <w:rPr>
                <w:rFonts w:hint="eastAsia" w:hAnsi="宋体" w:cs="宋体"/>
                <w:color w:val="auto"/>
                <w:sz w:val="21"/>
                <w:szCs w:val="21"/>
                <w:highlight w:val="none"/>
              </w:rPr>
              <w:t>1分</w:t>
            </w:r>
            <w:r>
              <w:rPr>
                <w:rFonts w:hint="eastAsia" w:hAnsi="宋体" w:cs="宋体"/>
                <w:color w:val="auto"/>
                <w:sz w:val="21"/>
                <w:szCs w:val="21"/>
                <w:highlight w:val="none"/>
                <w:lang w:val="zh-CN"/>
              </w:rPr>
              <w:t>；获得省级奖项的，每项得</w:t>
            </w:r>
            <w:r>
              <w:rPr>
                <w:rFonts w:hint="eastAsia" w:hAnsi="宋体" w:cs="宋体"/>
                <w:color w:val="auto"/>
                <w:sz w:val="21"/>
                <w:szCs w:val="21"/>
                <w:highlight w:val="none"/>
              </w:rPr>
              <w:t>0.5</w:t>
            </w:r>
            <w:r>
              <w:rPr>
                <w:rFonts w:hint="eastAsia" w:hAnsi="宋体" w:cs="宋体"/>
                <w:color w:val="auto"/>
                <w:sz w:val="21"/>
                <w:szCs w:val="21"/>
                <w:highlight w:val="none"/>
                <w:lang w:val="zh-CN"/>
              </w:rPr>
              <w:t>分；获市</w:t>
            </w:r>
            <w:r>
              <w:rPr>
                <w:rFonts w:hint="eastAsia" w:hAnsi="宋体" w:cs="宋体"/>
                <w:color w:val="auto"/>
                <w:sz w:val="21"/>
                <w:szCs w:val="21"/>
                <w:highlight w:val="none"/>
                <w:lang w:val="en-US" w:eastAsia="zh-CN"/>
              </w:rPr>
              <w:t>级</w:t>
            </w:r>
            <w:r>
              <w:rPr>
                <w:rFonts w:hint="eastAsia" w:hAnsi="宋体" w:cs="宋体"/>
                <w:color w:val="auto"/>
                <w:sz w:val="21"/>
                <w:szCs w:val="21"/>
                <w:highlight w:val="none"/>
                <w:lang w:val="zh-CN"/>
              </w:rPr>
              <w:t>（副省级）奖，每项得</w:t>
            </w:r>
            <w:r>
              <w:rPr>
                <w:rFonts w:hint="eastAsia" w:hAnsi="宋体" w:cs="宋体"/>
                <w:color w:val="auto"/>
                <w:sz w:val="21"/>
                <w:szCs w:val="21"/>
                <w:highlight w:val="none"/>
              </w:rPr>
              <w:t>0.25</w:t>
            </w:r>
            <w:r>
              <w:rPr>
                <w:rFonts w:hint="eastAsia" w:hAnsi="宋体" w:cs="宋体"/>
                <w:color w:val="auto"/>
                <w:sz w:val="21"/>
                <w:szCs w:val="21"/>
                <w:highlight w:val="none"/>
                <w:lang w:val="zh-CN"/>
              </w:rPr>
              <w:t>分；</w:t>
            </w:r>
            <w:r>
              <w:rPr>
                <w:rFonts w:hint="eastAsia" w:hAnsi="宋体" w:cs="宋体"/>
                <w:color w:val="auto"/>
                <w:sz w:val="21"/>
                <w:szCs w:val="21"/>
                <w:highlight w:val="none"/>
              </w:rPr>
              <w:t>本小项最高得3分。</w:t>
            </w:r>
          </w:p>
          <w:p w14:paraId="31C9CFD2">
            <w:pPr>
              <w:ind w:left="0" w:leftChars="0"/>
              <w:rPr>
                <w:rFonts w:hint="eastAsia" w:ascii="宋体" w:hAnsi="宋体" w:cs="宋体"/>
                <w:b/>
                <w:bCs/>
                <w:color w:val="auto"/>
                <w:sz w:val="21"/>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设计团队</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不含设计负责人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zh-CN"/>
              </w:rPr>
              <w:t>各专业负责人（道路</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交通</w:t>
            </w:r>
            <w:r>
              <w:rPr>
                <w:rFonts w:hint="eastAsia" w:ascii="宋体" w:hAnsi="宋体" w:eastAsia="宋体" w:cs="宋体"/>
                <w:color w:val="auto"/>
                <w:szCs w:val="21"/>
                <w:highlight w:val="none"/>
              </w:rPr>
              <w:t>、风</w:t>
            </w:r>
            <w:r>
              <w:rPr>
                <w:rFonts w:hint="eastAsia" w:ascii="宋体" w:hAnsi="宋体" w:cs="宋体"/>
                <w:color w:val="auto"/>
                <w:szCs w:val="21"/>
                <w:highlight w:val="none"/>
              </w:rPr>
              <w:t>景园林、</w:t>
            </w:r>
            <w:r>
              <w:rPr>
                <w:rFonts w:hint="eastAsia" w:ascii="宋体" w:hAnsi="宋体" w:cs="宋体"/>
                <w:color w:val="auto"/>
                <w:szCs w:val="21"/>
                <w:highlight w:val="none"/>
                <w:lang w:val="zh-CN"/>
              </w:rPr>
              <w:t>给排水、造价、</w:t>
            </w:r>
            <w:r>
              <w:rPr>
                <w:rFonts w:hint="eastAsia" w:ascii="宋体" w:hAnsi="宋体" w:cs="宋体"/>
                <w:color w:val="auto"/>
                <w:szCs w:val="21"/>
                <w:highlight w:val="none"/>
              </w:rPr>
              <w:t>电气</w:t>
            </w:r>
            <w:r>
              <w:rPr>
                <w:rFonts w:hint="eastAsia" w:ascii="宋体" w:hAnsi="宋体" w:cs="宋体"/>
                <w:color w:val="auto"/>
                <w:szCs w:val="21"/>
                <w:highlight w:val="none"/>
                <w:lang w:val="zh-CN"/>
              </w:rPr>
              <w:t>）每1名具备本专业注册执业资格或相关专业</w:t>
            </w:r>
            <w:r>
              <w:rPr>
                <w:rFonts w:hint="eastAsia" w:ascii="宋体" w:hAnsi="宋体" w:eastAsia="宋体" w:cs="宋体"/>
                <w:color w:val="auto"/>
                <w:szCs w:val="21"/>
                <w:highlight w:val="none"/>
                <w:u w:val="single"/>
              </w:rPr>
              <w:t>高级或以上技术职称</w:t>
            </w:r>
            <w:r>
              <w:rPr>
                <w:rFonts w:hint="eastAsia" w:ascii="宋体" w:hAnsi="宋体" w:cs="宋体"/>
                <w:color w:val="auto"/>
                <w:szCs w:val="21"/>
                <w:highlight w:val="none"/>
                <w:lang w:val="zh-CN"/>
              </w:rPr>
              <w:t>的</w:t>
            </w:r>
            <w:r>
              <w:rPr>
                <w:rFonts w:hint="eastAsia" w:ascii="宋体" w:hAnsi="宋体" w:cs="宋体"/>
                <w:color w:val="auto"/>
                <w:szCs w:val="21"/>
                <w:highlight w:val="none"/>
              </w:rPr>
              <w:t>人员</w:t>
            </w:r>
            <w:r>
              <w:rPr>
                <w:rFonts w:hint="eastAsia" w:ascii="宋体" w:hAnsi="宋体" w:cs="宋体"/>
                <w:color w:val="auto"/>
                <w:szCs w:val="21"/>
                <w:highlight w:val="none"/>
                <w:lang w:val="zh-CN"/>
              </w:rPr>
              <w:t>，得</w:t>
            </w:r>
            <w:r>
              <w:rPr>
                <w:rFonts w:hint="eastAsia" w:ascii="宋体" w:hAnsi="宋体" w:cs="宋体"/>
                <w:color w:val="auto"/>
                <w:szCs w:val="21"/>
                <w:highlight w:val="none"/>
              </w:rPr>
              <w:t>0.5</w:t>
            </w:r>
            <w:r>
              <w:rPr>
                <w:rFonts w:hint="eastAsia" w:ascii="宋体" w:hAnsi="宋体" w:cs="宋体"/>
                <w:color w:val="auto"/>
                <w:szCs w:val="21"/>
                <w:highlight w:val="none"/>
                <w:lang w:val="zh-CN"/>
              </w:rPr>
              <w:t>分；</w:t>
            </w:r>
            <w:r>
              <w:rPr>
                <w:rFonts w:hint="eastAsia" w:ascii="宋体" w:hAnsi="宋体" w:cs="宋体"/>
                <w:color w:val="auto"/>
                <w:szCs w:val="21"/>
                <w:highlight w:val="none"/>
              </w:rPr>
              <w:t>本小项最高得3分。</w:t>
            </w:r>
          </w:p>
          <w:p w14:paraId="623EF60C">
            <w:pPr>
              <w:ind w:left="0" w:leftChars="0"/>
              <w:rPr>
                <w:b/>
                <w:bCs/>
                <w:color w:val="auto"/>
                <w:highlight w:val="none"/>
              </w:rPr>
            </w:pPr>
            <w:r>
              <w:rPr>
                <w:rFonts w:hint="eastAsia" w:ascii="宋体" w:hAnsi="宋体" w:cs="宋体"/>
                <w:b/>
                <w:bCs/>
                <w:color w:val="auto"/>
                <w:sz w:val="21"/>
                <w:szCs w:val="21"/>
                <w:highlight w:val="none"/>
              </w:rPr>
              <w:t>施工</w:t>
            </w:r>
            <w:r>
              <w:rPr>
                <w:rFonts w:hint="eastAsia" w:ascii="宋体" w:hAnsi="宋体" w:cs="宋体"/>
                <w:b/>
                <w:bCs/>
                <w:color w:val="auto"/>
                <w:sz w:val="21"/>
                <w:szCs w:val="21"/>
                <w:highlight w:val="none"/>
                <w:lang w:val="zh-CN"/>
              </w:rPr>
              <w:t>项目管理</w:t>
            </w:r>
            <w:r>
              <w:rPr>
                <w:rFonts w:hint="eastAsia" w:ascii="宋体" w:hAnsi="宋体" w:cs="宋体"/>
                <w:b/>
                <w:bCs/>
                <w:color w:val="auto"/>
                <w:sz w:val="21"/>
                <w:szCs w:val="21"/>
                <w:highlight w:val="none"/>
              </w:rPr>
              <w:t>团队（6分）：</w:t>
            </w:r>
          </w:p>
          <w:p w14:paraId="6E5702CD">
            <w:pPr>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1、施工负责人（1分）</w:t>
            </w:r>
          </w:p>
          <w:p w14:paraId="5F615969">
            <w:pPr>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具有市政</w:t>
            </w:r>
            <w:r>
              <w:rPr>
                <w:rFonts w:hint="eastAsia" w:ascii="宋体" w:hAnsi="宋体" w:cs="宋体"/>
                <w:bCs/>
                <w:snapToGrid w:val="0"/>
                <w:color w:val="auto"/>
                <w:kern w:val="0"/>
                <w:szCs w:val="21"/>
                <w:highlight w:val="none"/>
                <w:lang w:val="en-US" w:eastAsia="zh-CN"/>
              </w:rPr>
              <w:t>工程相关</w:t>
            </w:r>
            <w:r>
              <w:rPr>
                <w:rFonts w:hint="eastAsia" w:ascii="宋体" w:hAnsi="宋体" w:cs="宋体"/>
                <w:bCs/>
                <w:snapToGrid w:val="0"/>
                <w:color w:val="auto"/>
                <w:kern w:val="0"/>
                <w:szCs w:val="21"/>
                <w:highlight w:val="none"/>
              </w:rPr>
              <w:t>专业中级（或以上）职称得1分；</w:t>
            </w:r>
          </w:p>
          <w:p w14:paraId="1447E1BE">
            <w:pPr>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lang w:val="en-US" w:eastAsia="zh-CN"/>
              </w:rPr>
              <w:t>2</w:t>
            </w:r>
            <w:r>
              <w:rPr>
                <w:rFonts w:hint="eastAsia" w:ascii="宋体" w:hAnsi="宋体" w:cs="宋体"/>
                <w:bCs/>
                <w:snapToGrid w:val="0"/>
                <w:color w:val="auto"/>
                <w:kern w:val="0"/>
                <w:szCs w:val="21"/>
                <w:highlight w:val="none"/>
              </w:rPr>
              <w:t>、质量负责人（1分）</w:t>
            </w:r>
          </w:p>
          <w:p w14:paraId="06F316D6">
            <w:pPr>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具有市政</w:t>
            </w:r>
            <w:r>
              <w:rPr>
                <w:rFonts w:hint="eastAsia" w:ascii="宋体" w:hAnsi="宋体" w:cs="宋体"/>
                <w:bCs/>
                <w:snapToGrid w:val="0"/>
                <w:color w:val="auto"/>
                <w:kern w:val="0"/>
                <w:szCs w:val="21"/>
                <w:highlight w:val="none"/>
                <w:lang w:val="en-US" w:eastAsia="zh-CN"/>
              </w:rPr>
              <w:t>工程相关</w:t>
            </w:r>
            <w:r>
              <w:rPr>
                <w:rFonts w:hint="eastAsia" w:ascii="宋体" w:hAnsi="宋体" w:cs="宋体"/>
                <w:bCs/>
                <w:snapToGrid w:val="0"/>
                <w:color w:val="auto"/>
                <w:kern w:val="0"/>
                <w:szCs w:val="21"/>
                <w:highlight w:val="none"/>
              </w:rPr>
              <w:t>专业中级（或以上）职称得1分；</w:t>
            </w:r>
          </w:p>
          <w:p w14:paraId="5E25A80F">
            <w:pPr>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lang w:val="en-US" w:eastAsia="zh-CN"/>
              </w:rPr>
              <w:t>3</w:t>
            </w:r>
            <w:r>
              <w:rPr>
                <w:rFonts w:hint="eastAsia" w:ascii="宋体" w:hAnsi="宋体" w:cs="宋体"/>
                <w:bCs/>
                <w:snapToGrid w:val="0"/>
                <w:color w:val="auto"/>
                <w:kern w:val="0"/>
                <w:szCs w:val="21"/>
                <w:highlight w:val="none"/>
              </w:rPr>
              <w:t>、安全负责人（1分）</w:t>
            </w:r>
          </w:p>
          <w:p w14:paraId="114F9660">
            <w:pPr>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具有市政</w:t>
            </w:r>
            <w:r>
              <w:rPr>
                <w:rFonts w:hint="eastAsia" w:ascii="宋体" w:hAnsi="宋体" w:cs="宋体"/>
                <w:bCs/>
                <w:snapToGrid w:val="0"/>
                <w:color w:val="auto"/>
                <w:kern w:val="0"/>
                <w:szCs w:val="21"/>
                <w:highlight w:val="none"/>
                <w:lang w:val="en-US" w:eastAsia="zh-CN"/>
              </w:rPr>
              <w:t>工程相关</w:t>
            </w:r>
            <w:r>
              <w:rPr>
                <w:rFonts w:hint="eastAsia" w:ascii="宋体" w:hAnsi="宋体" w:cs="宋体"/>
                <w:bCs/>
                <w:snapToGrid w:val="0"/>
                <w:color w:val="auto"/>
                <w:kern w:val="0"/>
                <w:szCs w:val="21"/>
                <w:highlight w:val="none"/>
              </w:rPr>
              <w:t>专业中级（或以上）职称得1分；</w:t>
            </w:r>
          </w:p>
          <w:p w14:paraId="5A3B24EF">
            <w:pPr>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lang w:val="en-US" w:eastAsia="zh-CN"/>
              </w:rPr>
              <w:t>4</w:t>
            </w:r>
            <w:r>
              <w:rPr>
                <w:rFonts w:hint="eastAsia" w:ascii="宋体" w:hAnsi="宋体" w:cs="宋体"/>
                <w:bCs/>
                <w:snapToGrid w:val="0"/>
                <w:color w:val="auto"/>
                <w:kern w:val="0"/>
                <w:szCs w:val="21"/>
                <w:highlight w:val="none"/>
              </w:rPr>
              <w:t>、造价负责人（</w:t>
            </w:r>
            <w:r>
              <w:rPr>
                <w:rFonts w:hint="eastAsia" w:ascii="宋体" w:hAnsi="宋体" w:cs="宋体"/>
                <w:bCs/>
                <w:snapToGrid w:val="0"/>
                <w:color w:val="auto"/>
                <w:kern w:val="0"/>
                <w:szCs w:val="21"/>
                <w:highlight w:val="none"/>
                <w:lang w:val="en-US" w:eastAsia="zh-CN"/>
              </w:rPr>
              <w:t>3</w:t>
            </w:r>
            <w:r>
              <w:rPr>
                <w:rFonts w:hint="eastAsia" w:ascii="宋体" w:hAnsi="宋体" w:cs="宋体"/>
                <w:bCs/>
                <w:snapToGrid w:val="0"/>
                <w:color w:val="auto"/>
                <w:kern w:val="0"/>
                <w:szCs w:val="21"/>
                <w:highlight w:val="none"/>
              </w:rPr>
              <w:t>分）</w:t>
            </w:r>
          </w:p>
          <w:p w14:paraId="7FE945D9">
            <w:pPr>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（1）具备一级注册造价工程师资格得</w:t>
            </w:r>
            <w:r>
              <w:rPr>
                <w:rFonts w:hint="eastAsia" w:ascii="宋体" w:hAnsi="宋体" w:cs="宋体"/>
                <w:bCs/>
                <w:snapToGrid w:val="0"/>
                <w:color w:val="auto"/>
                <w:kern w:val="0"/>
                <w:szCs w:val="21"/>
                <w:highlight w:val="none"/>
                <w:lang w:val="en-US" w:eastAsia="zh-CN"/>
              </w:rPr>
              <w:t>2</w:t>
            </w:r>
            <w:r>
              <w:rPr>
                <w:rFonts w:hint="eastAsia" w:ascii="宋体" w:hAnsi="宋体" w:cs="宋体"/>
                <w:bCs/>
                <w:snapToGrid w:val="0"/>
                <w:color w:val="auto"/>
                <w:kern w:val="0"/>
                <w:szCs w:val="21"/>
                <w:highlight w:val="none"/>
              </w:rPr>
              <w:t>分；具备二级注册造价工程师资格得</w:t>
            </w:r>
            <w:r>
              <w:rPr>
                <w:rFonts w:hint="eastAsia" w:ascii="宋体" w:hAnsi="宋体" w:cs="宋体"/>
                <w:bCs/>
                <w:snapToGrid w:val="0"/>
                <w:color w:val="auto"/>
                <w:kern w:val="0"/>
                <w:szCs w:val="21"/>
                <w:highlight w:val="none"/>
                <w:lang w:val="en-US" w:eastAsia="zh-CN"/>
              </w:rPr>
              <w:t>1</w:t>
            </w:r>
            <w:r>
              <w:rPr>
                <w:rFonts w:hint="eastAsia" w:ascii="宋体" w:hAnsi="宋体" w:cs="宋体"/>
                <w:bCs/>
                <w:snapToGrid w:val="0"/>
                <w:color w:val="auto"/>
                <w:kern w:val="0"/>
                <w:szCs w:val="21"/>
                <w:highlight w:val="none"/>
              </w:rPr>
              <w:t>分；</w:t>
            </w:r>
          </w:p>
          <w:p w14:paraId="7460A1C9">
            <w:pPr>
              <w:rPr>
                <w:rFonts w:hint="eastAsia" w:ascii="宋体" w:hAnsi="宋体"/>
                <w:color w:val="auto"/>
                <w:highlight w:val="none"/>
                <w:u w:val="single"/>
              </w:rPr>
            </w:pPr>
            <w:r>
              <w:rPr>
                <w:rFonts w:hint="eastAsia" w:ascii="宋体" w:hAnsi="宋体" w:cs="宋体"/>
                <w:bCs/>
                <w:snapToGrid w:val="0"/>
                <w:color w:val="auto"/>
                <w:kern w:val="0"/>
                <w:szCs w:val="21"/>
                <w:highlight w:val="none"/>
              </w:rPr>
              <w:t>（2）具有市政</w:t>
            </w:r>
            <w:r>
              <w:rPr>
                <w:rFonts w:hint="eastAsia" w:ascii="宋体" w:hAnsi="宋体" w:cs="宋体"/>
                <w:bCs/>
                <w:snapToGrid w:val="0"/>
                <w:color w:val="auto"/>
                <w:kern w:val="0"/>
                <w:szCs w:val="21"/>
                <w:highlight w:val="none"/>
                <w:lang w:val="en-US" w:eastAsia="zh-CN"/>
              </w:rPr>
              <w:t>工程相关</w:t>
            </w:r>
            <w:r>
              <w:rPr>
                <w:rFonts w:hint="eastAsia" w:ascii="宋体" w:hAnsi="宋体" w:cs="宋体"/>
                <w:bCs/>
                <w:snapToGrid w:val="0"/>
                <w:color w:val="auto"/>
                <w:kern w:val="0"/>
                <w:szCs w:val="21"/>
                <w:highlight w:val="none"/>
              </w:rPr>
              <w:t>专业或工程造价类专业中级（或以上）职称得1分；</w:t>
            </w:r>
          </w:p>
        </w:tc>
      </w:tr>
      <w:tr w14:paraId="5312C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40" w:type="dxa"/>
            <w:gridSpan w:val="2"/>
            <w:vMerge w:val="continue"/>
            <w:tcBorders>
              <w:top w:val="single" w:color="auto" w:sz="4" w:space="0"/>
              <w:left w:val="single" w:color="auto" w:sz="4" w:space="0"/>
              <w:bottom w:val="single" w:color="auto" w:sz="4" w:space="0"/>
              <w:right w:val="single" w:color="000000" w:sz="6" w:space="0"/>
            </w:tcBorders>
            <w:vAlign w:val="center"/>
          </w:tcPr>
          <w:p w14:paraId="04EE8554">
            <w:pPr>
              <w:spacing w:line="276" w:lineRule="auto"/>
              <w:jc w:val="center"/>
              <w:rPr>
                <w:rFonts w:hint="eastAsia" w:ascii="宋体" w:hAnsi="宋体" w:cs="宋体"/>
                <w:color w:val="auto"/>
                <w:kern w:val="1"/>
                <w:szCs w:val="21"/>
                <w:highlight w:val="none"/>
              </w:rPr>
            </w:pPr>
          </w:p>
        </w:tc>
        <w:tc>
          <w:tcPr>
            <w:tcW w:w="670" w:type="dxa"/>
            <w:vMerge w:val="continue"/>
            <w:tcBorders>
              <w:top w:val="single" w:color="auto" w:sz="4" w:space="0"/>
              <w:left w:val="single" w:color="000000" w:sz="4" w:space="0"/>
              <w:bottom w:val="single" w:color="auto" w:sz="4" w:space="0"/>
              <w:right w:val="single" w:color="auto" w:sz="4" w:space="0"/>
            </w:tcBorders>
            <w:vAlign w:val="center"/>
          </w:tcPr>
          <w:p w14:paraId="4D7D9A2B">
            <w:pPr>
              <w:spacing w:line="276" w:lineRule="auto"/>
              <w:jc w:val="center"/>
              <w:rPr>
                <w:rFonts w:hint="eastAsia" w:ascii="宋体" w:hAnsi="宋体" w:cs="宋体"/>
                <w:color w:val="auto"/>
                <w:kern w:val="1"/>
                <w:szCs w:val="21"/>
                <w:highlight w:val="none"/>
              </w:rPr>
            </w:pPr>
          </w:p>
        </w:tc>
        <w:tc>
          <w:tcPr>
            <w:tcW w:w="891" w:type="dxa"/>
            <w:vMerge w:val="continue"/>
            <w:tcBorders>
              <w:top w:val="single" w:color="auto" w:sz="4" w:space="0"/>
              <w:left w:val="single" w:color="auto" w:sz="4" w:space="0"/>
              <w:bottom w:val="single" w:color="auto" w:sz="4" w:space="0"/>
              <w:right w:val="single" w:color="auto" w:sz="4" w:space="0"/>
            </w:tcBorders>
            <w:vAlign w:val="center"/>
          </w:tcPr>
          <w:p w14:paraId="6690355E">
            <w:pPr>
              <w:spacing w:line="276" w:lineRule="auto"/>
              <w:jc w:val="center"/>
              <w:rPr>
                <w:rFonts w:hint="eastAsia" w:ascii="宋体" w:hAnsi="宋体" w:cs="宋体"/>
                <w:color w:val="auto"/>
                <w:kern w:val="1"/>
                <w:szCs w:val="21"/>
                <w:highlight w:val="none"/>
              </w:rPr>
            </w:pPr>
          </w:p>
        </w:tc>
        <w:tc>
          <w:tcPr>
            <w:tcW w:w="1499" w:type="dxa"/>
            <w:tcBorders>
              <w:top w:val="single" w:color="auto" w:sz="4" w:space="0"/>
              <w:left w:val="single" w:color="auto" w:sz="4" w:space="0"/>
              <w:bottom w:val="single" w:color="auto" w:sz="4" w:space="0"/>
              <w:right w:val="single" w:color="auto" w:sz="4" w:space="0"/>
            </w:tcBorders>
            <w:vAlign w:val="center"/>
          </w:tcPr>
          <w:p w14:paraId="455C3782">
            <w:pPr>
              <w:jc w:val="center"/>
              <w:rPr>
                <w:rFonts w:hint="eastAsia" w:ascii="宋体" w:hAnsi="宋体" w:cs="宋体"/>
                <w:color w:val="auto"/>
                <w:szCs w:val="21"/>
                <w:highlight w:val="none"/>
              </w:rPr>
            </w:pPr>
            <w:r>
              <w:rPr>
                <w:rFonts w:hint="eastAsia"/>
                <w:color w:val="auto"/>
                <w:szCs w:val="21"/>
                <w:highlight w:val="none"/>
              </w:rPr>
              <w:t>设计和施工的融合措施</w:t>
            </w:r>
            <w:r>
              <w:rPr>
                <w:rFonts w:hint="eastAsia" w:ascii="宋体" w:hAnsi="宋体" w:cs="宋体"/>
                <w:color w:val="auto"/>
                <w:kern w:val="1"/>
                <w:szCs w:val="21"/>
                <w:highlight w:val="none"/>
              </w:rPr>
              <w:t>【</w:t>
            </w:r>
            <w:r>
              <w:rPr>
                <w:rFonts w:hint="eastAsia" w:ascii="宋体" w:hAnsi="宋体" w:cs="宋体"/>
                <w:color w:val="auto"/>
                <w:kern w:val="1"/>
                <w:szCs w:val="21"/>
                <w:highlight w:val="none"/>
                <w:lang w:val="en-US" w:eastAsia="zh-CN"/>
              </w:rPr>
              <w:t>7</w:t>
            </w:r>
            <w:r>
              <w:rPr>
                <w:rFonts w:hint="eastAsia" w:ascii="宋体" w:hAnsi="宋体" w:cs="宋体"/>
                <w:color w:val="auto"/>
                <w:kern w:val="1"/>
                <w:szCs w:val="21"/>
                <w:highlight w:val="none"/>
              </w:rPr>
              <w:t>分】</w:t>
            </w:r>
          </w:p>
        </w:tc>
        <w:tc>
          <w:tcPr>
            <w:tcW w:w="6052" w:type="dxa"/>
            <w:tcBorders>
              <w:top w:val="single" w:color="000000" w:sz="6" w:space="0"/>
              <w:left w:val="single" w:color="auto" w:sz="4" w:space="0"/>
              <w:bottom w:val="single" w:color="000000" w:sz="6" w:space="0"/>
              <w:right w:val="single" w:color="000000" w:sz="4" w:space="0"/>
            </w:tcBorders>
            <w:vAlign w:val="center"/>
          </w:tcPr>
          <w:p w14:paraId="05681220">
            <w:pPr>
              <w:rPr>
                <w:rFonts w:ascii="宋体" w:hAnsi="宋体" w:cs="宋体"/>
                <w:color w:val="auto"/>
                <w:szCs w:val="21"/>
                <w:highlight w:val="none"/>
              </w:rPr>
            </w:pPr>
            <w:r>
              <w:rPr>
                <w:rFonts w:hint="eastAsia" w:ascii="宋体" w:hAnsi="宋体" w:cs="宋体"/>
                <w:color w:val="auto"/>
                <w:szCs w:val="21"/>
                <w:highlight w:val="none"/>
              </w:rPr>
              <w:t>【优】设计和施工融合目标，有设计和施工融合措施，有本项目针对性的技术服务方案，得7分；</w:t>
            </w:r>
          </w:p>
          <w:p w14:paraId="3ACB25A9">
            <w:pPr>
              <w:rPr>
                <w:rFonts w:ascii="宋体" w:hAnsi="宋体" w:cs="宋体"/>
                <w:color w:val="auto"/>
                <w:szCs w:val="21"/>
                <w:highlight w:val="none"/>
              </w:rPr>
            </w:pPr>
            <w:r>
              <w:rPr>
                <w:rFonts w:hint="eastAsia" w:ascii="宋体" w:hAnsi="宋体" w:cs="宋体"/>
                <w:color w:val="auto"/>
                <w:szCs w:val="21"/>
                <w:highlight w:val="none"/>
              </w:rPr>
              <w:t>【良】有设计和施工融合目标，没有设计和施工融合措施，有本项目针对性的技术服务方案，得5</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p w14:paraId="4542F90D">
            <w:pPr>
              <w:rPr>
                <w:rFonts w:ascii="宋体" w:hAnsi="宋体" w:cs="宋体"/>
                <w:color w:val="auto"/>
                <w:szCs w:val="21"/>
                <w:highlight w:val="none"/>
              </w:rPr>
            </w:pPr>
            <w:r>
              <w:rPr>
                <w:rFonts w:hint="eastAsia" w:ascii="宋体" w:hAnsi="宋体" w:cs="宋体"/>
                <w:color w:val="auto"/>
                <w:szCs w:val="21"/>
                <w:highlight w:val="none"/>
              </w:rPr>
              <w:t>【中】有设计和施工融合目标，没有设计和施工融合措施，没有本项目针对性的技术服务方案，得</w:t>
            </w:r>
            <w:r>
              <w:rPr>
                <w:rFonts w:hint="eastAsia" w:ascii="宋体" w:hAnsi="宋体" w:cs="宋体"/>
                <w:color w:val="auto"/>
                <w:szCs w:val="21"/>
                <w:highlight w:val="none"/>
                <w:lang w:val="en-US" w:eastAsia="zh-CN"/>
              </w:rPr>
              <w:t>4.2</w:t>
            </w:r>
            <w:r>
              <w:rPr>
                <w:rFonts w:hint="eastAsia" w:ascii="宋体" w:hAnsi="宋体" w:cs="宋体"/>
                <w:color w:val="auto"/>
                <w:szCs w:val="21"/>
                <w:highlight w:val="none"/>
              </w:rPr>
              <w:t>分；</w:t>
            </w:r>
          </w:p>
          <w:p w14:paraId="758750CA">
            <w:pPr>
              <w:rPr>
                <w:rFonts w:hint="eastAsia" w:ascii="宋体" w:hAnsi="宋体" w:cs="宋体"/>
                <w:color w:val="auto"/>
                <w:szCs w:val="21"/>
                <w:highlight w:val="none"/>
                <w:u w:val="single"/>
              </w:rPr>
            </w:pPr>
            <w:r>
              <w:rPr>
                <w:rFonts w:hint="eastAsia" w:ascii="宋体" w:hAnsi="宋体" w:cs="宋体"/>
                <w:color w:val="auto"/>
                <w:szCs w:val="21"/>
                <w:highlight w:val="none"/>
              </w:rPr>
              <w:t>注：无此部分内容不得分。</w:t>
            </w:r>
          </w:p>
        </w:tc>
      </w:tr>
      <w:tr w14:paraId="1B8FD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40" w:type="dxa"/>
            <w:gridSpan w:val="2"/>
            <w:vMerge w:val="continue"/>
            <w:tcBorders>
              <w:top w:val="single" w:color="auto" w:sz="4" w:space="0"/>
              <w:left w:val="single" w:color="auto" w:sz="4" w:space="0"/>
              <w:bottom w:val="single" w:color="auto" w:sz="4" w:space="0"/>
              <w:right w:val="single" w:color="000000" w:sz="6" w:space="0"/>
            </w:tcBorders>
            <w:vAlign w:val="center"/>
          </w:tcPr>
          <w:p w14:paraId="1F65281D">
            <w:pPr>
              <w:spacing w:line="276" w:lineRule="auto"/>
              <w:jc w:val="center"/>
              <w:rPr>
                <w:rFonts w:hint="eastAsia" w:ascii="宋体" w:hAnsi="宋体" w:cs="宋体"/>
                <w:color w:val="auto"/>
                <w:kern w:val="1"/>
                <w:szCs w:val="21"/>
                <w:highlight w:val="none"/>
              </w:rPr>
            </w:pPr>
          </w:p>
        </w:tc>
        <w:tc>
          <w:tcPr>
            <w:tcW w:w="670" w:type="dxa"/>
            <w:vMerge w:val="continue"/>
            <w:tcBorders>
              <w:top w:val="single" w:color="auto" w:sz="4" w:space="0"/>
              <w:left w:val="single" w:color="000000" w:sz="4" w:space="0"/>
              <w:bottom w:val="single" w:color="auto" w:sz="4" w:space="0"/>
              <w:right w:val="single" w:color="auto" w:sz="4" w:space="0"/>
            </w:tcBorders>
            <w:vAlign w:val="center"/>
          </w:tcPr>
          <w:p w14:paraId="06C0AAA5">
            <w:pPr>
              <w:spacing w:line="276" w:lineRule="auto"/>
              <w:jc w:val="center"/>
              <w:rPr>
                <w:rFonts w:hint="eastAsia" w:ascii="宋体" w:hAnsi="宋体" w:cs="宋体"/>
                <w:color w:val="auto"/>
                <w:kern w:val="1"/>
                <w:szCs w:val="21"/>
                <w:highlight w:val="none"/>
              </w:rPr>
            </w:pPr>
          </w:p>
        </w:tc>
        <w:tc>
          <w:tcPr>
            <w:tcW w:w="891" w:type="dxa"/>
            <w:vMerge w:val="continue"/>
            <w:tcBorders>
              <w:top w:val="single" w:color="auto" w:sz="4" w:space="0"/>
              <w:left w:val="single" w:color="auto" w:sz="4" w:space="0"/>
              <w:bottom w:val="single" w:color="auto" w:sz="4" w:space="0"/>
              <w:right w:val="single" w:color="auto" w:sz="4" w:space="0"/>
            </w:tcBorders>
            <w:vAlign w:val="center"/>
          </w:tcPr>
          <w:p w14:paraId="285F38B6">
            <w:pPr>
              <w:spacing w:line="276" w:lineRule="auto"/>
              <w:jc w:val="center"/>
              <w:rPr>
                <w:rFonts w:hint="eastAsia" w:ascii="宋体" w:hAnsi="宋体" w:cs="宋体"/>
                <w:color w:val="auto"/>
                <w:kern w:val="1"/>
                <w:szCs w:val="21"/>
                <w:highlight w:val="none"/>
              </w:rPr>
            </w:pPr>
          </w:p>
        </w:tc>
        <w:tc>
          <w:tcPr>
            <w:tcW w:w="1499" w:type="dxa"/>
            <w:tcBorders>
              <w:top w:val="single" w:color="auto" w:sz="4" w:space="0"/>
              <w:left w:val="single" w:color="auto" w:sz="4" w:space="0"/>
              <w:bottom w:val="single" w:color="auto" w:sz="4" w:space="0"/>
              <w:right w:val="single" w:color="auto" w:sz="4" w:space="0"/>
            </w:tcBorders>
            <w:vAlign w:val="center"/>
          </w:tcPr>
          <w:p w14:paraId="30831154">
            <w:pPr>
              <w:jc w:val="center"/>
              <w:rPr>
                <w:rFonts w:hint="eastAsia" w:ascii="宋体" w:hAnsi="宋体" w:cs="宋体"/>
                <w:color w:val="auto"/>
                <w:kern w:val="1"/>
                <w:szCs w:val="21"/>
                <w:highlight w:val="none"/>
              </w:rPr>
            </w:pPr>
            <w:r>
              <w:rPr>
                <w:rFonts w:hint="eastAsia" w:ascii="宋体" w:hAnsi="宋体" w:cs="宋体"/>
                <w:color w:val="auto"/>
                <w:szCs w:val="21"/>
                <w:highlight w:val="none"/>
              </w:rPr>
              <w:t>进度控制措施</w:t>
            </w:r>
            <w:r>
              <w:rPr>
                <w:rFonts w:hint="eastAsia" w:ascii="宋体" w:hAnsi="宋体" w:cs="宋体"/>
                <w:color w:val="auto"/>
                <w:kern w:val="1"/>
                <w:szCs w:val="21"/>
                <w:highlight w:val="none"/>
              </w:rPr>
              <w:t>【</w:t>
            </w:r>
            <w:r>
              <w:rPr>
                <w:rFonts w:hint="eastAsia" w:ascii="宋体" w:hAnsi="宋体" w:cs="宋体"/>
                <w:color w:val="auto"/>
                <w:kern w:val="1"/>
                <w:szCs w:val="21"/>
                <w:highlight w:val="none"/>
                <w:lang w:val="en-US" w:eastAsia="zh-CN"/>
              </w:rPr>
              <w:t>7</w:t>
            </w:r>
            <w:r>
              <w:rPr>
                <w:rFonts w:hint="eastAsia" w:ascii="宋体" w:hAnsi="宋体" w:cs="宋体"/>
                <w:color w:val="auto"/>
                <w:kern w:val="1"/>
                <w:szCs w:val="21"/>
                <w:highlight w:val="none"/>
              </w:rPr>
              <w:t>分】</w:t>
            </w:r>
            <w:r>
              <w:rPr>
                <w:rFonts w:hint="eastAsia" w:ascii="宋体" w:hAnsi="宋体" w:cs="宋体"/>
                <w:color w:val="auto"/>
                <w:szCs w:val="21"/>
                <w:highlight w:val="none"/>
              </w:rPr>
              <w:t xml:space="preserve">   </w:t>
            </w:r>
          </w:p>
        </w:tc>
        <w:tc>
          <w:tcPr>
            <w:tcW w:w="6052" w:type="dxa"/>
            <w:tcBorders>
              <w:top w:val="single" w:color="000000" w:sz="6" w:space="0"/>
              <w:left w:val="single" w:color="auto" w:sz="4" w:space="0"/>
              <w:bottom w:val="single" w:color="000000" w:sz="6" w:space="0"/>
              <w:right w:val="single" w:color="000000" w:sz="4" w:space="0"/>
            </w:tcBorders>
            <w:vAlign w:val="center"/>
          </w:tcPr>
          <w:p w14:paraId="7EE0B4C6">
            <w:pPr>
              <w:rPr>
                <w:rFonts w:ascii="宋体" w:hAnsi="宋体" w:cs="宋体"/>
                <w:color w:val="auto"/>
                <w:szCs w:val="21"/>
                <w:highlight w:val="none"/>
              </w:rPr>
            </w:pPr>
            <w:r>
              <w:rPr>
                <w:rFonts w:hint="eastAsia" w:ascii="宋体" w:hAnsi="宋体" w:cs="宋体"/>
                <w:color w:val="auto"/>
                <w:szCs w:val="21"/>
                <w:highlight w:val="none"/>
              </w:rPr>
              <w:t>【优】制定施工进度计划，有保证措施，有赶工措施的，得7分；</w:t>
            </w:r>
          </w:p>
          <w:p w14:paraId="49E3BE73">
            <w:pPr>
              <w:rPr>
                <w:rFonts w:ascii="宋体" w:hAnsi="宋体" w:cs="宋体"/>
                <w:color w:val="auto"/>
                <w:szCs w:val="21"/>
                <w:highlight w:val="none"/>
              </w:rPr>
            </w:pPr>
            <w:r>
              <w:rPr>
                <w:rFonts w:hint="eastAsia" w:ascii="宋体" w:hAnsi="宋体" w:cs="宋体"/>
                <w:color w:val="auto"/>
                <w:szCs w:val="21"/>
                <w:highlight w:val="none"/>
              </w:rPr>
              <w:t>【良】制定施工进度计划，有保证措施，无赶工措施的，得5</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p w14:paraId="24B9DF86">
            <w:pPr>
              <w:rPr>
                <w:rFonts w:ascii="宋体" w:hAnsi="宋体" w:cs="宋体"/>
                <w:color w:val="auto"/>
                <w:szCs w:val="21"/>
                <w:highlight w:val="none"/>
              </w:rPr>
            </w:pPr>
            <w:r>
              <w:rPr>
                <w:rFonts w:hint="eastAsia" w:ascii="宋体" w:hAnsi="宋体" w:cs="宋体"/>
                <w:color w:val="auto"/>
                <w:szCs w:val="21"/>
                <w:highlight w:val="none"/>
              </w:rPr>
              <w:t>【中】制定施工进度计划，无保证措施，得</w:t>
            </w:r>
            <w:r>
              <w:rPr>
                <w:rFonts w:hint="eastAsia" w:ascii="宋体" w:hAnsi="宋体" w:cs="宋体"/>
                <w:color w:val="auto"/>
                <w:szCs w:val="21"/>
                <w:highlight w:val="none"/>
                <w:lang w:val="en-US" w:eastAsia="zh-CN"/>
              </w:rPr>
              <w:t>4.2</w:t>
            </w:r>
            <w:r>
              <w:rPr>
                <w:rFonts w:hint="eastAsia" w:ascii="宋体" w:hAnsi="宋体" w:cs="宋体"/>
                <w:color w:val="auto"/>
                <w:szCs w:val="21"/>
                <w:highlight w:val="none"/>
              </w:rPr>
              <w:t>分。</w:t>
            </w:r>
          </w:p>
          <w:p w14:paraId="1B715703">
            <w:pPr>
              <w:rPr>
                <w:rFonts w:hint="eastAsia" w:ascii="宋体" w:hAnsi="宋体" w:cs="宋体"/>
                <w:color w:val="auto"/>
                <w:kern w:val="1"/>
                <w:szCs w:val="21"/>
                <w:highlight w:val="none"/>
              </w:rPr>
            </w:pPr>
            <w:r>
              <w:rPr>
                <w:rFonts w:hint="eastAsia" w:ascii="宋体" w:hAnsi="宋体" w:cs="宋体"/>
                <w:color w:val="auto"/>
                <w:szCs w:val="21"/>
                <w:highlight w:val="none"/>
              </w:rPr>
              <w:t>注：无此部分内容不得分。</w:t>
            </w:r>
          </w:p>
        </w:tc>
      </w:tr>
      <w:tr w14:paraId="0E77D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40" w:type="dxa"/>
            <w:gridSpan w:val="2"/>
            <w:vMerge w:val="continue"/>
            <w:tcBorders>
              <w:top w:val="single" w:color="auto" w:sz="4" w:space="0"/>
              <w:left w:val="single" w:color="auto" w:sz="4" w:space="0"/>
              <w:bottom w:val="single" w:color="auto" w:sz="4" w:space="0"/>
              <w:right w:val="single" w:color="000000" w:sz="6" w:space="0"/>
            </w:tcBorders>
            <w:vAlign w:val="center"/>
          </w:tcPr>
          <w:p w14:paraId="7849ACD8">
            <w:pPr>
              <w:spacing w:line="276" w:lineRule="auto"/>
              <w:jc w:val="center"/>
              <w:rPr>
                <w:rFonts w:hint="eastAsia" w:ascii="宋体" w:hAnsi="宋体" w:cs="宋体"/>
                <w:color w:val="auto"/>
                <w:kern w:val="1"/>
                <w:szCs w:val="21"/>
                <w:highlight w:val="none"/>
              </w:rPr>
            </w:pPr>
          </w:p>
        </w:tc>
        <w:tc>
          <w:tcPr>
            <w:tcW w:w="670" w:type="dxa"/>
            <w:vMerge w:val="continue"/>
            <w:tcBorders>
              <w:top w:val="single" w:color="auto" w:sz="4" w:space="0"/>
              <w:left w:val="single" w:color="000000" w:sz="4" w:space="0"/>
              <w:bottom w:val="single" w:color="auto" w:sz="4" w:space="0"/>
              <w:right w:val="single" w:color="auto" w:sz="4" w:space="0"/>
            </w:tcBorders>
            <w:vAlign w:val="center"/>
          </w:tcPr>
          <w:p w14:paraId="3D78D8A6">
            <w:pPr>
              <w:spacing w:line="276" w:lineRule="auto"/>
              <w:jc w:val="center"/>
              <w:rPr>
                <w:rFonts w:hint="eastAsia" w:ascii="宋体" w:hAnsi="宋体" w:cs="宋体"/>
                <w:color w:val="auto"/>
                <w:kern w:val="1"/>
                <w:szCs w:val="21"/>
                <w:highlight w:val="none"/>
              </w:rPr>
            </w:pPr>
          </w:p>
        </w:tc>
        <w:tc>
          <w:tcPr>
            <w:tcW w:w="891" w:type="dxa"/>
            <w:vMerge w:val="continue"/>
            <w:tcBorders>
              <w:top w:val="single" w:color="auto" w:sz="4" w:space="0"/>
              <w:left w:val="single" w:color="auto" w:sz="4" w:space="0"/>
              <w:bottom w:val="single" w:color="auto" w:sz="4" w:space="0"/>
              <w:right w:val="single" w:color="auto" w:sz="4" w:space="0"/>
            </w:tcBorders>
            <w:vAlign w:val="center"/>
          </w:tcPr>
          <w:p w14:paraId="601C2DA5">
            <w:pPr>
              <w:spacing w:line="276" w:lineRule="auto"/>
              <w:jc w:val="center"/>
              <w:rPr>
                <w:rFonts w:hint="eastAsia" w:ascii="宋体" w:hAnsi="宋体" w:cs="宋体"/>
                <w:color w:val="auto"/>
                <w:kern w:val="1"/>
                <w:szCs w:val="21"/>
                <w:highlight w:val="none"/>
              </w:rPr>
            </w:pPr>
          </w:p>
        </w:tc>
        <w:tc>
          <w:tcPr>
            <w:tcW w:w="1499" w:type="dxa"/>
            <w:tcBorders>
              <w:top w:val="single" w:color="auto" w:sz="4" w:space="0"/>
              <w:left w:val="single" w:color="auto" w:sz="4" w:space="0"/>
              <w:bottom w:val="single" w:color="auto" w:sz="4" w:space="0"/>
              <w:right w:val="single" w:color="auto" w:sz="4" w:space="0"/>
            </w:tcBorders>
            <w:vAlign w:val="center"/>
          </w:tcPr>
          <w:p w14:paraId="67176B7C">
            <w:pPr>
              <w:widowControl/>
              <w:adjustRightInd w:val="0"/>
              <w:snapToGrid w:val="0"/>
              <w:spacing w:line="360" w:lineRule="auto"/>
              <w:jc w:val="center"/>
              <w:rPr>
                <w:rFonts w:hint="eastAsia" w:ascii="宋体" w:hAnsi="宋体" w:cs="宋体"/>
                <w:color w:val="auto"/>
                <w:kern w:val="1"/>
                <w:szCs w:val="21"/>
                <w:highlight w:val="none"/>
              </w:rPr>
            </w:pPr>
            <w:r>
              <w:rPr>
                <w:rFonts w:hint="eastAsia" w:ascii="宋体" w:hAnsi="宋体" w:cs="宋体"/>
                <w:bCs/>
                <w:snapToGrid w:val="0"/>
                <w:color w:val="auto"/>
                <w:kern w:val="0"/>
                <w:szCs w:val="21"/>
                <w:highlight w:val="none"/>
              </w:rPr>
              <w:t>质量控制措施</w:t>
            </w:r>
            <w:r>
              <w:rPr>
                <w:rFonts w:hint="eastAsia" w:ascii="宋体" w:hAnsi="宋体" w:cs="宋体"/>
                <w:color w:val="auto"/>
                <w:kern w:val="1"/>
                <w:szCs w:val="21"/>
                <w:highlight w:val="none"/>
              </w:rPr>
              <w:t>【</w:t>
            </w:r>
            <w:r>
              <w:rPr>
                <w:rFonts w:hint="eastAsia" w:ascii="宋体" w:hAnsi="宋体" w:cs="宋体"/>
                <w:color w:val="auto"/>
                <w:kern w:val="1"/>
                <w:szCs w:val="21"/>
                <w:highlight w:val="none"/>
                <w:lang w:val="en-US" w:eastAsia="zh-CN"/>
              </w:rPr>
              <w:t>7</w:t>
            </w:r>
            <w:r>
              <w:rPr>
                <w:rFonts w:hint="eastAsia" w:ascii="宋体" w:hAnsi="宋体" w:cs="宋体"/>
                <w:color w:val="auto"/>
                <w:kern w:val="1"/>
                <w:szCs w:val="21"/>
                <w:highlight w:val="none"/>
              </w:rPr>
              <w:t>分】</w:t>
            </w:r>
            <w:r>
              <w:rPr>
                <w:rFonts w:hint="eastAsia" w:ascii="宋体" w:hAnsi="宋体" w:cs="宋体"/>
                <w:bCs/>
                <w:snapToGrid w:val="0"/>
                <w:color w:val="auto"/>
                <w:kern w:val="0"/>
                <w:szCs w:val="21"/>
                <w:highlight w:val="none"/>
              </w:rPr>
              <w:t xml:space="preserve">      </w:t>
            </w:r>
          </w:p>
        </w:tc>
        <w:tc>
          <w:tcPr>
            <w:tcW w:w="6052" w:type="dxa"/>
            <w:tcBorders>
              <w:top w:val="single" w:color="000000" w:sz="6" w:space="0"/>
              <w:left w:val="single" w:color="auto" w:sz="4" w:space="0"/>
              <w:bottom w:val="single" w:color="000000" w:sz="6" w:space="0"/>
              <w:right w:val="single" w:color="000000" w:sz="4" w:space="0"/>
            </w:tcBorders>
            <w:vAlign w:val="center"/>
          </w:tcPr>
          <w:p w14:paraId="09DA09DE">
            <w:pPr>
              <w:rPr>
                <w:rFonts w:ascii="宋体" w:hAnsi="宋体" w:cs="宋体"/>
                <w:color w:val="auto"/>
                <w:szCs w:val="21"/>
                <w:highlight w:val="none"/>
              </w:rPr>
            </w:pPr>
            <w:r>
              <w:rPr>
                <w:rFonts w:hint="eastAsia" w:ascii="宋体" w:hAnsi="宋体" w:cs="宋体"/>
                <w:color w:val="auto"/>
                <w:szCs w:val="21"/>
                <w:highlight w:val="none"/>
              </w:rPr>
              <w:t>【优】有质量管理组织架构，有质量保证运行体系及制定质量目标保证措施的，得7分；</w:t>
            </w:r>
          </w:p>
          <w:p w14:paraId="70685DDF">
            <w:pPr>
              <w:rPr>
                <w:rFonts w:ascii="宋体" w:hAnsi="宋体" w:cs="宋体"/>
                <w:color w:val="auto"/>
                <w:szCs w:val="21"/>
                <w:highlight w:val="none"/>
              </w:rPr>
            </w:pPr>
            <w:r>
              <w:rPr>
                <w:rFonts w:hint="eastAsia" w:ascii="宋体" w:hAnsi="宋体" w:cs="宋体"/>
                <w:color w:val="auto"/>
                <w:szCs w:val="21"/>
                <w:highlight w:val="none"/>
              </w:rPr>
              <w:t>【良】有质量管理组织架构，有质量保证运行体系，无质量目标保证措施的，得5</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p w14:paraId="5EE5A072">
            <w:pPr>
              <w:rPr>
                <w:rFonts w:ascii="宋体" w:hAnsi="宋体" w:cs="宋体"/>
                <w:color w:val="auto"/>
                <w:szCs w:val="21"/>
                <w:highlight w:val="none"/>
              </w:rPr>
            </w:pPr>
            <w:r>
              <w:rPr>
                <w:rFonts w:hint="eastAsia" w:ascii="宋体" w:hAnsi="宋体" w:cs="宋体"/>
                <w:color w:val="auto"/>
                <w:szCs w:val="21"/>
                <w:highlight w:val="none"/>
              </w:rPr>
              <w:t>【中】有质量管理组织架构，无质量保证运行体系的，得</w:t>
            </w:r>
            <w:r>
              <w:rPr>
                <w:rFonts w:hint="eastAsia" w:ascii="宋体" w:hAnsi="宋体" w:cs="宋体"/>
                <w:color w:val="auto"/>
                <w:szCs w:val="21"/>
                <w:highlight w:val="none"/>
                <w:lang w:val="en-US" w:eastAsia="zh-CN"/>
              </w:rPr>
              <w:t>4.2</w:t>
            </w:r>
            <w:r>
              <w:rPr>
                <w:rFonts w:hint="eastAsia" w:ascii="宋体" w:hAnsi="宋体" w:cs="宋体"/>
                <w:color w:val="auto"/>
                <w:szCs w:val="21"/>
                <w:highlight w:val="none"/>
              </w:rPr>
              <w:t>分。</w:t>
            </w:r>
          </w:p>
          <w:p w14:paraId="6AFD7E7D">
            <w:pPr>
              <w:rPr>
                <w:rFonts w:hint="eastAsia" w:ascii="宋体" w:hAnsi="宋体" w:cs="宋体"/>
                <w:color w:val="auto"/>
                <w:kern w:val="1"/>
                <w:szCs w:val="21"/>
                <w:highlight w:val="none"/>
              </w:rPr>
            </w:pPr>
            <w:r>
              <w:rPr>
                <w:rFonts w:hint="eastAsia" w:ascii="宋体" w:hAnsi="宋体" w:cs="宋体"/>
                <w:color w:val="auto"/>
                <w:szCs w:val="21"/>
                <w:highlight w:val="none"/>
              </w:rPr>
              <w:t>注：无此部分内容不得分。</w:t>
            </w:r>
          </w:p>
        </w:tc>
      </w:tr>
      <w:tr w14:paraId="29E9F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40" w:type="dxa"/>
            <w:gridSpan w:val="2"/>
            <w:vMerge w:val="continue"/>
            <w:tcBorders>
              <w:top w:val="single" w:color="auto" w:sz="4" w:space="0"/>
              <w:left w:val="single" w:color="auto" w:sz="4" w:space="0"/>
              <w:bottom w:val="single" w:color="auto" w:sz="4" w:space="0"/>
              <w:right w:val="single" w:color="000000" w:sz="6" w:space="0"/>
            </w:tcBorders>
            <w:vAlign w:val="center"/>
          </w:tcPr>
          <w:p w14:paraId="27ADF498">
            <w:pPr>
              <w:spacing w:line="276" w:lineRule="auto"/>
              <w:jc w:val="center"/>
              <w:rPr>
                <w:rFonts w:hint="eastAsia" w:ascii="宋体" w:hAnsi="宋体" w:cs="宋体"/>
                <w:color w:val="auto"/>
                <w:kern w:val="1"/>
                <w:szCs w:val="21"/>
                <w:highlight w:val="none"/>
              </w:rPr>
            </w:pPr>
          </w:p>
        </w:tc>
        <w:tc>
          <w:tcPr>
            <w:tcW w:w="670" w:type="dxa"/>
            <w:vMerge w:val="continue"/>
            <w:tcBorders>
              <w:top w:val="single" w:color="auto" w:sz="4" w:space="0"/>
              <w:left w:val="single" w:color="000000" w:sz="4" w:space="0"/>
              <w:bottom w:val="single" w:color="auto" w:sz="4" w:space="0"/>
              <w:right w:val="single" w:color="auto" w:sz="4" w:space="0"/>
            </w:tcBorders>
            <w:vAlign w:val="center"/>
          </w:tcPr>
          <w:p w14:paraId="578D2E0E">
            <w:pPr>
              <w:spacing w:line="276" w:lineRule="auto"/>
              <w:jc w:val="center"/>
              <w:rPr>
                <w:rFonts w:hint="eastAsia" w:ascii="宋体" w:hAnsi="宋体" w:cs="宋体"/>
                <w:color w:val="auto"/>
                <w:kern w:val="1"/>
                <w:szCs w:val="21"/>
                <w:highlight w:val="none"/>
              </w:rPr>
            </w:pPr>
          </w:p>
        </w:tc>
        <w:tc>
          <w:tcPr>
            <w:tcW w:w="891" w:type="dxa"/>
            <w:vMerge w:val="continue"/>
            <w:tcBorders>
              <w:top w:val="single" w:color="auto" w:sz="4" w:space="0"/>
              <w:left w:val="single" w:color="auto" w:sz="4" w:space="0"/>
              <w:bottom w:val="single" w:color="auto" w:sz="4" w:space="0"/>
              <w:right w:val="single" w:color="auto" w:sz="4" w:space="0"/>
            </w:tcBorders>
            <w:vAlign w:val="center"/>
          </w:tcPr>
          <w:p w14:paraId="5E2CA9D3">
            <w:pPr>
              <w:spacing w:line="276" w:lineRule="auto"/>
              <w:jc w:val="center"/>
              <w:rPr>
                <w:rFonts w:hint="eastAsia" w:ascii="宋体" w:hAnsi="宋体" w:cs="宋体"/>
                <w:color w:val="auto"/>
                <w:kern w:val="1"/>
                <w:szCs w:val="21"/>
                <w:highlight w:val="none"/>
              </w:rPr>
            </w:pPr>
          </w:p>
        </w:tc>
        <w:tc>
          <w:tcPr>
            <w:tcW w:w="1499" w:type="dxa"/>
            <w:tcBorders>
              <w:top w:val="single" w:color="auto" w:sz="4" w:space="0"/>
              <w:left w:val="single" w:color="auto" w:sz="4" w:space="0"/>
              <w:bottom w:val="single" w:color="auto" w:sz="4" w:space="0"/>
              <w:right w:val="single" w:color="auto" w:sz="4" w:space="0"/>
            </w:tcBorders>
            <w:vAlign w:val="center"/>
          </w:tcPr>
          <w:p w14:paraId="14BC1EA6">
            <w:pPr>
              <w:widowControl/>
              <w:adjustRightInd w:val="0"/>
              <w:snapToGrid w:val="0"/>
              <w:spacing w:line="360" w:lineRule="auto"/>
              <w:jc w:val="center"/>
              <w:rPr>
                <w:rFonts w:hint="eastAsia" w:ascii="宋体" w:hAnsi="宋体" w:cs="宋体"/>
                <w:color w:val="auto"/>
                <w:kern w:val="1"/>
                <w:szCs w:val="21"/>
                <w:highlight w:val="none"/>
              </w:rPr>
            </w:pPr>
            <w:r>
              <w:rPr>
                <w:rFonts w:hint="eastAsia" w:ascii="宋体" w:hAnsi="宋体" w:cs="宋体"/>
                <w:bCs/>
                <w:snapToGrid w:val="0"/>
                <w:color w:val="auto"/>
                <w:kern w:val="0"/>
                <w:szCs w:val="21"/>
                <w:highlight w:val="none"/>
              </w:rPr>
              <w:t>安全控制措施</w:t>
            </w:r>
            <w:r>
              <w:rPr>
                <w:rFonts w:hint="eastAsia" w:ascii="宋体" w:hAnsi="宋体" w:cs="宋体"/>
                <w:color w:val="auto"/>
                <w:kern w:val="1"/>
                <w:szCs w:val="21"/>
                <w:highlight w:val="none"/>
              </w:rPr>
              <w:t>【</w:t>
            </w:r>
            <w:r>
              <w:rPr>
                <w:rFonts w:hint="eastAsia" w:ascii="宋体" w:hAnsi="宋体" w:cs="宋体"/>
                <w:color w:val="auto"/>
                <w:kern w:val="1"/>
                <w:szCs w:val="21"/>
                <w:highlight w:val="none"/>
                <w:lang w:val="en-US" w:eastAsia="zh-CN"/>
              </w:rPr>
              <w:t>7</w:t>
            </w:r>
            <w:r>
              <w:rPr>
                <w:rFonts w:hint="eastAsia" w:ascii="宋体" w:hAnsi="宋体" w:cs="宋体"/>
                <w:color w:val="auto"/>
                <w:kern w:val="1"/>
                <w:szCs w:val="21"/>
                <w:highlight w:val="none"/>
              </w:rPr>
              <w:t>分】</w:t>
            </w:r>
            <w:r>
              <w:rPr>
                <w:rFonts w:hint="eastAsia" w:ascii="宋体" w:hAnsi="宋体" w:cs="宋体"/>
                <w:bCs/>
                <w:snapToGrid w:val="0"/>
                <w:color w:val="auto"/>
                <w:kern w:val="0"/>
                <w:szCs w:val="21"/>
                <w:highlight w:val="none"/>
              </w:rPr>
              <w:t xml:space="preserve">      </w:t>
            </w:r>
          </w:p>
        </w:tc>
        <w:tc>
          <w:tcPr>
            <w:tcW w:w="6052" w:type="dxa"/>
            <w:tcBorders>
              <w:top w:val="single" w:color="000000" w:sz="6" w:space="0"/>
              <w:left w:val="single" w:color="auto" w:sz="4" w:space="0"/>
              <w:bottom w:val="single" w:color="000000" w:sz="6" w:space="0"/>
              <w:right w:val="single" w:color="000000" w:sz="4" w:space="0"/>
            </w:tcBorders>
            <w:vAlign w:val="center"/>
          </w:tcPr>
          <w:p w14:paraId="1C81368B">
            <w:pPr>
              <w:rPr>
                <w:rFonts w:ascii="宋体" w:hAnsi="宋体" w:cs="宋体"/>
                <w:color w:val="auto"/>
                <w:szCs w:val="21"/>
                <w:highlight w:val="none"/>
              </w:rPr>
            </w:pPr>
            <w:r>
              <w:rPr>
                <w:rFonts w:hint="eastAsia" w:ascii="宋体" w:hAnsi="宋体" w:cs="宋体"/>
                <w:color w:val="auto"/>
                <w:szCs w:val="21"/>
                <w:highlight w:val="none"/>
              </w:rPr>
              <w:t>【优】制定安全、文明施工保证体系，制定各项保证措施，</w:t>
            </w:r>
            <w:r>
              <w:rPr>
                <w:rFonts w:hint="eastAsia" w:ascii="宋体" w:hAnsi="宋体" w:cs="宋体"/>
                <w:color w:val="auto"/>
                <w:szCs w:val="21"/>
                <w:highlight w:val="none"/>
                <w:lang w:val="en-US" w:eastAsia="zh-CN"/>
              </w:rPr>
              <w:t>能</w:t>
            </w:r>
            <w:r>
              <w:rPr>
                <w:rFonts w:hint="eastAsia" w:ascii="宋体" w:hAnsi="宋体" w:cs="宋体"/>
                <w:color w:val="auto"/>
                <w:szCs w:val="21"/>
                <w:highlight w:val="none"/>
              </w:rPr>
              <w:t>争创市级或以上安全文明样板工地，得7分；</w:t>
            </w:r>
          </w:p>
          <w:p w14:paraId="5B3F2364">
            <w:pPr>
              <w:rPr>
                <w:rFonts w:ascii="宋体" w:hAnsi="宋体" w:cs="宋体"/>
                <w:color w:val="auto"/>
                <w:szCs w:val="21"/>
                <w:highlight w:val="none"/>
              </w:rPr>
            </w:pPr>
            <w:r>
              <w:rPr>
                <w:rFonts w:hint="eastAsia" w:ascii="宋体" w:hAnsi="宋体" w:cs="宋体"/>
                <w:color w:val="auto"/>
                <w:szCs w:val="21"/>
                <w:highlight w:val="none"/>
              </w:rPr>
              <w:t>【良】制定安全、文明施工保证体系，制定各项保证措施，未</w:t>
            </w:r>
            <w:r>
              <w:rPr>
                <w:rFonts w:hint="eastAsia" w:ascii="宋体" w:hAnsi="宋体" w:cs="宋体"/>
                <w:color w:val="auto"/>
                <w:szCs w:val="21"/>
                <w:highlight w:val="none"/>
                <w:lang w:val="en-US" w:eastAsia="zh-CN"/>
              </w:rPr>
              <w:t>能</w:t>
            </w:r>
            <w:r>
              <w:rPr>
                <w:rFonts w:hint="eastAsia" w:ascii="宋体" w:hAnsi="宋体" w:cs="宋体"/>
                <w:color w:val="auto"/>
                <w:szCs w:val="21"/>
                <w:highlight w:val="none"/>
              </w:rPr>
              <w:t>争创市级或以上安全文明样板工地，得5</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p w14:paraId="08362762">
            <w:pPr>
              <w:rPr>
                <w:rFonts w:ascii="宋体" w:hAnsi="宋体" w:cs="宋体"/>
                <w:color w:val="auto"/>
                <w:szCs w:val="21"/>
                <w:highlight w:val="none"/>
              </w:rPr>
            </w:pPr>
            <w:r>
              <w:rPr>
                <w:rFonts w:hint="eastAsia" w:ascii="宋体" w:hAnsi="宋体" w:cs="宋体"/>
                <w:color w:val="auto"/>
                <w:szCs w:val="21"/>
                <w:highlight w:val="none"/>
              </w:rPr>
              <w:t>【中】制定安全、文明施工保证体系，无各项保证措施的，得</w:t>
            </w:r>
            <w:r>
              <w:rPr>
                <w:rFonts w:hint="eastAsia" w:ascii="宋体" w:hAnsi="宋体" w:cs="宋体"/>
                <w:color w:val="auto"/>
                <w:szCs w:val="21"/>
                <w:highlight w:val="none"/>
                <w:lang w:val="en-US" w:eastAsia="zh-CN"/>
              </w:rPr>
              <w:t>4.2</w:t>
            </w:r>
            <w:r>
              <w:rPr>
                <w:rFonts w:hint="eastAsia" w:ascii="宋体" w:hAnsi="宋体" w:cs="宋体"/>
                <w:color w:val="auto"/>
                <w:szCs w:val="21"/>
                <w:highlight w:val="none"/>
              </w:rPr>
              <w:t>分。</w:t>
            </w:r>
          </w:p>
          <w:p w14:paraId="607AFF5A">
            <w:pPr>
              <w:rPr>
                <w:rFonts w:hint="eastAsia" w:ascii="宋体" w:hAnsi="宋体" w:cs="宋体"/>
                <w:color w:val="auto"/>
                <w:kern w:val="1"/>
                <w:szCs w:val="21"/>
                <w:highlight w:val="none"/>
              </w:rPr>
            </w:pPr>
            <w:r>
              <w:rPr>
                <w:rFonts w:hint="eastAsia" w:ascii="宋体" w:hAnsi="宋体" w:cs="宋体"/>
                <w:color w:val="auto"/>
                <w:szCs w:val="21"/>
                <w:highlight w:val="none"/>
              </w:rPr>
              <w:t>注：无此部分内容不得分。</w:t>
            </w:r>
          </w:p>
        </w:tc>
      </w:tr>
      <w:tr w14:paraId="2DBB7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40" w:type="dxa"/>
            <w:gridSpan w:val="2"/>
            <w:vMerge w:val="continue"/>
            <w:tcBorders>
              <w:top w:val="single" w:color="auto" w:sz="4" w:space="0"/>
              <w:left w:val="single" w:color="auto" w:sz="4" w:space="0"/>
              <w:bottom w:val="single" w:color="auto" w:sz="4" w:space="0"/>
              <w:right w:val="single" w:color="000000" w:sz="6" w:space="0"/>
            </w:tcBorders>
            <w:vAlign w:val="center"/>
          </w:tcPr>
          <w:p w14:paraId="0ED66973">
            <w:pPr>
              <w:spacing w:line="276" w:lineRule="auto"/>
              <w:jc w:val="center"/>
              <w:rPr>
                <w:rFonts w:hint="eastAsia" w:ascii="宋体" w:hAnsi="宋体" w:cs="宋体"/>
                <w:color w:val="auto"/>
                <w:kern w:val="1"/>
                <w:szCs w:val="21"/>
                <w:highlight w:val="none"/>
              </w:rPr>
            </w:pPr>
          </w:p>
        </w:tc>
        <w:tc>
          <w:tcPr>
            <w:tcW w:w="670" w:type="dxa"/>
            <w:vMerge w:val="continue"/>
            <w:tcBorders>
              <w:top w:val="single" w:color="auto" w:sz="4" w:space="0"/>
              <w:left w:val="single" w:color="000000" w:sz="4" w:space="0"/>
              <w:bottom w:val="single" w:color="auto" w:sz="4" w:space="0"/>
              <w:right w:val="single" w:color="auto" w:sz="4" w:space="0"/>
            </w:tcBorders>
            <w:vAlign w:val="center"/>
          </w:tcPr>
          <w:p w14:paraId="52981E4B">
            <w:pPr>
              <w:spacing w:line="276" w:lineRule="auto"/>
              <w:jc w:val="center"/>
              <w:rPr>
                <w:rFonts w:hint="eastAsia" w:ascii="宋体" w:hAnsi="宋体" w:cs="宋体"/>
                <w:color w:val="auto"/>
                <w:kern w:val="1"/>
                <w:szCs w:val="21"/>
                <w:highlight w:val="none"/>
              </w:rPr>
            </w:pPr>
          </w:p>
        </w:tc>
        <w:tc>
          <w:tcPr>
            <w:tcW w:w="891" w:type="dxa"/>
            <w:vMerge w:val="continue"/>
            <w:tcBorders>
              <w:top w:val="single" w:color="auto" w:sz="4" w:space="0"/>
              <w:left w:val="single" w:color="auto" w:sz="4" w:space="0"/>
              <w:bottom w:val="single" w:color="auto" w:sz="4" w:space="0"/>
              <w:right w:val="single" w:color="auto" w:sz="4" w:space="0"/>
            </w:tcBorders>
            <w:vAlign w:val="center"/>
          </w:tcPr>
          <w:p w14:paraId="30CF01F5">
            <w:pPr>
              <w:spacing w:line="276" w:lineRule="auto"/>
              <w:jc w:val="center"/>
              <w:rPr>
                <w:rFonts w:hint="eastAsia" w:ascii="宋体" w:hAnsi="宋体" w:cs="宋体"/>
                <w:color w:val="auto"/>
                <w:kern w:val="1"/>
                <w:szCs w:val="21"/>
                <w:highlight w:val="none"/>
              </w:rPr>
            </w:pPr>
          </w:p>
        </w:tc>
        <w:tc>
          <w:tcPr>
            <w:tcW w:w="1499" w:type="dxa"/>
            <w:tcBorders>
              <w:top w:val="single" w:color="auto" w:sz="4" w:space="0"/>
              <w:left w:val="single" w:color="auto" w:sz="4" w:space="0"/>
              <w:bottom w:val="single" w:color="auto" w:sz="4" w:space="0"/>
              <w:right w:val="single" w:color="auto" w:sz="4" w:space="0"/>
            </w:tcBorders>
            <w:vAlign w:val="center"/>
          </w:tcPr>
          <w:p w14:paraId="108ADE43">
            <w:pPr>
              <w:widowControl/>
              <w:adjustRightInd w:val="0"/>
              <w:snapToGrid w:val="0"/>
              <w:spacing w:line="360" w:lineRule="auto"/>
              <w:jc w:val="center"/>
              <w:rPr>
                <w:rFonts w:hint="eastAsia" w:ascii="宋体" w:hAnsi="宋体" w:cs="宋体"/>
                <w:color w:val="auto"/>
                <w:szCs w:val="21"/>
                <w:highlight w:val="none"/>
              </w:rPr>
            </w:pPr>
            <w:r>
              <w:rPr>
                <w:rFonts w:hint="eastAsia" w:ascii="宋体" w:hAnsi="宋体" w:cs="宋体"/>
                <w:bCs/>
                <w:snapToGrid w:val="0"/>
                <w:color w:val="auto"/>
                <w:kern w:val="0"/>
                <w:szCs w:val="21"/>
                <w:highlight w:val="none"/>
              </w:rPr>
              <w:t>绿色</w:t>
            </w:r>
            <w:r>
              <w:rPr>
                <w:rFonts w:hint="eastAsia"/>
                <w:color w:val="auto"/>
                <w:szCs w:val="21"/>
                <w:highlight w:val="none"/>
              </w:rPr>
              <w:t>施工措施</w:t>
            </w:r>
            <w:r>
              <w:rPr>
                <w:rFonts w:hint="eastAsia" w:ascii="宋体" w:hAnsi="宋体" w:cs="宋体"/>
                <w:color w:val="auto"/>
                <w:kern w:val="1"/>
                <w:szCs w:val="21"/>
                <w:highlight w:val="none"/>
              </w:rPr>
              <w:t>【</w:t>
            </w:r>
            <w:r>
              <w:rPr>
                <w:rFonts w:hint="eastAsia" w:ascii="宋体" w:hAnsi="宋体" w:cs="宋体"/>
                <w:color w:val="auto"/>
                <w:kern w:val="1"/>
                <w:szCs w:val="21"/>
                <w:highlight w:val="none"/>
                <w:lang w:val="en-US" w:eastAsia="zh-CN"/>
              </w:rPr>
              <w:t>7</w:t>
            </w:r>
            <w:r>
              <w:rPr>
                <w:rFonts w:hint="eastAsia" w:ascii="宋体" w:hAnsi="宋体" w:cs="宋体"/>
                <w:color w:val="auto"/>
                <w:kern w:val="1"/>
                <w:szCs w:val="21"/>
                <w:highlight w:val="none"/>
              </w:rPr>
              <w:t>分】</w:t>
            </w:r>
          </w:p>
        </w:tc>
        <w:tc>
          <w:tcPr>
            <w:tcW w:w="6052" w:type="dxa"/>
            <w:tcBorders>
              <w:top w:val="single" w:color="000000" w:sz="6" w:space="0"/>
              <w:left w:val="single" w:color="auto" w:sz="4" w:space="0"/>
              <w:bottom w:val="single" w:color="000000" w:sz="6" w:space="0"/>
              <w:right w:val="single" w:color="000000" w:sz="4" w:space="0"/>
            </w:tcBorders>
            <w:vAlign w:val="center"/>
          </w:tcPr>
          <w:p w14:paraId="67544D7D">
            <w:pPr>
              <w:rPr>
                <w:rFonts w:ascii="宋体" w:hAnsi="宋体" w:cs="宋体"/>
                <w:color w:val="auto"/>
                <w:szCs w:val="21"/>
                <w:highlight w:val="none"/>
              </w:rPr>
            </w:pPr>
            <w:r>
              <w:rPr>
                <w:rFonts w:hint="eastAsia" w:ascii="宋体" w:hAnsi="宋体" w:cs="宋体"/>
                <w:color w:val="auto"/>
                <w:szCs w:val="21"/>
                <w:highlight w:val="none"/>
              </w:rPr>
              <w:t>【优】制定绿色施工管理目标，有相应控制措施，</w:t>
            </w:r>
            <w:r>
              <w:rPr>
                <w:rFonts w:hint="eastAsia" w:ascii="宋体" w:hAnsi="宋体" w:cs="宋体"/>
                <w:color w:val="auto"/>
                <w:szCs w:val="21"/>
                <w:highlight w:val="none"/>
                <w:lang w:val="en-US" w:eastAsia="zh-CN"/>
              </w:rPr>
              <w:t>能</w:t>
            </w:r>
            <w:r>
              <w:rPr>
                <w:rFonts w:hint="eastAsia" w:ascii="宋体" w:hAnsi="宋体" w:cs="宋体"/>
                <w:color w:val="auto"/>
                <w:szCs w:val="21"/>
                <w:highlight w:val="none"/>
              </w:rPr>
              <w:t>在施工过程中通过科学管理和先进的技术手段，最大限度地节约资源与减少对环境的负面影响，得7分；</w:t>
            </w:r>
          </w:p>
          <w:p w14:paraId="13CAEE96">
            <w:pPr>
              <w:rPr>
                <w:rFonts w:ascii="宋体" w:hAnsi="宋体" w:cs="宋体"/>
                <w:color w:val="auto"/>
                <w:szCs w:val="21"/>
                <w:highlight w:val="none"/>
              </w:rPr>
            </w:pPr>
            <w:r>
              <w:rPr>
                <w:rFonts w:hint="eastAsia" w:ascii="宋体" w:hAnsi="宋体" w:cs="宋体"/>
                <w:color w:val="auto"/>
                <w:szCs w:val="21"/>
                <w:highlight w:val="none"/>
              </w:rPr>
              <w:t>【良】制定绿色施工管理目标，有相应控制措施，未</w:t>
            </w:r>
            <w:r>
              <w:rPr>
                <w:rFonts w:hint="eastAsia" w:ascii="宋体" w:hAnsi="宋体" w:cs="宋体"/>
                <w:color w:val="auto"/>
                <w:szCs w:val="21"/>
                <w:highlight w:val="none"/>
                <w:lang w:val="en-US" w:eastAsia="zh-CN"/>
              </w:rPr>
              <w:t>能</w:t>
            </w:r>
            <w:r>
              <w:rPr>
                <w:rFonts w:hint="eastAsia" w:ascii="宋体" w:hAnsi="宋体" w:cs="宋体"/>
                <w:color w:val="auto"/>
                <w:szCs w:val="21"/>
                <w:highlight w:val="none"/>
              </w:rPr>
              <w:t>在施工过程中通过科学管理和先进的技术手段、最大限度地节约资源与减少对环境的负面影响，得5</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p w14:paraId="10504098">
            <w:pPr>
              <w:rPr>
                <w:rFonts w:ascii="宋体" w:hAnsi="宋体" w:cs="宋体"/>
                <w:color w:val="auto"/>
                <w:szCs w:val="21"/>
                <w:highlight w:val="none"/>
              </w:rPr>
            </w:pPr>
            <w:r>
              <w:rPr>
                <w:rFonts w:hint="eastAsia" w:ascii="宋体" w:hAnsi="宋体" w:cs="宋体"/>
                <w:color w:val="auto"/>
                <w:szCs w:val="21"/>
                <w:highlight w:val="none"/>
              </w:rPr>
              <w:t>【中】制定绿色施工管理目标，无相应控制措施的，得</w:t>
            </w:r>
            <w:r>
              <w:rPr>
                <w:rFonts w:hint="eastAsia" w:ascii="宋体" w:hAnsi="宋体" w:cs="宋体"/>
                <w:color w:val="auto"/>
                <w:szCs w:val="21"/>
                <w:highlight w:val="none"/>
                <w:lang w:val="en-US" w:eastAsia="zh-CN"/>
              </w:rPr>
              <w:t>4.2</w:t>
            </w:r>
            <w:r>
              <w:rPr>
                <w:rFonts w:hint="eastAsia" w:ascii="宋体" w:hAnsi="宋体" w:cs="宋体"/>
                <w:color w:val="auto"/>
                <w:szCs w:val="21"/>
                <w:highlight w:val="none"/>
              </w:rPr>
              <w:t>分。</w:t>
            </w:r>
          </w:p>
          <w:p w14:paraId="602E6A47">
            <w:pPr>
              <w:rPr>
                <w:rFonts w:hint="eastAsia" w:ascii="宋体" w:hAnsi="宋体" w:cs="宋体"/>
                <w:color w:val="auto"/>
                <w:szCs w:val="21"/>
                <w:highlight w:val="none"/>
              </w:rPr>
            </w:pPr>
            <w:r>
              <w:rPr>
                <w:rFonts w:hint="eastAsia" w:ascii="宋体" w:hAnsi="宋体" w:cs="宋体"/>
                <w:color w:val="auto"/>
                <w:szCs w:val="21"/>
                <w:highlight w:val="none"/>
              </w:rPr>
              <w:t>注：无此部分内容不得分。</w:t>
            </w:r>
          </w:p>
        </w:tc>
      </w:tr>
      <w:tr w14:paraId="4BEA8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40" w:type="dxa"/>
            <w:gridSpan w:val="2"/>
            <w:vMerge w:val="continue"/>
            <w:tcBorders>
              <w:top w:val="single" w:color="auto" w:sz="4" w:space="0"/>
              <w:left w:val="single" w:color="auto" w:sz="4" w:space="0"/>
              <w:bottom w:val="single" w:color="auto" w:sz="4" w:space="0"/>
              <w:right w:val="single" w:color="000000" w:sz="6" w:space="0"/>
            </w:tcBorders>
            <w:vAlign w:val="center"/>
          </w:tcPr>
          <w:p w14:paraId="0BC3674B">
            <w:pPr>
              <w:spacing w:line="276" w:lineRule="auto"/>
              <w:jc w:val="center"/>
              <w:rPr>
                <w:rFonts w:hint="eastAsia" w:ascii="宋体" w:hAnsi="宋体" w:cs="宋体"/>
                <w:color w:val="auto"/>
                <w:kern w:val="1"/>
                <w:szCs w:val="21"/>
                <w:highlight w:val="none"/>
              </w:rPr>
            </w:pPr>
          </w:p>
        </w:tc>
        <w:tc>
          <w:tcPr>
            <w:tcW w:w="670" w:type="dxa"/>
            <w:vMerge w:val="continue"/>
            <w:tcBorders>
              <w:top w:val="single" w:color="auto" w:sz="4" w:space="0"/>
              <w:left w:val="single" w:color="000000" w:sz="4" w:space="0"/>
              <w:bottom w:val="single" w:color="auto" w:sz="4" w:space="0"/>
              <w:right w:val="single" w:color="auto" w:sz="4" w:space="0"/>
            </w:tcBorders>
            <w:vAlign w:val="center"/>
          </w:tcPr>
          <w:p w14:paraId="625E696F">
            <w:pPr>
              <w:spacing w:line="276" w:lineRule="auto"/>
              <w:jc w:val="center"/>
              <w:rPr>
                <w:rFonts w:hint="eastAsia" w:ascii="宋体" w:hAnsi="宋体" w:cs="宋体"/>
                <w:color w:val="auto"/>
                <w:kern w:val="1"/>
                <w:szCs w:val="21"/>
                <w:highlight w:val="none"/>
              </w:rPr>
            </w:pPr>
          </w:p>
        </w:tc>
        <w:tc>
          <w:tcPr>
            <w:tcW w:w="891" w:type="dxa"/>
            <w:vMerge w:val="continue"/>
            <w:tcBorders>
              <w:top w:val="single" w:color="auto" w:sz="4" w:space="0"/>
              <w:left w:val="single" w:color="auto" w:sz="4" w:space="0"/>
              <w:bottom w:val="single" w:color="auto" w:sz="4" w:space="0"/>
              <w:right w:val="single" w:color="auto" w:sz="4" w:space="0"/>
            </w:tcBorders>
            <w:vAlign w:val="center"/>
          </w:tcPr>
          <w:p w14:paraId="5AFFA236">
            <w:pPr>
              <w:spacing w:line="276" w:lineRule="auto"/>
              <w:jc w:val="center"/>
              <w:rPr>
                <w:rFonts w:hint="eastAsia" w:ascii="宋体" w:hAnsi="宋体" w:cs="宋体"/>
                <w:color w:val="auto"/>
                <w:kern w:val="1"/>
                <w:szCs w:val="21"/>
                <w:highlight w:val="none"/>
              </w:rPr>
            </w:pPr>
          </w:p>
        </w:tc>
        <w:tc>
          <w:tcPr>
            <w:tcW w:w="1499" w:type="dxa"/>
            <w:tcBorders>
              <w:top w:val="single" w:color="auto" w:sz="4" w:space="0"/>
              <w:left w:val="single" w:color="auto" w:sz="4" w:space="0"/>
              <w:bottom w:val="single" w:color="auto" w:sz="4" w:space="0"/>
              <w:right w:val="single" w:color="auto" w:sz="4" w:space="0"/>
            </w:tcBorders>
            <w:vAlign w:val="center"/>
          </w:tcPr>
          <w:p w14:paraId="1BFED81F">
            <w:pPr>
              <w:widowControl/>
              <w:adjustRightInd w:val="0"/>
              <w:snapToGrid w:val="0"/>
              <w:spacing w:line="360" w:lineRule="auto"/>
              <w:jc w:val="center"/>
              <w:rPr>
                <w:rFonts w:hint="eastAsia" w:ascii="宋体" w:hAnsi="宋体" w:cs="宋体"/>
                <w:color w:val="auto"/>
                <w:kern w:val="1"/>
                <w:szCs w:val="21"/>
                <w:highlight w:val="none"/>
              </w:rPr>
            </w:pPr>
            <w:r>
              <w:rPr>
                <w:rFonts w:hint="eastAsia" w:ascii="宋体" w:hAnsi="宋体" w:cs="宋体"/>
                <w:bCs/>
                <w:snapToGrid w:val="0"/>
                <w:color w:val="auto"/>
                <w:kern w:val="0"/>
                <w:szCs w:val="21"/>
                <w:highlight w:val="none"/>
              </w:rPr>
              <w:t>施工重难点分析及对策</w:t>
            </w:r>
            <w:r>
              <w:rPr>
                <w:rFonts w:hint="eastAsia" w:ascii="宋体" w:hAnsi="宋体" w:cs="宋体"/>
                <w:color w:val="auto"/>
                <w:kern w:val="1"/>
                <w:szCs w:val="21"/>
                <w:highlight w:val="none"/>
              </w:rPr>
              <w:t>【</w:t>
            </w:r>
            <w:r>
              <w:rPr>
                <w:rFonts w:hint="eastAsia" w:ascii="宋体" w:hAnsi="宋体" w:cs="宋体"/>
                <w:color w:val="auto"/>
                <w:kern w:val="1"/>
                <w:szCs w:val="21"/>
                <w:highlight w:val="none"/>
                <w:lang w:val="en-US" w:eastAsia="zh-CN"/>
              </w:rPr>
              <w:t>7</w:t>
            </w:r>
            <w:r>
              <w:rPr>
                <w:rFonts w:hint="eastAsia" w:ascii="宋体" w:hAnsi="宋体" w:cs="宋体"/>
                <w:color w:val="auto"/>
                <w:kern w:val="1"/>
                <w:szCs w:val="21"/>
                <w:highlight w:val="none"/>
              </w:rPr>
              <w:t>分】</w:t>
            </w:r>
          </w:p>
        </w:tc>
        <w:tc>
          <w:tcPr>
            <w:tcW w:w="6052" w:type="dxa"/>
            <w:tcBorders>
              <w:top w:val="single" w:color="000000" w:sz="6" w:space="0"/>
              <w:left w:val="single" w:color="auto" w:sz="4" w:space="0"/>
              <w:bottom w:val="single" w:color="000000" w:sz="6" w:space="0"/>
              <w:right w:val="single" w:color="000000" w:sz="4" w:space="0"/>
            </w:tcBorders>
            <w:vAlign w:val="center"/>
          </w:tcPr>
          <w:p w14:paraId="6D2B3A33">
            <w:pPr>
              <w:rPr>
                <w:rFonts w:ascii="宋体" w:hAnsi="宋体" w:cs="宋体"/>
                <w:color w:val="auto"/>
                <w:szCs w:val="21"/>
                <w:highlight w:val="none"/>
              </w:rPr>
            </w:pPr>
            <w:r>
              <w:rPr>
                <w:rFonts w:hint="eastAsia" w:ascii="宋体" w:hAnsi="宋体" w:cs="宋体"/>
                <w:color w:val="auto"/>
                <w:szCs w:val="21"/>
                <w:highlight w:val="none"/>
              </w:rPr>
              <w:t>【优】结合本项目特点，对项目关键技术、工艺有深入的表述，对重点、难点有先进、合理的建议，解决方案完整、经济切实可行，措施得力，得</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p>
          <w:p w14:paraId="2DEC8625">
            <w:pPr>
              <w:rPr>
                <w:rFonts w:ascii="宋体" w:hAnsi="宋体" w:cs="宋体"/>
                <w:color w:val="auto"/>
                <w:szCs w:val="21"/>
                <w:highlight w:val="none"/>
              </w:rPr>
            </w:pPr>
            <w:r>
              <w:rPr>
                <w:rFonts w:hint="eastAsia" w:ascii="宋体" w:hAnsi="宋体" w:cs="宋体"/>
                <w:color w:val="auto"/>
                <w:szCs w:val="21"/>
                <w:highlight w:val="none"/>
              </w:rPr>
              <w:t>【良】结合本项目特点，对项目关键技术、工艺表述较好，对重点、难点有先进、合理的建议，解决方案较完整、经济切实可行，措施较好，得</w:t>
            </w:r>
            <w:r>
              <w:rPr>
                <w:rFonts w:hint="eastAsia" w:ascii="宋体" w:hAnsi="宋体" w:cs="宋体"/>
                <w:color w:val="auto"/>
                <w:szCs w:val="21"/>
                <w:highlight w:val="none"/>
                <w:lang w:val="en-US" w:eastAsia="zh-CN"/>
              </w:rPr>
              <w:t>5.6</w:t>
            </w:r>
            <w:r>
              <w:rPr>
                <w:rFonts w:hint="eastAsia" w:ascii="宋体" w:hAnsi="宋体" w:cs="宋体"/>
                <w:color w:val="auto"/>
                <w:szCs w:val="21"/>
                <w:highlight w:val="none"/>
              </w:rPr>
              <w:t>分；</w:t>
            </w:r>
          </w:p>
          <w:p w14:paraId="13EE0DE1">
            <w:pPr>
              <w:rPr>
                <w:rFonts w:ascii="宋体" w:hAnsi="宋体" w:cs="宋体"/>
                <w:color w:val="auto"/>
                <w:szCs w:val="21"/>
                <w:highlight w:val="none"/>
              </w:rPr>
            </w:pPr>
            <w:r>
              <w:rPr>
                <w:rFonts w:hint="eastAsia" w:ascii="宋体" w:hAnsi="宋体" w:cs="宋体"/>
                <w:color w:val="auto"/>
                <w:szCs w:val="21"/>
                <w:highlight w:val="none"/>
              </w:rPr>
              <w:t>【中】结合本项目特点，对项目关键技术、工艺表述一般，对重点、难点有合理的建议，解决方案较完整、经济切实可行，措施一般，得</w:t>
            </w:r>
            <w:r>
              <w:rPr>
                <w:rFonts w:hint="eastAsia" w:ascii="宋体" w:hAnsi="宋体" w:cs="宋体"/>
                <w:color w:val="auto"/>
                <w:szCs w:val="21"/>
                <w:highlight w:val="none"/>
                <w:lang w:val="en-US" w:eastAsia="zh-CN"/>
              </w:rPr>
              <w:t>4.2</w:t>
            </w:r>
            <w:r>
              <w:rPr>
                <w:rFonts w:hint="eastAsia" w:ascii="宋体" w:hAnsi="宋体" w:cs="宋体"/>
                <w:color w:val="auto"/>
                <w:szCs w:val="21"/>
                <w:highlight w:val="none"/>
              </w:rPr>
              <w:t>分。</w:t>
            </w:r>
          </w:p>
          <w:p w14:paraId="61CC9306">
            <w:pPr>
              <w:rPr>
                <w:rFonts w:hint="eastAsia" w:ascii="宋体" w:hAnsi="宋体" w:cs="宋体"/>
                <w:color w:val="auto"/>
                <w:kern w:val="1"/>
                <w:szCs w:val="21"/>
                <w:highlight w:val="none"/>
              </w:rPr>
            </w:pPr>
            <w:r>
              <w:rPr>
                <w:rFonts w:hint="eastAsia" w:ascii="宋体" w:hAnsi="宋体" w:cs="宋体"/>
                <w:color w:val="auto"/>
                <w:szCs w:val="21"/>
                <w:highlight w:val="none"/>
              </w:rPr>
              <w:t>注：无此部分内容不得分。</w:t>
            </w:r>
          </w:p>
        </w:tc>
      </w:tr>
      <w:tr w14:paraId="0805C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840" w:type="dxa"/>
            <w:gridSpan w:val="2"/>
            <w:vMerge w:val="continue"/>
            <w:tcBorders>
              <w:top w:val="single" w:color="auto" w:sz="4" w:space="0"/>
              <w:left w:val="single" w:color="auto" w:sz="4" w:space="0"/>
              <w:bottom w:val="single" w:color="auto" w:sz="4" w:space="0"/>
              <w:right w:val="single" w:color="000000" w:sz="6" w:space="0"/>
            </w:tcBorders>
            <w:vAlign w:val="center"/>
          </w:tcPr>
          <w:p w14:paraId="10606AB0">
            <w:pPr>
              <w:spacing w:line="276" w:lineRule="auto"/>
              <w:jc w:val="center"/>
              <w:rPr>
                <w:rFonts w:hint="eastAsia" w:ascii="宋体" w:hAnsi="宋体" w:cs="宋体"/>
                <w:color w:val="auto"/>
                <w:kern w:val="1"/>
                <w:szCs w:val="21"/>
                <w:highlight w:val="none"/>
              </w:rPr>
            </w:pPr>
          </w:p>
        </w:tc>
        <w:tc>
          <w:tcPr>
            <w:tcW w:w="670" w:type="dxa"/>
            <w:vMerge w:val="continue"/>
            <w:tcBorders>
              <w:top w:val="single" w:color="auto" w:sz="4" w:space="0"/>
              <w:left w:val="single" w:color="000000" w:sz="4" w:space="0"/>
              <w:bottom w:val="single" w:color="auto" w:sz="4" w:space="0"/>
              <w:right w:val="single" w:color="auto" w:sz="4" w:space="0"/>
            </w:tcBorders>
            <w:vAlign w:val="center"/>
          </w:tcPr>
          <w:p w14:paraId="5DE9981C">
            <w:pPr>
              <w:spacing w:line="276" w:lineRule="auto"/>
              <w:jc w:val="center"/>
              <w:rPr>
                <w:rFonts w:hint="eastAsia" w:ascii="宋体" w:hAnsi="宋体" w:cs="宋体"/>
                <w:color w:val="auto"/>
                <w:kern w:val="1"/>
                <w:szCs w:val="21"/>
                <w:highlight w:val="none"/>
              </w:rPr>
            </w:pPr>
          </w:p>
        </w:tc>
        <w:tc>
          <w:tcPr>
            <w:tcW w:w="891" w:type="dxa"/>
            <w:vMerge w:val="continue"/>
            <w:tcBorders>
              <w:top w:val="single" w:color="auto" w:sz="4" w:space="0"/>
              <w:left w:val="single" w:color="auto" w:sz="4" w:space="0"/>
              <w:bottom w:val="single" w:color="auto" w:sz="4" w:space="0"/>
              <w:right w:val="single" w:color="auto" w:sz="4" w:space="0"/>
            </w:tcBorders>
            <w:vAlign w:val="center"/>
          </w:tcPr>
          <w:p w14:paraId="657D5086">
            <w:pPr>
              <w:spacing w:line="276" w:lineRule="auto"/>
              <w:jc w:val="center"/>
              <w:rPr>
                <w:rFonts w:hint="eastAsia" w:ascii="宋体" w:hAnsi="宋体" w:cs="宋体"/>
                <w:color w:val="auto"/>
                <w:kern w:val="1"/>
                <w:szCs w:val="21"/>
                <w:highlight w:val="none"/>
              </w:rPr>
            </w:pPr>
          </w:p>
        </w:tc>
        <w:tc>
          <w:tcPr>
            <w:tcW w:w="1499" w:type="dxa"/>
            <w:tcBorders>
              <w:top w:val="single" w:color="auto" w:sz="4" w:space="0"/>
              <w:left w:val="single" w:color="auto" w:sz="4" w:space="0"/>
              <w:bottom w:val="single" w:color="auto" w:sz="4" w:space="0"/>
              <w:right w:val="single" w:color="auto" w:sz="4" w:space="0"/>
            </w:tcBorders>
            <w:vAlign w:val="center"/>
          </w:tcPr>
          <w:p w14:paraId="3D913DF8">
            <w:pPr>
              <w:rPr>
                <w:rFonts w:hint="eastAsia" w:ascii="宋体" w:hAnsi="宋体" w:cs="宋体"/>
                <w:color w:val="auto"/>
                <w:kern w:val="1"/>
                <w:szCs w:val="21"/>
                <w:highlight w:val="none"/>
              </w:rPr>
            </w:pPr>
            <w:r>
              <w:rPr>
                <w:rFonts w:hint="eastAsia" w:ascii="宋体" w:hAnsi="宋体" w:eastAsia="宋体" w:cs="宋体"/>
                <w:color w:val="auto"/>
                <w:szCs w:val="21"/>
                <w:highlight w:val="none"/>
              </w:rPr>
              <w:t>劳动力和机械设备投入计划及保证措施</w:t>
            </w:r>
            <w:r>
              <w:rPr>
                <w:rFonts w:hint="eastAsia" w:ascii="宋体" w:hAnsi="宋体" w:cs="宋体"/>
                <w:color w:val="auto"/>
                <w:kern w:val="1"/>
                <w:szCs w:val="21"/>
                <w:highlight w:val="none"/>
              </w:rPr>
              <w:t>【</w:t>
            </w:r>
            <w:r>
              <w:rPr>
                <w:rFonts w:hint="eastAsia" w:ascii="宋体" w:hAnsi="宋体" w:cs="宋体"/>
                <w:color w:val="auto"/>
                <w:kern w:val="1"/>
                <w:szCs w:val="21"/>
                <w:highlight w:val="none"/>
                <w:lang w:val="en-US" w:eastAsia="zh-CN"/>
              </w:rPr>
              <w:t>7</w:t>
            </w:r>
            <w:r>
              <w:rPr>
                <w:rFonts w:hint="eastAsia" w:ascii="宋体" w:hAnsi="宋体" w:cs="宋体"/>
                <w:color w:val="auto"/>
                <w:kern w:val="1"/>
                <w:szCs w:val="21"/>
                <w:highlight w:val="none"/>
              </w:rPr>
              <w:t>分】</w:t>
            </w:r>
          </w:p>
        </w:tc>
        <w:tc>
          <w:tcPr>
            <w:tcW w:w="6052" w:type="dxa"/>
            <w:tcBorders>
              <w:top w:val="single" w:color="000000" w:sz="6" w:space="0"/>
              <w:left w:val="single" w:color="auto" w:sz="4" w:space="0"/>
              <w:bottom w:val="single" w:color="000000" w:sz="6" w:space="0"/>
              <w:right w:val="single" w:color="000000" w:sz="4" w:space="0"/>
            </w:tcBorders>
            <w:vAlign w:val="center"/>
          </w:tcPr>
          <w:p w14:paraId="363F1B8F">
            <w:pPr>
              <w:rPr>
                <w:rFonts w:hint="eastAsia" w:ascii="宋体" w:hAnsi="宋体" w:cs="宋体"/>
                <w:color w:val="auto"/>
                <w:szCs w:val="21"/>
                <w:highlight w:val="none"/>
              </w:rPr>
            </w:pPr>
            <w:r>
              <w:rPr>
                <w:rFonts w:hint="eastAsia" w:ascii="宋体" w:hAnsi="宋体" w:cs="宋体"/>
                <w:color w:val="auto"/>
                <w:szCs w:val="21"/>
                <w:highlight w:val="none"/>
              </w:rPr>
              <w:t>【优】有劳动力和机械设备投入计划及保证措施，根据本工程的特点编制机械设备投入计划，确保满足施工要求，投入保证措施完整、切实可行，措施得力，得7分；</w:t>
            </w:r>
          </w:p>
          <w:p w14:paraId="3A0C702F">
            <w:pPr>
              <w:rPr>
                <w:rFonts w:hint="eastAsia" w:ascii="宋体" w:hAnsi="宋体" w:cs="宋体"/>
                <w:color w:val="auto"/>
                <w:szCs w:val="21"/>
                <w:highlight w:val="none"/>
              </w:rPr>
            </w:pPr>
            <w:r>
              <w:rPr>
                <w:rFonts w:hint="eastAsia" w:ascii="宋体" w:hAnsi="宋体" w:cs="宋体"/>
                <w:color w:val="auto"/>
                <w:szCs w:val="21"/>
                <w:highlight w:val="none"/>
              </w:rPr>
              <w:t>【良】有劳动力和机械设备投入计划及保证措施，根据本工程的特点编制机械设备投入计划，满足施工要求，投入保证措施较完整、可行，措施较好，得5.6分；</w:t>
            </w:r>
          </w:p>
          <w:p w14:paraId="3D61AEC1">
            <w:pPr>
              <w:rPr>
                <w:rFonts w:hint="eastAsia" w:ascii="宋体" w:hAnsi="宋体" w:cs="宋体"/>
                <w:color w:val="auto"/>
                <w:szCs w:val="21"/>
                <w:highlight w:val="none"/>
              </w:rPr>
            </w:pPr>
            <w:r>
              <w:rPr>
                <w:rFonts w:hint="eastAsia" w:ascii="宋体" w:hAnsi="宋体" w:cs="宋体"/>
                <w:color w:val="auto"/>
                <w:szCs w:val="21"/>
                <w:highlight w:val="none"/>
              </w:rPr>
              <w:t>【中】有劳动力和机械设备投入计划及保证措施，根据本工程的特点编制机械设备投入计划，基本满足施工要求，投入保证措施较完整、可行，措施一般，得4.2分。</w:t>
            </w:r>
          </w:p>
          <w:p w14:paraId="39BB8687">
            <w:pPr>
              <w:rPr>
                <w:rFonts w:hint="eastAsia" w:ascii="宋体" w:hAnsi="宋体" w:cs="宋体"/>
                <w:color w:val="auto"/>
                <w:kern w:val="1"/>
                <w:szCs w:val="21"/>
                <w:highlight w:val="none"/>
              </w:rPr>
            </w:pPr>
            <w:r>
              <w:rPr>
                <w:rFonts w:hint="eastAsia" w:ascii="宋体" w:hAnsi="宋体" w:cs="宋体"/>
                <w:color w:val="auto"/>
                <w:szCs w:val="21"/>
                <w:highlight w:val="none"/>
              </w:rPr>
              <w:t>注：无此部分内容不得分。</w:t>
            </w:r>
          </w:p>
        </w:tc>
      </w:tr>
      <w:tr w14:paraId="7B67B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40" w:type="dxa"/>
            <w:gridSpan w:val="2"/>
            <w:tcBorders>
              <w:top w:val="single" w:color="auto" w:sz="4" w:space="0"/>
              <w:left w:val="single" w:color="000000" w:sz="4" w:space="0"/>
              <w:bottom w:val="single" w:color="000000" w:sz="6" w:space="0"/>
              <w:right w:val="single" w:color="000000" w:sz="6" w:space="0"/>
            </w:tcBorders>
            <w:vAlign w:val="center"/>
          </w:tcPr>
          <w:p w14:paraId="60697668">
            <w:pPr>
              <w:spacing w:line="276"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2.2.4（3）</w:t>
            </w:r>
          </w:p>
        </w:tc>
        <w:tc>
          <w:tcPr>
            <w:tcW w:w="1561" w:type="dxa"/>
            <w:gridSpan w:val="2"/>
            <w:tcBorders>
              <w:top w:val="single" w:color="auto" w:sz="4" w:space="0"/>
              <w:left w:val="single" w:color="000000" w:sz="4" w:space="0"/>
              <w:bottom w:val="single" w:color="000000" w:sz="6" w:space="0"/>
              <w:right w:val="single" w:color="000000" w:sz="4" w:space="0"/>
            </w:tcBorders>
            <w:vAlign w:val="center"/>
          </w:tcPr>
          <w:p w14:paraId="48F05CAE">
            <w:pPr>
              <w:spacing w:line="276" w:lineRule="auto"/>
              <w:jc w:val="left"/>
              <w:rPr>
                <w:rFonts w:hint="eastAsia" w:ascii="宋体" w:hAnsi="宋体" w:cs="宋体"/>
                <w:color w:val="auto"/>
                <w:kern w:val="1"/>
                <w:szCs w:val="21"/>
                <w:highlight w:val="none"/>
              </w:rPr>
            </w:pPr>
            <w:r>
              <w:rPr>
                <w:rFonts w:hint="eastAsia" w:ascii="宋体" w:hAnsi="宋体" w:cs="宋体"/>
                <w:color w:val="auto"/>
                <w:kern w:val="1"/>
                <w:szCs w:val="21"/>
                <w:highlight w:val="none"/>
              </w:rPr>
              <w:t>投标报价评分标准（100分）</w:t>
            </w:r>
          </w:p>
        </w:tc>
        <w:tc>
          <w:tcPr>
            <w:tcW w:w="1499" w:type="dxa"/>
            <w:tcBorders>
              <w:top w:val="single" w:color="000000" w:sz="6" w:space="0"/>
              <w:left w:val="single" w:color="000000" w:sz="4" w:space="0"/>
              <w:bottom w:val="single" w:color="000000" w:sz="6" w:space="0"/>
              <w:right w:val="single" w:color="000000" w:sz="4" w:space="0"/>
            </w:tcBorders>
            <w:vAlign w:val="center"/>
          </w:tcPr>
          <w:p w14:paraId="48206470">
            <w:pPr>
              <w:spacing w:line="276"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投标报价</w:t>
            </w:r>
          </w:p>
          <w:p w14:paraId="1DBA05BD">
            <w:pPr>
              <w:spacing w:line="276"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（100分）</w:t>
            </w:r>
          </w:p>
        </w:tc>
        <w:tc>
          <w:tcPr>
            <w:tcW w:w="6052" w:type="dxa"/>
            <w:tcBorders>
              <w:top w:val="single" w:color="000000" w:sz="6" w:space="0"/>
              <w:left w:val="single" w:color="000000" w:sz="4" w:space="0"/>
              <w:bottom w:val="single" w:color="000000" w:sz="6" w:space="0"/>
              <w:right w:val="single" w:color="000000" w:sz="4" w:space="0"/>
            </w:tcBorders>
            <w:vAlign w:val="center"/>
          </w:tcPr>
          <w:p w14:paraId="047AF077">
            <w:pPr>
              <w:spacing w:line="276" w:lineRule="auto"/>
              <w:rPr>
                <w:rFonts w:hint="eastAsia" w:ascii="宋体" w:hAnsi="宋体" w:cs="宋体"/>
                <w:color w:val="auto"/>
                <w:kern w:val="1"/>
                <w:szCs w:val="21"/>
                <w:highlight w:val="none"/>
              </w:rPr>
            </w:pPr>
            <w:r>
              <w:rPr>
                <w:rFonts w:hint="eastAsia" w:ascii="宋体" w:hAnsi="宋体" w:cs="宋体"/>
                <w:color w:val="auto"/>
                <w:kern w:val="1"/>
                <w:szCs w:val="21"/>
                <w:highlight w:val="none"/>
              </w:rPr>
              <w:t>当投标总报价等于评标基准价时得100分，投标总报价每高于评标基准价1%，扣0.2分，每低于评标基准价1%，扣0.1分，得出投标报价得分，最多扣100分，精确到小数点后两位，第三位小数四舍五入。</w:t>
            </w:r>
          </w:p>
        </w:tc>
      </w:tr>
    </w:tbl>
    <w:p w14:paraId="7F90C21D">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备注：</w:t>
      </w:r>
    </w:p>
    <w:p w14:paraId="17A90E3E">
      <w:pPr>
        <w:spacing w:line="240" w:lineRule="auto"/>
        <w:rPr>
          <w:rFonts w:ascii="宋体" w:hAnsi="宋体"/>
          <w:color w:val="auto"/>
          <w:szCs w:val="21"/>
          <w:highlight w:val="none"/>
        </w:rPr>
      </w:pPr>
      <w:r>
        <w:rPr>
          <w:rFonts w:hint="eastAsia" w:ascii="宋体" w:hAnsi="宋体"/>
          <w:b/>
          <w:color w:val="auto"/>
          <w:szCs w:val="21"/>
          <w:highlight w:val="none"/>
        </w:rPr>
        <w:t>1、企业类似业绩：</w:t>
      </w:r>
    </w:p>
    <w:p w14:paraId="320FAB92">
      <w:pPr>
        <w:spacing w:line="240" w:lineRule="auto"/>
        <w:rPr>
          <w:rFonts w:ascii="宋体" w:hAnsi="宋体" w:cs="宋体"/>
          <w:color w:val="auto"/>
          <w:szCs w:val="21"/>
          <w:highlight w:val="none"/>
        </w:rPr>
      </w:pPr>
      <w:r>
        <w:rPr>
          <w:rFonts w:hint="eastAsia" w:ascii="宋体" w:hAnsi="宋体"/>
          <w:color w:val="auto"/>
          <w:szCs w:val="21"/>
          <w:highlight w:val="none"/>
        </w:rPr>
        <w:t>1.1施工业绩：</w:t>
      </w:r>
      <w:r>
        <w:rPr>
          <w:rFonts w:hint="eastAsia" w:ascii="宋体" w:hAnsi="宋体" w:eastAsia="宋体" w:cs="宋体"/>
          <w:color w:val="auto"/>
          <w:sz w:val="21"/>
          <w:szCs w:val="21"/>
          <w:highlight w:val="none"/>
        </w:rPr>
        <w:t>投标人（若为联合体，指联合体主办方）的类似工程施工业绩是指单项工程中标金额大于或等于</w:t>
      </w:r>
      <w:r>
        <w:rPr>
          <w:rFonts w:hint="eastAsia" w:ascii="宋体" w:hAnsi="宋体" w:eastAsia="宋体" w:cs="宋体"/>
          <w:color w:val="auto"/>
          <w:sz w:val="21"/>
          <w:szCs w:val="21"/>
          <w:highlight w:val="none"/>
          <w:lang w:val="en-US" w:eastAsia="zh-CN"/>
        </w:rPr>
        <w:t>5600</w:t>
      </w:r>
      <w:r>
        <w:rPr>
          <w:rFonts w:hint="eastAsia" w:ascii="宋体" w:hAnsi="宋体" w:eastAsia="宋体" w:cs="宋体"/>
          <w:color w:val="auto"/>
          <w:sz w:val="21"/>
          <w:szCs w:val="21"/>
          <w:highlight w:val="none"/>
        </w:rPr>
        <w:t>万元的</w:t>
      </w:r>
      <w:r>
        <w:rPr>
          <w:rFonts w:hint="eastAsia"/>
          <w:color w:val="auto"/>
          <w:sz w:val="21"/>
          <w:szCs w:val="21"/>
          <w:highlight w:val="none"/>
          <w:lang w:val="en-US" w:eastAsia="zh-CN"/>
        </w:rPr>
        <w:t>市政公用工程</w:t>
      </w:r>
      <w:r>
        <w:rPr>
          <w:rFonts w:hint="eastAsia" w:ascii="宋体" w:hAnsi="宋体" w:eastAsia="宋体" w:cs="宋体"/>
          <w:color w:val="auto"/>
          <w:sz w:val="21"/>
          <w:szCs w:val="21"/>
          <w:highlight w:val="none"/>
        </w:rPr>
        <w:t>施工业绩（包括施工总承包业绩、工程总承包或勘察设计施工总承包或设计施工总承包或设计采购施工总承包或勘察设计采购施工总承包等项目中的施工部分业绩），需提供中标通知书（如为免招标项目无须提供中标通知书，但须提供相应的免招标证明文件）、合同文件（不含补充合同）、竣工验收文件的扫描件，中标金额以中标通知书为准，中标通知书上没有金额或免招标的，以合同文件（不含补充合同）为准。完成时间以竣工验收文件为准。验收文件至少具有建设单位、设计、施工和监理单位盖章。</w:t>
      </w:r>
    </w:p>
    <w:p w14:paraId="631EFBC5">
      <w:pPr>
        <w:spacing w:line="240" w:lineRule="auto"/>
        <w:rPr>
          <w:rFonts w:ascii="宋体" w:hAnsi="宋体"/>
          <w:color w:val="auto"/>
          <w:szCs w:val="21"/>
          <w:highlight w:val="none"/>
        </w:rPr>
      </w:pPr>
      <w:r>
        <w:rPr>
          <w:rFonts w:hint="eastAsia" w:ascii="宋体" w:hAnsi="宋体"/>
          <w:color w:val="auto"/>
          <w:szCs w:val="21"/>
          <w:highlight w:val="none"/>
        </w:rPr>
        <w:t>1.2设计业绩：</w:t>
      </w:r>
      <w:r>
        <w:rPr>
          <w:rFonts w:hint="eastAsia" w:ascii="宋体" w:hAnsi="宋体" w:eastAsia="宋体" w:cs="宋体"/>
          <w:color w:val="auto"/>
          <w:sz w:val="21"/>
          <w:szCs w:val="21"/>
          <w:highlight w:val="none"/>
        </w:rPr>
        <w:t>投标人（若为联合体，指联合体承担设计任务的单位）的类似工程设计业绩是指达到招标公告所述设计资质方能承接的建安工程费金额大于或等于</w:t>
      </w:r>
      <w:r>
        <w:rPr>
          <w:rFonts w:hint="eastAsia" w:ascii="宋体" w:hAnsi="宋体" w:eastAsia="宋体" w:cs="宋体"/>
          <w:color w:val="auto"/>
          <w:sz w:val="21"/>
          <w:szCs w:val="21"/>
          <w:highlight w:val="none"/>
          <w:lang w:val="en-US" w:eastAsia="zh-CN"/>
        </w:rPr>
        <w:t>5600</w:t>
      </w:r>
      <w:r>
        <w:rPr>
          <w:rFonts w:hint="eastAsia" w:ascii="宋体" w:hAnsi="宋体" w:eastAsia="宋体" w:cs="宋体"/>
          <w:color w:val="auto"/>
          <w:sz w:val="21"/>
          <w:szCs w:val="21"/>
          <w:highlight w:val="none"/>
        </w:rPr>
        <w:t>万元的</w:t>
      </w:r>
      <w:r>
        <w:rPr>
          <w:rFonts w:hint="eastAsia"/>
          <w:color w:val="auto"/>
          <w:sz w:val="21"/>
          <w:szCs w:val="21"/>
          <w:highlight w:val="none"/>
          <w:lang w:val="en-US" w:eastAsia="zh-CN"/>
        </w:rPr>
        <w:t>市政公用工程</w:t>
      </w:r>
      <w:r>
        <w:rPr>
          <w:rFonts w:hint="eastAsia" w:ascii="宋体" w:hAnsi="宋体" w:eastAsia="宋体" w:cs="宋体"/>
          <w:color w:val="auto"/>
          <w:sz w:val="21"/>
          <w:szCs w:val="21"/>
          <w:highlight w:val="none"/>
        </w:rPr>
        <w:t>设计业绩（包括工程总承包或勘察设计施工总承包或设计施工总承包或设计采购施工总承包或勘察设计采购施工总承包等项目中的</w:t>
      </w:r>
      <w:r>
        <w:rPr>
          <w:rFonts w:hint="eastAsia" w:ascii="宋体" w:hAnsi="宋体" w:cs="宋体"/>
          <w:color w:val="auto"/>
          <w:sz w:val="21"/>
          <w:szCs w:val="21"/>
          <w:highlight w:val="none"/>
          <w:lang w:val="en-US" w:eastAsia="zh-CN"/>
        </w:rPr>
        <w:t>设计</w:t>
      </w:r>
      <w:r>
        <w:rPr>
          <w:rFonts w:hint="eastAsia" w:ascii="宋体" w:hAnsi="宋体" w:eastAsia="宋体" w:cs="宋体"/>
          <w:color w:val="auto"/>
          <w:sz w:val="21"/>
          <w:szCs w:val="21"/>
          <w:highlight w:val="none"/>
        </w:rPr>
        <w:t>部分业绩），须同时提供合同关键页、中标通知书（或项目审批部门出具的免招标证明文件）、施工图审查合格证明文件扫描件。业绩时间以合同签订时间为准，业绩金额以合同或施工图审查合格证明文件显示金额为准。</w:t>
      </w:r>
    </w:p>
    <w:p w14:paraId="1B4BC3C5">
      <w:pPr>
        <w:spacing w:line="240" w:lineRule="auto"/>
        <w:rPr>
          <w:rFonts w:ascii="宋体" w:hAnsi="宋体" w:cs="宋体"/>
          <w:color w:val="auto"/>
          <w:szCs w:val="21"/>
          <w:highlight w:val="none"/>
        </w:rPr>
      </w:pPr>
      <w:r>
        <w:rPr>
          <w:rFonts w:hint="eastAsia" w:ascii="宋体" w:hAnsi="宋体" w:cs="宋体"/>
          <w:bCs/>
          <w:color w:val="auto"/>
          <w:szCs w:val="21"/>
          <w:highlight w:val="none"/>
        </w:rPr>
        <w:t>1.3工</w:t>
      </w:r>
      <w:r>
        <w:rPr>
          <w:rFonts w:hint="eastAsia" w:ascii="宋体" w:hAnsi="宋体" w:cs="宋体"/>
          <w:color w:val="auto"/>
          <w:szCs w:val="21"/>
          <w:highlight w:val="none"/>
        </w:rPr>
        <w:t>程总承包业绩使用规则：</w:t>
      </w:r>
      <w:r>
        <w:rPr>
          <w:rFonts w:hint="eastAsia" w:ascii="宋体" w:hAnsi="宋体" w:eastAsia="宋体" w:cs="宋体"/>
          <w:color w:val="auto"/>
          <w:sz w:val="21"/>
          <w:szCs w:val="21"/>
          <w:highlight w:val="none"/>
        </w:rPr>
        <w:t>若由设计单位和施工单位组成联合体的工程总承包单位牵头方（主办方）同时具有施工资质和设计资质的，工程总承包业绩既可当作设计业绩也可当作施工业绩使用，非牵头方（主办方）的工程总承包的业绩按联合体协议中分工所承担的工作进行认定</w:t>
      </w:r>
      <w:r>
        <w:rPr>
          <w:rFonts w:hint="eastAsia" w:ascii="宋体" w:hAnsi="宋体" w:eastAsia="宋体" w:cs="宋体"/>
          <w:color w:val="auto"/>
          <w:sz w:val="21"/>
          <w:szCs w:val="21"/>
          <w:highlight w:val="none"/>
          <w:u w:val="none"/>
        </w:rPr>
        <w:t>。</w:t>
      </w:r>
    </w:p>
    <w:p w14:paraId="74569AFC">
      <w:pPr>
        <w:spacing w:line="240" w:lineRule="auto"/>
        <w:rPr>
          <w:rFonts w:ascii="宋体" w:hAnsi="宋体" w:cs="宋体"/>
          <w:color w:val="auto"/>
          <w:szCs w:val="21"/>
          <w:highlight w:val="none"/>
        </w:rPr>
      </w:pPr>
      <w:r>
        <w:rPr>
          <w:rFonts w:hint="eastAsia" w:ascii="宋体" w:hAnsi="宋体" w:cs="宋体"/>
          <w:color w:val="auto"/>
          <w:szCs w:val="21"/>
          <w:highlight w:val="none"/>
        </w:rPr>
        <w:t>1.4如以上资料不能证明业绩规模或技术指标的，须另提供业主盖章的业绩证明或可证明业绩规模或技术指标的其他资料扫描件。</w:t>
      </w:r>
    </w:p>
    <w:p w14:paraId="7D4E16F2">
      <w:pPr>
        <w:spacing w:line="240" w:lineRule="auto"/>
        <w:rPr>
          <w:rFonts w:ascii="宋体" w:hAnsi="宋体"/>
          <w:b/>
          <w:color w:val="auto"/>
          <w:szCs w:val="21"/>
          <w:highlight w:val="none"/>
        </w:rPr>
      </w:pPr>
      <w:r>
        <w:rPr>
          <w:rFonts w:hint="eastAsia" w:ascii="宋体" w:hAnsi="宋体"/>
          <w:b/>
          <w:bCs w:val="0"/>
          <w:color w:val="auto"/>
          <w:szCs w:val="21"/>
          <w:highlight w:val="none"/>
        </w:rPr>
        <w:t>2、</w:t>
      </w:r>
      <w:r>
        <w:rPr>
          <w:rFonts w:hint="eastAsia" w:ascii="宋体" w:hAnsi="宋体" w:cs="宋体"/>
          <w:b/>
          <w:bCs w:val="0"/>
          <w:color w:val="auto"/>
          <w:szCs w:val="21"/>
          <w:highlight w:val="none"/>
          <w:lang w:val="zh-CN"/>
        </w:rPr>
        <w:t>企业</w:t>
      </w:r>
      <w:r>
        <w:rPr>
          <w:rFonts w:hint="eastAsia" w:ascii="宋体" w:hAnsi="宋体" w:cs="宋体"/>
          <w:b/>
          <w:bCs w:val="0"/>
          <w:color w:val="auto"/>
          <w:szCs w:val="21"/>
          <w:highlight w:val="none"/>
        </w:rPr>
        <w:t>业绩</w:t>
      </w:r>
      <w:r>
        <w:rPr>
          <w:rFonts w:hint="eastAsia" w:ascii="宋体" w:hAnsi="宋体" w:cs="宋体"/>
          <w:b/>
          <w:bCs w:val="0"/>
          <w:color w:val="auto"/>
          <w:szCs w:val="21"/>
          <w:highlight w:val="none"/>
          <w:lang w:val="zh-CN"/>
        </w:rPr>
        <w:t>获奖</w:t>
      </w:r>
    </w:p>
    <w:p w14:paraId="1A50DD02">
      <w:pPr>
        <w:spacing w:line="240" w:lineRule="auto"/>
        <w:rPr>
          <w:rFonts w:ascii="宋体" w:hAnsi="宋体" w:cs="宋体"/>
          <w:bCs/>
          <w:color w:val="auto"/>
          <w:szCs w:val="21"/>
          <w:highlight w:val="none"/>
        </w:rPr>
      </w:pPr>
      <w:r>
        <w:rPr>
          <w:rFonts w:hint="eastAsia" w:ascii="宋体" w:hAnsi="宋体" w:cs="宋体"/>
          <w:bCs/>
          <w:color w:val="auto"/>
          <w:szCs w:val="21"/>
          <w:highlight w:val="none"/>
        </w:rPr>
        <w:t>2.1投标人（若为联合体，指联合体主办方）业绩获奖：国家级工程质量奖项为中国建设工程鲁班奖或国家优质工程金质奖或国家优质工程奖或中国土木工程詹天佑奖。省级或市级工程质量奖项为省级或市级行政主管部门或行业协会颁发的工程质量奖项。如颁发单位为行业协会的，还须提供该协会在“全国社会组织信用信息公示平台（试运行）”己登记备案的查询信息截图页（网址：https://xxgs.chinanpo.mca.gov.cn/gsxt/newList）。只计算</w:t>
      </w:r>
      <w:r>
        <w:rPr>
          <w:rFonts w:hint="eastAsia"/>
          <w:color w:val="auto"/>
          <w:sz w:val="21"/>
          <w:szCs w:val="21"/>
          <w:highlight w:val="none"/>
          <w:lang w:val="en-US" w:eastAsia="zh-CN"/>
        </w:rPr>
        <w:t>市政公用工程</w:t>
      </w:r>
      <w:r>
        <w:rPr>
          <w:rFonts w:hint="eastAsia" w:ascii="宋体" w:hAnsi="宋体" w:cs="宋体"/>
          <w:bCs/>
          <w:color w:val="auto"/>
          <w:szCs w:val="21"/>
          <w:highlight w:val="none"/>
        </w:rPr>
        <w:t>获奖得分，市政公用工程包括给水工程、排水工程、燃气工程、热力工程、城市道路工程、城市桥梁工程、城市隧道工程（指城市规划区内的穿山过江隧道、地铁隧道、地下交通工程、地下过街通道）、公共交通工程、轨道交通工程、环境卫生工程、照明工程、绿化工程。其他非市政公用工程项目，如：房建、铁路、化工、冶金等获奖不参与计分。同一项目按最高级别获奖计分，如获得同级别的不同奖项只计分一次。需提供证书扫描件（未颁发证书的，需提供相关奖项颁发协会网站名单截图。颁发单位为行业协会的，应同时提供该协会已登记备案的查询信息截图页）作为证明依据，时间以获奖证书发证日期或网站公示时间为准。</w:t>
      </w:r>
    </w:p>
    <w:p w14:paraId="1B5BFE96">
      <w:pPr>
        <w:spacing w:line="240" w:lineRule="auto"/>
        <w:rPr>
          <w:rFonts w:hint="eastAsia" w:ascii="宋体" w:hAnsi="宋体" w:eastAsia="宋体" w:cs="Times New Roman"/>
          <w:bCs w:val="0"/>
          <w:color w:val="auto"/>
          <w:szCs w:val="21"/>
          <w:highlight w:val="none"/>
        </w:rPr>
      </w:pPr>
      <w:r>
        <w:rPr>
          <w:rFonts w:hint="eastAsia" w:ascii="宋体" w:hAnsi="宋体" w:cs="宋体"/>
          <w:bCs/>
          <w:color w:val="auto"/>
          <w:szCs w:val="21"/>
          <w:highlight w:val="none"/>
        </w:rPr>
        <w:t>2.2投标人（若为联合体，指联合体承担设计任务的单位）业绩获奖：是指由住建部颁发的全国优秀工程勘察设计奖、中国勘察设计协会颁发的全国优秀工程勘察设计行业奖、省级行政主管部门或工程勘察设计行业协会颁发的省级优秀勘察设计奖，市级（含副省级）行政主管部门或行业协会颁发的市级优秀勘察设计奖；由国务院颁发的国家科学技术奖、住建部的华夏建设科学技术奖励委员会颁发的华夏建设科学技术奖、省级人民政府颁发的省科学技术奖，投标人应提供获奖证书清晰扫描件，获奖认定时间以获奖证书上注明的颁奖时间为准。如颁发单位为行业协会的，还须提供该协会在“全国社会组织信用信息公示平台（试运</w:t>
      </w:r>
      <w:r>
        <w:rPr>
          <w:rFonts w:hint="eastAsia" w:ascii="宋体" w:hAnsi="宋体" w:eastAsia="宋体" w:cs="Times New Roman"/>
          <w:bCs w:val="0"/>
          <w:color w:val="auto"/>
          <w:szCs w:val="21"/>
          <w:highlight w:val="none"/>
        </w:rPr>
        <w:t>行）”己登记备案的查询信息截图页（网址：https://xxgs.chinanpo.mca.gov.cn/gsxt/newList）。同一项目获奖按项目最高获奖只计算一次得分。</w:t>
      </w:r>
    </w:p>
    <w:p w14:paraId="565CB26D">
      <w:pPr>
        <w:spacing w:line="240" w:lineRule="auto"/>
        <w:rPr>
          <w:rFonts w:hint="eastAsia" w:ascii="宋体" w:hAnsi="宋体" w:eastAsia="宋体" w:cs="Times New Roman"/>
          <w:color w:val="auto"/>
          <w:sz w:val="21"/>
          <w:szCs w:val="21"/>
          <w:highlight w:val="none"/>
        </w:rPr>
      </w:pPr>
      <w:r>
        <w:rPr>
          <w:rFonts w:hint="eastAsia" w:ascii="宋体" w:hAnsi="宋体" w:eastAsia="宋体" w:cs="Times New Roman"/>
          <w:b/>
          <w:bCs/>
          <w:color w:val="auto"/>
          <w:szCs w:val="21"/>
          <w:highlight w:val="none"/>
        </w:rPr>
        <w:t>3、工程研发能力：</w:t>
      </w:r>
      <w:r>
        <w:rPr>
          <w:rFonts w:hint="eastAsia" w:ascii="宋体" w:hAnsi="宋体" w:eastAsia="宋体" w:cs="Times New Roman"/>
          <w:color w:val="auto"/>
          <w:szCs w:val="21"/>
          <w:highlight w:val="none"/>
        </w:rPr>
        <w:t>须提供国家政府部门或协会颁发的证书或文件或官网公告截图扫描件。时间以证书或文件或公告截图中载明的时间为准。同一工法按最高级别只计算一次分数，不重复计算。如发证单位为协会的，还须提供该协会在中国社会组织政务服务平台（网址：https://chinanpo.mca.gov.cn/）登记备案的网页查询截图。不符合条件或无提供相关证明材料不得分。</w:t>
      </w:r>
    </w:p>
    <w:p w14:paraId="0BB66A31">
      <w:pPr>
        <w:spacing w:line="360" w:lineRule="auto"/>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社会第三方信用评价</w:t>
      </w:r>
      <w:r>
        <w:rPr>
          <w:rFonts w:hint="eastAsia" w:ascii="宋体" w:hAnsi="宋体" w:cs="宋体"/>
          <w:b/>
          <w:bCs/>
          <w:color w:val="auto"/>
          <w:szCs w:val="21"/>
          <w:highlight w:val="none"/>
          <w:lang w:eastAsia="zh-CN"/>
        </w:rPr>
        <w:t>：</w:t>
      </w:r>
    </w:p>
    <w:p w14:paraId="41CD0F0C">
      <w:pPr>
        <w:spacing w:line="360" w:lineRule="auto"/>
        <w:rPr>
          <w:rFonts w:ascii="宋体" w:hAnsi="宋体" w:eastAsia="宋体" w:cs="宋体"/>
          <w:color w:val="auto"/>
          <w:szCs w:val="21"/>
          <w:highlight w:val="none"/>
        </w:rPr>
      </w:pPr>
      <w:r>
        <w:rPr>
          <w:rFonts w:hint="eastAsia" w:ascii="宋体" w:hAnsi="宋体" w:cs="宋体"/>
          <w:b/>
          <w:bCs/>
          <w:color w:val="auto"/>
          <w:szCs w:val="21"/>
          <w:highlight w:val="none"/>
          <w:lang w:val="en-US" w:eastAsia="zh-CN"/>
        </w:rPr>
        <w:t>4.1</w:t>
      </w:r>
      <w:r>
        <w:rPr>
          <w:rFonts w:hint="eastAsia" w:ascii="宋体" w:hAnsi="宋体" w:cs="宋体"/>
          <w:color w:val="auto"/>
          <w:szCs w:val="21"/>
          <w:highlight w:val="none"/>
        </w:rPr>
        <w:t>“A级纳税人”称号情况：</w:t>
      </w:r>
      <w:r>
        <w:rPr>
          <w:rFonts w:hint="eastAsia" w:ascii="宋体" w:hAnsi="宋体" w:eastAsia="宋体" w:cs="宋体"/>
          <w:color w:val="auto"/>
          <w:szCs w:val="21"/>
          <w:highlight w:val="none"/>
        </w:rPr>
        <w:t>本项需包含最近评审年度，需提供相关证明材料，时间以证明材料上注明的获奖年度为准，证明材料可为“国家税务总局”官网（http://www.chinatax.gov.cn/）查询结果截图或各省税务局管网查询结果（须提供在查询结果网页打印件）或信用中国官网（须提供在查询结果网页打印件），或税务局出具的官方证明为准。只计算投标人自身（不计算投标人的分公司和子公司）。</w:t>
      </w:r>
    </w:p>
    <w:p w14:paraId="58331A2D">
      <w:pPr>
        <w:spacing w:line="360" w:lineRule="auto"/>
        <w:rPr>
          <w:rFonts w:hint="eastAsia" w:ascii="宋体" w:hAnsi="宋体"/>
          <w:b/>
          <w:bCs/>
          <w:color w:val="auto"/>
          <w:szCs w:val="21"/>
          <w:highlight w:val="none"/>
        </w:rPr>
      </w:pPr>
      <w:r>
        <w:rPr>
          <w:rFonts w:hint="eastAsia" w:ascii="宋体" w:hAnsi="宋体" w:eastAsia="宋体" w:cs="宋体"/>
          <w:color w:val="auto"/>
          <w:szCs w:val="21"/>
          <w:highlight w:val="none"/>
        </w:rPr>
        <w:t>4</w:t>
      </w:r>
      <w:r>
        <w:rPr>
          <w:rFonts w:ascii="宋体" w:hAnsi="宋体" w:eastAsia="宋体" w:cs="宋体"/>
          <w:color w:val="auto"/>
          <w:szCs w:val="21"/>
          <w:highlight w:val="none"/>
        </w:rPr>
        <w:t>.2</w:t>
      </w:r>
      <w:r>
        <w:rPr>
          <w:rFonts w:hint="eastAsia" w:ascii="宋体" w:hAnsi="宋体" w:cs="宋体"/>
          <w:color w:val="auto"/>
          <w:szCs w:val="21"/>
          <w:highlight w:val="none"/>
        </w:rPr>
        <w:t>企业信用等级证书</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应提供证书原件扫描件，提供相关证书应在有效期内，否则不计分。</w:t>
      </w:r>
    </w:p>
    <w:p w14:paraId="7942BE02">
      <w:pPr>
        <w:spacing w:line="240" w:lineRule="auto"/>
        <w:rPr>
          <w:rFonts w:hint="default" w:ascii="宋体" w:hAnsi="宋体" w:eastAsia="宋体" w:cs="宋体"/>
          <w:bCs/>
          <w:snapToGrid w:val="0"/>
          <w:color w:val="auto"/>
          <w:kern w:val="0"/>
          <w:szCs w:val="21"/>
          <w:highlight w:val="none"/>
          <w:lang w:val="en-US" w:eastAsia="zh-CN"/>
        </w:rPr>
      </w:pPr>
      <w:r>
        <w:rPr>
          <w:rFonts w:hint="eastAsia" w:ascii="宋体" w:hAnsi="宋体"/>
          <w:b/>
          <w:color w:val="auto"/>
          <w:szCs w:val="21"/>
          <w:highlight w:val="none"/>
          <w:lang w:val="en-US" w:eastAsia="zh-CN"/>
        </w:rPr>
        <w:t>5</w:t>
      </w:r>
      <w:r>
        <w:rPr>
          <w:rFonts w:hint="eastAsia" w:ascii="宋体" w:hAnsi="宋体"/>
          <w:b/>
          <w:color w:val="auto"/>
          <w:szCs w:val="21"/>
          <w:highlight w:val="none"/>
        </w:rPr>
        <w:t>、项目管理团队：</w:t>
      </w:r>
      <w:r>
        <w:rPr>
          <w:rFonts w:hint="eastAsia" w:ascii="宋体" w:hAnsi="宋体" w:cs="宋体"/>
          <w:bCs/>
          <w:snapToGrid w:val="0"/>
          <w:color w:val="auto"/>
          <w:kern w:val="0"/>
          <w:szCs w:val="21"/>
          <w:highlight w:val="none"/>
        </w:rPr>
        <w:t>各人员不得兼任。需提供相关证书扫描件</w:t>
      </w:r>
      <w:r>
        <w:rPr>
          <w:rFonts w:hint="eastAsia" w:ascii="宋体" w:hAnsi="宋体" w:cs="宋体"/>
          <w:bCs/>
          <w:snapToGrid w:val="0"/>
          <w:color w:val="auto"/>
          <w:kern w:val="0"/>
          <w:szCs w:val="21"/>
          <w:highlight w:val="none"/>
          <w:lang w:eastAsia="zh-CN"/>
        </w:rPr>
        <w:t>，</w:t>
      </w:r>
      <w:r>
        <w:rPr>
          <w:rFonts w:hint="eastAsia" w:hAnsi="宋体" w:cs="宋体"/>
          <w:color w:val="auto"/>
          <w:sz w:val="21"/>
          <w:szCs w:val="21"/>
          <w:highlight w:val="none"/>
        </w:rPr>
        <w:t>设计负责人</w:t>
      </w:r>
      <w:r>
        <w:rPr>
          <w:rFonts w:hint="eastAsia" w:hAnsi="宋体" w:cs="宋体"/>
          <w:color w:val="auto"/>
          <w:sz w:val="21"/>
          <w:szCs w:val="21"/>
          <w:highlight w:val="none"/>
          <w:lang w:val="en-US" w:eastAsia="zh-CN"/>
        </w:rPr>
        <w:t>获奖</w:t>
      </w:r>
      <w:r>
        <w:rPr>
          <w:rFonts w:hint="eastAsia" w:ascii="宋体" w:hAnsi="宋体" w:cs="宋体"/>
          <w:bCs/>
          <w:color w:val="auto"/>
          <w:szCs w:val="21"/>
          <w:highlight w:val="none"/>
        </w:rPr>
        <w:t>是指由住建部颁发的全国优秀工程勘察设计奖、中国勘察设计协会颁发的全国优秀工程勘察设计行业奖、省级行政主管部门或工程勘察设计行业协会颁发的省级优秀勘察设计奖，市级（含副省级）行政主管部门或行业协会颁发的市级优秀勘察设计奖；由国务院颁发的国家科学技术奖、住建部的华夏建设科学技术奖励委员会颁发的华夏建设科学技术奖、省级人民政府颁发的省科学技术奖，应提供获奖证书清晰扫描件，获奖认定时间以获奖证书上注明的颁奖时间为准。如颁发单位为行业协会的，还须提供该协会在“全国社会组织信用信息公示平台（试运</w:t>
      </w:r>
      <w:r>
        <w:rPr>
          <w:rFonts w:hint="eastAsia" w:ascii="宋体" w:hAnsi="宋体" w:eastAsia="宋体" w:cs="Times New Roman"/>
          <w:bCs w:val="0"/>
          <w:color w:val="auto"/>
          <w:szCs w:val="21"/>
          <w:highlight w:val="none"/>
        </w:rPr>
        <w:t>行）”己登记备案的查询信息截图页（网址：https://xxgs.chinanpo.mca.gov.cn/gsxt/newList）。同一项目获奖按项目最高获奖只计算一次得分。</w:t>
      </w:r>
    </w:p>
    <w:p w14:paraId="60626B31">
      <w:pPr>
        <w:spacing w:line="240" w:lineRule="auto"/>
        <w:rPr>
          <w:rFonts w:hint="eastAsia" w:hAnsi="宋体" w:cs="宋体"/>
          <w:b/>
          <w:bCs/>
          <w:color w:val="auto"/>
          <w:szCs w:val="21"/>
          <w:highlight w:val="none"/>
          <w:lang w:val="en-US" w:eastAsia="zh-CN"/>
        </w:rPr>
      </w:pPr>
      <w:r>
        <w:rPr>
          <w:rFonts w:hint="eastAsia" w:ascii="宋体" w:hAnsi="宋体" w:cs="宋体"/>
          <w:bCs/>
          <w:snapToGrid w:val="0"/>
          <w:color w:val="auto"/>
          <w:kern w:val="0"/>
          <w:szCs w:val="21"/>
          <w:highlight w:val="none"/>
        </w:rPr>
        <w:t>。</w:t>
      </w:r>
      <w:r>
        <w:rPr>
          <w:rFonts w:hint="eastAsia" w:ascii="宋体" w:hAnsi="宋体" w:cs="宋体"/>
          <w:b/>
          <w:bCs w:val="0"/>
          <w:snapToGrid w:val="0"/>
          <w:color w:val="auto"/>
          <w:kern w:val="0"/>
          <w:szCs w:val="21"/>
          <w:highlight w:val="none"/>
        </w:rPr>
        <w:t>人员须为投标人正式职工，需提供</w:t>
      </w:r>
      <w:r>
        <w:rPr>
          <w:rFonts w:hint="eastAsia" w:ascii="宋体" w:hAnsi="宋体" w:cs="宋体"/>
          <w:b/>
          <w:color w:val="auto"/>
          <w:szCs w:val="21"/>
          <w:highlight w:val="none"/>
        </w:rPr>
        <w:t>投标截止时间最近1个月</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2024年9月</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在本单位（含分支机构）交纳的社保证明</w:t>
      </w:r>
      <w:r>
        <w:rPr>
          <w:rFonts w:hint="eastAsia" w:ascii="宋体" w:hAnsi="宋体" w:cs="宋体"/>
          <w:b/>
          <w:color w:val="auto"/>
          <w:szCs w:val="21"/>
          <w:highlight w:val="none"/>
          <w:lang w:val="en-US" w:eastAsia="zh-CN"/>
        </w:rPr>
        <w:t>材料</w:t>
      </w:r>
      <w:r>
        <w:rPr>
          <w:rFonts w:hint="eastAsia" w:ascii="宋体" w:hAnsi="宋体" w:cs="宋体"/>
          <w:b/>
          <w:color w:val="auto"/>
          <w:szCs w:val="21"/>
          <w:highlight w:val="none"/>
        </w:rPr>
        <w:t>扫描件，不提供不得分</w:t>
      </w:r>
      <w:r>
        <w:rPr>
          <w:rFonts w:hint="eastAsia" w:ascii="宋体" w:hAnsi="宋体" w:cs="宋体"/>
          <w:b/>
          <w:bCs w:val="0"/>
          <w:snapToGrid w:val="0"/>
          <w:color w:val="auto"/>
          <w:kern w:val="0"/>
          <w:szCs w:val="21"/>
          <w:highlight w:val="none"/>
        </w:rPr>
        <w:t>。</w:t>
      </w:r>
      <w:r>
        <w:rPr>
          <w:rFonts w:hint="eastAsia" w:hAnsi="宋体" w:cs="宋体"/>
          <w:b/>
          <w:bCs/>
          <w:color w:val="auto"/>
          <w:szCs w:val="21"/>
          <w:highlight w:val="none"/>
          <w:lang w:val="en-US" w:eastAsia="zh-CN"/>
        </w:rPr>
        <w:t>市政工程相关专业职称包括道路与桥梁、给排水、结构、机电、燃气等专业职称。</w:t>
      </w:r>
    </w:p>
    <w:p w14:paraId="0EB9DC06">
      <w:pPr>
        <w:spacing w:line="240" w:lineRule="auto"/>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、投标人如果同时满足多个评分档次的，按所满足的最高档得分。</w:t>
      </w:r>
    </w:p>
    <w:p w14:paraId="6FD7074A">
      <w:pPr>
        <w:spacing w:line="240" w:lineRule="auto"/>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本评分表中所附所有证明材料均应按上述各项要求提供对应证明材料，且内容必须清晰可辨，如因提供资料内容模糊导致评标时无法判断的，后果由投标人自负。未按要求提供上述资料或资料提供不完整或资料不符合要求的不得分。</w:t>
      </w:r>
    </w:p>
    <w:p w14:paraId="0D362ACF">
      <w:pPr>
        <w:spacing w:line="240" w:lineRule="auto"/>
        <w:rPr>
          <w:rFonts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val="zh-CN"/>
        </w:rPr>
        <w:t>、</w:t>
      </w:r>
      <w:r>
        <w:rPr>
          <w:rFonts w:hint="eastAsia" w:ascii="宋体" w:hAnsi="宋体" w:cs="宋体"/>
          <w:color w:val="auto"/>
          <w:szCs w:val="21"/>
          <w:highlight w:val="none"/>
        </w:rPr>
        <w:t>本表按百分制评分，所有评委每个分项的分数汇总后的算术平均值作为投标人的工程总承包实施方案（含资信部分）得分。分数出现小数点，保留小数点后二位小数，第三位小数四舍五入。</w:t>
      </w:r>
    </w:p>
    <w:p w14:paraId="336C41DD">
      <w:pPr>
        <w:pStyle w:val="3"/>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414" w:name="_Toc1966"/>
      <w:bookmarkStart w:id="415" w:name="_Toc27342"/>
      <w:r>
        <w:rPr>
          <w:rFonts w:hint="eastAsia" w:ascii="宋体" w:hAnsi="宋体" w:eastAsia="宋体" w:cs="宋体"/>
          <w:color w:val="auto"/>
          <w:highlight w:val="none"/>
        </w:rPr>
        <w:t>1. 评标方法</w:t>
      </w:r>
      <w:bookmarkEnd w:id="409"/>
      <w:bookmarkEnd w:id="410"/>
      <w:bookmarkEnd w:id="411"/>
      <w:bookmarkEnd w:id="412"/>
      <w:bookmarkEnd w:id="413"/>
      <w:bookmarkEnd w:id="414"/>
      <w:bookmarkEnd w:id="415"/>
    </w:p>
    <w:p w14:paraId="5B2794AC">
      <w:pPr>
        <w:spacing w:line="360" w:lineRule="auto"/>
        <w:ind w:firstLine="420" w:firstLineChars="200"/>
        <w:rPr>
          <w:rFonts w:hint="eastAsia" w:ascii="宋体" w:hAnsi="宋体"/>
          <w:color w:val="auto"/>
          <w:highlight w:val="none"/>
        </w:rPr>
      </w:pPr>
      <w:bookmarkStart w:id="416" w:name="_Toc152045601"/>
      <w:bookmarkStart w:id="417" w:name="_Toc247514025"/>
      <w:bookmarkStart w:id="418" w:name="_Toc144974568"/>
      <w:bookmarkStart w:id="419" w:name="_Toc247527626"/>
      <w:bookmarkStart w:id="420" w:name="_Toc152042378"/>
      <w:r>
        <w:rPr>
          <w:rFonts w:hint="eastAsia" w:ascii="宋体" w:hAnsi="宋体"/>
          <w:color w:val="auto"/>
          <w:highlight w:val="none"/>
        </w:rPr>
        <w:t>本次评标采用综合评估法。评标委员会对满足招标文件实质性要求的投标文件，按照本章第</w:t>
      </w:r>
      <w:r>
        <w:rPr>
          <w:rFonts w:ascii="宋体" w:hAnsi="宋体"/>
          <w:color w:val="auto"/>
          <w:highlight w:val="none"/>
        </w:rPr>
        <w:t>2.2</w:t>
      </w:r>
      <w:r>
        <w:rPr>
          <w:rFonts w:hint="eastAsia" w:ascii="宋体" w:hAnsi="宋体"/>
          <w:color w:val="auto"/>
          <w:highlight w:val="none"/>
        </w:rPr>
        <w:t>款规定的评分标准进行打分，并按得分由高到低顺序推荐中标候选人，或根据招标人授权直接确定中标人，但投标报价低于其成本的除外。</w:t>
      </w:r>
    </w:p>
    <w:p w14:paraId="187F7F13">
      <w:pPr>
        <w:pStyle w:val="3"/>
        <w:rPr>
          <w:rFonts w:hint="eastAsia" w:ascii="宋体" w:hAnsi="宋体" w:eastAsia="宋体" w:cs="宋体"/>
          <w:color w:val="auto"/>
          <w:highlight w:val="none"/>
        </w:rPr>
      </w:pPr>
      <w:bookmarkStart w:id="421" w:name="_Toc18218"/>
      <w:bookmarkStart w:id="422" w:name="_Toc14448"/>
      <w:r>
        <w:rPr>
          <w:rFonts w:hint="eastAsia" w:ascii="宋体" w:hAnsi="宋体" w:eastAsia="宋体" w:cs="宋体"/>
          <w:color w:val="auto"/>
          <w:highlight w:val="none"/>
        </w:rPr>
        <w:t>2. 评审标准</w:t>
      </w:r>
      <w:bookmarkEnd w:id="416"/>
      <w:bookmarkEnd w:id="417"/>
      <w:bookmarkEnd w:id="418"/>
      <w:bookmarkEnd w:id="419"/>
      <w:bookmarkEnd w:id="420"/>
      <w:bookmarkEnd w:id="421"/>
      <w:bookmarkEnd w:id="422"/>
    </w:p>
    <w:p w14:paraId="6E3AC7A7">
      <w:pPr>
        <w:pStyle w:val="4"/>
        <w:rPr>
          <w:rFonts w:hint="eastAsia" w:ascii="宋体" w:eastAsia="宋体" w:cs="宋体"/>
          <w:color w:val="auto"/>
          <w:highlight w:val="none"/>
        </w:rPr>
      </w:pPr>
      <w:bookmarkStart w:id="423" w:name="_Toc247514026"/>
      <w:bookmarkStart w:id="424" w:name="_Toc24698"/>
      <w:bookmarkStart w:id="425" w:name="_Toc152042379"/>
      <w:bookmarkStart w:id="426" w:name="_Toc152045602"/>
      <w:bookmarkStart w:id="427" w:name="_Toc18349"/>
      <w:bookmarkStart w:id="428" w:name="_Toc247527627"/>
      <w:bookmarkStart w:id="429" w:name="_Toc144974569"/>
      <w:r>
        <w:rPr>
          <w:rFonts w:hint="eastAsia" w:ascii="宋体" w:eastAsia="宋体" w:cs="宋体"/>
          <w:color w:val="auto"/>
          <w:highlight w:val="none"/>
        </w:rPr>
        <w:t>2.1 初步评审标准</w:t>
      </w:r>
      <w:bookmarkEnd w:id="423"/>
      <w:bookmarkEnd w:id="424"/>
      <w:bookmarkEnd w:id="425"/>
      <w:bookmarkEnd w:id="426"/>
      <w:bookmarkEnd w:id="427"/>
      <w:bookmarkEnd w:id="428"/>
      <w:bookmarkEnd w:id="429"/>
    </w:p>
    <w:p w14:paraId="600A4402">
      <w:pPr>
        <w:spacing w:line="360" w:lineRule="auto"/>
        <w:ind w:firstLine="420" w:firstLineChars="200"/>
        <w:rPr>
          <w:rFonts w:hint="eastAsia" w:ascii="宋体" w:hAnsi="宋体" w:cs="宋体"/>
          <w:color w:val="auto"/>
          <w:highlight w:val="none"/>
        </w:rPr>
      </w:pPr>
      <w:bookmarkStart w:id="430" w:name="_Toc152042380"/>
      <w:bookmarkStart w:id="431" w:name="_Toc247527628"/>
      <w:bookmarkStart w:id="432" w:name="_Toc152045603"/>
      <w:bookmarkStart w:id="433" w:name="_Toc247514027"/>
      <w:bookmarkStart w:id="434" w:name="_Toc144974570"/>
      <w:r>
        <w:rPr>
          <w:rFonts w:hint="eastAsia" w:ascii="宋体" w:hAnsi="宋体" w:cs="宋体"/>
          <w:color w:val="auto"/>
          <w:highlight w:val="none"/>
        </w:rPr>
        <w:t>2.1.1 形式评审标准：见评标办法前附表。</w:t>
      </w:r>
    </w:p>
    <w:p w14:paraId="04DFE1C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2.1.2 资格评审标准：见评标办法前附表。</w:t>
      </w:r>
    </w:p>
    <w:p w14:paraId="1BE4B1E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2.1.3 （1）</w:t>
      </w:r>
      <w:r>
        <w:rPr>
          <w:rFonts w:hint="eastAsia" w:ascii="宋体" w:hAnsi="宋体" w:cs="宋体"/>
          <w:color w:val="auto"/>
          <w:szCs w:val="21"/>
          <w:highlight w:val="none"/>
        </w:rPr>
        <w:t>设计方案</w:t>
      </w:r>
      <w:r>
        <w:rPr>
          <w:rFonts w:hint="eastAsia" w:ascii="宋体" w:hAnsi="宋体" w:cs="宋体"/>
          <w:color w:val="auto"/>
          <w:highlight w:val="none"/>
        </w:rPr>
        <w:t>响应性评审标准：见评标办法前附表。</w:t>
      </w:r>
    </w:p>
    <w:p w14:paraId="2F8AEB3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2.1.3 （2）</w:t>
      </w:r>
      <w:r>
        <w:rPr>
          <w:rFonts w:hint="eastAsia" w:ascii="宋体" w:hAnsi="宋体" w:cs="宋体"/>
          <w:color w:val="auto"/>
          <w:kern w:val="1"/>
          <w:szCs w:val="21"/>
          <w:highlight w:val="none"/>
        </w:rPr>
        <w:t>工程总承包实施方案</w:t>
      </w:r>
      <w:r>
        <w:rPr>
          <w:rFonts w:hint="eastAsia" w:ascii="宋体" w:hAnsi="宋体" w:cs="宋体"/>
          <w:color w:val="auto"/>
          <w:highlight w:val="none"/>
        </w:rPr>
        <w:t>响应性评审标准：见评标办法前附表。</w:t>
      </w:r>
    </w:p>
    <w:p w14:paraId="7F6EDBE5">
      <w:pPr>
        <w:pStyle w:val="4"/>
        <w:rPr>
          <w:rFonts w:hint="eastAsia" w:ascii="宋体" w:eastAsia="宋体" w:cs="宋体"/>
          <w:color w:val="auto"/>
          <w:highlight w:val="none"/>
        </w:rPr>
      </w:pPr>
      <w:bookmarkStart w:id="435" w:name="_Toc4204"/>
      <w:bookmarkStart w:id="436" w:name="_Toc2683"/>
      <w:r>
        <w:rPr>
          <w:rFonts w:hint="eastAsia" w:ascii="宋体" w:eastAsia="宋体" w:cs="宋体"/>
          <w:color w:val="auto"/>
          <w:highlight w:val="none"/>
        </w:rPr>
        <w:t>2.2 分值构成与评分标准</w:t>
      </w:r>
      <w:bookmarkEnd w:id="430"/>
      <w:bookmarkEnd w:id="431"/>
      <w:bookmarkEnd w:id="432"/>
      <w:bookmarkEnd w:id="433"/>
      <w:bookmarkEnd w:id="434"/>
      <w:bookmarkEnd w:id="435"/>
      <w:bookmarkEnd w:id="436"/>
    </w:p>
    <w:p w14:paraId="5AF6D980">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2.2.1 分值构成及权重：见评标办法前附表；</w:t>
      </w:r>
    </w:p>
    <w:p w14:paraId="4B02E056">
      <w:pPr>
        <w:spacing w:line="360" w:lineRule="auto"/>
        <w:ind w:firstLine="420" w:firstLineChars="200"/>
        <w:rPr>
          <w:rFonts w:hint="eastAsia" w:ascii="宋体" w:hAnsi="宋体" w:cs="宋体"/>
          <w:color w:val="auto"/>
          <w:highlight w:val="none"/>
          <w:u w:val="single"/>
        </w:rPr>
      </w:pPr>
      <w:bookmarkStart w:id="437" w:name="_Toc247514028"/>
      <w:bookmarkStart w:id="438" w:name="_Toc152042381"/>
      <w:bookmarkStart w:id="439" w:name="_Toc247527629"/>
      <w:bookmarkStart w:id="440" w:name="_Toc152045604"/>
      <w:bookmarkStart w:id="441" w:name="_Toc144974571"/>
      <w:r>
        <w:rPr>
          <w:rFonts w:hint="eastAsia" w:ascii="宋体" w:hAnsi="宋体" w:cs="宋体"/>
          <w:color w:val="auto"/>
          <w:highlight w:val="none"/>
          <w:u w:val="single"/>
        </w:rPr>
        <w:t>（1）设计方案：见评标办法前附表；</w:t>
      </w:r>
    </w:p>
    <w:p w14:paraId="48651F1B">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（2）工程总承包实施方案：见评标办法前附表；</w:t>
      </w:r>
    </w:p>
    <w:p w14:paraId="6A671CCF">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（3）投标报价：见评标办法前附表。</w:t>
      </w:r>
    </w:p>
    <w:p w14:paraId="10C90E6A">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2.2.2 评标基准价计算</w:t>
      </w:r>
    </w:p>
    <w:p w14:paraId="0C3AAA7D">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评标基准价计算方法：见评标办法前附表。</w:t>
      </w:r>
    </w:p>
    <w:p w14:paraId="41AB36CE">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2.2.3 投标报价的偏差率计算</w:t>
      </w:r>
    </w:p>
    <w:p w14:paraId="60625BEB">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投标报价的偏差率计算公式：见评标办法前附表。</w:t>
      </w:r>
    </w:p>
    <w:p w14:paraId="386D3378">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2.2.4 评分标准</w:t>
      </w:r>
    </w:p>
    <w:p w14:paraId="505C480D">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（1）设计方案评分标准：见评标办法前附表；</w:t>
      </w:r>
    </w:p>
    <w:p w14:paraId="7F45032B">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（2）工程总承包实施方案评分标准：见评标办法前附表；</w:t>
      </w:r>
    </w:p>
    <w:p w14:paraId="159790C5">
      <w:pPr>
        <w:spacing w:line="360" w:lineRule="auto"/>
        <w:ind w:firstLine="420" w:firstLineChars="200"/>
        <w:rPr>
          <w:rFonts w:hint="eastAsia" w:ascii="宋体" w:hAnsi="宋体"/>
          <w:color w:val="auto"/>
          <w:highlight w:val="none"/>
        </w:rPr>
      </w:pPr>
      <w:r>
        <w:rPr>
          <w:rFonts w:hint="eastAsia" w:ascii="宋体" w:hAnsi="宋体" w:cs="宋体"/>
          <w:color w:val="auto"/>
          <w:highlight w:val="none"/>
          <w:u w:val="single"/>
        </w:rPr>
        <w:t>（3）投标报价评分标准：见评标办法前附表。</w:t>
      </w:r>
    </w:p>
    <w:p w14:paraId="72998AB0">
      <w:pPr>
        <w:pStyle w:val="3"/>
        <w:rPr>
          <w:rFonts w:hint="eastAsia" w:ascii="宋体" w:hAnsi="宋体" w:eastAsia="宋体" w:cs="宋体"/>
          <w:color w:val="auto"/>
          <w:highlight w:val="none"/>
        </w:rPr>
      </w:pPr>
      <w:bookmarkStart w:id="442" w:name="_Toc26445"/>
      <w:bookmarkStart w:id="443" w:name="_Toc455"/>
      <w:r>
        <w:rPr>
          <w:rFonts w:hint="eastAsia" w:ascii="宋体" w:hAnsi="宋体" w:eastAsia="宋体" w:cs="宋体"/>
          <w:color w:val="auto"/>
          <w:highlight w:val="none"/>
        </w:rPr>
        <w:t>3. 评标程序</w:t>
      </w:r>
      <w:bookmarkEnd w:id="437"/>
      <w:bookmarkEnd w:id="438"/>
      <w:bookmarkEnd w:id="439"/>
      <w:bookmarkEnd w:id="440"/>
      <w:bookmarkEnd w:id="441"/>
      <w:bookmarkEnd w:id="442"/>
      <w:bookmarkEnd w:id="443"/>
    </w:p>
    <w:p w14:paraId="795D2381">
      <w:pPr>
        <w:keepNext/>
        <w:keepLines/>
        <w:spacing w:before="120" w:line="360" w:lineRule="auto"/>
        <w:ind w:firstLine="137" w:firstLineChars="49"/>
        <w:outlineLvl w:val="2"/>
        <w:rPr>
          <w:rFonts w:hint="eastAsia" w:ascii="宋体" w:hAnsi="宋体" w:eastAsia="宋体" w:cs="宋体"/>
          <w:bCs/>
          <w:color w:val="auto"/>
          <w:sz w:val="28"/>
          <w:szCs w:val="28"/>
          <w:highlight w:val="none"/>
          <w:u w:val="single"/>
        </w:rPr>
      </w:pPr>
      <w:r>
        <w:rPr>
          <w:rFonts w:hint="eastAsia" w:ascii="宋体" w:hAnsi="宋体" w:eastAsia="宋体" w:cs="宋体"/>
          <w:bCs/>
          <w:color w:val="auto"/>
          <w:sz w:val="28"/>
          <w:szCs w:val="28"/>
          <w:highlight w:val="none"/>
          <w:u w:val="single"/>
        </w:rPr>
        <w:t>3.1 本项目采取电子评标。</w:t>
      </w:r>
    </w:p>
    <w:p w14:paraId="052801BB">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投标文件由综合评标委员会负责评审。</w:t>
      </w:r>
    </w:p>
    <w:p w14:paraId="6AD70BC4">
      <w:pPr>
        <w:keepNext/>
        <w:keepLines/>
        <w:spacing w:before="120" w:line="360" w:lineRule="auto"/>
        <w:ind w:firstLine="137" w:firstLineChars="49"/>
        <w:outlineLvl w:val="2"/>
        <w:rPr>
          <w:rFonts w:hint="eastAsia" w:ascii="宋体" w:hAnsi="宋体" w:eastAsia="宋体" w:cs="宋体"/>
          <w:bCs/>
          <w:color w:val="auto"/>
          <w:sz w:val="28"/>
          <w:szCs w:val="28"/>
          <w:highlight w:val="none"/>
          <w:u w:val="single"/>
        </w:rPr>
      </w:pPr>
      <w:r>
        <w:rPr>
          <w:rFonts w:hint="eastAsia" w:ascii="宋体" w:hAnsi="宋体" w:eastAsia="宋体" w:cs="宋体"/>
          <w:bCs/>
          <w:color w:val="auto"/>
          <w:sz w:val="28"/>
          <w:szCs w:val="28"/>
          <w:highlight w:val="none"/>
          <w:u w:val="single"/>
        </w:rPr>
        <w:t>3.2 初步评审</w:t>
      </w:r>
    </w:p>
    <w:p w14:paraId="56EB5E2E">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3.2.1</w:t>
      </w:r>
      <w:r>
        <w:rPr>
          <w:rFonts w:hint="eastAsia" w:ascii="宋体" w:hAnsi="宋体" w:eastAsia="宋体" w:cs="宋体"/>
          <w:color w:val="auto"/>
          <w:szCs w:val="21"/>
          <w:highlight w:val="none"/>
          <w:u w:val="single"/>
        </w:rPr>
        <w:t>评标委员会依据本章第2.1款规定的标准对投标文件依次进行形式评审、资格评审、</w:t>
      </w:r>
      <w:r>
        <w:rPr>
          <w:rFonts w:hint="eastAsia" w:ascii="宋体" w:hAnsi="宋体" w:eastAsia="宋体" w:cs="Times New Roman"/>
          <w:color w:val="auto"/>
          <w:szCs w:val="21"/>
          <w:highlight w:val="none"/>
          <w:u w:val="single"/>
        </w:rPr>
        <w:t>设计方案响应性评审（暗标）</w:t>
      </w:r>
      <w:r>
        <w:rPr>
          <w:rFonts w:hint="eastAsia" w:ascii="宋体" w:hAnsi="宋体" w:eastAsia="宋体" w:cs="宋体"/>
          <w:color w:val="auto"/>
          <w:szCs w:val="21"/>
          <w:highlight w:val="none"/>
          <w:u w:val="single"/>
        </w:rPr>
        <w:t>、工程总承包实施方案响应性评审，有一项不符合评审标准的，评标委员会应当否决其投标，</w:t>
      </w:r>
      <w:r>
        <w:rPr>
          <w:rFonts w:hint="eastAsia" w:ascii="宋体" w:hAnsi="宋体" w:eastAsia="宋体" w:cs="Times New Roman"/>
          <w:color w:val="auto"/>
          <w:szCs w:val="21"/>
          <w:highlight w:val="none"/>
          <w:u w:val="single"/>
        </w:rPr>
        <w:t>只有通过相应评审的投标文件方可进入下一阶段的评审</w:t>
      </w:r>
      <w:r>
        <w:rPr>
          <w:rFonts w:hint="eastAsia" w:ascii="宋体" w:hAnsi="宋体" w:eastAsia="宋体" w:cs="宋体"/>
          <w:color w:val="auto"/>
          <w:szCs w:val="21"/>
          <w:highlight w:val="none"/>
          <w:u w:val="single"/>
        </w:rPr>
        <w:t>。如评标委员会成员的评审意见不一致时，以评标委员会过半数成员的意见作为评标委员会对该情形的认定结论。</w:t>
      </w:r>
    </w:p>
    <w:p w14:paraId="1E88EDD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 投标人有以下情形之一的，评标委员会应当否决其投标：</w:t>
      </w:r>
    </w:p>
    <w:p w14:paraId="061936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投标人存在《投标人声明》第三条情形之一的；</w:t>
      </w:r>
    </w:p>
    <w:p w14:paraId="105A63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（2）有串通投标、弄虚作假、行贿等违法行为；</w:t>
      </w:r>
    </w:p>
    <w:p w14:paraId="7695B37E">
      <w:pPr>
        <w:ind w:firstLine="420" w:firstLineChars="200"/>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（3）不按评标委员会要求澄清、说明或补正的。</w:t>
      </w:r>
    </w:p>
    <w:p w14:paraId="6813F290">
      <w:pPr>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特别声明：资审合格后，投标人的资格发生变化而不满足投标人合格条件，在发出中标通知书前，资格问题仍未解决的，招标人将取消其中标资格。</w:t>
      </w:r>
    </w:p>
    <w:p w14:paraId="604D8003">
      <w:pPr>
        <w:keepNext/>
        <w:keepLines/>
        <w:spacing w:before="120" w:line="360" w:lineRule="auto"/>
        <w:ind w:firstLine="137" w:firstLineChars="49"/>
        <w:outlineLvl w:val="2"/>
        <w:rPr>
          <w:rFonts w:hint="eastAsia" w:ascii="宋体" w:hAnsi="宋体" w:eastAsia="宋体" w:cs="宋体"/>
          <w:bCs/>
          <w:color w:val="auto"/>
          <w:sz w:val="28"/>
          <w:szCs w:val="28"/>
          <w:highlight w:val="none"/>
          <w:u w:val="single"/>
        </w:rPr>
      </w:pPr>
      <w:r>
        <w:rPr>
          <w:rFonts w:hint="eastAsia" w:ascii="宋体" w:hAnsi="宋体" w:eastAsia="宋体" w:cs="宋体"/>
          <w:bCs/>
          <w:color w:val="auto"/>
          <w:sz w:val="28"/>
          <w:szCs w:val="28"/>
          <w:highlight w:val="none"/>
          <w:u w:val="single"/>
        </w:rPr>
        <w:t>3.3 设计方案评审</w:t>
      </w:r>
      <w:r>
        <w:rPr>
          <w:rFonts w:hint="eastAsia" w:ascii="宋体" w:hAnsi="宋体" w:eastAsia="宋体" w:cs="宋体"/>
          <w:b/>
          <w:bCs/>
          <w:color w:val="auto"/>
          <w:sz w:val="28"/>
          <w:szCs w:val="28"/>
          <w:highlight w:val="none"/>
          <w:u w:val="single"/>
        </w:rPr>
        <w:t>（暗标）</w:t>
      </w:r>
    </w:p>
    <w:p w14:paraId="1834DD0B">
      <w:pPr>
        <w:spacing w:line="360" w:lineRule="auto"/>
        <w:ind w:firstLine="424" w:firstLineChars="202"/>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rPr>
        <w:t>3.3.1</w:t>
      </w:r>
      <w:r>
        <w:rPr>
          <w:rFonts w:hint="eastAsia" w:ascii="宋体" w:hAnsi="宋体" w:eastAsia="宋体" w:cs="宋体"/>
          <w:color w:val="auto"/>
          <w:szCs w:val="21"/>
          <w:highlight w:val="none"/>
          <w:u w:val="single"/>
        </w:rPr>
        <w:t>评标委员会</w:t>
      </w:r>
      <w:r>
        <w:rPr>
          <w:rFonts w:hint="eastAsia" w:ascii="宋体" w:hAnsi="宋体" w:eastAsia="宋体" w:cs="Times New Roman"/>
          <w:color w:val="auto"/>
          <w:szCs w:val="21"/>
          <w:highlight w:val="none"/>
          <w:u w:val="single"/>
        </w:rPr>
        <w:t>按照设计方案评分标准（详见前附表）对通过初步评审的设计方案文件进行详细评分。</w:t>
      </w:r>
    </w:p>
    <w:p w14:paraId="3F109C54">
      <w:pPr>
        <w:spacing w:line="360" w:lineRule="auto"/>
        <w:ind w:firstLine="424" w:firstLineChars="202"/>
        <w:rPr>
          <w:rFonts w:hint="eastAsia" w:ascii="宋体" w:hAnsi="宋体" w:eastAsia="宋体" w:cs="Times New Roman"/>
          <w:color w:val="auto"/>
          <w:szCs w:val="24"/>
          <w:highlight w:val="none"/>
          <w:u w:val="single"/>
        </w:rPr>
      </w:pPr>
      <w:r>
        <w:rPr>
          <w:rFonts w:hint="eastAsia" w:ascii="宋体" w:hAnsi="宋体" w:eastAsia="宋体" w:cs="Times New Roman"/>
          <w:color w:val="auto"/>
          <w:szCs w:val="21"/>
          <w:highlight w:val="none"/>
          <w:u w:val="single"/>
        </w:rPr>
        <w:t>3.3.2</w:t>
      </w:r>
      <w:r>
        <w:rPr>
          <w:rFonts w:hint="eastAsia" w:ascii="宋体" w:hAnsi="宋体" w:eastAsia="宋体" w:cs="宋体"/>
          <w:color w:val="auto"/>
          <w:szCs w:val="21"/>
          <w:highlight w:val="none"/>
          <w:u w:val="single"/>
        </w:rPr>
        <w:t>投标人</w:t>
      </w:r>
      <w:r>
        <w:rPr>
          <w:rFonts w:hint="eastAsia" w:ascii="宋体" w:hAnsi="宋体" w:eastAsia="宋体" w:cs="Times New Roman"/>
          <w:color w:val="auto"/>
          <w:szCs w:val="21"/>
          <w:highlight w:val="none"/>
          <w:u w:val="single"/>
        </w:rPr>
        <w:t>设计方案</w:t>
      </w:r>
      <w:r>
        <w:rPr>
          <w:rFonts w:hint="eastAsia" w:ascii="宋体" w:hAnsi="宋体" w:eastAsia="宋体" w:cs="宋体"/>
          <w:color w:val="auto"/>
          <w:szCs w:val="21"/>
          <w:highlight w:val="none"/>
          <w:u w:val="single"/>
        </w:rPr>
        <w:t>得分为所有评委评分的算术平均值</w:t>
      </w:r>
      <w:r>
        <w:rPr>
          <w:rFonts w:hint="eastAsia" w:ascii="宋体" w:hAnsi="宋体" w:eastAsia="宋体" w:cs="Times New Roman"/>
          <w:color w:val="auto"/>
          <w:szCs w:val="21"/>
          <w:highlight w:val="none"/>
          <w:u w:val="single"/>
        </w:rPr>
        <w:t>，分数出现小数点，保留小数点后二位，第三位小数四舍五入。</w:t>
      </w:r>
    </w:p>
    <w:p w14:paraId="7B4A183B">
      <w:pPr>
        <w:keepNext/>
        <w:keepLines/>
        <w:spacing w:before="120" w:line="360" w:lineRule="auto"/>
        <w:ind w:firstLine="137" w:firstLineChars="49"/>
        <w:outlineLvl w:val="2"/>
        <w:rPr>
          <w:rFonts w:hint="eastAsia" w:ascii="宋体" w:hAnsi="宋体" w:eastAsia="宋体" w:cs="宋体"/>
          <w:color w:val="auto"/>
          <w:szCs w:val="21"/>
          <w:highlight w:val="none"/>
          <w:u w:val="single"/>
        </w:rPr>
      </w:pPr>
      <w:r>
        <w:rPr>
          <w:rFonts w:hint="eastAsia" w:ascii="宋体" w:hAnsi="宋体" w:eastAsia="宋体" w:cs="宋体"/>
          <w:bCs/>
          <w:color w:val="auto"/>
          <w:sz w:val="28"/>
          <w:szCs w:val="28"/>
          <w:highlight w:val="none"/>
          <w:u w:val="single"/>
        </w:rPr>
        <w:t>3.4 工程总承包实施方案评审</w:t>
      </w:r>
    </w:p>
    <w:p w14:paraId="649087D7">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3.4.1</w:t>
      </w:r>
      <w:r>
        <w:rPr>
          <w:rFonts w:hint="eastAsia" w:ascii="宋体" w:hAnsi="宋体" w:eastAsia="宋体" w:cs="宋体"/>
          <w:color w:val="auto"/>
          <w:szCs w:val="24"/>
          <w:highlight w:val="none"/>
          <w:u w:val="single"/>
        </w:rPr>
        <w:t>评标委员会</w:t>
      </w:r>
      <w:r>
        <w:rPr>
          <w:rFonts w:hint="eastAsia" w:ascii="宋体" w:hAnsi="宋体" w:eastAsia="宋体" w:cs="宋体"/>
          <w:color w:val="auto"/>
          <w:szCs w:val="21"/>
          <w:highlight w:val="none"/>
          <w:u w:val="single"/>
        </w:rPr>
        <w:t>按照</w:t>
      </w:r>
      <w:r>
        <w:rPr>
          <w:rFonts w:hint="eastAsia" w:ascii="宋体" w:hAnsi="宋体" w:eastAsia="宋体" w:cs="Times New Roman"/>
          <w:color w:val="auto"/>
          <w:szCs w:val="21"/>
          <w:highlight w:val="none"/>
          <w:u w:val="single"/>
        </w:rPr>
        <w:t>工程总承包实施方案</w:t>
      </w:r>
      <w:r>
        <w:rPr>
          <w:rFonts w:hint="eastAsia" w:ascii="宋体" w:hAnsi="宋体" w:eastAsia="宋体" w:cs="宋体"/>
          <w:color w:val="auto"/>
          <w:szCs w:val="21"/>
          <w:highlight w:val="none"/>
          <w:u w:val="single"/>
        </w:rPr>
        <w:t>评分标准（详见前附表）对通过</w:t>
      </w:r>
      <w:r>
        <w:rPr>
          <w:rFonts w:hint="eastAsia" w:ascii="宋体" w:hAnsi="宋体" w:eastAsia="宋体" w:cs="宋体"/>
          <w:color w:val="auto"/>
          <w:szCs w:val="24"/>
          <w:highlight w:val="none"/>
          <w:u w:val="single"/>
        </w:rPr>
        <w:t>初步评审</w:t>
      </w:r>
      <w:r>
        <w:rPr>
          <w:rFonts w:hint="eastAsia" w:ascii="宋体" w:hAnsi="宋体" w:eastAsia="宋体" w:cs="宋体"/>
          <w:color w:val="auto"/>
          <w:szCs w:val="21"/>
          <w:highlight w:val="none"/>
          <w:u w:val="single"/>
        </w:rPr>
        <w:t>的投标文件进行详细评分。</w:t>
      </w:r>
    </w:p>
    <w:p w14:paraId="17B83F6A">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3.4.2 投标人</w:t>
      </w:r>
      <w:r>
        <w:rPr>
          <w:rFonts w:hint="eastAsia" w:ascii="宋体" w:hAnsi="宋体" w:eastAsia="宋体" w:cs="Times New Roman"/>
          <w:color w:val="auto"/>
          <w:szCs w:val="21"/>
          <w:highlight w:val="none"/>
          <w:u w:val="single"/>
        </w:rPr>
        <w:t>工程总承包实施方案</w:t>
      </w:r>
      <w:r>
        <w:rPr>
          <w:rFonts w:hint="eastAsia" w:ascii="宋体" w:hAnsi="宋体" w:eastAsia="宋体" w:cs="宋体"/>
          <w:color w:val="auto"/>
          <w:szCs w:val="21"/>
          <w:highlight w:val="none"/>
          <w:u w:val="single"/>
        </w:rPr>
        <w:t>得分为所有评委评分的算术平均值，分数出现小数点，保留小数点后二位，第三位小数四舍五入。</w:t>
      </w:r>
    </w:p>
    <w:p w14:paraId="12658619">
      <w:pPr>
        <w:keepNext/>
        <w:keepLines/>
        <w:spacing w:before="100" w:after="100" w:line="360" w:lineRule="auto"/>
        <w:ind w:firstLine="137" w:firstLineChars="49"/>
        <w:outlineLvl w:val="2"/>
        <w:rPr>
          <w:rFonts w:hint="eastAsia"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3.5 投标报价评审</w:t>
      </w:r>
    </w:p>
    <w:p w14:paraId="5BD63696">
      <w:pPr>
        <w:spacing w:line="360" w:lineRule="auto"/>
        <w:ind w:firstLine="424" w:firstLineChars="202"/>
        <w:rPr>
          <w:rFonts w:hint="eastAsia" w:ascii="宋体" w:hAnsi="宋体" w:eastAsia="宋体" w:cs="Times New Roman"/>
          <w:color w:val="auto"/>
          <w:szCs w:val="21"/>
          <w:highlight w:val="none"/>
          <w:u w:val="single"/>
        </w:rPr>
      </w:pPr>
      <w:r>
        <w:rPr>
          <w:rFonts w:hint="eastAsia" w:ascii="宋体" w:hAnsi="宋体" w:eastAsia="宋体" w:cs="宋体"/>
          <w:color w:val="auto"/>
          <w:szCs w:val="21"/>
          <w:highlight w:val="none"/>
          <w:u w:val="single"/>
        </w:rPr>
        <w:t>3.5.1</w:t>
      </w:r>
      <w:r>
        <w:rPr>
          <w:rFonts w:hint="eastAsia" w:ascii="宋体" w:hAnsi="宋体" w:eastAsia="宋体" w:cs="Times New Roman"/>
          <w:color w:val="auto"/>
          <w:szCs w:val="21"/>
          <w:highlight w:val="none"/>
          <w:u w:val="single"/>
        </w:rPr>
        <w:t>评标委员会对通过</w:t>
      </w:r>
      <w:r>
        <w:rPr>
          <w:rFonts w:hint="eastAsia" w:ascii="宋体" w:hAnsi="宋体" w:eastAsia="宋体" w:cs="宋体"/>
          <w:color w:val="auto"/>
          <w:szCs w:val="24"/>
          <w:highlight w:val="none"/>
          <w:u w:val="single"/>
        </w:rPr>
        <w:t>初步评审</w:t>
      </w:r>
      <w:r>
        <w:rPr>
          <w:rFonts w:hint="eastAsia" w:ascii="宋体" w:hAnsi="宋体" w:eastAsia="宋体" w:cs="Times New Roman"/>
          <w:color w:val="auto"/>
          <w:szCs w:val="21"/>
          <w:highlight w:val="none"/>
          <w:u w:val="single"/>
        </w:rPr>
        <w:t>的投标文件的投标报价进行算术校核，具体标准如下：</w:t>
      </w:r>
    </w:p>
    <w:p w14:paraId="43F8F999">
      <w:pPr>
        <w:spacing w:line="360" w:lineRule="auto"/>
        <w:ind w:firstLine="424" w:firstLineChars="202"/>
        <w:rPr>
          <w:rFonts w:hint="eastAsia" w:ascii="宋体" w:hAnsi="宋体" w:eastAsia="宋体" w:cs="Times New Roman"/>
          <w:color w:val="auto"/>
          <w:szCs w:val="24"/>
          <w:highlight w:val="none"/>
        </w:rPr>
      </w:pPr>
      <w:r>
        <w:rPr>
          <w:rFonts w:hint="eastAsia" w:ascii="宋体" w:hAnsi="宋体" w:eastAsia="宋体" w:cs="Times New Roman"/>
          <w:color w:val="auto"/>
          <w:szCs w:val="21"/>
          <w:highlight w:val="none"/>
          <w:u w:val="single"/>
        </w:rPr>
        <w:t>（1）如（1-下浮率）与最高限价乘积不等于投标报价时，以下浮率为准修正投标报价（下浮率有明显的数量级错误的除外，此时应修正下浮率），若修正后的投标报价超过最高投标限价的，作否决投标处理；</w:t>
      </w:r>
    </w:p>
    <w:p w14:paraId="418C4C02">
      <w:pPr>
        <w:spacing w:line="360" w:lineRule="auto"/>
        <w:ind w:firstLine="424" w:firstLineChars="202"/>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rPr>
        <w:t>（2）如果数字表示的金额和用文字表示的金额不一致时，应以文字表示的金额为准；</w:t>
      </w:r>
    </w:p>
    <w:p w14:paraId="3E4CB202">
      <w:pPr>
        <w:spacing w:line="360" w:lineRule="auto"/>
        <w:ind w:firstLine="424" w:firstLineChars="202"/>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rPr>
        <w:t>（3）如果分项报价累加不等总价的，以分项报价累加为准，修正总价；</w:t>
      </w:r>
    </w:p>
    <w:p w14:paraId="1F55C2EE">
      <w:pPr>
        <w:spacing w:line="360" w:lineRule="auto"/>
        <w:ind w:firstLine="424" w:firstLineChars="202"/>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rPr>
        <w:t>（4）投标文件存在其他计算性错误的，按就低不就高计算并修正；</w:t>
      </w:r>
    </w:p>
    <w:p w14:paraId="3823F3E3">
      <w:pPr>
        <w:spacing w:line="360" w:lineRule="auto"/>
        <w:ind w:firstLine="424" w:firstLineChars="202"/>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rPr>
        <w:t>（5）按上述修正错误的原则及方法调整或修正投标文件的投标报价，调整后的投标报价对投标人起约束作用。如果投标人不接受修正后的报价，则否决其投标。</w:t>
      </w:r>
    </w:p>
    <w:p w14:paraId="5650139F">
      <w:pPr>
        <w:spacing w:line="360" w:lineRule="auto"/>
        <w:ind w:firstLine="424" w:firstLineChars="202"/>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rPr>
        <w:t>3.5.2 投标报价评分</w:t>
      </w:r>
    </w:p>
    <w:p w14:paraId="590D9187">
      <w:pPr>
        <w:spacing w:line="360" w:lineRule="auto"/>
        <w:ind w:firstLine="424" w:firstLineChars="202"/>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u w:val="single"/>
        </w:rPr>
        <w:t>（1）</w:t>
      </w:r>
      <w:r>
        <w:rPr>
          <w:rFonts w:hint="eastAsia" w:ascii="宋体" w:hAnsi="宋体" w:eastAsia="宋体" w:cs="Times New Roman"/>
          <w:color w:val="auto"/>
          <w:szCs w:val="21"/>
          <w:highlight w:val="none"/>
          <w:u w:val="single"/>
        </w:rPr>
        <w:t>评标委员会对</w:t>
      </w:r>
      <w:r>
        <w:rPr>
          <w:rFonts w:hint="eastAsia" w:ascii="宋体" w:hAnsi="宋体" w:eastAsia="宋体" w:cs="宋体"/>
          <w:color w:val="auto"/>
          <w:szCs w:val="24"/>
          <w:highlight w:val="none"/>
          <w:u w:val="single"/>
        </w:rPr>
        <w:t>通过形式评审、资格评审、设计方案响应性评审和工程总承包实施方案响应性评审且经算术校核的投标总报价位于[本项目最高投标限价×90%，本项目最高投标限价]区间的投标人大于或等于5家时，去掉一个最高价和一个最低价后，取剩余报价的算术平均值为评标基准价；通过形式评审、资格评审、设计方案响应性评审和工程总承包实施方案响应性评审且经算术校核的投标总报价位于[本项目最高投标限价×90%，本项目最高投标限价]区间的投标人少于5家时，直接取区间中的投标总报价的算术平均值为评标基准价。通过形式评审、资格评审、设计方案响应性评审和工程总承包实施方案响应性评审且经算术校核的投标总报价若没有位于[本项目最高总投标限价×90%，本项目最高投标限价]区间，则以本项目最高投标限价×90%为评标基准价。</w:t>
      </w:r>
    </w:p>
    <w:p w14:paraId="7894CEEB">
      <w:pPr>
        <w:spacing w:line="360" w:lineRule="auto"/>
        <w:ind w:firstLine="424" w:firstLineChars="202"/>
        <w:rPr>
          <w:rFonts w:hint="eastAsia" w:ascii="宋体" w:hAnsi="宋体" w:eastAsia="宋体" w:cs="Times New Roman"/>
          <w:color w:val="auto"/>
          <w:szCs w:val="21"/>
          <w:highlight w:val="none"/>
        </w:rPr>
      </w:pPr>
      <w:r>
        <w:rPr>
          <w:rFonts w:hint="eastAsia" w:ascii="宋体" w:hAnsi="宋体" w:eastAsia="宋体" w:cs="宋体"/>
          <w:color w:val="auto"/>
          <w:szCs w:val="24"/>
          <w:highlight w:val="none"/>
          <w:u w:val="single"/>
        </w:rPr>
        <w:t>（2）当投标总报价等于评标基准价时得100分，投标总报价每高于评标基准价1%，扣0.2分，每低于评标基准价1%，扣0.1分，</w:t>
      </w:r>
      <w:r>
        <w:rPr>
          <w:rFonts w:ascii="宋体" w:hAnsi="宋体" w:eastAsia="宋体" w:cs="Times New Roman"/>
          <w:color w:val="auto"/>
          <w:szCs w:val="21"/>
          <w:highlight w:val="none"/>
          <w:u w:val="single"/>
        </w:rPr>
        <w:t>得出投标报价得分</w:t>
      </w:r>
      <w:r>
        <w:rPr>
          <w:rFonts w:hint="eastAsia" w:ascii="宋体" w:hAnsi="宋体" w:eastAsia="宋体" w:cs="Times New Roman"/>
          <w:color w:val="auto"/>
          <w:szCs w:val="21"/>
          <w:highlight w:val="none"/>
          <w:u w:val="single"/>
        </w:rPr>
        <w:t>，</w:t>
      </w:r>
      <w:r>
        <w:rPr>
          <w:rFonts w:hint="eastAsia" w:ascii="宋体" w:hAnsi="宋体" w:eastAsia="宋体" w:cs="宋体"/>
          <w:color w:val="auto"/>
          <w:szCs w:val="24"/>
          <w:highlight w:val="none"/>
          <w:u w:val="single"/>
        </w:rPr>
        <w:t>最多扣100分，精确到小数点后两位，第三位小数四舍五入。</w:t>
      </w:r>
    </w:p>
    <w:p w14:paraId="7FD2F644">
      <w:pPr>
        <w:keepNext/>
        <w:keepLines/>
        <w:spacing w:before="260" w:after="260" w:line="415" w:lineRule="auto"/>
        <w:ind w:firstLine="137" w:firstLineChars="49"/>
        <w:outlineLvl w:val="2"/>
        <w:rPr>
          <w:rFonts w:hint="eastAsia"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3.6 评审汇总</w:t>
      </w:r>
    </w:p>
    <w:p w14:paraId="5B3E9A4B">
      <w:pPr>
        <w:spacing w:line="360" w:lineRule="auto"/>
        <w:ind w:firstLine="420" w:firstLineChars="200"/>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rPr>
        <w:t xml:space="preserve">3.6.1 </w:t>
      </w:r>
      <w:r>
        <w:rPr>
          <w:rFonts w:hint="eastAsia" w:ascii="宋体" w:hAnsi="宋体" w:eastAsia="宋体" w:cs="宋体"/>
          <w:color w:val="auto"/>
          <w:szCs w:val="24"/>
          <w:highlight w:val="none"/>
          <w:u w:val="single"/>
        </w:rPr>
        <w:t>评标委员会</w:t>
      </w:r>
      <w:r>
        <w:rPr>
          <w:rFonts w:hint="eastAsia" w:ascii="宋体" w:hAnsi="宋体" w:eastAsia="宋体" w:cs="Times New Roman"/>
          <w:color w:val="auto"/>
          <w:szCs w:val="21"/>
          <w:highlight w:val="none"/>
          <w:u w:val="single"/>
        </w:rPr>
        <w:t>在评标系统揭晓投标人身份并汇总投标人总得分。</w:t>
      </w:r>
    </w:p>
    <w:p w14:paraId="0BB21860">
      <w:pPr>
        <w:spacing w:line="360" w:lineRule="auto"/>
        <w:ind w:firstLine="420" w:firstLineChars="200"/>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rPr>
        <w:t>3.6.2投标人总得分满分为100分，分数出现小数点，保留小数点后二位，第三位小数四舍五入。总分权重分配见:评标办法前附表。</w:t>
      </w:r>
    </w:p>
    <w:p w14:paraId="4A5DC848">
      <w:pPr>
        <w:spacing w:line="360" w:lineRule="auto"/>
        <w:ind w:firstLine="420" w:firstLineChars="200"/>
        <w:rPr>
          <w:rFonts w:hint="eastAsia" w:ascii="宋体" w:hAnsi="宋体" w:eastAsia="宋体" w:cs="宋体"/>
          <w:color w:val="auto"/>
          <w:szCs w:val="24"/>
          <w:highlight w:val="none"/>
          <w:u w:val="single"/>
        </w:rPr>
      </w:pPr>
      <w:r>
        <w:rPr>
          <w:rFonts w:hint="eastAsia" w:ascii="宋体" w:hAnsi="宋体" w:eastAsia="宋体" w:cs="Times New Roman"/>
          <w:color w:val="auto"/>
          <w:szCs w:val="21"/>
          <w:highlight w:val="none"/>
          <w:u w:val="single"/>
        </w:rPr>
        <w:t>3.6.3</w:t>
      </w:r>
      <w:r>
        <w:rPr>
          <w:rFonts w:hint="eastAsia" w:ascii="宋体" w:hAnsi="宋体" w:eastAsia="宋体" w:cs="宋体"/>
          <w:color w:val="auto"/>
          <w:szCs w:val="24"/>
          <w:highlight w:val="none"/>
          <w:u w:val="single"/>
        </w:rPr>
        <w:t>评标委员会</w:t>
      </w:r>
      <w:r>
        <w:rPr>
          <w:rFonts w:hint="eastAsia" w:ascii="宋体" w:hAnsi="宋体" w:eastAsia="宋体" w:cs="Times New Roman"/>
          <w:color w:val="auto"/>
          <w:szCs w:val="21"/>
          <w:highlight w:val="none"/>
          <w:u w:val="single"/>
        </w:rPr>
        <w:t>按照“评标办法前附表</w:t>
      </w:r>
      <w:r>
        <w:rPr>
          <w:rFonts w:ascii="宋体" w:hAnsi="宋体" w:eastAsia="宋体" w:cs="Times New Roman"/>
          <w:color w:val="auto"/>
          <w:szCs w:val="21"/>
          <w:highlight w:val="none"/>
          <w:u w:val="single"/>
        </w:rPr>
        <w:t>”</w:t>
      </w:r>
      <w:r>
        <w:rPr>
          <w:rFonts w:hint="eastAsia" w:ascii="宋体" w:hAnsi="宋体" w:eastAsia="宋体" w:cs="Times New Roman"/>
          <w:color w:val="auto"/>
          <w:szCs w:val="21"/>
          <w:highlight w:val="none"/>
          <w:u w:val="single"/>
        </w:rPr>
        <w:t>所述公式，只有通过初步评审方可计算各有效投标文件的总分，并按照总分从高到低排列先后次序。总分相同的，以投标总报价低的优先；投标总报价也相同的，以工程总承包实施方案得分高的优先；总分、投标总报价与工程总承包实施方案得分均相同的投标文件，则对具有相同情况的投标人，按中标候选人数量规定，由</w:t>
      </w:r>
      <w:r>
        <w:rPr>
          <w:rFonts w:hint="eastAsia" w:ascii="宋体" w:hAnsi="宋体" w:eastAsia="宋体" w:cs="宋体"/>
          <w:color w:val="auto"/>
          <w:szCs w:val="24"/>
          <w:highlight w:val="none"/>
          <w:u w:val="single"/>
        </w:rPr>
        <w:t>评标委员会</w:t>
      </w:r>
      <w:r>
        <w:rPr>
          <w:rFonts w:hint="eastAsia" w:ascii="宋体" w:hAnsi="宋体" w:eastAsia="宋体" w:cs="Times New Roman"/>
          <w:color w:val="auto"/>
          <w:szCs w:val="21"/>
          <w:highlight w:val="none"/>
          <w:u w:val="single"/>
        </w:rPr>
        <w:t>采用实名投票方式，确定中标候选人的排序。</w:t>
      </w:r>
      <w:r>
        <w:rPr>
          <w:rFonts w:hint="eastAsia" w:ascii="宋体" w:hAnsi="宋体" w:eastAsia="宋体" w:cs="宋体"/>
          <w:color w:val="auto"/>
          <w:szCs w:val="24"/>
          <w:highlight w:val="none"/>
          <w:u w:val="single"/>
        </w:rPr>
        <w:t>评标委员会</w:t>
      </w:r>
      <w:r>
        <w:rPr>
          <w:rFonts w:hint="eastAsia" w:ascii="宋体" w:hAnsi="宋体" w:eastAsia="宋体" w:cs="Times New Roman"/>
          <w:color w:val="auto"/>
          <w:szCs w:val="21"/>
          <w:highlight w:val="none"/>
          <w:u w:val="single"/>
        </w:rPr>
        <w:t>应按排序先后，在招标文件有效的投标人中，向招标人推荐前3名投标人依次为第一中标候选人至第三中标候选人，并编写评标报告（对评标结论持有异议的评标委员会成员可以书面方式阐述其不同意见和理由）。</w:t>
      </w:r>
    </w:p>
    <w:p w14:paraId="0AD94ED9">
      <w:pPr>
        <w:spacing w:line="360" w:lineRule="auto"/>
        <w:ind w:firstLine="420" w:firstLineChars="200"/>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rPr>
        <w:t>3.6.3 通过初步评审的投标人不足3名的为招标失败。</w:t>
      </w:r>
    </w:p>
    <w:p w14:paraId="4DB28265">
      <w:pPr>
        <w:keepNext/>
        <w:keepLines/>
        <w:spacing w:before="260" w:after="260" w:line="415" w:lineRule="auto"/>
        <w:ind w:firstLine="137" w:firstLineChars="49"/>
        <w:outlineLvl w:val="2"/>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3.7 投标文件的澄清和补正</w:t>
      </w:r>
    </w:p>
    <w:p w14:paraId="544132EF">
      <w:pPr>
        <w:spacing w:line="360" w:lineRule="auto"/>
        <w:ind w:firstLine="424" w:firstLineChars="202"/>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3.7.1 为有助于投标文件的审查、评价和比较，评标期间，经评标委员会中两人以上（含两人）的成员以书面形式提出动议，评标委员会应当书面发出澄清通知，要求投标人对投标文件含义不明确的内容作出澄清。</w:t>
      </w:r>
    </w:p>
    <w:p w14:paraId="644BD749">
      <w:pPr>
        <w:spacing w:line="360" w:lineRule="auto"/>
        <w:ind w:firstLine="424" w:firstLineChars="202"/>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3.7.2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相应评审的依据。</w:t>
      </w:r>
    </w:p>
    <w:p w14:paraId="4C8EEAE7">
      <w:pPr>
        <w:spacing w:line="360" w:lineRule="auto"/>
        <w:ind w:firstLine="424" w:firstLineChars="202"/>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3.7.3 评标委员会成员均应当阅读投标人的澄清，但应独立参考澄清对投标文件进行评审。</w:t>
      </w:r>
    </w:p>
    <w:p w14:paraId="21D68287">
      <w:pPr>
        <w:spacing w:line="360" w:lineRule="auto"/>
        <w:ind w:firstLine="424" w:firstLineChars="202"/>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3.7.4 如果投标文件实质上不响应招标文件的各项要求，评标委员会相应评审将按照响应性审查标准予以拒绝，不接受投标人通过修改或撤销其不符合要求的差异或保留，使之成为具有响应性的投标。</w:t>
      </w:r>
    </w:p>
    <w:p w14:paraId="3D5A2A05">
      <w:pPr>
        <w:keepNext/>
        <w:keepLines/>
        <w:spacing w:before="260" w:after="260" w:line="415" w:lineRule="auto"/>
        <w:ind w:firstLine="137" w:firstLineChars="49"/>
        <w:outlineLvl w:val="2"/>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3.8 评标结果</w:t>
      </w:r>
    </w:p>
    <w:p w14:paraId="470AC567">
      <w:pPr>
        <w:spacing w:line="360" w:lineRule="auto"/>
        <w:ind w:firstLine="424" w:firstLineChars="202"/>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3.8.1 除第二章“投标人须知”前附表授权直接确定中标人外，评标委员会按照得分由高到低的顺序推荐中标候选人。</w:t>
      </w:r>
    </w:p>
    <w:p w14:paraId="0343D41E">
      <w:pPr>
        <w:spacing w:line="360" w:lineRule="auto"/>
        <w:ind w:firstLine="422" w:firstLineChars="201"/>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3.8.2 评标委员会完成评标后，应当向招标人提交书面评标报告。</w:t>
      </w:r>
    </w:p>
    <w:p w14:paraId="7552D647">
      <w:pPr>
        <w:spacing w:line="360" w:lineRule="auto"/>
        <w:ind w:firstLine="424" w:firstLineChars="202"/>
        <w:rPr>
          <w:rFonts w:hint="eastAsia" w:ascii="宋体" w:hAnsi="宋体" w:eastAsia="宋体" w:cs="宋体"/>
          <w:color w:val="auto"/>
          <w:szCs w:val="21"/>
          <w:highlight w:val="none"/>
          <w:u w:val="single"/>
        </w:rPr>
      </w:pPr>
      <w:r>
        <w:rPr>
          <w:rFonts w:hint="eastAsia" w:ascii="宋体" w:hAnsi="宋体" w:eastAsia="宋体" w:cs="宋体"/>
          <w:bCs w:val="0"/>
          <w:color w:val="auto"/>
          <w:sz w:val="21"/>
          <w:szCs w:val="21"/>
          <w:highlight w:val="none"/>
          <w:u w:val="single"/>
        </w:rPr>
        <w:t>3.8.3 投标人如在本项目中存在串通投标、弄虚作假、行贿情形且在评标过程中未被发现的，其投标不改变本项目评标结果排序。招标人按照《中华人民共和国招标投标法实施条例》第五十五条的规定确定中标人或重新招标。</w:t>
      </w:r>
    </w:p>
    <w:p w14:paraId="10C1FBA7">
      <w:pPr>
        <w:spacing w:line="400" w:lineRule="exact"/>
        <w:ind w:firstLine="457" w:firstLineChars="218"/>
        <w:rPr>
          <w:rFonts w:hint="eastAsia" w:ascii="宋体" w:hAnsi="宋体" w:cs="宋体"/>
          <w:color w:val="auto"/>
          <w:highlight w:val="none"/>
        </w:rPr>
        <w:sectPr>
          <w:pgSz w:w="11906" w:h="16838"/>
          <w:pgMar w:top="1418" w:right="1134" w:bottom="1418" w:left="1134" w:header="851" w:footer="992" w:gutter="0"/>
          <w:cols w:space="720" w:num="1"/>
          <w:docGrid w:type="lines" w:linePitch="312" w:charSpace="0"/>
        </w:sectPr>
      </w:pPr>
    </w:p>
    <w:p w14:paraId="61E42956">
      <w:pPr>
        <w:rPr>
          <w:rFonts w:hint="eastAsia" w:ascii="宋体" w:hAnsi="宋体" w:cs="宋体"/>
          <w:b/>
          <w:color w:val="auto"/>
          <w:sz w:val="24"/>
          <w:highlight w:val="none"/>
        </w:rPr>
      </w:pPr>
      <w:r>
        <w:rPr>
          <w:rFonts w:hint="eastAsia" w:ascii="宋体" w:hAnsi="宋体" w:cs="宋体"/>
          <w:b/>
          <w:color w:val="auto"/>
          <w:sz w:val="24"/>
          <w:highlight w:val="none"/>
        </w:rPr>
        <w:t xml:space="preserve">                         </w:t>
      </w:r>
    </w:p>
    <w:p w14:paraId="0912A35C">
      <w:pPr>
        <w:spacing w:line="300" w:lineRule="auto"/>
        <w:ind w:left="-424" w:leftChars="-202"/>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投标总报价得分计算表</w:t>
      </w:r>
    </w:p>
    <w:p w14:paraId="2B11AF1B">
      <w:pPr>
        <w:jc w:val="center"/>
        <w:rPr>
          <w:rFonts w:hint="eastAsia" w:ascii="宋体" w:hAnsi="宋体" w:cs="宋体"/>
          <w:b/>
          <w:color w:val="auto"/>
          <w:sz w:val="24"/>
          <w:highlight w:val="none"/>
        </w:rPr>
      </w:pPr>
    </w:p>
    <w:tbl>
      <w:tblPr>
        <w:tblStyle w:val="40"/>
        <w:tblW w:w="14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1011"/>
        <w:gridCol w:w="1008"/>
        <w:gridCol w:w="1008"/>
        <w:gridCol w:w="1008"/>
        <w:gridCol w:w="1007"/>
        <w:gridCol w:w="1007"/>
        <w:gridCol w:w="1007"/>
        <w:gridCol w:w="1007"/>
        <w:gridCol w:w="1007"/>
        <w:gridCol w:w="1007"/>
        <w:gridCol w:w="1007"/>
        <w:gridCol w:w="1033"/>
      </w:tblGrid>
      <w:tr w14:paraId="5A8A8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2275" w:type="dxa"/>
            <w:tcBorders>
              <w:top w:val="single" w:color="auto" w:sz="4" w:space="0"/>
              <w:left w:val="single" w:color="auto" w:sz="4" w:space="0"/>
              <w:bottom w:val="single" w:color="auto" w:sz="4" w:space="0"/>
              <w:right w:val="single" w:color="auto" w:sz="4" w:space="0"/>
            </w:tcBorders>
            <w:vAlign w:val="center"/>
          </w:tcPr>
          <w:p w14:paraId="60775880">
            <w:pPr>
              <w:rPr>
                <w:rFonts w:hint="eastAsia" w:ascii="宋体" w:hAnsi="宋体" w:cs="宋体"/>
                <w:color w:val="auto"/>
                <w:szCs w:val="21"/>
                <w:highlight w:val="none"/>
              </w:rPr>
            </w:pPr>
            <w:r>
              <w:rPr>
                <w:rFonts w:hint="eastAsia" w:ascii="宋体" w:hAnsi="宋体" w:cs="宋体"/>
                <w:color w:val="auto"/>
                <w:szCs w:val="21"/>
                <w:highlight w:val="none"/>
              </w:rPr>
              <w:t>投标人名称</w:t>
            </w:r>
          </w:p>
        </w:tc>
        <w:tc>
          <w:tcPr>
            <w:tcW w:w="1011" w:type="dxa"/>
            <w:tcBorders>
              <w:top w:val="single" w:color="auto" w:sz="4" w:space="0"/>
              <w:left w:val="single" w:color="auto" w:sz="4" w:space="0"/>
              <w:bottom w:val="single" w:color="auto" w:sz="4" w:space="0"/>
              <w:right w:val="single" w:color="auto" w:sz="4" w:space="0"/>
            </w:tcBorders>
            <w:vAlign w:val="center"/>
          </w:tcPr>
          <w:p w14:paraId="5D8B2175">
            <w:pPr>
              <w:rPr>
                <w:rFonts w:hint="eastAsia" w:ascii="宋体" w:hAnsi="宋体" w:cs="宋体"/>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14:paraId="3D8F621E">
            <w:pPr>
              <w:rPr>
                <w:rFonts w:hint="eastAsia" w:ascii="宋体" w:hAnsi="宋体" w:cs="宋体"/>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14:paraId="40B3DFDB">
            <w:pPr>
              <w:rPr>
                <w:rFonts w:hint="eastAsia" w:ascii="宋体" w:hAnsi="宋体" w:cs="宋体"/>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14:paraId="4F9FAEEC">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3C066FD2">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5DFCAE31">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41B38503">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1F029D8E">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426325C8">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70AD3149">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3F48B03C">
            <w:pPr>
              <w:rPr>
                <w:rFonts w:hint="eastAsia" w:ascii="宋体" w:hAnsi="宋体" w:cs="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629DCB3B">
            <w:pPr>
              <w:rPr>
                <w:rFonts w:hint="eastAsia" w:ascii="宋体" w:hAnsi="宋体" w:cs="宋体"/>
                <w:color w:val="auto"/>
                <w:szCs w:val="21"/>
                <w:highlight w:val="none"/>
              </w:rPr>
            </w:pPr>
          </w:p>
        </w:tc>
      </w:tr>
      <w:tr w14:paraId="0547C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275" w:type="dxa"/>
            <w:tcBorders>
              <w:top w:val="single" w:color="auto" w:sz="4" w:space="0"/>
              <w:left w:val="single" w:color="auto" w:sz="4" w:space="0"/>
              <w:bottom w:val="single" w:color="auto" w:sz="4" w:space="0"/>
              <w:right w:val="single" w:color="auto" w:sz="4" w:space="0"/>
            </w:tcBorders>
            <w:vAlign w:val="center"/>
          </w:tcPr>
          <w:p w14:paraId="0EEA7D9C">
            <w:pPr>
              <w:rPr>
                <w:rFonts w:hint="eastAsia" w:ascii="宋体" w:hAnsi="宋体" w:cs="宋体"/>
                <w:color w:val="auto"/>
                <w:szCs w:val="21"/>
                <w:highlight w:val="none"/>
              </w:rPr>
            </w:pPr>
            <w:r>
              <w:rPr>
                <w:rFonts w:hint="eastAsia" w:ascii="宋体" w:hAnsi="宋体" w:cs="宋体"/>
                <w:color w:val="auto"/>
                <w:szCs w:val="21"/>
                <w:highlight w:val="none"/>
              </w:rPr>
              <w:t>投标报价PT（元）</w:t>
            </w:r>
          </w:p>
          <w:p w14:paraId="54E18384">
            <w:pPr>
              <w:rPr>
                <w:rFonts w:hint="eastAsia" w:ascii="宋体" w:hAnsi="宋体" w:cs="宋体"/>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14:paraId="6A7F417B">
            <w:pPr>
              <w:rPr>
                <w:rFonts w:hint="eastAsia" w:ascii="宋体" w:hAnsi="宋体" w:cs="宋体"/>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14:paraId="2F00066B">
            <w:pPr>
              <w:rPr>
                <w:rFonts w:hint="eastAsia" w:ascii="宋体" w:hAnsi="宋体" w:cs="宋体"/>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14:paraId="2F02FE94">
            <w:pPr>
              <w:rPr>
                <w:rFonts w:hint="eastAsia" w:ascii="宋体" w:hAnsi="宋体" w:cs="宋体"/>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14:paraId="20ED4717">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49CCF03B">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5628EE16">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7B4295FC">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4480D623">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1DA3E4A5">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33873EF2">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66869BCF">
            <w:pPr>
              <w:rPr>
                <w:rFonts w:hint="eastAsia" w:ascii="宋体" w:hAnsi="宋体" w:cs="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5514427E">
            <w:pPr>
              <w:rPr>
                <w:rFonts w:hint="eastAsia" w:ascii="宋体" w:hAnsi="宋体" w:cs="宋体"/>
                <w:color w:val="auto"/>
                <w:szCs w:val="21"/>
                <w:highlight w:val="none"/>
              </w:rPr>
            </w:pPr>
          </w:p>
        </w:tc>
      </w:tr>
      <w:tr w14:paraId="7C199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275" w:type="dxa"/>
            <w:tcBorders>
              <w:top w:val="single" w:color="auto" w:sz="4" w:space="0"/>
              <w:left w:val="single" w:color="auto" w:sz="4" w:space="0"/>
              <w:bottom w:val="single" w:color="auto" w:sz="4" w:space="0"/>
              <w:right w:val="single" w:color="auto" w:sz="4" w:space="0"/>
            </w:tcBorders>
            <w:vAlign w:val="center"/>
          </w:tcPr>
          <w:p w14:paraId="2D3700E1">
            <w:pPr>
              <w:rPr>
                <w:rFonts w:hint="eastAsia" w:ascii="宋体" w:hAnsi="宋体" w:cs="宋体"/>
                <w:color w:val="auto"/>
                <w:szCs w:val="21"/>
                <w:highlight w:val="none"/>
              </w:rPr>
            </w:pPr>
            <w:r>
              <w:rPr>
                <w:rFonts w:hint="eastAsia" w:ascii="宋体" w:hAnsi="宋体" w:cs="宋体"/>
                <w:color w:val="auto"/>
                <w:szCs w:val="21"/>
                <w:highlight w:val="none"/>
              </w:rPr>
              <w:t>评标基准价PC（元）</w:t>
            </w:r>
          </w:p>
        </w:tc>
        <w:tc>
          <w:tcPr>
            <w:tcW w:w="12117" w:type="dxa"/>
            <w:gridSpan w:val="12"/>
            <w:tcBorders>
              <w:top w:val="single" w:color="auto" w:sz="4" w:space="0"/>
              <w:left w:val="single" w:color="auto" w:sz="4" w:space="0"/>
              <w:bottom w:val="single" w:color="auto" w:sz="4" w:space="0"/>
              <w:right w:val="single" w:color="auto" w:sz="4" w:space="0"/>
            </w:tcBorders>
            <w:vAlign w:val="center"/>
          </w:tcPr>
          <w:p w14:paraId="32297927">
            <w:pPr>
              <w:rPr>
                <w:rFonts w:hint="eastAsia" w:ascii="宋体" w:hAnsi="宋体" w:cs="宋体"/>
                <w:color w:val="auto"/>
                <w:szCs w:val="21"/>
                <w:highlight w:val="none"/>
              </w:rPr>
            </w:pPr>
          </w:p>
        </w:tc>
      </w:tr>
      <w:tr w14:paraId="67D2F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275" w:type="dxa"/>
            <w:tcBorders>
              <w:top w:val="single" w:color="auto" w:sz="4" w:space="0"/>
              <w:left w:val="single" w:color="auto" w:sz="4" w:space="0"/>
              <w:bottom w:val="single" w:color="auto" w:sz="4" w:space="0"/>
              <w:right w:val="single" w:color="auto" w:sz="4" w:space="0"/>
            </w:tcBorders>
            <w:vAlign w:val="center"/>
          </w:tcPr>
          <w:p w14:paraId="7CB345B8">
            <w:pPr>
              <w:rPr>
                <w:rFonts w:hint="eastAsia" w:ascii="宋体" w:hAnsi="宋体" w:cs="宋体"/>
                <w:color w:val="auto"/>
                <w:spacing w:val="-10"/>
                <w:szCs w:val="21"/>
                <w:highlight w:val="none"/>
              </w:rPr>
            </w:pPr>
            <w:r>
              <w:rPr>
                <w:rFonts w:hint="eastAsia" w:ascii="宋体" w:hAnsi="宋体" w:cs="宋体"/>
                <w:color w:val="auto"/>
                <w:spacing w:val="-10"/>
                <w:szCs w:val="21"/>
                <w:highlight w:val="none"/>
              </w:rPr>
              <w:t>偏差（（PT-PC）/PC）（%）</w:t>
            </w:r>
          </w:p>
        </w:tc>
        <w:tc>
          <w:tcPr>
            <w:tcW w:w="1011" w:type="dxa"/>
            <w:tcBorders>
              <w:top w:val="single" w:color="auto" w:sz="4" w:space="0"/>
              <w:left w:val="single" w:color="auto" w:sz="4" w:space="0"/>
              <w:bottom w:val="single" w:color="auto" w:sz="4" w:space="0"/>
              <w:right w:val="single" w:color="auto" w:sz="4" w:space="0"/>
            </w:tcBorders>
            <w:vAlign w:val="center"/>
          </w:tcPr>
          <w:p w14:paraId="04869178">
            <w:pPr>
              <w:rPr>
                <w:rFonts w:hint="eastAsia" w:ascii="宋体" w:hAnsi="宋体" w:cs="宋体"/>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14:paraId="3987522E">
            <w:pPr>
              <w:rPr>
                <w:rFonts w:hint="eastAsia" w:ascii="宋体" w:hAnsi="宋体" w:cs="宋体"/>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14:paraId="17688149">
            <w:pPr>
              <w:rPr>
                <w:rFonts w:hint="eastAsia" w:ascii="宋体" w:hAnsi="宋体" w:cs="宋体"/>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14:paraId="1F348771">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3D3CBD30">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5E32AAAF">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58CAEA04">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7B80919D">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0E5F1F09">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72365E6E">
            <w:pPr>
              <w:rPr>
                <w:rFonts w:hint="eastAsia" w:ascii="宋体" w:hAnsi="宋体" w:cs="宋体"/>
                <w:color w:val="auto"/>
                <w:szCs w:val="21"/>
                <w:highlight w:val="none"/>
              </w:rPr>
            </w:pPr>
          </w:p>
          <w:p w14:paraId="2AD18AB6">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43C33F8F">
            <w:pPr>
              <w:rPr>
                <w:rFonts w:hint="eastAsia" w:ascii="宋体" w:hAnsi="宋体" w:cs="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346A29D1">
            <w:pPr>
              <w:rPr>
                <w:rFonts w:hint="eastAsia" w:ascii="宋体" w:hAnsi="宋体" w:cs="宋体"/>
                <w:color w:val="auto"/>
                <w:szCs w:val="21"/>
                <w:highlight w:val="none"/>
              </w:rPr>
            </w:pPr>
          </w:p>
        </w:tc>
      </w:tr>
      <w:tr w14:paraId="3BFAE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275" w:type="dxa"/>
            <w:tcBorders>
              <w:top w:val="single" w:color="auto" w:sz="4" w:space="0"/>
              <w:left w:val="single" w:color="auto" w:sz="4" w:space="0"/>
              <w:bottom w:val="single" w:color="auto" w:sz="4" w:space="0"/>
              <w:right w:val="single" w:color="auto" w:sz="4" w:space="0"/>
            </w:tcBorders>
            <w:vAlign w:val="center"/>
          </w:tcPr>
          <w:p w14:paraId="23E9E6E6">
            <w:pPr>
              <w:rPr>
                <w:rFonts w:hint="eastAsia" w:ascii="宋体" w:hAnsi="宋体" w:cs="宋体"/>
                <w:color w:val="auto"/>
                <w:szCs w:val="21"/>
                <w:highlight w:val="none"/>
              </w:rPr>
            </w:pPr>
            <w:r>
              <w:rPr>
                <w:rFonts w:hint="eastAsia" w:ascii="宋体" w:hAnsi="宋体" w:cs="宋体"/>
                <w:color w:val="auto"/>
                <w:szCs w:val="21"/>
                <w:highlight w:val="none"/>
              </w:rPr>
              <w:t>减分（A）</w:t>
            </w:r>
          </w:p>
        </w:tc>
        <w:tc>
          <w:tcPr>
            <w:tcW w:w="1011" w:type="dxa"/>
            <w:tcBorders>
              <w:top w:val="single" w:color="auto" w:sz="4" w:space="0"/>
              <w:left w:val="single" w:color="auto" w:sz="4" w:space="0"/>
              <w:bottom w:val="single" w:color="auto" w:sz="4" w:space="0"/>
              <w:right w:val="single" w:color="auto" w:sz="4" w:space="0"/>
            </w:tcBorders>
            <w:vAlign w:val="center"/>
          </w:tcPr>
          <w:p w14:paraId="5F4BCEE8">
            <w:pPr>
              <w:rPr>
                <w:rFonts w:hint="eastAsia" w:ascii="宋体" w:hAnsi="宋体" w:cs="宋体"/>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14:paraId="7A4D93D0">
            <w:pPr>
              <w:rPr>
                <w:rFonts w:hint="eastAsia" w:ascii="宋体" w:hAnsi="宋体" w:cs="宋体"/>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14:paraId="0D2C843B">
            <w:pPr>
              <w:rPr>
                <w:rFonts w:hint="eastAsia" w:ascii="宋体" w:hAnsi="宋体" w:cs="宋体"/>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14:paraId="7FD99409">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59111DD8">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00B2DBFD">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68AE1754">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79C1E7FA">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1EED4DCB">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10CE34D9">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51CE22FA">
            <w:pPr>
              <w:rPr>
                <w:rFonts w:hint="eastAsia" w:ascii="宋体" w:hAnsi="宋体" w:cs="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6C20A8DC">
            <w:pPr>
              <w:rPr>
                <w:rFonts w:hint="eastAsia" w:ascii="宋体" w:hAnsi="宋体" w:cs="宋体"/>
                <w:color w:val="auto"/>
                <w:szCs w:val="21"/>
                <w:highlight w:val="none"/>
              </w:rPr>
            </w:pPr>
          </w:p>
        </w:tc>
      </w:tr>
      <w:tr w14:paraId="0E461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275" w:type="dxa"/>
            <w:tcBorders>
              <w:top w:val="single" w:color="auto" w:sz="4" w:space="0"/>
              <w:left w:val="single" w:color="auto" w:sz="4" w:space="0"/>
              <w:bottom w:val="single" w:color="auto" w:sz="4" w:space="0"/>
              <w:right w:val="single" w:color="auto" w:sz="4" w:space="0"/>
            </w:tcBorders>
            <w:vAlign w:val="center"/>
          </w:tcPr>
          <w:p w14:paraId="23F66357">
            <w:pPr>
              <w:rPr>
                <w:rFonts w:hint="eastAsia" w:ascii="宋体" w:hAnsi="宋体" w:cs="宋体"/>
                <w:color w:val="auto"/>
                <w:szCs w:val="21"/>
                <w:highlight w:val="none"/>
              </w:rPr>
            </w:pPr>
            <w:r>
              <w:rPr>
                <w:rFonts w:hint="eastAsia" w:ascii="宋体" w:hAnsi="宋体" w:cs="宋体"/>
                <w:color w:val="auto"/>
                <w:szCs w:val="21"/>
                <w:highlight w:val="none"/>
              </w:rPr>
              <w:t>得分(I=100-A)</w:t>
            </w:r>
          </w:p>
        </w:tc>
        <w:tc>
          <w:tcPr>
            <w:tcW w:w="1011" w:type="dxa"/>
            <w:tcBorders>
              <w:top w:val="single" w:color="auto" w:sz="4" w:space="0"/>
              <w:left w:val="single" w:color="auto" w:sz="4" w:space="0"/>
              <w:bottom w:val="single" w:color="auto" w:sz="4" w:space="0"/>
              <w:right w:val="single" w:color="auto" w:sz="4" w:space="0"/>
            </w:tcBorders>
            <w:vAlign w:val="center"/>
          </w:tcPr>
          <w:p w14:paraId="3E4DD3C7">
            <w:pPr>
              <w:rPr>
                <w:rFonts w:hint="eastAsia" w:ascii="宋体" w:hAnsi="宋体" w:cs="宋体"/>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14:paraId="4AC24498">
            <w:pPr>
              <w:rPr>
                <w:rFonts w:hint="eastAsia" w:ascii="宋体" w:hAnsi="宋体" w:cs="宋体"/>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14:paraId="19CE6A1E">
            <w:pPr>
              <w:rPr>
                <w:rFonts w:hint="eastAsia" w:ascii="宋体" w:hAnsi="宋体" w:cs="宋体"/>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14:paraId="1EC9ADC8">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3A1CA3EE">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77C9A5DE">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0DED2FA3">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5F49289A">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14A7721E">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76D19806">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61C2280C">
            <w:pPr>
              <w:rPr>
                <w:rFonts w:hint="eastAsia" w:ascii="宋体" w:hAnsi="宋体" w:cs="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70873696">
            <w:pPr>
              <w:rPr>
                <w:rFonts w:hint="eastAsia" w:ascii="宋体" w:hAnsi="宋体" w:cs="宋体"/>
                <w:color w:val="auto"/>
                <w:szCs w:val="21"/>
                <w:highlight w:val="none"/>
              </w:rPr>
            </w:pPr>
          </w:p>
        </w:tc>
      </w:tr>
    </w:tbl>
    <w:p w14:paraId="32EECDD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注：报价得分精确到小数点后两位。</w:t>
      </w:r>
    </w:p>
    <w:p w14:paraId="0E5AD10D">
      <w:pPr>
        <w:spacing w:line="360" w:lineRule="auto"/>
        <w:ind w:firstLine="405"/>
        <w:rPr>
          <w:rFonts w:hint="eastAsia" w:ascii="宋体" w:hAnsi="宋体" w:cs="宋体"/>
          <w:color w:val="auto"/>
          <w:szCs w:val="21"/>
          <w:highlight w:val="none"/>
        </w:rPr>
      </w:pPr>
    </w:p>
    <w:p w14:paraId="4D129871">
      <w:pPr>
        <w:spacing w:line="360" w:lineRule="auto"/>
        <w:ind w:left="209" w:leftChars="-67" w:hanging="350" w:hangingChars="167"/>
        <w:jc w:val="left"/>
        <w:rPr>
          <w:rFonts w:hint="eastAsia" w:ascii="宋体" w:hAnsi="宋体" w:cs="宋体"/>
          <w:color w:val="auto"/>
          <w:szCs w:val="21"/>
          <w:highlight w:val="none"/>
        </w:rPr>
      </w:pPr>
      <w:r>
        <w:rPr>
          <w:rFonts w:hint="eastAsia" w:ascii="宋体" w:hAnsi="宋体" w:cs="宋体"/>
          <w:color w:val="auto"/>
          <w:szCs w:val="21"/>
          <w:highlight w:val="none"/>
        </w:rPr>
        <w:t>评委签名：                              日期：</w:t>
      </w:r>
    </w:p>
    <w:p w14:paraId="5D6F1425">
      <w:pPr>
        <w:spacing w:line="360" w:lineRule="auto"/>
        <w:ind w:left="209" w:leftChars="-67" w:hanging="350" w:hangingChars="167"/>
        <w:jc w:val="left"/>
        <w:rPr>
          <w:rFonts w:hint="eastAsia" w:ascii="宋体" w:hAnsi="宋体" w:cs="宋体"/>
          <w:color w:val="auto"/>
          <w:szCs w:val="21"/>
          <w:highlight w:val="none"/>
        </w:rPr>
      </w:pPr>
    </w:p>
    <w:p w14:paraId="0964BB44">
      <w:pPr>
        <w:spacing w:line="360" w:lineRule="auto"/>
        <w:ind w:left="209" w:leftChars="-67" w:hanging="350" w:hangingChars="167"/>
        <w:jc w:val="left"/>
        <w:rPr>
          <w:rFonts w:hint="eastAsia" w:ascii="宋体" w:hAnsi="宋体" w:cs="宋体"/>
          <w:color w:val="auto"/>
          <w:szCs w:val="21"/>
          <w:highlight w:val="none"/>
        </w:rPr>
      </w:pPr>
    </w:p>
    <w:p w14:paraId="7870E1C9">
      <w:pPr>
        <w:spacing w:line="400" w:lineRule="exact"/>
        <w:rPr>
          <w:rFonts w:hint="eastAsia" w:ascii="宋体" w:hAnsi="宋体" w:cs="宋体"/>
          <w:color w:val="auto"/>
          <w:highlight w:val="none"/>
        </w:rPr>
      </w:pPr>
      <w:bookmarkStart w:id="444" w:name="_Toc144974577"/>
      <w:bookmarkStart w:id="445" w:name="_Toc247514033"/>
      <w:bookmarkStart w:id="446" w:name="_Toc152045609"/>
      <w:bookmarkStart w:id="447" w:name="_Toc152042387"/>
      <w:bookmarkStart w:id="448" w:name="_Toc247527634"/>
    </w:p>
    <w:p w14:paraId="036D225C">
      <w:pPr>
        <w:pStyle w:val="2"/>
        <w:rPr>
          <w:rFonts w:hint="eastAsia" w:ascii="宋体" w:hAnsi="宋体" w:cs="宋体"/>
          <w:color w:val="auto"/>
          <w:highlight w:val="none"/>
        </w:rPr>
        <w:sectPr>
          <w:headerReference r:id="rId4" w:type="default"/>
          <w:footerReference r:id="rId5" w:type="default"/>
          <w:footnotePr>
            <w:numRestart w:val="eachPage"/>
          </w:footnotePr>
          <w:pgSz w:w="16838" w:h="11905" w:orient="landscape"/>
          <w:pgMar w:top="1134" w:right="1417" w:bottom="1134" w:left="1417" w:header="851" w:footer="992" w:gutter="0"/>
          <w:cols w:space="720" w:num="1"/>
          <w:docGrid w:type="lines" w:linePitch="321" w:charSpace="0"/>
        </w:sectPr>
      </w:pPr>
    </w:p>
    <w:p w14:paraId="2747FABF">
      <w:pPr>
        <w:pStyle w:val="2"/>
        <w:jc w:val="center"/>
        <w:rPr>
          <w:rFonts w:hint="eastAsia" w:ascii="宋体" w:hAnsi="宋体" w:cs="宋体"/>
          <w:color w:val="auto"/>
          <w:highlight w:val="none"/>
        </w:rPr>
      </w:pPr>
      <w:bookmarkStart w:id="449" w:name="_Toc30231"/>
      <w:bookmarkStart w:id="450" w:name="_Toc24223"/>
      <w:r>
        <w:rPr>
          <w:rFonts w:hint="eastAsia" w:ascii="宋体" w:hAnsi="宋体" w:cs="宋体"/>
          <w:color w:val="auto"/>
          <w:highlight w:val="none"/>
        </w:rPr>
        <w:t>第四章  合同条款及格式</w:t>
      </w:r>
      <w:bookmarkEnd w:id="444"/>
      <w:bookmarkEnd w:id="445"/>
      <w:bookmarkEnd w:id="446"/>
      <w:bookmarkEnd w:id="447"/>
      <w:bookmarkEnd w:id="448"/>
      <w:bookmarkEnd w:id="449"/>
      <w:bookmarkEnd w:id="450"/>
      <w:bookmarkStart w:id="451" w:name="_Toc144974578"/>
      <w:bookmarkStart w:id="452" w:name="_Toc247527635"/>
      <w:bookmarkStart w:id="453" w:name="_Toc152042388"/>
      <w:bookmarkStart w:id="454" w:name="_Toc184635097"/>
      <w:bookmarkStart w:id="455" w:name="_Toc152045610"/>
      <w:bookmarkStart w:id="456" w:name="_Toc247514034"/>
    </w:p>
    <w:p w14:paraId="0F6B42E9">
      <w:pPr>
        <w:jc w:val="center"/>
        <w:rPr>
          <w:rFonts w:hint="eastAsia" w:ascii="宋体" w:hAnsi="宋体" w:cs="宋体"/>
          <w:color w:val="auto"/>
          <w:sz w:val="24"/>
          <w:highlight w:val="none"/>
          <w:u w:val="single"/>
        </w:rPr>
      </w:pPr>
      <w:r>
        <w:rPr>
          <w:rFonts w:hint="eastAsia" w:ascii="宋体" w:hAnsi="宋体" w:cs="宋体"/>
          <w:color w:val="auto"/>
          <w:sz w:val="24"/>
          <w:highlight w:val="none"/>
          <w:u w:val="single"/>
        </w:rPr>
        <w:t>（另册）</w:t>
      </w:r>
      <w:bookmarkEnd w:id="451"/>
      <w:bookmarkEnd w:id="452"/>
      <w:bookmarkEnd w:id="453"/>
      <w:bookmarkEnd w:id="454"/>
      <w:bookmarkEnd w:id="455"/>
      <w:bookmarkEnd w:id="456"/>
    </w:p>
    <w:p w14:paraId="498F2FD7">
      <w:pPr>
        <w:pStyle w:val="2"/>
        <w:jc w:val="center"/>
        <w:rPr>
          <w:rFonts w:hint="eastAsia" w:ascii="宋体" w:hAnsi="宋体" w:cs="宋体"/>
          <w:color w:val="auto"/>
          <w:highlight w:val="none"/>
        </w:rPr>
      </w:pPr>
      <w:bookmarkStart w:id="457" w:name="_Toc247514233"/>
      <w:bookmarkStart w:id="458" w:name="_Toc144974851"/>
      <w:bookmarkStart w:id="459" w:name="_Toc152045782"/>
      <w:bookmarkStart w:id="460" w:name="_Toc247527820"/>
      <w:bookmarkStart w:id="461" w:name="_Toc152042571"/>
      <w:bookmarkStart w:id="462" w:name="_Toc16246"/>
      <w:bookmarkStart w:id="463" w:name="_Toc9547"/>
      <w:r>
        <w:rPr>
          <w:rFonts w:hint="eastAsia" w:ascii="宋体" w:hAnsi="宋体" w:cs="宋体"/>
          <w:color w:val="auto"/>
          <w:highlight w:val="none"/>
        </w:rPr>
        <w:br w:type="page"/>
      </w:r>
      <w:r>
        <w:rPr>
          <w:rFonts w:hint="eastAsia" w:ascii="宋体" w:hAnsi="宋体" w:cs="宋体"/>
          <w:color w:val="auto"/>
          <w:highlight w:val="none"/>
        </w:rPr>
        <w:t xml:space="preserve">第五章  </w:t>
      </w:r>
      <w:bookmarkEnd w:id="457"/>
      <w:bookmarkEnd w:id="458"/>
      <w:bookmarkEnd w:id="459"/>
      <w:bookmarkEnd w:id="460"/>
      <w:bookmarkEnd w:id="461"/>
      <w:r>
        <w:rPr>
          <w:rFonts w:hint="eastAsia" w:ascii="宋体" w:hAnsi="宋体" w:cs="宋体"/>
          <w:color w:val="auto"/>
          <w:highlight w:val="none"/>
        </w:rPr>
        <w:t>招标人要求</w:t>
      </w:r>
      <w:bookmarkEnd w:id="462"/>
      <w:bookmarkEnd w:id="463"/>
    </w:p>
    <w:p w14:paraId="1D39BFBE">
      <w:pPr>
        <w:adjustRightInd w:val="0"/>
        <w:spacing w:line="360" w:lineRule="auto"/>
        <w:ind w:firstLine="620" w:firstLineChars="193"/>
        <w:jc w:val="center"/>
        <w:rPr>
          <w:rFonts w:hint="eastAsia" w:ascii="宋体" w:hAnsi="宋体" w:cs="宋体"/>
          <w:b/>
          <w:color w:val="auto"/>
          <w:sz w:val="24"/>
          <w:highlight w:val="none"/>
        </w:rPr>
      </w:pPr>
      <w:bookmarkStart w:id="464" w:name="_Toc144974855"/>
      <w:bookmarkStart w:id="465" w:name="_Toc247527826"/>
      <w:bookmarkStart w:id="466" w:name="_Toc152042575"/>
      <w:bookmarkStart w:id="467" w:name="_Toc152045786"/>
      <w:bookmarkStart w:id="468" w:name="_Toc247514245"/>
      <w:r>
        <w:rPr>
          <w:rFonts w:hint="eastAsia" w:ascii="宋体" w:hAnsi="宋体"/>
          <w:b/>
          <w:color w:val="auto"/>
          <w:sz w:val="32"/>
          <w:highlight w:val="none"/>
        </w:rPr>
        <w:t>基础资料和设计任务书</w:t>
      </w:r>
    </w:p>
    <w:p w14:paraId="0BDCDD1B">
      <w:pPr>
        <w:keepNext w:val="0"/>
        <w:keepLines w:val="0"/>
        <w:pageBreakBefore w:val="0"/>
        <w:kinsoku/>
        <w:wordWrap/>
        <w:overflowPunct/>
        <w:topLinePunct w:val="0"/>
        <w:bidi w:val="0"/>
        <w:adjustRightInd w:val="0"/>
        <w:snapToGrid/>
        <w:spacing w:line="360" w:lineRule="auto"/>
        <w:ind w:firstLine="467" w:firstLineChars="194"/>
        <w:textAlignment w:val="auto"/>
        <w:outlineLvl w:val="9"/>
        <w:rPr>
          <w:rFonts w:ascii="宋体" w:hAnsi="Times New Roman" w:eastAsia="宋体" w:cs="宋体"/>
          <w:b/>
          <w:color w:val="auto"/>
          <w:sz w:val="24"/>
          <w:highlight w:val="none"/>
          <w:lang w:eastAsia="zh-CN"/>
        </w:rPr>
      </w:pPr>
      <w:r>
        <w:rPr>
          <w:rFonts w:hint="eastAsia" w:ascii="宋体" w:hAnsi="宋体" w:eastAsia="宋体" w:cs="宋体"/>
          <w:b/>
          <w:color w:val="auto"/>
          <w:sz w:val="24"/>
          <w:highlight w:val="none"/>
          <w:lang w:eastAsia="zh-CN"/>
        </w:rPr>
        <w:t>一、项目概况</w:t>
      </w:r>
    </w:p>
    <w:p w14:paraId="6198D756">
      <w:pPr>
        <w:keepNext w:val="0"/>
        <w:keepLines w:val="0"/>
        <w:pageBreakBefore w:val="0"/>
        <w:kinsoku/>
        <w:wordWrap/>
        <w:overflowPunct/>
        <w:topLinePunct w:val="0"/>
        <w:bidi w:val="0"/>
        <w:adjustRightInd w:val="0"/>
        <w:snapToGrid/>
        <w:spacing w:line="360" w:lineRule="auto"/>
        <w:ind w:firstLine="528"/>
        <w:textAlignment w:val="auto"/>
        <w:outlineLvl w:val="9"/>
        <w:rPr>
          <w:rFonts w:ascii="宋体" w:hAnsi="Times New Roman" w:eastAsia="宋体" w:cs="宋体"/>
          <w:b/>
          <w:color w:val="auto"/>
          <w:sz w:val="24"/>
          <w:highlight w:val="none"/>
          <w:lang w:eastAsia="zh-CN"/>
        </w:rPr>
      </w:pPr>
      <w:bookmarkStart w:id="469" w:name="_Toc148082737"/>
      <w:bookmarkStart w:id="470" w:name="_Toc148063039"/>
      <w:r>
        <w:rPr>
          <w:rFonts w:hint="eastAsia" w:ascii="宋体" w:hAnsi="宋体" w:eastAsia="宋体" w:cs="宋体"/>
          <w:b/>
          <w:color w:val="auto"/>
          <w:sz w:val="24"/>
          <w:highlight w:val="none"/>
          <w:lang w:eastAsia="zh-CN"/>
        </w:rPr>
        <w:t>1.1项目名称</w:t>
      </w:r>
      <w:bookmarkEnd w:id="469"/>
      <w:bookmarkEnd w:id="470"/>
    </w:p>
    <w:p w14:paraId="492F0378">
      <w:pPr>
        <w:keepNext w:val="0"/>
        <w:keepLines w:val="0"/>
        <w:pageBreakBefore w:val="0"/>
        <w:kinsoku/>
        <w:wordWrap/>
        <w:overflowPunct/>
        <w:topLinePunct w:val="0"/>
        <w:bidi w:val="0"/>
        <w:adjustRightInd w:val="0"/>
        <w:snapToGrid/>
        <w:spacing w:line="360" w:lineRule="auto"/>
        <w:ind w:firstLine="528"/>
        <w:textAlignment w:val="auto"/>
        <w:outlineLvl w:val="9"/>
        <w:rPr>
          <w:rFonts w:hint="eastAsia" w:ascii="宋体" w:hAnsi="宋体" w:eastAsia="宋体" w:cs="宋体"/>
          <w:color w:val="auto"/>
          <w:sz w:val="24"/>
          <w:highlight w:val="none"/>
          <w:lang w:eastAsia="zh-CN"/>
        </w:rPr>
      </w:pPr>
      <w:bookmarkStart w:id="471" w:name="_Toc148082738"/>
      <w:bookmarkStart w:id="472" w:name="_Toc148063040"/>
      <w:r>
        <w:rPr>
          <w:rFonts w:hint="eastAsia" w:ascii="宋体" w:hAnsi="宋体" w:eastAsia="宋体" w:cs="宋体"/>
          <w:color w:val="auto"/>
          <w:sz w:val="24"/>
          <w:highlight w:val="none"/>
          <w:lang w:eastAsia="zh-CN"/>
        </w:rPr>
        <w:t>项目名称：</w:t>
      </w:r>
      <w:bookmarkEnd w:id="471"/>
      <w:bookmarkEnd w:id="472"/>
      <w:bookmarkStart w:id="473" w:name="_Toc148082739"/>
      <w:bookmarkStart w:id="474" w:name="_Toc148063041"/>
      <w:r>
        <w:rPr>
          <w:rFonts w:hint="eastAsia" w:ascii="宋体" w:hAnsi="宋体" w:eastAsia="宋体" w:cs="宋体"/>
          <w:color w:val="auto"/>
          <w:sz w:val="24"/>
          <w:highlight w:val="none"/>
          <w:lang w:eastAsia="zh-CN"/>
        </w:rPr>
        <w:t>花景大道（右干渠-花都大道）工程设计施工总承包</w:t>
      </w:r>
      <w:r>
        <w:rPr>
          <w:rFonts w:hint="eastAsia" w:ascii="宋体" w:hAnsi="宋体" w:eastAsia="宋体" w:cs="宋体"/>
          <w:color w:val="auto"/>
          <w:sz w:val="24"/>
          <w:highlight w:val="none"/>
          <w:lang w:val="en-US" w:eastAsia="zh-CN"/>
        </w:rPr>
        <w:t xml:space="preserve"> </w:t>
      </w:r>
    </w:p>
    <w:p w14:paraId="29BE6A8B">
      <w:pPr>
        <w:keepNext w:val="0"/>
        <w:keepLines w:val="0"/>
        <w:pageBreakBefore w:val="0"/>
        <w:kinsoku/>
        <w:wordWrap/>
        <w:overflowPunct/>
        <w:topLinePunct w:val="0"/>
        <w:bidi w:val="0"/>
        <w:adjustRightInd w:val="0"/>
        <w:snapToGrid/>
        <w:spacing w:line="360" w:lineRule="auto"/>
        <w:ind w:firstLine="528"/>
        <w:textAlignment w:val="auto"/>
        <w:outlineLvl w:val="9"/>
        <w:rPr>
          <w:rFonts w:ascii="宋体" w:hAnsi="Times New Roman" w:eastAsia="宋体" w:cs="宋体"/>
          <w:b/>
          <w:color w:val="auto"/>
          <w:sz w:val="24"/>
          <w:highlight w:val="none"/>
          <w:lang w:eastAsia="zh-CN"/>
        </w:rPr>
      </w:pPr>
      <w:r>
        <w:rPr>
          <w:rFonts w:hint="eastAsia" w:ascii="宋体" w:hAnsi="宋体" w:eastAsia="宋体" w:cs="宋体"/>
          <w:b/>
          <w:color w:val="auto"/>
          <w:sz w:val="24"/>
          <w:highlight w:val="none"/>
          <w:lang w:eastAsia="zh-CN"/>
        </w:rPr>
        <w:t>1.2项目建设地点</w:t>
      </w:r>
      <w:bookmarkEnd w:id="473"/>
      <w:bookmarkEnd w:id="474"/>
    </w:p>
    <w:p w14:paraId="4C27D074">
      <w:pPr>
        <w:keepNext w:val="0"/>
        <w:keepLines w:val="0"/>
        <w:pageBreakBefore w:val="0"/>
        <w:kinsoku/>
        <w:wordWrap/>
        <w:overflowPunct/>
        <w:topLinePunct w:val="0"/>
        <w:bidi w:val="0"/>
        <w:adjustRightInd w:val="0"/>
        <w:snapToGrid/>
        <w:spacing w:line="360" w:lineRule="auto"/>
        <w:ind w:firstLine="528"/>
        <w:textAlignment w:val="auto"/>
        <w:outlineLvl w:val="9"/>
        <w:rPr>
          <w:rFonts w:hint="eastAsia" w:ascii="宋体" w:hAnsi="宋体" w:eastAsia="宋体" w:cs="宋体"/>
          <w:color w:val="auto"/>
          <w:sz w:val="24"/>
          <w:highlight w:val="none"/>
          <w:lang w:val="en-US" w:eastAsia="zh-CN"/>
        </w:rPr>
      </w:pPr>
      <w:bookmarkStart w:id="475" w:name="_Toc148082740"/>
      <w:bookmarkStart w:id="476" w:name="_Toc148063042"/>
      <w:r>
        <w:rPr>
          <w:rFonts w:hint="eastAsia" w:ascii="宋体" w:hAnsi="宋体" w:eastAsia="宋体" w:cs="宋体"/>
          <w:color w:val="auto"/>
          <w:sz w:val="24"/>
          <w:highlight w:val="none"/>
          <w:lang w:val="en-US" w:eastAsia="zh-CN"/>
        </w:rPr>
        <w:t>项目位于位于广州市花都区花东镇花都大道以北，流溪河灌区右总干渠以南。</w:t>
      </w:r>
      <w:bookmarkEnd w:id="475"/>
      <w:bookmarkEnd w:id="476"/>
    </w:p>
    <w:p w14:paraId="7D6AB340">
      <w:pPr>
        <w:keepNext w:val="0"/>
        <w:keepLines w:val="0"/>
        <w:pageBreakBefore w:val="0"/>
        <w:kinsoku/>
        <w:wordWrap/>
        <w:overflowPunct/>
        <w:topLinePunct w:val="0"/>
        <w:bidi w:val="0"/>
        <w:adjustRightInd w:val="0"/>
        <w:snapToGrid/>
        <w:spacing w:line="360" w:lineRule="auto"/>
        <w:ind w:firstLine="467" w:firstLineChars="194"/>
        <w:textAlignment w:val="auto"/>
        <w:outlineLvl w:val="9"/>
        <w:rPr>
          <w:rFonts w:hint="eastAsia" w:ascii="宋体" w:hAnsi="宋体" w:eastAsia="宋体" w:cs="宋体"/>
          <w:color w:val="auto"/>
          <w:kern w:val="0"/>
          <w:sz w:val="24"/>
          <w:highlight w:val="none"/>
          <w:lang w:val="en-US" w:eastAsia="zh-CN"/>
        </w:rPr>
      </w:pPr>
      <w:bookmarkStart w:id="477" w:name="_Toc148063043"/>
      <w:bookmarkStart w:id="478" w:name="_Toc148082741"/>
      <w:r>
        <w:rPr>
          <w:rFonts w:hint="eastAsia" w:ascii="宋体" w:hAnsi="宋体" w:eastAsia="宋体" w:cs="宋体"/>
          <w:b/>
          <w:color w:val="auto"/>
          <w:sz w:val="24"/>
          <w:highlight w:val="none"/>
          <w:lang w:eastAsia="zh-CN"/>
        </w:rPr>
        <w:t>二、设计范围</w:t>
      </w:r>
      <w:bookmarkEnd w:id="477"/>
      <w:bookmarkEnd w:id="478"/>
    </w:p>
    <w:p w14:paraId="00D87014">
      <w:pPr>
        <w:keepNext w:val="0"/>
        <w:keepLines w:val="0"/>
        <w:pageBreakBefore w:val="0"/>
        <w:kinsoku/>
        <w:wordWrap/>
        <w:overflowPunct/>
        <w:topLinePunct w:val="0"/>
        <w:bidi w:val="0"/>
        <w:adjustRightInd w:val="0"/>
        <w:snapToGrid/>
        <w:spacing w:line="360" w:lineRule="auto"/>
        <w:ind w:firstLine="528"/>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（1）设计范围包含：</w:t>
      </w:r>
    </w:p>
    <w:p w14:paraId="6D14C02E">
      <w:pPr>
        <w:keepNext w:val="0"/>
        <w:keepLines w:val="0"/>
        <w:pageBreakBefore w:val="0"/>
        <w:kinsoku/>
        <w:wordWrap/>
        <w:overflowPunct/>
        <w:topLinePunct w:val="0"/>
        <w:bidi w:val="0"/>
        <w:adjustRightInd w:val="0"/>
        <w:snapToGrid/>
        <w:spacing w:line="360" w:lineRule="auto"/>
        <w:ind w:firstLine="528"/>
        <w:textAlignment w:val="auto"/>
        <w:outlineLvl w:val="9"/>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lang w:val="en-US" w:eastAsia="zh-CN"/>
        </w:rPr>
        <w:t>本项目包含一条新建市政道路，路线长约604m。线位呈南北走向，起点北接流溪河灌区右总干渠 ，终点南至现状花都大道，城市主干路，双向六车道，设计车速60km/h，红线宽度50m</w:t>
      </w:r>
      <w:r>
        <w:rPr>
          <w:rFonts w:hint="eastAsia" w:ascii="宋体" w:hAnsi="宋体" w:cs="宋体"/>
          <w:color w:val="auto"/>
          <w:sz w:val="24"/>
          <w:highlight w:val="none"/>
          <w:u w:val="single"/>
          <w:lang w:val="en-US" w:eastAsia="zh-CN"/>
        </w:rPr>
        <w:t>。</w:t>
      </w:r>
    </w:p>
    <w:p w14:paraId="68CA483F">
      <w:pPr>
        <w:adjustRightInd w:val="0"/>
        <w:spacing w:line="360" w:lineRule="auto"/>
        <w:ind w:firstLine="528"/>
        <w:outlineLvl w:val="9"/>
        <w:rPr>
          <w:rFonts w:hint="eastAsia"/>
          <w:color w:val="auto"/>
          <w:highlight w:val="none"/>
          <w:lang w:val="en-US" w:eastAsia="zh-CN"/>
        </w:rPr>
      </w:pPr>
      <w:r>
        <w:rPr>
          <w:rFonts w:hint="eastAsia" w:ascii="宋体" w:hAnsi="宋体" w:eastAsia="宋体" w:cs="宋体"/>
          <w:color w:val="auto"/>
          <w:sz w:val="24"/>
          <w:highlight w:val="none"/>
          <w:u w:val="single"/>
          <w:lang w:val="en-US" w:eastAsia="zh-CN"/>
        </w:rPr>
        <w:t>本项目建设内容包括：道路工程、河涌改造工程、箱涵及挡土墙工程、交通工程、消防给水工程、排水工程、照明工程、电力土建工程、其他附属工程等（不含通信、燃气及给水主管工程，仅预留相应敷设位置）。</w:t>
      </w:r>
    </w:p>
    <w:p w14:paraId="4D0DDD2B">
      <w:pPr>
        <w:keepNext w:val="0"/>
        <w:keepLines w:val="0"/>
        <w:pageBreakBefore w:val="0"/>
        <w:kinsoku/>
        <w:wordWrap/>
        <w:overflowPunct/>
        <w:topLinePunct w:val="0"/>
        <w:bidi w:val="0"/>
        <w:adjustRightInd w:val="0"/>
        <w:snapToGrid/>
        <w:spacing w:line="360" w:lineRule="auto"/>
        <w:ind w:firstLine="528"/>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设计内容包括但不限于负责项目的初步设计成果文件（含概算）、配合报建、前期工作配合、施工图设计、现场服务、施工过程中的方案优化及设计变更（含变更造价分析）、施工、验收过程的配合及相关配套工作（如全过程设计服务及协调工作、负责根据建设要求组织各项专家评审、协助发包人办理规划报建、各专业报建及办理建设工程规划许可证等报批报建工作、配合概算审核和预算编制工作等）等。</w:t>
      </w:r>
    </w:p>
    <w:p w14:paraId="5E0992BD">
      <w:pPr>
        <w:keepNext w:val="0"/>
        <w:keepLines w:val="0"/>
        <w:pageBreakBefore w:val="0"/>
        <w:kinsoku/>
        <w:wordWrap/>
        <w:overflowPunct/>
        <w:topLinePunct w:val="0"/>
        <w:bidi w:val="0"/>
        <w:adjustRightInd w:val="0"/>
        <w:snapToGrid/>
        <w:spacing w:line="360" w:lineRule="auto"/>
        <w:ind w:firstLine="528"/>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（2）工程设计设计界面以下达计划、立项批复、设计合同为原则（另有说明或纳入其它工程的除外）。</w:t>
      </w:r>
    </w:p>
    <w:p w14:paraId="081A9C50">
      <w:pPr>
        <w:keepNext w:val="0"/>
        <w:keepLines w:val="0"/>
        <w:pageBreakBefore w:val="0"/>
        <w:kinsoku/>
        <w:wordWrap/>
        <w:overflowPunct/>
        <w:topLinePunct w:val="0"/>
        <w:bidi w:val="0"/>
        <w:adjustRightInd w:val="0"/>
        <w:snapToGrid/>
        <w:spacing w:line="360" w:lineRule="auto"/>
        <w:ind w:firstLine="467" w:firstLineChars="194"/>
        <w:textAlignment w:val="auto"/>
        <w:outlineLvl w:val="9"/>
        <w:rPr>
          <w:rFonts w:hint="default" w:ascii="宋体" w:hAnsi="Times New Roman" w:eastAsia="宋体" w:cs="宋体"/>
          <w:b/>
          <w:color w:val="auto"/>
          <w:sz w:val="24"/>
          <w:highlight w:val="none"/>
          <w:lang w:val="en-US" w:eastAsia="zh-CN"/>
        </w:rPr>
      </w:pPr>
      <w:bookmarkStart w:id="479" w:name="_Toc148063044"/>
      <w:bookmarkStart w:id="480" w:name="_Toc148082742"/>
      <w:r>
        <w:rPr>
          <w:rFonts w:hint="eastAsia" w:ascii="宋体" w:hAnsi="宋体" w:eastAsia="宋体" w:cs="宋体"/>
          <w:b/>
          <w:color w:val="auto"/>
          <w:sz w:val="24"/>
          <w:highlight w:val="none"/>
          <w:lang w:eastAsia="zh-CN"/>
        </w:rPr>
        <w:t>三、设计目标</w:t>
      </w:r>
      <w:bookmarkEnd w:id="479"/>
      <w:bookmarkEnd w:id="480"/>
      <w:r>
        <w:rPr>
          <w:rFonts w:hint="eastAsia" w:ascii="宋体" w:hAnsi="宋体" w:cs="宋体"/>
          <w:b/>
          <w:color w:val="auto"/>
          <w:sz w:val="24"/>
          <w:highlight w:val="none"/>
          <w:lang w:val="en-US" w:eastAsia="zh-CN"/>
        </w:rPr>
        <w:t xml:space="preserve"> </w:t>
      </w:r>
    </w:p>
    <w:p w14:paraId="33E2C8E4">
      <w:pPr>
        <w:pStyle w:val="115"/>
        <w:keepNext w:val="0"/>
        <w:keepLines w:val="0"/>
        <w:pageBreakBefore w:val="0"/>
        <w:kinsoku/>
        <w:wordWrap/>
        <w:overflowPunct/>
        <w:topLinePunct w:val="0"/>
        <w:bidi w:val="0"/>
        <w:snapToGrid/>
        <w:spacing w:line="360" w:lineRule="auto"/>
        <w:ind w:firstLine="460"/>
        <w:textAlignment w:val="auto"/>
        <w:outlineLvl w:val="9"/>
        <w:rPr>
          <w:rFonts w:hint="eastAsia"/>
          <w:color w:val="auto"/>
          <w:highlight w:val="none"/>
          <w:lang w:eastAsia="zh-CN"/>
        </w:rPr>
      </w:pPr>
      <w:r>
        <w:rPr>
          <w:rFonts w:hint="eastAsia" w:ascii="宋体" w:hAnsi="宋体" w:eastAsia="宋体"/>
          <w:color w:val="auto"/>
          <w:highlight w:val="none"/>
        </w:rPr>
        <w:t>整体设计方案应满足国家和省、市有关建设方针、政策、规范、规程，充分解读</w:t>
      </w:r>
      <w:r>
        <w:rPr>
          <w:rFonts w:hint="eastAsia"/>
          <w:color w:val="auto"/>
          <w:highlight w:val="none"/>
          <w:lang w:val="en-US" w:eastAsia="zh-CN"/>
        </w:rPr>
        <w:t>上层</w:t>
      </w:r>
      <w:r>
        <w:rPr>
          <w:rFonts w:hint="eastAsia" w:ascii="宋体" w:hAnsi="宋体" w:eastAsia="宋体"/>
          <w:color w:val="auto"/>
          <w:highlight w:val="none"/>
        </w:rPr>
        <w:t>国土空间规划、控规、</w:t>
      </w:r>
      <w:r>
        <w:rPr>
          <w:rFonts w:hint="eastAsia"/>
          <w:color w:val="auto"/>
          <w:highlight w:val="none"/>
          <w:lang w:val="en-US" w:eastAsia="zh-CN"/>
        </w:rPr>
        <w:t>产业</w:t>
      </w:r>
      <w:r>
        <w:rPr>
          <w:rFonts w:hint="eastAsia" w:ascii="宋体" w:hAnsi="宋体" w:eastAsia="宋体"/>
          <w:color w:val="auto"/>
          <w:highlight w:val="none"/>
        </w:rPr>
        <w:t>等相关规划，理解规划理念和要求，协调</w:t>
      </w:r>
      <w:r>
        <w:rPr>
          <w:rFonts w:hint="eastAsia"/>
          <w:color w:val="auto"/>
          <w:highlight w:val="none"/>
          <w:lang w:val="en-US" w:eastAsia="zh-CN"/>
        </w:rPr>
        <w:t>城市</w:t>
      </w:r>
      <w:r>
        <w:rPr>
          <w:rFonts w:hint="eastAsia" w:ascii="宋体" w:hAnsi="宋体" w:eastAsia="宋体"/>
          <w:color w:val="auto"/>
          <w:highlight w:val="none"/>
        </w:rPr>
        <w:t>道路、退缩空间、景观等多方面因素，保证实施效果，落实规划目标</w:t>
      </w:r>
      <w:r>
        <w:rPr>
          <w:rFonts w:hint="eastAsia"/>
          <w:color w:val="auto"/>
          <w:highlight w:val="none"/>
          <w:lang w:eastAsia="zh-CN"/>
        </w:rPr>
        <w:t>。</w:t>
      </w:r>
    </w:p>
    <w:p w14:paraId="01632B62">
      <w:pPr>
        <w:keepNext w:val="0"/>
        <w:keepLines w:val="0"/>
        <w:pageBreakBefore w:val="0"/>
        <w:kinsoku/>
        <w:wordWrap/>
        <w:overflowPunct/>
        <w:topLinePunct w:val="0"/>
        <w:bidi w:val="0"/>
        <w:adjustRightInd w:val="0"/>
        <w:snapToGrid/>
        <w:spacing w:line="360" w:lineRule="auto"/>
        <w:ind w:firstLine="465" w:firstLineChars="194"/>
        <w:textAlignment w:val="auto"/>
        <w:outlineLvl w:val="9"/>
        <w:rPr>
          <w:rFonts w:hint="eastAsia" w:ascii="宋体" w:hAnsi="宋体" w:eastAsia="宋体" w:cs="宋体"/>
          <w:color w:val="auto"/>
          <w:sz w:val="24"/>
          <w:highlight w:val="none"/>
          <w:lang w:eastAsia="zh-CN"/>
        </w:rPr>
      </w:pPr>
      <w:r>
        <w:rPr>
          <w:rFonts w:hint="eastAsia" w:ascii="Times New Roman" w:hAnsi="Times New Roman" w:eastAsia="宋体" w:cs="宋体"/>
          <w:color w:val="auto"/>
          <w:sz w:val="24"/>
          <w:highlight w:val="none"/>
          <w:lang w:val="en-US" w:eastAsia="zh-CN"/>
        </w:rPr>
        <w:t>具体设计</w:t>
      </w:r>
      <w:r>
        <w:rPr>
          <w:rFonts w:hint="eastAsia" w:ascii="宋体" w:hAnsi="宋体" w:eastAsia="宋体" w:cs="宋体"/>
          <w:color w:val="auto"/>
          <w:sz w:val="24"/>
          <w:highlight w:val="none"/>
          <w:lang w:eastAsia="zh-CN"/>
        </w:rPr>
        <w:t>严格执行现行的设计规范及有关行政主管部门的批复意见开展设计工作，详细掌握现场实际情况，做到设计方案具有合理、可实施性，满足项目的使用功能和便于维护管理的要求；</w:t>
      </w:r>
      <w:r>
        <w:rPr>
          <w:rFonts w:hint="eastAsia" w:ascii="宋体" w:hAnsi="宋体" w:eastAsia="宋体" w:cs="宋体"/>
          <w:color w:val="auto"/>
          <w:sz w:val="24"/>
          <w:highlight w:val="none"/>
          <w:lang w:val="en-US" w:eastAsia="zh-CN"/>
        </w:rPr>
        <w:t>同时注重</w:t>
      </w:r>
      <w:r>
        <w:rPr>
          <w:rFonts w:hint="eastAsia" w:ascii="宋体" w:hAnsi="宋体" w:eastAsia="宋体" w:cs="宋体"/>
          <w:color w:val="auto"/>
          <w:sz w:val="24"/>
          <w:highlight w:val="none"/>
          <w:lang w:eastAsia="zh-CN"/>
        </w:rPr>
        <w:t>合理控制项目建设规模，造价指标应科学合理。</w:t>
      </w:r>
    </w:p>
    <w:p w14:paraId="1FA2DD2B">
      <w:pPr>
        <w:keepNext w:val="0"/>
        <w:keepLines w:val="0"/>
        <w:pageBreakBefore w:val="0"/>
        <w:kinsoku/>
        <w:wordWrap/>
        <w:overflowPunct/>
        <w:topLinePunct w:val="0"/>
        <w:bidi w:val="0"/>
        <w:adjustRightInd w:val="0"/>
        <w:snapToGrid/>
        <w:spacing w:line="360" w:lineRule="auto"/>
        <w:ind w:firstLine="467" w:firstLineChars="194"/>
        <w:textAlignment w:val="auto"/>
        <w:outlineLvl w:val="9"/>
        <w:rPr>
          <w:rFonts w:hint="eastAsia" w:ascii="Times New Roman" w:hAnsi="Times New Roman" w:eastAsia="宋体" w:cs="宋体"/>
          <w:color w:val="auto"/>
          <w:sz w:val="24"/>
          <w:highlight w:val="none"/>
          <w:lang w:val="en-US" w:eastAsia="zh-CN"/>
        </w:rPr>
      </w:pPr>
      <w:r>
        <w:rPr>
          <w:rFonts w:hint="eastAsia" w:ascii="Times New Roman" w:hAnsi="Times New Roman" w:eastAsia="宋体" w:cs="宋体"/>
          <w:b/>
          <w:bCs/>
          <w:color w:val="auto"/>
          <w:sz w:val="24"/>
          <w:highlight w:val="none"/>
          <w:lang w:val="en-US" w:eastAsia="zh-CN"/>
        </w:rPr>
        <w:t>本工程实行限额设计。</w:t>
      </w:r>
      <w:r>
        <w:rPr>
          <w:rFonts w:hint="eastAsia" w:ascii="Times New Roman" w:hAnsi="Times New Roman" w:eastAsia="宋体" w:cs="宋体"/>
          <w:color w:val="auto"/>
          <w:sz w:val="24"/>
          <w:highlight w:val="none"/>
          <w:lang w:val="en-US" w:eastAsia="zh-CN"/>
        </w:rPr>
        <w:t>初步设计的建设内容和建设标准原则上不得超过可行性研究报告批复的范围，初步设计概算原则上不得超过经批准的可行性研究报告总投资，施工图预算（价格清单）原则上不得超过经行政主管部门批复的初步设计概算中的工程费用，当施工图与初步设计图发生较大变化时，导致施工图预算超出概算中的工程费用，经发包人同意后方可启用预备费并列入施工图预算中。</w:t>
      </w:r>
    </w:p>
    <w:p w14:paraId="39E73663">
      <w:pPr>
        <w:keepNext w:val="0"/>
        <w:keepLines w:val="0"/>
        <w:pageBreakBefore w:val="0"/>
        <w:kinsoku/>
        <w:wordWrap/>
        <w:overflowPunct/>
        <w:topLinePunct w:val="0"/>
        <w:bidi w:val="0"/>
        <w:adjustRightInd w:val="0"/>
        <w:snapToGrid/>
        <w:spacing w:line="360" w:lineRule="auto"/>
        <w:ind w:firstLine="467" w:firstLineChars="194"/>
        <w:textAlignment w:val="auto"/>
        <w:outlineLvl w:val="9"/>
        <w:rPr>
          <w:rFonts w:ascii="宋体" w:hAnsi="Times New Roman" w:eastAsia="宋体" w:cs="宋体"/>
          <w:b/>
          <w:color w:val="auto"/>
          <w:sz w:val="24"/>
          <w:highlight w:val="none"/>
          <w:lang w:eastAsia="zh-CN"/>
        </w:rPr>
      </w:pPr>
      <w:bookmarkStart w:id="481" w:name="_Toc148063045"/>
      <w:bookmarkStart w:id="482" w:name="_Toc148082743"/>
      <w:r>
        <w:rPr>
          <w:rFonts w:hint="eastAsia" w:ascii="宋体" w:hAnsi="宋体" w:eastAsia="宋体" w:cs="宋体"/>
          <w:b/>
          <w:color w:val="auto"/>
          <w:sz w:val="24"/>
          <w:highlight w:val="none"/>
          <w:lang w:eastAsia="zh-CN"/>
        </w:rPr>
        <w:t>四、总体要求</w:t>
      </w:r>
      <w:bookmarkEnd w:id="481"/>
      <w:bookmarkEnd w:id="482"/>
    </w:p>
    <w:p w14:paraId="4AC62138">
      <w:pPr>
        <w:keepNext w:val="0"/>
        <w:keepLines w:val="0"/>
        <w:pageBreakBefore w:val="0"/>
        <w:kinsoku/>
        <w:wordWrap/>
        <w:overflowPunct/>
        <w:topLinePunct w:val="0"/>
        <w:bidi w:val="0"/>
        <w:adjustRightInd w:val="0"/>
        <w:snapToGrid/>
        <w:spacing w:line="360" w:lineRule="auto"/>
        <w:ind w:firstLine="528"/>
        <w:textAlignment w:val="auto"/>
        <w:outlineLvl w:val="9"/>
        <w:rPr>
          <w:rFonts w:ascii="宋体" w:hAnsi="Times New Roman" w:eastAsia="宋体" w:cs="宋体"/>
          <w:b/>
          <w:color w:val="auto"/>
          <w:sz w:val="24"/>
          <w:highlight w:val="none"/>
          <w:lang w:eastAsia="zh-CN"/>
        </w:rPr>
      </w:pPr>
      <w:bookmarkStart w:id="483" w:name="_Toc148063046"/>
      <w:bookmarkStart w:id="484" w:name="_Toc148082744"/>
      <w:r>
        <w:rPr>
          <w:rFonts w:hint="eastAsia" w:ascii="宋体" w:hAnsi="宋体" w:eastAsia="宋体" w:cs="宋体"/>
          <w:b/>
          <w:color w:val="auto"/>
          <w:sz w:val="24"/>
          <w:highlight w:val="none"/>
          <w:lang w:eastAsia="zh-CN"/>
        </w:rPr>
        <w:t>4.</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lang w:eastAsia="zh-CN"/>
        </w:rPr>
        <w:t>设计规范</w:t>
      </w:r>
      <w:bookmarkEnd w:id="483"/>
      <w:bookmarkEnd w:id="484"/>
    </w:p>
    <w:p w14:paraId="786D31E8">
      <w:pPr>
        <w:keepNext w:val="0"/>
        <w:keepLines w:val="0"/>
        <w:pageBreakBefore w:val="0"/>
        <w:kinsoku/>
        <w:wordWrap/>
        <w:overflowPunct/>
        <w:topLinePunct w:val="0"/>
        <w:bidi w:val="0"/>
        <w:adjustRightInd w:val="0"/>
        <w:snapToGrid/>
        <w:spacing w:line="360" w:lineRule="auto"/>
        <w:ind w:firstLine="528"/>
        <w:textAlignment w:val="auto"/>
        <w:outlineLvl w:val="9"/>
        <w:rPr>
          <w:rFonts w:ascii="宋体" w:hAnsi="Times New Roman"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）设计必须符合国家、省、市相关技术规范、标准。须考虑</w:t>
      </w:r>
      <w:r>
        <w:rPr>
          <w:rFonts w:hint="eastAsia" w:ascii="宋体" w:hAnsi="宋体" w:eastAsia="宋体" w:cs="宋体"/>
          <w:color w:val="auto"/>
          <w:sz w:val="24"/>
          <w:highlight w:val="none"/>
          <w:lang w:val="en-US" w:eastAsia="zh-CN"/>
        </w:rPr>
        <w:t>花都</w:t>
      </w:r>
      <w:r>
        <w:rPr>
          <w:rFonts w:hint="eastAsia" w:ascii="宋体" w:hAnsi="宋体" w:eastAsia="宋体" w:cs="宋体"/>
          <w:color w:val="auto"/>
          <w:sz w:val="24"/>
          <w:highlight w:val="none"/>
          <w:lang w:eastAsia="zh-CN"/>
        </w:rPr>
        <w:t>区市政工程特色，相关元素（如排水、交通设施等）须按照有关文件要求执行，包括但不限于本任务书提及的规范、标准。</w:t>
      </w:r>
    </w:p>
    <w:p w14:paraId="535214A7">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Times New Roman"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）设计成果深度必须符合住房城乡建设部编制的《市政公用工程设计文件编制深度规定（2013版）》要求。</w:t>
      </w:r>
    </w:p>
    <w:p w14:paraId="0177D68B">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Times New Roman"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）设计必须符合广州市人民政府印发的《广州市房屋建筑和市政基础设施工程质量管理办法》（市人民政府第129号令）。</w:t>
      </w:r>
    </w:p>
    <w:p w14:paraId="20944A84">
      <w:pPr>
        <w:keepNext w:val="0"/>
        <w:keepLines w:val="0"/>
        <w:pageBreakBefore w:val="0"/>
        <w:kinsoku/>
        <w:wordWrap/>
        <w:overflowPunct/>
        <w:topLinePunct w:val="0"/>
        <w:bidi w:val="0"/>
        <w:adjustRightInd w:val="0"/>
        <w:snapToGrid/>
        <w:spacing w:line="360" w:lineRule="auto"/>
        <w:ind w:firstLine="528"/>
        <w:textAlignment w:val="auto"/>
        <w:outlineLvl w:val="9"/>
        <w:rPr>
          <w:rFonts w:ascii="宋体" w:hAnsi="Times New Roman" w:eastAsia="宋体" w:cs="宋体"/>
          <w:b/>
          <w:color w:val="auto"/>
          <w:sz w:val="24"/>
          <w:highlight w:val="none"/>
          <w:lang w:eastAsia="zh-CN"/>
        </w:rPr>
      </w:pPr>
      <w:bookmarkStart w:id="485" w:name="_Toc148063047"/>
      <w:bookmarkStart w:id="486" w:name="_Toc148082745"/>
      <w:r>
        <w:rPr>
          <w:rFonts w:hint="eastAsia" w:ascii="宋体" w:hAnsi="宋体" w:eastAsia="宋体" w:cs="宋体"/>
          <w:b/>
          <w:color w:val="auto"/>
          <w:sz w:val="24"/>
          <w:highlight w:val="none"/>
          <w:lang w:eastAsia="zh-CN"/>
        </w:rPr>
        <w:t>4.</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lang w:eastAsia="zh-CN"/>
        </w:rPr>
        <w:t>设计管理要求</w:t>
      </w:r>
      <w:bookmarkEnd w:id="485"/>
      <w:bookmarkEnd w:id="486"/>
    </w:p>
    <w:p w14:paraId="4B811598">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Times New Roman"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）设计工作开展前应开展详实的现场踏勘和资料收集工作，应结合检测报告和现场情况进行认真复查，并对现状交通情况、沿线构筑物、电力通信设施衔接状况、与</w:t>
      </w:r>
      <w:r>
        <w:rPr>
          <w:rFonts w:hint="eastAsia" w:ascii="宋体" w:hAnsi="宋体" w:eastAsia="宋体" w:cs="宋体"/>
          <w:color w:val="auto"/>
          <w:sz w:val="24"/>
          <w:highlight w:val="none"/>
          <w:lang w:val="en-US" w:eastAsia="zh-CN"/>
        </w:rPr>
        <w:t>相关河涌、建筑</w:t>
      </w:r>
      <w:r>
        <w:rPr>
          <w:rFonts w:hint="eastAsia" w:ascii="宋体" w:hAnsi="宋体" w:eastAsia="宋体" w:cs="宋体"/>
          <w:color w:val="auto"/>
          <w:sz w:val="24"/>
          <w:highlight w:val="none"/>
          <w:lang w:eastAsia="zh-CN"/>
        </w:rPr>
        <w:t>关系等现场情况进行详细的文字及照片记录，同时应收集与项目有关的工程的图纸资料，利用已完工工程的资料时，必须采用工程的竣工图并进行现场核实。现场踏勘照片记录资料及收集的图纸资料清单台账需报发包人备案。</w:t>
      </w:r>
    </w:p>
    <w:p w14:paraId="067A3079">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Times New Roman"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）设计管理工作须严格遵循发包人制定的相关管理办法，包括《建设工程图纸管理办法》、《工程变更管理办法》、《市政工程项目建设期后评价管理办法》等。</w:t>
      </w:r>
    </w:p>
    <w:p w14:paraId="1CE67364">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Times New Roman"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设计单位对设计过程中的审查、审批及专家评审意见均需在3个工作日内以书面方式进行逐条回应，并加盖公章报发包人备案、核查，同时需将回应及落实情况以表格形式纳入设计说明中。意见有重大分歧的应及时报发包人协调。</w:t>
      </w:r>
    </w:p>
    <w:p w14:paraId="19FE92A8">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Times New Roman"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）鼓励在设计过程中使用新技术、新工艺、新材料。需开展科研课题研究的项目，应在设计方案阶段提出申请，经发包人同意后开展。</w:t>
      </w:r>
    </w:p>
    <w:p w14:paraId="7122AE8B">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Times New Roman"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）在勘察设计招标范围外，因设计需要开展的其它检测、监测、测量等工作，需及时向发包人提出书面申请，同意后由发包人组织开展。</w:t>
      </w:r>
    </w:p>
    <w:p w14:paraId="2B26B349">
      <w:pPr>
        <w:keepNext w:val="0"/>
        <w:keepLines w:val="0"/>
        <w:pageBreakBefore w:val="0"/>
        <w:kinsoku/>
        <w:wordWrap/>
        <w:overflowPunct/>
        <w:topLinePunct w:val="0"/>
        <w:bidi w:val="0"/>
        <w:adjustRightInd w:val="0"/>
        <w:snapToGrid/>
        <w:spacing w:line="360" w:lineRule="auto"/>
        <w:ind w:firstLine="480" w:firstLineChars="200"/>
        <w:textAlignment w:val="auto"/>
        <w:outlineLvl w:val="9"/>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eastAsia="zh-CN"/>
        </w:rPr>
        <w:t>）项目负责人应对设计全过程进行质量与进度控制以及各专业协调，与发包人保持顺畅沟通。</w:t>
      </w:r>
    </w:p>
    <w:p w14:paraId="0389D262">
      <w:pPr>
        <w:keepNext w:val="0"/>
        <w:keepLines w:val="0"/>
        <w:pageBreakBefore w:val="0"/>
        <w:kinsoku/>
        <w:wordWrap/>
        <w:overflowPunct/>
        <w:topLinePunct w:val="0"/>
        <w:bidi w:val="0"/>
        <w:adjustRightInd w:val="0"/>
        <w:snapToGrid/>
        <w:spacing w:line="360" w:lineRule="auto"/>
        <w:ind w:firstLine="528"/>
        <w:textAlignment w:val="auto"/>
        <w:outlineLvl w:val="9"/>
        <w:rPr>
          <w:rFonts w:hint="default" w:ascii="宋体" w:hAnsi="Times New Roman" w:eastAsia="宋体" w:cs="宋体"/>
          <w:b/>
          <w:color w:val="auto"/>
          <w:sz w:val="24"/>
          <w:highlight w:val="none"/>
          <w:lang w:val="en-US" w:eastAsia="zh-CN"/>
        </w:rPr>
      </w:pPr>
      <w:bookmarkStart w:id="487" w:name="_Toc148082746"/>
      <w:bookmarkStart w:id="488" w:name="_Toc148063048"/>
      <w:r>
        <w:rPr>
          <w:rFonts w:hint="eastAsia" w:ascii="宋体" w:hAnsi="宋体" w:eastAsia="宋体" w:cs="宋体"/>
          <w:b/>
          <w:color w:val="auto"/>
          <w:sz w:val="24"/>
          <w:highlight w:val="none"/>
          <w:lang w:eastAsia="zh-CN"/>
        </w:rPr>
        <w:t>4.</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lang w:eastAsia="zh-CN"/>
        </w:rPr>
        <w:t>方案</w:t>
      </w:r>
      <w:bookmarkEnd w:id="487"/>
      <w:bookmarkEnd w:id="488"/>
      <w:r>
        <w:rPr>
          <w:rFonts w:hint="eastAsia" w:ascii="宋体" w:hAnsi="宋体" w:eastAsia="宋体" w:cs="宋体"/>
          <w:b/>
          <w:color w:val="auto"/>
          <w:sz w:val="24"/>
          <w:highlight w:val="none"/>
          <w:lang w:val="en-US" w:eastAsia="zh-CN"/>
        </w:rPr>
        <w:t>深化</w:t>
      </w:r>
    </w:p>
    <w:p w14:paraId="63D08A64">
      <w:pPr>
        <w:keepNext w:val="0"/>
        <w:keepLines w:val="0"/>
        <w:pageBreakBefore w:val="0"/>
        <w:kinsoku/>
        <w:wordWrap/>
        <w:overflowPunct/>
        <w:topLinePunct w:val="0"/>
        <w:bidi w:val="0"/>
        <w:adjustRightInd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bookmarkStart w:id="489" w:name="_Toc148063049"/>
      <w:bookmarkStart w:id="490" w:name="_Toc148082747"/>
      <w:r>
        <w:rPr>
          <w:rFonts w:hint="eastAsia" w:ascii="宋体" w:hAnsi="宋体" w:eastAsia="宋体" w:cs="宋体"/>
          <w:color w:val="auto"/>
          <w:sz w:val="24"/>
          <w:highlight w:val="none"/>
          <w:lang w:eastAsia="zh-CN"/>
        </w:rPr>
        <w:t>方案深化设计阶段主要在工可研究基础上，结合专家评审意见、相关部门征询意见对方案进行深化和优化，为下阶段初步设计尽快稳定推进打下基础。</w:t>
      </w:r>
    </w:p>
    <w:p w14:paraId="7B9BECED">
      <w:pPr>
        <w:keepNext w:val="0"/>
        <w:keepLines w:val="0"/>
        <w:pageBreakBefore w:val="0"/>
        <w:kinsoku/>
        <w:wordWrap/>
        <w:overflowPunct/>
        <w:topLinePunct w:val="0"/>
        <w:bidi w:val="0"/>
        <w:adjustRightInd w:val="0"/>
        <w:snapToGrid/>
        <w:spacing w:line="360" w:lineRule="auto"/>
        <w:ind w:firstLine="528"/>
        <w:textAlignment w:val="auto"/>
        <w:outlineLvl w:val="9"/>
        <w:rPr>
          <w:rFonts w:ascii="宋体" w:hAnsi="Times New Roman" w:eastAsia="宋体" w:cs="宋体"/>
          <w:b/>
          <w:color w:val="auto"/>
          <w:sz w:val="24"/>
          <w:highlight w:val="none"/>
          <w:lang w:eastAsia="zh-CN"/>
        </w:rPr>
      </w:pPr>
      <w:r>
        <w:rPr>
          <w:rFonts w:hint="eastAsia" w:ascii="宋体" w:hAnsi="宋体" w:eastAsia="宋体" w:cs="宋体"/>
          <w:b/>
          <w:color w:val="auto"/>
          <w:sz w:val="24"/>
          <w:highlight w:val="none"/>
          <w:lang w:eastAsia="zh-CN"/>
        </w:rPr>
        <w:t>4.</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lang w:eastAsia="zh-CN"/>
        </w:rPr>
        <w:t>初步设计</w:t>
      </w:r>
      <w:bookmarkEnd w:id="489"/>
      <w:bookmarkEnd w:id="490"/>
    </w:p>
    <w:p w14:paraId="2CF9B842">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）初步设计阶段应吸纳发包人同步开展的其它前期成果，包括</w:t>
      </w:r>
      <w:r>
        <w:rPr>
          <w:rFonts w:hint="eastAsia" w:ascii="宋体" w:hAnsi="宋体" w:eastAsia="宋体" w:cs="宋体"/>
          <w:color w:val="auto"/>
          <w:sz w:val="24"/>
          <w:highlight w:val="none"/>
          <w:lang w:val="en-US" w:eastAsia="zh-CN"/>
        </w:rPr>
        <w:t>相关</w:t>
      </w:r>
      <w:r>
        <w:rPr>
          <w:rFonts w:hint="eastAsia" w:ascii="宋体" w:hAnsi="宋体" w:eastAsia="宋体" w:cs="宋体"/>
          <w:color w:val="auto"/>
          <w:sz w:val="24"/>
          <w:highlight w:val="none"/>
          <w:lang w:eastAsia="zh-CN"/>
        </w:rPr>
        <w:t>管线迁改、环境影响评价等成果，落实与设计有关的工作要求。</w:t>
      </w:r>
    </w:p>
    <w:p w14:paraId="2B977D8D">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Times New Roman"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）初步设计图纸内容应包括施工阶段采取相关施工措施等所需的图纸。</w:t>
      </w:r>
    </w:p>
    <w:p w14:paraId="25758D7D">
      <w:pPr>
        <w:pStyle w:val="116"/>
        <w:keepNext w:val="0"/>
        <w:keepLines w:val="0"/>
        <w:pageBreakBefore w:val="0"/>
        <w:widowControl/>
        <w:kinsoku/>
        <w:wordWrap/>
        <w:overflowPunct/>
        <w:topLinePunct w:val="0"/>
        <w:bidi w:val="0"/>
        <w:snapToGrid/>
        <w:spacing w:line="360" w:lineRule="auto"/>
        <w:ind w:firstLine="480"/>
        <w:textAlignment w:val="auto"/>
        <w:outlineLvl w:val="9"/>
        <w:rPr>
          <w:rFonts w:ascii="宋体" w:hAnsi="Times New Roman"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）初步设计初步成果需征询相关部门的意见。</w:t>
      </w:r>
    </w:p>
    <w:p w14:paraId="7327290B">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Times New Roman"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）设计单位应将该阶段专业审查意见、设计征询意见、评审意见以及逐条落实情况列入初步设计图纸说明。</w:t>
      </w:r>
    </w:p>
    <w:p w14:paraId="4C9BAB60">
      <w:pPr>
        <w:keepNext w:val="0"/>
        <w:keepLines w:val="0"/>
        <w:pageBreakBefore w:val="0"/>
        <w:kinsoku/>
        <w:wordWrap/>
        <w:overflowPunct/>
        <w:topLinePunct w:val="0"/>
        <w:bidi w:val="0"/>
        <w:adjustRightInd w:val="0"/>
        <w:snapToGrid/>
        <w:spacing w:line="360" w:lineRule="auto"/>
        <w:ind w:firstLine="528"/>
        <w:textAlignment w:val="auto"/>
        <w:outlineLvl w:val="9"/>
        <w:rPr>
          <w:rFonts w:ascii="宋体" w:hAnsi="Times New Roman" w:eastAsia="宋体" w:cs="宋体"/>
          <w:b/>
          <w:color w:val="auto"/>
          <w:sz w:val="24"/>
          <w:highlight w:val="none"/>
          <w:lang w:eastAsia="zh-CN"/>
        </w:rPr>
      </w:pPr>
      <w:bookmarkStart w:id="491" w:name="_Toc148063050"/>
      <w:bookmarkStart w:id="492" w:name="_Toc148082748"/>
      <w:r>
        <w:rPr>
          <w:rFonts w:hint="eastAsia" w:ascii="宋体" w:hAnsi="宋体" w:eastAsia="宋体" w:cs="宋体"/>
          <w:b/>
          <w:color w:val="auto"/>
          <w:sz w:val="24"/>
          <w:highlight w:val="none"/>
          <w:lang w:eastAsia="zh-CN"/>
        </w:rPr>
        <w:t>4.</w:t>
      </w: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lang w:eastAsia="zh-CN"/>
        </w:rPr>
        <w:t>施工图设计</w:t>
      </w:r>
      <w:bookmarkEnd w:id="491"/>
      <w:bookmarkEnd w:id="492"/>
    </w:p>
    <w:p w14:paraId="29BF9A22">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Times New Roman"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）应严格根据批复的初步设计开展施工图设计，如有不同意见或需进行优化设计的，需书面向发包人申请。</w:t>
      </w:r>
    </w:p>
    <w:p w14:paraId="1FBF08D3">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）设计图纸需准确、不漏项，应有细部设计图纸。</w:t>
      </w:r>
    </w:p>
    <w:p w14:paraId="000391C0">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Times New Roman"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）施工图设计应包括施工阶段采取相关施工措施等所需的详细图纸。</w:t>
      </w:r>
    </w:p>
    <w:p w14:paraId="02CF9930">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Times New Roman"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）设计单位内部应严格执行专业间会签制度。</w:t>
      </w:r>
    </w:p>
    <w:p w14:paraId="57579690">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）工程量清单应准确，并满足预算编制及招标要求。</w:t>
      </w:r>
    </w:p>
    <w:p w14:paraId="26C145CF">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Times New Roman"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eastAsia="zh-CN"/>
        </w:rPr>
        <w:t>）设计单位完成施工图后报施工图审查单位开展施工图审查，根据审查意见进行修改完善，并配合办理施工图审查备案。</w:t>
      </w:r>
    </w:p>
    <w:p w14:paraId="220AB3AF">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）设计单位应将该阶段专业审查意见、设计征询意见、评审意见、施工图审查意见以及逐条落实情况列入施工图纸说明。</w:t>
      </w:r>
    </w:p>
    <w:p w14:paraId="4A6A1719">
      <w:pPr>
        <w:keepNext w:val="0"/>
        <w:keepLines w:val="0"/>
        <w:pageBreakBefore w:val="0"/>
        <w:kinsoku/>
        <w:wordWrap/>
        <w:overflowPunct/>
        <w:topLinePunct w:val="0"/>
        <w:bidi w:val="0"/>
        <w:adjustRightInd w:val="0"/>
        <w:snapToGrid/>
        <w:spacing w:line="360" w:lineRule="auto"/>
        <w:ind w:firstLine="528"/>
        <w:textAlignment w:val="auto"/>
        <w:outlineLvl w:val="9"/>
        <w:rPr>
          <w:rFonts w:ascii="宋体" w:hAnsi="Times New Roman" w:eastAsia="宋体" w:cs="宋体"/>
          <w:b/>
          <w:color w:val="auto"/>
          <w:sz w:val="24"/>
          <w:highlight w:val="none"/>
          <w:lang w:eastAsia="zh-CN"/>
        </w:rPr>
      </w:pPr>
      <w:bookmarkStart w:id="493" w:name="_Toc148063051"/>
      <w:bookmarkStart w:id="494" w:name="_Toc148082749"/>
      <w:r>
        <w:rPr>
          <w:rFonts w:hint="eastAsia" w:ascii="宋体" w:hAnsi="宋体" w:eastAsia="宋体" w:cs="宋体"/>
          <w:b/>
          <w:color w:val="auto"/>
          <w:sz w:val="24"/>
          <w:highlight w:val="none"/>
          <w:lang w:eastAsia="zh-CN"/>
        </w:rPr>
        <w:t>4.7设计变更</w:t>
      </w:r>
      <w:bookmarkEnd w:id="493"/>
      <w:bookmarkEnd w:id="494"/>
    </w:p>
    <w:p w14:paraId="59A5B76E">
      <w:pPr>
        <w:keepNext w:val="0"/>
        <w:keepLines w:val="0"/>
        <w:pageBreakBefore w:val="0"/>
        <w:kinsoku/>
        <w:wordWrap/>
        <w:overflowPunct/>
        <w:topLinePunct w:val="0"/>
        <w:bidi w:val="0"/>
        <w:adjustRightInd w:val="0"/>
        <w:snapToGrid/>
        <w:spacing w:line="360" w:lineRule="auto"/>
        <w:ind w:firstLine="480" w:firstLineChars="200"/>
        <w:textAlignment w:val="auto"/>
        <w:outlineLvl w:val="9"/>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工程变更需遵循发包人《工程变更管理办法》。</w:t>
      </w:r>
    </w:p>
    <w:p w14:paraId="7B07983C">
      <w:pPr>
        <w:keepNext w:val="0"/>
        <w:keepLines w:val="0"/>
        <w:pageBreakBefore w:val="0"/>
        <w:kinsoku/>
        <w:wordWrap/>
        <w:overflowPunct/>
        <w:topLinePunct w:val="0"/>
        <w:bidi w:val="0"/>
        <w:adjustRightInd w:val="0"/>
        <w:snapToGrid/>
        <w:spacing w:line="360" w:lineRule="auto"/>
        <w:ind w:firstLine="467" w:firstLineChars="194"/>
        <w:textAlignment w:val="auto"/>
        <w:outlineLvl w:val="9"/>
        <w:rPr>
          <w:rFonts w:ascii="宋体" w:hAnsi="Times New Roman" w:eastAsia="宋体" w:cs="宋体"/>
          <w:b/>
          <w:color w:val="auto"/>
          <w:sz w:val="24"/>
          <w:highlight w:val="none"/>
          <w:lang w:eastAsia="zh-CN"/>
        </w:rPr>
      </w:pPr>
      <w:bookmarkStart w:id="495" w:name="_Toc148063052"/>
      <w:bookmarkStart w:id="496" w:name="_Toc148082750"/>
      <w:r>
        <w:rPr>
          <w:rFonts w:hint="eastAsia" w:ascii="宋体" w:hAnsi="宋体" w:eastAsia="宋体" w:cs="宋体"/>
          <w:b/>
          <w:color w:val="auto"/>
          <w:sz w:val="24"/>
          <w:highlight w:val="none"/>
          <w:lang w:eastAsia="zh-CN"/>
        </w:rPr>
        <w:t>五、专业工程设计任务要求</w:t>
      </w:r>
      <w:bookmarkEnd w:id="495"/>
      <w:bookmarkEnd w:id="496"/>
    </w:p>
    <w:p w14:paraId="575DCEE5">
      <w:pPr>
        <w:keepNext w:val="0"/>
        <w:keepLines w:val="0"/>
        <w:pageBreakBefore w:val="0"/>
        <w:kinsoku/>
        <w:wordWrap/>
        <w:overflowPunct/>
        <w:topLinePunct w:val="0"/>
        <w:bidi w:val="0"/>
        <w:adjustRightInd w:val="0"/>
        <w:snapToGrid/>
        <w:spacing w:line="360" w:lineRule="auto"/>
        <w:ind w:firstLine="528"/>
        <w:textAlignment w:val="auto"/>
        <w:outlineLvl w:val="9"/>
        <w:rPr>
          <w:rFonts w:hint="eastAsia" w:ascii="宋体" w:hAnsi="宋体" w:eastAsia="宋体" w:cs="宋体"/>
          <w:b/>
          <w:color w:val="auto"/>
          <w:sz w:val="24"/>
          <w:highlight w:val="none"/>
          <w:lang w:val="en-US" w:eastAsia="zh-CN"/>
        </w:rPr>
      </w:pPr>
      <w:bookmarkStart w:id="497" w:name="_Toc148063054"/>
      <w:bookmarkStart w:id="498" w:name="_Toc148082752"/>
      <w:r>
        <w:rPr>
          <w:rFonts w:hint="eastAsia" w:ascii="宋体" w:hAnsi="宋体" w:eastAsia="宋体" w:cs="宋体"/>
          <w:b/>
          <w:color w:val="auto"/>
          <w:sz w:val="24"/>
          <w:highlight w:val="none"/>
          <w:lang w:val="en-US" w:eastAsia="zh-CN"/>
        </w:rPr>
        <w:t>5.1总体设计要求</w:t>
      </w:r>
    </w:p>
    <w:p w14:paraId="144EC4BA">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（1）以广州市总体规划、市政专项规划等为指导，确定工程合理建设规模、建设时序、建设标准，并应考虑社会发展趋势，进行适度超前的设计，体现与时俱进的功能标准。</w:t>
      </w:r>
    </w:p>
    <w:p w14:paraId="1A08140E">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（2）结合区域发展规划、路网规划、防洪排涝规划、现状构建筑物及现状河道、河涌等自然条件，合理设计道路平纵面线位及横断面布置形式； </w:t>
      </w:r>
    </w:p>
    <w:p w14:paraId="54348471">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（3）道路标高设计在满足规划标高的基础上与地形结合，减少填挖方量，节省投资；</w:t>
      </w:r>
    </w:p>
    <w:p w14:paraId="4AD7AFD7">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（4）结合各路段交通服务特性，合理布置各类市政管线；</w:t>
      </w:r>
    </w:p>
    <w:p w14:paraId="49FC03A6">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（5）根据道路区域规划路网合理组织交叉口设计，充分考虑沿线需要布置的交通附属设施，完善道路的整体风貌景观；</w:t>
      </w:r>
    </w:p>
    <w:p w14:paraId="5D0A6220">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（6）注重环境保护和景观设计，使道路线形、桥涵、交叉和沿线设施等与自然景观相协调，出地面附属设施造型要追求优美的结构形式和高质量的环境景观；</w:t>
      </w:r>
    </w:p>
    <w:p w14:paraId="2E916130">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（7）紧紧围绕“以人为本”的设计理念，组织合理的交通系统，处理好机动车、非机动车、行人的相互关系，适应新城市中心环境建设的需求。</w:t>
      </w:r>
    </w:p>
    <w:p w14:paraId="32E15E08">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（8）要重点处理好与现状及</w:t>
      </w:r>
      <w:r>
        <w:rPr>
          <w:rFonts w:hint="eastAsia" w:ascii="宋体" w:hAnsi="宋体" w:eastAsia="宋体" w:cs="宋体"/>
          <w:color w:val="auto"/>
          <w:sz w:val="24"/>
          <w:highlight w:val="none"/>
          <w:lang w:val="en-US" w:eastAsia="zh-CN"/>
        </w:rPr>
        <w:t>改造河涌</w:t>
      </w:r>
      <w:r>
        <w:rPr>
          <w:rFonts w:hint="eastAsia" w:ascii="宋体" w:hAnsi="宋体" w:eastAsia="宋体" w:cs="宋体"/>
          <w:color w:val="auto"/>
          <w:sz w:val="24"/>
          <w:highlight w:val="none"/>
          <w:lang w:eastAsia="zh-CN"/>
        </w:rPr>
        <w:t>之间的相互影响和预留问题，理清相互关系，提出合理的节点实施方案；</w:t>
      </w:r>
    </w:p>
    <w:p w14:paraId="58BE114D">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（9）每个阶段的主要技术方案、关键节点设计方案等均要在技术、经济投资、实施性、运营管理、工期等方面作综合比选分析。</w:t>
      </w:r>
    </w:p>
    <w:p w14:paraId="67A236DA">
      <w:pPr>
        <w:keepNext w:val="0"/>
        <w:keepLines w:val="0"/>
        <w:pageBreakBefore w:val="0"/>
        <w:kinsoku/>
        <w:wordWrap/>
        <w:overflowPunct/>
        <w:topLinePunct w:val="0"/>
        <w:bidi w:val="0"/>
        <w:adjustRightInd w:val="0"/>
        <w:snapToGrid/>
        <w:spacing w:line="360" w:lineRule="auto"/>
        <w:ind w:firstLine="528"/>
        <w:textAlignment w:val="auto"/>
        <w:outlineLvl w:val="9"/>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5.2道路及交通工程设计要求</w:t>
      </w:r>
    </w:p>
    <w:p w14:paraId="5321412E">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道路总体设计：道路线位原则上与规划保持一致，局部调整位置应进行分析比较，并经规划部门的同意方可实施，横断面原则不突破规划红线。通过平面、竖向相协调，保证内外部交通设施（包括周边的快速路、内部的过境通道）能在平面线形、立面线形、垂直和横向空间上满足车辆的安全、快速运行，协调好与区外道路之间的连接关系。</w:t>
      </w:r>
    </w:p>
    <w:p w14:paraId="383746B2">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（2）交通组织系统设计：根据片区交通流量预测及路网结构进行设计，使交通保持畅通、便捷。</w:t>
      </w:r>
    </w:p>
    <w:p w14:paraId="527E5CC9">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（3）道路结构设计：根据交通特性，在确保质量的提前下，尽量经济。</w:t>
      </w:r>
    </w:p>
    <w:p w14:paraId="10E29DC6">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（4）道路标识设计：指引清晰，与广州市风格一致。</w:t>
      </w:r>
    </w:p>
    <w:p w14:paraId="0EDA0B6F">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（5）交通设施：在满足交通功能的前提下，力求精简，多杆合一。</w:t>
      </w:r>
    </w:p>
    <w:p w14:paraId="05ADF986">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eastAsia="zh-CN"/>
        </w:rPr>
        <w:t>）室外照明宜采用LED、太阳能等节能灯，室内应采用LED等节能灯。</w:t>
      </w:r>
    </w:p>
    <w:p w14:paraId="4ED5581B">
      <w:pPr>
        <w:keepNext w:val="0"/>
        <w:keepLines w:val="0"/>
        <w:pageBreakBefore w:val="0"/>
        <w:kinsoku/>
        <w:wordWrap/>
        <w:overflowPunct/>
        <w:topLinePunct w:val="0"/>
        <w:bidi w:val="0"/>
        <w:adjustRightInd w:val="0"/>
        <w:snapToGrid/>
        <w:spacing w:line="360" w:lineRule="auto"/>
        <w:ind w:firstLine="528"/>
        <w:textAlignment w:val="auto"/>
        <w:outlineLvl w:val="9"/>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5.3排水工程设计要求</w:t>
      </w:r>
    </w:p>
    <w:p w14:paraId="4954473B">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根据可行性研究报告相关内容、水务局意见以及项目业主、使用单位、建设单位的要求。一般应包括以下内容：</w:t>
      </w:r>
    </w:p>
    <w:p w14:paraId="43137F1D">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市政排水系统：在规划的基础上，根据片区地块功能进行容量计算，遵守“雨、污分流”体制，并兼顾近期、远期过渡衔接。</w:t>
      </w:r>
    </w:p>
    <w:p w14:paraId="49FB10B6">
      <w:pPr>
        <w:keepNext w:val="0"/>
        <w:keepLines w:val="0"/>
        <w:pageBreakBefore w:val="0"/>
        <w:kinsoku/>
        <w:wordWrap/>
        <w:overflowPunct/>
        <w:topLinePunct w:val="0"/>
        <w:bidi w:val="0"/>
        <w:adjustRightInd w:val="0"/>
        <w:snapToGrid/>
        <w:spacing w:line="360" w:lineRule="auto"/>
        <w:ind w:firstLine="528"/>
        <w:textAlignment w:val="auto"/>
        <w:outlineLvl w:val="9"/>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5.4其它附属工程设计要求</w:t>
      </w:r>
    </w:p>
    <w:p w14:paraId="7EFBC620">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相关附属工程应按设计规范及省、市地区有关规定，符合城市道路管养部门、规划部门、相关权属部门等的要求。</w:t>
      </w:r>
    </w:p>
    <w:bookmarkEnd w:id="497"/>
    <w:bookmarkEnd w:id="498"/>
    <w:p w14:paraId="5985567B">
      <w:pPr>
        <w:keepNext w:val="0"/>
        <w:keepLines w:val="0"/>
        <w:pageBreakBefore w:val="0"/>
        <w:kinsoku/>
        <w:wordWrap/>
        <w:overflowPunct/>
        <w:topLinePunct w:val="0"/>
        <w:bidi w:val="0"/>
        <w:adjustRightInd w:val="0"/>
        <w:snapToGrid/>
        <w:spacing w:line="360" w:lineRule="auto"/>
        <w:ind w:firstLine="467" w:firstLineChars="194"/>
        <w:textAlignment w:val="auto"/>
        <w:outlineLvl w:val="9"/>
        <w:rPr>
          <w:rFonts w:hint="eastAsia" w:ascii="宋体" w:hAnsi="宋体" w:eastAsia="宋体" w:cs="宋体"/>
          <w:b/>
          <w:color w:val="auto"/>
          <w:sz w:val="24"/>
          <w:highlight w:val="none"/>
          <w:lang w:eastAsia="zh-CN"/>
        </w:rPr>
      </w:pPr>
      <w:bookmarkStart w:id="499" w:name="_Toc148082753"/>
      <w:bookmarkStart w:id="500" w:name="_Toc148063055"/>
      <w:r>
        <w:rPr>
          <w:rFonts w:hint="eastAsia" w:ascii="宋体" w:hAnsi="宋体" w:eastAsia="宋体" w:cs="宋体"/>
          <w:b/>
          <w:color w:val="auto"/>
          <w:sz w:val="24"/>
          <w:highlight w:val="none"/>
          <w:lang w:val="en-US" w:eastAsia="zh-CN"/>
        </w:rPr>
        <w:t>六、</w:t>
      </w:r>
      <w:r>
        <w:rPr>
          <w:rFonts w:hint="eastAsia" w:ascii="宋体" w:hAnsi="宋体" w:eastAsia="宋体" w:cs="宋体"/>
          <w:b/>
          <w:color w:val="auto"/>
          <w:sz w:val="24"/>
          <w:highlight w:val="none"/>
          <w:lang w:eastAsia="zh-CN"/>
        </w:rPr>
        <w:t>成果时间进度要求</w:t>
      </w:r>
    </w:p>
    <w:p w14:paraId="676FC32B">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设计成果文件提交的时间及份数如下: </w:t>
      </w:r>
    </w:p>
    <w:tbl>
      <w:tblPr>
        <w:tblStyle w:val="40"/>
        <w:tblW w:w="0" w:type="auto"/>
        <w:jc w:val="center"/>
        <w:tblLayout w:type="fixed"/>
        <w:tblCellMar>
          <w:top w:w="0" w:type="dxa"/>
          <w:left w:w="108" w:type="dxa"/>
          <w:bottom w:w="0" w:type="dxa"/>
          <w:right w:w="108" w:type="dxa"/>
        </w:tblCellMar>
      </w:tblPr>
      <w:tblGrid>
        <w:gridCol w:w="706"/>
        <w:gridCol w:w="3052"/>
        <w:gridCol w:w="1701"/>
        <w:gridCol w:w="1330"/>
        <w:gridCol w:w="1733"/>
      </w:tblGrid>
      <w:tr w14:paraId="0F539500">
        <w:tblPrEx>
          <w:tblCellMar>
            <w:top w:w="0" w:type="dxa"/>
            <w:left w:w="108" w:type="dxa"/>
            <w:bottom w:w="0" w:type="dxa"/>
            <w:right w:w="108" w:type="dxa"/>
          </w:tblCellMar>
        </w:tblPrEx>
        <w:trPr>
          <w:trHeight w:val="614"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3E8B68D5">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3052" w:type="dxa"/>
            <w:tcBorders>
              <w:top w:val="single" w:color="auto" w:sz="4" w:space="0"/>
              <w:left w:val="nil"/>
              <w:bottom w:val="single" w:color="auto" w:sz="4" w:space="0"/>
              <w:right w:val="single" w:color="auto" w:sz="4" w:space="0"/>
            </w:tcBorders>
            <w:noWrap w:val="0"/>
            <w:vAlign w:val="center"/>
          </w:tcPr>
          <w:p w14:paraId="5171D7B4">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资料及文件名称</w:t>
            </w:r>
          </w:p>
          <w:p w14:paraId="7F833C78">
            <w:pPr>
              <w:widowControl/>
              <w:jc w:val="center"/>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【文件以项目具体情况确定】</w:t>
            </w:r>
          </w:p>
        </w:tc>
        <w:tc>
          <w:tcPr>
            <w:tcW w:w="1701" w:type="dxa"/>
            <w:tcBorders>
              <w:top w:val="single" w:color="auto" w:sz="4" w:space="0"/>
              <w:left w:val="nil"/>
              <w:bottom w:val="single" w:color="auto" w:sz="4" w:space="0"/>
              <w:right w:val="single" w:color="auto" w:sz="4" w:space="0"/>
            </w:tcBorders>
            <w:noWrap w:val="0"/>
            <w:vAlign w:val="center"/>
          </w:tcPr>
          <w:p w14:paraId="7885A158">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提交日期</w:t>
            </w:r>
          </w:p>
        </w:tc>
        <w:tc>
          <w:tcPr>
            <w:tcW w:w="1330" w:type="dxa"/>
            <w:tcBorders>
              <w:top w:val="single" w:color="auto" w:sz="4" w:space="0"/>
              <w:left w:val="nil"/>
              <w:bottom w:val="single" w:color="auto" w:sz="4" w:space="0"/>
              <w:right w:val="single" w:color="auto" w:sz="4" w:space="0"/>
            </w:tcBorders>
            <w:noWrap w:val="0"/>
            <w:vAlign w:val="center"/>
          </w:tcPr>
          <w:p w14:paraId="00A220F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份数</w:t>
            </w:r>
          </w:p>
        </w:tc>
        <w:tc>
          <w:tcPr>
            <w:tcW w:w="1733" w:type="dxa"/>
            <w:tcBorders>
              <w:top w:val="single" w:color="auto" w:sz="4" w:space="0"/>
              <w:left w:val="nil"/>
              <w:bottom w:val="single" w:color="auto" w:sz="4" w:space="0"/>
              <w:right w:val="single" w:color="auto" w:sz="4" w:space="0"/>
            </w:tcBorders>
            <w:noWrap w:val="0"/>
            <w:vAlign w:val="center"/>
          </w:tcPr>
          <w:p w14:paraId="3EEF4E73">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089A8C38">
        <w:tblPrEx>
          <w:tblCellMar>
            <w:top w:w="0" w:type="dxa"/>
            <w:left w:w="108" w:type="dxa"/>
            <w:bottom w:w="0" w:type="dxa"/>
            <w:right w:w="108" w:type="dxa"/>
          </w:tblCellMar>
        </w:tblPrEx>
        <w:trPr>
          <w:trHeight w:val="525"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00C0573E">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052" w:type="dxa"/>
            <w:tcBorders>
              <w:top w:val="single" w:color="auto" w:sz="4" w:space="0"/>
              <w:left w:val="nil"/>
              <w:bottom w:val="single" w:color="auto" w:sz="4" w:space="0"/>
              <w:right w:val="single" w:color="auto" w:sz="4" w:space="0"/>
            </w:tcBorders>
            <w:noWrap w:val="0"/>
            <w:vAlign w:val="center"/>
          </w:tcPr>
          <w:p w14:paraId="6D83F5C0">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报建相关设计成果文件</w:t>
            </w:r>
          </w:p>
        </w:tc>
        <w:tc>
          <w:tcPr>
            <w:tcW w:w="1701" w:type="dxa"/>
            <w:tcBorders>
              <w:top w:val="single" w:color="auto" w:sz="4" w:space="0"/>
              <w:left w:val="nil"/>
              <w:bottom w:val="single" w:color="auto" w:sz="4" w:space="0"/>
              <w:right w:val="single" w:color="auto" w:sz="4" w:space="0"/>
            </w:tcBorders>
            <w:noWrap w:val="0"/>
            <w:vAlign w:val="center"/>
          </w:tcPr>
          <w:p w14:paraId="306B8982">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按发包人要求</w:t>
            </w:r>
          </w:p>
        </w:tc>
        <w:tc>
          <w:tcPr>
            <w:tcW w:w="1330" w:type="dxa"/>
            <w:tcBorders>
              <w:top w:val="single" w:color="auto" w:sz="4" w:space="0"/>
              <w:left w:val="nil"/>
              <w:bottom w:val="single" w:color="auto" w:sz="4" w:space="0"/>
              <w:right w:val="single" w:color="auto" w:sz="4" w:space="0"/>
            </w:tcBorders>
            <w:noWrap w:val="0"/>
            <w:vAlign w:val="center"/>
          </w:tcPr>
          <w:p w14:paraId="27F3DD76">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满足报建需要</w:t>
            </w:r>
          </w:p>
        </w:tc>
        <w:tc>
          <w:tcPr>
            <w:tcW w:w="1733" w:type="dxa"/>
            <w:tcBorders>
              <w:top w:val="single" w:color="auto" w:sz="4" w:space="0"/>
              <w:left w:val="nil"/>
              <w:bottom w:val="single" w:color="auto" w:sz="4" w:space="0"/>
              <w:right w:val="single" w:color="auto" w:sz="4" w:space="0"/>
            </w:tcBorders>
            <w:noWrap w:val="0"/>
            <w:vAlign w:val="top"/>
          </w:tcPr>
          <w:p w14:paraId="3DA6E54F">
            <w:pPr>
              <w:rPr>
                <w:rFonts w:hint="eastAsia" w:ascii="宋体" w:hAnsi="宋体" w:eastAsia="宋体" w:cs="宋体"/>
                <w:color w:val="auto"/>
                <w:szCs w:val="21"/>
                <w:highlight w:val="none"/>
              </w:rPr>
            </w:pPr>
          </w:p>
        </w:tc>
      </w:tr>
      <w:tr w14:paraId="4E07AA06">
        <w:tblPrEx>
          <w:tblCellMar>
            <w:top w:w="0" w:type="dxa"/>
            <w:left w:w="108" w:type="dxa"/>
            <w:bottom w:w="0" w:type="dxa"/>
            <w:right w:w="108" w:type="dxa"/>
          </w:tblCellMar>
        </w:tblPrEx>
        <w:trPr>
          <w:trHeight w:val="465"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7DB96F84">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052" w:type="dxa"/>
            <w:tcBorders>
              <w:top w:val="single" w:color="auto" w:sz="4" w:space="0"/>
              <w:left w:val="nil"/>
              <w:bottom w:val="single" w:color="auto" w:sz="4" w:space="0"/>
              <w:right w:val="single" w:color="auto" w:sz="4" w:space="0"/>
            </w:tcBorders>
            <w:noWrap w:val="0"/>
            <w:vAlign w:val="center"/>
          </w:tcPr>
          <w:p w14:paraId="7F5CF46D">
            <w:pPr>
              <w:widowControl/>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初步设计成果文件（含概算）</w:t>
            </w:r>
          </w:p>
        </w:tc>
        <w:tc>
          <w:tcPr>
            <w:tcW w:w="1701" w:type="dxa"/>
            <w:tcBorders>
              <w:top w:val="single" w:color="auto" w:sz="4" w:space="0"/>
              <w:left w:val="nil"/>
              <w:bottom w:val="single" w:color="auto" w:sz="4" w:space="0"/>
              <w:right w:val="single" w:color="auto" w:sz="4" w:space="0"/>
            </w:tcBorders>
            <w:noWrap w:val="0"/>
            <w:vAlign w:val="center"/>
          </w:tcPr>
          <w:p w14:paraId="6A4C3D5E">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按发包人要求</w:t>
            </w:r>
          </w:p>
        </w:tc>
        <w:tc>
          <w:tcPr>
            <w:tcW w:w="1330" w:type="dxa"/>
            <w:tcBorders>
              <w:top w:val="single" w:color="auto" w:sz="4" w:space="0"/>
              <w:left w:val="nil"/>
              <w:bottom w:val="single" w:color="auto" w:sz="4" w:space="0"/>
              <w:right w:val="single" w:color="auto" w:sz="4" w:space="0"/>
            </w:tcBorders>
            <w:noWrap w:val="0"/>
            <w:vAlign w:val="center"/>
          </w:tcPr>
          <w:p w14:paraId="4DFF4EE7">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p>
        </w:tc>
        <w:tc>
          <w:tcPr>
            <w:tcW w:w="1733" w:type="dxa"/>
            <w:tcBorders>
              <w:top w:val="single" w:color="auto" w:sz="4" w:space="0"/>
              <w:left w:val="nil"/>
              <w:bottom w:val="single" w:color="auto" w:sz="4" w:space="0"/>
              <w:right w:val="single" w:color="auto" w:sz="4" w:space="0"/>
            </w:tcBorders>
            <w:noWrap w:val="0"/>
            <w:vAlign w:val="center"/>
          </w:tcPr>
          <w:p w14:paraId="514E50D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另外附上3套电子光盘</w:t>
            </w:r>
          </w:p>
        </w:tc>
      </w:tr>
      <w:tr w14:paraId="48598B51">
        <w:tblPrEx>
          <w:tblCellMar>
            <w:top w:w="0" w:type="dxa"/>
            <w:left w:w="108" w:type="dxa"/>
            <w:bottom w:w="0" w:type="dxa"/>
            <w:right w:w="108" w:type="dxa"/>
          </w:tblCellMar>
        </w:tblPrEx>
        <w:trPr>
          <w:trHeight w:val="465"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5E594EED">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3</w:t>
            </w:r>
          </w:p>
        </w:tc>
        <w:tc>
          <w:tcPr>
            <w:tcW w:w="3052" w:type="dxa"/>
            <w:tcBorders>
              <w:top w:val="single" w:color="auto" w:sz="4" w:space="0"/>
              <w:left w:val="nil"/>
              <w:bottom w:val="single" w:color="auto" w:sz="4" w:space="0"/>
              <w:right w:val="single" w:color="auto" w:sz="4" w:space="0"/>
            </w:tcBorders>
            <w:noWrap w:val="0"/>
            <w:vAlign w:val="center"/>
          </w:tcPr>
          <w:p w14:paraId="6CEA3DC2">
            <w:pPr>
              <w:widowControl/>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施工图设计成果文件（PDF版及CAD版,包括主要材料设备清单、技术规范等文件）</w:t>
            </w:r>
          </w:p>
        </w:tc>
        <w:tc>
          <w:tcPr>
            <w:tcW w:w="1701" w:type="dxa"/>
            <w:tcBorders>
              <w:top w:val="single" w:color="auto" w:sz="4" w:space="0"/>
              <w:left w:val="nil"/>
              <w:bottom w:val="single" w:color="auto" w:sz="4" w:space="0"/>
              <w:right w:val="single" w:color="auto" w:sz="4" w:space="0"/>
            </w:tcBorders>
            <w:noWrap w:val="0"/>
            <w:vAlign w:val="center"/>
          </w:tcPr>
          <w:p w14:paraId="57FFD028">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按发包人要求及工程进度需要</w:t>
            </w:r>
          </w:p>
        </w:tc>
        <w:tc>
          <w:tcPr>
            <w:tcW w:w="1330" w:type="dxa"/>
            <w:tcBorders>
              <w:top w:val="single" w:color="auto" w:sz="4" w:space="0"/>
              <w:left w:val="nil"/>
              <w:bottom w:val="single" w:color="auto" w:sz="4" w:space="0"/>
              <w:right w:val="single" w:color="auto" w:sz="4" w:space="0"/>
            </w:tcBorders>
            <w:noWrap w:val="0"/>
            <w:vAlign w:val="center"/>
          </w:tcPr>
          <w:p w14:paraId="6C2F1CA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733" w:type="dxa"/>
            <w:tcBorders>
              <w:top w:val="single" w:color="auto" w:sz="4" w:space="0"/>
              <w:left w:val="nil"/>
              <w:bottom w:val="single" w:color="auto" w:sz="4" w:space="0"/>
              <w:right w:val="single" w:color="auto" w:sz="4" w:space="0"/>
            </w:tcBorders>
            <w:noWrap w:val="0"/>
            <w:vAlign w:val="center"/>
          </w:tcPr>
          <w:p w14:paraId="3150BF2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可根据施工需要分批提供，还应提供3套电子光盘</w:t>
            </w:r>
          </w:p>
        </w:tc>
      </w:tr>
      <w:tr w14:paraId="7FC98730">
        <w:tblPrEx>
          <w:tblCellMar>
            <w:top w:w="0" w:type="dxa"/>
            <w:left w:w="108" w:type="dxa"/>
            <w:bottom w:w="0" w:type="dxa"/>
            <w:right w:w="108" w:type="dxa"/>
          </w:tblCellMar>
        </w:tblPrEx>
        <w:trPr>
          <w:trHeight w:val="285"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618E0377">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4</w:t>
            </w:r>
          </w:p>
        </w:tc>
        <w:tc>
          <w:tcPr>
            <w:tcW w:w="3052" w:type="dxa"/>
            <w:tcBorders>
              <w:top w:val="single" w:color="auto" w:sz="4" w:space="0"/>
              <w:left w:val="nil"/>
              <w:bottom w:val="single" w:color="auto" w:sz="4" w:space="0"/>
              <w:right w:val="single" w:color="auto" w:sz="4" w:space="0"/>
            </w:tcBorders>
            <w:noWrap w:val="0"/>
            <w:vAlign w:val="center"/>
          </w:tcPr>
          <w:p w14:paraId="731DDF2F">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其他文件</w:t>
            </w:r>
          </w:p>
        </w:tc>
        <w:tc>
          <w:tcPr>
            <w:tcW w:w="1701" w:type="dxa"/>
            <w:tcBorders>
              <w:top w:val="single" w:color="auto" w:sz="4" w:space="0"/>
              <w:left w:val="nil"/>
              <w:bottom w:val="single" w:color="auto" w:sz="4" w:space="0"/>
              <w:right w:val="single" w:color="auto" w:sz="4" w:space="0"/>
            </w:tcBorders>
            <w:noWrap w:val="0"/>
            <w:vAlign w:val="center"/>
          </w:tcPr>
          <w:p w14:paraId="05AC2B38">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按发包人要求及工程进度需要</w:t>
            </w:r>
          </w:p>
        </w:tc>
        <w:tc>
          <w:tcPr>
            <w:tcW w:w="1330" w:type="dxa"/>
            <w:tcBorders>
              <w:top w:val="single" w:color="auto" w:sz="4" w:space="0"/>
              <w:left w:val="nil"/>
              <w:bottom w:val="single" w:color="auto" w:sz="4" w:space="0"/>
              <w:right w:val="single" w:color="auto" w:sz="4" w:space="0"/>
            </w:tcBorders>
            <w:noWrap w:val="0"/>
            <w:vAlign w:val="center"/>
          </w:tcPr>
          <w:p w14:paraId="3872D5AF">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按发包人要求提交</w:t>
            </w:r>
          </w:p>
        </w:tc>
        <w:tc>
          <w:tcPr>
            <w:tcW w:w="1733" w:type="dxa"/>
            <w:tcBorders>
              <w:top w:val="single" w:color="auto" w:sz="4" w:space="0"/>
              <w:left w:val="nil"/>
              <w:bottom w:val="single" w:color="auto" w:sz="4" w:space="0"/>
              <w:right w:val="single" w:color="auto" w:sz="4" w:space="0"/>
            </w:tcBorders>
            <w:noWrap w:val="0"/>
            <w:vAlign w:val="center"/>
          </w:tcPr>
          <w:p w14:paraId="7F3A9709">
            <w:pPr>
              <w:widowControl/>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含电子版</w:t>
            </w:r>
          </w:p>
        </w:tc>
      </w:tr>
    </w:tbl>
    <w:p w14:paraId="035D06B4">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b/>
          <w:color w:val="auto"/>
          <w:sz w:val="24"/>
          <w:highlight w:val="none"/>
          <w:lang w:val="en-US" w:eastAsia="zh-CN"/>
        </w:rPr>
      </w:pPr>
      <w:r>
        <w:rPr>
          <w:rFonts w:hint="eastAsia" w:ascii="宋体" w:hAnsi="宋体" w:eastAsia="宋体" w:cs="宋体"/>
          <w:color w:val="auto"/>
          <w:sz w:val="24"/>
          <w:highlight w:val="none"/>
          <w:lang w:eastAsia="zh-CN"/>
        </w:rPr>
        <w:t>注：图纸提交份数可根据实际需要进行调整，乙方无偿提供。</w:t>
      </w:r>
    </w:p>
    <w:p w14:paraId="3BA69500">
      <w:pPr>
        <w:keepNext w:val="0"/>
        <w:keepLines w:val="0"/>
        <w:pageBreakBefore w:val="0"/>
        <w:kinsoku/>
        <w:wordWrap/>
        <w:overflowPunct/>
        <w:topLinePunct w:val="0"/>
        <w:bidi w:val="0"/>
        <w:adjustRightInd w:val="0"/>
        <w:snapToGrid/>
        <w:spacing w:line="360" w:lineRule="auto"/>
        <w:ind w:firstLine="467" w:firstLineChars="194"/>
        <w:textAlignment w:val="auto"/>
        <w:outlineLvl w:val="9"/>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六</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设计</w:t>
      </w:r>
      <w:r>
        <w:rPr>
          <w:rFonts w:hint="eastAsia" w:ascii="宋体" w:hAnsi="宋体" w:eastAsia="宋体" w:cs="宋体"/>
          <w:b/>
          <w:color w:val="auto"/>
          <w:sz w:val="24"/>
          <w:highlight w:val="none"/>
          <w:lang w:eastAsia="zh-CN"/>
        </w:rPr>
        <w:t>配合</w:t>
      </w:r>
      <w:bookmarkEnd w:id="499"/>
      <w:bookmarkEnd w:id="500"/>
      <w:r>
        <w:rPr>
          <w:rFonts w:hint="eastAsia" w:ascii="宋体" w:hAnsi="宋体" w:eastAsia="宋体" w:cs="宋体"/>
          <w:b/>
          <w:color w:val="auto"/>
          <w:sz w:val="24"/>
          <w:highlight w:val="none"/>
          <w:lang w:val="en-US" w:eastAsia="zh-CN"/>
        </w:rPr>
        <w:t>要求</w:t>
      </w:r>
    </w:p>
    <w:p w14:paraId="0F018B46">
      <w:pPr>
        <w:keepNext w:val="0"/>
        <w:keepLines w:val="0"/>
        <w:pageBreakBefore w:val="0"/>
        <w:kinsoku/>
        <w:wordWrap/>
        <w:overflowPunct/>
        <w:topLinePunct w:val="0"/>
        <w:bidi w:val="0"/>
        <w:adjustRightInd w:val="0"/>
        <w:snapToGrid/>
        <w:spacing w:line="360" w:lineRule="auto"/>
        <w:ind w:firstLine="528"/>
        <w:textAlignment w:val="auto"/>
        <w:outlineLvl w:val="9"/>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6.1技术配合工作</w:t>
      </w:r>
    </w:p>
    <w:p w14:paraId="79B61902">
      <w:pPr>
        <w:keepNext w:val="0"/>
        <w:keepLines w:val="0"/>
        <w:pageBreakBefore w:val="0"/>
        <w:kinsoku/>
        <w:wordWrap/>
        <w:overflowPunct/>
        <w:topLinePunct w:val="0"/>
        <w:bidi w:val="0"/>
        <w:snapToGrid/>
        <w:spacing w:line="360" w:lineRule="auto"/>
        <w:ind w:firstLine="480" w:firstLineChars="200"/>
        <w:textAlignment w:val="auto"/>
        <w:outlineLvl w:val="9"/>
        <w:rPr>
          <w:rFonts w:ascii="仿宋_GB2312" w:hAnsi="宋体" w:eastAsia="仿宋_GB2312" w:cs="Times New Roman"/>
          <w:color w:val="auto"/>
          <w:sz w:val="24"/>
          <w:highlight w:val="none"/>
        </w:rPr>
      </w:pPr>
      <w:r>
        <w:rPr>
          <w:rFonts w:hint="eastAsia" w:ascii="宋体" w:hAnsi="宋体" w:eastAsia="宋体" w:cs="宋体"/>
          <w:color w:val="auto"/>
          <w:sz w:val="24"/>
          <w:highlight w:val="none"/>
          <w:lang w:eastAsia="zh-CN"/>
        </w:rPr>
        <w:t>设计单位需完成业主的</w:t>
      </w:r>
      <w:r>
        <w:rPr>
          <w:rFonts w:hint="eastAsia" w:ascii="宋体" w:hAnsi="宋体" w:eastAsia="宋体" w:cs="宋体"/>
          <w:color w:val="auto"/>
          <w:sz w:val="24"/>
          <w:highlight w:val="none"/>
          <w:lang w:val="en-US" w:eastAsia="zh-CN"/>
        </w:rPr>
        <w:t>如施工等相关</w:t>
      </w:r>
      <w:r>
        <w:rPr>
          <w:rFonts w:hint="eastAsia" w:ascii="宋体" w:hAnsi="宋体" w:eastAsia="宋体" w:cs="宋体"/>
          <w:color w:val="auto"/>
          <w:sz w:val="24"/>
          <w:highlight w:val="none"/>
          <w:lang w:eastAsia="zh-CN"/>
        </w:rPr>
        <w:t>招标配合，负责施工期间设计理念的贯彻、现场技术支持，参与施工图会审交底，现场施工问题的协调、现场工程变更、工程验收等相关工作，以及征拆及管线方面的技术配合工作。为保证本项目与各地块及周边道路的良好顺接，设计单位需配合业主做好本项目设计与各地块及周边道路、</w:t>
      </w:r>
      <w:r>
        <w:rPr>
          <w:rFonts w:hint="eastAsia" w:ascii="宋体" w:hAnsi="宋体" w:eastAsia="宋体" w:cs="宋体"/>
          <w:color w:val="auto"/>
          <w:sz w:val="24"/>
          <w:highlight w:val="none"/>
          <w:lang w:val="en-US" w:eastAsia="zh-CN"/>
        </w:rPr>
        <w:t>河涌改造</w:t>
      </w:r>
      <w:r>
        <w:rPr>
          <w:rFonts w:hint="eastAsia" w:ascii="宋体" w:hAnsi="宋体" w:eastAsia="宋体" w:cs="宋体"/>
          <w:color w:val="auto"/>
          <w:sz w:val="24"/>
          <w:highlight w:val="none"/>
          <w:lang w:eastAsia="zh-CN"/>
        </w:rPr>
        <w:t>、管线的对接工作。</w:t>
      </w:r>
    </w:p>
    <w:p w14:paraId="1AA8D856">
      <w:pPr>
        <w:keepNext w:val="0"/>
        <w:keepLines w:val="0"/>
        <w:pageBreakBefore w:val="0"/>
        <w:kinsoku/>
        <w:wordWrap/>
        <w:overflowPunct/>
        <w:topLinePunct w:val="0"/>
        <w:bidi w:val="0"/>
        <w:adjustRightInd w:val="0"/>
        <w:snapToGrid/>
        <w:spacing w:line="360" w:lineRule="auto"/>
        <w:ind w:firstLine="528"/>
        <w:textAlignment w:val="auto"/>
        <w:outlineLvl w:val="9"/>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6.2报建配合工作</w:t>
      </w:r>
    </w:p>
    <w:p w14:paraId="0F162E5F">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完成本项目过程中的相关报建配合、协调(包括各专项审批、设计方案审查等的所有规划、技术、管线、专项等各类报审报建配合服务、协调工作及审核服务工作)等工作。</w:t>
      </w:r>
    </w:p>
    <w:p w14:paraId="52AD6CE3">
      <w:pPr>
        <w:keepNext w:val="0"/>
        <w:keepLines w:val="0"/>
        <w:pageBreakBefore w:val="0"/>
        <w:kinsoku/>
        <w:wordWrap/>
        <w:overflowPunct/>
        <w:topLinePunct w:val="0"/>
        <w:bidi w:val="0"/>
        <w:adjustRightInd w:val="0"/>
        <w:snapToGrid/>
        <w:spacing w:line="360" w:lineRule="auto"/>
        <w:ind w:firstLine="465" w:firstLineChars="194"/>
        <w:textAlignment w:val="auto"/>
        <w:outlineLvl w:val="9"/>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具体以招标文件、设计施工总承包合同及有关资料为准。</w:t>
      </w:r>
    </w:p>
    <w:p w14:paraId="63246F2F">
      <w:pPr>
        <w:pStyle w:val="2"/>
        <w:jc w:val="center"/>
        <w:rPr>
          <w:rFonts w:hint="eastAsia"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 xml:space="preserve">第六章 </w:t>
      </w:r>
      <w:bookmarkStart w:id="501" w:name="_Toc9205"/>
      <w:r>
        <w:rPr>
          <w:rFonts w:hint="eastAsia" w:ascii="宋体" w:hAnsi="宋体" w:cs="宋体"/>
          <w:color w:val="auto"/>
          <w:highlight w:val="none"/>
        </w:rPr>
        <w:t xml:space="preserve"> 招标人提供的资料</w:t>
      </w:r>
      <w:bookmarkEnd w:id="501"/>
    </w:p>
    <w:p w14:paraId="6691E896">
      <w:pPr>
        <w:jc w:val="center"/>
        <w:rPr>
          <w:rFonts w:hint="eastAsia" w:ascii="宋体" w:hAnsi="宋体" w:cs="宋体"/>
          <w:color w:val="auto"/>
          <w:sz w:val="24"/>
          <w:highlight w:val="none"/>
          <w:u w:val="single"/>
        </w:rPr>
      </w:pPr>
      <w:bookmarkStart w:id="502" w:name="_Toc10203"/>
      <w:r>
        <w:rPr>
          <w:rFonts w:hint="eastAsia" w:ascii="宋体" w:hAnsi="宋体" w:cs="宋体"/>
          <w:color w:val="auto"/>
          <w:sz w:val="24"/>
          <w:highlight w:val="none"/>
          <w:u w:val="single"/>
        </w:rPr>
        <w:t>（另册）</w:t>
      </w:r>
    </w:p>
    <w:p w14:paraId="07CA50B8">
      <w:pPr>
        <w:jc w:val="center"/>
        <w:rPr>
          <w:rFonts w:hint="eastAsia" w:ascii="宋体" w:hAnsi="宋体" w:cs="宋体"/>
          <w:color w:val="auto"/>
          <w:highlight w:val="none"/>
        </w:rPr>
      </w:pPr>
      <w:r>
        <w:rPr>
          <w:rFonts w:hint="eastAsia" w:ascii="宋体" w:hAnsi="宋体" w:cs="宋体"/>
          <w:color w:val="auto"/>
          <w:highlight w:val="none"/>
        </w:rPr>
        <w:br w:type="page"/>
      </w:r>
      <w:bookmarkEnd w:id="502"/>
    </w:p>
    <w:p w14:paraId="610C8F26">
      <w:pPr>
        <w:pStyle w:val="2"/>
        <w:jc w:val="center"/>
        <w:rPr>
          <w:rFonts w:hint="eastAsia" w:ascii="宋体" w:hAnsi="宋体" w:cs="宋体"/>
          <w:color w:val="auto"/>
          <w:highlight w:val="none"/>
        </w:rPr>
      </w:pPr>
      <w:bookmarkStart w:id="503" w:name="_Toc13417"/>
      <w:bookmarkStart w:id="504" w:name="_Toc8104"/>
      <w:r>
        <w:rPr>
          <w:rFonts w:hint="eastAsia" w:ascii="宋体" w:hAnsi="宋体" w:cs="宋体"/>
          <w:color w:val="auto"/>
          <w:highlight w:val="none"/>
        </w:rPr>
        <w:t>第七章  投标文件格式</w:t>
      </w:r>
      <w:bookmarkEnd w:id="464"/>
      <w:bookmarkEnd w:id="465"/>
      <w:bookmarkEnd w:id="466"/>
      <w:bookmarkEnd w:id="467"/>
      <w:bookmarkEnd w:id="468"/>
      <w:bookmarkEnd w:id="503"/>
      <w:bookmarkEnd w:id="504"/>
    </w:p>
    <w:p w14:paraId="29FB6CD9">
      <w:pPr>
        <w:spacing w:line="400" w:lineRule="exact"/>
        <w:rPr>
          <w:rFonts w:hint="eastAsia" w:ascii="宋体" w:hAnsi="宋体" w:cs="宋体"/>
          <w:color w:val="auto"/>
          <w:highlight w:val="none"/>
        </w:rPr>
      </w:pPr>
    </w:p>
    <w:p w14:paraId="26965E79">
      <w:pPr>
        <w:pStyle w:val="3"/>
        <w:jc w:val="center"/>
        <w:rPr>
          <w:rFonts w:hint="eastAsia" w:ascii="宋体" w:hAnsi="宋体" w:eastAsia="宋体" w:cs="宋体"/>
          <w:color w:val="auto"/>
          <w:highlight w:val="none"/>
        </w:rPr>
        <w:sectPr>
          <w:footerReference r:id="rId6" w:type="default"/>
          <w:pgSz w:w="11905" w:h="16838"/>
          <w:pgMar w:top="1417" w:right="1134" w:bottom="1417" w:left="1134" w:header="851" w:footer="992" w:gutter="0"/>
          <w:cols w:space="720" w:num="1"/>
          <w:docGrid w:type="lines" w:linePitch="321" w:charSpace="0"/>
        </w:sectPr>
      </w:pPr>
    </w:p>
    <w:p w14:paraId="5D41269B">
      <w:pPr>
        <w:pStyle w:val="3"/>
        <w:spacing w:before="0" w:after="0"/>
        <w:rPr>
          <w:rFonts w:hint="eastAsia" w:ascii="宋体" w:hAnsi="宋体" w:eastAsia="宋体" w:cs="宋体"/>
          <w:color w:val="auto"/>
          <w:sz w:val="28"/>
          <w:szCs w:val="28"/>
          <w:highlight w:val="none"/>
        </w:rPr>
      </w:pPr>
      <w:bookmarkStart w:id="505" w:name="_Toc19059"/>
      <w:bookmarkStart w:id="506" w:name="_Toc23311"/>
      <w:r>
        <w:rPr>
          <w:rFonts w:hint="eastAsia" w:ascii="宋体" w:hAnsi="宋体" w:eastAsia="宋体" w:cs="宋体"/>
          <w:color w:val="auto"/>
          <w:sz w:val="28"/>
          <w:szCs w:val="28"/>
          <w:highlight w:val="none"/>
        </w:rPr>
        <w:t>格式1</w:t>
      </w:r>
      <w:bookmarkEnd w:id="505"/>
      <w:bookmarkEnd w:id="506"/>
      <w:r>
        <w:rPr>
          <w:rFonts w:hint="eastAsia" w:ascii="宋体" w:hAnsi="宋体" w:eastAsia="宋体" w:cs="宋体"/>
          <w:color w:val="auto"/>
          <w:sz w:val="28"/>
          <w:szCs w:val="28"/>
          <w:highlight w:val="none"/>
        </w:rPr>
        <w:t>：</w:t>
      </w:r>
    </w:p>
    <w:p w14:paraId="2772F9FA">
      <w:pPr>
        <w:autoSpaceDE w:val="0"/>
        <w:autoSpaceDN w:val="0"/>
        <w:spacing w:line="360" w:lineRule="auto"/>
        <w:jc w:val="center"/>
        <w:rPr>
          <w:rFonts w:hint="eastAsia"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法人代表证明书、授权委托证明书</w:t>
      </w:r>
    </w:p>
    <w:p w14:paraId="00ECB45B">
      <w:pPr>
        <w:spacing w:line="360" w:lineRule="auto"/>
        <w:jc w:val="center"/>
        <w:rPr>
          <w:rFonts w:hint="eastAsia" w:ascii="宋体" w:hAnsi="宋体" w:cs="宋体"/>
          <w:b/>
          <w:color w:val="auto"/>
          <w:sz w:val="28"/>
          <w:highlight w:val="none"/>
        </w:rPr>
      </w:pPr>
      <w:r>
        <w:rPr>
          <w:rFonts w:hint="eastAsia" w:ascii="宋体" w:hAnsi="宋体" w:cs="宋体"/>
          <w:b/>
          <w:color w:val="auto"/>
          <w:sz w:val="28"/>
          <w:highlight w:val="none"/>
        </w:rPr>
        <w:t>法定代表人（负责人）证明书</w:t>
      </w:r>
    </w:p>
    <w:p w14:paraId="13CFB3F2">
      <w:pPr>
        <w:spacing w:line="360" w:lineRule="auto"/>
        <w:jc w:val="right"/>
        <w:rPr>
          <w:rFonts w:hint="eastAsia" w:ascii="宋体" w:hAnsi="宋体" w:cs="宋体"/>
          <w:color w:val="auto"/>
          <w:sz w:val="24"/>
          <w:highlight w:val="none"/>
        </w:rPr>
      </w:pPr>
      <w:r>
        <w:rPr>
          <w:rFonts w:hint="eastAsia" w:ascii="宋体" w:hAnsi="宋体" w:cs="宋体"/>
          <w:color w:val="auto"/>
          <w:highlight w:val="none"/>
        </w:rPr>
        <w:t>（　 ）第　号</w:t>
      </w:r>
    </w:p>
    <w:tbl>
      <w:tblPr>
        <w:tblStyle w:val="40"/>
        <w:tblW w:w="94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5"/>
      </w:tblGrid>
      <w:tr w14:paraId="0B48A7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55" w:type="dxa"/>
          </w:tcPr>
          <w:p w14:paraId="2236F6D3">
            <w:pPr>
              <w:spacing w:line="360" w:lineRule="auto"/>
              <w:rPr>
                <w:rFonts w:hint="eastAsia" w:ascii="宋体" w:hAnsi="宋体" w:cs="宋体"/>
                <w:color w:val="auto"/>
                <w:sz w:val="24"/>
                <w:highlight w:val="none"/>
                <w:u w:val="single"/>
              </w:rPr>
            </w:pPr>
          </w:p>
          <w:p w14:paraId="31A7CC9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w:t>
            </w:r>
            <w:r>
              <w:rPr>
                <w:rFonts w:hint="eastAsia" w:ascii="宋体" w:hAnsi="宋体" w:cs="宋体"/>
                <w:color w:val="auto"/>
                <w:sz w:val="24"/>
                <w:highlight w:val="none"/>
              </w:rPr>
              <w:t>现任我单位</w:t>
            </w:r>
            <w:r>
              <w:rPr>
                <w:rFonts w:hint="eastAsia" w:ascii="宋体" w:hAnsi="宋体" w:cs="宋体"/>
                <w:color w:val="auto"/>
                <w:sz w:val="24"/>
                <w:highlight w:val="none"/>
                <w:u w:val="single"/>
              </w:rPr>
              <w:t>　　　　　</w:t>
            </w:r>
            <w:r>
              <w:rPr>
                <w:rFonts w:hint="eastAsia" w:ascii="宋体" w:hAnsi="宋体" w:cs="宋体"/>
                <w:color w:val="auto"/>
                <w:sz w:val="24"/>
                <w:highlight w:val="none"/>
              </w:rPr>
              <w:t>职务，为法定代表人（负责人），特此证明。</w:t>
            </w:r>
          </w:p>
          <w:p w14:paraId="0D5F9296">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有效期限：</w:t>
            </w:r>
          </w:p>
          <w:p w14:paraId="26872D4B">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附：法定代表人（负责人）性别：</w:t>
            </w:r>
            <w:r>
              <w:rPr>
                <w:rFonts w:hint="eastAsia" w:ascii="宋体" w:hAnsi="宋体" w:cs="宋体"/>
                <w:color w:val="auto"/>
                <w:sz w:val="24"/>
                <w:highlight w:val="none"/>
                <w:u w:val="single"/>
              </w:rPr>
              <w:t>　　</w:t>
            </w:r>
            <w:r>
              <w:rPr>
                <w:rFonts w:hint="eastAsia" w:ascii="宋体" w:hAnsi="宋体" w:cs="宋体"/>
                <w:color w:val="auto"/>
                <w:sz w:val="24"/>
                <w:highlight w:val="none"/>
              </w:rPr>
              <w:t>年龄：</w:t>
            </w:r>
            <w:r>
              <w:rPr>
                <w:rFonts w:hint="eastAsia" w:ascii="宋体" w:hAnsi="宋体" w:cs="宋体"/>
                <w:color w:val="auto"/>
                <w:sz w:val="24"/>
                <w:highlight w:val="none"/>
                <w:u w:val="single"/>
              </w:rPr>
              <w:t>　　</w:t>
            </w:r>
            <w:r>
              <w:rPr>
                <w:rFonts w:hint="eastAsia" w:ascii="宋体" w:hAnsi="宋体" w:cs="宋体"/>
                <w:color w:val="auto"/>
                <w:sz w:val="24"/>
                <w:highlight w:val="none"/>
              </w:rPr>
              <w:t>身份证号码：</w:t>
            </w:r>
          </w:p>
          <w:p w14:paraId="2AE1593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注册号码：</w:t>
            </w:r>
            <w:r>
              <w:rPr>
                <w:rFonts w:hint="eastAsia" w:ascii="宋体" w:hAnsi="宋体" w:cs="宋体"/>
                <w:color w:val="auto"/>
                <w:sz w:val="24"/>
                <w:highlight w:val="none"/>
                <w:u w:val="single"/>
              </w:rPr>
              <w:t>　　　　　　　　　　</w:t>
            </w:r>
            <w:r>
              <w:rPr>
                <w:rFonts w:hint="eastAsia" w:ascii="宋体" w:hAnsi="宋体" w:cs="宋体"/>
                <w:color w:val="auto"/>
                <w:sz w:val="24"/>
                <w:highlight w:val="none"/>
              </w:rPr>
              <w:t>企业类型：</w:t>
            </w:r>
          </w:p>
          <w:p w14:paraId="2227A52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经营范围：</w:t>
            </w:r>
          </w:p>
          <w:p w14:paraId="65F86E8C">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　　　　　　　　　　　　　　　　</w:t>
            </w:r>
            <w:r>
              <w:rPr>
                <w:rFonts w:hint="eastAsia" w:ascii="宋体" w:hAnsi="宋体" w:cs="宋体"/>
                <w:color w:val="auto"/>
                <w:sz w:val="24"/>
                <w:highlight w:val="none"/>
              </w:rPr>
              <w:t>单位：　　　　　　（盖章）</w:t>
            </w:r>
          </w:p>
          <w:p w14:paraId="06B5E61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u w:val="single"/>
              </w:rPr>
              <w:t>　　　　　　　　　　　　　　　　</w:t>
            </w:r>
            <w:r>
              <w:rPr>
                <w:rFonts w:hint="eastAsia" w:ascii="宋体" w:hAnsi="宋体" w:cs="宋体"/>
                <w:color w:val="auto"/>
                <w:sz w:val="24"/>
                <w:highlight w:val="none"/>
              </w:rPr>
              <w:t>　　　　　    年　月　　日</w:t>
            </w:r>
          </w:p>
        </w:tc>
      </w:tr>
    </w:tbl>
    <w:p w14:paraId="7D4D796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注：1、法定代表人证明书也可以采用工商行政管理局统一印制的格式。</w:t>
      </w:r>
    </w:p>
    <w:p w14:paraId="2036C028">
      <w:pPr>
        <w:spacing w:line="360" w:lineRule="auto"/>
        <w:rPr>
          <w:rFonts w:hint="eastAsia" w:ascii="宋体" w:hAnsi="宋体" w:cs="宋体"/>
          <w:color w:val="auto"/>
          <w:sz w:val="24"/>
          <w:highlight w:val="none"/>
        </w:rPr>
      </w:pPr>
      <w:r>
        <w:rPr>
          <w:rFonts w:hint="eastAsia" w:ascii="宋体" w:hAnsi="宋体" w:cs="宋体"/>
          <w:color w:val="auto"/>
          <w:szCs w:val="21"/>
          <w:highlight w:val="none"/>
        </w:rPr>
        <w:t xml:space="preserve">    2、联合体投标的，本证明书由主办方出具，仅填写主办方单位名称并由主办方盖章即可。</w:t>
      </w:r>
    </w:p>
    <w:p w14:paraId="6F76754D">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法定代表人授权委托书</w:t>
      </w:r>
    </w:p>
    <w:p w14:paraId="2E7F02B6">
      <w:pPr>
        <w:spacing w:line="360" w:lineRule="auto"/>
        <w:jc w:val="right"/>
        <w:rPr>
          <w:rFonts w:hint="eastAsia" w:ascii="宋体" w:hAnsi="宋体" w:cs="宋体"/>
          <w:color w:val="auto"/>
          <w:sz w:val="24"/>
          <w:highlight w:val="none"/>
        </w:rPr>
      </w:pPr>
      <w:r>
        <w:rPr>
          <w:rFonts w:hint="eastAsia" w:ascii="宋体" w:hAnsi="宋体" w:cs="宋体"/>
          <w:color w:val="auto"/>
          <w:highlight w:val="none"/>
        </w:rPr>
        <w:t>（　 ）第　号</w:t>
      </w:r>
    </w:p>
    <w:tbl>
      <w:tblPr>
        <w:tblStyle w:val="40"/>
        <w:tblW w:w="92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43"/>
      </w:tblGrid>
      <w:tr w14:paraId="46BEB5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9243" w:type="dxa"/>
          </w:tcPr>
          <w:p w14:paraId="5997BDC8">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兹授权为我方委托代理人，其权限是：</w:t>
            </w:r>
          </w:p>
          <w:p w14:paraId="2D588E4E">
            <w:pPr>
              <w:spacing w:line="360" w:lineRule="auto"/>
              <w:rPr>
                <w:rFonts w:hint="eastAsia" w:ascii="宋体" w:hAnsi="宋体" w:cs="宋体"/>
                <w:color w:val="auto"/>
                <w:sz w:val="24"/>
                <w:highlight w:val="none"/>
                <w:u w:val="single"/>
              </w:rPr>
            </w:pPr>
          </w:p>
          <w:p w14:paraId="3958085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有效期限：</w:t>
            </w:r>
          </w:p>
          <w:p w14:paraId="01451926">
            <w:pPr>
              <w:spacing w:line="360" w:lineRule="auto"/>
              <w:rPr>
                <w:rFonts w:hint="eastAsia" w:ascii="宋体" w:hAnsi="宋体" w:cs="宋体"/>
                <w:color w:val="auto"/>
                <w:sz w:val="24"/>
                <w:highlight w:val="none"/>
              </w:rPr>
            </w:pPr>
            <w:r>
              <w:rPr>
                <w:rFonts w:hint="eastAsia" w:ascii="宋体" w:hAnsi="宋体" w:cs="宋体"/>
                <w:color w:val="auto"/>
                <w:sz w:val="24"/>
                <w:highlight w:val="none"/>
              </w:rPr>
              <w:t>附：代理人性别：年龄：身份证号码：</w:t>
            </w:r>
          </w:p>
          <w:p w14:paraId="52E27FF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注册号码：企业类型：</w:t>
            </w:r>
          </w:p>
          <w:p w14:paraId="56546400">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经营范围：</w:t>
            </w:r>
          </w:p>
          <w:p w14:paraId="7E8D328E">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法定代表人（负责人）：（签名或盖章）</w:t>
            </w:r>
          </w:p>
          <w:p w14:paraId="09D97AA2">
            <w:pPr>
              <w:spacing w:line="360" w:lineRule="auto"/>
              <w:rPr>
                <w:rFonts w:hint="eastAsia" w:ascii="宋体" w:hAnsi="宋体" w:cs="宋体"/>
                <w:color w:val="auto"/>
                <w:sz w:val="24"/>
                <w:highlight w:val="none"/>
              </w:rPr>
            </w:pPr>
            <w:r>
              <w:rPr>
                <w:rFonts w:hint="eastAsia" w:ascii="宋体" w:hAnsi="宋体" w:cs="宋体"/>
                <w:color w:val="auto"/>
                <w:sz w:val="24"/>
                <w:highlight w:val="none"/>
              </w:rPr>
              <w:t>授权单位：（盖章）</w:t>
            </w:r>
          </w:p>
          <w:p w14:paraId="774254DE">
            <w:pPr>
              <w:spacing w:line="360" w:lineRule="auto"/>
              <w:rPr>
                <w:rFonts w:hint="eastAsia" w:ascii="宋体" w:hAnsi="宋体" w:cs="宋体"/>
                <w:color w:val="auto"/>
                <w:sz w:val="24"/>
                <w:highlight w:val="none"/>
              </w:rPr>
            </w:pPr>
            <w:r>
              <w:rPr>
                <w:rFonts w:hint="eastAsia" w:ascii="宋体" w:hAnsi="宋体" w:cs="宋体"/>
                <w:color w:val="auto"/>
                <w:sz w:val="24"/>
                <w:highlight w:val="none"/>
              </w:rPr>
              <w:t>年  月   日</w:t>
            </w:r>
          </w:p>
        </w:tc>
      </w:tr>
    </w:tbl>
    <w:p w14:paraId="1D43A65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注：1、法定代表人授权委托书也可以采用工商行政管理局统一印制的格式。</w:t>
      </w:r>
    </w:p>
    <w:p w14:paraId="4752105B">
      <w:pPr>
        <w:spacing w:line="360" w:lineRule="auto"/>
        <w:jc w:val="center"/>
        <w:rPr>
          <w:rFonts w:hint="eastAsia" w:ascii="宋体" w:hAnsi="宋体" w:cs="宋体"/>
          <w:color w:val="auto"/>
          <w:sz w:val="24"/>
          <w:highlight w:val="none"/>
        </w:rPr>
      </w:pPr>
      <w:r>
        <w:rPr>
          <w:rFonts w:hint="eastAsia" w:ascii="宋体" w:hAnsi="宋体" w:cs="宋体"/>
          <w:color w:val="auto"/>
          <w:szCs w:val="21"/>
          <w:highlight w:val="none"/>
        </w:rPr>
        <w:t>2、联合体投标的，本授权书由主办方出具，仅填写主办方单位名称并由主办方签字或盖章即可。</w:t>
      </w:r>
    </w:p>
    <w:p w14:paraId="324A5358">
      <w:pPr>
        <w:autoSpaceDE w:val="0"/>
        <w:autoSpaceDN w:val="0"/>
        <w:spacing w:line="360" w:lineRule="auto"/>
        <w:rPr>
          <w:rFonts w:hint="eastAsia" w:ascii="宋体" w:hAnsi="宋体" w:cs="宋体"/>
          <w:color w:val="auto"/>
          <w:sz w:val="24"/>
          <w:highlight w:val="none"/>
        </w:rPr>
      </w:pPr>
    </w:p>
    <w:p w14:paraId="686C1A1A">
      <w:pPr>
        <w:pStyle w:val="3"/>
        <w:spacing w:before="0" w:after="0"/>
        <w:rPr>
          <w:rFonts w:hint="eastAsia" w:ascii="宋体" w:hAnsi="宋体" w:eastAsia="宋体" w:cs="宋体"/>
          <w:color w:val="auto"/>
          <w:sz w:val="28"/>
          <w:szCs w:val="28"/>
          <w:highlight w:val="none"/>
        </w:rPr>
      </w:pPr>
      <w:bookmarkStart w:id="507" w:name="_Toc32110"/>
      <w:bookmarkStart w:id="508" w:name="_Toc13595"/>
      <w:r>
        <w:rPr>
          <w:rFonts w:hint="eastAsia" w:ascii="宋体" w:hAnsi="宋体" w:eastAsia="宋体" w:cs="宋体"/>
          <w:color w:val="auto"/>
          <w:sz w:val="28"/>
          <w:szCs w:val="28"/>
          <w:highlight w:val="none"/>
        </w:rPr>
        <w:t>格式2</w:t>
      </w:r>
      <w:bookmarkEnd w:id="507"/>
      <w:bookmarkEnd w:id="508"/>
      <w:r>
        <w:rPr>
          <w:rFonts w:hint="eastAsia" w:ascii="宋体" w:hAnsi="宋体" w:eastAsia="宋体" w:cs="宋体"/>
          <w:color w:val="auto"/>
          <w:sz w:val="28"/>
          <w:szCs w:val="28"/>
          <w:highlight w:val="none"/>
        </w:rPr>
        <w:t>：</w:t>
      </w:r>
    </w:p>
    <w:p w14:paraId="16324E0F">
      <w:pPr>
        <w:autoSpaceDE w:val="0"/>
        <w:autoSpaceDN w:val="0"/>
        <w:spacing w:line="360" w:lineRule="auto"/>
        <w:jc w:val="center"/>
        <w:rPr>
          <w:rFonts w:hint="eastAsia"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联合体共同投标协议书</w:t>
      </w:r>
    </w:p>
    <w:p w14:paraId="22E95D88">
      <w:pPr>
        <w:spacing w:line="360" w:lineRule="auto"/>
        <w:jc w:val="center"/>
        <w:rPr>
          <w:rFonts w:hint="eastAsia" w:ascii="宋体" w:hAnsi="宋体"/>
          <w:color w:val="auto"/>
          <w:sz w:val="24"/>
          <w:highlight w:val="none"/>
          <w:u w:val="single"/>
        </w:rPr>
      </w:pPr>
      <w:r>
        <w:rPr>
          <w:rFonts w:hint="eastAsia" w:ascii="宋体" w:hAnsi="宋体"/>
          <w:color w:val="auto"/>
          <w:sz w:val="24"/>
          <w:highlight w:val="none"/>
          <w:u w:val="single"/>
        </w:rPr>
        <w:t>（参考格式）</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3"/>
      </w:tblGrid>
      <w:tr w14:paraId="4A2E3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6" w:hRule="atLeast"/>
          <w:jc w:val="center"/>
        </w:trPr>
        <w:tc>
          <w:tcPr>
            <w:tcW w:w="9243" w:type="dxa"/>
          </w:tcPr>
          <w:p w14:paraId="15025BE3">
            <w:pPr>
              <w:spacing w:line="360" w:lineRule="auto"/>
              <w:ind w:firstLine="598" w:firstLineChars="285"/>
              <w:rPr>
                <w:rFonts w:hint="eastAsia" w:ascii="宋体" w:hAnsi="宋体"/>
                <w:color w:val="auto"/>
                <w:highlight w:val="none"/>
              </w:rPr>
            </w:pPr>
            <w:bookmarkStart w:id="509" w:name="_Toc10851"/>
            <w:bookmarkStart w:id="510" w:name="_Toc11969"/>
            <w:bookmarkStart w:id="511" w:name="_Toc22588"/>
            <w:bookmarkStart w:id="512" w:name="_Toc533330246"/>
            <w:bookmarkStart w:id="513" w:name="_Toc503539196"/>
            <w:bookmarkStart w:id="514" w:name="_Toc533330557"/>
            <w:bookmarkStart w:id="515" w:name="_Toc479091923"/>
            <w:r>
              <w:rPr>
                <w:rFonts w:hint="eastAsia" w:ascii="宋体" w:hAnsi="宋体"/>
                <w:color w:val="auto"/>
                <w:highlight w:val="none"/>
                <w:u w:val="single"/>
              </w:rPr>
              <w:t xml:space="preserve">                  </w:t>
            </w:r>
            <w:r>
              <w:rPr>
                <w:rFonts w:hint="eastAsia" w:ascii="宋体" w:hAnsi="宋体"/>
                <w:color w:val="auto"/>
                <w:highlight w:val="none"/>
              </w:rPr>
              <w:t>(承担</w:t>
            </w:r>
            <w:r>
              <w:rPr>
                <w:rFonts w:hint="eastAsia" w:ascii="宋体" w:hAnsi="宋体"/>
                <w:b/>
                <w:color w:val="auto"/>
                <w:highlight w:val="none"/>
                <w:u w:val="single"/>
              </w:rPr>
              <w:t xml:space="preserve">   </w:t>
            </w:r>
            <w:r>
              <w:rPr>
                <w:rFonts w:hint="eastAsia" w:ascii="宋体" w:hAnsi="宋体"/>
                <w:color w:val="auto"/>
                <w:highlight w:val="none"/>
              </w:rPr>
              <w:t>任务的单位名称)、</w:t>
            </w:r>
            <w:r>
              <w:rPr>
                <w:rFonts w:hint="eastAsia" w:ascii="宋体" w:hAnsi="宋体"/>
                <w:color w:val="auto"/>
                <w:highlight w:val="none"/>
                <w:u w:val="single"/>
              </w:rPr>
              <w:t xml:space="preserve">               </w:t>
            </w:r>
            <w:r>
              <w:rPr>
                <w:rFonts w:hint="eastAsia" w:ascii="宋体" w:hAnsi="宋体"/>
                <w:color w:val="auto"/>
                <w:highlight w:val="none"/>
              </w:rPr>
              <w:t>(承担</w:t>
            </w:r>
            <w:r>
              <w:rPr>
                <w:rFonts w:hint="eastAsia" w:ascii="宋体" w:hAnsi="宋体"/>
                <w:b/>
                <w:color w:val="auto"/>
                <w:highlight w:val="none"/>
                <w:u w:val="single"/>
              </w:rPr>
              <w:t xml:space="preserve">   </w:t>
            </w:r>
            <w:r>
              <w:rPr>
                <w:rFonts w:hint="eastAsia" w:ascii="宋体" w:hAnsi="宋体"/>
                <w:color w:val="auto"/>
                <w:highlight w:val="none"/>
              </w:rPr>
              <w:t>任务的单位名称)、</w:t>
            </w:r>
            <w:r>
              <w:rPr>
                <w:rFonts w:hint="eastAsia" w:ascii="宋体" w:hAnsi="宋体"/>
                <w:color w:val="auto"/>
                <w:highlight w:val="none"/>
                <w:u w:val="single"/>
              </w:rPr>
              <w:t xml:space="preserve">               </w:t>
            </w:r>
            <w:r>
              <w:rPr>
                <w:rFonts w:hint="eastAsia" w:ascii="宋体" w:hAnsi="宋体"/>
                <w:color w:val="auto"/>
                <w:highlight w:val="none"/>
              </w:rPr>
              <w:t>(承担</w:t>
            </w:r>
            <w:r>
              <w:rPr>
                <w:rFonts w:hint="eastAsia" w:ascii="宋体" w:hAnsi="宋体"/>
                <w:b/>
                <w:color w:val="auto"/>
                <w:highlight w:val="none"/>
                <w:u w:val="single"/>
              </w:rPr>
              <w:t xml:space="preserve">   </w:t>
            </w:r>
            <w:r>
              <w:rPr>
                <w:rFonts w:hint="eastAsia" w:ascii="宋体" w:hAnsi="宋体"/>
                <w:color w:val="auto"/>
                <w:highlight w:val="none"/>
              </w:rPr>
              <w:t>任务的单位名称)自愿组成</w:t>
            </w:r>
            <w:r>
              <w:rPr>
                <w:rFonts w:hint="eastAsia" w:ascii="宋体" w:hAnsi="宋体"/>
                <w:color w:val="auto"/>
                <w:highlight w:val="none"/>
                <w:u w:val="single"/>
              </w:rPr>
              <w:t xml:space="preserve">                   （</w:t>
            </w:r>
            <w:r>
              <w:rPr>
                <w:rFonts w:hint="eastAsia" w:ascii="宋体" w:hAnsi="宋体"/>
                <w:color w:val="auto"/>
                <w:highlight w:val="none"/>
              </w:rPr>
              <w:t>联合体名称），共同参加</w:t>
            </w:r>
            <w:r>
              <w:rPr>
                <w:rFonts w:hint="eastAsia" w:ascii="宋体" w:hAnsi="宋体"/>
                <w:color w:val="auto"/>
                <w:highlight w:val="none"/>
                <w:u w:val="single"/>
              </w:rPr>
              <w:t xml:space="preserve">               </w:t>
            </w:r>
            <w:r>
              <w:rPr>
                <w:rFonts w:hint="eastAsia" w:ascii="宋体" w:hAnsi="宋体"/>
                <w:color w:val="auto"/>
                <w:highlight w:val="none"/>
              </w:rPr>
              <w:t>投标。现就联合体投标事宜订立如下协议。</w:t>
            </w:r>
          </w:p>
          <w:p w14:paraId="168BDF4C">
            <w:pPr>
              <w:spacing w:line="360" w:lineRule="auto"/>
              <w:ind w:firstLine="598" w:firstLineChars="285"/>
              <w:rPr>
                <w:rFonts w:hint="eastAsia" w:ascii="宋体" w:hAnsi="宋体"/>
                <w:color w:val="auto"/>
                <w:highlight w:val="none"/>
              </w:rPr>
            </w:pPr>
            <w:r>
              <w:rPr>
                <w:rFonts w:ascii="宋体" w:hAnsi="宋体"/>
                <w:color w:val="auto"/>
                <w:highlight w:val="none"/>
              </w:rPr>
              <w:t>1</w:t>
            </w:r>
            <w:r>
              <w:rPr>
                <w:rFonts w:hint="eastAsia" w:ascii="宋体" w:hAnsi="宋体"/>
                <w:color w:val="auto"/>
                <w:highlight w:val="none"/>
              </w:rPr>
              <w:t>、</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rPr>
              <w:t>为联合体主办方。</w:t>
            </w:r>
            <w:r>
              <w:rPr>
                <w:rFonts w:hint="eastAsia" w:ascii="宋体" w:hAnsi="宋体"/>
                <w:color w:val="auto"/>
                <w:highlight w:val="none"/>
                <w:u w:val="single"/>
              </w:rPr>
              <w:t>（联合体主办方只允许填</w:t>
            </w:r>
            <w:r>
              <w:rPr>
                <w:rFonts w:ascii="宋体" w:hAnsi="宋体"/>
                <w:color w:val="auto"/>
                <w:highlight w:val="none"/>
                <w:u w:val="single"/>
              </w:rPr>
              <w:t>1家单位</w:t>
            </w:r>
            <w:r>
              <w:rPr>
                <w:rFonts w:hint="eastAsia" w:ascii="宋体" w:hAnsi="宋体"/>
                <w:color w:val="auto"/>
                <w:highlight w:val="none"/>
                <w:u w:val="single"/>
              </w:rPr>
              <w:t>）</w:t>
            </w:r>
          </w:p>
          <w:p w14:paraId="0F021332">
            <w:pPr>
              <w:spacing w:line="360" w:lineRule="auto"/>
              <w:ind w:firstLine="598" w:firstLineChars="285"/>
              <w:rPr>
                <w:rFonts w:hint="eastAsia" w:ascii="宋体" w:hAnsi="宋体"/>
                <w:color w:val="auto"/>
                <w:highlight w:val="none"/>
              </w:rPr>
            </w:pPr>
            <w:r>
              <w:rPr>
                <w:rFonts w:hint="eastAsia" w:ascii="宋体" w:hAnsi="宋体"/>
                <w:color w:val="auto"/>
                <w:highlight w:val="none"/>
              </w:rPr>
              <w:t>2、联合体主办方合法代表联合体各成员负责本招标项目投标文件编制和合同谈判活动，并代表联合体提交和接收相关的资料、信息及指示，并处理与之有关的一切事务，负责合同实施阶段的主办、组织和协调工作。</w:t>
            </w:r>
          </w:p>
          <w:p w14:paraId="5DA71B8F">
            <w:pPr>
              <w:spacing w:line="360" w:lineRule="auto"/>
              <w:ind w:firstLine="598" w:firstLineChars="285"/>
              <w:rPr>
                <w:rFonts w:hint="eastAsia" w:ascii="宋体" w:hAnsi="宋体"/>
                <w:color w:val="auto"/>
                <w:highlight w:val="none"/>
              </w:rPr>
            </w:pPr>
            <w:r>
              <w:rPr>
                <w:rFonts w:hint="eastAsia" w:ascii="宋体" w:hAnsi="宋体"/>
                <w:color w:val="auto"/>
                <w:highlight w:val="none"/>
              </w:rPr>
              <w:t>3、联合体将严格按照招标文件的各项要求，递交投标文件，履行合同，并对外承担连带责任。</w:t>
            </w:r>
          </w:p>
          <w:p w14:paraId="6ED93834">
            <w:pPr>
              <w:spacing w:line="360" w:lineRule="auto"/>
              <w:ind w:firstLine="598" w:firstLineChars="285"/>
              <w:rPr>
                <w:rFonts w:hint="eastAsia" w:ascii="宋体" w:hAnsi="宋体"/>
                <w:color w:val="auto"/>
                <w:highlight w:val="none"/>
              </w:rPr>
            </w:pPr>
            <w:r>
              <w:rPr>
                <w:rFonts w:hint="eastAsia" w:ascii="宋体" w:hAnsi="宋体"/>
                <w:color w:val="auto"/>
                <w:highlight w:val="none"/>
              </w:rPr>
              <w:t>4、联合体各成员单位内部的职责分工如下：</w:t>
            </w:r>
          </w:p>
          <w:p w14:paraId="1E4E1B61">
            <w:pPr>
              <w:spacing w:line="360" w:lineRule="auto"/>
              <w:ind w:firstLine="598" w:firstLineChars="285"/>
              <w:rPr>
                <w:rFonts w:hint="eastAsia" w:ascii="宋体" w:hAnsi="宋体"/>
                <w:color w:val="auto"/>
                <w:highlight w:val="none"/>
              </w:rPr>
            </w:pPr>
            <w:r>
              <w:rPr>
                <w:rFonts w:hint="eastAsia" w:ascii="宋体" w:hAnsi="宋体"/>
                <w:color w:val="auto"/>
                <w:highlight w:val="none"/>
              </w:rPr>
              <w:t>①</w:t>
            </w:r>
            <w:r>
              <w:rPr>
                <w:rFonts w:hint="eastAsia" w:ascii="宋体" w:hAnsi="宋体"/>
                <w:color w:val="auto"/>
                <w:highlight w:val="none"/>
                <w:u w:val="single"/>
              </w:rPr>
              <w:t xml:space="preserve">                  </w:t>
            </w:r>
            <w:r>
              <w:rPr>
                <w:rFonts w:hint="eastAsia" w:ascii="宋体" w:hAnsi="宋体"/>
                <w:color w:val="auto"/>
                <w:highlight w:val="none"/>
              </w:rPr>
              <w:t>：作为本项目总负责单位，除承担本项目的施工任务外，还对本招标项目的进度、质量、安全、投资控制、管理、协调等负全责，具体按合同要求。</w:t>
            </w:r>
          </w:p>
          <w:p w14:paraId="357D0EB6">
            <w:pPr>
              <w:spacing w:line="360" w:lineRule="auto"/>
              <w:ind w:firstLine="598" w:firstLineChars="285"/>
              <w:rPr>
                <w:rFonts w:hint="eastAsia" w:ascii="宋体" w:hAnsi="宋体"/>
                <w:color w:val="auto"/>
                <w:highlight w:val="none"/>
              </w:rPr>
            </w:pPr>
            <w:r>
              <w:rPr>
                <w:rFonts w:hint="eastAsia" w:ascii="宋体" w:hAnsi="宋体"/>
                <w:color w:val="auto"/>
                <w:highlight w:val="none"/>
              </w:rPr>
              <w:t>②</w:t>
            </w:r>
            <w:r>
              <w:rPr>
                <w:rFonts w:hint="eastAsia" w:ascii="宋体" w:hAnsi="宋体"/>
                <w:color w:val="auto"/>
                <w:highlight w:val="none"/>
                <w:u w:val="single"/>
              </w:rPr>
              <w:t xml:space="preserve">                   </w:t>
            </w:r>
            <w:r>
              <w:rPr>
                <w:rFonts w:hint="eastAsia" w:ascii="宋体" w:hAnsi="宋体"/>
                <w:color w:val="auto"/>
                <w:highlight w:val="none"/>
              </w:rPr>
              <w:t>：主要承担本项目的</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任务，具体按合同要求。</w:t>
            </w:r>
          </w:p>
          <w:p w14:paraId="4723785C">
            <w:pPr>
              <w:spacing w:line="360" w:lineRule="auto"/>
              <w:ind w:firstLine="598" w:firstLineChars="285"/>
              <w:rPr>
                <w:rFonts w:hint="eastAsia" w:ascii="宋体" w:hAnsi="宋体"/>
                <w:color w:val="auto"/>
                <w:highlight w:val="none"/>
              </w:rPr>
            </w:pPr>
            <w:r>
              <w:rPr>
                <w:rFonts w:hint="eastAsia" w:ascii="宋体" w:hAnsi="宋体"/>
                <w:color w:val="auto"/>
                <w:highlight w:val="none"/>
              </w:rPr>
              <w:t>③</w:t>
            </w:r>
            <w:r>
              <w:rPr>
                <w:rFonts w:hint="eastAsia" w:ascii="宋体" w:hAnsi="宋体"/>
                <w:color w:val="auto"/>
                <w:highlight w:val="none"/>
                <w:u w:val="single"/>
              </w:rPr>
              <w:t xml:space="preserve">                   </w:t>
            </w:r>
            <w:r>
              <w:rPr>
                <w:rFonts w:hint="eastAsia" w:ascii="宋体" w:hAnsi="宋体"/>
                <w:color w:val="auto"/>
                <w:highlight w:val="none"/>
              </w:rPr>
              <w:t>：主要承担本项目的</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任务，具体按合同要求。</w:t>
            </w:r>
          </w:p>
          <w:p w14:paraId="3ED4F757">
            <w:pPr>
              <w:spacing w:line="360" w:lineRule="auto"/>
              <w:ind w:firstLine="598" w:firstLineChars="285"/>
              <w:rPr>
                <w:rFonts w:hint="eastAsia" w:ascii="宋体" w:hAnsi="宋体"/>
                <w:color w:val="auto"/>
                <w:highlight w:val="none"/>
              </w:rPr>
            </w:pPr>
            <w:r>
              <w:rPr>
                <w:rFonts w:ascii="宋体" w:hAnsi="宋体"/>
                <w:color w:val="auto"/>
                <w:highlight w:val="none"/>
              </w:rPr>
              <w:t>…</w:t>
            </w:r>
          </w:p>
          <w:p w14:paraId="19AA37FB">
            <w:pPr>
              <w:spacing w:line="360" w:lineRule="auto"/>
              <w:ind w:firstLine="598" w:firstLineChars="285"/>
              <w:rPr>
                <w:rFonts w:hint="eastAsia" w:ascii="宋体" w:hAnsi="宋体"/>
                <w:color w:val="auto"/>
                <w:highlight w:val="none"/>
              </w:rPr>
            </w:pPr>
            <w:r>
              <w:rPr>
                <w:rFonts w:ascii="宋体" w:hAnsi="宋体"/>
                <w:color w:val="auto"/>
                <w:highlight w:val="none"/>
              </w:rPr>
              <w:t>5</w:t>
            </w:r>
            <w:r>
              <w:rPr>
                <w:rFonts w:hint="eastAsia" w:ascii="宋体" w:hAnsi="宋体"/>
                <w:color w:val="auto"/>
                <w:highlight w:val="none"/>
              </w:rPr>
              <w:t>、本协议书自签署之日起生效，合同履行完毕后自动失效。</w:t>
            </w:r>
          </w:p>
          <w:p w14:paraId="3232662F">
            <w:pPr>
              <w:topLinePunct/>
              <w:spacing w:line="276" w:lineRule="auto"/>
              <w:rPr>
                <w:rFonts w:hint="eastAsia" w:ascii="宋体" w:hAnsi="宋体"/>
                <w:color w:val="auto"/>
                <w:highlight w:val="none"/>
              </w:rPr>
            </w:pPr>
          </w:p>
          <w:p w14:paraId="5286F649">
            <w:pPr>
              <w:topLinePunct/>
              <w:spacing w:line="276" w:lineRule="auto"/>
              <w:rPr>
                <w:rFonts w:hint="eastAsia" w:ascii="宋体" w:hAnsi="宋体"/>
                <w:color w:val="auto"/>
                <w:highlight w:val="none"/>
              </w:rPr>
            </w:pPr>
            <w:r>
              <w:rPr>
                <w:rFonts w:hint="eastAsia" w:ascii="宋体" w:hAnsi="宋体"/>
                <w:color w:val="auto"/>
                <w:highlight w:val="none"/>
              </w:rPr>
              <w:t>联合体</w:t>
            </w:r>
            <w:r>
              <w:rPr>
                <w:rFonts w:ascii="宋体" w:hAnsi="宋体"/>
                <w:color w:val="auto"/>
                <w:highlight w:val="none"/>
              </w:rPr>
              <w:t>主办方名称：</w:t>
            </w:r>
            <w:r>
              <w:rPr>
                <w:rFonts w:ascii="宋体" w:hAnsi="宋体"/>
                <w:color w:val="auto"/>
                <w:highlight w:val="none"/>
                <w:u w:val="single"/>
              </w:rPr>
              <w:t xml:space="preserve">                           </w:t>
            </w:r>
            <w:r>
              <w:rPr>
                <w:rFonts w:ascii="宋体" w:hAnsi="宋体"/>
                <w:color w:val="auto"/>
                <w:highlight w:val="none"/>
              </w:rPr>
              <w:t>（盖单位章）</w:t>
            </w:r>
          </w:p>
          <w:p w14:paraId="1EA326DD">
            <w:pPr>
              <w:topLinePunct/>
              <w:spacing w:line="276" w:lineRule="auto"/>
              <w:rPr>
                <w:rFonts w:hint="eastAsia" w:ascii="宋体" w:hAnsi="宋体"/>
                <w:color w:val="auto"/>
                <w:highlight w:val="none"/>
              </w:rPr>
            </w:pPr>
            <w:r>
              <w:rPr>
                <w:rFonts w:ascii="宋体" w:hAnsi="宋体"/>
                <w:color w:val="auto"/>
                <w:highlight w:val="none"/>
              </w:rPr>
              <w:t>法定代表人：</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签字或盖章</w:t>
            </w:r>
            <w:r>
              <w:rPr>
                <w:rFonts w:ascii="宋体" w:hAnsi="宋体"/>
                <w:color w:val="auto"/>
                <w:highlight w:val="none"/>
              </w:rPr>
              <w:t>）</w:t>
            </w:r>
          </w:p>
          <w:p w14:paraId="7416A5AD">
            <w:pPr>
              <w:topLinePunct/>
              <w:spacing w:line="276" w:lineRule="auto"/>
              <w:rPr>
                <w:rFonts w:hint="eastAsia" w:ascii="宋体" w:hAnsi="宋体"/>
                <w:color w:val="auto"/>
                <w:highlight w:val="none"/>
              </w:rPr>
            </w:pPr>
          </w:p>
          <w:p w14:paraId="23DEE34C">
            <w:pPr>
              <w:topLinePunct/>
              <w:spacing w:line="276" w:lineRule="auto"/>
              <w:rPr>
                <w:rFonts w:hint="eastAsia" w:ascii="宋体" w:hAnsi="宋体"/>
                <w:color w:val="auto"/>
                <w:szCs w:val="21"/>
                <w:highlight w:val="none"/>
              </w:rPr>
            </w:pPr>
            <w:r>
              <w:rPr>
                <w:rFonts w:ascii="宋体" w:hAnsi="宋体"/>
                <w:color w:val="auto"/>
                <w:szCs w:val="21"/>
                <w:highlight w:val="none"/>
              </w:rPr>
              <w:t>成员名称：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（盖单位章）</w:t>
            </w:r>
          </w:p>
          <w:p w14:paraId="38C2A16B">
            <w:pPr>
              <w:topLinePunct/>
              <w:spacing w:line="276" w:lineRule="auto"/>
              <w:rPr>
                <w:rFonts w:hint="eastAsia" w:ascii="宋体" w:hAnsi="宋体"/>
                <w:color w:val="auto"/>
                <w:szCs w:val="21"/>
                <w:highlight w:val="none"/>
              </w:rPr>
            </w:pPr>
            <w:r>
              <w:rPr>
                <w:rFonts w:ascii="宋体" w:hAnsi="宋体"/>
                <w:color w:val="auto"/>
                <w:szCs w:val="21"/>
                <w:highlight w:val="none"/>
              </w:rPr>
              <w:t>法定代表人：</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签字或盖章</w:t>
            </w:r>
            <w:r>
              <w:rPr>
                <w:rFonts w:ascii="宋体" w:hAnsi="宋体"/>
                <w:color w:val="auto"/>
                <w:szCs w:val="21"/>
                <w:highlight w:val="none"/>
              </w:rPr>
              <w:t>）</w:t>
            </w:r>
          </w:p>
          <w:p w14:paraId="1DB7524D">
            <w:pPr>
              <w:spacing w:line="276" w:lineRule="auto"/>
              <w:rPr>
                <w:rFonts w:hint="eastAsia" w:ascii="宋体" w:hAnsi="宋体" w:cs="Courier New"/>
                <w:color w:val="auto"/>
                <w:highlight w:val="none"/>
              </w:rPr>
            </w:pPr>
          </w:p>
          <w:p w14:paraId="5CB3733E">
            <w:pPr>
              <w:topLinePunct/>
              <w:spacing w:line="276" w:lineRule="auto"/>
              <w:rPr>
                <w:rFonts w:hint="eastAsia" w:ascii="宋体" w:hAnsi="宋体"/>
                <w:color w:val="auto"/>
                <w:szCs w:val="21"/>
                <w:highlight w:val="none"/>
              </w:rPr>
            </w:pPr>
            <w:r>
              <w:rPr>
                <w:rFonts w:ascii="宋体" w:hAnsi="宋体"/>
                <w:color w:val="auto"/>
                <w:szCs w:val="21"/>
                <w:highlight w:val="none"/>
              </w:rPr>
              <w:t>成员名称：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（盖单位章）</w:t>
            </w:r>
          </w:p>
          <w:p w14:paraId="15E7123D">
            <w:pPr>
              <w:pStyle w:val="12"/>
              <w:spacing w:line="276" w:lineRule="auto"/>
              <w:ind w:firstLine="0" w:firstLineChars="0"/>
              <w:rPr>
                <w:rFonts w:hint="eastAsia" w:ascii="宋体" w:hAnsi="宋体"/>
                <w:color w:val="auto"/>
                <w:highlight w:val="none"/>
              </w:rPr>
            </w:pPr>
            <w:r>
              <w:rPr>
                <w:rFonts w:ascii="宋体" w:hAnsi="宋体"/>
                <w:color w:val="auto"/>
                <w:szCs w:val="21"/>
                <w:highlight w:val="none"/>
              </w:rPr>
              <w:t>法定代表人：</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签字或盖章</w:t>
            </w:r>
            <w:r>
              <w:rPr>
                <w:rFonts w:ascii="宋体" w:hAnsi="宋体"/>
                <w:color w:val="auto"/>
                <w:szCs w:val="21"/>
                <w:highlight w:val="none"/>
              </w:rPr>
              <w:t>）</w:t>
            </w:r>
          </w:p>
          <w:p w14:paraId="283BE621">
            <w:pPr>
              <w:spacing w:line="276" w:lineRule="auto"/>
              <w:rPr>
                <w:rFonts w:hint="eastAsia" w:ascii="宋体" w:hAnsi="宋体"/>
                <w:color w:val="auto"/>
                <w:highlight w:val="none"/>
              </w:rPr>
            </w:pPr>
            <w:r>
              <w:rPr>
                <w:rFonts w:ascii="宋体" w:hAnsi="宋体"/>
                <w:color w:val="auto"/>
                <w:highlight w:val="none"/>
              </w:rPr>
              <w:t>…</w:t>
            </w:r>
          </w:p>
          <w:p w14:paraId="1CDD11F1">
            <w:pPr>
              <w:autoSpaceDE w:val="0"/>
              <w:autoSpaceDN w:val="0"/>
              <w:adjustRightInd w:val="0"/>
              <w:spacing w:line="276" w:lineRule="auto"/>
              <w:jc w:val="right"/>
              <w:rPr>
                <w:rFonts w:hint="eastAsia" w:ascii="宋体" w:hAnsi="宋体" w:cs="宋体"/>
                <w:color w:val="auto"/>
                <w:highlight w:val="none"/>
              </w:rPr>
            </w:pPr>
            <w:r>
              <w:rPr>
                <w:rFonts w:hint="eastAsia" w:ascii="宋体" w:hAnsi="宋体"/>
                <w:color w:val="auto"/>
                <w:highlight w:val="non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s="宋体"/>
                <w:color w:val="auto"/>
                <w:highlight w:val="none"/>
              </w:rPr>
              <w:t>年</w:t>
            </w:r>
            <w:r>
              <w:rPr>
                <w:rFonts w:ascii="宋体" w:hAnsi="宋体"/>
                <w:color w:val="auto"/>
                <w:highlight w:val="none"/>
                <w:u w:val="single"/>
              </w:rPr>
              <w:t xml:space="preserve">       </w:t>
            </w:r>
            <w:r>
              <w:rPr>
                <w:rFonts w:hint="eastAsia" w:ascii="宋体" w:hAnsi="宋体" w:cs="宋体"/>
                <w:color w:val="auto"/>
                <w:highlight w:val="none"/>
              </w:rPr>
              <w:t>月</w:t>
            </w:r>
            <w:r>
              <w:rPr>
                <w:rFonts w:ascii="宋体" w:hAnsi="宋体"/>
                <w:color w:val="auto"/>
                <w:highlight w:val="none"/>
                <w:u w:val="single"/>
              </w:rPr>
              <w:t xml:space="preserve">       </w:t>
            </w:r>
            <w:r>
              <w:rPr>
                <w:rFonts w:hint="eastAsia" w:ascii="宋体" w:hAnsi="宋体" w:cs="宋体"/>
                <w:color w:val="auto"/>
                <w:highlight w:val="none"/>
              </w:rPr>
              <w:t>日</w:t>
            </w:r>
          </w:p>
          <w:p w14:paraId="68060657">
            <w:pPr>
              <w:autoSpaceDE w:val="0"/>
              <w:autoSpaceDN w:val="0"/>
              <w:adjustRightInd w:val="0"/>
              <w:spacing w:line="276" w:lineRule="auto"/>
              <w:jc w:val="left"/>
              <w:rPr>
                <w:rFonts w:hint="eastAsia" w:ascii="宋体" w:hAnsi="宋体" w:cs="宋体"/>
                <w:bCs/>
                <w:color w:val="auto"/>
                <w:sz w:val="24"/>
                <w:highlight w:val="none"/>
              </w:rPr>
            </w:pPr>
            <w:r>
              <w:rPr>
                <w:rFonts w:hint="eastAsia" w:ascii="宋体" w:hAnsi="宋体" w:cs="宋体"/>
                <w:color w:val="auto"/>
                <w:highlight w:val="none"/>
              </w:rPr>
              <w:t>注：单独投标的，无需提交本协议书。</w:t>
            </w:r>
          </w:p>
        </w:tc>
      </w:tr>
    </w:tbl>
    <w:p w14:paraId="2F34756C">
      <w:pPr>
        <w:pStyle w:val="12"/>
        <w:rPr>
          <w:rFonts w:hint="eastAsia" w:ascii="宋体" w:hAnsi="宋体"/>
          <w:color w:val="auto"/>
          <w:highlight w:val="none"/>
        </w:rPr>
      </w:pPr>
      <w:r>
        <w:rPr>
          <w:rFonts w:hint="eastAsia" w:ascii="宋体" w:hAnsi="宋体"/>
          <w:color w:val="auto"/>
          <w:highlight w:val="none"/>
        </w:rPr>
        <w:br w:type="page"/>
      </w:r>
    </w:p>
    <w:bookmarkEnd w:id="509"/>
    <w:bookmarkEnd w:id="510"/>
    <w:p w14:paraId="6BEA90AF">
      <w:pPr>
        <w:pStyle w:val="3"/>
        <w:spacing w:before="0" w:after="0"/>
        <w:rPr>
          <w:rFonts w:hint="eastAsia" w:ascii="宋体" w:hAnsi="宋体" w:eastAsia="宋体" w:cs="宋体"/>
          <w:color w:val="auto"/>
          <w:sz w:val="28"/>
          <w:szCs w:val="28"/>
          <w:highlight w:val="none"/>
        </w:rPr>
      </w:pPr>
      <w:bookmarkStart w:id="516" w:name="_Toc21967"/>
      <w:bookmarkStart w:id="517" w:name="_Toc24609"/>
      <w:r>
        <w:rPr>
          <w:rFonts w:hint="eastAsia" w:ascii="宋体" w:hAnsi="宋体" w:eastAsia="宋体" w:cs="宋体"/>
          <w:color w:val="auto"/>
          <w:sz w:val="28"/>
          <w:szCs w:val="28"/>
          <w:highlight w:val="none"/>
        </w:rPr>
        <w:t>格式3：</w:t>
      </w:r>
      <w:bookmarkEnd w:id="516"/>
      <w:bookmarkEnd w:id="517"/>
    </w:p>
    <w:p w14:paraId="20BD6E0E">
      <w:pPr>
        <w:jc w:val="center"/>
        <w:rPr>
          <w:rFonts w:hint="eastAsia" w:ascii="宋体" w:hAnsi="宋体" w:cs="宋体"/>
          <w:b/>
          <w:bCs/>
          <w:color w:val="auto"/>
          <w:kern w:val="0"/>
          <w:sz w:val="36"/>
          <w:szCs w:val="36"/>
          <w:highlight w:val="none"/>
          <w:lang w:val="zh-CN"/>
        </w:rPr>
      </w:pPr>
      <w:r>
        <w:rPr>
          <w:rFonts w:hint="eastAsia" w:ascii="宋体" w:hAnsi="宋体" w:cs="宋体"/>
          <w:b/>
          <w:bCs/>
          <w:color w:val="auto"/>
          <w:kern w:val="0"/>
          <w:sz w:val="36"/>
          <w:szCs w:val="36"/>
          <w:highlight w:val="none"/>
          <w:lang w:val="zh-CN"/>
        </w:rPr>
        <w:t>投标书</w:t>
      </w:r>
    </w:p>
    <w:tbl>
      <w:tblPr>
        <w:tblStyle w:val="40"/>
        <w:tblpPr w:leftFromText="180" w:rightFromText="180" w:vertAnchor="text" w:horzAnchor="margin" w:tblpY="2"/>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8"/>
        <w:gridCol w:w="2971"/>
        <w:gridCol w:w="2973"/>
      </w:tblGrid>
      <w:tr w14:paraId="7971B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tcBorders>
              <w:top w:val="single" w:color="auto" w:sz="4" w:space="0"/>
              <w:left w:val="single" w:color="auto" w:sz="4" w:space="0"/>
              <w:bottom w:val="single" w:color="auto" w:sz="4" w:space="0"/>
              <w:right w:val="single" w:color="auto" w:sz="4" w:space="0"/>
            </w:tcBorders>
            <w:vAlign w:val="center"/>
          </w:tcPr>
          <w:p w14:paraId="1110B8A2">
            <w:pPr>
              <w:autoSpaceDE w:val="0"/>
              <w:autoSpaceDN w:val="0"/>
              <w:spacing w:line="360" w:lineRule="auto"/>
              <w:jc w:val="center"/>
              <w:rPr>
                <w:rFonts w:hint="eastAsia" w:ascii="宋体" w:hAnsi="宋体" w:cs="宋体"/>
                <w:b/>
                <w:bCs/>
                <w:color w:val="auto"/>
                <w:sz w:val="24"/>
                <w:highlight w:val="none"/>
                <w:lang w:val="zh-CN"/>
              </w:rPr>
            </w:pPr>
            <w:r>
              <w:rPr>
                <w:rFonts w:hint="eastAsia" w:ascii="宋体" w:hAnsi="宋体" w:cs="宋体"/>
                <w:b/>
                <w:color w:val="auto"/>
                <w:sz w:val="24"/>
                <w:highlight w:val="none"/>
                <w:lang w:val="zh-CN"/>
              </w:rPr>
              <w:t>工 程 名 称</w:t>
            </w:r>
          </w:p>
        </w:tc>
        <w:tc>
          <w:tcPr>
            <w:tcW w:w="5944" w:type="dxa"/>
            <w:gridSpan w:val="2"/>
            <w:tcBorders>
              <w:top w:val="single" w:color="auto" w:sz="4" w:space="0"/>
              <w:left w:val="single" w:color="auto" w:sz="4" w:space="0"/>
              <w:bottom w:val="single" w:color="auto" w:sz="4" w:space="0"/>
              <w:right w:val="single" w:color="auto" w:sz="4" w:space="0"/>
            </w:tcBorders>
            <w:vAlign w:val="center"/>
          </w:tcPr>
          <w:p w14:paraId="4987CA89">
            <w:pPr>
              <w:autoSpaceDE w:val="0"/>
              <w:autoSpaceDN w:val="0"/>
              <w:spacing w:line="360" w:lineRule="auto"/>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花景大道（右干渠-花都大道）工程设计施工总承包</w:t>
            </w:r>
          </w:p>
        </w:tc>
      </w:tr>
      <w:tr w14:paraId="71023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tcBorders>
              <w:top w:val="single" w:color="auto" w:sz="4" w:space="0"/>
              <w:left w:val="single" w:color="auto" w:sz="4" w:space="0"/>
              <w:bottom w:val="single" w:color="auto" w:sz="4" w:space="0"/>
              <w:right w:val="single" w:color="auto" w:sz="4" w:space="0"/>
            </w:tcBorders>
            <w:vAlign w:val="center"/>
          </w:tcPr>
          <w:p w14:paraId="1BD1B033">
            <w:pPr>
              <w:spacing w:line="360" w:lineRule="auto"/>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t>投 标 总 工 期</w:t>
            </w:r>
          </w:p>
        </w:tc>
        <w:tc>
          <w:tcPr>
            <w:tcW w:w="5944" w:type="dxa"/>
            <w:gridSpan w:val="2"/>
            <w:tcBorders>
              <w:top w:val="single" w:color="auto" w:sz="4" w:space="0"/>
              <w:left w:val="single" w:color="auto" w:sz="4" w:space="0"/>
              <w:bottom w:val="single" w:color="auto" w:sz="4" w:space="0"/>
              <w:right w:val="single" w:color="auto" w:sz="4" w:space="0"/>
            </w:tcBorders>
            <w:vAlign w:val="center"/>
          </w:tcPr>
          <w:p w14:paraId="5661623A">
            <w:pPr>
              <w:spacing w:line="360" w:lineRule="auto"/>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t>按招标文件要求</w:t>
            </w:r>
          </w:p>
        </w:tc>
      </w:tr>
      <w:tr w14:paraId="7241D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tcBorders>
              <w:top w:val="single" w:color="auto" w:sz="4" w:space="0"/>
              <w:left w:val="single" w:color="auto" w:sz="4" w:space="0"/>
              <w:bottom w:val="single" w:color="auto" w:sz="4" w:space="0"/>
              <w:right w:val="single" w:color="auto" w:sz="4" w:space="0"/>
            </w:tcBorders>
            <w:vAlign w:val="center"/>
          </w:tcPr>
          <w:p w14:paraId="7C629863">
            <w:pPr>
              <w:spacing w:line="360" w:lineRule="auto"/>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t>工程质量标准</w:t>
            </w:r>
          </w:p>
        </w:tc>
        <w:tc>
          <w:tcPr>
            <w:tcW w:w="5944" w:type="dxa"/>
            <w:gridSpan w:val="2"/>
            <w:tcBorders>
              <w:top w:val="single" w:color="auto" w:sz="4" w:space="0"/>
              <w:left w:val="single" w:color="auto" w:sz="4" w:space="0"/>
              <w:bottom w:val="single" w:color="auto" w:sz="4" w:space="0"/>
              <w:right w:val="single" w:color="auto" w:sz="4" w:space="0"/>
            </w:tcBorders>
            <w:vAlign w:val="center"/>
          </w:tcPr>
          <w:p w14:paraId="6D7D12A9">
            <w:pPr>
              <w:spacing w:line="360" w:lineRule="auto"/>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t>按招标文件要求</w:t>
            </w:r>
          </w:p>
        </w:tc>
      </w:tr>
      <w:tr w14:paraId="36484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tcBorders>
              <w:top w:val="single" w:color="auto" w:sz="4" w:space="0"/>
              <w:left w:val="single" w:color="auto" w:sz="4" w:space="0"/>
              <w:bottom w:val="single" w:color="auto" w:sz="4" w:space="0"/>
              <w:right w:val="single" w:color="auto" w:sz="4" w:space="0"/>
            </w:tcBorders>
            <w:vAlign w:val="center"/>
          </w:tcPr>
          <w:p w14:paraId="62131D05">
            <w:pPr>
              <w:spacing w:line="360" w:lineRule="auto"/>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t>保 修 期 限</w:t>
            </w:r>
          </w:p>
        </w:tc>
        <w:tc>
          <w:tcPr>
            <w:tcW w:w="5944" w:type="dxa"/>
            <w:gridSpan w:val="2"/>
            <w:tcBorders>
              <w:top w:val="single" w:color="auto" w:sz="4" w:space="0"/>
              <w:left w:val="single" w:color="auto" w:sz="4" w:space="0"/>
              <w:bottom w:val="single" w:color="auto" w:sz="4" w:space="0"/>
              <w:right w:val="single" w:color="auto" w:sz="4" w:space="0"/>
            </w:tcBorders>
            <w:vAlign w:val="center"/>
          </w:tcPr>
          <w:p w14:paraId="124D3072">
            <w:pPr>
              <w:spacing w:line="360" w:lineRule="auto"/>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t>按招标文件要求</w:t>
            </w:r>
          </w:p>
        </w:tc>
      </w:tr>
      <w:tr w14:paraId="33E88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tcBorders>
              <w:top w:val="single" w:color="auto" w:sz="4" w:space="0"/>
              <w:left w:val="single" w:color="auto" w:sz="4" w:space="0"/>
              <w:right w:val="single" w:color="auto" w:sz="4" w:space="0"/>
            </w:tcBorders>
            <w:vAlign w:val="center"/>
          </w:tcPr>
          <w:p w14:paraId="0CEEE6AA">
            <w:pPr>
              <w:autoSpaceDE w:val="0"/>
              <w:autoSpaceDN w:val="0"/>
              <w:spacing w:line="360" w:lineRule="auto"/>
              <w:jc w:val="center"/>
              <w:rPr>
                <w:rFonts w:hint="eastAsia" w:ascii="宋体" w:hAnsi="宋体" w:cs="宋体"/>
                <w:b/>
                <w:bCs/>
                <w:color w:val="auto"/>
                <w:sz w:val="24"/>
                <w:highlight w:val="none"/>
                <w:lang w:val="zh-CN"/>
              </w:rPr>
            </w:pPr>
            <w:r>
              <w:rPr>
                <w:rFonts w:hint="eastAsia" w:ascii="宋体" w:hAnsi="宋体" w:cs="宋体"/>
                <w:b/>
                <w:color w:val="auto"/>
                <w:sz w:val="24"/>
                <w:highlight w:val="none"/>
                <w:lang w:val="zh-CN"/>
              </w:rPr>
              <w:t>委派的项目负责人</w:t>
            </w:r>
          </w:p>
        </w:tc>
        <w:tc>
          <w:tcPr>
            <w:tcW w:w="2971" w:type="dxa"/>
            <w:tcBorders>
              <w:top w:val="single" w:color="auto" w:sz="4" w:space="0"/>
              <w:left w:val="single" w:color="auto" w:sz="4" w:space="0"/>
              <w:bottom w:val="single" w:color="auto" w:sz="4" w:space="0"/>
              <w:right w:val="single" w:color="auto" w:sz="4" w:space="0"/>
            </w:tcBorders>
            <w:vAlign w:val="center"/>
          </w:tcPr>
          <w:p w14:paraId="4413CE3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姓    名</w:t>
            </w:r>
          </w:p>
        </w:tc>
        <w:tc>
          <w:tcPr>
            <w:tcW w:w="2973" w:type="dxa"/>
            <w:tcBorders>
              <w:top w:val="single" w:color="auto" w:sz="4" w:space="0"/>
              <w:left w:val="single" w:color="auto" w:sz="4" w:space="0"/>
              <w:bottom w:val="single" w:color="auto" w:sz="4" w:space="0"/>
              <w:right w:val="single" w:color="auto" w:sz="4" w:space="0"/>
            </w:tcBorders>
            <w:vAlign w:val="center"/>
          </w:tcPr>
          <w:p w14:paraId="46D9FDC0">
            <w:pPr>
              <w:autoSpaceDE w:val="0"/>
              <w:autoSpaceDN w:val="0"/>
              <w:spacing w:line="360" w:lineRule="auto"/>
              <w:jc w:val="center"/>
              <w:rPr>
                <w:rFonts w:hint="eastAsia" w:ascii="宋体" w:hAnsi="宋体" w:cs="宋体"/>
                <w:b/>
                <w:bCs/>
                <w:color w:val="auto"/>
                <w:sz w:val="24"/>
                <w:highlight w:val="none"/>
                <w:lang w:val="zh-CN"/>
              </w:rPr>
            </w:pPr>
          </w:p>
        </w:tc>
      </w:tr>
      <w:tr w14:paraId="138EF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tcBorders>
              <w:top w:val="single" w:color="auto" w:sz="4" w:space="0"/>
              <w:left w:val="single" w:color="auto" w:sz="4" w:space="0"/>
              <w:right w:val="single" w:color="auto" w:sz="4" w:space="0"/>
            </w:tcBorders>
            <w:vAlign w:val="center"/>
          </w:tcPr>
          <w:p w14:paraId="79B60712">
            <w:pPr>
              <w:autoSpaceDE w:val="0"/>
              <w:autoSpaceDN w:val="0"/>
              <w:spacing w:line="360" w:lineRule="auto"/>
              <w:jc w:val="center"/>
              <w:rPr>
                <w:rFonts w:hint="eastAsia" w:ascii="宋体" w:hAnsi="宋体" w:cs="宋体"/>
                <w:b/>
                <w:bCs/>
                <w:color w:val="auto"/>
                <w:sz w:val="24"/>
                <w:highlight w:val="none"/>
                <w:lang w:val="zh-CN"/>
              </w:rPr>
            </w:pPr>
            <w:r>
              <w:rPr>
                <w:rFonts w:hint="eastAsia" w:ascii="宋体" w:hAnsi="宋体" w:cs="宋体"/>
                <w:b/>
                <w:color w:val="auto"/>
                <w:sz w:val="24"/>
                <w:highlight w:val="none"/>
                <w:lang w:val="zh-CN"/>
              </w:rPr>
              <w:t>委派的</w:t>
            </w:r>
            <w:r>
              <w:rPr>
                <w:rFonts w:hint="eastAsia" w:ascii="宋体" w:hAnsi="宋体" w:cs="宋体"/>
                <w:b/>
                <w:bCs/>
                <w:color w:val="auto"/>
                <w:sz w:val="24"/>
                <w:highlight w:val="none"/>
                <w:lang w:val="zh-CN"/>
              </w:rPr>
              <w:t>施工负责人</w:t>
            </w:r>
          </w:p>
        </w:tc>
        <w:tc>
          <w:tcPr>
            <w:tcW w:w="2971" w:type="dxa"/>
            <w:tcBorders>
              <w:top w:val="single" w:color="auto" w:sz="4" w:space="0"/>
              <w:left w:val="single" w:color="auto" w:sz="4" w:space="0"/>
              <w:bottom w:val="single" w:color="auto" w:sz="4" w:space="0"/>
              <w:right w:val="single" w:color="auto" w:sz="4" w:space="0"/>
            </w:tcBorders>
            <w:vAlign w:val="center"/>
          </w:tcPr>
          <w:p w14:paraId="573A270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姓    名</w:t>
            </w:r>
          </w:p>
        </w:tc>
        <w:tc>
          <w:tcPr>
            <w:tcW w:w="2973" w:type="dxa"/>
            <w:tcBorders>
              <w:top w:val="single" w:color="auto" w:sz="4" w:space="0"/>
              <w:left w:val="single" w:color="auto" w:sz="4" w:space="0"/>
              <w:bottom w:val="single" w:color="auto" w:sz="4" w:space="0"/>
              <w:right w:val="single" w:color="auto" w:sz="4" w:space="0"/>
            </w:tcBorders>
            <w:vAlign w:val="center"/>
          </w:tcPr>
          <w:p w14:paraId="6CF87AE1">
            <w:pPr>
              <w:autoSpaceDE w:val="0"/>
              <w:autoSpaceDN w:val="0"/>
              <w:spacing w:line="360" w:lineRule="auto"/>
              <w:jc w:val="center"/>
              <w:rPr>
                <w:rFonts w:hint="eastAsia" w:ascii="宋体" w:hAnsi="宋体" w:cs="宋体"/>
                <w:b/>
                <w:bCs/>
                <w:color w:val="auto"/>
                <w:sz w:val="24"/>
                <w:highlight w:val="none"/>
                <w:lang w:val="zh-CN"/>
              </w:rPr>
            </w:pPr>
          </w:p>
        </w:tc>
      </w:tr>
      <w:tr w14:paraId="57726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tcBorders>
              <w:top w:val="single" w:color="auto" w:sz="4" w:space="0"/>
              <w:left w:val="single" w:color="auto" w:sz="4" w:space="0"/>
              <w:right w:val="single" w:color="auto" w:sz="4" w:space="0"/>
            </w:tcBorders>
            <w:vAlign w:val="center"/>
          </w:tcPr>
          <w:p w14:paraId="6ED3F305">
            <w:pPr>
              <w:autoSpaceDE w:val="0"/>
              <w:autoSpaceDN w:val="0"/>
              <w:spacing w:line="360" w:lineRule="auto"/>
              <w:jc w:val="center"/>
              <w:rPr>
                <w:rFonts w:hint="eastAsia" w:ascii="宋体" w:hAnsi="宋体" w:cs="宋体"/>
                <w:b/>
                <w:bCs/>
                <w:color w:val="auto"/>
                <w:sz w:val="24"/>
                <w:highlight w:val="none"/>
                <w:lang w:val="zh-CN"/>
              </w:rPr>
            </w:pPr>
            <w:r>
              <w:rPr>
                <w:rFonts w:hint="eastAsia" w:ascii="宋体" w:hAnsi="宋体" w:cs="宋体"/>
                <w:b/>
                <w:color w:val="auto"/>
                <w:sz w:val="24"/>
                <w:highlight w:val="none"/>
                <w:lang w:val="zh-CN"/>
              </w:rPr>
              <w:t>委派的专职</w:t>
            </w:r>
            <w:r>
              <w:rPr>
                <w:rFonts w:hint="eastAsia" w:ascii="宋体" w:hAnsi="宋体" w:cs="宋体"/>
                <w:b/>
                <w:bCs/>
                <w:color w:val="auto"/>
                <w:sz w:val="24"/>
                <w:highlight w:val="none"/>
                <w:lang w:val="zh-CN"/>
              </w:rPr>
              <w:t>安全员</w:t>
            </w:r>
          </w:p>
        </w:tc>
        <w:tc>
          <w:tcPr>
            <w:tcW w:w="2971" w:type="dxa"/>
            <w:tcBorders>
              <w:top w:val="single" w:color="auto" w:sz="4" w:space="0"/>
              <w:left w:val="single" w:color="auto" w:sz="4" w:space="0"/>
              <w:bottom w:val="single" w:color="auto" w:sz="4" w:space="0"/>
              <w:right w:val="single" w:color="auto" w:sz="4" w:space="0"/>
            </w:tcBorders>
            <w:vAlign w:val="center"/>
          </w:tcPr>
          <w:p w14:paraId="541EFFC0">
            <w:pPr>
              <w:autoSpaceDE w:val="0"/>
              <w:autoSpaceDN w:val="0"/>
              <w:spacing w:line="360" w:lineRule="auto"/>
              <w:jc w:val="center"/>
              <w:rPr>
                <w:rFonts w:hint="eastAsia" w:ascii="宋体" w:hAnsi="宋体" w:cs="宋体"/>
                <w:b/>
                <w:bCs/>
                <w:color w:val="auto"/>
                <w:sz w:val="24"/>
                <w:highlight w:val="none"/>
                <w:lang w:val="zh-CN"/>
              </w:rPr>
            </w:pPr>
            <w:r>
              <w:rPr>
                <w:rFonts w:hint="eastAsia" w:ascii="宋体" w:hAnsi="宋体" w:cs="宋体"/>
                <w:b/>
                <w:color w:val="auto"/>
                <w:sz w:val="24"/>
                <w:highlight w:val="none"/>
              </w:rPr>
              <w:t>姓    名</w:t>
            </w:r>
          </w:p>
        </w:tc>
        <w:tc>
          <w:tcPr>
            <w:tcW w:w="2973" w:type="dxa"/>
            <w:tcBorders>
              <w:top w:val="single" w:color="auto" w:sz="4" w:space="0"/>
              <w:left w:val="single" w:color="auto" w:sz="4" w:space="0"/>
              <w:bottom w:val="single" w:color="auto" w:sz="4" w:space="0"/>
              <w:right w:val="single" w:color="auto" w:sz="4" w:space="0"/>
            </w:tcBorders>
            <w:vAlign w:val="center"/>
          </w:tcPr>
          <w:p w14:paraId="4446492F">
            <w:pPr>
              <w:autoSpaceDE w:val="0"/>
              <w:autoSpaceDN w:val="0"/>
              <w:spacing w:line="360" w:lineRule="auto"/>
              <w:jc w:val="center"/>
              <w:rPr>
                <w:rFonts w:hint="eastAsia" w:ascii="宋体" w:hAnsi="宋体" w:cs="宋体"/>
                <w:b/>
                <w:bCs/>
                <w:color w:val="auto"/>
                <w:sz w:val="24"/>
                <w:highlight w:val="none"/>
                <w:lang w:val="zh-CN"/>
              </w:rPr>
            </w:pPr>
          </w:p>
        </w:tc>
      </w:tr>
      <w:tr w14:paraId="28177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tcBorders>
              <w:top w:val="single" w:color="auto" w:sz="4" w:space="0"/>
              <w:left w:val="single" w:color="auto" w:sz="4" w:space="0"/>
              <w:right w:val="single" w:color="auto" w:sz="4" w:space="0"/>
            </w:tcBorders>
            <w:vAlign w:val="center"/>
          </w:tcPr>
          <w:p w14:paraId="5A05B6CF">
            <w:pPr>
              <w:autoSpaceDE w:val="0"/>
              <w:autoSpaceDN w:val="0"/>
              <w:spacing w:line="360" w:lineRule="auto"/>
              <w:jc w:val="center"/>
              <w:rPr>
                <w:rFonts w:hint="eastAsia" w:ascii="宋体" w:hAnsi="宋体" w:cs="宋体"/>
                <w:b/>
                <w:bCs/>
                <w:color w:val="auto"/>
                <w:sz w:val="24"/>
                <w:highlight w:val="none"/>
                <w:lang w:val="zh-CN"/>
              </w:rPr>
            </w:pPr>
            <w:r>
              <w:rPr>
                <w:rFonts w:hint="eastAsia" w:ascii="宋体" w:hAnsi="宋体" w:cs="宋体"/>
                <w:b/>
                <w:color w:val="auto"/>
                <w:sz w:val="24"/>
                <w:highlight w:val="none"/>
                <w:lang w:val="zh-CN"/>
              </w:rPr>
              <w:t>委派的</w:t>
            </w:r>
            <w:r>
              <w:rPr>
                <w:rFonts w:hint="eastAsia" w:ascii="宋体" w:hAnsi="宋体" w:cs="宋体"/>
                <w:b/>
                <w:bCs/>
                <w:color w:val="auto"/>
                <w:sz w:val="24"/>
                <w:highlight w:val="none"/>
                <w:lang w:val="zh-CN"/>
              </w:rPr>
              <w:t>设计负责人</w:t>
            </w:r>
          </w:p>
        </w:tc>
        <w:tc>
          <w:tcPr>
            <w:tcW w:w="2971" w:type="dxa"/>
            <w:tcBorders>
              <w:top w:val="single" w:color="auto" w:sz="4" w:space="0"/>
              <w:left w:val="single" w:color="auto" w:sz="4" w:space="0"/>
              <w:bottom w:val="single" w:color="auto" w:sz="4" w:space="0"/>
              <w:right w:val="single" w:color="auto" w:sz="4" w:space="0"/>
            </w:tcBorders>
            <w:vAlign w:val="center"/>
          </w:tcPr>
          <w:p w14:paraId="28431265">
            <w:pPr>
              <w:autoSpaceDE w:val="0"/>
              <w:autoSpaceDN w:val="0"/>
              <w:spacing w:line="360" w:lineRule="auto"/>
              <w:jc w:val="center"/>
              <w:rPr>
                <w:rFonts w:hint="eastAsia" w:ascii="宋体" w:hAnsi="宋体" w:cs="宋体"/>
                <w:b/>
                <w:bCs/>
                <w:color w:val="auto"/>
                <w:sz w:val="24"/>
                <w:highlight w:val="none"/>
                <w:lang w:val="zh-CN"/>
              </w:rPr>
            </w:pPr>
            <w:r>
              <w:rPr>
                <w:rFonts w:hint="eastAsia" w:ascii="宋体" w:hAnsi="宋体" w:cs="宋体"/>
                <w:b/>
                <w:color w:val="auto"/>
                <w:sz w:val="24"/>
                <w:highlight w:val="none"/>
              </w:rPr>
              <w:t>姓    名</w:t>
            </w:r>
          </w:p>
        </w:tc>
        <w:tc>
          <w:tcPr>
            <w:tcW w:w="2973" w:type="dxa"/>
            <w:tcBorders>
              <w:top w:val="single" w:color="auto" w:sz="4" w:space="0"/>
              <w:left w:val="single" w:color="auto" w:sz="4" w:space="0"/>
              <w:bottom w:val="single" w:color="auto" w:sz="4" w:space="0"/>
              <w:right w:val="single" w:color="auto" w:sz="4" w:space="0"/>
            </w:tcBorders>
            <w:vAlign w:val="center"/>
          </w:tcPr>
          <w:p w14:paraId="30257573">
            <w:pPr>
              <w:autoSpaceDE w:val="0"/>
              <w:autoSpaceDN w:val="0"/>
              <w:spacing w:line="360" w:lineRule="auto"/>
              <w:jc w:val="center"/>
              <w:rPr>
                <w:rFonts w:hint="eastAsia" w:ascii="宋体" w:hAnsi="宋体" w:cs="宋体"/>
                <w:b/>
                <w:bCs/>
                <w:color w:val="auto"/>
                <w:sz w:val="24"/>
                <w:highlight w:val="none"/>
                <w:lang w:val="zh-CN"/>
              </w:rPr>
            </w:pPr>
          </w:p>
        </w:tc>
      </w:tr>
      <w:tr w14:paraId="75D80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vMerge w:val="restart"/>
            <w:tcBorders>
              <w:left w:val="single" w:color="auto" w:sz="4" w:space="0"/>
              <w:right w:val="single" w:color="auto" w:sz="4" w:space="0"/>
            </w:tcBorders>
            <w:vAlign w:val="center"/>
          </w:tcPr>
          <w:p w14:paraId="285F4696">
            <w:pPr>
              <w:autoSpaceDE w:val="0"/>
              <w:autoSpaceDN w:val="0"/>
              <w:spacing w:line="360" w:lineRule="auto"/>
              <w:jc w:val="center"/>
              <w:rPr>
                <w:rFonts w:hint="eastAsia" w:ascii="宋体" w:hAnsi="宋体" w:cs="宋体"/>
                <w:b/>
                <w:bCs/>
                <w:color w:val="auto"/>
                <w:sz w:val="24"/>
                <w:highlight w:val="none"/>
                <w:lang w:val="zh-CN"/>
              </w:rPr>
            </w:pPr>
            <w:r>
              <w:rPr>
                <w:rFonts w:hint="eastAsia" w:ascii="宋体" w:hAnsi="宋体" w:cs="宋体"/>
                <w:b/>
                <w:color w:val="auto"/>
                <w:sz w:val="24"/>
                <w:highlight w:val="none"/>
                <w:lang w:val="zh-CN"/>
              </w:rPr>
              <w:t>投标总报价（元）</w:t>
            </w:r>
          </w:p>
        </w:tc>
        <w:tc>
          <w:tcPr>
            <w:tcW w:w="5944" w:type="dxa"/>
            <w:gridSpan w:val="2"/>
            <w:tcBorders>
              <w:top w:val="single" w:color="auto" w:sz="4" w:space="0"/>
              <w:left w:val="single" w:color="auto" w:sz="4" w:space="0"/>
              <w:bottom w:val="single" w:color="auto" w:sz="4" w:space="0"/>
              <w:right w:val="single" w:color="auto" w:sz="4" w:space="0"/>
            </w:tcBorders>
            <w:vAlign w:val="center"/>
          </w:tcPr>
          <w:p w14:paraId="6A23AE06">
            <w:pPr>
              <w:autoSpaceDE w:val="0"/>
              <w:autoSpaceDN w:val="0"/>
              <w:spacing w:line="360" w:lineRule="auto"/>
              <w:jc w:val="left"/>
              <w:rPr>
                <w:rFonts w:hint="eastAsia" w:ascii="宋体" w:hAnsi="宋体" w:cs="宋体"/>
                <w:b/>
                <w:bCs/>
                <w:color w:val="auto"/>
                <w:sz w:val="24"/>
                <w:highlight w:val="none"/>
                <w:lang w:val="zh-CN"/>
              </w:rPr>
            </w:pPr>
            <w:r>
              <w:rPr>
                <w:rFonts w:hint="eastAsia" w:ascii="宋体" w:hAnsi="宋体" w:cs="宋体"/>
                <w:b/>
                <w:color w:val="auto"/>
                <w:sz w:val="24"/>
                <w:highlight w:val="none"/>
              </w:rPr>
              <w:t>大写：</w:t>
            </w:r>
          </w:p>
        </w:tc>
      </w:tr>
      <w:tr w14:paraId="1397E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vMerge w:val="continue"/>
            <w:tcBorders>
              <w:left w:val="single" w:color="auto" w:sz="4" w:space="0"/>
              <w:right w:val="single" w:color="auto" w:sz="4" w:space="0"/>
            </w:tcBorders>
            <w:vAlign w:val="center"/>
          </w:tcPr>
          <w:p w14:paraId="7C41CA3D">
            <w:pPr>
              <w:widowControl/>
              <w:spacing w:line="360" w:lineRule="auto"/>
              <w:jc w:val="left"/>
              <w:rPr>
                <w:rFonts w:hint="eastAsia" w:ascii="宋体" w:hAnsi="宋体" w:cs="宋体"/>
                <w:b/>
                <w:bCs/>
                <w:color w:val="auto"/>
                <w:sz w:val="24"/>
                <w:highlight w:val="none"/>
                <w:lang w:val="zh-CN"/>
              </w:rPr>
            </w:pPr>
          </w:p>
        </w:tc>
        <w:tc>
          <w:tcPr>
            <w:tcW w:w="5944" w:type="dxa"/>
            <w:gridSpan w:val="2"/>
            <w:tcBorders>
              <w:top w:val="single" w:color="auto" w:sz="4" w:space="0"/>
              <w:left w:val="single" w:color="auto" w:sz="4" w:space="0"/>
              <w:bottom w:val="single" w:color="auto" w:sz="4" w:space="0"/>
              <w:right w:val="single" w:color="auto" w:sz="4" w:space="0"/>
            </w:tcBorders>
            <w:vAlign w:val="center"/>
          </w:tcPr>
          <w:p w14:paraId="02F88877">
            <w:pPr>
              <w:autoSpaceDE w:val="0"/>
              <w:autoSpaceDN w:val="0"/>
              <w:spacing w:line="360" w:lineRule="auto"/>
              <w:jc w:val="left"/>
              <w:rPr>
                <w:rFonts w:hint="eastAsia" w:ascii="宋体" w:hAnsi="宋体" w:cs="宋体"/>
                <w:b/>
                <w:bCs/>
                <w:color w:val="auto"/>
                <w:sz w:val="24"/>
                <w:highlight w:val="none"/>
                <w:lang w:val="zh-CN"/>
              </w:rPr>
            </w:pPr>
            <w:r>
              <w:rPr>
                <w:rFonts w:hint="eastAsia" w:ascii="宋体" w:hAnsi="宋体" w:cs="宋体"/>
                <w:b/>
                <w:color w:val="auto"/>
                <w:sz w:val="24"/>
                <w:highlight w:val="none"/>
              </w:rPr>
              <w:t>小写：</w:t>
            </w:r>
          </w:p>
        </w:tc>
      </w:tr>
      <w:tr w14:paraId="7DBFC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vMerge w:val="restart"/>
            <w:tcBorders>
              <w:left w:val="single" w:color="auto" w:sz="4" w:space="0"/>
              <w:right w:val="single" w:color="auto" w:sz="4" w:space="0"/>
            </w:tcBorders>
            <w:vAlign w:val="center"/>
          </w:tcPr>
          <w:p w14:paraId="464229B4">
            <w:pPr>
              <w:autoSpaceDE w:val="0"/>
              <w:autoSpaceDN w:val="0"/>
              <w:spacing w:line="360" w:lineRule="auto"/>
              <w:jc w:val="center"/>
              <w:rPr>
                <w:rFonts w:hint="eastAsia" w:ascii="宋体" w:hAnsi="宋体" w:cs="宋体"/>
                <w:b/>
                <w:bCs/>
                <w:color w:val="auto"/>
                <w:sz w:val="24"/>
                <w:highlight w:val="none"/>
                <w:lang w:val="zh-CN"/>
              </w:rPr>
            </w:pPr>
            <w:r>
              <w:rPr>
                <w:rFonts w:hint="eastAsia" w:ascii="宋体" w:hAnsi="宋体" w:cs="宋体"/>
                <w:b/>
                <w:color w:val="auto"/>
                <w:sz w:val="24"/>
                <w:highlight w:val="none"/>
                <w:lang w:val="zh-CN"/>
              </w:rPr>
              <w:t>其中：</w:t>
            </w:r>
            <w:r>
              <w:rPr>
                <w:rFonts w:hint="eastAsia" w:ascii="宋体" w:hAnsi="宋体" w:cs="宋体"/>
                <w:b/>
                <w:color w:val="auto"/>
                <w:sz w:val="24"/>
                <w:highlight w:val="none"/>
              </w:rPr>
              <w:t>设计</w:t>
            </w:r>
            <w:r>
              <w:rPr>
                <w:rFonts w:hint="eastAsia" w:ascii="宋体" w:hAnsi="宋体" w:cs="宋体"/>
                <w:b/>
                <w:color w:val="auto"/>
                <w:sz w:val="24"/>
                <w:highlight w:val="none"/>
                <w:lang w:val="zh-CN"/>
              </w:rPr>
              <w:t>费（元）</w:t>
            </w:r>
          </w:p>
        </w:tc>
        <w:tc>
          <w:tcPr>
            <w:tcW w:w="5944" w:type="dxa"/>
            <w:gridSpan w:val="2"/>
            <w:tcBorders>
              <w:top w:val="single" w:color="auto" w:sz="4" w:space="0"/>
              <w:left w:val="single" w:color="auto" w:sz="4" w:space="0"/>
              <w:bottom w:val="single" w:color="auto" w:sz="4" w:space="0"/>
              <w:right w:val="single" w:color="auto" w:sz="4" w:space="0"/>
            </w:tcBorders>
            <w:vAlign w:val="center"/>
          </w:tcPr>
          <w:p w14:paraId="7346C9FC">
            <w:pPr>
              <w:autoSpaceDE w:val="0"/>
              <w:autoSpaceDN w:val="0"/>
              <w:spacing w:line="360" w:lineRule="auto"/>
              <w:rPr>
                <w:rFonts w:hint="eastAsia" w:ascii="宋体" w:hAnsi="宋体" w:cs="宋体"/>
                <w:b/>
                <w:bCs/>
                <w:color w:val="auto"/>
                <w:sz w:val="24"/>
                <w:highlight w:val="none"/>
              </w:rPr>
            </w:pPr>
            <w:r>
              <w:rPr>
                <w:rFonts w:hint="eastAsia" w:ascii="宋体" w:hAnsi="宋体" w:cs="宋体"/>
                <w:b/>
                <w:color w:val="auto"/>
                <w:sz w:val="24"/>
                <w:highlight w:val="none"/>
              </w:rPr>
              <w:t>大写：</w:t>
            </w:r>
          </w:p>
        </w:tc>
      </w:tr>
      <w:tr w14:paraId="6F412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vMerge w:val="continue"/>
            <w:tcBorders>
              <w:left w:val="single" w:color="auto" w:sz="4" w:space="0"/>
              <w:right w:val="single" w:color="auto" w:sz="4" w:space="0"/>
            </w:tcBorders>
            <w:vAlign w:val="center"/>
          </w:tcPr>
          <w:p w14:paraId="4093CA5C">
            <w:pPr>
              <w:autoSpaceDE w:val="0"/>
              <w:autoSpaceDN w:val="0"/>
              <w:spacing w:line="360" w:lineRule="auto"/>
              <w:jc w:val="center"/>
              <w:rPr>
                <w:rFonts w:hint="eastAsia" w:ascii="宋体" w:hAnsi="宋体" w:cs="宋体"/>
                <w:b/>
                <w:bCs/>
                <w:color w:val="auto"/>
                <w:sz w:val="24"/>
                <w:highlight w:val="none"/>
                <w:lang w:val="zh-CN"/>
              </w:rPr>
            </w:pPr>
          </w:p>
        </w:tc>
        <w:tc>
          <w:tcPr>
            <w:tcW w:w="5944" w:type="dxa"/>
            <w:gridSpan w:val="2"/>
            <w:tcBorders>
              <w:top w:val="single" w:color="auto" w:sz="4" w:space="0"/>
              <w:left w:val="single" w:color="auto" w:sz="4" w:space="0"/>
              <w:bottom w:val="single" w:color="auto" w:sz="4" w:space="0"/>
              <w:right w:val="single" w:color="auto" w:sz="4" w:space="0"/>
            </w:tcBorders>
            <w:vAlign w:val="center"/>
          </w:tcPr>
          <w:p w14:paraId="00C70CC2">
            <w:pPr>
              <w:autoSpaceDE w:val="0"/>
              <w:autoSpaceDN w:val="0"/>
              <w:spacing w:line="360" w:lineRule="auto"/>
              <w:rPr>
                <w:rFonts w:hint="eastAsia" w:ascii="宋体" w:hAnsi="宋体" w:cs="宋体"/>
                <w:b/>
                <w:bCs/>
                <w:color w:val="auto"/>
                <w:sz w:val="24"/>
                <w:highlight w:val="none"/>
              </w:rPr>
            </w:pPr>
            <w:r>
              <w:rPr>
                <w:rFonts w:hint="eastAsia" w:ascii="宋体" w:hAnsi="宋体" w:cs="宋体"/>
                <w:b/>
                <w:color w:val="auto"/>
                <w:sz w:val="24"/>
                <w:highlight w:val="none"/>
              </w:rPr>
              <w:t>小写：</w:t>
            </w:r>
          </w:p>
        </w:tc>
      </w:tr>
      <w:tr w14:paraId="60974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vMerge w:val="continue"/>
            <w:tcBorders>
              <w:left w:val="single" w:color="auto" w:sz="4" w:space="0"/>
              <w:right w:val="single" w:color="auto" w:sz="4" w:space="0"/>
            </w:tcBorders>
            <w:vAlign w:val="center"/>
          </w:tcPr>
          <w:p w14:paraId="3078828C">
            <w:pPr>
              <w:autoSpaceDE w:val="0"/>
              <w:autoSpaceDN w:val="0"/>
              <w:spacing w:line="360" w:lineRule="auto"/>
              <w:jc w:val="center"/>
              <w:rPr>
                <w:rFonts w:hint="eastAsia" w:ascii="宋体" w:hAnsi="宋体" w:cs="宋体"/>
                <w:b/>
                <w:bCs/>
                <w:color w:val="auto"/>
                <w:sz w:val="24"/>
                <w:highlight w:val="none"/>
                <w:lang w:val="zh-CN"/>
              </w:rPr>
            </w:pPr>
          </w:p>
        </w:tc>
        <w:tc>
          <w:tcPr>
            <w:tcW w:w="5944" w:type="dxa"/>
            <w:gridSpan w:val="2"/>
            <w:tcBorders>
              <w:top w:val="single" w:color="auto" w:sz="4" w:space="0"/>
              <w:left w:val="single" w:color="auto" w:sz="4" w:space="0"/>
              <w:bottom w:val="single" w:color="auto" w:sz="4" w:space="0"/>
              <w:right w:val="single" w:color="auto" w:sz="4" w:space="0"/>
            </w:tcBorders>
            <w:vAlign w:val="center"/>
          </w:tcPr>
          <w:p w14:paraId="1A350DCD">
            <w:pPr>
              <w:autoSpaceDE w:val="0"/>
              <w:autoSpaceDN w:val="0"/>
              <w:spacing w:line="360" w:lineRule="auto"/>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下浮率</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lang w:val="zh-CN"/>
              </w:rPr>
              <w:t>%，</w:t>
            </w:r>
          </w:p>
          <w:p w14:paraId="005F3C41">
            <w:pPr>
              <w:autoSpaceDE w:val="0"/>
              <w:autoSpaceDN w:val="0"/>
              <w:spacing w:line="360" w:lineRule="auto"/>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注：下浮率=【1-（</w:t>
            </w:r>
            <w:r>
              <w:rPr>
                <w:rFonts w:hint="eastAsia" w:ascii="宋体" w:hAnsi="宋体" w:cs="宋体"/>
                <w:b/>
                <w:color w:val="auto"/>
                <w:sz w:val="24"/>
                <w:highlight w:val="none"/>
              </w:rPr>
              <w:t>设计</w:t>
            </w:r>
            <w:r>
              <w:rPr>
                <w:rFonts w:hint="eastAsia" w:ascii="宋体" w:hAnsi="宋体" w:cs="宋体"/>
                <w:b/>
                <w:color w:val="auto"/>
                <w:sz w:val="24"/>
                <w:highlight w:val="none"/>
                <w:lang w:val="zh-CN"/>
              </w:rPr>
              <w:t>费投标报价</w:t>
            </w:r>
            <w:r>
              <w:rPr>
                <w:rFonts w:hint="eastAsia" w:ascii="宋体" w:hAnsi="宋体" w:cs="宋体"/>
                <w:b/>
                <w:bCs/>
                <w:color w:val="auto"/>
                <w:sz w:val="24"/>
                <w:highlight w:val="none"/>
                <w:lang w:val="zh-CN"/>
              </w:rPr>
              <w:t>/</w:t>
            </w:r>
            <w:r>
              <w:rPr>
                <w:rFonts w:hint="eastAsia" w:ascii="宋体" w:hAnsi="宋体" w:cs="宋体"/>
                <w:b/>
                <w:color w:val="auto"/>
                <w:sz w:val="24"/>
                <w:highlight w:val="none"/>
              </w:rPr>
              <w:t>设计</w:t>
            </w:r>
            <w:r>
              <w:rPr>
                <w:rFonts w:hint="eastAsia" w:ascii="宋体" w:hAnsi="宋体" w:cs="宋体"/>
                <w:b/>
                <w:color w:val="auto"/>
                <w:sz w:val="24"/>
                <w:highlight w:val="none"/>
                <w:lang w:val="zh-CN"/>
              </w:rPr>
              <w:t>费</w:t>
            </w:r>
            <w:r>
              <w:rPr>
                <w:rFonts w:hint="eastAsia" w:ascii="宋体" w:hAnsi="宋体" w:cs="宋体"/>
                <w:b/>
                <w:bCs/>
                <w:color w:val="auto"/>
                <w:sz w:val="24"/>
                <w:highlight w:val="none"/>
              </w:rPr>
              <w:t>最高投标限价</w:t>
            </w:r>
            <w:r>
              <w:rPr>
                <w:rFonts w:hint="eastAsia" w:ascii="宋体" w:hAnsi="宋体" w:cs="宋体"/>
                <w:b/>
                <w:bCs/>
                <w:color w:val="auto"/>
                <w:sz w:val="24"/>
                <w:highlight w:val="none"/>
                <w:lang w:val="zh-CN"/>
              </w:rPr>
              <w:t>）】*100%</w:t>
            </w:r>
          </w:p>
        </w:tc>
      </w:tr>
      <w:tr w14:paraId="254CC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vMerge w:val="restart"/>
            <w:tcBorders>
              <w:left w:val="single" w:color="auto" w:sz="4" w:space="0"/>
              <w:right w:val="single" w:color="auto" w:sz="4" w:space="0"/>
            </w:tcBorders>
            <w:vAlign w:val="center"/>
          </w:tcPr>
          <w:p w14:paraId="26A79AAB">
            <w:pPr>
              <w:autoSpaceDE w:val="0"/>
              <w:autoSpaceDN w:val="0"/>
              <w:spacing w:line="360" w:lineRule="auto"/>
              <w:jc w:val="center"/>
              <w:rPr>
                <w:rFonts w:hint="eastAsia" w:ascii="宋体" w:hAnsi="宋体" w:cs="宋体"/>
                <w:b/>
                <w:bCs/>
                <w:color w:val="auto"/>
                <w:sz w:val="24"/>
                <w:highlight w:val="none"/>
                <w:lang w:val="zh-CN"/>
              </w:rPr>
            </w:pPr>
            <w:r>
              <w:rPr>
                <w:rFonts w:hint="eastAsia" w:ascii="宋体" w:hAnsi="宋体" w:cs="宋体"/>
                <w:b/>
                <w:color w:val="auto"/>
                <w:sz w:val="24"/>
                <w:highlight w:val="none"/>
                <w:lang w:val="zh-CN"/>
              </w:rPr>
              <w:t>其中：建安工程费（元）</w:t>
            </w:r>
          </w:p>
        </w:tc>
        <w:tc>
          <w:tcPr>
            <w:tcW w:w="5944" w:type="dxa"/>
            <w:gridSpan w:val="2"/>
            <w:tcBorders>
              <w:top w:val="single" w:color="auto" w:sz="4" w:space="0"/>
              <w:left w:val="single" w:color="auto" w:sz="4" w:space="0"/>
              <w:bottom w:val="single" w:color="auto" w:sz="4" w:space="0"/>
              <w:right w:val="single" w:color="auto" w:sz="4" w:space="0"/>
            </w:tcBorders>
            <w:vAlign w:val="center"/>
          </w:tcPr>
          <w:p w14:paraId="06E549CC">
            <w:pPr>
              <w:autoSpaceDE w:val="0"/>
              <w:autoSpaceDN w:val="0"/>
              <w:spacing w:line="360" w:lineRule="auto"/>
              <w:rPr>
                <w:rFonts w:hint="eastAsia" w:ascii="宋体" w:hAnsi="宋体" w:cs="宋体"/>
                <w:b/>
                <w:bCs/>
                <w:color w:val="auto"/>
                <w:sz w:val="24"/>
                <w:highlight w:val="none"/>
              </w:rPr>
            </w:pPr>
            <w:r>
              <w:rPr>
                <w:rFonts w:hint="eastAsia" w:ascii="宋体" w:hAnsi="宋体" w:cs="宋体"/>
                <w:b/>
                <w:color w:val="auto"/>
                <w:sz w:val="24"/>
                <w:highlight w:val="none"/>
              </w:rPr>
              <w:t>大写：</w:t>
            </w:r>
          </w:p>
        </w:tc>
      </w:tr>
      <w:tr w14:paraId="4B51C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vMerge w:val="continue"/>
            <w:tcBorders>
              <w:left w:val="single" w:color="auto" w:sz="4" w:space="0"/>
              <w:right w:val="single" w:color="auto" w:sz="4" w:space="0"/>
            </w:tcBorders>
            <w:vAlign w:val="center"/>
          </w:tcPr>
          <w:p w14:paraId="0DC850E2">
            <w:pPr>
              <w:widowControl/>
              <w:spacing w:line="360" w:lineRule="auto"/>
              <w:jc w:val="left"/>
              <w:rPr>
                <w:rFonts w:hint="eastAsia" w:ascii="宋体" w:hAnsi="宋体" w:cs="宋体"/>
                <w:b/>
                <w:bCs/>
                <w:color w:val="auto"/>
                <w:sz w:val="24"/>
                <w:highlight w:val="none"/>
                <w:lang w:val="zh-CN"/>
              </w:rPr>
            </w:pPr>
          </w:p>
        </w:tc>
        <w:tc>
          <w:tcPr>
            <w:tcW w:w="5944" w:type="dxa"/>
            <w:gridSpan w:val="2"/>
            <w:tcBorders>
              <w:top w:val="single" w:color="auto" w:sz="4" w:space="0"/>
              <w:left w:val="single" w:color="auto" w:sz="4" w:space="0"/>
              <w:bottom w:val="single" w:color="auto" w:sz="4" w:space="0"/>
              <w:right w:val="single" w:color="auto" w:sz="4" w:space="0"/>
            </w:tcBorders>
            <w:vAlign w:val="center"/>
          </w:tcPr>
          <w:p w14:paraId="58D3AAF1">
            <w:pPr>
              <w:autoSpaceDE w:val="0"/>
              <w:autoSpaceDN w:val="0"/>
              <w:spacing w:line="360" w:lineRule="auto"/>
              <w:rPr>
                <w:rFonts w:hint="eastAsia" w:ascii="宋体" w:hAnsi="宋体" w:cs="宋体"/>
                <w:b/>
                <w:bCs/>
                <w:color w:val="auto"/>
                <w:sz w:val="24"/>
                <w:highlight w:val="none"/>
              </w:rPr>
            </w:pPr>
            <w:r>
              <w:rPr>
                <w:rFonts w:hint="eastAsia" w:ascii="宋体" w:hAnsi="宋体" w:cs="宋体"/>
                <w:b/>
                <w:color w:val="auto"/>
                <w:sz w:val="24"/>
                <w:highlight w:val="none"/>
              </w:rPr>
              <w:t>小写：</w:t>
            </w:r>
          </w:p>
        </w:tc>
      </w:tr>
      <w:tr w14:paraId="4477E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vMerge w:val="continue"/>
            <w:tcBorders>
              <w:left w:val="single" w:color="auto" w:sz="4" w:space="0"/>
              <w:right w:val="single" w:color="auto" w:sz="4" w:space="0"/>
            </w:tcBorders>
            <w:vAlign w:val="center"/>
          </w:tcPr>
          <w:p w14:paraId="1C16626A">
            <w:pPr>
              <w:widowControl/>
              <w:spacing w:line="360" w:lineRule="auto"/>
              <w:jc w:val="left"/>
              <w:rPr>
                <w:rFonts w:hint="eastAsia" w:ascii="宋体" w:hAnsi="宋体" w:cs="宋体"/>
                <w:b/>
                <w:bCs/>
                <w:color w:val="auto"/>
                <w:sz w:val="24"/>
                <w:highlight w:val="none"/>
                <w:lang w:val="zh-CN"/>
              </w:rPr>
            </w:pPr>
          </w:p>
        </w:tc>
        <w:tc>
          <w:tcPr>
            <w:tcW w:w="5944" w:type="dxa"/>
            <w:gridSpan w:val="2"/>
            <w:tcBorders>
              <w:top w:val="single" w:color="auto" w:sz="4" w:space="0"/>
              <w:left w:val="single" w:color="auto" w:sz="4" w:space="0"/>
              <w:bottom w:val="single" w:color="auto" w:sz="4" w:space="0"/>
              <w:right w:val="single" w:color="auto" w:sz="4" w:space="0"/>
            </w:tcBorders>
            <w:vAlign w:val="center"/>
          </w:tcPr>
          <w:p w14:paraId="21CA2CD7">
            <w:pPr>
              <w:autoSpaceDE w:val="0"/>
              <w:autoSpaceDN w:val="0"/>
              <w:spacing w:line="360" w:lineRule="auto"/>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下浮率</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lang w:val="zh-CN"/>
              </w:rPr>
              <w:t>%，</w:t>
            </w:r>
          </w:p>
          <w:p w14:paraId="6426EDA6">
            <w:pPr>
              <w:autoSpaceDE w:val="0"/>
              <w:autoSpaceDN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lang w:val="zh-CN"/>
              </w:rPr>
              <w:t>注：下浮率=【1-（建安工程费投标报价/建安工程费</w:t>
            </w:r>
            <w:r>
              <w:rPr>
                <w:rFonts w:hint="eastAsia" w:ascii="宋体" w:hAnsi="宋体" w:cs="宋体"/>
                <w:b/>
                <w:bCs/>
                <w:color w:val="auto"/>
                <w:sz w:val="24"/>
                <w:highlight w:val="none"/>
              </w:rPr>
              <w:t>最高投标限价</w:t>
            </w:r>
            <w:r>
              <w:rPr>
                <w:rFonts w:hint="eastAsia" w:ascii="宋体" w:hAnsi="宋体" w:cs="宋体"/>
                <w:b/>
                <w:bCs/>
                <w:color w:val="auto"/>
                <w:sz w:val="24"/>
                <w:highlight w:val="none"/>
                <w:lang w:val="zh-CN"/>
              </w:rPr>
              <w:t>）】*100%</w:t>
            </w:r>
          </w:p>
        </w:tc>
      </w:tr>
      <w:tr w14:paraId="4C12F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tcBorders>
              <w:top w:val="single" w:color="auto" w:sz="4" w:space="0"/>
              <w:left w:val="single" w:color="auto" w:sz="4" w:space="0"/>
              <w:bottom w:val="single" w:color="auto" w:sz="4" w:space="0"/>
              <w:right w:val="single" w:color="auto" w:sz="4" w:space="0"/>
            </w:tcBorders>
            <w:vAlign w:val="center"/>
          </w:tcPr>
          <w:p w14:paraId="46CBE301">
            <w:pPr>
              <w:autoSpaceDE w:val="0"/>
              <w:autoSpaceDN w:val="0"/>
              <w:spacing w:line="360" w:lineRule="auto"/>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法 定 代 表 人</w:t>
            </w:r>
          </w:p>
          <w:p w14:paraId="16D089F0">
            <w:pPr>
              <w:autoSpaceDE w:val="0"/>
              <w:autoSpaceDN w:val="0"/>
              <w:spacing w:line="360" w:lineRule="auto"/>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（签名或盖章）</w:t>
            </w:r>
          </w:p>
        </w:tc>
        <w:tc>
          <w:tcPr>
            <w:tcW w:w="5944" w:type="dxa"/>
            <w:gridSpan w:val="2"/>
            <w:tcBorders>
              <w:top w:val="single" w:color="auto" w:sz="4" w:space="0"/>
              <w:left w:val="single" w:color="auto" w:sz="4" w:space="0"/>
              <w:bottom w:val="single" w:color="auto" w:sz="4" w:space="0"/>
              <w:right w:val="single" w:color="auto" w:sz="4" w:space="0"/>
            </w:tcBorders>
            <w:vAlign w:val="center"/>
          </w:tcPr>
          <w:p w14:paraId="5948773B">
            <w:pPr>
              <w:autoSpaceDE w:val="0"/>
              <w:autoSpaceDN w:val="0"/>
              <w:spacing w:line="360" w:lineRule="auto"/>
              <w:jc w:val="center"/>
              <w:rPr>
                <w:rFonts w:hint="eastAsia" w:ascii="宋体" w:hAnsi="宋体" w:cs="宋体"/>
                <w:b/>
                <w:bCs/>
                <w:color w:val="auto"/>
                <w:sz w:val="24"/>
                <w:highlight w:val="none"/>
                <w:lang w:val="zh-CN"/>
              </w:rPr>
            </w:pPr>
          </w:p>
        </w:tc>
      </w:tr>
      <w:tr w14:paraId="57509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tcBorders>
              <w:top w:val="single" w:color="auto" w:sz="4" w:space="0"/>
              <w:left w:val="single" w:color="auto" w:sz="4" w:space="0"/>
              <w:bottom w:val="single" w:color="auto" w:sz="4" w:space="0"/>
              <w:right w:val="single" w:color="auto" w:sz="4" w:space="0"/>
            </w:tcBorders>
            <w:vAlign w:val="center"/>
          </w:tcPr>
          <w:p w14:paraId="0DC28250">
            <w:pPr>
              <w:autoSpaceDE w:val="0"/>
              <w:autoSpaceDN w:val="0"/>
              <w:spacing w:line="360" w:lineRule="auto"/>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授 权 委 托 人</w:t>
            </w:r>
          </w:p>
          <w:p w14:paraId="7A0DDE66">
            <w:pPr>
              <w:autoSpaceDE w:val="0"/>
              <w:autoSpaceDN w:val="0"/>
              <w:spacing w:line="360" w:lineRule="auto"/>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（签名或盖章）</w:t>
            </w:r>
          </w:p>
        </w:tc>
        <w:tc>
          <w:tcPr>
            <w:tcW w:w="5944" w:type="dxa"/>
            <w:gridSpan w:val="2"/>
            <w:tcBorders>
              <w:top w:val="single" w:color="auto" w:sz="4" w:space="0"/>
              <w:left w:val="single" w:color="auto" w:sz="4" w:space="0"/>
              <w:bottom w:val="single" w:color="auto" w:sz="4" w:space="0"/>
              <w:right w:val="single" w:color="auto" w:sz="4" w:space="0"/>
            </w:tcBorders>
            <w:vAlign w:val="center"/>
          </w:tcPr>
          <w:p w14:paraId="0119D6C2">
            <w:pPr>
              <w:autoSpaceDE w:val="0"/>
              <w:autoSpaceDN w:val="0"/>
              <w:spacing w:line="360" w:lineRule="auto"/>
              <w:jc w:val="center"/>
              <w:rPr>
                <w:rFonts w:hint="eastAsia" w:ascii="宋体" w:hAnsi="宋体" w:cs="宋体"/>
                <w:b/>
                <w:bCs/>
                <w:color w:val="auto"/>
                <w:sz w:val="24"/>
                <w:highlight w:val="none"/>
                <w:lang w:val="zh-CN"/>
              </w:rPr>
            </w:pPr>
          </w:p>
        </w:tc>
      </w:tr>
      <w:tr w14:paraId="3C64B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tcBorders>
              <w:top w:val="single" w:color="auto" w:sz="4" w:space="0"/>
              <w:left w:val="single" w:color="auto" w:sz="4" w:space="0"/>
              <w:bottom w:val="single" w:color="auto" w:sz="4" w:space="0"/>
              <w:right w:val="single" w:color="auto" w:sz="4" w:space="0"/>
            </w:tcBorders>
            <w:vAlign w:val="center"/>
          </w:tcPr>
          <w:p w14:paraId="4921DF73">
            <w:pPr>
              <w:autoSpaceDE w:val="0"/>
              <w:autoSpaceDN w:val="0"/>
              <w:spacing w:line="360" w:lineRule="auto"/>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投标人</w:t>
            </w:r>
          </w:p>
          <w:p w14:paraId="3386110D">
            <w:pPr>
              <w:autoSpaceDE w:val="0"/>
              <w:autoSpaceDN w:val="0"/>
              <w:spacing w:line="360" w:lineRule="auto"/>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（企业公章）</w:t>
            </w:r>
          </w:p>
        </w:tc>
        <w:tc>
          <w:tcPr>
            <w:tcW w:w="5944" w:type="dxa"/>
            <w:gridSpan w:val="2"/>
            <w:tcBorders>
              <w:top w:val="single" w:color="auto" w:sz="4" w:space="0"/>
              <w:left w:val="single" w:color="auto" w:sz="4" w:space="0"/>
              <w:bottom w:val="single" w:color="auto" w:sz="4" w:space="0"/>
              <w:right w:val="single" w:color="auto" w:sz="4" w:space="0"/>
            </w:tcBorders>
            <w:vAlign w:val="center"/>
          </w:tcPr>
          <w:p w14:paraId="3948E422">
            <w:pPr>
              <w:autoSpaceDE w:val="0"/>
              <w:autoSpaceDN w:val="0"/>
              <w:spacing w:line="360" w:lineRule="auto"/>
              <w:jc w:val="center"/>
              <w:rPr>
                <w:rFonts w:hint="eastAsia" w:ascii="宋体" w:hAnsi="宋体" w:cs="宋体"/>
                <w:b/>
                <w:bCs/>
                <w:color w:val="auto"/>
                <w:sz w:val="24"/>
                <w:highlight w:val="none"/>
                <w:lang w:val="zh-CN"/>
              </w:rPr>
            </w:pPr>
          </w:p>
        </w:tc>
      </w:tr>
    </w:tbl>
    <w:p w14:paraId="3F4568DF">
      <w:pPr>
        <w:pStyle w:val="21"/>
        <w:rPr>
          <w:rFonts w:hint="eastAsia" w:hAnsi="宋体" w:cs="宋体"/>
          <w:b/>
          <w:bCs/>
          <w:color w:val="auto"/>
          <w:sz w:val="18"/>
          <w:szCs w:val="18"/>
          <w:highlight w:val="none"/>
        </w:rPr>
      </w:pPr>
      <w:r>
        <w:rPr>
          <w:rFonts w:hint="eastAsia" w:hAnsi="宋体" w:cs="宋体"/>
          <w:b/>
          <w:bCs/>
          <w:color w:val="auto"/>
          <w:sz w:val="18"/>
          <w:szCs w:val="18"/>
          <w:highlight w:val="none"/>
        </w:rPr>
        <w:t>注：（1）联合体投标的，“投标人”一栏需书写所有联合体成员的单位全称，可由主办方签署、盖章。</w:t>
      </w:r>
    </w:p>
    <w:p w14:paraId="64D4FD30">
      <w:pPr>
        <w:pStyle w:val="21"/>
        <w:ind w:firstLine="361" w:firstLineChars="200"/>
        <w:rPr>
          <w:rFonts w:hint="eastAsia" w:hAnsi="宋体" w:cs="宋体"/>
          <w:b/>
          <w:color w:val="auto"/>
          <w:sz w:val="18"/>
          <w:szCs w:val="18"/>
          <w:highlight w:val="none"/>
        </w:rPr>
      </w:pPr>
      <w:r>
        <w:rPr>
          <w:rFonts w:hint="eastAsia" w:hAnsi="宋体" w:cs="宋体"/>
          <w:b/>
          <w:color w:val="auto"/>
          <w:sz w:val="18"/>
          <w:szCs w:val="18"/>
          <w:highlight w:val="none"/>
        </w:rPr>
        <w:t>（2）投标报价的大写金额和小写金额不一致的，以大写金额为准。</w:t>
      </w:r>
    </w:p>
    <w:p w14:paraId="45C28BEC">
      <w:pPr>
        <w:pStyle w:val="21"/>
        <w:ind w:firstLine="361" w:firstLineChars="200"/>
        <w:rPr>
          <w:rFonts w:hint="eastAsia" w:hAnsi="宋体" w:cs="宋体"/>
          <w:b/>
          <w:color w:val="auto"/>
          <w:sz w:val="18"/>
          <w:szCs w:val="18"/>
          <w:highlight w:val="none"/>
        </w:rPr>
        <w:sectPr>
          <w:footerReference r:id="rId7" w:type="default"/>
          <w:pgSz w:w="11906" w:h="16838"/>
          <w:pgMar w:top="1440" w:right="1440" w:bottom="1440" w:left="1440" w:header="851" w:footer="992" w:gutter="0"/>
          <w:cols w:space="720" w:num="1"/>
          <w:docGrid w:type="lines" w:linePitch="312" w:charSpace="0"/>
        </w:sectPr>
      </w:pPr>
      <w:r>
        <w:rPr>
          <w:rFonts w:hint="eastAsia" w:hAnsi="宋体" w:cs="宋体"/>
          <w:b/>
          <w:color w:val="auto"/>
          <w:sz w:val="18"/>
          <w:szCs w:val="18"/>
          <w:highlight w:val="none"/>
        </w:rPr>
        <w:t>（3）投标报价及下浮率的填报精确到小数点后2位，第3位四舍五入。</w:t>
      </w:r>
    </w:p>
    <w:p w14:paraId="1CC222E4">
      <w:pPr>
        <w:pStyle w:val="3"/>
        <w:spacing w:before="0" w:after="0"/>
        <w:rPr>
          <w:rFonts w:hint="eastAsia" w:ascii="宋体" w:hAnsi="宋体" w:eastAsia="宋体" w:cs="宋体"/>
          <w:color w:val="auto"/>
          <w:sz w:val="28"/>
          <w:szCs w:val="28"/>
          <w:highlight w:val="none"/>
        </w:rPr>
      </w:pPr>
      <w:bookmarkStart w:id="518" w:name="_Toc29718"/>
      <w:bookmarkStart w:id="519" w:name="_Toc18803"/>
      <w:bookmarkStart w:id="520" w:name="_Toc16769"/>
      <w:bookmarkStart w:id="521" w:name="_Toc4735"/>
      <w:r>
        <w:rPr>
          <w:rFonts w:hint="eastAsia" w:ascii="宋体" w:hAnsi="宋体" w:eastAsia="宋体" w:cs="宋体"/>
          <w:color w:val="auto"/>
          <w:sz w:val="28"/>
          <w:szCs w:val="28"/>
          <w:highlight w:val="none"/>
        </w:rPr>
        <w:t>格式4：</w:t>
      </w:r>
      <w:bookmarkEnd w:id="518"/>
      <w:bookmarkEnd w:id="519"/>
      <w:bookmarkEnd w:id="520"/>
      <w:bookmarkEnd w:id="521"/>
    </w:p>
    <w:p w14:paraId="5EC1517A">
      <w:pPr>
        <w:autoSpaceDE w:val="0"/>
        <w:autoSpaceDN w:val="0"/>
        <w:spacing w:line="360" w:lineRule="auto"/>
        <w:jc w:val="center"/>
        <w:rPr>
          <w:rFonts w:hint="eastAsia"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投标承诺函</w:t>
      </w:r>
    </w:p>
    <w:p w14:paraId="395FAE8E">
      <w:pPr>
        <w:spacing w:line="360" w:lineRule="auto"/>
        <w:jc w:val="center"/>
        <w:rPr>
          <w:rFonts w:hint="eastAsia" w:ascii="宋体" w:hAnsi="宋体" w:cs="宋体"/>
          <w:b/>
          <w:color w:val="auto"/>
          <w:sz w:val="24"/>
          <w:highlight w:val="none"/>
        </w:rPr>
      </w:pPr>
    </w:p>
    <w:p w14:paraId="26B8536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（招标人名称）       </w:t>
      </w:r>
    </w:p>
    <w:p w14:paraId="0863894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我司确认收到贵司提供的</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招标文件的全部内容，我司：</w:t>
      </w:r>
      <w:r>
        <w:rPr>
          <w:rFonts w:hint="eastAsia" w:ascii="宋体" w:hAnsi="宋体" w:cs="宋体"/>
          <w:color w:val="auto"/>
          <w:szCs w:val="21"/>
          <w:highlight w:val="none"/>
          <w:u w:val="single"/>
        </w:rPr>
        <w:t xml:space="preserve">       (投标人名称)      </w:t>
      </w:r>
      <w:r>
        <w:rPr>
          <w:rFonts w:hint="eastAsia" w:ascii="宋体" w:hAnsi="宋体" w:cs="宋体"/>
          <w:color w:val="auto"/>
          <w:szCs w:val="21"/>
          <w:highlight w:val="none"/>
        </w:rPr>
        <w:t>已作为投标人正式授权</w:t>
      </w:r>
      <w:r>
        <w:rPr>
          <w:rFonts w:hint="eastAsia" w:ascii="宋体" w:hAnsi="宋体" w:cs="宋体"/>
          <w:color w:val="auto"/>
          <w:szCs w:val="21"/>
          <w:highlight w:val="none"/>
          <w:u w:val="single"/>
        </w:rPr>
        <w:t xml:space="preserve">         (授权代表全名，职务)    </w:t>
      </w:r>
      <w:r>
        <w:rPr>
          <w:rFonts w:hint="eastAsia" w:ascii="宋体" w:hAnsi="宋体" w:cs="宋体"/>
          <w:color w:val="auto"/>
          <w:szCs w:val="21"/>
          <w:highlight w:val="none"/>
        </w:rPr>
        <w:t>代表我司进行有关本投标的一切事宜。</w:t>
      </w:r>
    </w:p>
    <w:p w14:paraId="6D95545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我司已完全明白和接受招标文件的所有条款要求，并重申以下几点：</w:t>
      </w:r>
    </w:p>
    <w:p w14:paraId="14D22DC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我司已详细研究并理解招标人提供的所有资料内容，同意招标文件的内容，对招标文件内容和约束无异议，充分了解了现场条件对可能存在的所有风险都已充分考虑，我司放弃在此方面提出含糊意见或误解的一切权力，承认招标文件的所有条款，按招标文件规定条款完成本次招标项目的内容。</w:t>
      </w:r>
    </w:p>
    <w:p w14:paraId="5E331BE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我司已充分阅读了本项目招标文件并充分了解有关报价方式及变更、结算方式，我司完全响应招标文件的规定。</w:t>
      </w:r>
    </w:p>
    <w:p w14:paraId="69C293B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3．本投标文件的有效期为投标截止日后</w:t>
      </w:r>
      <w:r>
        <w:rPr>
          <w:rFonts w:hint="eastAsia" w:ascii="宋体" w:hAnsi="宋体" w:cs="宋体"/>
          <w:b/>
          <w:color w:val="auto"/>
          <w:szCs w:val="21"/>
          <w:highlight w:val="none"/>
          <w:u w:val="single"/>
        </w:rPr>
        <w:t>90日历天</w:t>
      </w:r>
      <w:r>
        <w:rPr>
          <w:rFonts w:hint="eastAsia" w:ascii="宋体" w:hAnsi="宋体" w:cs="宋体"/>
          <w:color w:val="auto"/>
          <w:szCs w:val="21"/>
          <w:highlight w:val="none"/>
        </w:rPr>
        <w:t>内有效；</w:t>
      </w:r>
    </w:p>
    <w:p w14:paraId="68A96D5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4．我司承诺投标文件中的一切资料、数据是真实的，并承担由此引起的一切责任。</w:t>
      </w:r>
    </w:p>
    <w:p w14:paraId="46D422E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5．我司同意按照贵司可能提出的要求而提供与投标有关的任何其它数据或信息。</w:t>
      </w:r>
    </w:p>
    <w:p w14:paraId="534BEDA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6.1保证履行招标文件以及招标文件修改书(如有)中的全部责任和义务，在中标通知书规定的时间内签订合同，并严格按国家有关法规履行我司的全部责任，按质、按量、按期完成合同约定的全部任务。</w:t>
      </w:r>
    </w:p>
    <w:p w14:paraId="22E8210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保证将我司的资质承包范围不能涵盖或不具备相应能力(该能力须保证进度和质量且须获得招标人认可)的部分专业工程（如果有），委托获得招标人批准的具备相应专业资质和能力的单位实施，确保项目质量及进度。</w:t>
      </w:r>
    </w:p>
    <w:p w14:paraId="3E48578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6.3保证所完成的设计将完全符合国家相关规范要求，符合或优于招标文件、技术条件、合同条款的要求。若我司完成的设计文件未能达到招标人（或相关政府部门）的要求，我司将无条件根据要求进行修改设计文件，直至得到招标人（及相关政府部门）的认可为止。</w:t>
      </w:r>
    </w:p>
    <w:p w14:paraId="78526FD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6.4保证尽一切力量确保投标承诺的竣工日期，若我司未能按投标承诺的工期完成本项目，除承担合同约定的违约责任外，招标人有权解除合同，我司承担由于违约解除合同退场造成的对招标人的一切损失。</w:t>
      </w:r>
    </w:p>
    <w:p w14:paraId="0D98915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6.5保证投标所报的项目负责人、施工负责人、设计负责人在本项目合同签订后7日内到职，全过程服务于本项目，在过程中非不可抗力或招标人要求不得更换。我司违反以上承诺的，同意按合同条款的规定承担违约责任。</w:t>
      </w:r>
    </w:p>
    <w:p w14:paraId="310CD6E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6.6保证所投入本项目的主要材料、设备质量符合或优于招标文件要求，所投入本项目的辅助设备、材料与主主要材料、设备质量一致并有良好的配套性。</w:t>
      </w:r>
    </w:p>
    <w:p w14:paraId="549C3D8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6.7保证按照招标文件的要求确保安全生产及文明施工，如有违反，我司愿意按合同约定承担违约责任，并为此负相关的法律责任。</w:t>
      </w:r>
    </w:p>
    <w:p w14:paraId="08F0F19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6.8保证按国家的有关规定制订保证民工工资支付的方案及保证措施，否则，我司愿按合同条款规定承担违约责任并赔偿招标人的全部损失。</w:t>
      </w:r>
    </w:p>
    <w:p w14:paraId="7072852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若我方中标，我方承诺拟投入本项目的施工负责人满足《注册建造师管理规定》第21条规定，如出现委派的项目负责人在其他在建项目担任工程总承包项目负责人或施工负责人、或者施工负责人在其他在建项目中任项目负责人或施工负责人【包括但不限于广州公共资源交易中心企业库（包含广州市住建行业信用管理平台），广东省建筑市场监管公共服务平台项目负责人锁定情况】，无条件接受招标人取消中标资格，招标人可以确定排名第二的中标候选人为中标人。</w:t>
      </w:r>
    </w:p>
    <w:p w14:paraId="1E719C6E">
      <w:pPr>
        <w:spacing w:line="360" w:lineRule="auto"/>
        <w:ind w:firstLine="420" w:firstLineChars="200"/>
        <w:rPr>
          <w:rFonts w:hint="eastAsia" w:ascii="宋体" w:hAnsi="宋体" w:cs="宋体"/>
          <w:color w:val="auto"/>
          <w:szCs w:val="21"/>
          <w:highlight w:val="none"/>
        </w:rPr>
      </w:pPr>
    </w:p>
    <w:p w14:paraId="078AE8A1">
      <w:pPr>
        <w:widowControl/>
        <w:spacing w:line="360" w:lineRule="auto"/>
        <w:jc w:val="left"/>
        <w:rPr>
          <w:rFonts w:hint="eastAsia" w:ascii="宋体" w:hAnsi="宋体" w:cs="宋体"/>
          <w:color w:val="auto"/>
          <w:szCs w:val="21"/>
          <w:highlight w:val="none"/>
        </w:rPr>
      </w:pPr>
    </w:p>
    <w:p w14:paraId="770B1298">
      <w:pPr>
        <w:spacing w:line="360" w:lineRule="auto"/>
        <w:ind w:firstLine="3360" w:firstLineChars="1600"/>
        <w:rPr>
          <w:rFonts w:hint="eastAsia" w:ascii="宋体" w:hAnsi="宋体" w:cs="宋体"/>
          <w:color w:val="auto"/>
          <w:szCs w:val="21"/>
          <w:highlight w:val="none"/>
        </w:rPr>
      </w:pPr>
    </w:p>
    <w:p w14:paraId="7ED55491">
      <w:pPr>
        <w:spacing w:line="360" w:lineRule="auto"/>
        <w:ind w:firstLine="3360" w:firstLineChars="1600"/>
        <w:rPr>
          <w:rFonts w:hint="eastAsia" w:ascii="宋体" w:hAnsi="宋体" w:cs="宋体"/>
          <w:color w:val="auto"/>
          <w:szCs w:val="21"/>
          <w:highlight w:val="none"/>
        </w:rPr>
      </w:pPr>
      <w:r>
        <w:rPr>
          <w:rFonts w:hint="eastAsia" w:ascii="宋体" w:hAnsi="宋体" w:cs="宋体"/>
          <w:color w:val="auto"/>
          <w:szCs w:val="21"/>
          <w:highlight w:val="none"/>
        </w:rPr>
        <w:t>投标人：    （盖章）</w:t>
      </w:r>
    </w:p>
    <w:p w14:paraId="591A288C">
      <w:pPr>
        <w:spacing w:line="360" w:lineRule="auto"/>
        <w:ind w:firstLine="3360" w:firstLineChars="1600"/>
        <w:rPr>
          <w:rFonts w:hint="eastAsia" w:ascii="宋体" w:hAnsi="宋体" w:cs="宋体"/>
          <w:color w:val="auto"/>
          <w:sz w:val="24"/>
          <w:highlight w:val="none"/>
        </w:rPr>
      </w:pPr>
      <w:r>
        <w:rPr>
          <w:rFonts w:hint="eastAsia" w:ascii="宋体" w:hAnsi="宋体" w:cs="宋体"/>
          <w:color w:val="auto"/>
          <w:szCs w:val="21"/>
          <w:highlight w:val="none"/>
        </w:rPr>
        <w:t>法定代表人或其授权代理人(签名或盖</w:t>
      </w:r>
      <w:r>
        <w:rPr>
          <w:rFonts w:hint="eastAsia" w:ascii="宋体" w:hAnsi="宋体" w:cs="宋体"/>
          <w:color w:val="auto"/>
          <w:sz w:val="24"/>
          <w:highlight w:val="none"/>
        </w:rPr>
        <w:t>章)：</w:t>
      </w:r>
    </w:p>
    <w:p w14:paraId="5B927606">
      <w:pPr>
        <w:spacing w:line="360" w:lineRule="auto"/>
        <w:ind w:firstLine="3840" w:firstLineChars="1600"/>
        <w:rPr>
          <w:rFonts w:hint="eastAsia" w:ascii="宋体" w:hAnsi="宋体" w:cs="宋体"/>
          <w:color w:val="auto"/>
          <w:sz w:val="24"/>
          <w:highlight w:val="none"/>
        </w:rPr>
      </w:pPr>
      <w:r>
        <w:rPr>
          <w:rFonts w:hint="eastAsia" w:ascii="宋体" w:hAnsi="宋体" w:cs="宋体"/>
          <w:color w:val="auto"/>
          <w:sz w:val="24"/>
          <w:highlight w:val="none"/>
        </w:rPr>
        <w:t>日   期：    年    月    日</w:t>
      </w:r>
    </w:p>
    <w:p w14:paraId="1CC6A4FD">
      <w:pPr>
        <w:pStyle w:val="21"/>
        <w:spacing w:line="360" w:lineRule="auto"/>
        <w:ind w:firstLine="241" w:firstLineChars="100"/>
        <w:rPr>
          <w:rFonts w:hint="eastAsia" w:hAnsi="宋体" w:cs="宋体"/>
          <w:b/>
          <w:color w:val="auto"/>
          <w:sz w:val="24"/>
          <w:szCs w:val="24"/>
          <w:highlight w:val="none"/>
        </w:rPr>
      </w:pPr>
    </w:p>
    <w:p w14:paraId="0BB44B77">
      <w:pPr>
        <w:topLinePunct/>
        <w:rPr>
          <w:rFonts w:hint="eastAsia" w:ascii="宋体" w:hAnsi="宋体" w:cs="宋体"/>
          <w:b/>
          <w:bCs/>
          <w:color w:val="auto"/>
          <w:highlight w:val="none"/>
        </w:rPr>
      </w:pPr>
      <w:r>
        <w:rPr>
          <w:rFonts w:hint="eastAsia" w:ascii="宋体" w:hAnsi="宋体" w:cs="宋体"/>
          <w:b/>
          <w:color w:val="auto"/>
          <w:szCs w:val="21"/>
          <w:highlight w:val="none"/>
        </w:rPr>
        <w:t>注：联合体投标的，“投标人”一栏需书写所有联合体成员的单位全称，可由主办方签署、盖章。</w:t>
      </w:r>
    </w:p>
    <w:p w14:paraId="1EBFC7A2">
      <w:pPr>
        <w:pStyle w:val="3"/>
        <w:spacing w:before="0" w:after="0"/>
        <w:rPr>
          <w:rFonts w:hint="eastAsia" w:ascii="宋体" w:hAnsi="宋体" w:eastAsia="宋体" w:cs="宋体"/>
          <w:color w:val="auto"/>
          <w:highlight w:val="none"/>
          <w:lang w:val="zh-CN"/>
        </w:rPr>
      </w:pPr>
      <w:r>
        <w:rPr>
          <w:rFonts w:hint="eastAsia" w:ascii="宋体" w:hAnsi="宋体" w:eastAsia="宋体" w:cs="宋体"/>
          <w:color w:val="auto"/>
          <w:highlight w:val="none"/>
        </w:rPr>
        <w:br w:type="page"/>
      </w:r>
      <w:bookmarkStart w:id="522" w:name="_Toc3204"/>
      <w:bookmarkStart w:id="523" w:name="_Toc26059"/>
      <w:bookmarkStart w:id="524" w:name="_Toc18337"/>
      <w:bookmarkStart w:id="525" w:name="_Toc31889"/>
      <w:r>
        <w:rPr>
          <w:rFonts w:hint="eastAsia" w:ascii="宋体" w:hAnsi="宋体" w:eastAsia="宋体" w:cs="宋体"/>
          <w:color w:val="auto"/>
          <w:sz w:val="28"/>
          <w:szCs w:val="28"/>
          <w:highlight w:val="none"/>
        </w:rPr>
        <w:t>格式5：</w:t>
      </w:r>
      <w:bookmarkEnd w:id="522"/>
      <w:bookmarkEnd w:id="523"/>
      <w:bookmarkEnd w:id="524"/>
      <w:bookmarkEnd w:id="525"/>
    </w:p>
    <w:p w14:paraId="3E5A5C8E">
      <w:pPr>
        <w:autoSpaceDE w:val="0"/>
        <w:autoSpaceDN w:val="0"/>
        <w:spacing w:line="360" w:lineRule="auto"/>
        <w:jc w:val="center"/>
        <w:rPr>
          <w:rFonts w:hint="eastAsia"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项目管理团队人员信息表</w:t>
      </w:r>
    </w:p>
    <w:tbl>
      <w:tblPr>
        <w:tblStyle w:val="40"/>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293"/>
        <w:gridCol w:w="545"/>
        <w:gridCol w:w="755"/>
        <w:gridCol w:w="722"/>
        <w:gridCol w:w="722"/>
        <w:gridCol w:w="721"/>
        <w:gridCol w:w="1734"/>
        <w:gridCol w:w="1156"/>
        <w:gridCol w:w="1536"/>
      </w:tblGrid>
      <w:tr w14:paraId="23721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50" w:type="dxa"/>
            <w:tcBorders>
              <w:top w:val="single" w:color="auto" w:sz="4" w:space="0"/>
              <w:left w:val="single" w:color="auto" w:sz="4" w:space="0"/>
              <w:bottom w:val="single" w:color="auto" w:sz="4" w:space="0"/>
              <w:right w:val="single" w:color="auto" w:sz="4" w:space="0"/>
            </w:tcBorders>
            <w:vAlign w:val="center"/>
          </w:tcPr>
          <w:p w14:paraId="2B9D9119">
            <w:pPr>
              <w:pStyle w:val="96"/>
              <w:jc w:val="both"/>
              <w:rPr>
                <w:rFonts w:hint="eastAsia"/>
                <w:color w:val="auto"/>
                <w:highlight w:val="none"/>
              </w:rPr>
            </w:pPr>
            <w:r>
              <w:rPr>
                <w:rFonts w:hint="eastAsia"/>
                <w:color w:val="auto"/>
                <w:highlight w:val="none"/>
              </w:rPr>
              <w:t>序号</w:t>
            </w:r>
          </w:p>
        </w:tc>
        <w:tc>
          <w:tcPr>
            <w:tcW w:w="1293" w:type="dxa"/>
            <w:tcBorders>
              <w:top w:val="single" w:color="auto" w:sz="4" w:space="0"/>
              <w:left w:val="single" w:color="auto" w:sz="4" w:space="0"/>
              <w:bottom w:val="single" w:color="auto" w:sz="4" w:space="0"/>
              <w:right w:val="single" w:color="auto" w:sz="4" w:space="0"/>
            </w:tcBorders>
            <w:vAlign w:val="center"/>
          </w:tcPr>
          <w:p w14:paraId="56D439EE">
            <w:pPr>
              <w:pStyle w:val="96"/>
              <w:jc w:val="center"/>
              <w:rPr>
                <w:rFonts w:hint="eastAsia"/>
                <w:color w:val="auto"/>
                <w:highlight w:val="none"/>
              </w:rPr>
            </w:pPr>
            <w:r>
              <w:rPr>
                <w:rFonts w:hint="eastAsia"/>
                <w:color w:val="auto"/>
                <w:highlight w:val="none"/>
              </w:rPr>
              <w:t>姓名</w:t>
            </w:r>
          </w:p>
        </w:tc>
        <w:tc>
          <w:tcPr>
            <w:tcW w:w="545" w:type="dxa"/>
            <w:tcBorders>
              <w:top w:val="single" w:color="auto" w:sz="4" w:space="0"/>
              <w:left w:val="single" w:color="auto" w:sz="4" w:space="0"/>
              <w:bottom w:val="single" w:color="auto" w:sz="4" w:space="0"/>
              <w:right w:val="single" w:color="auto" w:sz="4" w:space="0"/>
            </w:tcBorders>
            <w:vAlign w:val="center"/>
          </w:tcPr>
          <w:p w14:paraId="26BF551A">
            <w:pPr>
              <w:pStyle w:val="96"/>
              <w:jc w:val="both"/>
              <w:rPr>
                <w:rFonts w:hint="eastAsia"/>
                <w:color w:val="auto"/>
                <w:highlight w:val="none"/>
              </w:rPr>
            </w:pPr>
            <w:r>
              <w:rPr>
                <w:rFonts w:hint="eastAsia"/>
                <w:color w:val="auto"/>
                <w:highlight w:val="none"/>
              </w:rPr>
              <w:t>性别</w:t>
            </w:r>
          </w:p>
        </w:tc>
        <w:tc>
          <w:tcPr>
            <w:tcW w:w="755" w:type="dxa"/>
            <w:tcBorders>
              <w:top w:val="single" w:color="auto" w:sz="4" w:space="0"/>
              <w:left w:val="single" w:color="auto" w:sz="4" w:space="0"/>
              <w:bottom w:val="single" w:color="auto" w:sz="4" w:space="0"/>
              <w:right w:val="single" w:color="auto" w:sz="4" w:space="0"/>
            </w:tcBorders>
            <w:vAlign w:val="center"/>
          </w:tcPr>
          <w:p w14:paraId="153080AB">
            <w:pPr>
              <w:pStyle w:val="96"/>
              <w:jc w:val="both"/>
              <w:rPr>
                <w:rFonts w:hint="eastAsia"/>
                <w:color w:val="auto"/>
                <w:highlight w:val="none"/>
              </w:rPr>
            </w:pPr>
            <w:r>
              <w:rPr>
                <w:rFonts w:hint="eastAsia"/>
                <w:color w:val="auto"/>
                <w:highlight w:val="none"/>
              </w:rPr>
              <w:t>年龄</w:t>
            </w:r>
          </w:p>
        </w:tc>
        <w:tc>
          <w:tcPr>
            <w:tcW w:w="722" w:type="dxa"/>
            <w:tcBorders>
              <w:top w:val="single" w:color="auto" w:sz="4" w:space="0"/>
              <w:left w:val="single" w:color="auto" w:sz="4" w:space="0"/>
              <w:bottom w:val="single" w:color="auto" w:sz="4" w:space="0"/>
              <w:right w:val="single" w:color="auto" w:sz="4" w:space="0"/>
            </w:tcBorders>
            <w:vAlign w:val="center"/>
          </w:tcPr>
          <w:p w14:paraId="00C4D8C5">
            <w:pPr>
              <w:pStyle w:val="96"/>
              <w:jc w:val="center"/>
              <w:rPr>
                <w:rFonts w:hint="eastAsia"/>
                <w:color w:val="auto"/>
                <w:highlight w:val="none"/>
              </w:rPr>
            </w:pPr>
            <w:r>
              <w:rPr>
                <w:rFonts w:hint="eastAsia"/>
                <w:color w:val="auto"/>
                <w:highlight w:val="none"/>
              </w:rPr>
              <w:t>岗位</w:t>
            </w:r>
          </w:p>
        </w:tc>
        <w:tc>
          <w:tcPr>
            <w:tcW w:w="722" w:type="dxa"/>
            <w:tcBorders>
              <w:top w:val="single" w:color="auto" w:sz="4" w:space="0"/>
              <w:left w:val="single" w:color="auto" w:sz="4" w:space="0"/>
              <w:bottom w:val="single" w:color="auto" w:sz="4" w:space="0"/>
              <w:right w:val="single" w:color="auto" w:sz="4" w:space="0"/>
            </w:tcBorders>
            <w:vAlign w:val="center"/>
          </w:tcPr>
          <w:p w14:paraId="1ABCBD55">
            <w:pPr>
              <w:pStyle w:val="96"/>
              <w:jc w:val="center"/>
              <w:rPr>
                <w:rFonts w:hint="eastAsia"/>
                <w:color w:val="auto"/>
                <w:highlight w:val="none"/>
              </w:rPr>
            </w:pPr>
            <w:r>
              <w:rPr>
                <w:rFonts w:hint="eastAsia"/>
                <w:color w:val="auto"/>
                <w:highlight w:val="none"/>
              </w:rPr>
              <w:t>职称</w:t>
            </w:r>
          </w:p>
        </w:tc>
        <w:tc>
          <w:tcPr>
            <w:tcW w:w="721" w:type="dxa"/>
            <w:tcBorders>
              <w:top w:val="single" w:color="auto" w:sz="4" w:space="0"/>
              <w:left w:val="single" w:color="auto" w:sz="4" w:space="0"/>
              <w:bottom w:val="single" w:color="auto" w:sz="4" w:space="0"/>
              <w:right w:val="single" w:color="auto" w:sz="4" w:space="0"/>
            </w:tcBorders>
            <w:vAlign w:val="center"/>
          </w:tcPr>
          <w:p w14:paraId="55B82F75">
            <w:pPr>
              <w:pStyle w:val="96"/>
              <w:jc w:val="center"/>
              <w:rPr>
                <w:rFonts w:hint="eastAsia"/>
                <w:color w:val="auto"/>
                <w:highlight w:val="none"/>
              </w:rPr>
            </w:pPr>
            <w:r>
              <w:rPr>
                <w:rFonts w:hint="eastAsia"/>
                <w:color w:val="auto"/>
                <w:highlight w:val="none"/>
              </w:rPr>
              <w:t>专业</w:t>
            </w:r>
          </w:p>
        </w:tc>
        <w:tc>
          <w:tcPr>
            <w:tcW w:w="1734" w:type="dxa"/>
            <w:tcBorders>
              <w:top w:val="single" w:color="auto" w:sz="4" w:space="0"/>
              <w:left w:val="single" w:color="auto" w:sz="4" w:space="0"/>
              <w:bottom w:val="single" w:color="auto" w:sz="4" w:space="0"/>
              <w:right w:val="single" w:color="auto" w:sz="4" w:space="0"/>
            </w:tcBorders>
            <w:vAlign w:val="center"/>
          </w:tcPr>
          <w:p w14:paraId="16018F15">
            <w:pPr>
              <w:pStyle w:val="96"/>
              <w:jc w:val="both"/>
              <w:rPr>
                <w:rFonts w:hint="eastAsia"/>
                <w:color w:val="auto"/>
                <w:highlight w:val="none"/>
              </w:rPr>
            </w:pPr>
            <w:r>
              <w:rPr>
                <w:rFonts w:hint="eastAsia"/>
                <w:color w:val="auto"/>
                <w:highlight w:val="none"/>
              </w:rPr>
              <w:t>职称证书或资格证书或者注册执业资格证编号</w:t>
            </w:r>
          </w:p>
        </w:tc>
        <w:tc>
          <w:tcPr>
            <w:tcW w:w="1156" w:type="dxa"/>
            <w:tcBorders>
              <w:top w:val="single" w:color="auto" w:sz="4" w:space="0"/>
              <w:left w:val="single" w:color="auto" w:sz="4" w:space="0"/>
              <w:bottom w:val="single" w:color="auto" w:sz="4" w:space="0"/>
              <w:right w:val="single" w:color="auto" w:sz="4" w:space="0"/>
            </w:tcBorders>
            <w:vAlign w:val="center"/>
          </w:tcPr>
          <w:p w14:paraId="54DAE641">
            <w:pPr>
              <w:pStyle w:val="96"/>
              <w:jc w:val="both"/>
              <w:rPr>
                <w:rFonts w:hint="eastAsia"/>
                <w:color w:val="auto"/>
                <w:highlight w:val="none"/>
              </w:rPr>
            </w:pPr>
            <w:r>
              <w:rPr>
                <w:rFonts w:hint="eastAsia"/>
                <w:color w:val="auto"/>
                <w:highlight w:val="none"/>
              </w:rPr>
              <w:t>从事工程工作年限</w:t>
            </w:r>
          </w:p>
        </w:tc>
        <w:tc>
          <w:tcPr>
            <w:tcW w:w="1536" w:type="dxa"/>
            <w:tcBorders>
              <w:top w:val="single" w:color="auto" w:sz="4" w:space="0"/>
              <w:left w:val="single" w:color="auto" w:sz="4" w:space="0"/>
              <w:bottom w:val="single" w:color="auto" w:sz="4" w:space="0"/>
              <w:right w:val="single" w:color="auto" w:sz="4" w:space="0"/>
            </w:tcBorders>
            <w:vAlign w:val="center"/>
          </w:tcPr>
          <w:p w14:paraId="6CC02C58">
            <w:pPr>
              <w:pStyle w:val="96"/>
              <w:jc w:val="both"/>
              <w:rPr>
                <w:rFonts w:hint="eastAsia"/>
                <w:color w:val="auto"/>
                <w:highlight w:val="none"/>
              </w:rPr>
            </w:pPr>
            <w:r>
              <w:rPr>
                <w:rFonts w:hint="eastAsia"/>
                <w:color w:val="auto"/>
                <w:highlight w:val="none"/>
              </w:rPr>
              <w:t>备注</w:t>
            </w:r>
          </w:p>
        </w:tc>
      </w:tr>
      <w:tr w14:paraId="7C1B6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0" w:type="dxa"/>
            <w:tcBorders>
              <w:top w:val="single" w:color="auto" w:sz="4" w:space="0"/>
              <w:left w:val="single" w:color="auto" w:sz="4" w:space="0"/>
              <w:bottom w:val="single" w:color="auto" w:sz="4" w:space="0"/>
              <w:right w:val="single" w:color="auto" w:sz="4" w:space="0"/>
            </w:tcBorders>
            <w:vAlign w:val="center"/>
          </w:tcPr>
          <w:p w14:paraId="6B32A70A">
            <w:pPr>
              <w:pStyle w:val="114"/>
              <w:adjustRightInd/>
              <w:snapToGrid/>
              <w:ind w:firstLine="496"/>
              <w:rPr>
                <w:rFonts w:hint="eastAsia" w:ascii="宋体" w:hAnsi="宋体" w:eastAsia="宋体"/>
                <w:snapToGrid w:val="0"/>
                <w:color w:val="auto"/>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14:paraId="113F2944">
            <w:pPr>
              <w:pStyle w:val="114"/>
              <w:adjustRightInd/>
              <w:snapToGrid/>
              <w:ind w:firstLine="496"/>
              <w:rPr>
                <w:rFonts w:hint="eastAsia" w:ascii="宋体" w:hAnsi="宋体" w:eastAsia="宋体"/>
                <w:snapToGrid w:val="0"/>
                <w:color w:val="auto"/>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3F1EC848">
            <w:pPr>
              <w:pStyle w:val="114"/>
              <w:adjustRightInd/>
              <w:snapToGrid/>
              <w:ind w:firstLine="496"/>
              <w:rPr>
                <w:rFonts w:hint="eastAsia" w:ascii="宋体" w:hAnsi="宋体" w:eastAsia="宋体"/>
                <w:snapToGrid w:val="0"/>
                <w:color w:val="auto"/>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1AF63CF0">
            <w:pPr>
              <w:pStyle w:val="114"/>
              <w:adjustRightInd/>
              <w:snapToGrid/>
              <w:ind w:firstLine="496"/>
              <w:rPr>
                <w:rFonts w:hint="eastAsia"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tcPr>
          <w:p w14:paraId="738C814D">
            <w:pPr>
              <w:pStyle w:val="114"/>
              <w:adjustRightInd/>
              <w:snapToGrid/>
              <w:ind w:firstLine="496"/>
              <w:rPr>
                <w:rFonts w:hint="eastAsia"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70495710">
            <w:pPr>
              <w:pStyle w:val="114"/>
              <w:adjustRightInd/>
              <w:snapToGrid/>
              <w:ind w:firstLine="496"/>
              <w:rPr>
                <w:rFonts w:hint="eastAsia" w:ascii="宋体" w:hAnsi="宋体" w:eastAsia="宋体"/>
                <w:snapToGrid w:val="0"/>
                <w:color w:val="auto"/>
                <w:highlight w:val="none"/>
              </w:rPr>
            </w:pPr>
          </w:p>
        </w:tc>
        <w:tc>
          <w:tcPr>
            <w:tcW w:w="721" w:type="dxa"/>
            <w:tcBorders>
              <w:top w:val="single" w:color="auto" w:sz="4" w:space="0"/>
              <w:left w:val="single" w:color="auto" w:sz="4" w:space="0"/>
              <w:bottom w:val="single" w:color="auto" w:sz="4" w:space="0"/>
              <w:right w:val="single" w:color="auto" w:sz="4" w:space="0"/>
            </w:tcBorders>
            <w:vAlign w:val="center"/>
          </w:tcPr>
          <w:p w14:paraId="489DF6D3">
            <w:pPr>
              <w:pStyle w:val="114"/>
              <w:adjustRightInd/>
              <w:snapToGrid/>
              <w:ind w:firstLine="496"/>
              <w:rPr>
                <w:rFonts w:hint="eastAsia" w:ascii="宋体" w:hAnsi="宋体" w:eastAsia="宋体"/>
                <w:snapToGrid w:val="0"/>
                <w:color w:val="auto"/>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14:paraId="6F12D9C9">
            <w:pPr>
              <w:pStyle w:val="114"/>
              <w:adjustRightInd/>
              <w:snapToGrid/>
              <w:ind w:firstLine="496"/>
              <w:rPr>
                <w:rFonts w:hint="eastAsia" w:ascii="宋体" w:hAnsi="宋体" w:eastAsia="宋体"/>
                <w:snapToGrid w:val="0"/>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14:paraId="4139EBC1">
            <w:pPr>
              <w:pStyle w:val="114"/>
              <w:adjustRightInd/>
              <w:snapToGrid/>
              <w:ind w:firstLine="496"/>
              <w:rPr>
                <w:rFonts w:hint="eastAsia" w:ascii="宋体" w:hAnsi="宋体" w:eastAsia="宋体"/>
                <w:snapToGrid w:val="0"/>
                <w:color w:val="auto"/>
                <w:highlight w:val="none"/>
              </w:rPr>
            </w:pPr>
          </w:p>
        </w:tc>
        <w:tc>
          <w:tcPr>
            <w:tcW w:w="1536" w:type="dxa"/>
            <w:tcBorders>
              <w:top w:val="single" w:color="auto" w:sz="4" w:space="0"/>
              <w:left w:val="single" w:color="auto" w:sz="4" w:space="0"/>
              <w:bottom w:val="single" w:color="auto" w:sz="4" w:space="0"/>
              <w:right w:val="single" w:color="auto" w:sz="4" w:space="0"/>
            </w:tcBorders>
          </w:tcPr>
          <w:p w14:paraId="66162F24">
            <w:pPr>
              <w:pStyle w:val="114"/>
              <w:adjustRightInd/>
              <w:snapToGrid/>
              <w:ind w:firstLine="496"/>
              <w:rPr>
                <w:rFonts w:hint="eastAsia" w:ascii="宋体" w:hAnsi="宋体" w:eastAsia="宋体"/>
                <w:snapToGrid w:val="0"/>
                <w:color w:val="auto"/>
                <w:highlight w:val="none"/>
              </w:rPr>
            </w:pPr>
          </w:p>
        </w:tc>
      </w:tr>
      <w:tr w14:paraId="78291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0" w:type="dxa"/>
            <w:tcBorders>
              <w:top w:val="single" w:color="auto" w:sz="4" w:space="0"/>
              <w:left w:val="single" w:color="auto" w:sz="4" w:space="0"/>
              <w:bottom w:val="single" w:color="auto" w:sz="4" w:space="0"/>
              <w:right w:val="single" w:color="auto" w:sz="4" w:space="0"/>
            </w:tcBorders>
            <w:vAlign w:val="center"/>
          </w:tcPr>
          <w:p w14:paraId="41F3F595">
            <w:pPr>
              <w:pStyle w:val="114"/>
              <w:adjustRightInd/>
              <w:snapToGrid/>
              <w:ind w:firstLine="496"/>
              <w:rPr>
                <w:rFonts w:hint="eastAsia" w:ascii="宋体" w:hAnsi="宋体" w:eastAsia="宋体"/>
                <w:snapToGrid w:val="0"/>
                <w:color w:val="auto"/>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14:paraId="47213004">
            <w:pPr>
              <w:pStyle w:val="114"/>
              <w:adjustRightInd/>
              <w:snapToGrid/>
              <w:ind w:firstLine="496"/>
              <w:rPr>
                <w:rFonts w:hint="eastAsia" w:ascii="宋体" w:hAnsi="宋体" w:eastAsia="宋体"/>
                <w:snapToGrid w:val="0"/>
                <w:color w:val="auto"/>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5F3BEFF4">
            <w:pPr>
              <w:pStyle w:val="114"/>
              <w:adjustRightInd/>
              <w:snapToGrid/>
              <w:ind w:firstLine="496"/>
              <w:rPr>
                <w:rFonts w:hint="eastAsia" w:ascii="宋体" w:hAnsi="宋体" w:eastAsia="宋体"/>
                <w:snapToGrid w:val="0"/>
                <w:color w:val="auto"/>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19715011">
            <w:pPr>
              <w:pStyle w:val="114"/>
              <w:adjustRightInd/>
              <w:snapToGrid/>
              <w:ind w:firstLine="496"/>
              <w:rPr>
                <w:rFonts w:hint="eastAsia"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tcPr>
          <w:p w14:paraId="2B194949">
            <w:pPr>
              <w:pStyle w:val="114"/>
              <w:adjustRightInd/>
              <w:snapToGrid/>
              <w:ind w:firstLine="496"/>
              <w:rPr>
                <w:rFonts w:hint="eastAsia"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041D3656">
            <w:pPr>
              <w:pStyle w:val="114"/>
              <w:adjustRightInd/>
              <w:snapToGrid/>
              <w:ind w:firstLine="496"/>
              <w:rPr>
                <w:rFonts w:hint="eastAsia" w:ascii="宋体" w:hAnsi="宋体" w:eastAsia="宋体"/>
                <w:snapToGrid w:val="0"/>
                <w:color w:val="auto"/>
                <w:highlight w:val="none"/>
              </w:rPr>
            </w:pPr>
          </w:p>
        </w:tc>
        <w:tc>
          <w:tcPr>
            <w:tcW w:w="721" w:type="dxa"/>
            <w:tcBorders>
              <w:top w:val="single" w:color="auto" w:sz="4" w:space="0"/>
              <w:left w:val="single" w:color="auto" w:sz="4" w:space="0"/>
              <w:bottom w:val="single" w:color="auto" w:sz="4" w:space="0"/>
              <w:right w:val="single" w:color="auto" w:sz="4" w:space="0"/>
            </w:tcBorders>
            <w:vAlign w:val="center"/>
          </w:tcPr>
          <w:p w14:paraId="6FBA3949">
            <w:pPr>
              <w:pStyle w:val="114"/>
              <w:adjustRightInd/>
              <w:snapToGrid/>
              <w:ind w:firstLine="496"/>
              <w:rPr>
                <w:rFonts w:hint="eastAsia" w:ascii="宋体" w:hAnsi="宋体" w:eastAsia="宋体"/>
                <w:snapToGrid w:val="0"/>
                <w:color w:val="auto"/>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14:paraId="5634A0A0">
            <w:pPr>
              <w:pStyle w:val="114"/>
              <w:adjustRightInd/>
              <w:snapToGrid/>
              <w:ind w:firstLine="496"/>
              <w:rPr>
                <w:rFonts w:hint="eastAsia" w:ascii="宋体" w:hAnsi="宋体" w:eastAsia="宋体"/>
                <w:snapToGrid w:val="0"/>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14:paraId="3C0304C0">
            <w:pPr>
              <w:pStyle w:val="114"/>
              <w:adjustRightInd/>
              <w:snapToGrid/>
              <w:ind w:firstLine="496"/>
              <w:rPr>
                <w:rFonts w:hint="eastAsia" w:ascii="宋体" w:hAnsi="宋体" w:eastAsia="宋体"/>
                <w:snapToGrid w:val="0"/>
                <w:color w:val="auto"/>
                <w:highlight w:val="none"/>
              </w:rPr>
            </w:pPr>
          </w:p>
        </w:tc>
        <w:tc>
          <w:tcPr>
            <w:tcW w:w="1536" w:type="dxa"/>
            <w:tcBorders>
              <w:top w:val="single" w:color="auto" w:sz="4" w:space="0"/>
              <w:left w:val="single" w:color="auto" w:sz="4" w:space="0"/>
              <w:bottom w:val="single" w:color="auto" w:sz="4" w:space="0"/>
              <w:right w:val="single" w:color="auto" w:sz="4" w:space="0"/>
            </w:tcBorders>
          </w:tcPr>
          <w:p w14:paraId="5AD9FF6F">
            <w:pPr>
              <w:pStyle w:val="114"/>
              <w:adjustRightInd/>
              <w:snapToGrid/>
              <w:ind w:firstLine="496"/>
              <w:rPr>
                <w:rFonts w:hint="eastAsia" w:ascii="宋体" w:hAnsi="宋体" w:eastAsia="宋体"/>
                <w:snapToGrid w:val="0"/>
                <w:color w:val="auto"/>
                <w:highlight w:val="none"/>
              </w:rPr>
            </w:pPr>
          </w:p>
        </w:tc>
      </w:tr>
      <w:tr w14:paraId="4EBBE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0" w:type="dxa"/>
            <w:tcBorders>
              <w:top w:val="single" w:color="auto" w:sz="4" w:space="0"/>
              <w:left w:val="single" w:color="auto" w:sz="4" w:space="0"/>
              <w:bottom w:val="single" w:color="auto" w:sz="4" w:space="0"/>
              <w:right w:val="single" w:color="auto" w:sz="4" w:space="0"/>
            </w:tcBorders>
            <w:vAlign w:val="center"/>
          </w:tcPr>
          <w:p w14:paraId="5C3024D8">
            <w:pPr>
              <w:pStyle w:val="114"/>
              <w:adjustRightInd/>
              <w:snapToGrid/>
              <w:ind w:firstLine="496"/>
              <w:rPr>
                <w:rFonts w:hint="eastAsia" w:ascii="宋体" w:hAnsi="宋体" w:eastAsia="宋体"/>
                <w:snapToGrid w:val="0"/>
                <w:color w:val="auto"/>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14:paraId="3E024F01">
            <w:pPr>
              <w:pStyle w:val="114"/>
              <w:adjustRightInd/>
              <w:snapToGrid/>
              <w:ind w:firstLine="496"/>
              <w:rPr>
                <w:rFonts w:hint="eastAsia" w:ascii="宋体" w:hAnsi="宋体" w:eastAsia="宋体"/>
                <w:snapToGrid w:val="0"/>
                <w:color w:val="auto"/>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799DBFB6">
            <w:pPr>
              <w:pStyle w:val="114"/>
              <w:adjustRightInd/>
              <w:snapToGrid/>
              <w:ind w:firstLine="496"/>
              <w:rPr>
                <w:rFonts w:hint="eastAsia" w:ascii="宋体" w:hAnsi="宋体" w:eastAsia="宋体"/>
                <w:snapToGrid w:val="0"/>
                <w:color w:val="auto"/>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33D0ADF7">
            <w:pPr>
              <w:pStyle w:val="114"/>
              <w:adjustRightInd/>
              <w:snapToGrid/>
              <w:ind w:firstLine="496"/>
              <w:rPr>
                <w:rFonts w:hint="eastAsia"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tcPr>
          <w:p w14:paraId="67AEB884">
            <w:pPr>
              <w:pStyle w:val="114"/>
              <w:adjustRightInd/>
              <w:snapToGrid/>
              <w:ind w:firstLine="496"/>
              <w:rPr>
                <w:rFonts w:hint="eastAsia"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34E98D59">
            <w:pPr>
              <w:pStyle w:val="114"/>
              <w:adjustRightInd/>
              <w:snapToGrid/>
              <w:ind w:firstLine="496"/>
              <w:rPr>
                <w:rFonts w:hint="eastAsia" w:ascii="宋体" w:hAnsi="宋体" w:eastAsia="宋体"/>
                <w:snapToGrid w:val="0"/>
                <w:color w:val="auto"/>
                <w:highlight w:val="none"/>
              </w:rPr>
            </w:pPr>
          </w:p>
        </w:tc>
        <w:tc>
          <w:tcPr>
            <w:tcW w:w="721" w:type="dxa"/>
            <w:tcBorders>
              <w:top w:val="single" w:color="auto" w:sz="4" w:space="0"/>
              <w:left w:val="single" w:color="auto" w:sz="4" w:space="0"/>
              <w:bottom w:val="single" w:color="auto" w:sz="4" w:space="0"/>
              <w:right w:val="single" w:color="auto" w:sz="4" w:space="0"/>
            </w:tcBorders>
            <w:vAlign w:val="center"/>
          </w:tcPr>
          <w:p w14:paraId="7EE070A9">
            <w:pPr>
              <w:pStyle w:val="114"/>
              <w:adjustRightInd/>
              <w:snapToGrid/>
              <w:ind w:firstLine="496"/>
              <w:rPr>
                <w:rFonts w:hint="eastAsia" w:ascii="宋体" w:hAnsi="宋体" w:eastAsia="宋体"/>
                <w:snapToGrid w:val="0"/>
                <w:color w:val="auto"/>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14:paraId="034F01BA">
            <w:pPr>
              <w:pStyle w:val="114"/>
              <w:adjustRightInd/>
              <w:snapToGrid/>
              <w:ind w:firstLine="496"/>
              <w:rPr>
                <w:rFonts w:hint="eastAsia" w:ascii="宋体" w:hAnsi="宋体" w:eastAsia="宋体"/>
                <w:snapToGrid w:val="0"/>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14:paraId="0901F9A4">
            <w:pPr>
              <w:pStyle w:val="114"/>
              <w:adjustRightInd/>
              <w:snapToGrid/>
              <w:ind w:firstLine="496"/>
              <w:rPr>
                <w:rFonts w:hint="eastAsia" w:ascii="宋体" w:hAnsi="宋体" w:eastAsia="宋体"/>
                <w:snapToGrid w:val="0"/>
                <w:color w:val="auto"/>
                <w:highlight w:val="none"/>
              </w:rPr>
            </w:pPr>
          </w:p>
        </w:tc>
        <w:tc>
          <w:tcPr>
            <w:tcW w:w="1536" w:type="dxa"/>
            <w:tcBorders>
              <w:top w:val="single" w:color="auto" w:sz="4" w:space="0"/>
              <w:left w:val="single" w:color="auto" w:sz="4" w:space="0"/>
              <w:bottom w:val="single" w:color="auto" w:sz="4" w:space="0"/>
              <w:right w:val="single" w:color="auto" w:sz="4" w:space="0"/>
            </w:tcBorders>
          </w:tcPr>
          <w:p w14:paraId="2BD2BD7B">
            <w:pPr>
              <w:pStyle w:val="114"/>
              <w:adjustRightInd/>
              <w:snapToGrid/>
              <w:ind w:firstLine="496"/>
              <w:rPr>
                <w:rFonts w:hint="eastAsia" w:ascii="宋体" w:hAnsi="宋体" w:eastAsia="宋体"/>
                <w:snapToGrid w:val="0"/>
                <w:color w:val="auto"/>
                <w:highlight w:val="none"/>
              </w:rPr>
            </w:pPr>
          </w:p>
        </w:tc>
      </w:tr>
      <w:tr w14:paraId="54DF6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0" w:type="dxa"/>
            <w:tcBorders>
              <w:top w:val="single" w:color="auto" w:sz="4" w:space="0"/>
              <w:left w:val="single" w:color="auto" w:sz="4" w:space="0"/>
              <w:bottom w:val="single" w:color="auto" w:sz="4" w:space="0"/>
              <w:right w:val="single" w:color="auto" w:sz="4" w:space="0"/>
            </w:tcBorders>
            <w:vAlign w:val="center"/>
          </w:tcPr>
          <w:p w14:paraId="1A3E821D">
            <w:pPr>
              <w:pStyle w:val="114"/>
              <w:adjustRightInd/>
              <w:snapToGrid/>
              <w:ind w:firstLine="496"/>
              <w:rPr>
                <w:rFonts w:hint="eastAsia" w:ascii="宋体" w:hAnsi="宋体" w:eastAsia="宋体"/>
                <w:snapToGrid w:val="0"/>
                <w:color w:val="auto"/>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14:paraId="6B1256DE">
            <w:pPr>
              <w:pStyle w:val="114"/>
              <w:adjustRightInd/>
              <w:snapToGrid/>
              <w:ind w:firstLine="496"/>
              <w:rPr>
                <w:rFonts w:hint="eastAsia" w:ascii="宋体" w:hAnsi="宋体" w:eastAsia="宋体"/>
                <w:snapToGrid w:val="0"/>
                <w:color w:val="auto"/>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399B75AA">
            <w:pPr>
              <w:pStyle w:val="114"/>
              <w:adjustRightInd/>
              <w:snapToGrid/>
              <w:ind w:firstLine="496"/>
              <w:rPr>
                <w:rFonts w:hint="eastAsia" w:ascii="宋体" w:hAnsi="宋体" w:eastAsia="宋体"/>
                <w:snapToGrid w:val="0"/>
                <w:color w:val="auto"/>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1BFDCDB5">
            <w:pPr>
              <w:pStyle w:val="114"/>
              <w:adjustRightInd/>
              <w:snapToGrid/>
              <w:ind w:firstLine="496"/>
              <w:rPr>
                <w:rFonts w:hint="eastAsia"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tcPr>
          <w:p w14:paraId="72C94F26">
            <w:pPr>
              <w:pStyle w:val="114"/>
              <w:adjustRightInd/>
              <w:snapToGrid/>
              <w:ind w:firstLine="496"/>
              <w:rPr>
                <w:rFonts w:hint="eastAsia"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2FEE6010">
            <w:pPr>
              <w:pStyle w:val="114"/>
              <w:adjustRightInd/>
              <w:snapToGrid/>
              <w:ind w:firstLine="496"/>
              <w:rPr>
                <w:rFonts w:hint="eastAsia" w:ascii="宋体" w:hAnsi="宋体" w:eastAsia="宋体"/>
                <w:snapToGrid w:val="0"/>
                <w:color w:val="auto"/>
                <w:highlight w:val="none"/>
              </w:rPr>
            </w:pPr>
          </w:p>
        </w:tc>
        <w:tc>
          <w:tcPr>
            <w:tcW w:w="721" w:type="dxa"/>
            <w:tcBorders>
              <w:top w:val="single" w:color="auto" w:sz="4" w:space="0"/>
              <w:left w:val="single" w:color="auto" w:sz="4" w:space="0"/>
              <w:bottom w:val="single" w:color="auto" w:sz="4" w:space="0"/>
              <w:right w:val="single" w:color="auto" w:sz="4" w:space="0"/>
            </w:tcBorders>
            <w:vAlign w:val="center"/>
          </w:tcPr>
          <w:p w14:paraId="66E81802">
            <w:pPr>
              <w:pStyle w:val="114"/>
              <w:adjustRightInd/>
              <w:snapToGrid/>
              <w:ind w:firstLine="496"/>
              <w:rPr>
                <w:rFonts w:hint="eastAsia" w:ascii="宋体" w:hAnsi="宋体" w:eastAsia="宋体"/>
                <w:snapToGrid w:val="0"/>
                <w:color w:val="auto"/>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14:paraId="70EDE887">
            <w:pPr>
              <w:pStyle w:val="114"/>
              <w:adjustRightInd/>
              <w:snapToGrid/>
              <w:ind w:firstLine="496"/>
              <w:rPr>
                <w:rFonts w:hint="eastAsia" w:ascii="宋体" w:hAnsi="宋体" w:eastAsia="宋体"/>
                <w:snapToGrid w:val="0"/>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14:paraId="71FE8125">
            <w:pPr>
              <w:pStyle w:val="114"/>
              <w:adjustRightInd/>
              <w:snapToGrid/>
              <w:ind w:firstLine="496"/>
              <w:rPr>
                <w:rFonts w:hint="eastAsia" w:ascii="宋体" w:hAnsi="宋体" w:eastAsia="宋体"/>
                <w:snapToGrid w:val="0"/>
                <w:color w:val="auto"/>
                <w:highlight w:val="none"/>
              </w:rPr>
            </w:pPr>
          </w:p>
        </w:tc>
        <w:tc>
          <w:tcPr>
            <w:tcW w:w="1536" w:type="dxa"/>
            <w:tcBorders>
              <w:top w:val="single" w:color="auto" w:sz="4" w:space="0"/>
              <w:left w:val="single" w:color="auto" w:sz="4" w:space="0"/>
              <w:bottom w:val="single" w:color="auto" w:sz="4" w:space="0"/>
              <w:right w:val="single" w:color="auto" w:sz="4" w:space="0"/>
            </w:tcBorders>
          </w:tcPr>
          <w:p w14:paraId="4BAD5D41">
            <w:pPr>
              <w:pStyle w:val="114"/>
              <w:adjustRightInd/>
              <w:snapToGrid/>
              <w:ind w:firstLine="496"/>
              <w:rPr>
                <w:rFonts w:hint="eastAsia" w:ascii="宋体" w:hAnsi="宋体" w:eastAsia="宋体"/>
                <w:snapToGrid w:val="0"/>
                <w:color w:val="auto"/>
                <w:highlight w:val="none"/>
              </w:rPr>
            </w:pPr>
          </w:p>
        </w:tc>
      </w:tr>
      <w:tr w14:paraId="7EB18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0" w:type="dxa"/>
            <w:tcBorders>
              <w:top w:val="single" w:color="auto" w:sz="4" w:space="0"/>
              <w:left w:val="single" w:color="auto" w:sz="4" w:space="0"/>
              <w:bottom w:val="single" w:color="auto" w:sz="4" w:space="0"/>
              <w:right w:val="single" w:color="auto" w:sz="4" w:space="0"/>
            </w:tcBorders>
            <w:vAlign w:val="center"/>
          </w:tcPr>
          <w:p w14:paraId="198C87EB">
            <w:pPr>
              <w:pStyle w:val="114"/>
              <w:adjustRightInd/>
              <w:snapToGrid/>
              <w:ind w:firstLine="496"/>
              <w:rPr>
                <w:rFonts w:hint="eastAsia" w:ascii="宋体" w:hAnsi="宋体" w:eastAsia="宋体"/>
                <w:snapToGrid w:val="0"/>
                <w:color w:val="auto"/>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14:paraId="3F46F9E5">
            <w:pPr>
              <w:pStyle w:val="114"/>
              <w:adjustRightInd/>
              <w:snapToGrid/>
              <w:ind w:firstLine="496"/>
              <w:rPr>
                <w:rFonts w:hint="eastAsia" w:ascii="宋体" w:hAnsi="宋体" w:eastAsia="宋体"/>
                <w:snapToGrid w:val="0"/>
                <w:color w:val="auto"/>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20ED9086">
            <w:pPr>
              <w:pStyle w:val="114"/>
              <w:adjustRightInd/>
              <w:snapToGrid/>
              <w:ind w:firstLine="496"/>
              <w:rPr>
                <w:rFonts w:hint="eastAsia" w:ascii="宋体" w:hAnsi="宋体" w:eastAsia="宋体"/>
                <w:snapToGrid w:val="0"/>
                <w:color w:val="auto"/>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54CE1F59">
            <w:pPr>
              <w:pStyle w:val="114"/>
              <w:adjustRightInd/>
              <w:snapToGrid/>
              <w:ind w:firstLine="496"/>
              <w:rPr>
                <w:rFonts w:hint="eastAsia"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tcPr>
          <w:p w14:paraId="02957BCB">
            <w:pPr>
              <w:pStyle w:val="114"/>
              <w:adjustRightInd/>
              <w:snapToGrid/>
              <w:ind w:firstLine="496"/>
              <w:rPr>
                <w:rFonts w:hint="eastAsia"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3BBAC1C9">
            <w:pPr>
              <w:pStyle w:val="114"/>
              <w:adjustRightInd/>
              <w:snapToGrid/>
              <w:ind w:firstLine="496"/>
              <w:rPr>
                <w:rFonts w:hint="eastAsia" w:ascii="宋体" w:hAnsi="宋体" w:eastAsia="宋体"/>
                <w:snapToGrid w:val="0"/>
                <w:color w:val="auto"/>
                <w:highlight w:val="none"/>
              </w:rPr>
            </w:pPr>
          </w:p>
        </w:tc>
        <w:tc>
          <w:tcPr>
            <w:tcW w:w="721" w:type="dxa"/>
            <w:tcBorders>
              <w:top w:val="single" w:color="auto" w:sz="4" w:space="0"/>
              <w:left w:val="single" w:color="auto" w:sz="4" w:space="0"/>
              <w:bottom w:val="single" w:color="auto" w:sz="4" w:space="0"/>
              <w:right w:val="single" w:color="auto" w:sz="4" w:space="0"/>
            </w:tcBorders>
            <w:vAlign w:val="center"/>
          </w:tcPr>
          <w:p w14:paraId="06A907DA">
            <w:pPr>
              <w:pStyle w:val="114"/>
              <w:adjustRightInd/>
              <w:snapToGrid/>
              <w:ind w:firstLine="496"/>
              <w:rPr>
                <w:rFonts w:hint="eastAsia" w:ascii="宋体" w:hAnsi="宋体" w:eastAsia="宋体"/>
                <w:snapToGrid w:val="0"/>
                <w:color w:val="auto"/>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14:paraId="1D9EF9C8">
            <w:pPr>
              <w:pStyle w:val="114"/>
              <w:adjustRightInd/>
              <w:snapToGrid/>
              <w:ind w:firstLine="496"/>
              <w:rPr>
                <w:rFonts w:hint="eastAsia" w:ascii="宋体" w:hAnsi="宋体" w:eastAsia="宋体"/>
                <w:snapToGrid w:val="0"/>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14:paraId="76E14159">
            <w:pPr>
              <w:pStyle w:val="114"/>
              <w:adjustRightInd/>
              <w:snapToGrid/>
              <w:ind w:firstLine="496"/>
              <w:rPr>
                <w:rFonts w:hint="eastAsia" w:ascii="宋体" w:hAnsi="宋体" w:eastAsia="宋体"/>
                <w:snapToGrid w:val="0"/>
                <w:color w:val="auto"/>
                <w:highlight w:val="none"/>
              </w:rPr>
            </w:pPr>
          </w:p>
        </w:tc>
        <w:tc>
          <w:tcPr>
            <w:tcW w:w="1536" w:type="dxa"/>
            <w:tcBorders>
              <w:top w:val="single" w:color="auto" w:sz="4" w:space="0"/>
              <w:left w:val="single" w:color="auto" w:sz="4" w:space="0"/>
              <w:bottom w:val="single" w:color="auto" w:sz="4" w:space="0"/>
              <w:right w:val="single" w:color="auto" w:sz="4" w:space="0"/>
            </w:tcBorders>
          </w:tcPr>
          <w:p w14:paraId="3A94EF6A">
            <w:pPr>
              <w:pStyle w:val="114"/>
              <w:adjustRightInd/>
              <w:snapToGrid/>
              <w:ind w:firstLine="496"/>
              <w:rPr>
                <w:rFonts w:hint="eastAsia" w:ascii="宋体" w:hAnsi="宋体" w:eastAsia="宋体"/>
                <w:snapToGrid w:val="0"/>
                <w:color w:val="auto"/>
                <w:highlight w:val="none"/>
              </w:rPr>
            </w:pPr>
          </w:p>
        </w:tc>
      </w:tr>
      <w:tr w14:paraId="7E684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0" w:type="dxa"/>
            <w:tcBorders>
              <w:top w:val="single" w:color="auto" w:sz="4" w:space="0"/>
              <w:left w:val="single" w:color="auto" w:sz="4" w:space="0"/>
              <w:bottom w:val="single" w:color="auto" w:sz="4" w:space="0"/>
              <w:right w:val="single" w:color="auto" w:sz="4" w:space="0"/>
            </w:tcBorders>
            <w:vAlign w:val="center"/>
          </w:tcPr>
          <w:p w14:paraId="7BAA2873">
            <w:pPr>
              <w:pStyle w:val="114"/>
              <w:adjustRightInd/>
              <w:snapToGrid/>
              <w:ind w:firstLine="496"/>
              <w:rPr>
                <w:rFonts w:hint="eastAsia" w:ascii="宋体" w:hAnsi="宋体" w:eastAsia="宋体"/>
                <w:snapToGrid w:val="0"/>
                <w:color w:val="auto"/>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14:paraId="49DECA46">
            <w:pPr>
              <w:pStyle w:val="114"/>
              <w:adjustRightInd/>
              <w:snapToGrid/>
              <w:ind w:firstLine="496"/>
              <w:rPr>
                <w:rFonts w:hint="eastAsia" w:ascii="宋体" w:hAnsi="宋体" w:eastAsia="宋体"/>
                <w:snapToGrid w:val="0"/>
                <w:color w:val="auto"/>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0302BB12">
            <w:pPr>
              <w:pStyle w:val="114"/>
              <w:adjustRightInd/>
              <w:snapToGrid/>
              <w:ind w:firstLine="496"/>
              <w:rPr>
                <w:rFonts w:hint="eastAsia" w:ascii="宋体" w:hAnsi="宋体" w:eastAsia="宋体"/>
                <w:snapToGrid w:val="0"/>
                <w:color w:val="auto"/>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1ACF5AA3">
            <w:pPr>
              <w:pStyle w:val="114"/>
              <w:adjustRightInd/>
              <w:snapToGrid/>
              <w:ind w:firstLine="496"/>
              <w:rPr>
                <w:rFonts w:hint="eastAsia"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tcPr>
          <w:p w14:paraId="1FD4E26E">
            <w:pPr>
              <w:pStyle w:val="114"/>
              <w:adjustRightInd/>
              <w:snapToGrid/>
              <w:ind w:firstLine="496"/>
              <w:rPr>
                <w:rFonts w:hint="eastAsia"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44FF5DD1">
            <w:pPr>
              <w:pStyle w:val="114"/>
              <w:adjustRightInd/>
              <w:snapToGrid/>
              <w:ind w:firstLine="496"/>
              <w:rPr>
                <w:rFonts w:hint="eastAsia" w:ascii="宋体" w:hAnsi="宋体" w:eastAsia="宋体"/>
                <w:snapToGrid w:val="0"/>
                <w:color w:val="auto"/>
                <w:highlight w:val="none"/>
              </w:rPr>
            </w:pPr>
          </w:p>
        </w:tc>
        <w:tc>
          <w:tcPr>
            <w:tcW w:w="721" w:type="dxa"/>
            <w:tcBorders>
              <w:top w:val="single" w:color="auto" w:sz="4" w:space="0"/>
              <w:left w:val="single" w:color="auto" w:sz="4" w:space="0"/>
              <w:bottom w:val="single" w:color="auto" w:sz="4" w:space="0"/>
              <w:right w:val="single" w:color="auto" w:sz="4" w:space="0"/>
            </w:tcBorders>
            <w:vAlign w:val="center"/>
          </w:tcPr>
          <w:p w14:paraId="13BEFC30">
            <w:pPr>
              <w:pStyle w:val="114"/>
              <w:adjustRightInd/>
              <w:snapToGrid/>
              <w:ind w:firstLine="496"/>
              <w:rPr>
                <w:rFonts w:hint="eastAsia" w:ascii="宋体" w:hAnsi="宋体" w:eastAsia="宋体"/>
                <w:snapToGrid w:val="0"/>
                <w:color w:val="auto"/>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14:paraId="20DD6813">
            <w:pPr>
              <w:pStyle w:val="114"/>
              <w:adjustRightInd/>
              <w:snapToGrid/>
              <w:ind w:firstLine="496"/>
              <w:rPr>
                <w:rFonts w:hint="eastAsia" w:ascii="宋体" w:hAnsi="宋体" w:eastAsia="宋体"/>
                <w:snapToGrid w:val="0"/>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14:paraId="68EE61F0">
            <w:pPr>
              <w:pStyle w:val="114"/>
              <w:adjustRightInd/>
              <w:snapToGrid/>
              <w:ind w:firstLine="496"/>
              <w:rPr>
                <w:rFonts w:hint="eastAsia" w:ascii="宋体" w:hAnsi="宋体" w:eastAsia="宋体"/>
                <w:snapToGrid w:val="0"/>
                <w:color w:val="auto"/>
                <w:highlight w:val="none"/>
              </w:rPr>
            </w:pPr>
          </w:p>
        </w:tc>
        <w:tc>
          <w:tcPr>
            <w:tcW w:w="1536" w:type="dxa"/>
            <w:tcBorders>
              <w:top w:val="single" w:color="auto" w:sz="4" w:space="0"/>
              <w:left w:val="single" w:color="auto" w:sz="4" w:space="0"/>
              <w:bottom w:val="single" w:color="auto" w:sz="4" w:space="0"/>
              <w:right w:val="single" w:color="auto" w:sz="4" w:space="0"/>
            </w:tcBorders>
          </w:tcPr>
          <w:p w14:paraId="1C302781">
            <w:pPr>
              <w:pStyle w:val="114"/>
              <w:adjustRightInd/>
              <w:snapToGrid/>
              <w:ind w:firstLine="496"/>
              <w:rPr>
                <w:rFonts w:hint="eastAsia" w:ascii="宋体" w:hAnsi="宋体" w:eastAsia="宋体"/>
                <w:snapToGrid w:val="0"/>
                <w:color w:val="auto"/>
                <w:highlight w:val="none"/>
              </w:rPr>
            </w:pPr>
          </w:p>
        </w:tc>
      </w:tr>
      <w:tr w14:paraId="782E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0" w:type="dxa"/>
            <w:tcBorders>
              <w:top w:val="single" w:color="auto" w:sz="4" w:space="0"/>
              <w:left w:val="single" w:color="auto" w:sz="4" w:space="0"/>
              <w:bottom w:val="single" w:color="auto" w:sz="4" w:space="0"/>
              <w:right w:val="single" w:color="auto" w:sz="4" w:space="0"/>
            </w:tcBorders>
            <w:vAlign w:val="center"/>
          </w:tcPr>
          <w:p w14:paraId="01A85E33">
            <w:pPr>
              <w:pStyle w:val="114"/>
              <w:adjustRightInd/>
              <w:snapToGrid/>
              <w:ind w:firstLine="496"/>
              <w:rPr>
                <w:rFonts w:hint="eastAsia" w:ascii="宋体" w:hAnsi="宋体" w:eastAsia="宋体"/>
                <w:snapToGrid w:val="0"/>
                <w:color w:val="auto"/>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14:paraId="33327EC1">
            <w:pPr>
              <w:pStyle w:val="114"/>
              <w:adjustRightInd/>
              <w:snapToGrid/>
              <w:ind w:firstLine="496"/>
              <w:rPr>
                <w:rFonts w:hint="eastAsia" w:ascii="宋体" w:hAnsi="宋体" w:eastAsia="宋体"/>
                <w:snapToGrid w:val="0"/>
                <w:color w:val="auto"/>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33357CBE">
            <w:pPr>
              <w:pStyle w:val="114"/>
              <w:adjustRightInd/>
              <w:snapToGrid/>
              <w:ind w:firstLine="496"/>
              <w:rPr>
                <w:rFonts w:hint="eastAsia" w:ascii="宋体" w:hAnsi="宋体" w:eastAsia="宋体"/>
                <w:snapToGrid w:val="0"/>
                <w:color w:val="auto"/>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25FF6712">
            <w:pPr>
              <w:pStyle w:val="114"/>
              <w:adjustRightInd/>
              <w:snapToGrid/>
              <w:ind w:firstLine="496"/>
              <w:rPr>
                <w:rFonts w:hint="eastAsia"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tcPr>
          <w:p w14:paraId="5221D7CC">
            <w:pPr>
              <w:pStyle w:val="114"/>
              <w:adjustRightInd/>
              <w:snapToGrid/>
              <w:ind w:firstLine="496"/>
              <w:rPr>
                <w:rFonts w:hint="eastAsia"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77607C6B">
            <w:pPr>
              <w:pStyle w:val="114"/>
              <w:adjustRightInd/>
              <w:snapToGrid/>
              <w:ind w:firstLine="496"/>
              <w:rPr>
                <w:rFonts w:hint="eastAsia" w:ascii="宋体" w:hAnsi="宋体" w:eastAsia="宋体"/>
                <w:snapToGrid w:val="0"/>
                <w:color w:val="auto"/>
                <w:highlight w:val="none"/>
              </w:rPr>
            </w:pPr>
          </w:p>
        </w:tc>
        <w:tc>
          <w:tcPr>
            <w:tcW w:w="721" w:type="dxa"/>
            <w:tcBorders>
              <w:top w:val="single" w:color="auto" w:sz="4" w:space="0"/>
              <w:left w:val="single" w:color="auto" w:sz="4" w:space="0"/>
              <w:bottom w:val="single" w:color="auto" w:sz="4" w:space="0"/>
              <w:right w:val="single" w:color="auto" w:sz="4" w:space="0"/>
            </w:tcBorders>
            <w:vAlign w:val="center"/>
          </w:tcPr>
          <w:p w14:paraId="4B920C28">
            <w:pPr>
              <w:pStyle w:val="114"/>
              <w:adjustRightInd/>
              <w:snapToGrid/>
              <w:ind w:firstLine="496"/>
              <w:rPr>
                <w:rFonts w:hint="eastAsia" w:ascii="宋体" w:hAnsi="宋体" w:eastAsia="宋体"/>
                <w:snapToGrid w:val="0"/>
                <w:color w:val="auto"/>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14:paraId="3CE93AF7">
            <w:pPr>
              <w:pStyle w:val="114"/>
              <w:adjustRightInd/>
              <w:snapToGrid/>
              <w:ind w:firstLine="496"/>
              <w:rPr>
                <w:rFonts w:hint="eastAsia" w:ascii="宋体" w:hAnsi="宋体" w:eastAsia="宋体"/>
                <w:snapToGrid w:val="0"/>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14:paraId="5A87E6CD">
            <w:pPr>
              <w:pStyle w:val="114"/>
              <w:adjustRightInd/>
              <w:snapToGrid/>
              <w:ind w:firstLine="496"/>
              <w:rPr>
                <w:rFonts w:hint="eastAsia" w:ascii="宋体" w:hAnsi="宋体" w:eastAsia="宋体"/>
                <w:snapToGrid w:val="0"/>
                <w:color w:val="auto"/>
                <w:highlight w:val="none"/>
              </w:rPr>
            </w:pPr>
          </w:p>
        </w:tc>
        <w:tc>
          <w:tcPr>
            <w:tcW w:w="1536" w:type="dxa"/>
            <w:tcBorders>
              <w:top w:val="single" w:color="auto" w:sz="4" w:space="0"/>
              <w:left w:val="single" w:color="auto" w:sz="4" w:space="0"/>
              <w:bottom w:val="single" w:color="auto" w:sz="4" w:space="0"/>
              <w:right w:val="single" w:color="auto" w:sz="4" w:space="0"/>
            </w:tcBorders>
          </w:tcPr>
          <w:p w14:paraId="2AAE34D8">
            <w:pPr>
              <w:pStyle w:val="114"/>
              <w:adjustRightInd/>
              <w:snapToGrid/>
              <w:ind w:firstLine="496"/>
              <w:rPr>
                <w:rFonts w:hint="eastAsia" w:ascii="宋体" w:hAnsi="宋体" w:eastAsia="宋体"/>
                <w:snapToGrid w:val="0"/>
                <w:color w:val="auto"/>
                <w:highlight w:val="none"/>
              </w:rPr>
            </w:pPr>
          </w:p>
        </w:tc>
      </w:tr>
      <w:tr w14:paraId="51AAD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0" w:type="dxa"/>
            <w:tcBorders>
              <w:top w:val="single" w:color="auto" w:sz="4" w:space="0"/>
              <w:left w:val="single" w:color="auto" w:sz="4" w:space="0"/>
              <w:bottom w:val="single" w:color="auto" w:sz="4" w:space="0"/>
              <w:right w:val="single" w:color="auto" w:sz="4" w:space="0"/>
            </w:tcBorders>
            <w:vAlign w:val="center"/>
          </w:tcPr>
          <w:p w14:paraId="197451BB">
            <w:pPr>
              <w:pStyle w:val="114"/>
              <w:adjustRightInd/>
              <w:snapToGrid/>
              <w:ind w:firstLine="496"/>
              <w:rPr>
                <w:rFonts w:hint="eastAsia" w:ascii="宋体" w:hAnsi="宋体" w:eastAsia="宋体"/>
                <w:snapToGrid w:val="0"/>
                <w:color w:val="auto"/>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14:paraId="1E7034CC">
            <w:pPr>
              <w:pStyle w:val="114"/>
              <w:adjustRightInd/>
              <w:snapToGrid/>
              <w:ind w:firstLine="496"/>
              <w:rPr>
                <w:rFonts w:hint="eastAsia" w:ascii="宋体" w:hAnsi="宋体" w:eastAsia="宋体"/>
                <w:snapToGrid w:val="0"/>
                <w:color w:val="auto"/>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51A642FC">
            <w:pPr>
              <w:pStyle w:val="114"/>
              <w:adjustRightInd/>
              <w:snapToGrid/>
              <w:ind w:firstLine="496"/>
              <w:rPr>
                <w:rFonts w:hint="eastAsia" w:ascii="宋体" w:hAnsi="宋体" w:eastAsia="宋体"/>
                <w:snapToGrid w:val="0"/>
                <w:color w:val="auto"/>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7264A552">
            <w:pPr>
              <w:pStyle w:val="114"/>
              <w:adjustRightInd/>
              <w:snapToGrid/>
              <w:ind w:firstLine="496"/>
              <w:rPr>
                <w:rFonts w:hint="eastAsia"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tcPr>
          <w:p w14:paraId="1A272A96">
            <w:pPr>
              <w:pStyle w:val="114"/>
              <w:adjustRightInd/>
              <w:snapToGrid/>
              <w:ind w:firstLine="496"/>
              <w:rPr>
                <w:rFonts w:hint="eastAsia"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6B997044">
            <w:pPr>
              <w:pStyle w:val="114"/>
              <w:adjustRightInd/>
              <w:snapToGrid/>
              <w:ind w:firstLine="496"/>
              <w:rPr>
                <w:rFonts w:hint="eastAsia" w:ascii="宋体" w:hAnsi="宋体" w:eastAsia="宋体"/>
                <w:snapToGrid w:val="0"/>
                <w:color w:val="auto"/>
                <w:highlight w:val="none"/>
              </w:rPr>
            </w:pPr>
          </w:p>
        </w:tc>
        <w:tc>
          <w:tcPr>
            <w:tcW w:w="721" w:type="dxa"/>
            <w:tcBorders>
              <w:top w:val="single" w:color="auto" w:sz="4" w:space="0"/>
              <w:left w:val="single" w:color="auto" w:sz="4" w:space="0"/>
              <w:bottom w:val="single" w:color="auto" w:sz="4" w:space="0"/>
              <w:right w:val="single" w:color="auto" w:sz="4" w:space="0"/>
            </w:tcBorders>
            <w:vAlign w:val="center"/>
          </w:tcPr>
          <w:p w14:paraId="7874CE3F">
            <w:pPr>
              <w:pStyle w:val="114"/>
              <w:adjustRightInd/>
              <w:snapToGrid/>
              <w:ind w:firstLine="496"/>
              <w:rPr>
                <w:rFonts w:hint="eastAsia" w:ascii="宋体" w:hAnsi="宋体" w:eastAsia="宋体"/>
                <w:snapToGrid w:val="0"/>
                <w:color w:val="auto"/>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14:paraId="3419364E">
            <w:pPr>
              <w:pStyle w:val="114"/>
              <w:adjustRightInd/>
              <w:snapToGrid/>
              <w:ind w:firstLine="496"/>
              <w:rPr>
                <w:rFonts w:hint="eastAsia" w:ascii="宋体" w:hAnsi="宋体" w:eastAsia="宋体"/>
                <w:snapToGrid w:val="0"/>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14:paraId="46452C12">
            <w:pPr>
              <w:pStyle w:val="114"/>
              <w:adjustRightInd/>
              <w:snapToGrid/>
              <w:ind w:firstLine="496"/>
              <w:rPr>
                <w:rFonts w:hint="eastAsia" w:ascii="宋体" w:hAnsi="宋体" w:eastAsia="宋体"/>
                <w:snapToGrid w:val="0"/>
                <w:color w:val="auto"/>
                <w:highlight w:val="none"/>
              </w:rPr>
            </w:pPr>
          </w:p>
        </w:tc>
        <w:tc>
          <w:tcPr>
            <w:tcW w:w="1536" w:type="dxa"/>
            <w:tcBorders>
              <w:top w:val="single" w:color="auto" w:sz="4" w:space="0"/>
              <w:left w:val="single" w:color="auto" w:sz="4" w:space="0"/>
              <w:bottom w:val="single" w:color="auto" w:sz="4" w:space="0"/>
              <w:right w:val="single" w:color="auto" w:sz="4" w:space="0"/>
            </w:tcBorders>
          </w:tcPr>
          <w:p w14:paraId="66B8914B">
            <w:pPr>
              <w:pStyle w:val="114"/>
              <w:adjustRightInd/>
              <w:snapToGrid/>
              <w:ind w:firstLine="496"/>
              <w:rPr>
                <w:rFonts w:hint="eastAsia" w:ascii="宋体" w:hAnsi="宋体" w:eastAsia="宋体"/>
                <w:snapToGrid w:val="0"/>
                <w:color w:val="auto"/>
                <w:highlight w:val="none"/>
              </w:rPr>
            </w:pPr>
          </w:p>
        </w:tc>
      </w:tr>
      <w:tr w14:paraId="50991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0" w:type="dxa"/>
            <w:tcBorders>
              <w:top w:val="single" w:color="auto" w:sz="4" w:space="0"/>
              <w:left w:val="single" w:color="auto" w:sz="4" w:space="0"/>
              <w:bottom w:val="single" w:color="auto" w:sz="4" w:space="0"/>
              <w:right w:val="single" w:color="auto" w:sz="4" w:space="0"/>
            </w:tcBorders>
            <w:vAlign w:val="center"/>
          </w:tcPr>
          <w:p w14:paraId="21817706">
            <w:pPr>
              <w:pStyle w:val="114"/>
              <w:adjustRightInd/>
              <w:snapToGrid/>
              <w:ind w:firstLine="496"/>
              <w:rPr>
                <w:rFonts w:hint="eastAsia" w:ascii="宋体" w:hAnsi="宋体" w:eastAsia="宋体"/>
                <w:snapToGrid w:val="0"/>
                <w:color w:val="auto"/>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14:paraId="7EBFF59F">
            <w:pPr>
              <w:pStyle w:val="114"/>
              <w:adjustRightInd/>
              <w:snapToGrid/>
              <w:ind w:firstLine="496"/>
              <w:rPr>
                <w:rFonts w:hint="eastAsia" w:ascii="宋体" w:hAnsi="宋体" w:eastAsia="宋体"/>
                <w:snapToGrid w:val="0"/>
                <w:color w:val="auto"/>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253EC9CD">
            <w:pPr>
              <w:pStyle w:val="114"/>
              <w:adjustRightInd/>
              <w:snapToGrid/>
              <w:ind w:firstLine="496"/>
              <w:rPr>
                <w:rFonts w:hint="eastAsia" w:ascii="宋体" w:hAnsi="宋体" w:eastAsia="宋体"/>
                <w:snapToGrid w:val="0"/>
                <w:color w:val="auto"/>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74D08CD2">
            <w:pPr>
              <w:pStyle w:val="114"/>
              <w:adjustRightInd/>
              <w:snapToGrid/>
              <w:ind w:firstLine="496"/>
              <w:rPr>
                <w:rFonts w:hint="eastAsia"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tcPr>
          <w:p w14:paraId="7FB73BD6">
            <w:pPr>
              <w:pStyle w:val="114"/>
              <w:adjustRightInd/>
              <w:snapToGrid/>
              <w:ind w:firstLine="496"/>
              <w:rPr>
                <w:rFonts w:hint="eastAsia"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337F8225">
            <w:pPr>
              <w:pStyle w:val="114"/>
              <w:adjustRightInd/>
              <w:snapToGrid/>
              <w:ind w:firstLine="496"/>
              <w:rPr>
                <w:rFonts w:hint="eastAsia" w:ascii="宋体" w:hAnsi="宋体" w:eastAsia="宋体"/>
                <w:snapToGrid w:val="0"/>
                <w:color w:val="auto"/>
                <w:highlight w:val="none"/>
              </w:rPr>
            </w:pPr>
          </w:p>
        </w:tc>
        <w:tc>
          <w:tcPr>
            <w:tcW w:w="721" w:type="dxa"/>
            <w:tcBorders>
              <w:top w:val="single" w:color="auto" w:sz="4" w:space="0"/>
              <w:left w:val="single" w:color="auto" w:sz="4" w:space="0"/>
              <w:bottom w:val="single" w:color="auto" w:sz="4" w:space="0"/>
              <w:right w:val="single" w:color="auto" w:sz="4" w:space="0"/>
            </w:tcBorders>
            <w:vAlign w:val="center"/>
          </w:tcPr>
          <w:p w14:paraId="3DB09398">
            <w:pPr>
              <w:pStyle w:val="114"/>
              <w:adjustRightInd/>
              <w:snapToGrid/>
              <w:ind w:firstLine="496"/>
              <w:rPr>
                <w:rFonts w:hint="eastAsia" w:ascii="宋体" w:hAnsi="宋体" w:eastAsia="宋体"/>
                <w:snapToGrid w:val="0"/>
                <w:color w:val="auto"/>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14:paraId="3A1AF301">
            <w:pPr>
              <w:pStyle w:val="114"/>
              <w:adjustRightInd/>
              <w:snapToGrid/>
              <w:ind w:firstLine="496"/>
              <w:rPr>
                <w:rFonts w:hint="eastAsia" w:ascii="宋体" w:hAnsi="宋体" w:eastAsia="宋体"/>
                <w:snapToGrid w:val="0"/>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14:paraId="36E93D76">
            <w:pPr>
              <w:pStyle w:val="114"/>
              <w:adjustRightInd/>
              <w:snapToGrid/>
              <w:ind w:firstLine="496"/>
              <w:rPr>
                <w:rFonts w:hint="eastAsia" w:ascii="宋体" w:hAnsi="宋体" w:eastAsia="宋体"/>
                <w:snapToGrid w:val="0"/>
                <w:color w:val="auto"/>
                <w:highlight w:val="none"/>
              </w:rPr>
            </w:pPr>
          </w:p>
        </w:tc>
        <w:tc>
          <w:tcPr>
            <w:tcW w:w="1536" w:type="dxa"/>
            <w:tcBorders>
              <w:top w:val="single" w:color="auto" w:sz="4" w:space="0"/>
              <w:left w:val="single" w:color="auto" w:sz="4" w:space="0"/>
              <w:bottom w:val="single" w:color="auto" w:sz="4" w:space="0"/>
              <w:right w:val="single" w:color="auto" w:sz="4" w:space="0"/>
            </w:tcBorders>
          </w:tcPr>
          <w:p w14:paraId="2CE7B860">
            <w:pPr>
              <w:pStyle w:val="114"/>
              <w:adjustRightInd/>
              <w:snapToGrid/>
              <w:ind w:firstLine="496"/>
              <w:rPr>
                <w:rFonts w:hint="eastAsia" w:ascii="宋体" w:hAnsi="宋体" w:eastAsia="宋体"/>
                <w:snapToGrid w:val="0"/>
                <w:color w:val="auto"/>
                <w:highlight w:val="none"/>
              </w:rPr>
            </w:pPr>
          </w:p>
        </w:tc>
      </w:tr>
      <w:tr w14:paraId="24B67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0" w:type="dxa"/>
            <w:tcBorders>
              <w:top w:val="single" w:color="auto" w:sz="4" w:space="0"/>
              <w:left w:val="single" w:color="auto" w:sz="4" w:space="0"/>
              <w:bottom w:val="single" w:color="auto" w:sz="4" w:space="0"/>
              <w:right w:val="single" w:color="auto" w:sz="4" w:space="0"/>
            </w:tcBorders>
            <w:vAlign w:val="center"/>
          </w:tcPr>
          <w:p w14:paraId="1B778542">
            <w:pPr>
              <w:pStyle w:val="114"/>
              <w:adjustRightInd/>
              <w:snapToGrid/>
              <w:ind w:firstLine="496"/>
              <w:rPr>
                <w:rFonts w:hint="eastAsia" w:ascii="宋体" w:hAnsi="宋体" w:eastAsia="宋体"/>
                <w:snapToGrid w:val="0"/>
                <w:color w:val="auto"/>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14:paraId="533FFE2E">
            <w:pPr>
              <w:pStyle w:val="114"/>
              <w:adjustRightInd/>
              <w:snapToGrid/>
              <w:ind w:firstLine="496"/>
              <w:rPr>
                <w:rFonts w:hint="eastAsia" w:ascii="宋体" w:hAnsi="宋体" w:eastAsia="宋体"/>
                <w:snapToGrid w:val="0"/>
                <w:color w:val="auto"/>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5907164F">
            <w:pPr>
              <w:pStyle w:val="114"/>
              <w:adjustRightInd/>
              <w:snapToGrid/>
              <w:ind w:firstLine="496"/>
              <w:rPr>
                <w:rFonts w:hint="eastAsia" w:ascii="宋体" w:hAnsi="宋体" w:eastAsia="宋体"/>
                <w:snapToGrid w:val="0"/>
                <w:color w:val="auto"/>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7FEFA83E">
            <w:pPr>
              <w:pStyle w:val="114"/>
              <w:adjustRightInd/>
              <w:snapToGrid/>
              <w:ind w:firstLine="496"/>
              <w:rPr>
                <w:rFonts w:hint="eastAsia"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tcPr>
          <w:p w14:paraId="281640AB">
            <w:pPr>
              <w:pStyle w:val="114"/>
              <w:adjustRightInd/>
              <w:snapToGrid/>
              <w:ind w:firstLine="496"/>
              <w:rPr>
                <w:rFonts w:hint="eastAsia"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78BBBA8E">
            <w:pPr>
              <w:pStyle w:val="114"/>
              <w:adjustRightInd/>
              <w:snapToGrid/>
              <w:ind w:firstLine="496"/>
              <w:rPr>
                <w:rFonts w:hint="eastAsia" w:ascii="宋体" w:hAnsi="宋体" w:eastAsia="宋体"/>
                <w:snapToGrid w:val="0"/>
                <w:color w:val="auto"/>
                <w:highlight w:val="none"/>
              </w:rPr>
            </w:pPr>
          </w:p>
        </w:tc>
        <w:tc>
          <w:tcPr>
            <w:tcW w:w="721" w:type="dxa"/>
            <w:tcBorders>
              <w:top w:val="single" w:color="auto" w:sz="4" w:space="0"/>
              <w:left w:val="single" w:color="auto" w:sz="4" w:space="0"/>
              <w:bottom w:val="single" w:color="auto" w:sz="4" w:space="0"/>
              <w:right w:val="single" w:color="auto" w:sz="4" w:space="0"/>
            </w:tcBorders>
            <w:vAlign w:val="center"/>
          </w:tcPr>
          <w:p w14:paraId="54F0E301">
            <w:pPr>
              <w:pStyle w:val="114"/>
              <w:adjustRightInd/>
              <w:snapToGrid/>
              <w:ind w:firstLine="496"/>
              <w:rPr>
                <w:rFonts w:hint="eastAsia" w:ascii="宋体" w:hAnsi="宋体" w:eastAsia="宋体"/>
                <w:snapToGrid w:val="0"/>
                <w:color w:val="auto"/>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14:paraId="38417C4C">
            <w:pPr>
              <w:pStyle w:val="114"/>
              <w:adjustRightInd/>
              <w:snapToGrid/>
              <w:ind w:firstLine="496"/>
              <w:rPr>
                <w:rFonts w:hint="eastAsia" w:ascii="宋体" w:hAnsi="宋体" w:eastAsia="宋体"/>
                <w:snapToGrid w:val="0"/>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14:paraId="434A4EC5">
            <w:pPr>
              <w:pStyle w:val="114"/>
              <w:adjustRightInd/>
              <w:snapToGrid/>
              <w:ind w:firstLine="496"/>
              <w:rPr>
                <w:rFonts w:hint="eastAsia" w:ascii="宋体" w:hAnsi="宋体" w:eastAsia="宋体"/>
                <w:snapToGrid w:val="0"/>
                <w:color w:val="auto"/>
                <w:highlight w:val="none"/>
              </w:rPr>
            </w:pPr>
          </w:p>
        </w:tc>
        <w:tc>
          <w:tcPr>
            <w:tcW w:w="1536" w:type="dxa"/>
            <w:tcBorders>
              <w:top w:val="single" w:color="auto" w:sz="4" w:space="0"/>
              <w:left w:val="single" w:color="auto" w:sz="4" w:space="0"/>
              <w:bottom w:val="single" w:color="auto" w:sz="4" w:space="0"/>
              <w:right w:val="single" w:color="auto" w:sz="4" w:space="0"/>
            </w:tcBorders>
          </w:tcPr>
          <w:p w14:paraId="14BCA945">
            <w:pPr>
              <w:pStyle w:val="114"/>
              <w:adjustRightInd/>
              <w:snapToGrid/>
              <w:ind w:firstLine="496"/>
              <w:rPr>
                <w:rFonts w:hint="eastAsia" w:ascii="宋体" w:hAnsi="宋体" w:eastAsia="宋体"/>
                <w:snapToGrid w:val="0"/>
                <w:color w:val="auto"/>
                <w:highlight w:val="none"/>
              </w:rPr>
            </w:pPr>
          </w:p>
        </w:tc>
      </w:tr>
      <w:tr w14:paraId="3741A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550" w:type="dxa"/>
            <w:tcBorders>
              <w:top w:val="single" w:color="auto" w:sz="4" w:space="0"/>
              <w:left w:val="single" w:color="auto" w:sz="4" w:space="0"/>
              <w:bottom w:val="single" w:color="auto" w:sz="4" w:space="0"/>
              <w:right w:val="single" w:color="auto" w:sz="4" w:space="0"/>
            </w:tcBorders>
            <w:vAlign w:val="center"/>
          </w:tcPr>
          <w:p w14:paraId="07F5C13F">
            <w:pPr>
              <w:pStyle w:val="114"/>
              <w:adjustRightInd/>
              <w:snapToGrid/>
              <w:ind w:firstLine="496"/>
              <w:rPr>
                <w:rFonts w:hint="eastAsia" w:ascii="宋体" w:hAnsi="宋体" w:eastAsia="宋体"/>
                <w:snapToGrid w:val="0"/>
                <w:color w:val="auto"/>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14:paraId="7A0345C8">
            <w:pPr>
              <w:pStyle w:val="114"/>
              <w:adjustRightInd/>
              <w:snapToGrid/>
              <w:ind w:firstLine="496"/>
              <w:rPr>
                <w:rFonts w:hint="eastAsia" w:ascii="宋体" w:hAnsi="宋体" w:eastAsia="宋体"/>
                <w:snapToGrid w:val="0"/>
                <w:color w:val="auto"/>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6A98F6D3">
            <w:pPr>
              <w:pStyle w:val="114"/>
              <w:adjustRightInd/>
              <w:snapToGrid/>
              <w:ind w:firstLine="496"/>
              <w:rPr>
                <w:rFonts w:hint="eastAsia" w:ascii="宋体" w:hAnsi="宋体" w:eastAsia="宋体"/>
                <w:snapToGrid w:val="0"/>
                <w:color w:val="auto"/>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0941EF85">
            <w:pPr>
              <w:pStyle w:val="114"/>
              <w:adjustRightInd/>
              <w:snapToGrid/>
              <w:ind w:firstLine="496"/>
              <w:rPr>
                <w:rFonts w:hint="eastAsia"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tcPr>
          <w:p w14:paraId="418E8640">
            <w:pPr>
              <w:pStyle w:val="114"/>
              <w:adjustRightInd/>
              <w:snapToGrid/>
              <w:ind w:firstLine="496"/>
              <w:rPr>
                <w:rFonts w:hint="eastAsia"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13C1234A">
            <w:pPr>
              <w:pStyle w:val="114"/>
              <w:adjustRightInd/>
              <w:snapToGrid/>
              <w:ind w:firstLine="496"/>
              <w:rPr>
                <w:rFonts w:hint="eastAsia" w:ascii="宋体" w:hAnsi="宋体" w:eastAsia="宋体"/>
                <w:snapToGrid w:val="0"/>
                <w:color w:val="auto"/>
                <w:highlight w:val="none"/>
              </w:rPr>
            </w:pPr>
          </w:p>
        </w:tc>
        <w:tc>
          <w:tcPr>
            <w:tcW w:w="721" w:type="dxa"/>
            <w:tcBorders>
              <w:top w:val="single" w:color="auto" w:sz="4" w:space="0"/>
              <w:left w:val="single" w:color="auto" w:sz="4" w:space="0"/>
              <w:bottom w:val="single" w:color="auto" w:sz="4" w:space="0"/>
              <w:right w:val="single" w:color="auto" w:sz="4" w:space="0"/>
            </w:tcBorders>
            <w:vAlign w:val="center"/>
          </w:tcPr>
          <w:p w14:paraId="73737FC8">
            <w:pPr>
              <w:pStyle w:val="114"/>
              <w:adjustRightInd/>
              <w:snapToGrid/>
              <w:ind w:firstLine="496"/>
              <w:rPr>
                <w:rFonts w:hint="eastAsia" w:ascii="宋体" w:hAnsi="宋体" w:eastAsia="宋体"/>
                <w:snapToGrid w:val="0"/>
                <w:color w:val="auto"/>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14:paraId="30FA1AD0">
            <w:pPr>
              <w:pStyle w:val="114"/>
              <w:adjustRightInd/>
              <w:snapToGrid/>
              <w:ind w:firstLine="496"/>
              <w:rPr>
                <w:rFonts w:hint="eastAsia" w:ascii="宋体" w:hAnsi="宋体" w:eastAsia="宋体"/>
                <w:snapToGrid w:val="0"/>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14:paraId="05E35A7C">
            <w:pPr>
              <w:pStyle w:val="114"/>
              <w:adjustRightInd/>
              <w:snapToGrid/>
              <w:ind w:firstLine="496"/>
              <w:rPr>
                <w:rFonts w:hint="eastAsia" w:ascii="宋体" w:hAnsi="宋体" w:eastAsia="宋体"/>
                <w:snapToGrid w:val="0"/>
                <w:color w:val="auto"/>
                <w:highlight w:val="none"/>
              </w:rPr>
            </w:pPr>
          </w:p>
        </w:tc>
        <w:tc>
          <w:tcPr>
            <w:tcW w:w="1536" w:type="dxa"/>
            <w:tcBorders>
              <w:top w:val="single" w:color="auto" w:sz="4" w:space="0"/>
              <w:left w:val="single" w:color="auto" w:sz="4" w:space="0"/>
              <w:bottom w:val="single" w:color="auto" w:sz="4" w:space="0"/>
              <w:right w:val="single" w:color="auto" w:sz="4" w:space="0"/>
            </w:tcBorders>
          </w:tcPr>
          <w:p w14:paraId="7E12EE02">
            <w:pPr>
              <w:pStyle w:val="114"/>
              <w:adjustRightInd/>
              <w:snapToGrid/>
              <w:ind w:firstLine="496"/>
              <w:rPr>
                <w:rFonts w:hint="eastAsia" w:ascii="宋体" w:hAnsi="宋体" w:eastAsia="宋体"/>
                <w:snapToGrid w:val="0"/>
                <w:color w:val="auto"/>
                <w:highlight w:val="none"/>
              </w:rPr>
            </w:pPr>
          </w:p>
        </w:tc>
      </w:tr>
    </w:tbl>
    <w:p w14:paraId="6DBB1A6B">
      <w:pPr>
        <w:autoSpaceDE w:val="0"/>
        <w:autoSpaceDN w:val="0"/>
        <w:ind w:firstLine="420" w:firstLineChars="200"/>
        <w:rPr>
          <w:rFonts w:hint="eastAsia" w:ascii="宋体" w:hAnsi="宋体" w:cs="宋体"/>
          <w:color w:val="auto"/>
          <w:szCs w:val="21"/>
          <w:highlight w:val="none"/>
        </w:rPr>
      </w:pPr>
    </w:p>
    <w:p w14:paraId="3DF15E3A">
      <w:pPr>
        <w:autoSpaceDE w:val="0"/>
        <w:autoSpaceDN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注：按评分表附相关的证明材料扫描件。</w:t>
      </w:r>
    </w:p>
    <w:p w14:paraId="6FB8AB83">
      <w:pPr>
        <w:pStyle w:val="3"/>
        <w:spacing w:before="0" w:after="0"/>
        <w:rPr>
          <w:rFonts w:hint="eastAsia" w:ascii="宋体" w:hAnsi="宋体" w:eastAsia="宋体" w:cs="宋体"/>
          <w:color w:val="auto"/>
          <w:highlight w:val="none"/>
          <w:lang w:val="zh-CN"/>
        </w:rPr>
      </w:pPr>
      <w:r>
        <w:rPr>
          <w:rFonts w:hint="eastAsia" w:ascii="宋体" w:hAnsi="宋体" w:eastAsia="宋体" w:cs="宋体"/>
          <w:color w:val="auto"/>
          <w:highlight w:val="none"/>
        </w:rPr>
        <w:br w:type="page"/>
      </w:r>
      <w:bookmarkStart w:id="526" w:name="_Toc13315"/>
      <w:r>
        <w:rPr>
          <w:rFonts w:hint="eastAsia" w:ascii="宋体" w:hAnsi="宋体" w:eastAsia="宋体" w:cs="宋体"/>
          <w:color w:val="auto"/>
          <w:sz w:val="28"/>
          <w:szCs w:val="28"/>
          <w:highlight w:val="none"/>
        </w:rPr>
        <w:t>格式6：</w:t>
      </w:r>
      <w:bookmarkEnd w:id="526"/>
    </w:p>
    <w:p w14:paraId="1A98B5A1">
      <w:pPr>
        <w:autoSpaceDE w:val="0"/>
        <w:autoSpaceDN w:val="0"/>
        <w:spacing w:line="360" w:lineRule="auto"/>
        <w:jc w:val="center"/>
        <w:rPr>
          <w:rFonts w:hint="eastAsia"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参与编制投标文件人员名单</w:t>
      </w:r>
    </w:p>
    <w:tbl>
      <w:tblPr>
        <w:tblStyle w:val="40"/>
        <w:tblW w:w="882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81"/>
        <w:gridCol w:w="1311"/>
        <w:gridCol w:w="2320"/>
        <w:gridCol w:w="2449"/>
        <w:gridCol w:w="1468"/>
      </w:tblGrid>
      <w:tr w14:paraId="432B1B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281" w:type="dxa"/>
            <w:vAlign w:val="center"/>
          </w:tcPr>
          <w:p w14:paraId="6F7CB0D6">
            <w:pPr>
              <w:tabs>
                <w:tab w:val="left" w:pos="0"/>
                <w:tab w:val="left" w:pos="720"/>
              </w:tabs>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1311" w:type="dxa"/>
            <w:vAlign w:val="center"/>
          </w:tcPr>
          <w:p w14:paraId="1D98E94C">
            <w:pPr>
              <w:tabs>
                <w:tab w:val="left" w:pos="0"/>
                <w:tab w:val="left" w:pos="720"/>
              </w:tabs>
              <w:jc w:val="center"/>
              <w:rPr>
                <w:rFonts w:hint="eastAsia" w:ascii="宋体" w:hAnsi="宋体" w:cs="宋体"/>
                <w:color w:val="auto"/>
                <w:sz w:val="24"/>
                <w:highlight w:val="none"/>
              </w:rPr>
            </w:pPr>
            <w:r>
              <w:rPr>
                <w:rFonts w:hint="eastAsia" w:ascii="宋体" w:hAnsi="宋体" w:cs="宋体"/>
                <w:color w:val="auto"/>
                <w:sz w:val="24"/>
                <w:highlight w:val="none"/>
              </w:rPr>
              <w:t>职务</w:t>
            </w:r>
          </w:p>
        </w:tc>
        <w:tc>
          <w:tcPr>
            <w:tcW w:w="2320" w:type="dxa"/>
            <w:vAlign w:val="center"/>
          </w:tcPr>
          <w:p w14:paraId="0E3ABD4A">
            <w:pPr>
              <w:tabs>
                <w:tab w:val="left" w:pos="0"/>
                <w:tab w:val="left" w:pos="720"/>
              </w:tabs>
              <w:jc w:val="center"/>
              <w:rPr>
                <w:rFonts w:hint="eastAsia" w:ascii="宋体" w:hAnsi="宋体" w:cs="宋体"/>
                <w:color w:val="auto"/>
                <w:sz w:val="24"/>
                <w:highlight w:val="none"/>
              </w:rPr>
            </w:pPr>
            <w:r>
              <w:rPr>
                <w:rFonts w:hint="eastAsia" w:ascii="宋体" w:hAnsi="宋体" w:cs="宋体"/>
                <w:color w:val="auto"/>
                <w:sz w:val="24"/>
                <w:highlight w:val="none"/>
              </w:rPr>
              <w:t>所承担工作</w:t>
            </w:r>
          </w:p>
        </w:tc>
        <w:tc>
          <w:tcPr>
            <w:tcW w:w="2449" w:type="dxa"/>
            <w:vAlign w:val="center"/>
          </w:tcPr>
          <w:p w14:paraId="7E7C6797">
            <w:pPr>
              <w:tabs>
                <w:tab w:val="left" w:pos="0"/>
                <w:tab w:val="left" w:pos="720"/>
              </w:tabs>
              <w:jc w:val="center"/>
              <w:rPr>
                <w:rFonts w:hint="eastAsia" w:ascii="宋体" w:hAnsi="宋体" w:cs="宋体"/>
                <w:color w:val="auto"/>
                <w:sz w:val="24"/>
                <w:highlight w:val="none"/>
              </w:rPr>
            </w:pPr>
            <w:r>
              <w:rPr>
                <w:rFonts w:hint="eastAsia" w:ascii="宋体" w:hAnsi="宋体" w:cs="宋体"/>
                <w:color w:val="auto"/>
                <w:sz w:val="24"/>
                <w:highlight w:val="none"/>
              </w:rPr>
              <w:t>身份证号码</w:t>
            </w:r>
          </w:p>
        </w:tc>
        <w:tc>
          <w:tcPr>
            <w:tcW w:w="1468" w:type="dxa"/>
            <w:vAlign w:val="center"/>
          </w:tcPr>
          <w:p w14:paraId="059F1667">
            <w:pPr>
              <w:tabs>
                <w:tab w:val="left" w:pos="0"/>
                <w:tab w:val="left" w:pos="720"/>
              </w:tabs>
              <w:rPr>
                <w:rFonts w:hint="eastAsia" w:ascii="宋体" w:hAnsi="宋体" w:cs="宋体"/>
                <w:color w:val="auto"/>
                <w:sz w:val="24"/>
                <w:highlight w:val="none"/>
              </w:rPr>
            </w:pPr>
            <w:r>
              <w:rPr>
                <w:rFonts w:hint="eastAsia" w:ascii="宋体" w:hAnsi="宋体" w:cs="宋体"/>
                <w:color w:val="auto"/>
                <w:sz w:val="24"/>
                <w:highlight w:val="none"/>
              </w:rPr>
              <w:t>本人签名栏</w:t>
            </w:r>
          </w:p>
        </w:tc>
      </w:tr>
      <w:tr w14:paraId="44BCC3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281" w:type="dxa"/>
            <w:vAlign w:val="center"/>
          </w:tcPr>
          <w:p w14:paraId="67C50C6E">
            <w:pPr>
              <w:tabs>
                <w:tab w:val="left" w:pos="0"/>
                <w:tab w:val="left" w:pos="720"/>
              </w:tabs>
              <w:jc w:val="center"/>
              <w:rPr>
                <w:rFonts w:hint="eastAsia" w:ascii="宋体" w:hAnsi="宋体" w:cs="宋体"/>
                <w:color w:val="auto"/>
                <w:sz w:val="24"/>
                <w:highlight w:val="none"/>
              </w:rPr>
            </w:pPr>
          </w:p>
        </w:tc>
        <w:tc>
          <w:tcPr>
            <w:tcW w:w="1311" w:type="dxa"/>
            <w:vAlign w:val="center"/>
          </w:tcPr>
          <w:p w14:paraId="0D7AD5C5">
            <w:pPr>
              <w:tabs>
                <w:tab w:val="left" w:pos="0"/>
                <w:tab w:val="left" w:pos="720"/>
              </w:tabs>
              <w:jc w:val="center"/>
              <w:rPr>
                <w:rFonts w:hint="eastAsia" w:ascii="宋体" w:hAnsi="宋体" w:cs="宋体"/>
                <w:color w:val="auto"/>
                <w:sz w:val="24"/>
                <w:highlight w:val="none"/>
              </w:rPr>
            </w:pPr>
          </w:p>
        </w:tc>
        <w:tc>
          <w:tcPr>
            <w:tcW w:w="2320" w:type="dxa"/>
            <w:vAlign w:val="center"/>
          </w:tcPr>
          <w:p w14:paraId="3C679912">
            <w:pPr>
              <w:tabs>
                <w:tab w:val="left" w:pos="0"/>
                <w:tab w:val="left" w:pos="720"/>
              </w:tabs>
              <w:jc w:val="center"/>
              <w:rPr>
                <w:rFonts w:hint="eastAsia" w:ascii="宋体" w:hAnsi="宋体" w:cs="宋体"/>
                <w:color w:val="auto"/>
                <w:sz w:val="24"/>
                <w:highlight w:val="none"/>
              </w:rPr>
            </w:pPr>
          </w:p>
        </w:tc>
        <w:tc>
          <w:tcPr>
            <w:tcW w:w="2449" w:type="dxa"/>
            <w:vAlign w:val="center"/>
          </w:tcPr>
          <w:p w14:paraId="6D680B59">
            <w:pPr>
              <w:tabs>
                <w:tab w:val="left" w:pos="0"/>
                <w:tab w:val="left" w:pos="720"/>
              </w:tabs>
              <w:jc w:val="center"/>
              <w:rPr>
                <w:rFonts w:hint="eastAsia" w:ascii="宋体" w:hAnsi="宋体" w:cs="宋体"/>
                <w:color w:val="auto"/>
                <w:sz w:val="24"/>
                <w:highlight w:val="none"/>
              </w:rPr>
            </w:pPr>
          </w:p>
        </w:tc>
        <w:tc>
          <w:tcPr>
            <w:tcW w:w="1468" w:type="dxa"/>
            <w:vAlign w:val="center"/>
          </w:tcPr>
          <w:p w14:paraId="4B883DEE">
            <w:pPr>
              <w:tabs>
                <w:tab w:val="left" w:pos="0"/>
                <w:tab w:val="left" w:pos="720"/>
              </w:tabs>
              <w:jc w:val="center"/>
              <w:rPr>
                <w:rFonts w:hint="eastAsia" w:ascii="宋体" w:hAnsi="宋体" w:cs="宋体"/>
                <w:color w:val="auto"/>
                <w:sz w:val="24"/>
                <w:highlight w:val="none"/>
              </w:rPr>
            </w:pPr>
          </w:p>
        </w:tc>
      </w:tr>
      <w:tr w14:paraId="77BAB1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14:paraId="18988EE2">
            <w:pPr>
              <w:tabs>
                <w:tab w:val="left" w:pos="0"/>
                <w:tab w:val="left" w:pos="720"/>
              </w:tabs>
              <w:jc w:val="center"/>
              <w:rPr>
                <w:rFonts w:hint="eastAsia" w:ascii="宋体" w:hAnsi="宋体" w:cs="宋体"/>
                <w:color w:val="auto"/>
                <w:sz w:val="24"/>
                <w:highlight w:val="none"/>
              </w:rPr>
            </w:pPr>
          </w:p>
        </w:tc>
        <w:tc>
          <w:tcPr>
            <w:tcW w:w="1311" w:type="dxa"/>
            <w:vAlign w:val="center"/>
          </w:tcPr>
          <w:p w14:paraId="2FAE3F68">
            <w:pPr>
              <w:tabs>
                <w:tab w:val="left" w:pos="0"/>
                <w:tab w:val="left" w:pos="720"/>
              </w:tabs>
              <w:jc w:val="center"/>
              <w:rPr>
                <w:rFonts w:hint="eastAsia" w:ascii="宋体" w:hAnsi="宋体" w:cs="宋体"/>
                <w:color w:val="auto"/>
                <w:sz w:val="24"/>
                <w:highlight w:val="none"/>
              </w:rPr>
            </w:pPr>
          </w:p>
        </w:tc>
        <w:tc>
          <w:tcPr>
            <w:tcW w:w="2320" w:type="dxa"/>
            <w:vAlign w:val="center"/>
          </w:tcPr>
          <w:p w14:paraId="4AC34150">
            <w:pPr>
              <w:tabs>
                <w:tab w:val="left" w:pos="0"/>
                <w:tab w:val="left" w:pos="720"/>
              </w:tabs>
              <w:jc w:val="center"/>
              <w:rPr>
                <w:rFonts w:hint="eastAsia" w:ascii="宋体" w:hAnsi="宋体" w:cs="宋体"/>
                <w:color w:val="auto"/>
                <w:sz w:val="24"/>
                <w:highlight w:val="none"/>
              </w:rPr>
            </w:pPr>
          </w:p>
        </w:tc>
        <w:tc>
          <w:tcPr>
            <w:tcW w:w="2449" w:type="dxa"/>
            <w:vAlign w:val="center"/>
          </w:tcPr>
          <w:p w14:paraId="3FAD6D4F">
            <w:pPr>
              <w:tabs>
                <w:tab w:val="left" w:pos="0"/>
                <w:tab w:val="left" w:pos="720"/>
              </w:tabs>
              <w:jc w:val="center"/>
              <w:rPr>
                <w:rFonts w:hint="eastAsia" w:ascii="宋体" w:hAnsi="宋体" w:cs="宋体"/>
                <w:color w:val="auto"/>
                <w:sz w:val="24"/>
                <w:highlight w:val="none"/>
              </w:rPr>
            </w:pPr>
          </w:p>
        </w:tc>
        <w:tc>
          <w:tcPr>
            <w:tcW w:w="1468" w:type="dxa"/>
            <w:vAlign w:val="center"/>
          </w:tcPr>
          <w:p w14:paraId="7B4741F8">
            <w:pPr>
              <w:tabs>
                <w:tab w:val="left" w:pos="0"/>
                <w:tab w:val="left" w:pos="720"/>
              </w:tabs>
              <w:jc w:val="center"/>
              <w:rPr>
                <w:rFonts w:hint="eastAsia" w:ascii="宋体" w:hAnsi="宋体" w:cs="宋体"/>
                <w:color w:val="auto"/>
                <w:sz w:val="24"/>
                <w:highlight w:val="none"/>
              </w:rPr>
            </w:pPr>
          </w:p>
        </w:tc>
      </w:tr>
      <w:tr w14:paraId="0752AC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14:paraId="50466558">
            <w:pPr>
              <w:tabs>
                <w:tab w:val="left" w:pos="0"/>
                <w:tab w:val="left" w:pos="720"/>
              </w:tabs>
              <w:jc w:val="center"/>
              <w:rPr>
                <w:rFonts w:hint="eastAsia" w:ascii="宋体" w:hAnsi="宋体" w:cs="宋体"/>
                <w:color w:val="auto"/>
                <w:sz w:val="24"/>
                <w:highlight w:val="none"/>
              </w:rPr>
            </w:pPr>
          </w:p>
        </w:tc>
        <w:tc>
          <w:tcPr>
            <w:tcW w:w="1311" w:type="dxa"/>
            <w:vAlign w:val="center"/>
          </w:tcPr>
          <w:p w14:paraId="37AAB6C3">
            <w:pPr>
              <w:tabs>
                <w:tab w:val="left" w:pos="0"/>
                <w:tab w:val="left" w:pos="720"/>
              </w:tabs>
              <w:jc w:val="center"/>
              <w:rPr>
                <w:rFonts w:hint="eastAsia" w:ascii="宋体" w:hAnsi="宋体" w:cs="宋体"/>
                <w:color w:val="auto"/>
                <w:sz w:val="24"/>
                <w:highlight w:val="none"/>
              </w:rPr>
            </w:pPr>
          </w:p>
        </w:tc>
        <w:tc>
          <w:tcPr>
            <w:tcW w:w="2320" w:type="dxa"/>
            <w:vAlign w:val="center"/>
          </w:tcPr>
          <w:p w14:paraId="2B322FDB">
            <w:pPr>
              <w:tabs>
                <w:tab w:val="left" w:pos="0"/>
                <w:tab w:val="left" w:pos="720"/>
              </w:tabs>
              <w:jc w:val="center"/>
              <w:rPr>
                <w:rFonts w:hint="eastAsia" w:ascii="宋体" w:hAnsi="宋体" w:cs="宋体"/>
                <w:color w:val="auto"/>
                <w:sz w:val="24"/>
                <w:highlight w:val="none"/>
              </w:rPr>
            </w:pPr>
          </w:p>
        </w:tc>
        <w:tc>
          <w:tcPr>
            <w:tcW w:w="2449" w:type="dxa"/>
            <w:vAlign w:val="center"/>
          </w:tcPr>
          <w:p w14:paraId="3F62B64E">
            <w:pPr>
              <w:tabs>
                <w:tab w:val="left" w:pos="0"/>
                <w:tab w:val="left" w:pos="720"/>
              </w:tabs>
              <w:jc w:val="center"/>
              <w:rPr>
                <w:rFonts w:hint="eastAsia" w:ascii="宋体" w:hAnsi="宋体" w:cs="宋体"/>
                <w:color w:val="auto"/>
                <w:sz w:val="24"/>
                <w:highlight w:val="none"/>
              </w:rPr>
            </w:pPr>
          </w:p>
        </w:tc>
        <w:tc>
          <w:tcPr>
            <w:tcW w:w="1468" w:type="dxa"/>
            <w:vAlign w:val="center"/>
          </w:tcPr>
          <w:p w14:paraId="48F8AEB2">
            <w:pPr>
              <w:tabs>
                <w:tab w:val="left" w:pos="0"/>
                <w:tab w:val="left" w:pos="720"/>
              </w:tabs>
              <w:jc w:val="center"/>
              <w:rPr>
                <w:rFonts w:hint="eastAsia" w:ascii="宋体" w:hAnsi="宋体" w:cs="宋体"/>
                <w:color w:val="auto"/>
                <w:sz w:val="24"/>
                <w:highlight w:val="none"/>
              </w:rPr>
            </w:pPr>
          </w:p>
        </w:tc>
      </w:tr>
      <w:tr w14:paraId="600FA0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14:paraId="09BACDB2">
            <w:pPr>
              <w:tabs>
                <w:tab w:val="left" w:pos="0"/>
                <w:tab w:val="left" w:pos="720"/>
              </w:tabs>
              <w:jc w:val="center"/>
              <w:rPr>
                <w:rFonts w:hint="eastAsia" w:ascii="宋体" w:hAnsi="宋体" w:cs="宋体"/>
                <w:color w:val="auto"/>
                <w:sz w:val="24"/>
                <w:highlight w:val="none"/>
              </w:rPr>
            </w:pPr>
          </w:p>
        </w:tc>
        <w:tc>
          <w:tcPr>
            <w:tcW w:w="1311" w:type="dxa"/>
            <w:vAlign w:val="center"/>
          </w:tcPr>
          <w:p w14:paraId="5E71EE1E">
            <w:pPr>
              <w:tabs>
                <w:tab w:val="left" w:pos="0"/>
                <w:tab w:val="left" w:pos="720"/>
              </w:tabs>
              <w:jc w:val="center"/>
              <w:rPr>
                <w:rFonts w:hint="eastAsia" w:ascii="宋体" w:hAnsi="宋体" w:cs="宋体"/>
                <w:color w:val="auto"/>
                <w:sz w:val="24"/>
                <w:highlight w:val="none"/>
              </w:rPr>
            </w:pPr>
          </w:p>
        </w:tc>
        <w:tc>
          <w:tcPr>
            <w:tcW w:w="2320" w:type="dxa"/>
            <w:vAlign w:val="center"/>
          </w:tcPr>
          <w:p w14:paraId="53C8E78A">
            <w:pPr>
              <w:tabs>
                <w:tab w:val="left" w:pos="0"/>
                <w:tab w:val="left" w:pos="720"/>
              </w:tabs>
              <w:jc w:val="center"/>
              <w:rPr>
                <w:rFonts w:hint="eastAsia" w:ascii="宋体" w:hAnsi="宋体" w:cs="宋体"/>
                <w:color w:val="auto"/>
                <w:sz w:val="24"/>
                <w:highlight w:val="none"/>
              </w:rPr>
            </w:pPr>
          </w:p>
        </w:tc>
        <w:tc>
          <w:tcPr>
            <w:tcW w:w="2449" w:type="dxa"/>
            <w:vAlign w:val="center"/>
          </w:tcPr>
          <w:p w14:paraId="5D676F86">
            <w:pPr>
              <w:tabs>
                <w:tab w:val="left" w:pos="0"/>
                <w:tab w:val="left" w:pos="720"/>
              </w:tabs>
              <w:jc w:val="center"/>
              <w:rPr>
                <w:rFonts w:hint="eastAsia" w:ascii="宋体" w:hAnsi="宋体" w:cs="宋体"/>
                <w:color w:val="auto"/>
                <w:sz w:val="24"/>
                <w:highlight w:val="none"/>
              </w:rPr>
            </w:pPr>
          </w:p>
        </w:tc>
        <w:tc>
          <w:tcPr>
            <w:tcW w:w="1468" w:type="dxa"/>
            <w:vAlign w:val="center"/>
          </w:tcPr>
          <w:p w14:paraId="642E5213">
            <w:pPr>
              <w:tabs>
                <w:tab w:val="left" w:pos="0"/>
                <w:tab w:val="left" w:pos="720"/>
              </w:tabs>
              <w:jc w:val="center"/>
              <w:rPr>
                <w:rFonts w:hint="eastAsia" w:ascii="宋体" w:hAnsi="宋体" w:cs="宋体"/>
                <w:color w:val="auto"/>
                <w:sz w:val="24"/>
                <w:highlight w:val="none"/>
              </w:rPr>
            </w:pPr>
          </w:p>
        </w:tc>
      </w:tr>
      <w:tr w14:paraId="33FBE0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14:paraId="52899923">
            <w:pPr>
              <w:tabs>
                <w:tab w:val="left" w:pos="0"/>
                <w:tab w:val="left" w:pos="720"/>
              </w:tabs>
              <w:jc w:val="center"/>
              <w:rPr>
                <w:rFonts w:hint="eastAsia" w:ascii="宋体" w:hAnsi="宋体" w:cs="宋体"/>
                <w:color w:val="auto"/>
                <w:sz w:val="24"/>
                <w:highlight w:val="none"/>
              </w:rPr>
            </w:pPr>
          </w:p>
        </w:tc>
        <w:tc>
          <w:tcPr>
            <w:tcW w:w="1311" w:type="dxa"/>
            <w:vAlign w:val="center"/>
          </w:tcPr>
          <w:p w14:paraId="03C4A803">
            <w:pPr>
              <w:tabs>
                <w:tab w:val="left" w:pos="0"/>
                <w:tab w:val="left" w:pos="720"/>
              </w:tabs>
              <w:jc w:val="center"/>
              <w:rPr>
                <w:rFonts w:hint="eastAsia" w:ascii="宋体" w:hAnsi="宋体" w:cs="宋体"/>
                <w:color w:val="auto"/>
                <w:sz w:val="24"/>
                <w:highlight w:val="none"/>
              </w:rPr>
            </w:pPr>
          </w:p>
        </w:tc>
        <w:tc>
          <w:tcPr>
            <w:tcW w:w="2320" w:type="dxa"/>
            <w:vAlign w:val="center"/>
          </w:tcPr>
          <w:p w14:paraId="2A6E3BD4">
            <w:pPr>
              <w:tabs>
                <w:tab w:val="left" w:pos="0"/>
                <w:tab w:val="left" w:pos="720"/>
              </w:tabs>
              <w:jc w:val="center"/>
              <w:rPr>
                <w:rFonts w:hint="eastAsia" w:ascii="宋体" w:hAnsi="宋体" w:cs="宋体"/>
                <w:color w:val="auto"/>
                <w:sz w:val="24"/>
                <w:highlight w:val="none"/>
              </w:rPr>
            </w:pPr>
          </w:p>
        </w:tc>
        <w:tc>
          <w:tcPr>
            <w:tcW w:w="2449" w:type="dxa"/>
            <w:vAlign w:val="center"/>
          </w:tcPr>
          <w:p w14:paraId="61FA0B75">
            <w:pPr>
              <w:tabs>
                <w:tab w:val="left" w:pos="0"/>
                <w:tab w:val="left" w:pos="720"/>
              </w:tabs>
              <w:jc w:val="center"/>
              <w:rPr>
                <w:rFonts w:hint="eastAsia" w:ascii="宋体" w:hAnsi="宋体" w:cs="宋体"/>
                <w:color w:val="auto"/>
                <w:sz w:val="24"/>
                <w:highlight w:val="none"/>
              </w:rPr>
            </w:pPr>
          </w:p>
        </w:tc>
        <w:tc>
          <w:tcPr>
            <w:tcW w:w="1468" w:type="dxa"/>
            <w:vAlign w:val="center"/>
          </w:tcPr>
          <w:p w14:paraId="5096605E">
            <w:pPr>
              <w:tabs>
                <w:tab w:val="left" w:pos="0"/>
                <w:tab w:val="left" w:pos="720"/>
              </w:tabs>
              <w:jc w:val="center"/>
              <w:rPr>
                <w:rFonts w:hint="eastAsia" w:ascii="宋体" w:hAnsi="宋体" w:cs="宋体"/>
                <w:color w:val="auto"/>
                <w:sz w:val="24"/>
                <w:highlight w:val="none"/>
              </w:rPr>
            </w:pPr>
          </w:p>
        </w:tc>
      </w:tr>
      <w:tr w14:paraId="528489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14:paraId="60D99263">
            <w:pPr>
              <w:tabs>
                <w:tab w:val="left" w:pos="0"/>
                <w:tab w:val="left" w:pos="720"/>
              </w:tabs>
              <w:jc w:val="center"/>
              <w:rPr>
                <w:rFonts w:hint="eastAsia" w:ascii="宋体" w:hAnsi="宋体" w:cs="宋体"/>
                <w:color w:val="auto"/>
                <w:sz w:val="24"/>
                <w:highlight w:val="none"/>
              </w:rPr>
            </w:pPr>
          </w:p>
        </w:tc>
        <w:tc>
          <w:tcPr>
            <w:tcW w:w="1311" w:type="dxa"/>
            <w:vAlign w:val="center"/>
          </w:tcPr>
          <w:p w14:paraId="15D1CFB0">
            <w:pPr>
              <w:tabs>
                <w:tab w:val="left" w:pos="0"/>
                <w:tab w:val="left" w:pos="720"/>
              </w:tabs>
              <w:jc w:val="center"/>
              <w:rPr>
                <w:rFonts w:hint="eastAsia" w:ascii="宋体" w:hAnsi="宋体" w:cs="宋体"/>
                <w:color w:val="auto"/>
                <w:sz w:val="24"/>
                <w:highlight w:val="none"/>
              </w:rPr>
            </w:pPr>
          </w:p>
        </w:tc>
        <w:tc>
          <w:tcPr>
            <w:tcW w:w="2320" w:type="dxa"/>
            <w:vAlign w:val="center"/>
          </w:tcPr>
          <w:p w14:paraId="2D193FBF">
            <w:pPr>
              <w:tabs>
                <w:tab w:val="left" w:pos="0"/>
                <w:tab w:val="left" w:pos="720"/>
              </w:tabs>
              <w:jc w:val="center"/>
              <w:rPr>
                <w:rFonts w:hint="eastAsia" w:ascii="宋体" w:hAnsi="宋体" w:cs="宋体"/>
                <w:color w:val="auto"/>
                <w:sz w:val="24"/>
                <w:highlight w:val="none"/>
              </w:rPr>
            </w:pPr>
          </w:p>
        </w:tc>
        <w:tc>
          <w:tcPr>
            <w:tcW w:w="2449" w:type="dxa"/>
            <w:vAlign w:val="center"/>
          </w:tcPr>
          <w:p w14:paraId="3CAF4DB1">
            <w:pPr>
              <w:tabs>
                <w:tab w:val="left" w:pos="0"/>
                <w:tab w:val="left" w:pos="720"/>
              </w:tabs>
              <w:jc w:val="center"/>
              <w:rPr>
                <w:rFonts w:hint="eastAsia" w:ascii="宋体" w:hAnsi="宋体" w:cs="宋体"/>
                <w:color w:val="auto"/>
                <w:sz w:val="24"/>
                <w:highlight w:val="none"/>
              </w:rPr>
            </w:pPr>
          </w:p>
        </w:tc>
        <w:tc>
          <w:tcPr>
            <w:tcW w:w="1468" w:type="dxa"/>
            <w:vAlign w:val="center"/>
          </w:tcPr>
          <w:p w14:paraId="2C4447D5">
            <w:pPr>
              <w:tabs>
                <w:tab w:val="left" w:pos="0"/>
                <w:tab w:val="left" w:pos="720"/>
              </w:tabs>
              <w:jc w:val="center"/>
              <w:rPr>
                <w:rFonts w:hint="eastAsia" w:ascii="宋体" w:hAnsi="宋体" w:cs="宋体"/>
                <w:color w:val="auto"/>
                <w:sz w:val="24"/>
                <w:highlight w:val="none"/>
              </w:rPr>
            </w:pPr>
          </w:p>
        </w:tc>
      </w:tr>
      <w:tr w14:paraId="2DE890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14:paraId="41A09166">
            <w:pPr>
              <w:tabs>
                <w:tab w:val="left" w:pos="0"/>
                <w:tab w:val="left" w:pos="720"/>
              </w:tabs>
              <w:jc w:val="center"/>
              <w:rPr>
                <w:rFonts w:hint="eastAsia" w:ascii="宋体" w:hAnsi="宋体" w:cs="宋体"/>
                <w:color w:val="auto"/>
                <w:sz w:val="24"/>
                <w:highlight w:val="none"/>
              </w:rPr>
            </w:pPr>
          </w:p>
        </w:tc>
        <w:tc>
          <w:tcPr>
            <w:tcW w:w="1311" w:type="dxa"/>
            <w:vAlign w:val="center"/>
          </w:tcPr>
          <w:p w14:paraId="47F6BA77">
            <w:pPr>
              <w:tabs>
                <w:tab w:val="left" w:pos="0"/>
                <w:tab w:val="left" w:pos="720"/>
              </w:tabs>
              <w:jc w:val="center"/>
              <w:rPr>
                <w:rFonts w:hint="eastAsia" w:ascii="宋体" w:hAnsi="宋体" w:cs="宋体"/>
                <w:color w:val="auto"/>
                <w:sz w:val="24"/>
                <w:highlight w:val="none"/>
              </w:rPr>
            </w:pPr>
          </w:p>
        </w:tc>
        <w:tc>
          <w:tcPr>
            <w:tcW w:w="2320" w:type="dxa"/>
            <w:vAlign w:val="center"/>
          </w:tcPr>
          <w:p w14:paraId="5F5C3AD9">
            <w:pPr>
              <w:tabs>
                <w:tab w:val="left" w:pos="0"/>
                <w:tab w:val="left" w:pos="720"/>
              </w:tabs>
              <w:jc w:val="center"/>
              <w:rPr>
                <w:rFonts w:hint="eastAsia" w:ascii="宋体" w:hAnsi="宋体" w:cs="宋体"/>
                <w:color w:val="auto"/>
                <w:sz w:val="24"/>
                <w:highlight w:val="none"/>
              </w:rPr>
            </w:pPr>
          </w:p>
        </w:tc>
        <w:tc>
          <w:tcPr>
            <w:tcW w:w="2449" w:type="dxa"/>
            <w:vAlign w:val="center"/>
          </w:tcPr>
          <w:p w14:paraId="704A8BF1">
            <w:pPr>
              <w:tabs>
                <w:tab w:val="left" w:pos="0"/>
                <w:tab w:val="left" w:pos="720"/>
              </w:tabs>
              <w:jc w:val="center"/>
              <w:rPr>
                <w:rFonts w:hint="eastAsia" w:ascii="宋体" w:hAnsi="宋体" w:cs="宋体"/>
                <w:color w:val="auto"/>
                <w:sz w:val="24"/>
                <w:highlight w:val="none"/>
              </w:rPr>
            </w:pPr>
          </w:p>
        </w:tc>
        <w:tc>
          <w:tcPr>
            <w:tcW w:w="1468" w:type="dxa"/>
            <w:vAlign w:val="center"/>
          </w:tcPr>
          <w:p w14:paraId="76E79914">
            <w:pPr>
              <w:tabs>
                <w:tab w:val="left" w:pos="0"/>
                <w:tab w:val="left" w:pos="720"/>
              </w:tabs>
              <w:jc w:val="center"/>
              <w:rPr>
                <w:rFonts w:hint="eastAsia" w:ascii="宋体" w:hAnsi="宋体" w:cs="宋体"/>
                <w:color w:val="auto"/>
                <w:sz w:val="24"/>
                <w:highlight w:val="none"/>
              </w:rPr>
            </w:pPr>
          </w:p>
        </w:tc>
      </w:tr>
      <w:tr w14:paraId="3E5F42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14:paraId="4DF39895">
            <w:pPr>
              <w:tabs>
                <w:tab w:val="left" w:pos="0"/>
                <w:tab w:val="left" w:pos="720"/>
              </w:tabs>
              <w:jc w:val="center"/>
              <w:rPr>
                <w:rFonts w:hint="eastAsia" w:ascii="宋体" w:hAnsi="宋体" w:cs="宋体"/>
                <w:color w:val="auto"/>
                <w:sz w:val="24"/>
                <w:highlight w:val="none"/>
              </w:rPr>
            </w:pPr>
          </w:p>
        </w:tc>
        <w:tc>
          <w:tcPr>
            <w:tcW w:w="1311" w:type="dxa"/>
            <w:vAlign w:val="center"/>
          </w:tcPr>
          <w:p w14:paraId="15316D17">
            <w:pPr>
              <w:tabs>
                <w:tab w:val="left" w:pos="0"/>
                <w:tab w:val="left" w:pos="720"/>
              </w:tabs>
              <w:jc w:val="center"/>
              <w:rPr>
                <w:rFonts w:hint="eastAsia" w:ascii="宋体" w:hAnsi="宋体" w:cs="宋体"/>
                <w:color w:val="auto"/>
                <w:sz w:val="24"/>
                <w:highlight w:val="none"/>
              </w:rPr>
            </w:pPr>
          </w:p>
        </w:tc>
        <w:tc>
          <w:tcPr>
            <w:tcW w:w="2320" w:type="dxa"/>
            <w:vAlign w:val="center"/>
          </w:tcPr>
          <w:p w14:paraId="2432C07B">
            <w:pPr>
              <w:tabs>
                <w:tab w:val="left" w:pos="0"/>
                <w:tab w:val="left" w:pos="720"/>
              </w:tabs>
              <w:jc w:val="center"/>
              <w:rPr>
                <w:rFonts w:hint="eastAsia" w:ascii="宋体" w:hAnsi="宋体" w:cs="宋体"/>
                <w:color w:val="auto"/>
                <w:sz w:val="24"/>
                <w:highlight w:val="none"/>
              </w:rPr>
            </w:pPr>
          </w:p>
        </w:tc>
        <w:tc>
          <w:tcPr>
            <w:tcW w:w="2449" w:type="dxa"/>
            <w:vAlign w:val="center"/>
          </w:tcPr>
          <w:p w14:paraId="4A0F0035">
            <w:pPr>
              <w:tabs>
                <w:tab w:val="left" w:pos="0"/>
                <w:tab w:val="left" w:pos="720"/>
              </w:tabs>
              <w:jc w:val="center"/>
              <w:rPr>
                <w:rFonts w:hint="eastAsia" w:ascii="宋体" w:hAnsi="宋体" w:cs="宋体"/>
                <w:color w:val="auto"/>
                <w:sz w:val="24"/>
                <w:highlight w:val="none"/>
              </w:rPr>
            </w:pPr>
          </w:p>
        </w:tc>
        <w:tc>
          <w:tcPr>
            <w:tcW w:w="1468" w:type="dxa"/>
            <w:vAlign w:val="center"/>
          </w:tcPr>
          <w:p w14:paraId="3C87BCB5">
            <w:pPr>
              <w:tabs>
                <w:tab w:val="left" w:pos="0"/>
                <w:tab w:val="left" w:pos="720"/>
              </w:tabs>
              <w:jc w:val="center"/>
              <w:rPr>
                <w:rFonts w:hint="eastAsia" w:ascii="宋体" w:hAnsi="宋体" w:cs="宋体"/>
                <w:color w:val="auto"/>
                <w:sz w:val="24"/>
                <w:highlight w:val="none"/>
              </w:rPr>
            </w:pPr>
          </w:p>
        </w:tc>
      </w:tr>
    </w:tbl>
    <w:p w14:paraId="570B99E6">
      <w:pPr>
        <w:tabs>
          <w:tab w:val="left" w:pos="720"/>
        </w:tabs>
        <w:spacing w:line="360" w:lineRule="auto"/>
        <w:ind w:firstLine="360" w:firstLineChars="200"/>
        <w:rPr>
          <w:rFonts w:hint="eastAsia" w:ascii="宋体" w:hAnsi="宋体"/>
          <w:color w:val="auto"/>
          <w:sz w:val="18"/>
          <w:szCs w:val="18"/>
          <w:highlight w:val="none"/>
        </w:rPr>
      </w:pPr>
      <w:r>
        <w:rPr>
          <w:rFonts w:hint="eastAsia" w:ascii="宋体" w:hAnsi="宋体"/>
          <w:color w:val="auto"/>
          <w:sz w:val="18"/>
          <w:szCs w:val="18"/>
          <w:highlight w:val="none"/>
        </w:rPr>
        <w:t>编制负责人：                                             解释负责人：</w:t>
      </w:r>
    </w:p>
    <w:p w14:paraId="731BE2A5">
      <w:pPr>
        <w:pStyle w:val="38"/>
        <w:spacing w:after="0" w:line="360" w:lineRule="auto"/>
        <w:ind w:left="-2" w:leftChars="-1" w:firstLine="0"/>
        <w:rPr>
          <w:rFonts w:hint="eastAsia" w:ascii="宋体" w:hAnsi="宋体"/>
          <w:color w:val="auto"/>
          <w:sz w:val="18"/>
          <w:szCs w:val="18"/>
          <w:highlight w:val="none"/>
        </w:rPr>
      </w:pPr>
    </w:p>
    <w:p w14:paraId="0FD2C8D5">
      <w:pPr>
        <w:pStyle w:val="38"/>
        <w:spacing w:after="0" w:line="360" w:lineRule="auto"/>
        <w:ind w:left="-2" w:leftChars="-1" w:firstLine="0"/>
        <w:rPr>
          <w:rFonts w:hint="eastAsia" w:ascii="宋体" w:hAnsi="宋体"/>
          <w:bCs/>
          <w:iCs/>
          <w:color w:val="auto"/>
          <w:sz w:val="18"/>
          <w:szCs w:val="18"/>
          <w:highlight w:val="none"/>
        </w:rPr>
      </w:pPr>
      <w:r>
        <w:rPr>
          <w:rFonts w:hint="eastAsia" w:ascii="宋体" w:hAnsi="宋体"/>
          <w:color w:val="auto"/>
          <w:sz w:val="18"/>
          <w:szCs w:val="18"/>
          <w:highlight w:val="none"/>
        </w:rPr>
        <w:t>注：</w:t>
      </w:r>
      <w:r>
        <w:rPr>
          <w:rFonts w:hint="eastAsia" w:ascii="宋体" w:hAnsi="宋体"/>
          <w:bCs/>
          <w:iCs/>
          <w:color w:val="auto"/>
          <w:sz w:val="18"/>
          <w:szCs w:val="18"/>
          <w:highlight w:val="none"/>
        </w:rPr>
        <w:t>参与编制标书所有人员名单应包括如编制工程总承包实施方案、投标报价、负责清样校对、负责加密打包、负责上传、负责密封、负责打印及复印等所有人员在内的人员名单。</w:t>
      </w:r>
    </w:p>
    <w:p w14:paraId="246F54A5">
      <w:pPr>
        <w:pStyle w:val="38"/>
        <w:spacing w:after="0" w:line="360" w:lineRule="auto"/>
        <w:ind w:left="-2" w:leftChars="-1" w:firstLine="0"/>
        <w:rPr>
          <w:rFonts w:hint="eastAsia" w:ascii="宋体" w:hAnsi="宋体"/>
          <w:bCs/>
          <w:iCs/>
          <w:color w:val="auto"/>
          <w:sz w:val="18"/>
          <w:szCs w:val="18"/>
          <w:highlight w:val="none"/>
        </w:rPr>
      </w:pPr>
    </w:p>
    <w:p w14:paraId="5E0EF96F">
      <w:pPr>
        <w:pStyle w:val="3"/>
        <w:spacing w:before="0" w:after="0"/>
        <w:rPr>
          <w:rFonts w:hint="eastAsia" w:ascii="宋体" w:hAnsi="宋体" w:eastAsia="宋体"/>
          <w:bCs w:val="0"/>
          <w:iCs/>
          <w:color w:val="auto"/>
          <w:sz w:val="18"/>
          <w:szCs w:val="18"/>
          <w:highlight w:val="none"/>
        </w:rPr>
      </w:pPr>
      <w:r>
        <w:rPr>
          <w:rFonts w:hint="eastAsia" w:ascii="宋体" w:hAnsi="宋体" w:eastAsia="宋体"/>
          <w:iCs/>
          <w:color w:val="auto"/>
          <w:sz w:val="18"/>
          <w:szCs w:val="18"/>
          <w:highlight w:val="none"/>
        </w:rPr>
        <w:br w:type="page"/>
      </w:r>
      <w:r>
        <w:rPr>
          <w:rFonts w:hint="eastAsia" w:ascii="宋体" w:hAnsi="宋体" w:eastAsia="宋体" w:cs="宋体"/>
          <w:color w:val="auto"/>
          <w:sz w:val="28"/>
          <w:szCs w:val="28"/>
          <w:highlight w:val="none"/>
        </w:rPr>
        <w:t>格式7：</w:t>
      </w:r>
    </w:p>
    <w:p w14:paraId="7F83F9B4">
      <w:pPr>
        <w:pStyle w:val="38"/>
        <w:spacing w:after="0" w:line="360" w:lineRule="auto"/>
        <w:ind w:left="-2" w:leftChars="-1" w:firstLine="0"/>
        <w:jc w:val="center"/>
        <w:rPr>
          <w:rFonts w:hint="eastAsia" w:ascii="宋体" w:hAnsi="宋体"/>
          <w:bCs/>
          <w:iCs/>
          <w:color w:val="auto"/>
          <w:sz w:val="24"/>
          <w:highlight w:val="none"/>
          <w:u w:val="single"/>
        </w:rPr>
      </w:pPr>
      <w:r>
        <w:rPr>
          <w:rFonts w:hint="eastAsia" w:ascii="宋体" w:hAnsi="宋体"/>
          <w:bCs/>
          <w:iCs/>
          <w:color w:val="auto"/>
          <w:sz w:val="24"/>
          <w:highlight w:val="none"/>
          <w:u w:val="single"/>
        </w:rPr>
        <w:t>投标人认为需要提交的其他资料</w:t>
      </w:r>
    </w:p>
    <w:bookmarkEnd w:id="511"/>
    <w:bookmarkEnd w:id="512"/>
    <w:bookmarkEnd w:id="513"/>
    <w:bookmarkEnd w:id="514"/>
    <w:bookmarkEnd w:id="515"/>
    <w:p w14:paraId="6B26D5C8">
      <w:pPr>
        <w:rPr>
          <w:rFonts w:hint="eastAsia" w:ascii="宋体" w:hAnsi="宋体"/>
          <w:color w:val="auto"/>
          <w:highlight w:val="none"/>
        </w:rPr>
      </w:pPr>
    </w:p>
    <w:sectPr>
      <w:footerReference r:id="rId8" w:type="default"/>
      <w:pgSz w:w="11905" w:h="16838"/>
      <w:pgMar w:top="1417" w:right="1134" w:bottom="1417" w:left="1134" w:header="851"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华文细黑">
    <w:altName w:val="微软雅黑"/>
    <w:panose1 w:val="02010600040101010101"/>
    <w:charset w:val="86"/>
    <w:family w:val="auto"/>
    <w:pitch w:val="default"/>
    <w:sig w:usb0="00000000" w:usb1="00000000" w:usb2="00000000" w:usb3="00000000" w:csb0="0004009F" w:csb1="DFD70000"/>
  </w:font>
  <w:font w:name="Calisto MT">
    <w:altName w:val="Segoe Print"/>
    <w:panose1 w:val="02040603050505030304"/>
    <w:charset w:val="00"/>
    <w:family w:val="roman"/>
    <w:pitch w:val="default"/>
    <w:sig w:usb0="00000000" w:usb1="00000000" w:usb2="00000000" w:usb3="00000000" w:csb0="2000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79225">
    <w:pPr>
      <w:pStyle w:val="25"/>
      <w:jc w:val="center"/>
    </w:pPr>
    <w:r>
      <w:fldChar w:fldCharType="begin"/>
    </w:r>
    <w:r>
      <w:instrText xml:space="preserve">PAGE   \* MERGEFORMAT</w:instrText>
    </w:r>
    <w:r>
      <w:fldChar w:fldCharType="separate"/>
    </w:r>
    <w:r>
      <w:rPr>
        <w:lang w:val="zh-CN"/>
      </w:rPr>
      <w:t>20</w:t>
    </w:r>
    <w:r>
      <w:rPr>
        <w:lang w:val="zh-CN"/>
      </w:rPr>
      <w:fldChar w:fldCharType="end"/>
    </w:r>
  </w:p>
  <w:p w14:paraId="6DFE86BB">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0DCDE">
    <w:pPr>
      <w:pStyle w:val="2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17780" b="1270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65B746F4">
                          <w:pPr>
                            <w:pStyle w:val="25"/>
                          </w:pPr>
                          <w:r>
                            <w:fldChar w:fldCharType="begin"/>
                          </w:r>
                          <w:r>
                            <w:instrText xml:space="preserve"> PAGE  \* MERGEFORMAT </w:instrText>
                          </w:r>
                          <w:r>
                            <w:fldChar w:fldCharType="separate"/>
                          </w:r>
                          <w:r>
                            <w:t>38</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&#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LpYU0AAAAAMBAAAPAAAAAAAAAAEAIAAAACIAAABk&#10;cnMvZG93bnJldi54bWxQSwECFAAUAAAACACHTuJA1i3luA4CAAAQBAAADgAAAAAAAAABACAAAAAf&#10;AQAAZHJzL2Uyb0RvYy54bWxQSwUGAAAAAAYABgBZAQAAnwUAAAAA&#10;">
              <v:fill on="f" focussize="0,0"/>
              <v:stroke on="f"/>
              <v:imagedata o:title=""/>
              <o:lock v:ext="edit" aspectratio="f"/>
              <v:textbox inset="0mm,0mm,0mm,0mm" style="mso-fit-shape-to-text:t;">
                <w:txbxContent>
                  <w:p w14:paraId="65B746F4">
                    <w:pPr>
                      <w:pStyle w:val="25"/>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E2DFD">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17780" b="12700"/>
              <wp:wrapNone/>
              <wp:docPr id="1"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3A7934CB">
                          <w:pPr>
                            <w:pStyle w:val="25"/>
                          </w:pPr>
                          <w:r>
                            <w:fldChar w:fldCharType="begin"/>
                          </w:r>
                          <w:r>
                            <w:instrText xml:space="preserve"> PAGE  \* MERGEFORMAT </w:instrText>
                          </w:r>
                          <w:r>
                            <w:fldChar w:fldCharType="separate"/>
                          </w:r>
                          <w:r>
                            <w:t>46</w:t>
                          </w:r>
                          <w: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&#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LpYU0AAAAAMBAAAPAAAAAAAAAAEAIAAAACIAAABk&#10;cnMvZG93bnJldi54bWxQSwECFAAUAAAACACHTuJAY50WgA4CAAAQBAAADgAAAAAAAAABACAAAAAf&#10;AQAAZHJzL2Uyb0RvYy54bWxQSwUGAAAAAAYABgBZAQAAnwUAAAAA&#10;">
              <v:fill on="f" focussize="0,0"/>
              <v:stroke on="f"/>
              <v:imagedata o:title=""/>
              <o:lock v:ext="edit" aspectratio="f"/>
              <v:textbox inset="0mm,0mm,0mm,0mm" style="mso-fit-shape-to-text:t;">
                <w:txbxContent>
                  <w:p w14:paraId="3A7934CB">
                    <w:pPr>
                      <w:pStyle w:val="2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81773">
    <w:pPr>
      <w:pStyle w:val="2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7955"/>
              <wp:effectExtent l="0" t="0" r="18415" b="4445"/>
              <wp:wrapNone/>
              <wp:docPr id="6" name="文本框 5"/>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a:noFill/>
                      </a:ln>
                    </wps:spPr>
                    <wps:txbx>
                      <w:txbxContent>
                        <w:p w14:paraId="1379B5C4">
                          <w:pPr>
                            <w:pStyle w:val="25"/>
                            <w:jc w:val="center"/>
                          </w:pPr>
                          <w:r>
                            <w:rPr>
                              <w:rFonts w:hint="eastAsia" w:ascii="宋体" w:hAnsi="宋体" w:cs="宋体"/>
                            </w:rPr>
                            <w:fldChar w:fldCharType="begin"/>
                          </w:r>
                          <w:r>
                            <w:rPr>
                              <w:rStyle w:val="42"/>
                              <w:rFonts w:hint="eastAsia" w:ascii="宋体" w:hAnsi="宋体" w:cs="宋体"/>
                            </w:rPr>
                            <w:instrText xml:space="preserve"> PAGE </w:instrText>
                          </w:r>
                          <w:r>
                            <w:rPr>
                              <w:rFonts w:hint="eastAsia" w:ascii="宋体" w:hAnsi="宋体" w:cs="宋体"/>
                            </w:rPr>
                            <w:fldChar w:fldCharType="separate"/>
                          </w:r>
                          <w:r>
                            <w:rPr>
                              <w:rStyle w:val="42"/>
                              <w:rFonts w:ascii="宋体" w:hAnsi="宋体" w:cs="宋体"/>
                            </w:rPr>
                            <w:t>50</w:t>
                          </w:r>
                          <w:r>
                            <w:rPr>
                              <w:rFonts w:hint="eastAsia" w:ascii="宋体" w:hAnsi="宋体" w:cs="宋体"/>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9.05pt;mso-position-horizontal:center;mso-position-horizontal-relative:margin;mso-wrap-style:none;z-index:251661312;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6W/D9EAAAADAQAADwAAAAAAAAABACAAAAAiAAAAZHJzL2Rv&#10;d25yZXYueG1sUEsBAhQAFAAAAAgAh07iQEWQMEHPAQAAlwMAAA4AAAAAAAAAAQAgAAAAIAEAAGRy&#10;cy9lMm9Eb2MueG1sUEsFBgAAAAAGAAYAWQEAAGEFAAAAAA==&#10;">
              <v:fill on="f" focussize="0,0"/>
              <v:stroke on="f"/>
              <v:imagedata o:title=""/>
              <o:lock v:ext="edit" aspectratio="f"/>
              <v:textbox inset="0mm,0mm,0mm,0mm" style="mso-fit-shape-to-text:t;">
                <w:txbxContent>
                  <w:p w14:paraId="1379B5C4">
                    <w:pPr>
                      <w:pStyle w:val="25"/>
                      <w:jc w:val="center"/>
                    </w:pPr>
                    <w:r>
                      <w:rPr>
                        <w:rFonts w:hint="eastAsia" w:ascii="宋体" w:hAnsi="宋体" w:cs="宋体"/>
                      </w:rPr>
                      <w:fldChar w:fldCharType="begin"/>
                    </w:r>
                    <w:r>
                      <w:rPr>
                        <w:rStyle w:val="42"/>
                        <w:rFonts w:hint="eastAsia" w:ascii="宋体" w:hAnsi="宋体" w:cs="宋体"/>
                      </w:rPr>
                      <w:instrText xml:space="preserve"> PAGE </w:instrText>
                    </w:r>
                    <w:r>
                      <w:rPr>
                        <w:rFonts w:hint="eastAsia" w:ascii="宋体" w:hAnsi="宋体" w:cs="宋体"/>
                      </w:rPr>
                      <w:fldChar w:fldCharType="separate"/>
                    </w:r>
                    <w:r>
                      <w:rPr>
                        <w:rStyle w:val="42"/>
                        <w:rFonts w:ascii="宋体" w:hAnsi="宋体" w:cs="宋体"/>
                      </w:rPr>
                      <w:t>50</w:t>
                    </w:r>
                    <w:r>
                      <w:rPr>
                        <w:rFonts w:hint="eastAsia" w:ascii="宋体" w:hAnsi="宋体" w:cs="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1505E">
    <w:pPr>
      <w:pStyle w:val="25"/>
      <w:jc w:val="center"/>
    </w:pPr>
    <w:r>
      <w:fldChar w:fldCharType="begin"/>
    </w:r>
    <w:r>
      <w:rPr>
        <w:rStyle w:val="42"/>
      </w:rPr>
      <w:instrText xml:space="preserve"> PAGE </w:instrText>
    </w:r>
    <w:r>
      <w:fldChar w:fldCharType="separate"/>
    </w:r>
    <w:r>
      <w:rPr>
        <w:rStyle w:val="42"/>
      </w:rPr>
      <w:t>55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18C42">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761BAC"/>
    <w:multiLevelType w:val="singleLevel"/>
    <w:tmpl w:val="8C761BAC"/>
    <w:lvl w:ilvl="0" w:tentative="0">
      <w:start w:val="1"/>
      <w:numFmt w:val="decimal"/>
      <w:lvlText w:val="%1."/>
      <w:lvlJc w:val="left"/>
      <w:pPr>
        <w:ind w:left="425" w:hanging="425"/>
      </w:pPr>
      <w:rPr>
        <w:rFonts w:hint="default"/>
      </w:rPr>
    </w:lvl>
  </w:abstractNum>
  <w:abstractNum w:abstractNumId="1">
    <w:nsid w:val="D27AE78D"/>
    <w:multiLevelType w:val="singleLevel"/>
    <w:tmpl w:val="D27AE78D"/>
    <w:lvl w:ilvl="0" w:tentative="0">
      <w:start w:val="1"/>
      <w:numFmt w:val="decimal"/>
      <w:lvlText w:val="%1."/>
      <w:lvlJc w:val="left"/>
      <w:pPr>
        <w:ind w:left="425" w:hanging="425"/>
      </w:pPr>
      <w:rPr>
        <w:rFonts w:hint="default"/>
      </w:rPr>
    </w:lvl>
  </w:abstractNum>
  <w:abstractNum w:abstractNumId="2">
    <w:nsid w:val="03BDA407"/>
    <w:multiLevelType w:val="singleLevel"/>
    <w:tmpl w:val="03BDA407"/>
    <w:lvl w:ilvl="0" w:tentative="0">
      <w:start w:val="1"/>
      <w:numFmt w:val="decimal"/>
      <w:suff w:val="space"/>
      <w:lvlText w:val="(%1)"/>
      <w:lvlJc w:val="left"/>
      <w:pPr>
        <w:ind w:left="454" w:hanging="454"/>
      </w:pPr>
      <w:rPr>
        <w:rFonts w:hint="default" w:ascii="宋体" w:hAnsi="宋体" w:eastAsia="宋体" w:cs="宋体"/>
        <w:color w:val="auto"/>
        <w:sz w:val="21"/>
        <w:szCs w:val="21"/>
      </w:rPr>
    </w:lvl>
  </w:abstractNum>
  <w:abstractNum w:abstractNumId="3">
    <w:nsid w:val="4692604F"/>
    <w:multiLevelType w:val="singleLevel"/>
    <w:tmpl w:val="4692604F"/>
    <w:lvl w:ilvl="0" w:tentative="0">
      <w:start w:val="1"/>
      <w:numFmt w:val="decimal"/>
      <w:suff w:val="nothing"/>
      <w:lvlText w:val="%1、"/>
      <w:lvlJc w:val="left"/>
    </w:lvl>
  </w:abstractNum>
  <w:abstractNum w:abstractNumId="4">
    <w:nsid w:val="6D39FFF8"/>
    <w:multiLevelType w:val="singleLevel"/>
    <w:tmpl w:val="6D39FFF8"/>
    <w:lvl w:ilvl="0" w:tentative="0">
      <w:start w:val="1"/>
      <w:numFmt w:val="decimal"/>
      <w:lvlText w:val="(%1)"/>
      <w:lvlJc w:val="left"/>
      <w:pPr>
        <w:ind w:left="425" w:hanging="425"/>
      </w:pPr>
      <w:rPr>
        <w:rFonts w:hint="default" w:ascii="宋体" w:hAnsi="宋体" w:eastAsia="宋体" w:cs="宋体"/>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JmMTg3MDYwZDExNzFlOThhMjM5M2VkMzI2ZmYzOTkifQ=="/>
  </w:docVars>
  <w:rsids>
    <w:rsidRoot w:val="00E30E3E"/>
    <w:rsid w:val="00013006"/>
    <w:rsid w:val="0004713D"/>
    <w:rsid w:val="00050A07"/>
    <w:rsid w:val="0005185E"/>
    <w:rsid w:val="000851B4"/>
    <w:rsid w:val="00092FAC"/>
    <w:rsid w:val="000939AB"/>
    <w:rsid w:val="000B26CB"/>
    <w:rsid w:val="000C38DF"/>
    <w:rsid w:val="000C42A6"/>
    <w:rsid w:val="000D3B75"/>
    <w:rsid w:val="000E09E0"/>
    <w:rsid w:val="000F59F7"/>
    <w:rsid w:val="00157970"/>
    <w:rsid w:val="001676BB"/>
    <w:rsid w:val="00177810"/>
    <w:rsid w:val="0019533A"/>
    <w:rsid w:val="00196494"/>
    <w:rsid w:val="001A3723"/>
    <w:rsid w:val="001B045A"/>
    <w:rsid w:val="001D0E25"/>
    <w:rsid w:val="001E4555"/>
    <w:rsid w:val="001F19D5"/>
    <w:rsid w:val="001F1CCA"/>
    <w:rsid w:val="001F2EFB"/>
    <w:rsid w:val="00204764"/>
    <w:rsid w:val="002225EC"/>
    <w:rsid w:val="0022568B"/>
    <w:rsid w:val="002331B6"/>
    <w:rsid w:val="00255B68"/>
    <w:rsid w:val="00257022"/>
    <w:rsid w:val="00265B0B"/>
    <w:rsid w:val="00265ED5"/>
    <w:rsid w:val="00275350"/>
    <w:rsid w:val="002A14FC"/>
    <w:rsid w:val="002A1E3F"/>
    <w:rsid w:val="002D2AF5"/>
    <w:rsid w:val="002E6282"/>
    <w:rsid w:val="00302A11"/>
    <w:rsid w:val="00312187"/>
    <w:rsid w:val="003562D3"/>
    <w:rsid w:val="0036310E"/>
    <w:rsid w:val="0036332E"/>
    <w:rsid w:val="00366621"/>
    <w:rsid w:val="00367102"/>
    <w:rsid w:val="00381D17"/>
    <w:rsid w:val="003A04BF"/>
    <w:rsid w:val="003A690D"/>
    <w:rsid w:val="003B40E8"/>
    <w:rsid w:val="003B53A1"/>
    <w:rsid w:val="003F2EDC"/>
    <w:rsid w:val="003F5EBD"/>
    <w:rsid w:val="00400754"/>
    <w:rsid w:val="00417342"/>
    <w:rsid w:val="00436E6C"/>
    <w:rsid w:val="00464D99"/>
    <w:rsid w:val="004A5B1F"/>
    <w:rsid w:val="004B7630"/>
    <w:rsid w:val="004B7944"/>
    <w:rsid w:val="004D2CA9"/>
    <w:rsid w:val="004E3217"/>
    <w:rsid w:val="004E647E"/>
    <w:rsid w:val="004E7103"/>
    <w:rsid w:val="00505524"/>
    <w:rsid w:val="00533ACC"/>
    <w:rsid w:val="00544856"/>
    <w:rsid w:val="00552606"/>
    <w:rsid w:val="00590831"/>
    <w:rsid w:val="00597901"/>
    <w:rsid w:val="005B10FA"/>
    <w:rsid w:val="005C68AA"/>
    <w:rsid w:val="005D1D29"/>
    <w:rsid w:val="005E0E60"/>
    <w:rsid w:val="005E2C53"/>
    <w:rsid w:val="005E3933"/>
    <w:rsid w:val="005F2285"/>
    <w:rsid w:val="005F57C1"/>
    <w:rsid w:val="00615C47"/>
    <w:rsid w:val="006369CF"/>
    <w:rsid w:val="00642DC6"/>
    <w:rsid w:val="00666F72"/>
    <w:rsid w:val="00691F05"/>
    <w:rsid w:val="006A595E"/>
    <w:rsid w:val="006D1742"/>
    <w:rsid w:val="006D739E"/>
    <w:rsid w:val="006F3FDF"/>
    <w:rsid w:val="006F433F"/>
    <w:rsid w:val="006F43D8"/>
    <w:rsid w:val="00713D4C"/>
    <w:rsid w:val="00726BEA"/>
    <w:rsid w:val="0075790C"/>
    <w:rsid w:val="00761FB9"/>
    <w:rsid w:val="00771041"/>
    <w:rsid w:val="00775214"/>
    <w:rsid w:val="00787B98"/>
    <w:rsid w:val="007C500D"/>
    <w:rsid w:val="00801A0F"/>
    <w:rsid w:val="00805735"/>
    <w:rsid w:val="00817F23"/>
    <w:rsid w:val="00827CAC"/>
    <w:rsid w:val="00832E68"/>
    <w:rsid w:val="00837B6D"/>
    <w:rsid w:val="00851813"/>
    <w:rsid w:val="00857C0F"/>
    <w:rsid w:val="0086139C"/>
    <w:rsid w:val="008755A8"/>
    <w:rsid w:val="00876D44"/>
    <w:rsid w:val="00893A67"/>
    <w:rsid w:val="008A79C3"/>
    <w:rsid w:val="008B5AE0"/>
    <w:rsid w:val="008C4ACC"/>
    <w:rsid w:val="008C68B9"/>
    <w:rsid w:val="008C6E75"/>
    <w:rsid w:val="008E39FF"/>
    <w:rsid w:val="008E6826"/>
    <w:rsid w:val="008F08AB"/>
    <w:rsid w:val="008F47EB"/>
    <w:rsid w:val="00906552"/>
    <w:rsid w:val="009301CB"/>
    <w:rsid w:val="009376B8"/>
    <w:rsid w:val="009466DC"/>
    <w:rsid w:val="009557AA"/>
    <w:rsid w:val="009566CB"/>
    <w:rsid w:val="0096128F"/>
    <w:rsid w:val="0099352A"/>
    <w:rsid w:val="009A2691"/>
    <w:rsid w:val="009A6ACD"/>
    <w:rsid w:val="009D212E"/>
    <w:rsid w:val="009E3C96"/>
    <w:rsid w:val="009F01E3"/>
    <w:rsid w:val="00A314EE"/>
    <w:rsid w:val="00A4700D"/>
    <w:rsid w:val="00A84713"/>
    <w:rsid w:val="00AA1396"/>
    <w:rsid w:val="00AA1AEF"/>
    <w:rsid w:val="00AA3FE6"/>
    <w:rsid w:val="00AA4300"/>
    <w:rsid w:val="00AC1555"/>
    <w:rsid w:val="00AC2448"/>
    <w:rsid w:val="00AC274C"/>
    <w:rsid w:val="00B047D9"/>
    <w:rsid w:val="00B22BA5"/>
    <w:rsid w:val="00B26E82"/>
    <w:rsid w:val="00B31908"/>
    <w:rsid w:val="00B50B96"/>
    <w:rsid w:val="00B52FC8"/>
    <w:rsid w:val="00B566A1"/>
    <w:rsid w:val="00B61984"/>
    <w:rsid w:val="00B67362"/>
    <w:rsid w:val="00B764E2"/>
    <w:rsid w:val="00B9440C"/>
    <w:rsid w:val="00BB3291"/>
    <w:rsid w:val="00BD7DC9"/>
    <w:rsid w:val="00BE5AA3"/>
    <w:rsid w:val="00BF1EC4"/>
    <w:rsid w:val="00BF22FB"/>
    <w:rsid w:val="00BF566C"/>
    <w:rsid w:val="00C053BA"/>
    <w:rsid w:val="00C138DF"/>
    <w:rsid w:val="00C22657"/>
    <w:rsid w:val="00C41462"/>
    <w:rsid w:val="00C46451"/>
    <w:rsid w:val="00C6117B"/>
    <w:rsid w:val="00C71A7E"/>
    <w:rsid w:val="00C73420"/>
    <w:rsid w:val="00C801CA"/>
    <w:rsid w:val="00C833D3"/>
    <w:rsid w:val="00C96B0B"/>
    <w:rsid w:val="00CC013C"/>
    <w:rsid w:val="00CD5038"/>
    <w:rsid w:val="00CE1890"/>
    <w:rsid w:val="00CE2161"/>
    <w:rsid w:val="00D21AD9"/>
    <w:rsid w:val="00D43CCF"/>
    <w:rsid w:val="00D47ED8"/>
    <w:rsid w:val="00D56291"/>
    <w:rsid w:val="00DB3FA3"/>
    <w:rsid w:val="00DC6801"/>
    <w:rsid w:val="00DD0F7C"/>
    <w:rsid w:val="00E05838"/>
    <w:rsid w:val="00E063C4"/>
    <w:rsid w:val="00E1246D"/>
    <w:rsid w:val="00E13272"/>
    <w:rsid w:val="00E16CB9"/>
    <w:rsid w:val="00E30E3E"/>
    <w:rsid w:val="00E36ABD"/>
    <w:rsid w:val="00E46D8B"/>
    <w:rsid w:val="00E509F5"/>
    <w:rsid w:val="00E50BD9"/>
    <w:rsid w:val="00E563AB"/>
    <w:rsid w:val="00E64A87"/>
    <w:rsid w:val="00E707B6"/>
    <w:rsid w:val="00E72118"/>
    <w:rsid w:val="00E7541C"/>
    <w:rsid w:val="00EA1D0F"/>
    <w:rsid w:val="00EA4F3E"/>
    <w:rsid w:val="00EA59CA"/>
    <w:rsid w:val="00EB2D74"/>
    <w:rsid w:val="00ED113D"/>
    <w:rsid w:val="00ED7B3B"/>
    <w:rsid w:val="00F021DC"/>
    <w:rsid w:val="00F15791"/>
    <w:rsid w:val="00F60181"/>
    <w:rsid w:val="00F76D86"/>
    <w:rsid w:val="00FA041C"/>
    <w:rsid w:val="00FA26E0"/>
    <w:rsid w:val="00FA48FE"/>
    <w:rsid w:val="00FA7AD6"/>
    <w:rsid w:val="00FC01C9"/>
    <w:rsid w:val="00FD2CE4"/>
    <w:rsid w:val="05435361"/>
    <w:rsid w:val="066670A6"/>
    <w:rsid w:val="125A30FC"/>
    <w:rsid w:val="13966A26"/>
    <w:rsid w:val="13BD2E34"/>
    <w:rsid w:val="142E6685"/>
    <w:rsid w:val="16964A4A"/>
    <w:rsid w:val="170B6BBC"/>
    <w:rsid w:val="1AED4AA9"/>
    <w:rsid w:val="1C1E0A55"/>
    <w:rsid w:val="1CCA1EE7"/>
    <w:rsid w:val="1D2F2612"/>
    <w:rsid w:val="1DC14CA6"/>
    <w:rsid w:val="206C6470"/>
    <w:rsid w:val="21096DAD"/>
    <w:rsid w:val="254E25E8"/>
    <w:rsid w:val="26AB52FF"/>
    <w:rsid w:val="27AC29E4"/>
    <w:rsid w:val="282B1DB3"/>
    <w:rsid w:val="28A24407"/>
    <w:rsid w:val="2DEC151D"/>
    <w:rsid w:val="2E6B471A"/>
    <w:rsid w:val="32123742"/>
    <w:rsid w:val="34B831F3"/>
    <w:rsid w:val="36FF4C08"/>
    <w:rsid w:val="37070849"/>
    <w:rsid w:val="3E0258F0"/>
    <w:rsid w:val="421105FA"/>
    <w:rsid w:val="42540C84"/>
    <w:rsid w:val="42CB2122"/>
    <w:rsid w:val="48593507"/>
    <w:rsid w:val="4BF947AC"/>
    <w:rsid w:val="4DA35352"/>
    <w:rsid w:val="4F3B2459"/>
    <w:rsid w:val="50302767"/>
    <w:rsid w:val="52592D7D"/>
    <w:rsid w:val="526A6429"/>
    <w:rsid w:val="52BA27BB"/>
    <w:rsid w:val="56033204"/>
    <w:rsid w:val="571E77BD"/>
    <w:rsid w:val="5AF71483"/>
    <w:rsid w:val="634C64B8"/>
    <w:rsid w:val="64063AB3"/>
    <w:rsid w:val="65F6059C"/>
    <w:rsid w:val="662134D8"/>
    <w:rsid w:val="6E3C6186"/>
    <w:rsid w:val="6F2D6397"/>
    <w:rsid w:val="72E72D01"/>
    <w:rsid w:val="751468FF"/>
    <w:rsid w:val="79FF271D"/>
    <w:rsid w:val="7EC16110"/>
    <w:rsid w:val="7F5B769F"/>
    <w:rsid w:val="7FBF3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qFormat="1" w:uiPriority="99"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keepLines/>
      <w:spacing w:before="340" w:after="330" w:line="576" w:lineRule="auto"/>
      <w:outlineLvl w:val="0"/>
    </w:pPr>
    <w:rPr>
      <w:bCs/>
      <w:kern w:val="44"/>
      <w:sz w:val="44"/>
      <w:szCs w:val="44"/>
    </w:rPr>
  </w:style>
  <w:style w:type="paragraph" w:styleId="3">
    <w:name w:val="heading 2"/>
    <w:basedOn w:val="1"/>
    <w:next w:val="1"/>
    <w:link w:val="48"/>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49"/>
    <w:qFormat/>
    <w:uiPriority w:val="0"/>
    <w:pPr>
      <w:keepNext/>
      <w:keepLines/>
      <w:spacing w:before="260" w:after="260" w:line="415" w:lineRule="auto"/>
      <w:ind w:firstLine="137" w:firstLineChars="49"/>
      <w:outlineLvl w:val="2"/>
    </w:pPr>
    <w:rPr>
      <w:rFonts w:ascii="黑体" w:hAnsi="宋体" w:eastAsia="黑体"/>
      <w:bCs/>
      <w:sz w:val="28"/>
      <w:szCs w:val="28"/>
    </w:rPr>
  </w:style>
  <w:style w:type="paragraph" w:styleId="5">
    <w:name w:val="heading 4"/>
    <w:basedOn w:val="1"/>
    <w:next w:val="1"/>
    <w:link w:val="50"/>
    <w:qFormat/>
    <w:uiPriority w:val="0"/>
    <w:pPr>
      <w:keepNext/>
      <w:keepLines/>
      <w:spacing w:before="280" w:after="290" w:line="374" w:lineRule="auto"/>
      <w:outlineLvl w:val="3"/>
    </w:pPr>
    <w:rPr>
      <w:rFonts w:ascii="Arial" w:hAnsi="Arial" w:eastAsia="黑体"/>
      <w:b/>
      <w:bCs/>
      <w:sz w:val="28"/>
      <w:szCs w:val="28"/>
    </w:rPr>
  </w:style>
  <w:style w:type="paragraph" w:styleId="6">
    <w:name w:val="heading 6"/>
    <w:basedOn w:val="1"/>
    <w:next w:val="1"/>
    <w:link w:val="51"/>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7">
    <w:name w:val="heading 7"/>
    <w:basedOn w:val="1"/>
    <w:next w:val="1"/>
    <w:link w:val="52"/>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1"/>
    <w:next w:val="1"/>
    <w:link w:val="53"/>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9">
    <w:name w:val="heading 9"/>
    <w:basedOn w:val="1"/>
    <w:next w:val="1"/>
    <w:link w:val="54"/>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1">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0">
    <w:name w:val="toc 7"/>
    <w:basedOn w:val="1"/>
    <w:next w:val="1"/>
    <w:qFormat/>
    <w:uiPriority w:val="39"/>
    <w:pPr>
      <w:ind w:left="1260"/>
      <w:jc w:val="left"/>
    </w:pPr>
    <w:rPr>
      <w:sz w:val="18"/>
      <w:szCs w:val="18"/>
    </w:rPr>
  </w:style>
  <w:style w:type="paragraph" w:styleId="11">
    <w:name w:val="index 8"/>
    <w:basedOn w:val="1"/>
    <w:next w:val="1"/>
    <w:unhideWhenUsed/>
    <w:qFormat/>
    <w:uiPriority w:val="99"/>
    <w:pPr>
      <w:ind w:left="1400" w:leftChars="1400"/>
    </w:pPr>
  </w:style>
  <w:style w:type="paragraph" w:styleId="12">
    <w:name w:val="Normal Indent"/>
    <w:basedOn w:val="1"/>
    <w:next w:val="1"/>
    <w:qFormat/>
    <w:uiPriority w:val="0"/>
    <w:pPr>
      <w:ind w:firstLine="420" w:firstLineChars="200"/>
    </w:pPr>
  </w:style>
  <w:style w:type="paragraph" w:styleId="13">
    <w:name w:val="Document Map"/>
    <w:basedOn w:val="1"/>
    <w:link w:val="55"/>
    <w:qFormat/>
    <w:uiPriority w:val="0"/>
    <w:pPr>
      <w:shd w:val="clear" w:color="auto" w:fill="000080"/>
    </w:pPr>
    <w:rPr>
      <w:rFonts w:ascii="Calibri" w:hAnsi="Calibri"/>
    </w:rPr>
  </w:style>
  <w:style w:type="paragraph" w:styleId="14">
    <w:name w:val="annotation text"/>
    <w:basedOn w:val="1"/>
    <w:link w:val="56"/>
    <w:unhideWhenUsed/>
    <w:qFormat/>
    <w:uiPriority w:val="0"/>
    <w:pPr>
      <w:jc w:val="left"/>
    </w:pPr>
  </w:style>
  <w:style w:type="paragraph" w:styleId="15">
    <w:name w:val="Body Text 3"/>
    <w:basedOn w:val="1"/>
    <w:link w:val="57"/>
    <w:qFormat/>
    <w:uiPriority w:val="0"/>
    <w:rPr>
      <w:rFonts w:ascii="宋体"/>
      <w:sz w:val="24"/>
      <w:szCs w:val="20"/>
    </w:rPr>
  </w:style>
  <w:style w:type="paragraph" w:styleId="16">
    <w:name w:val="Body Text"/>
    <w:basedOn w:val="1"/>
    <w:next w:val="1"/>
    <w:link w:val="58"/>
    <w:qFormat/>
    <w:uiPriority w:val="0"/>
    <w:pPr>
      <w:spacing w:after="120"/>
    </w:pPr>
    <w:rPr>
      <w:rFonts w:ascii="Calibri" w:hAnsi="Calibri"/>
    </w:rPr>
  </w:style>
  <w:style w:type="paragraph" w:styleId="17">
    <w:name w:val="Body Text Indent"/>
    <w:basedOn w:val="1"/>
    <w:next w:val="1"/>
    <w:link w:val="59"/>
    <w:qFormat/>
    <w:uiPriority w:val="0"/>
    <w:pPr>
      <w:spacing w:after="120"/>
      <w:ind w:left="420" w:leftChars="200"/>
    </w:pPr>
  </w:style>
  <w:style w:type="paragraph" w:styleId="18">
    <w:name w:val="index 4"/>
    <w:basedOn w:val="1"/>
    <w:next w:val="1"/>
    <w:unhideWhenUsed/>
    <w:qFormat/>
    <w:uiPriority w:val="99"/>
    <w:pPr>
      <w:ind w:left="600" w:leftChars="600"/>
    </w:pPr>
  </w:style>
  <w:style w:type="paragraph" w:styleId="19">
    <w:name w:val="toc 5"/>
    <w:basedOn w:val="1"/>
    <w:next w:val="1"/>
    <w:qFormat/>
    <w:uiPriority w:val="39"/>
    <w:pPr>
      <w:ind w:left="840"/>
      <w:jc w:val="left"/>
    </w:pPr>
    <w:rPr>
      <w:sz w:val="18"/>
      <w:szCs w:val="18"/>
    </w:rPr>
  </w:style>
  <w:style w:type="paragraph" w:styleId="20">
    <w:name w:val="toc 3"/>
    <w:basedOn w:val="1"/>
    <w:next w:val="1"/>
    <w:qFormat/>
    <w:uiPriority w:val="39"/>
    <w:pPr>
      <w:ind w:left="420"/>
      <w:jc w:val="left"/>
    </w:pPr>
    <w:rPr>
      <w:iCs/>
      <w:sz w:val="20"/>
      <w:szCs w:val="20"/>
    </w:rPr>
  </w:style>
  <w:style w:type="paragraph" w:styleId="21">
    <w:name w:val="Plain Text"/>
    <w:basedOn w:val="1"/>
    <w:link w:val="60"/>
    <w:qFormat/>
    <w:uiPriority w:val="0"/>
    <w:rPr>
      <w:rFonts w:ascii="宋体" w:hAnsi="Courier New"/>
      <w:szCs w:val="22"/>
    </w:rPr>
  </w:style>
  <w:style w:type="paragraph" w:styleId="22">
    <w:name w:val="toc 8"/>
    <w:basedOn w:val="1"/>
    <w:next w:val="1"/>
    <w:qFormat/>
    <w:uiPriority w:val="39"/>
    <w:pPr>
      <w:ind w:left="1470"/>
      <w:jc w:val="left"/>
    </w:pPr>
    <w:rPr>
      <w:sz w:val="18"/>
      <w:szCs w:val="18"/>
    </w:rPr>
  </w:style>
  <w:style w:type="paragraph" w:styleId="23">
    <w:name w:val="Date"/>
    <w:basedOn w:val="1"/>
    <w:next w:val="1"/>
    <w:link w:val="61"/>
    <w:qFormat/>
    <w:uiPriority w:val="0"/>
    <w:rPr>
      <w:sz w:val="24"/>
      <w:szCs w:val="20"/>
    </w:rPr>
  </w:style>
  <w:style w:type="paragraph" w:styleId="24">
    <w:name w:val="Balloon Text"/>
    <w:basedOn w:val="1"/>
    <w:link w:val="62"/>
    <w:qFormat/>
    <w:uiPriority w:val="0"/>
    <w:rPr>
      <w:sz w:val="18"/>
      <w:szCs w:val="18"/>
    </w:rPr>
  </w:style>
  <w:style w:type="paragraph" w:styleId="25">
    <w:name w:val="footer"/>
    <w:basedOn w:val="1"/>
    <w:link w:val="63"/>
    <w:qFormat/>
    <w:uiPriority w:val="99"/>
    <w:pPr>
      <w:tabs>
        <w:tab w:val="center" w:pos="4153"/>
        <w:tab w:val="right" w:pos="8306"/>
      </w:tabs>
      <w:snapToGrid w:val="0"/>
      <w:jc w:val="left"/>
    </w:pPr>
    <w:rPr>
      <w:rFonts w:ascii="Calibri" w:hAnsi="Calibri"/>
      <w:sz w:val="18"/>
      <w:szCs w:val="18"/>
    </w:rPr>
  </w:style>
  <w:style w:type="paragraph" w:styleId="26">
    <w:name w:val="envelope return"/>
    <w:basedOn w:val="1"/>
    <w:qFormat/>
    <w:uiPriority w:val="99"/>
    <w:pPr>
      <w:snapToGrid w:val="0"/>
    </w:pPr>
    <w:rPr>
      <w:rFonts w:ascii="Arial" w:hAnsi="Arial" w:cs="Arial"/>
    </w:rPr>
  </w:style>
  <w:style w:type="paragraph" w:styleId="27">
    <w:name w:val="header"/>
    <w:basedOn w:val="1"/>
    <w:link w:val="6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28">
    <w:name w:val="toc 1"/>
    <w:basedOn w:val="1"/>
    <w:next w:val="1"/>
    <w:qFormat/>
    <w:uiPriority w:val="39"/>
    <w:pPr>
      <w:spacing w:before="120" w:after="120"/>
      <w:jc w:val="left"/>
    </w:pPr>
    <w:rPr>
      <w:b/>
      <w:bCs/>
      <w:caps/>
      <w:sz w:val="20"/>
      <w:szCs w:val="20"/>
    </w:rPr>
  </w:style>
  <w:style w:type="paragraph" w:styleId="29">
    <w:name w:val="toc 4"/>
    <w:basedOn w:val="1"/>
    <w:next w:val="1"/>
    <w:qFormat/>
    <w:uiPriority w:val="39"/>
    <w:pPr>
      <w:ind w:left="630"/>
      <w:jc w:val="left"/>
    </w:pPr>
    <w:rPr>
      <w:sz w:val="18"/>
      <w:szCs w:val="18"/>
    </w:rPr>
  </w:style>
  <w:style w:type="paragraph" w:styleId="30">
    <w:name w:val="toc 6"/>
    <w:basedOn w:val="1"/>
    <w:next w:val="1"/>
    <w:qFormat/>
    <w:uiPriority w:val="39"/>
    <w:pPr>
      <w:ind w:left="1050"/>
      <w:jc w:val="left"/>
    </w:pPr>
    <w:rPr>
      <w:sz w:val="18"/>
      <w:szCs w:val="18"/>
    </w:rPr>
  </w:style>
  <w:style w:type="paragraph" w:styleId="31">
    <w:name w:val="Body Text Indent 3"/>
    <w:basedOn w:val="1"/>
    <w:link w:val="65"/>
    <w:qFormat/>
    <w:uiPriority w:val="0"/>
    <w:pPr>
      <w:spacing w:after="120"/>
      <w:ind w:left="420" w:leftChars="200"/>
    </w:pPr>
    <w:rPr>
      <w:sz w:val="16"/>
      <w:szCs w:val="16"/>
    </w:rPr>
  </w:style>
  <w:style w:type="paragraph" w:styleId="32">
    <w:name w:val="toc 2"/>
    <w:basedOn w:val="1"/>
    <w:next w:val="1"/>
    <w:qFormat/>
    <w:uiPriority w:val="39"/>
    <w:pPr>
      <w:ind w:left="210"/>
      <w:jc w:val="left"/>
    </w:pPr>
    <w:rPr>
      <w:smallCaps/>
      <w:sz w:val="20"/>
      <w:szCs w:val="20"/>
    </w:rPr>
  </w:style>
  <w:style w:type="paragraph" w:styleId="33">
    <w:name w:val="toc 9"/>
    <w:basedOn w:val="1"/>
    <w:next w:val="1"/>
    <w:qFormat/>
    <w:uiPriority w:val="39"/>
    <w:pPr>
      <w:ind w:left="1680"/>
      <w:jc w:val="left"/>
    </w:pPr>
    <w:rPr>
      <w:sz w:val="18"/>
      <w:szCs w:val="18"/>
    </w:rPr>
  </w:style>
  <w:style w:type="paragraph" w:styleId="34">
    <w:name w:val="Normal (Web)"/>
    <w:basedOn w:val="1"/>
    <w:qFormat/>
    <w:uiPriority w:val="0"/>
    <w:pPr>
      <w:spacing w:before="100" w:beforeAutospacing="1" w:after="100" w:afterAutospacing="1"/>
      <w:jc w:val="left"/>
    </w:pPr>
    <w:rPr>
      <w:kern w:val="0"/>
      <w:sz w:val="24"/>
    </w:rPr>
  </w:style>
  <w:style w:type="paragraph" w:styleId="35">
    <w:name w:val="index 1"/>
    <w:basedOn w:val="1"/>
    <w:next w:val="1"/>
    <w:qFormat/>
    <w:uiPriority w:val="0"/>
    <w:pPr>
      <w:spacing w:line="220" w:lineRule="exact"/>
      <w:jc w:val="center"/>
    </w:pPr>
    <w:rPr>
      <w:rFonts w:ascii="仿宋_GB2312" w:eastAsia="仿宋_GB2312"/>
      <w:szCs w:val="21"/>
    </w:rPr>
  </w:style>
  <w:style w:type="paragraph" w:styleId="36">
    <w:name w:val="Title"/>
    <w:basedOn w:val="1"/>
    <w:next w:val="1"/>
    <w:link w:val="66"/>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7">
    <w:name w:val="annotation subject"/>
    <w:basedOn w:val="14"/>
    <w:next w:val="14"/>
    <w:link w:val="67"/>
    <w:qFormat/>
    <w:uiPriority w:val="0"/>
    <w:pPr>
      <w:jc w:val="both"/>
    </w:pPr>
    <w:rPr>
      <w:rFonts w:ascii="Calibri" w:hAnsi="Calibri"/>
      <w:b/>
      <w:bCs/>
    </w:rPr>
  </w:style>
  <w:style w:type="paragraph" w:styleId="38">
    <w:name w:val="Body Text First Indent"/>
    <w:basedOn w:val="16"/>
    <w:link w:val="68"/>
    <w:qFormat/>
    <w:uiPriority w:val="0"/>
    <w:pPr>
      <w:spacing w:line="312" w:lineRule="auto"/>
      <w:ind w:firstLine="420"/>
    </w:pPr>
  </w:style>
  <w:style w:type="paragraph" w:styleId="39">
    <w:name w:val="Body Text First Indent 2"/>
    <w:basedOn w:val="17"/>
    <w:link w:val="69"/>
    <w:qFormat/>
    <w:uiPriority w:val="99"/>
    <w:pPr>
      <w:ind w:firstLine="420" w:firstLineChars="200"/>
    </w:pPr>
  </w:style>
  <w:style w:type="character" w:styleId="42">
    <w:name w:val="page number"/>
    <w:qFormat/>
    <w:uiPriority w:val="0"/>
  </w:style>
  <w:style w:type="character" w:styleId="43">
    <w:name w:val="FollowedHyperlink"/>
    <w:unhideWhenUsed/>
    <w:qFormat/>
    <w:uiPriority w:val="99"/>
    <w:rPr>
      <w:color w:val="800080"/>
      <w:u w:val="single"/>
    </w:rPr>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character" w:styleId="46">
    <w:name w:val="footnote reference"/>
    <w:qFormat/>
    <w:uiPriority w:val="0"/>
    <w:rPr>
      <w:vertAlign w:val="superscript"/>
    </w:rPr>
  </w:style>
  <w:style w:type="character" w:customStyle="1" w:styleId="47">
    <w:name w:val="标题 1 字符"/>
    <w:basedOn w:val="41"/>
    <w:link w:val="2"/>
    <w:qFormat/>
    <w:uiPriority w:val="0"/>
    <w:rPr>
      <w:rFonts w:ascii="Times New Roman" w:hAnsi="Times New Roman" w:eastAsia="宋体" w:cs="Times New Roman"/>
      <w:bCs/>
      <w:kern w:val="44"/>
      <w:sz w:val="44"/>
      <w:szCs w:val="44"/>
    </w:rPr>
  </w:style>
  <w:style w:type="character" w:customStyle="1" w:styleId="48">
    <w:name w:val="标题 2 字符"/>
    <w:basedOn w:val="41"/>
    <w:link w:val="3"/>
    <w:qFormat/>
    <w:uiPriority w:val="0"/>
    <w:rPr>
      <w:rFonts w:ascii="Arial" w:hAnsi="Arial" w:eastAsia="黑体" w:cs="Times New Roman"/>
      <w:b/>
      <w:bCs/>
      <w:sz w:val="32"/>
      <w:szCs w:val="32"/>
    </w:rPr>
  </w:style>
  <w:style w:type="character" w:customStyle="1" w:styleId="49">
    <w:name w:val="标题 3 字符"/>
    <w:basedOn w:val="41"/>
    <w:link w:val="4"/>
    <w:qFormat/>
    <w:uiPriority w:val="0"/>
    <w:rPr>
      <w:rFonts w:ascii="黑体" w:hAnsi="宋体" w:eastAsia="黑体" w:cs="Times New Roman"/>
      <w:bCs/>
      <w:sz w:val="28"/>
      <w:szCs w:val="28"/>
    </w:rPr>
  </w:style>
  <w:style w:type="character" w:customStyle="1" w:styleId="50">
    <w:name w:val="标题 4 字符"/>
    <w:basedOn w:val="41"/>
    <w:link w:val="5"/>
    <w:qFormat/>
    <w:uiPriority w:val="0"/>
    <w:rPr>
      <w:rFonts w:ascii="Arial" w:hAnsi="Arial" w:eastAsia="黑体" w:cs="Times New Roman"/>
      <w:b/>
      <w:bCs/>
      <w:sz w:val="28"/>
      <w:szCs w:val="28"/>
    </w:rPr>
  </w:style>
  <w:style w:type="character" w:customStyle="1" w:styleId="51">
    <w:name w:val="标题 6 字符"/>
    <w:basedOn w:val="41"/>
    <w:link w:val="6"/>
    <w:qFormat/>
    <w:uiPriority w:val="0"/>
    <w:rPr>
      <w:rFonts w:ascii="Arial" w:hAnsi="Arial" w:eastAsia="黑体" w:cs="Times New Roman"/>
      <w:b/>
      <w:bCs/>
      <w:kern w:val="0"/>
      <w:sz w:val="24"/>
      <w:szCs w:val="24"/>
    </w:rPr>
  </w:style>
  <w:style w:type="character" w:customStyle="1" w:styleId="52">
    <w:name w:val="标题 7 字符"/>
    <w:basedOn w:val="41"/>
    <w:link w:val="7"/>
    <w:qFormat/>
    <w:uiPriority w:val="0"/>
    <w:rPr>
      <w:rFonts w:ascii="Times New Roman" w:hAnsi="Times New Roman" w:eastAsia="宋体" w:cs="Times New Roman"/>
      <w:b/>
      <w:bCs/>
      <w:kern w:val="0"/>
      <w:sz w:val="24"/>
      <w:szCs w:val="24"/>
    </w:rPr>
  </w:style>
  <w:style w:type="character" w:customStyle="1" w:styleId="53">
    <w:name w:val="标题 8 字符"/>
    <w:basedOn w:val="41"/>
    <w:link w:val="8"/>
    <w:qFormat/>
    <w:uiPriority w:val="0"/>
    <w:rPr>
      <w:rFonts w:ascii="Arial" w:hAnsi="Arial" w:eastAsia="黑体" w:cs="Times New Roman"/>
      <w:kern w:val="0"/>
      <w:sz w:val="24"/>
      <w:szCs w:val="24"/>
    </w:rPr>
  </w:style>
  <w:style w:type="character" w:customStyle="1" w:styleId="54">
    <w:name w:val="标题 9 字符"/>
    <w:basedOn w:val="41"/>
    <w:link w:val="9"/>
    <w:qFormat/>
    <w:uiPriority w:val="0"/>
    <w:rPr>
      <w:rFonts w:ascii="Arial" w:hAnsi="Arial" w:eastAsia="黑体" w:cs="Times New Roman"/>
      <w:kern w:val="0"/>
      <w:szCs w:val="21"/>
    </w:rPr>
  </w:style>
  <w:style w:type="character" w:customStyle="1" w:styleId="55">
    <w:name w:val="文档结构图 字符"/>
    <w:basedOn w:val="41"/>
    <w:link w:val="13"/>
    <w:qFormat/>
    <w:uiPriority w:val="0"/>
    <w:rPr>
      <w:rFonts w:ascii="Calibri" w:hAnsi="Calibri" w:eastAsia="宋体" w:cs="Times New Roman"/>
      <w:szCs w:val="24"/>
      <w:shd w:val="clear" w:color="auto" w:fill="000080"/>
    </w:rPr>
  </w:style>
  <w:style w:type="character" w:customStyle="1" w:styleId="56">
    <w:name w:val="批注文字 字符"/>
    <w:basedOn w:val="41"/>
    <w:link w:val="14"/>
    <w:qFormat/>
    <w:uiPriority w:val="0"/>
    <w:rPr>
      <w:rFonts w:ascii="Times New Roman" w:hAnsi="Times New Roman" w:eastAsia="宋体" w:cs="Times New Roman"/>
      <w:szCs w:val="24"/>
    </w:rPr>
  </w:style>
  <w:style w:type="character" w:customStyle="1" w:styleId="57">
    <w:name w:val="正文文本 3 字符"/>
    <w:basedOn w:val="41"/>
    <w:link w:val="15"/>
    <w:qFormat/>
    <w:uiPriority w:val="0"/>
    <w:rPr>
      <w:rFonts w:ascii="宋体" w:hAnsi="Times New Roman" w:eastAsia="宋体" w:cs="Times New Roman"/>
      <w:sz w:val="24"/>
      <w:szCs w:val="20"/>
    </w:rPr>
  </w:style>
  <w:style w:type="character" w:customStyle="1" w:styleId="58">
    <w:name w:val="正文文本 字符"/>
    <w:basedOn w:val="41"/>
    <w:link w:val="16"/>
    <w:qFormat/>
    <w:uiPriority w:val="0"/>
    <w:rPr>
      <w:rFonts w:ascii="Calibri" w:hAnsi="Calibri" w:eastAsia="宋体" w:cs="Times New Roman"/>
      <w:szCs w:val="24"/>
    </w:rPr>
  </w:style>
  <w:style w:type="character" w:customStyle="1" w:styleId="59">
    <w:name w:val="正文文本缩进 字符"/>
    <w:basedOn w:val="41"/>
    <w:link w:val="17"/>
    <w:qFormat/>
    <w:uiPriority w:val="0"/>
    <w:rPr>
      <w:rFonts w:ascii="Times New Roman" w:hAnsi="Times New Roman" w:eastAsia="宋体" w:cs="Times New Roman"/>
      <w:szCs w:val="24"/>
    </w:rPr>
  </w:style>
  <w:style w:type="character" w:customStyle="1" w:styleId="60">
    <w:name w:val="纯文本 字符"/>
    <w:basedOn w:val="41"/>
    <w:link w:val="21"/>
    <w:qFormat/>
    <w:uiPriority w:val="0"/>
    <w:rPr>
      <w:rFonts w:ascii="宋体" w:hAnsi="Courier New" w:eastAsia="宋体" w:cs="Times New Roman"/>
    </w:rPr>
  </w:style>
  <w:style w:type="character" w:customStyle="1" w:styleId="61">
    <w:name w:val="日期 字符"/>
    <w:basedOn w:val="41"/>
    <w:link w:val="23"/>
    <w:qFormat/>
    <w:uiPriority w:val="0"/>
    <w:rPr>
      <w:rFonts w:ascii="Times New Roman" w:hAnsi="Times New Roman" w:eastAsia="宋体" w:cs="Times New Roman"/>
      <w:sz w:val="24"/>
      <w:szCs w:val="20"/>
    </w:rPr>
  </w:style>
  <w:style w:type="character" w:customStyle="1" w:styleId="62">
    <w:name w:val="批注框文本 字符"/>
    <w:basedOn w:val="41"/>
    <w:link w:val="24"/>
    <w:qFormat/>
    <w:uiPriority w:val="0"/>
    <w:rPr>
      <w:rFonts w:ascii="Times New Roman" w:hAnsi="Times New Roman" w:eastAsia="宋体" w:cs="Times New Roman"/>
      <w:sz w:val="18"/>
      <w:szCs w:val="18"/>
    </w:rPr>
  </w:style>
  <w:style w:type="character" w:customStyle="1" w:styleId="63">
    <w:name w:val="页脚 字符"/>
    <w:basedOn w:val="41"/>
    <w:link w:val="25"/>
    <w:qFormat/>
    <w:uiPriority w:val="99"/>
    <w:rPr>
      <w:rFonts w:ascii="Calibri" w:hAnsi="Calibri" w:eastAsia="宋体" w:cs="Times New Roman"/>
      <w:sz w:val="18"/>
      <w:szCs w:val="18"/>
    </w:rPr>
  </w:style>
  <w:style w:type="character" w:customStyle="1" w:styleId="64">
    <w:name w:val="页眉 字符"/>
    <w:basedOn w:val="41"/>
    <w:link w:val="27"/>
    <w:qFormat/>
    <w:uiPriority w:val="0"/>
    <w:rPr>
      <w:rFonts w:ascii="Calibri" w:hAnsi="Calibri" w:eastAsia="宋体" w:cs="Times New Roman"/>
      <w:sz w:val="18"/>
      <w:szCs w:val="18"/>
    </w:rPr>
  </w:style>
  <w:style w:type="character" w:customStyle="1" w:styleId="65">
    <w:name w:val="正文文本缩进 3 字符"/>
    <w:basedOn w:val="41"/>
    <w:link w:val="31"/>
    <w:qFormat/>
    <w:uiPriority w:val="0"/>
    <w:rPr>
      <w:rFonts w:ascii="Times New Roman" w:hAnsi="Times New Roman" w:eastAsia="宋体" w:cs="Times New Roman"/>
      <w:sz w:val="16"/>
      <w:szCs w:val="16"/>
    </w:rPr>
  </w:style>
  <w:style w:type="character" w:customStyle="1" w:styleId="66">
    <w:name w:val="标题 字符"/>
    <w:basedOn w:val="41"/>
    <w:link w:val="36"/>
    <w:qFormat/>
    <w:uiPriority w:val="0"/>
    <w:rPr>
      <w:rFonts w:ascii="Arial" w:hAnsi="Arial" w:eastAsia="宋体" w:cs="Times New Roman"/>
      <w:b/>
      <w:kern w:val="0"/>
      <w:sz w:val="32"/>
      <w:szCs w:val="20"/>
    </w:rPr>
  </w:style>
  <w:style w:type="character" w:customStyle="1" w:styleId="67">
    <w:name w:val="批注主题 字符"/>
    <w:basedOn w:val="56"/>
    <w:link w:val="37"/>
    <w:qFormat/>
    <w:uiPriority w:val="0"/>
    <w:rPr>
      <w:rFonts w:ascii="Calibri" w:hAnsi="Calibri" w:eastAsia="宋体" w:cs="Times New Roman"/>
      <w:b/>
      <w:bCs/>
      <w:szCs w:val="24"/>
    </w:rPr>
  </w:style>
  <w:style w:type="character" w:customStyle="1" w:styleId="68">
    <w:name w:val="正文文本首行缩进 字符"/>
    <w:basedOn w:val="58"/>
    <w:link w:val="38"/>
    <w:qFormat/>
    <w:uiPriority w:val="0"/>
    <w:rPr>
      <w:rFonts w:ascii="Calibri" w:hAnsi="Calibri" w:eastAsia="宋体" w:cs="Times New Roman"/>
      <w:szCs w:val="24"/>
    </w:rPr>
  </w:style>
  <w:style w:type="character" w:customStyle="1" w:styleId="69">
    <w:name w:val="正文文本首行缩进 2 字符"/>
    <w:basedOn w:val="59"/>
    <w:link w:val="39"/>
    <w:qFormat/>
    <w:uiPriority w:val="99"/>
    <w:rPr>
      <w:rFonts w:ascii="Times New Roman" w:hAnsi="Times New Roman" w:eastAsia="宋体" w:cs="Times New Roman"/>
      <w:szCs w:val="24"/>
    </w:rPr>
  </w:style>
  <w:style w:type="paragraph" w:customStyle="1" w:styleId="70">
    <w:name w:val="_Style 2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1">
    <w:name w:val="font01"/>
    <w:qFormat/>
    <w:uiPriority w:val="0"/>
    <w:rPr>
      <w:rFonts w:hint="eastAsia" w:ascii="宋体" w:hAnsi="宋体" w:eastAsia="宋体" w:cs="宋体"/>
      <w:color w:val="000000"/>
      <w:sz w:val="20"/>
      <w:szCs w:val="20"/>
      <w:u w:val="none"/>
    </w:rPr>
  </w:style>
  <w:style w:type="character" w:customStyle="1" w:styleId="72">
    <w:name w:val="font71"/>
    <w:qFormat/>
    <w:uiPriority w:val="0"/>
    <w:rPr>
      <w:rFonts w:hint="eastAsia" w:ascii="宋体" w:hAnsi="宋体" w:eastAsia="宋体" w:cs="宋体"/>
      <w:color w:val="000000"/>
      <w:sz w:val="20"/>
      <w:szCs w:val="20"/>
      <w:u w:val="none"/>
    </w:rPr>
  </w:style>
  <w:style w:type="character" w:customStyle="1" w:styleId="73">
    <w:name w:val="font41"/>
    <w:qFormat/>
    <w:uiPriority w:val="0"/>
    <w:rPr>
      <w:rFonts w:hint="eastAsia" w:ascii="宋体" w:hAnsi="宋体" w:eastAsia="宋体" w:cs="宋体"/>
      <w:color w:val="000000"/>
      <w:sz w:val="20"/>
      <w:szCs w:val="20"/>
      <w:u w:val="none"/>
    </w:rPr>
  </w:style>
  <w:style w:type="character" w:customStyle="1" w:styleId="74">
    <w:name w:val="font31"/>
    <w:qFormat/>
    <w:uiPriority w:val="0"/>
    <w:rPr>
      <w:rFonts w:hint="eastAsia" w:ascii="宋体" w:hAnsi="宋体" w:eastAsia="宋体" w:cs="宋体"/>
      <w:color w:val="FF0000"/>
      <w:sz w:val="20"/>
      <w:szCs w:val="20"/>
      <w:u w:val="none"/>
    </w:rPr>
  </w:style>
  <w:style w:type="character" w:customStyle="1" w:styleId="75">
    <w:name w:val="font51"/>
    <w:qFormat/>
    <w:uiPriority w:val="0"/>
    <w:rPr>
      <w:rFonts w:hint="eastAsia" w:ascii="宋体" w:hAnsi="宋体" w:eastAsia="宋体" w:cs="宋体"/>
      <w:color w:val="000000"/>
      <w:sz w:val="20"/>
      <w:szCs w:val="20"/>
      <w:u w:val="none"/>
    </w:rPr>
  </w:style>
  <w:style w:type="character" w:customStyle="1" w:styleId="76">
    <w:name w:val="页眉或页脚 + Arial Unicode MS"/>
    <w:qFormat/>
    <w:uiPriority w:val="0"/>
    <w:rPr>
      <w:rFonts w:ascii="Arial Unicode MS" w:hAnsi="Arial Unicode MS" w:eastAsia="Arial Unicode MS" w:cs="Arial Unicode MS"/>
      <w:color w:val="000000"/>
      <w:spacing w:val="10"/>
      <w:w w:val="100"/>
      <w:position w:val="0"/>
      <w:sz w:val="10"/>
      <w:szCs w:val="10"/>
      <w:u w:val="none"/>
    </w:rPr>
  </w:style>
  <w:style w:type="character" w:customStyle="1" w:styleId="77">
    <w:name w:val="font61"/>
    <w:qFormat/>
    <w:uiPriority w:val="0"/>
    <w:rPr>
      <w:rFonts w:hint="eastAsia" w:ascii="宋体" w:hAnsi="宋体" w:eastAsia="宋体" w:cs="宋体"/>
      <w:color w:val="000000"/>
      <w:sz w:val="20"/>
      <w:szCs w:val="20"/>
      <w:u w:val="none"/>
    </w:rPr>
  </w:style>
  <w:style w:type="character" w:customStyle="1" w:styleId="78">
    <w:name w:val="font11"/>
    <w:qFormat/>
    <w:uiPriority w:val="0"/>
    <w:rPr>
      <w:rFonts w:hint="eastAsia" w:ascii="宋体" w:hAnsi="宋体" w:eastAsia="宋体" w:cs="宋体"/>
      <w:color w:val="FF0000"/>
      <w:sz w:val="20"/>
      <w:szCs w:val="20"/>
      <w:u w:val="none"/>
    </w:rPr>
  </w:style>
  <w:style w:type="character" w:customStyle="1" w:styleId="79">
    <w:name w:val="批注文字 Char"/>
    <w:qFormat/>
    <w:uiPriority w:val="0"/>
    <w:rPr>
      <w:rFonts w:eastAsia="宋体"/>
      <w:kern w:val="2"/>
      <w:sz w:val="21"/>
      <w:szCs w:val="24"/>
      <w:lang w:val="en-US" w:eastAsia="zh-CN" w:bidi="ar-SA"/>
    </w:rPr>
  </w:style>
  <w:style w:type="character" w:customStyle="1" w:styleId="80">
    <w:name w:val="font21"/>
    <w:qFormat/>
    <w:uiPriority w:val="0"/>
    <w:rPr>
      <w:rFonts w:hint="eastAsia" w:ascii="宋体" w:hAnsi="宋体" w:eastAsia="宋体" w:cs="宋体"/>
      <w:color w:val="000000"/>
      <w:sz w:val="20"/>
      <w:szCs w:val="20"/>
      <w:u w:val="none"/>
    </w:rPr>
  </w:style>
  <w:style w:type="character" w:customStyle="1" w:styleId="81">
    <w:name w:val="font91"/>
    <w:qFormat/>
    <w:uiPriority w:val="0"/>
    <w:rPr>
      <w:rFonts w:hint="eastAsia" w:ascii="宋体" w:hAnsi="宋体" w:eastAsia="宋体" w:cs="宋体"/>
      <w:color w:val="000000"/>
      <w:sz w:val="20"/>
      <w:szCs w:val="20"/>
      <w:u w:val="none"/>
    </w:rPr>
  </w:style>
  <w:style w:type="character" w:customStyle="1" w:styleId="82">
    <w:name w:val="font161"/>
    <w:qFormat/>
    <w:uiPriority w:val="0"/>
    <w:rPr>
      <w:b/>
      <w:bCs/>
      <w:sz w:val="32"/>
      <w:szCs w:val="32"/>
    </w:rPr>
  </w:style>
  <w:style w:type="character" w:customStyle="1" w:styleId="83">
    <w:name w:val="页脚 Char1"/>
    <w:semiHidden/>
    <w:qFormat/>
    <w:uiPriority w:val="99"/>
    <w:rPr>
      <w:rFonts w:ascii="Times New Roman" w:hAnsi="Times New Roman" w:eastAsia="宋体" w:cs="Times New Roman"/>
      <w:sz w:val="18"/>
      <w:szCs w:val="18"/>
    </w:rPr>
  </w:style>
  <w:style w:type="character" w:customStyle="1" w:styleId="84">
    <w:name w:val="文档结构图 Char1"/>
    <w:semiHidden/>
    <w:qFormat/>
    <w:uiPriority w:val="99"/>
    <w:rPr>
      <w:rFonts w:ascii="宋体" w:hAnsi="Times New Roman" w:eastAsia="宋体" w:cs="Times New Roman"/>
      <w:sz w:val="18"/>
      <w:szCs w:val="18"/>
    </w:rPr>
  </w:style>
  <w:style w:type="character" w:customStyle="1" w:styleId="85">
    <w:name w:val="正文文本 Char1"/>
    <w:semiHidden/>
    <w:qFormat/>
    <w:uiPriority w:val="99"/>
    <w:rPr>
      <w:rFonts w:ascii="Times New Roman" w:hAnsi="Times New Roman" w:eastAsia="宋体" w:cs="Times New Roman"/>
      <w:szCs w:val="24"/>
    </w:rPr>
  </w:style>
  <w:style w:type="character" w:customStyle="1" w:styleId="86">
    <w:name w:val="纯文本 Char1"/>
    <w:semiHidden/>
    <w:qFormat/>
    <w:uiPriority w:val="99"/>
    <w:rPr>
      <w:rFonts w:ascii="宋体" w:hAnsi="Courier New" w:eastAsia="宋体" w:cs="Courier New"/>
      <w:szCs w:val="21"/>
    </w:rPr>
  </w:style>
  <w:style w:type="character" w:customStyle="1" w:styleId="87">
    <w:name w:val="正文首行缩进 Char1"/>
    <w:semiHidden/>
    <w:qFormat/>
    <w:uiPriority w:val="99"/>
    <w:rPr>
      <w:rFonts w:ascii="Times New Roman" w:hAnsi="Times New Roman" w:eastAsia="宋体" w:cs="Times New Roman"/>
      <w:szCs w:val="24"/>
    </w:rPr>
  </w:style>
  <w:style w:type="character" w:customStyle="1" w:styleId="88">
    <w:name w:val="批注主题 Char1"/>
    <w:semiHidden/>
    <w:qFormat/>
    <w:uiPriority w:val="99"/>
    <w:rPr>
      <w:rFonts w:ascii="Times New Roman" w:hAnsi="Times New Roman" w:eastAsia="宋体" w:cs="Times New Roman"/>
      <w:b/>
      <w:bCs/>
      <w:szCs w:val="24"/>
    </w:rPr>
  </w:style>
  <w:style w:type="character" w:customStyle="1" w:styleId="89">
    <w:name w:val="页眉 Char1"/>
    <w:semiHidden/>
    <w:qFormat/>
    <w:uiPriority w:val="99"/>
    <w:rPr>
      <w:rFonts w:ascii="Times New Roman" w:hAnsi="Times New Roman" w:eastAsia="宋体" w:cs="Times New Roman"/>
      <w:sz w:val="18"/>
      <w:szCs w:val="18"/>
    </w:rPr>
  </w:style>
  <w:style w:type="paragraph" w:customStyle="1" w:styleId="90">
    <w:name w:val="样式 标题 3 + (中文) 黑体 小四 非加粗 段前: 7.8 磅 段后: 0 磅 行距: 固定值 20 磅"/>
    <w:basedOn w:val="4"/>
    <w:qFormat/>
    <w:uiPriority w:val="0"/>
    <w:pPr>
      <w:spacing w:before="0" w:after="0" w:line="400" w:lineRule="exact"/>
    </w:pPr>
    <w:rPr>
      <w:rFonts w:cs="宋体"/>
      <w:bCs w:val="0"/>
      <w:sz w:val="24"/>
      <w:szCs w:val="20"/>
    </w:rPr>
  </w:style>
  <w:style w:type="paragraph" w:styleId="91">
    <w:name w:val="List Paragraph"/>
    <w:basedOn w:val="1"/>
    <w:qFormat/>
    <w:uiPriority w:val="99"/>
    <w:pPr>
      <w:ind w:firstLine="420" w:firstLineChars="200"/>
    </w:pPr>
  </w:style>
  <w:style w:type="paragraph" w:customStyle="1" w:styleId="92">
    <w:name w:val="表格文字"/>
    <w:basedOn w:val="1"/>
    <w:qFormat/>
    <w:uiPriority w:val="0"/>
    <w:pPr>
      <w:adjustRightInd w:val="0"/>
      <w:spacing w:line="420" w:lineRule="atLeast"/>
      <w:jc w:val="left"/>
      <w:textAlignment w:val="baseline"/>
    </w:pPr>
    <w:rPr>
      <w:kern w:val="0"/>
      <w:szCs w:val="20"/>
    </w:rPr>
  </w:style>
  <w:style w:type="paragraph" w:customStyle="1" w:styleId="93">
    <w:name w:val="Char"/>
    <w:basedOn w:val="1"/>
    <w:qFormat/>
    <w:uiPriority w:val="0"/>
    <w:pPr>
      <w:tabs>
        <w:tab w:val="left" w:pos="360"/>
      </w:tabs>
    </w:pPr>
    <w:rPr>
      <w:sz w:val="24"/>
    </w:rPr>
  </w:style>
  <w:style w:type="paragraph" w:customStyle="1" w:styleId="9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95">
    <w:name w:val="表格"/>
    <w:basedOn w:val="1"/>
    <w:qFormat/>
    <w:uiPriority w:val="0"/>
    <w:pPr>
      <w:jc w:val="center"/>
      <w:textAlignment w:val="center"/>
    </w:pPr>
    <w:rPr>
      <w:rFonts w:ascii="华文细黑" w:hAnsi="华文细黑"/>
      <w:kern w:val="0"/>
      <w:szCs w:val="20"/>
    </w:rPr>
  </w:style>
  <w:style w:type="paragraph" w:customStyle="1" w:styleId="96">
    <w:name w:val="文二"/>
    <w:basedOn w:val="1"/>
    <w:qFormat/>
    <w:uiPriority w:val="0"/>
    <w:pPr>
      <w:jc w:val="left"/>
    </w:pPr>
    <w:rPr>
      <w:rFonts w:ascii="宋体" w:hAnsi="宋体"/>
      <w:szCs w:val="21"/>
    </w:rPr>
  </w:style>
  <w:style w:type="paragraph" w:customStyle="1" w:styleId="97">
    <w:name w:val="样式 标题 1 + 黑体 三号 非加粗 居中 段前: 6 磅 段后: 6 磅 行距: 固定值 20 磅"/>
    <w:basedOn w:val="2"/>
    <w:qFormat/>
    <w:uiPriority w:val="0"/>
    <w:pPr>
      <w:spacing w:before="120" w:after="120" w:line="400" w:lineRule="exact"/>
    </w:pPr>
    <w:rPr>
      <w:rFonts w:ascii="黑体" w:hAnsi="黑体" w:eastAsia="黑体" w:cs="宋体"/>
      <w:bCs w:val="0"/>
      <w:sz w:val="32"/>
      <w:szCs w:val="20"/>
    </w:rPr>
  </w:style>
  <w:style w:type="paragraph" w:customStyle="1" w:styleId="98">
    <w:name w:val="公文正文"/>
    <w:qFormat/>
    <w:uiPriority w:val="0"/>
    <w:pPr>
      <w:widowControl w:val="0"/>
      <w:spacing w:line="360" w:lineRule="auto"/>
      <w:ind w:firstLine="629"/>
      <w:jc w:val="both"/>
    </w:pPr>
    <w:rPr>
      <w:rFonts w:ascii="仿宋_GB2312" w:hAnsi="Calisto MT" w:eastAsia="仿宋_GB2312" w:cs="Times New Roman"/>
      <w:color w:val="000000"/>
      <w:kern w:val="0"/>
      <w:sz w:val="32"/>
      <w:szCs w:val="20"/>
      <w:lang w:val="en-US" w:eastAsia="zh-CN" w:bidi="ar-SA"/>
    </w:rPr>
  </w:style>
  <w:style w:type="paragraph" w:customStyle="1" w:styleId="9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00">
    <w:name w:val="样式2"/>
    <w:basedOn w:val="4"/>
    <w:qFormat/>
    <w:uiPriority w:val="0"/>
    <w:rPr>
      <w:i/>
    </w:rPr>
  </w:style>
  <w:style w:type="paragraph" w:customStyle="1" w:styleId="101">
    <w:name w:val="修订1"/>
    <w:qFormat/>
    <w:uiPriority w:val="0"/>
    <w:rPr>
      <w:rFonts w:ascii="Times New Roman" w:hAnsi="Times New Roman" w:eastAsia="宋体" w:cs="Times New Roman"/>
      <w:kern w:val="2"/>
      <w:sz w:val="21"/>
      <w:szCs w:val="24"/>
      <w:lang w:val="en-US" w:eastAsia="zh-CN" w:bidi="ar-SA"/>
    </w:rPr>
  </w:style>
  <w:style w:type="paragraph" w:customStyle="1" w:styleId="102">
    <w:name w:val="1"/>
    <w:basedOn w:val="1"/>
    <w:qFormat/>
    <w:uiPriority w:val="0"/>
  </w:style>
  <w:style w:type="paragraph" w:customStyle="1" w:styleId="103">
    <w:name w:val="样式1"/>
    <w:basedOn w:val="1"/>
    <w:next w:val="5"/>
    <w:qFormat/>
    <w:uiPriority w:val="0"/>
    <w:pPr>
      <w:spacing w:line="360" w:lineRule="auto"/>
      <w:ind w:firstLine="420" w:firstLineChars="200"/>
    </w:pPr>
    <w:rPr>
      <w:rFonts w:ascii="宋体" w:hAnsi="宋体"/>
      <w:szCs w:val="21"/>
    </w:rPr>
  </w:style>
  <w:style w:type="paragraph" w:customStyle="1" w:styleId="104">
    <w:name w:val="发文落款"/>
    <w:basedOn w:val="98"/>
    <w:qFormat/>
    <w:uiPriority w:val="0"/>
    <w:pPr>
      <w:ind w:left="4094" w:right="607" w:firstLine="0"/>
      <w:jc w:val="center"/>
    </w:pPr>
  </w:style>
  <w:style w:type="paragraph" w:customStyle="1" w:styleId="105">
    <w:name w:val="Char1"/>
    <w:basedOn w:val="1"/>
    <w:qFormat/>
    <w:uiPriority w:val="0"/>
    <w:pPr>
      <w:tabs>
        <w:tab w:val="left" w:pos="360"/>
      </w:tabs>
    </w:pPr>
    <w:rPr>
      <w:sz w:val="24"/>
    </w:rPr>
  </w:style>
  <w:style w:type="paragraph" w:customStyle="1" w:styleId="106">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107">
    <w:name w:val="正文 New New"/>
    <w:qFormat/>
    <w:uiPriority w:val="0"/>
    <w:pPr>
      <w:widowControl w:val="0"/>
      <w:jc w:val="both"/>
    </w:pPr>
    <w:rPr>
      <w:rFonts w:ascii="Calibri" w:hAnsi="Calibri" w:eastAsia="Calibri" w:cs="Times New Roman"/>
      <w:kern w:val="2"/>
      <w:sz w:val="30"/>
      <w:szCs w:val="24"/>
      <w:lang w:val="en-US" w:eastAsia="zh-CN" w:bidi="ar-SA"/>
    </w:rPr>
  </w:style>
  <w:style w:type="paragraph" w:customStyle="1" w:styleId="108">
    <w:name w:val="正文4"/>
    <w:qFormat/>
    <w:uiPriority w:val="0"/>
    <w:pPr>
      <w:widowControl w:val="0"/>
      <w:jc w:val="both"/>
    </w:pPr>
    <w:rPr>
      <w:rFonts w:ascii="Calibri" w:hAnsi="Calibri" w:eastAsia="Calibri" w:cs="Times New Roman"/>
      <w:kern w:val="2"/>
      <w:sz w:val="21"/>
      <w:szCs w:val="21"/>
      <w:lang w:val="en-US" w:eastAsia="zh-CN" w:bidi="ar-SA"/>
    </w:rPr>
  </w:style>
  <w:style w:type="paragraph" w:customStyle="1" w:styleId="109">
    <w:name w:val="Other|1"/>
    <w:basedOn w:val="1"/>
    <w:qFormat/>
    <w:uiPriority w:val="0"/>
    <w:pPr>
      <w:spacing w:line="228" w:lineRule="exact"/>
    </w:pPr>
    <w:rPr>
      <w:rFonts w:ascii="宋体" w:hAnsi="宋体" w:cs="宋体"/>
      <w:sz w:val="17"/>
      <w:szCs w:val="17"/>
      <w:lang w:val="zh-TW" w:eastAsia="zh-TW" w:bidi="zh-TW"/>
    </w:rPr>
  </w:style>
  <w:style w:type="character" w:customStyle="1" w:styleId="110">
    <w:name w:val="NormalCharacter"/>
    <w:qFormat/>
    <w:uiPriority w:val="0"/>
  </w:style>
  <w:style w:type="paragraph" w:customStyle="1" w:styleId="111">
    <w:name w:val="表头"/>
    <w:basedOn w:val="1"/>
    <w:qFormat/>
    <w:uiPriority w:val="0"/>
    <w:pPr>
      <w:spacing w:line="360" w:lineRule="auto"/>
      <w:jc w:val="center"/>
    </w:pPr>
    <w:rPr>
      <w:rFonts w:ascii="黑体" w:eastAsia="黑体"/>
      <w:kern w:val="0"/>
      <w:sz w:val="24"/>
      <w:szCs w:val="20"/>
    </w:rPr>
  </w:style>
  <w:style w:type="paragraph" w:customStyle="1" w:styleId="112">
    <w:name w:val="样式 标题 1 + 左侧:  4.44 厘米 首行缩进:  0 厘米"/>
    <w:basedOn w:val="2"/>
    <w:qFormat/>
    <w:uiPriority w:val="0"/>
    <w:pPr>
      <w:ind w:left="2520"/>
    </w:pPr>
    <w:rPr>
      <w:rFonts w:cs="宋体"/>
      <w:szCs w:val="20"/>
    </w:rPr>
  </w:style>
  <w:style w:type="paragraph" w:customStyle="1" w:styleId="113">
    <w:name w:val="章节三"/>
    <w:basedOn w:val="1"/>
    <w:next w:val="1"/>
    <w:qFormat/>
    <w:uiPriority w:val="0"/>
    <w:pPr>
      <w:topLinePunct/>
      <w:adjustRightInd w:val="0"/>
      <w:snapToGrid w:val="0"/>
      <w:spacing w:beforeLines="50" w:afterLines="50"/>
      <w:jc w:val="left"/>
      <w:outlineLvl w:val="2"/>
    </w:pPr>
    <w:rPr>
      <w:rFonts w:ascii="黑体" w:hAnsi="宋体" w:eastAsia="黑体"/>
      <w:b/>
      <w:snapToGrid w:val="0"/>
      <w:spacing w:val="4"/>
      <w:sz w:val="24"/>
    </w:rPr>
  </w:style>
  <w:style w:type="paragraph" w:customStyle="1" w:styleId="114">
    <w:name w:val="文一"/>
    <w:basedOn w:val="1"/>
    <w:qFormat/>
    <w:uiPriority w:val="0"/>
    <w:pPr>
      <w:topLinePunct/>
      <w:adjustRightInd w:val="0"/>
      <w:snapToGrid w:val="0"/>
      <w:spacing w:line="360" w:lineRule="auto"/>
      <w:ind w:firstLine="200" w:firstLineChars="200"/>
    </w:pPr>
    <w:rPr>
      <w:rFonts w:ascii="等线" w:hAnsi="等线" w:eastAsia="等线"/>
      <w:spacing w:val="4"/>
      <w:sz w:val="24"/>
    </w:rPr>
  </w:style>
  <w:style w:type="paragraph" w:customStyle="1" w:styleId="115">
    <w:name w:val="Default"/>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customStyle="1" w:styleId="116">
    <w:name w:val="_Style 8"/>
    <w:basedOn w:val="1"/>
    <w:next w:val="91"/>
    <w:qFormat/>
    <w:uiPriority w:val="1"/>
  </w:style>
  <w:style w:type="paragraph" w:customStyle="1" w:styleId="117">
    <w:name w:val="_Style 130"/>
    <w:basedOn w:val="17"/>
    <w:next w:val="39"/>
    <w:qFormat/>
    <w:uiPriority w:val="0"/>
    <w:pPr>
      <w:ind w:firstLine="420" w:firstLineChars="200"/>
    </w:pPr>
    <w:rPr>
      <w:kern w:val="0"/>
      <w:sz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29505</Words>
  <Characters>30933</Characters>
  <Lines>230</Lines>
  <Paragraphs>64</Paragraphs>
  <TotalTime>22</TotalTime>
  <ScaleCrop>false</ScaleCrop>
  <LinksUpToDate>false</LinksUpToDate>
  <CharactersWithSpaces>32195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2024-10-06T16:56:00Z</dcterms:created>
  <dc:creator>PC</dc:creator>
  <cp:lastModifiedBy>广</cp:lastModifiedBy>
  <dcterms:modified xsi:type="dcterms:W3CDTF">2024-10-21T10:37:30Z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BBD7F0C150864602AD86F2B6FFD2394D_13</vt:lpwstr>
  </property>
</Properties>
</file>