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color w:val="auto"/>
          <w:sz w:val="44"/>
          <w:szCs w:val="44"/>
          <w:highlight w:val="none"/>
          <w:u w:val="none"/>
          <w:lang w:eastAsia="zh-CN"/>
        </w:rPr>
      </w:pPr>
    </w:p>
    <w:p>
      <w:pPr>
        <w:jc w:val="center"/>
        <w:rPr>
          <w:rFonts w:hint="eastAsia" w:ascii="宋体" w:hAnsi="宋体" w:cs="宋体"/>
          <w:color w:val="auto"/>
          <w:sz w:val="44"/>
          <w:szCs w:val="44"/>
          <w:highlight w:val="none"/>
        </w:rPr>
      </w:pPr>
      <w:r>
        <w:rPr>
          <w:rFonts w:hint="eastAsia" w:ascii="宋体" w:hAnsi="宋体" w:cs="宋体"/>
          <w:b/>
          <w:bCs/>
          <w:color w:val="auto"/>
          <w:sz w:val="40"/>
          <w:szCs w:val="40"/>
          <w:highlight w:val="none"/>
          <w:u w:val="none"/>
          <w:lang w:eastAsia="zh-CN"/>
        </w:rPr>
        <w:t>国道G106至花山平安楼道路工程</w:t>
      </w:r>
      <w:r>
        <w:rPr>
          <w:rFonts w:hint="eastAsia" w:ascii="宋体" w:hAnsi="宋体" w:cs="宋体"/>
          <w:b/>
          <w:bCs/>
          <w:color w:val="auto"/>
          <w:sz w:val="40"/>
          <w:szCs w:val="40"/>
          <w:highlight w:val="none"/>
        </w:rPr>
        <w:t>设计施工总承包</w:t>
      </w:r>
    </w:p>
    <w:p>
      <w:pPr>
        <w:spacing w:line="360" w:lineRule="auto"/>
        <w:jc w:val="cente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39"/>
        <w:ind w:firstLine="560"/>
        <w:rPr>
          <w:rFonts w:hint="eastAsia" w:ascii="宋体" w:hAnsi="宋体" w:cs="宋体"/>
          <w:color w:val="auto"/>
          <w:sz w:val="28"/>
          <w:szCs w:val="28"/>
          <w:highlight w:val="none"/>
        </w:rPr>
      </w:pPr>
    </w:p>
    <w:p>
      <w:pPr>
        <w:pStyle w:val="39"/>
        <w:ind w:firstLine="560"/>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b/>
          <w:bCs/>
          <w:color w:val="auto"/>
          <w:sz w:val="88"/>
          <w:szCs w:val="88"/>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88"/>
          <w:szCs w:val="88"/>
          <w:highlight w:val="none"/>
        </w:rPr>
        <w:t>招标文件</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pStyle w:val="39"/>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360" w:lineRule="auto"/>
        <w:jc w:val="both"/>
        <w:rPr>
          <w:rFonts w:hint="eastAsia" w:ascii="宋体" w:hAnsi="宋体" w:cs="宋体"/>
          <w:color w:val="auto"/>
          <w:sz w:val="28"/>
          <w:szCs w:val="28"/>
          <w:highlight w:val="none"/>
        </w:rPr>
      </w:pPr>
    </w:p>
    <w:p>
      <w:pPr>
        <w:spacing w:line="360" w:lineRule="auto"/>
        <w:jc w:val="both"/>
        <w:rPr>
          <w:rFonts w:hint="eastAsia" w:ascii="宋体" w:hAnsi="宋体" w:cs="宋体"/>
          <w:color w:val="auto"/>
          <w:sz w:val="28"/>
          <w:szCs w:val="28"/>
          <w:highlight w:val="none"/>
        </w:rPr>
      </w:pPr>
    </w:p>
    <w:p>
      <w:pPr>
        <w:spacing w:line="360" w:lineRule="auto"/>
        <w:ind w:firstLine="840" w:firstLineChars="3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招</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标</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人：</w:t>
      </w:r>
      <w:r>
        <w:rPr>
          <w:rFonts w:hint="eastAsia" w:ascii="宋体" w:hAnsi="宋体" w:cs="宋体"/>
          <w:color w:val="auto"/>
          <w:sz w:val="28"/>
          <w:szCs w:val="28"/>
          <w:highlight w:val="none"/>
          <w:u w:val="single"/>
          <w:lang w:eastAsia="zh-CN"/>
        </w:rPr>
        <w:t>广州市花都区交通运输局</w:t>
      </w:r>
      <w:r>
        <w:rPr>
          <w:rFonts w:hint="eastAsia" w:ascii="宋体" w:hAnsi="宋体" w:cs="宋体"/>
          <w:color w:val="auto"/>
          <w:sz w:val="28"/>
          <w:szCs w:val="28"/>
          <w:highlight w:val="none"/>
        </w:rPr>
        <w:t>（盖章）</w:t>
      </w:r>
    </w:p>
    <w:p>
      <w:pPr>
        <w:spacing w:line="360" w:lineRule="auto"/>
        <w:ind w:firstLine="840" w:firstLineChars="300"/>
        <w:jc w:val="both"/>
        <w:rPr>
          <w:rFonts w:hint="eastAsia" w:ascii="宋体" w:hAnsi="宋体" w:cs="宋体"/>
          <w:color w:val="auto"/>
          <w:sz w:val="28"/>
          <w:szCs w:val="28"/>
          <w:highlight w:val="none"/>
        </w:rPr>
      </w:pPr>
      <w:r>
        <w:rPr>
          <w:rFonts w:hint="eastAsia" w:ascii="宋体" w:hAnsi="宋体" w:cs="宋体"/>
          <w:color w:val="auto"/>
          <w:sz w:val="28"/>
          <w:szCs w:val="28"/>
          <w:highlight w:val="none"/>
        </w:rPr>
        <w:t>招标代理机构：</w:t>
      </w:r>
      <w:r>
        <w:rPr>
          <w:rFonts w:hint="eastAsia" w:ascii="宋体" w:hAnsi="宋体" w:cs="宋体"/>
          <w:color w:val="auto"/>
          <w:sz w:val="28"/>
          <w:szCs w:val="28"/>
          <w:highlight w:val="none"/>
          <w:u w:val="single"/>
          <w:lang w:eastAsia="zh-CN"/>
        </w:rPr>
        <w:t>广东省国际工程咨询有限公司</w:t>
      </w:r>
      <w:r>
        <w:rPr>
          <w:rFonts w:hint="eastAsia" w:ascii="宋体" w:hAnsi="宋体" w:cs="宋体"/>
          <w:color w:val="auto"/>
          <w:sz w:val="28"/>
          <w:szCs w:val="28"/>
          <w:highlight w:val="none"/>
        </w:rPr>
        <w:t>（盖章）</w:t>
      </w:r>
    </w:p>
    <w:p>
      <w:pPr>
        <w:spacing w:line="360" w:lineRule="auto"/>
        <w:ind w:firstLine="840" w:firstLineChars="300"/>
        <w:jc w:val="both"/>
        <w:rPr>
          <w:rFonts w:hint="eastAsia" w:ascii="宋体" w:hAnsi="宋体" w:cs="宋体"/>
          <w:color w:val="auto"/>
          <w:sz w:val="24"/>
          <w:highlight w:val="none"/>
        </w:rPr>
      </w:pP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期：</w:t>
      </w:r>
      <w:r>
        <w:rPr>
          <w:rFonts w:hint="eastAsia" w:ascii="宋体" w:hAnsi="宋体" w:cs="宋体"/>
          <w:color w:val="auto"/>
          <w:sz w:val="28"/>
          <w:szCs w:val="28"/>
          <w:highlight w:val="none"/>
          <w:u w:val="single"/>
        </w:rPr>
        <w:t>2024年10月</w:t>
      </w:r>
    </w:p>
    <w:p>
      <w:pPr>
        <w:spacing w:line="400" w:lineRule="exact"/>
        <w:jc w:val="center"/>
        <w:rPr>
          <w:rFonts w:hint="eastAsia" w:ascii="宋体" w:hAnsi="宋体" w:cs="宋体"/>
          <w:color w:val="auto"/>
          <w:highlight w:val="none"/>
        </w:rPr>
        <w:sectPr>
          <w:pgSz w:w="11906" w:h="16838"/>
          <w:pgMar w:top="1304" w:right="1304" w:bottom="1304" w:left="1304" w:header="851" w:footer="572" w:gutter="0"/>
          <w:pgNumType w:start="1"/>
          <w:cols w:space="720" w:num="1"/>
          <w:titlePg/>
          <w:docGrid w:type="lines" w:linePitch="312" w:charSpace="0"/>
        </w:sectPr>
      </w:pPr>
      <w:bookmarkStart w:id="0" w:name="_Toc247527532"/>
      <w:bookmarkStart w:id="1" w:name="_Toc152042286"/>
      <w:bookmarkStart w:id="2" w:name="_Toc144974478"/>
      <w:bookmarkStart w:id="3" w:name="_Toc300834926"/>
    </w:p>
    <w:p>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目     录</w:t>
      </w:r>
      <w:bookmarkEnd w:id="0"/>
      <w:bookmarkEnd w:id="1"/>
      <w:bookmarkEnd w:id="2"/>
      <w:bookmarkEnd w:id="3"/>
    </w:p>
    <w:p>
      <w:pPr>
        <w:pStyle w:val="28"/>
        <w:tabs>
          <w:tab w:val="right" w:leader="dot" w:pos="9638"/>
        </w:tabs>
        <w:rPr>
          <w:rFonts w:hint="eastAsia" w:ascii="宋体" w:hAnsi="宋体"/>
          <w:color w:val="auto"/>
          <w:highlight w:val="none"/>
        </w:rPr>
      </w:pPr>
      <w:bookmarkStart w:id="4" w:name="_Toc144974479"/>
      <w:bookmarkStart w:id="5" w:name="_Toc152045511"/>
      <w:bookmarkStart w:id="6" w:name="_Toc152042287"/>
      <w:bookmarkStart w:id="7" w:name="_Toc247513932"/>
      <w:bookmarkStart w:id="8" w:name="_Toc247527533"/>
      <w:r>
        <w:rPr>
          <w:rFonts w:hint="eastAsia" w:ascii="宋体" w:hAnsi="宋体" w:cs="宋体"/>
          <w:caps w:val="0"/>
          <w:color w:val="auto"/>
          <w:highlight w:val="none"/>
        </w:rPr>
        <w:fldChar w:fldCharType="begin"/>
      </w:r>
      <w:r>
        <w:rPr>
          <w:rFonts w:hint="eastAsia" w:ascii="宋体" w:hAnsi="宋体" w:cs="宋体"/>
          <w:caps w:val="0"/>
          <w:color w:val="auto"/>
          <w:highlight w:val="none"/>
        </w:rPr>
        <w:instrText xml:space="preserve"> TOC \o "1-3" \h \z \u </w:instrText>
      </w:r>
      <w:r>
        <w:rPr>
          <w:rFonts w:hint="eastAsia" w:ascii="宋体" w:hAnsi="宋体" w:cs="宋体"/>
          <w:caps w:val="0"/>
          <w:color w:val="auto"/>
          <w:highlight w:val="none"/>
        </w:rPr>
        <w:fldChar w:fldCharType="separate"/>
      </w:r>
      <w:r>
        <w:rPr>
          <w:color w:val="auto"/>
          <w:highlight w:val="none"/>
        </w:rPr>
        <w:fldChar w:fldCharType="begin"/>
      </w:r>
      <w:r>
        <w:rPr>
          <w:color w:val="auto"/>
          <w:highlight w:val="none"/>
        </w:rPr>
        <w:instrText xml:space="preserve"> HYPERLINK \l "_Toc11190" </w:instrText>
      </w:r>
      <w:r>
        <w:rPr>
          <w:color w:val="auto"/>
          <w:highlight w:val="none"/>
        </w:rPr>
        <w:fldChar w:fldCharType="separate"/>
      </w:r>
      <w:r>
        <w:rPr>
          <w:rFonts w:hint="eastAsia" w:ascii="宋体" w:hAnsi="宋体" w:cs="宋体"/>
          <w:color w:val="auto"/>
          <w:highlight w:val="none"/>
        </w:rPr>
        <w:t>第一章   招标公告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_Toc11190 \h </w:instrText>
      </w:r>
      <w:r>
        <w:rPr>
          <w:rFonts w:ascii="宋体" w:hAnsi="宋体"/>
          <w:color w:val="auto"/>
          <w:highlight w:val="none"/>
        </w:rPr>
        <w:fldChar w:fldCharType="separate"/>
      </w:r>
      <w:r>
        <w:rPr>
          <w:rFonts w:ascii="宋体" w:hAnsi="宋体"/>
          <w:color w:val="auto"/>
          <w:highlight w:val="none"/>
        </w:rPr>
        <w:t>2</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"_Toc21307" </w:instrText>
      </w:r>
      <w:r>
        <w:rPr>
          <w:color w:val="auto"/>
          <w:highlight w:val="none"/>
        </w:rPr>
        <w:fldChar w:fldCharType="separate"/>
      </w:r>
      <w:r>
        <w:rPr>
          <w:rFonts w:hint="eastAsia" w:ascii="宋体" w:hAnsi="宋体"/>
          <w:color w:val="auto"/>
          <w:highlight w:val="none"/>
        </w:rPr>
        <w:t>第二章   投标人须知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_Toc21307 \h </w:instrText>
      </w:r>
      <w:r>
        <w:rPr>
          <w:rFonts w:ascii="宋体" w:hAnsi="宋体"/>
          <w:color w:val="auto"/>
          <w:highlight w:val="none"/>
        </w:rPr>
        <w:fldChar w:fldCharType="separate"/>
      </w:r>
      <w:r>
        <w:rPr>
          <w:rFonts w:ascii="宋体" w:hAnsi="宋体"/>
          <w:color w:val="auto"/>
          <w:highlight w:val="none"/>
        </w:rPr>
        <w:t>3</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"_Toc28885" </w:instrText>
      </w:r>
      <w:r>
        <w:rPr>
          <w:color w:val="auto"/>
          <w:highlight w:val="none"/>
        </w:rPr>
        <w:fldChar w:fldCharType="separate"/>
      </w:r>
      <w:r>
        <w:rPr>
          <w:rFonts w:hint="eastAsia" w:ascii="宋体" w:hAnsi="宋体" w:cs="宋体"/>
          <w:color w:val="auto"/>
          <w:highlight w:val="none"/>
        </w:rPr>
        <w:t>第三章   评标办法（综合评估法）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_Toc28885 \h </w:instrText>
      </w:r>
      <w:r>
        <w:rPr>
          <w:rFonts w:ascii="宋体" w:hAnsi="宋体"/>
          <w:color w:val="auto"/>
          <w:highlight w:val="none"/>
        </w:rPr>
        <w:fldChar w:fldCharType="separate"/>
      </w:r>
      <w:r>
        <w:rPr>
          <w:rFonts w:ascii="宋体" w:hAnsi="宋体"/>
          <w:color w:val="auto"/>
          <w:highlight w:val="none"/>
        </w:rPr>
        <w:t>26</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"_Toc30231" </w:instrText>
      </w:r>
      <w:r>
        <w:rPr>
          <w:color w:val="auto"/>
          <w:highlight w:val="none"/>
        </w:rPr>
        <w:fldChar w:fldCharType="separate"/>
      </w:r>
      <w:r>
        <w:rPr>
          <w:rFonts w:hint="eastAsia" w:ascii="宋体" w:hAnsi="宋体" w:cs="宋体"/>
          <w:color w:val="auto"/>
          <w:highlight w:val="none"/>
        </w:rPr>
        <w:t>第四章   合同条款及格式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_Toc30231 \h </w:instrText>
      </w:r>
      <w:r>
        <w:rPr>
          <w:rFonts w:ascii="宋体" w:hAnsi="宋体"/>
          <w:color w:val="auto"/>
          <w:highlight w:val="none"/>
        </w:rPr>
        <w:fldChar w:fldCharType="separate"/>
      </w:r>
      <w:r>
        <w:rPr>
          <w:rFonts w:ascii="宋体" w:hAnsi="宋体"/>
          <w:color w:val="auto"/>
          <w:highlight w:val="none"/>
        </w:rPr>
        <w:t>39</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"_Toc16246" </w:instrText>
      </w:r>
      <w:r>
        <w:rPr>
          <w:color w:val="auto"/>
          <w:highlight w:val="none"/>
        </w:rPr>
        <w:fldChar w:fldCharType="separate"/>
      </w:r>
      <w:r>
        <w:rPr>
          <w:rFonts w:hint="eastAsia" w:ascii="宋体" w:hAnsi="宋体" w:cs="宋体"/>
          <w:color w:val="auto"/>
          <w:highlight w:val="none"/>
        </w:rPr>
        <w:t>第五章   招标人要求</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_Toc16246 \h </w:instrText>
      </w:r>
      <w:r>
        <w:rPr>
          <w:rFonts w:ascii="宋体" w:hAnsi="宋体"/>
          <w:color w:val="auto"/>
          <w:highlight w:val="none"/>
        </w:rPr>
        <w:fldChar w:fldCharType="separate"/>
      </w:r>
      <w:r>
        <w:rPr>
          <w:rFonts w:ascii="宋体" w:hAnsi="宋体"/>
          <w:color w:val="auto"/>
          <w:highlight w:val="none"/>
        </w:rPr>
        <w:t>40</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"_Toc9205" </w:instrText>
      </w:r>
      <w:r>
        <w:rPr>
          <w:color w:val="auto"/>
          <w:highlight w:val="none"/>
        </w:rPr>
        <w:fldChar w:fldCharType="separate"/>
      </w:r>
      <w:r>
        <w:rPr>
          <w:rFonts w:hint="eastAsia" w:ascii="宋体" w:hAnsi="宋体" w:cs="宋体"/>
          <w:color w:val="auto"/>
          <w:highlight w:val="none"/>
        </w:rPr>
        <w:t>第六章   招标人提供的资料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_Toc9205 \h </w:instrText>
      </w:r>
      <w:r>
        <w:rPr>
          <w:rFonts w:ascii="宋体" w:hAnsi="宋体"/>
          <w:color w:val="auto"/>
          <w:highlight w:val="none"/>
        </w:rPr>
        <w:fldChar w:fldCharType="separate"/>
      </w:r>
      <w:r>
        <w:rPr>
          <w:rFonts w:ascii="宋体" w:hAnsi="宋体"/>
          <w:color w:val="auto"/>
          <w:highlight w:val="none"/>
        </w:rPr>
        <w:t>42</w:t>
      </w:r>
      <w:r>
        <w:rPr>
          <w:rFonts w:ascii="宋体" w:hAnsi="宋体"/>
          <w:color w:val="auto"/>
          <w:highlight w:val="none"/>
        </w:rPr>
        <w:fldChar w:fldCharType="end"/>
      </w:r>
      <w:r>
        <w:rPr>
          <w:rFonts w:ascii="宋体" w:hAnsi="宋体"/>
          <w:color w:val="auto"/>
          <w:highlight w:val="none"/>
        </w:rPr>
        <w:fldChar w:fldCharType="end"/>
      </w:r>
    </w:p>
    <w:p>
      <w:pPr>
        <w:pStyle w:val="28"/>
        <w:tabs>
          <w:tab w:val="right" w:leader="dot" w:pos="9638"/>
        </w:tabs>
        <w:rPr>
          <w:rFonts w:hint="eastAsia" w:ascii="宋体" w:hAnsi="宋体"/>
          <w:color w:val="auto"/>
          <w:highlight w:val="none"/>
        </w:rPr>
      </w:pPr>
      <w:r>
        <w:rPr>
          <w:color w:val="auto"/>
          <w:highlight w:val="none"/>
        </w:rPr>
        <w:fldChar w:fldCharType="begin"/>
      </w:r>
      <w:r>
        <w:rPr>
          <w:color w:val="auto"/>
          <w:highlight w:val="none"/>
        </w:rPr>
        <w:instrText xml:space="preserve"> HYPERLINK \l "_Toc8104" </w:instrText>
      </w:r>
      <w:r>
        <w:rPr>
          <w:color w:val="auto"/>
          <w:highlight w:val="none"/>
        </w:rPr>
        <w:fldChar w:fldCharType="separate"/>
      </w:r>
      <w:r>
        <w:rPr>
          <w:rFonts w:hint="eastAsia" w:ascii="宋体" w:hAnsi="宋体" w:cs="宋体"/>
          <w:color w:val="auto"/>
          <w:highlight w:val="none"/>
        </w:rPr>
        <w:t>第七章   投标文件格式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_Toc8104 \h </w:instrText>
      </w:r>
      <w:r>
        <w:rPr>
          <w:rFonts w:ascii="宋体" w:hAnsi="宋体"/>
          <w:color w:val="auto"/>
          <w:highlight w:val="none"/>
        </w:rPr>
        <w:fldChar w:fldCharType="separate"/>
      </w:r>
      <w:r>
        <w:rPr>
          <w:rFonts w:ascii="宋体" w:hAnsi="宋体"/>
          <w:color w:val="auto"/>
          <w:highlight w:val="none"/>
        </w:rPr>
        <w:t>43</w:t>
      </w:r>
      <w:r>
        <w:rPr>
          <w:rFonts w:ascii="宋体" w:hAnsi="宋体"/>
          <w:color w:val="auto"/>
          <w:highlight w:val="none"/>
        </w:rPr>
        <w:fldChar w:fldCharType="end"/>
      </w:r>
      <w:r>
        <w:rPr>
          <w:rFonts w:ascii="宋体" w:hAnsi="宋体"/>
          <w:color w:val="auto"/>
          <w:highlight w:val="none"/>
        </w:rPr>
        <w:fldChar w:fldCharType="end"/>
      </w:r>
    </w:p>
    <w:p>
      <w:pPr>
        <w:pStyle w:val="32"/>
        <w:tabs>
          <w:tab w:val="right" w:leader="dot" w:pos="9638"/>
        </w:tabs>
        <w:rPr>
          <w:rFonts w:hint="eastAsia" w:ascii="宋体" w:hAnsi="宋体"/>
          <w:color w:val="auto"/>
          <w:highlight w:val="none"/>
        </w:rPr>
      </w:pPr>
    </w:p>
    <w:p>
      <w:pPr>
        <w:rPr>
          <w:rFonts w:hint="eastAsia" w:ascii="宋体" w:hAnsi="宋体"/>
          <w:color w:val="auto"/>
          <w:highlight w:val="none"/>
        </w:rPr>
        <w:sectPr>
          <w:footerReference r:id="rId3" w:type="default"/>
          <w:pgSz w:w="11906" w:h="16838"/>
          <w:pgMar w:top="1304" w:right="1304" w:bottom="1304" w:left="1304" w:header="851" w:footer="992" w:gutter="0"/>
          <w:pgNumType w:start="1"/>
          <w:cols w:space="720" w:num="1"/>
          <w:docGrid w:type="lines" w:linePitch="312" w:charSpace="0"/>
        </w:sectPr>
      </w:pPr>
      <w:r>
        <w:rPr>
          <w:rFonts w:hint="eastAsia" w:ascii="宋体" w:hAnsi="宋体"/>
          <w:color w:val="auto"/>
          <w:highlight w:val="none"/>
        </w:rPr>
        <w:fldChar w:fldCharType="end"/>
      </w:r>
    </w:p>
    <w:bookmarkEnd w:id="4"/>
    <w:bookmarkEnd w:id="5"/>
    <w:bookmarkEnd w:id="6"/>
    <w:bookmarkEnd w:id="7"/>
    <w:bookmarkEnd w:id="8"/>
    <w:p>
      <w:pPr>
        <w:pStyle w:val="3"/>
        <w:jc w:val="center"/>
        <w:rPr>
          <w:rFonts w:hint="eastAsia" w:ascii="宋体" w:hAnsi="宋体" w:cs="宋体"/>
          <w:color w:val="auto"/>
          <w:highlight w:val="none"/>
        </w:rPr>
      </w:pPr>
      <w:bookmarkStart w:id="9" w:name="_Toc503806366"/>
      <w:bookmarkStart w:id="10" w:name="_Toc11304"/>
      <w:bookmarkStart w:id="11" w:name="_Toc11190"/>
      <w:bookmarkStart w:id="12" w:name="_Toc144974495"/>
      <w:bookmarkStart w:id="13" w:name="_Toc152045527"/>
      <w:bookmarkStart w:id="14" w:name="_Toc247513950"/>
      <w:bookmarkStart w:id="15" w:name="_Toc247527551"/>
      <w:bookmarkStart w:id="16" w:name="_Toc152042303"/>
      <w:r>
        <w:rPr>
          <w:rFonts w:hint="eastAsia" w:ascii="宋体" w:hAnsi="宋体" w:cs="宋体"/>
          <w:color w:val="auto"/>
          <w:highlight w:val="none"/>
        </w:rPr>
        <w:t xml:space="preserve">第一章  </w:t>
      </w:r>
      <w:bookmarkEnd w:id="9"/>
      <w:r>
        <w:rPr>
          <w:rFonts w:hint="eastAsia" w:ascii="宋体" w:hAnsi="宋体" w:cs="宋体"/>
          <w:color w:val="auto"/>
          <w:highlight w:val="none"/>
        </w:rPr>
        <w:t>招标公告</w:t>
      </w:r>
    </w:p>
    <w:p>
      <w:pPr>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（另册）</w:t>
      </w:r>
      <w:bookmarkEnd w:id="10"/>
      <w:bookmarkEnd w:id="11"/>
    </w:p>
    <w:p>
      <w:pPr>
        <w:pStyle w:val="3"/>
        <w:jc w:val="center"/>
        <w:rPr>
          <w:rFonts w:hint="eastAsia" w:ascii="宋体" w:hAnsi="宋体" w:cs="宋体"/>
          <w:color w:val="auto"/>
          <w:highlight w:val="none"/>
        </w:rPr>
      </w:pPr>
      <w:r>
        <w:rPr>
          <w:rFonts w:hint="eastAsia" w:ascii="宋体" w:hAnsi="宋体" w:cs="宋体"/>
          <w:color w:val="auto"/>
          <w:highlight w:val="none"/>
        </w:rPr>
        <w:br w:type="page"/>
      </w:r>
      <w:bookmarkStart w:id="17" w:name="_Toc25555"/>
      <w:bookmarkStart w:id="18" w:name="_Toc21307"/>
      <w:r>
        <w:rPr>
          <w:rFonts w:hint="eastAsia" w:ascii="宋体" w:hAnsi="宋体"/>
          <w:color w:val="auto"/>
          <w:highlight w:val="none"/>
        </w:rPr>
        <w:t>第二章  投标人须知</w:t>
      </w:r>
      <w:bookmarkEnd w:id="12"/>
      <w:bookmarkEnd w:id="13"/>
      <w:bookmarkEnd w:id="14"/>
      <w:bookmarkEnd w:id="15"/>
      <w:bookmarkEnd w:id="16"/>
      <w:bookmarkEnd w:id="17"/>
      <w:bookmarkEnd w:id="18"/>
    </w:p>
    <w:p>
      <w:pPr>
        <w:pStyle w:val="4"/>
        <w:jc w:val="center"/>
        <w:rPr>
          <w:rFonts w:hint="eastAsia" w:ascii="宋体" w:hAnsi="宋体" w:eastAsia="宋体" w:cs="宋体"/>
          <w:color w:val="auto"/>
          <w:highlight w:val="none"/>
        </w:rPr>
      </w:pPr>
      <w:bookmarkStart w:id="19" w:name="_Toc144974496"/>
      <w:bookmarkStart w:id="20" w:name="_Toc152042304"/>
      <w:bookmarkStart w:id="21" w:name="_Toc247513951"/>
      <w:bookmarkStart w:id="22" w:name="_Toc152045528"/>
      <w:bookmarkStart w:id="23" w:name="_Toc247527552"/>
      <w:bookmarkStart w:id="24" w:name="_Toc16626"/>
      <w:bookmarkStart w:id="25" w:name="_Toc13135"/>
      <w:r>
        <w:rPr>
          <w:rFonts w:hint="eastAsia" w:ascii="宋体" w:hAnsi="宋体" w:eastAsia="宋体" w:cs="宋体"/>
          <w:color w:val="auto"/>
          <w:highlight w:val="none"/>
        </w:rPr>
        <w:t>投标人须知前附表</w:t>
      </w:r>
      <w:bookmarkEnd w:id="19"/>
      <w:bookmarkEnd w:id="20"/>
      <w:bookmarkEnd w:id="21"/>
      <w:bookmarkEnd w:id="22"/>
      <w:bookmarkEnd w:id="23"/>
      <w:bookmarkEnd w:id="24"/>
      <w:bookmarkEnd w:id="25"/>
    </w:p>
    <w:tbl>
      <w:tblPr>
        <w:tblStyle w:val="40"/>
        <w:tblW w:w="9854" w:type="dxa"/>
        <w:tblInd w:w="0" w:type="dxa"/>
        <w:tblLayout w:type="fixed"/>
        <w:tblCellMar>
          <w:top w:w="0" w:type="dxa"/>
          <w:left w:w="108" w:type="dxa"/>
          <w:bottom w:w="0" w:type="dxa"/>
          <w:right w:w="108" w:type="dxa"/>
        </w:tblCellMar>
      </w:tblPr>
      <w:tblGrid>
        <w:gridCol w:w="1165"/>
        <w:gridCol w:w="2226"/>
        <w:gridCol w:w="828"/>
        <w:gridCol w:w="5635"/>
      </w:tblGrid>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638" w:hanging="638" w:hangingChars="304"/>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广州市花都区交通运输局</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广州市花都区紫薇路</w:t>
            </w:r>
            <w:r>
              <w:rPr>
                <w:rFonts w:ascii="宋体" w:hAnsi="宋体" w:cs="宋体"/>
                <w:color w:val="auto"/>
                <w:szCs w:val="21"/>
                <w:highlight w:val="none"/>
                <w:u w:val="single"/>
              </w:rPr>
              <w:t>23号</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王</w:t>
            </w:r>
            <w:r>
              <w:rPr>
                <w:rFonts w:hint="eastAsia" w:ascii="宋体" w:hAnsi="宋体" w:cs="宋体"/>
                <w:color w:val="auto"/>
                <w:szCs w:val="21"/>
                <w:highlight w:val="none"/>
                <w:u w:val="single"/>
              </w:rPr>
              <w:t>工</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020-86970157</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广东省国际工程咨询有限公司</w:t>
            </w:r>
          </w:p>
          <w:p>
            <w:pPr>
              <w:spacing w:line="276" w:lineRule="auto"/>
              <w:ind w:left="636" w:hanging="636" w:hangingChars="303"/>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kern w:val="2"/>
                <w:sz w:val="21"/>
                <w:szCs w:val="21"/>
                <w:highlight w:val="none"/>
                <w:u w:val="single"/>
              </w:rPr>
              <w:t>广州市越秀区</w:t>
            </w:r>
            <w:r>
              <w:rPr>
                <w:rFonts w:hint="eastAsia" w:ascii="宋体" w:hAnsi="宋体" w:eastAsia="宋体" w:cs="宋体"/>
                <w:color w:val="auto"/>
                <w:kern w:val="2"/>
                <w:sz w:val="21"/>
                <w:szCs w:val="21"/>
                <w:highlight w:val="none"/>
                <w:u w:val="single"/>
                <w:lang w:val="en-US" w:eastAsia="zh-CN"/>
              </w:rPr>
              <w:t>环市中路316号金鹰大厦16楼</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eastAsia="宋体" w:cs="宋体"/>
                <w:color w:val="auto"/>
                <w:kern w:val="2"/>
                <w:sz w:val="21"/>
                <w:szCs w:val="21"/>
                <w:highlight w:val="none"/>
                <w:u w:val="single"/>
                <w:lang w:val="en-US" w:eastAsia="zh-CN"/>
              </w:rPr>
              <w:t>张</w:t>
            </w:r>
            <w:r>
              <w:rPr>
                <w:rFonts w:hint="eastAsia" w:ascii="宋体" w:hAnsi="宋体" w:eastAsia="宋体" w:cs="宋体"/>
                <w:color w:val="auto"/>
                <w:kern w:val="2"/>
                <w:sz w:val="21"/>
                <w:szCs w:val="21"/>
                <w:highlight w:val="none"/>
                <w:u w:val="single"/>
              </w:rPr>
              <w:t>工</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tc>
      </w:tr>
      <w:tr>
        <w:tblPrEx>
          <w:tblCellMar>
            <w:top w:w="0" w:type="dxa"/>
            <w:left w:w="108" w:type="dxa"/>
            <w:bottom w:w="0" w:type="dxa"/>
            <w:right w:w="108" w:type="dxa"/>
          </w:tblCellMar>
        </w:tblPrEx>
        <w:trPr>
          <w:trHeight w:val="4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国道G106至花山平安楼道路工程</w:t>
            </w:r>
            <w:r>
              <w:rPr>
                <w:rFonts w:hint="eastAsia" w:ascii="宋体" w:hAnsi="宋体" w:cs="宋体"/>
                <w:color w:val="auto"/>
                <w:szCs w:val="21"/>
                <w:highlight w:val="none"/>
                <w:u w:val="single"/>
              </w:rPr>
              <w:t>设计施工总承包</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资金来源及比例</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计划工期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设计要求：</w:t>
            </w:r>
            <w:r>
              <w:rPr>
                <w:rFonts w:hint="eastAsia" w:ascii="宋体" w:hAnsi="宋体" w:cs="宋体"/>
                <w:color w:val="auto"/>
                <w:szCs w:val="21"/>
                <w:highlight w:val="none"/>
                <w:u w:val="single"/>
              </w:rPr>
              <w:t>符合《建设工程质量管理条例》及《建设工程勘察设计管理条例》等国家及地方有关工程设计管理法规和规章，达到《市政公用工程设计文件编制深度规定（2013年版）（修订版）》及行业相关规范技术标准等要求。</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施工要求：</w:t>
            </w:r>
            <w:r>
              <w:rPr>
                <w:rFonts w:hint="eastAsia" w:ascii="宋体" w:hAnsi="宋体" w:cs="宋体"/>
                <w:color w:val="auto"/>
                <w:szCs w:val="21"/>
                <w:highlight w:val="none"/>
                <w:u w:val="single"/>
              </w:rPr>
              <w:t>符合设计图纸要求和国家、省、市相关法律法规规定要求及行业颁发的工程质量合格标准。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合格。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□不接受</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费用承担和设计成果补偿</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■不补偿</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□补偿，补偿标准：</w:t>
            </w:r>
            <w:r>
              <w:rPr>
                <w:rFonts w:hint="eastAsia" w:ascii="宋体" w:hAnsi="宋体" w:cs="宋体"/>
                <w:color w:val="auto"/>
                <w:szCs w:val="21"/>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踏勘</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■不组织：</w:t>
            </w:r>
            <w:r>
              <w:rPr>
                <w:rFonts w:hint="eastAsia" w:ascii="宋体" w:hAnsi="宋体" w:cs="宋体"/>
                <w:color w:val="auto"/>
                <w:szCs w:val="21"/>
                <w:highlight w:val="none"/>
                <w:u w:val="single"/>
              </w:rPr>
              <w:t>自行踏勘</w:t>
            </w:r>
          </w:p>
          <w:p>
            <w:pPr>
              <w:pStyle w:val="12"/>
              <w:spacing w:line="276" w:lineRule="auto"/>
              <w:ind w:left="0" w:leftChars="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自本公告发布之日起具备现场踏勘条件</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rPr>
              <w:t>现场详细地点：</w:t>
            </w:r>
            <w:r>
              <w:rPr>
                <w:rFonts w:hint="eastAsia" w:ascii="宋体" w:hAnsi="宋体" w:cs="宋体"/>
                <w:color w:val="auto"/>
                <w:szCs w:val="21"/>
                <w:highlight w:val="none"/>
                <w:u w:val="single"/>
              </w:rPr>
              <w:t>广州市花都区</w:t>
            </w:r>
          </w:p>
          <w:p>
            <w:pPr>
              <w:tabs>
                <w:tab w:val="left" w:pos="4830"/>
              </w:tabs>
              <w:spacing w:line="276" w:lineRule="auto"/>
              <w:rPr>
                <w:rFonts w:hint="eastAsia" w:ascii="宋体" w:hAnsi="宋体" w:cs="宋体"/>
                <w:color w:val="auto"/>
                <w:szCs w:val="21"/>
                <w:highlight w:val="none"/>
              </w:rPr>
            </w:pPr>
            <w:r>
              <w:rPr>
                <w:rFonts w:hint="eastAsia" w:ascii="宋体" w:hAnsi="宋体" w:cs="宋体"/>
                <w:color w:val="auto"/>
                <w:szCs w:val="21"/>
                <w:highlight w:val="none"/>
              </w:rPr>
              <w:t>□组织，踏勘时间：</w:t>
            </w:r>
          </w:p>
          <w:p>
            <w:pPr>
              <w:spacing w:line="276"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■不召开</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□召开，召开时间：</w:t>
            </w:r>
          </w:p>
          <w:p>
            <w:pPr>
              <w:spacing w:line="276"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投标人提出问题的截止时间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1.方式：</w:t>
            </w:r>
            <w:r>
              <w:rPr>
                <w:rFonts w:hint="eastAsia" w:ascii="宋体" w:hAnsi="宋体" w:cs="宋体"/>
                <w:color w:val="auto"/>
                <w:szCs w:val="21"/>
                <w:highlight w:val="none"/>
                <w:u w:val="single"/>
              </w:rPr>
              <w:t>网上答疑。</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2.投标人提出问题期限：</w:t>
            </w:r>
            <w:r>
              <w:rPr>
                <w:rFonts w:hint="eastAsia" w:ascii="宋体" w:hAnsi="宋体" w:cs="宋体"/>
                <w:color w:val="auto"/>
                <w:szCs w:val="21"/>
                <w:highlight w:val="none"/>
                <w:u w:val="single"/>
              </w:rPr>
              <w:t>在递交投标文件截止时间18日前提出。</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招标人书面澄清的时间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递交投标文件截止日期</w:t>
            </w:r>
            <w:r>
              <w:rPr>
                <w:rFonts w:hint="eastAsia" w:ascii="宋体" w:hAnsi="宋体" w:cs="宋体"/>
                <w:color w:val="auto"/>
                <w:kern w:val="0"/>
                <w:szCs w:val="21"/>
                <w:highlight w:val="none"/>
                <w:u w:val="single"/>
              </w:rPr>
              <w:t>15日前</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招标人规定由分包人承担的工作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按照合同相关约定执行。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投标人拟分包的工作</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■允许，</w:t>
            </w:r>
            <w:r>
              <w:rPr>
                <w:rFonts w:hint="eastAsia" w:ascii="宋体" w:hAnsi="宋体" w:cs="宋体"/>
                <w:color w:val="auto"/>
                <w:kern w:val="0"/>
                <w:szCs w:val="21"/>
                <w:highlight w:val="none"/>
              </w:rPr>
              <w:t>允许非主体、非关键性工程进行分包，</w:t>
            </w:r>
            <w:r>
              <w:rPr>
                <w:rFonts w:hint="eastAsia" w:ascii="宋体" w:hAnsi="宋体" w:cs="宋体"/>
                <w:color w:val="auto"/>
                <w:kern w:val="0"/>
                <w:szCs w:val="21"/>
                <w:highlight w:val="none"/>
                <w:lang w:val="en-US" w:eastAsia="zh-CN"/>
              </w:rPr>
              <w:t>具体详见合同约定。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偏离</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□允许，允许偏离的内容、偏离范围和幅度</w:t>
            </w:r>
          </w:p>
        </w:tc>
      </w:tr>
      <w:tr>
        <w:tblPrEx>
          <w:tblCellMar>
            <w:top w:w="0" w:type="dxa"/>
            <w:left w:w="108" w:type="dxa"/>
            <w:bottom w:w="0" w:type="dxa"/>
            <w:right w:w="108" w:type="dxa"/>
          </w:tblCellMar>
        </w:tblPrEx>
        <w:trPr>
          <w:trHeight w:val="107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招标文件</w:t>
            </w:r>
            <w:r>
              <w:rPr>
                <w:rFonts w:hint="eastAsia" w:ascii="宋体" w:hAnsi="宋体" w:cs="宋体"/>
                <w:color w:val="auto"/>
                <w:szCs w:val="21"/>
                <w:highlight w:val="none"/>
                <w:u w:val="single"/>
              </w:rPr>
              <w:t>答疑纪要、澄清文件等（如有）。</w:t>
            </w:r>
          </w:p>
        </w:tc>
      </w:tr>
      <w:tr>
        <w:tblPrEx>
          <w:tblCellMar>
            <w:top w:w="0" w:type="dxa"/>
            <w:left w:w="108" w:type="dxa"/>
            <w:bottom w:w="0" w:type="dxa"/>
            <w:right w:w="108" w:type="dxa"/>
          </w:tblCellMar>
        </w:tblPrEx>
        <w:trPr>
          <w:trHeight w:val="16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投标人要求澄清招标文件的截止时间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招标答疑采用网上答疑方式进行。投标人若对招标文件有疑问的，可在递交投标文件截止时间18日前提出。</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投标人疑问通过网上提交。具体操作方法详见广州交易集团有限公司（广州公共资源交易中心）网站发布的最新版操作指引。</w:t>
            </w:r>
          </w:p>
        </w:tc>
      </w:tr>
      <w:tr>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color w:val="auto"/>
                <w:szCs w:val="21"/>
                <w:highlight w:val="none"/>
              </w:rPr>
            </w:pPr>
            <w:r>
              <w:rPr>
                <w:rFonts w:hint="eastAsia" w:ascii="宋体" w:hAnsi="宋体"/>
                <w:color w:val="auto"/>
                <w:szCs w:val="21"/>
                <w:highlight w:val="none"/>
              </w:rPr>
              <w:t>详见招标公告</w:t>
            </w:r>
          </w:p>
        </w:tc>
      </w:tr>
      <w:tr>
        <w:tblPrEx>
          <w:tblCellMar>
            <w:top w:w="0" w:type="dxa"/>
            <w:left w:w="108" w:type="dxa"/>
            <w:bottom w:w="0" w:type="dxa"/>
            <w:right w:w="108" w:type="dxa"/>
          </w:tblCellMar>
        </w:tblPrEx>
        <w:trPr>
          <w:trHeight w:val="130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tblPrEx>
          <w:tblCellMar>
            <w:top w:w="0" w:type="dxa"/>
            <w:left w:w="108" w:type="dxa"/>
            <w:bottom w:w="0" w:type="dxa"/>
            <w:right w:w="108" w:type="dxa"/>
          </w:tblCellMar>
        </w:tblPrEx>
        <w:trPr>
          <w:trHeight w:val="136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投标人确认收到招标文件修改的时间</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tabs>
                <w:tab w:val="left" w:pos="4620"/>
              </w:tabs>
              <w:spacing w:line="276" w:lineRule="auto"/>
              <w:rPr>
                <w:rFonts w:hint="eastAsia" w:ascii="宋体" w:hAnsi="宋体" w:cs="宋体"/>
                <w:color w:val="auto"/>
                <w:szCs w:val="21"/>
                <w:highlight w:val="none"/>
              </w:rPr>
            </w:pPr>
            <w:r>
              <w:rPr>
                <w:rFonts w:hint="eastAsia" w:ascii="宋体" w:hAnsi="宋体" w:cs="Calibri"/>
                <w:color w:val="auto"/>
                <w:szCs w:val="21"/>
                <w:highlight w:val="none"/>
              </w:rPr>
              <w:t>详见“3.1 投标文件的组成”和第七章《投标文件格式》要求</w:t>
            </w:r>
          </w:p>
        </w:tc>
      </w:tr>
      <w:tr>
        <w:tblPrEx>
          <w:tblCellMar>
            <w:top w:w="0" w:type="dxa"/>
            <w:left w:w="108" w:type="dxa"/>
            <w:bottom w:w="0" w:type="dxa"/>
            <w:right w:w="108" w:type="dxa"/>
          </w:tblCellMar>
        </w:tblPrEx>
        <w:trPr>
          <w:trHeight w:val="54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最高投标限价或其计算方法</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本项目最高投标限价总价为</w:t>
            </w:r>
            <w:r>
              <w:rPr>
                <w:rFonts w:hint="eastAsia" w:ascii="宋体" w:hAnsi="宋体" w:eastAsia="宋体" w:cs="宋体"/>
                <w:color w:val="auto"/>
                <w:szCs w:val="21"/>
                <w:highlight w:val="none"/>
                <w:u w:val="single"/>
              </w:rPr>
              <w:t>4485.617</w:t>
            </w:r>
            <w:r>
              <w:rPr>
                <w:rFonts w:hint="eastAsia" w:ascii="宋体" w:hAnsi="宋体" w:cs="宋体"/>
                <w:color w:val="auto"/>
                <w:szCs w:val="21"/>
                <w:highlight w:val="none"/>
              </w:rPr>
              <w:t>万元；其中：建安工程费最高投标限价为</w:t>
            </w:r>
            <w:r>
              <w:rPr>
                <w:rFonts w:hint="eastAsia" w:ascii="宋体" w:hAnsi="宋体" w:eastAsia="宋体" w:cs="宋体"/>
                <w:color w:val="auto"/>
                <w:szCs w:val="21"/>
                <w:highlight w:val="none"/>
                <w:u w:val="single"/>
              </w:rPr>
              <w:t>4338.764</w:t>
            </w:r>
            <w:r>
              <w:rPr>
                <w:rFonts w:hint="eastAsia" w:ascii="宋体" w:hAnsi="宋体" w:cs="宋体"/>
                <w:color w:val="auto"/>
                <w:szCs w:val="21"/>
                <w:highlight w:val="none"/>
              </w:rPr>
              <w:t>万元，设计费最高投标限价为</w:t>
            </w:r>
            <w:r>
              <w:rPr>
                <w:rFonts w:hint="eastAsia" w:ascii="宋体" w:hAnsi="宋体" w:eastAsia="宋体" w:cs="宋体"/>
                <w:color w:val="auto"/>
                <w:szCs w:val="21"/>
                <w:highlight w:val="none"/>
                <w:u w:val="single"/>
              </w:rPr>
              <w:t>146.853</w:t>
            </w:r>
            <w:r>
              <w:rPr>
                <w:rFonts w:hint="eastAsia" w:ascii="宋体" w:hAnsi="宋体" w:cs="宋体"/>
                <w:color w:val="auto"/>
                <w:szCs w:val="21"/>
                <w:highlight w:val="none"/>
              </w:rPr>
              <w:t>万元。</w:t>
            </w:r>
          </w:p>
          <w:p>
            <w:pPr>
              <w:spacing w:line="276" w:lineRule="auto"/>
              <w:rPr>
                <w:rFonts w:hint="eastAsia" w:ascii="宋体" w:hAnsi="宋体"/>
                <w:color w:val="auto"/>
                <w:szCs w:val="21"/>
                <w:highlight w:val="none"/>
              </w:rPr>
            </w:pPr>
            <w:r>
              <w:rPr>
                <w:rFonts w:hint="eastAsia" w:ascii="宋体" w:hAnsi="宋体" w:cs="宋体"/>
                <w:color w:val="auto"/>
                <w:szCs w:val="21"/>
                <w:highlight w:val="none"/>
                <w:u w:val="single"/>
              </w:rPr>
              <w:t>注：投标人未按要求报价或投标报价（含投标总报价、建安工程费报价、设计费报价）超过上述相应最高投标限价的为无效标。</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39"/>
              <w:spacing w:after="0" w:line="276" w:lineRule="auto"/>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（1）设计费：由投标人根据招标文件要求以及企业自身情况自行报价和填报下浮率，结算方式按照合同约定的相应条款执行。</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）建安工程费：由投标人根据招标文件要求以及企业自身情况自行报价和填报下浮率，结算方式按照合同约定的相应条款执行。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b/>
                <w:bCs/>
                <w:color w:val="auto"/>
                <w:kern w:val="0"/>
                <w:szCs w:val="21"/>
                <w:highlight w:val="none"/>
                <w:u w:val="single"/>
              </w:rPr>
              <w:t>90</w:t>
            </w:r>
            <w:r>
              <w:rPr>
                <w:rFonts w:hint="eastAsia" w:ascii="宋体" w:hAnsi="宋体" w:cs="宋体"/>
                <w:color w:val="auto"/>
                <w:kern w:val="0"/>
                <w:szCs w:val="21"/>
                <w:highlight w:val="none"/>
              </w:rPr>
              <w:t>日历天（从投标截止之日计起）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color w:val="auto"/>
                <w:kern w:val="0"/>
                <w:szCs w:val="21"/>
                <w:highlight w:val="none"/>
                <w:u w:val="single"/>
              </w:rPr>
            </w:pPr>
            <w:r>
              <w:rPr>
                <w:rFonts w:hint="eastAsia" w:ascii="宋体" w:hAnsi="宋体"/>
                <w:color w:val="auto"/>
                <w:szCs w:val="21"/>
                <w:highlight w:val="none"/>
              </w:rPr>
              <w:t>本项目不要求递交投标保证金</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近年财务状况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近年发生的重大诉讼及仲裁情况</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3.6</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■不允许</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签字或盖章要求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olor w:val="auto"/>
                <w:szCs w:val="21"/>
                <w:highlight w:val="none"/>
                <w:u w:val="single"/>
              </w:rPr>
            </w:pPr>
            <w:r>
              <w:rPr>
                <w:rFonts w:hint="eastAsia" w:ascii="宋体" w:hAnsi="宋体"/>
                <w:color w:val="auto"/>
                <w:szCs w:val="21"/>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pPr>
              <w:pStyle w:val="17"/>
              <w:spacing w:line="276" w:lineRule="auto"/>
              <w:rPr>
                <w:rFonts w:hint="eastAsia" w:ascii="宋体" w:hAnsi="宋体"/>
                <w:color w:val="auto"/>
                <w:szCs w:val="21"/>
                <w:highlight w:val="none"/>
              </w:rPr>
            </w:pPr>
            <w:r>
              <w:rPr>
                <w:rFonts w:hint="eastAsia" w:ascii="宋体" w:hAnsi="宋体"/>
                <w:b/>
                <w:color w:val="auto"/>
                <w:szCs w:val="21"/>
                <w:highlight w:val="none"/>
                <w:u w:val="single"/>
              </w:rPr>
              <w:t>注：设计方案投标文件为暗标，投标人在设计方案内不得标注名称、印章、商标、图形等记认符号，且不得识辨出投标人或其专业技术人员的身份。</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3.7.4</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3.7.5</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装订要求</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rPr>
          <w:trHeight w:val="18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递交投标文件地点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投标人应在截止时间前通过广州交易集团有限公司（广州公共资源交易中心）交易平台递交电子投标文件。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是否退还投标文件</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pStyle w:val="16"/>
              <w:topLinePunct/>
              <w:spacing w:line="276" w:lineRule="auto"/>
              <w:rPr>
                <w:rFonts w:hint="eastAsia" w:hAnsi="宋体" w:cs="宋体"/>
                <w:color w:val="auto"/>
                <w:sz w:val="21"/>
                <w:szCs w:val="21"/>
                <w:highlight w:val="none"/>
              </w:rPr>
            </w:pPr>
            <w:r>
              <w:rPr>
                <w:rFonts w:hint="eastAsia" w:hAnsi="宋体" w:cs="宋体"/>
                <w:color w:val="auto"/>
                <w:sz w:val="21"/>
                <w:szCs w:val="21"/>
                <w:highlight w:val="none"/>
              </w:rPr>
              <w:t>■否</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开标时间：</w:t>
            </w:r>
            <w:r>
              <w:rPr>
                <w:rFonts w:hint="eastAsia" w:ascii="宋体" w:hAnsi="宋体" w:cs="宋体"/>
                <w:color w:val="auto"/>
                <w:kern w:val="0"/>
                <w:szCs w:val="21"/>
                <w:highlight w:val="none"/>
                <w:u w:val="single"/>
              </w:rPr>
              <w:t>开标时间同投标截止时间。</w:t>
            </w:r>
          </w:p>
          <w:p>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开标地点：</w:t>
            </w:r>
            <w:r>
              <w:rPr>
                <w:rFonts w:hint="eastAsia" w:ascii="宋体" w:hAnsi="宋体" w:cs="宋体"/>
                <w:color w:val="auto"/>
                <w:kern w:val="0"/>
                <w:szCs w:val="21"/>
                <w:highlight w:val="none"/>
                <w:u w:val="single"/>
              </w:rPr>
              <w:t>在广州交易集团有限公司（广州公共资源交易中心）交易平台进行网上开标。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新宋体"/>
                <w:color w:val="auto"/>
                <w:szCs w:val="21"/>
                <w:highlight w:val="none"/>
                <w:u w:val="single"/>
              </w:rPr>
            </w:pPr>
            <w:r>
              <w:rPr>
                <w:rFonts w:hint="eastAsia" w:ascii="宋体" w:hAnsi="宋体" w:cs="新宋体"/>
                <w:color w:val="auto"/>
                <w:szCs w:val="21"/>
                <w:highlight w:val="none"/>
                <w:u w:val="single"/>
              </w:rPr>
              <w:t>主持人按下列程序进行开标：</w:t>
            </w:r>
          </w:p>
          <w:p>
            <w:pPr>
              <w:spacing w:line="276" w:lineRule="auto"/>
              <w:rPr>
                <w:rFonts w:hint="eastAsia" w:ascii="宋体" w:hAnsi="宋体" w:cs="新宋体"/>
                <w:color w:val="auto"/>
                <w:szCs w:val="21"/>
                <w:highlight w:val="none"/>
                <w:u w:val="single"/>
              </w:rPr>
            </w:pPr>
            <w:r>
              <w:rPr>
                <w:rFonts w:hint="eastAsia" w:ascii="宋体" w:hAnsi="宋体" w:cs="新宋体"/>
                <w:color w:val="auto"/>
                <w:szCs w:val="21"/>
                <w:highlight w:val="none"/>
                <w:u w:val="single"/>
              </w:rPr>
              <w:t>（1）宣布开标纪律；</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解密完成后，公布：a投标人名称；b投标文件递交情况；c投标文件解密情况；d项目负责人、施工负责人、设计负责人、专职安全员；e投标报价（含设计费报价和建安工程费报价）；f工期；g投标人的加密打包投标文件电脑机器特征码等主要内容，并记录在案。未在规定时间内解密的投标文件不参与开标、评标。</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（4）截标后，开标开始时间因故推迟的，相关评标信息仍以原定的开标开始时间的信息为准。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（5）备用光盘的读取按“10 电子招标投标”第6点的规定执行。</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（8）投标人未参加开标或在规定的时间内未提出异议的，视为对开标无异议。</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（9）开标时，两个（含两个）以上的投标人加密打包投标文件电脑机器特征码一致的，不参与下一程序，并由评标委员会否决其投标。</w:t>
            </w:r>
          </w:p>
          <w:p>
            <w:pPr>
              <w:spacing w:line="276" w:lineRule="auto"/>
              <w:rPr>
                <w:rFonts w:hint="eastAsia" w:ascii="宋体" w:hAnsi="宋体"/>
                <w:color w:val="auto"/>
                <w:szCs w:val="21"/>
                <w:highlight w:val="none"/>
              </w:rPr>
            </w:pPr>
            <w:r>
              <w:rPr>
                <w:rFonts w:hint="eastAsia" w:ascii="宋体" w:hAnsi="宋体" w:cs="宋体"/>
                <w:color w:val="auto"/>
                <w:szCs w:val="21"/>
                <w:highlight w:val="none"/>
              </w:rPr>
              <w:t>（10）投标文件（设计方案）开标时不得开启，在评标时由交易平台随机编号后开启，交由评标委员会进行评审。编号所对应的投标人在设计方案评审结束前不得告知评标委员会、交易平台工作人员、招标人或招标代理机构。</w:t>
            </w:r>
          </w:p>
          <w:p>
            <w:pPr>
              <w:spacing w:line="276" w:lineRule="auto"/>
              <w:rPr>
                <w:rFonts w:hint="eastAsia" w:ascii="宋体" w:hAnsi="宋体" w:cs="新宋体"/>
                <w:color w:val="auto"/>
                <w:szCs w:val="21"/>
                <w:highlight w:val="none"/>
              </w:rPr>
            </w:pPr>
            <w:r>
              <w:rPr>
                <w:rFonts w:hint="eastAsia" w:ascii="宋体" w:hAnsi="宋体" w:cs="宋体"/>
                <w:color w:val="auto"/>
                <w:szCs w:val="21"/>
                <w:highlight w:val="none"/>
              </w:rPr>
              <w:t>（11）</w:t>
            </w:r>
            <w:r>
              <w:rPr>
                <w:rFonts w:hint="eastAsia" w:ascii="宋体" w:hAnsi="宋体" w:cs="新宋体"/>
                <w:color w:val="auto"/>
                <w:szCs w:val="21"/>
                <w:highlight w:val="none"/>
              </w:rPr>
              <w:t>投标人未参加开标或在规定的时间内未提出异议的，视为对开标无异议。</w:t>
            </w:r>
          </w:p>
          <w:p>
            <w:pPr>
              <w:spacing w:line="276" w:lineRule="auto"/>
              <w:rPr>
                <w:rFonts w:hint="eastAsia" w:ascii="宋体" w:hAnsi="宋体" w:cs="新宋体"/>
                <w:color w:val="auto"/>
                <w:szCs w:val="21"/>
                <w:highlight w:val="none"/>
              </w:rPr>
            </w:pPr>
            <w:r>
              <w:rPr>
                <w:rFonts w:hint="eastAsia" w:ascii="宋体" w:hAnsi="宋体" w:cs="新宋体"/>
                <w:color w:val="auto"/>
                <w:szCs w:val="21"/>
                <w:highlight w:val="none"/>
              </w:rPr>
              <w:t>（12）投标人代表、招标人代表、监标人、记录人等有关人员在开标记录上签字确认；若有关人员不签字的，不影响开标程序；</w:t>
            </w:r>
          </w:p>
          <w:p>
            <w:pPr>
              <w:spacing w:line="276" w:lineRule="auto"/>
              <w:rPr>
                <w:rFonts w:hint="eastAsia" w:ascii="宋体" w:hAnsi="宋体" w:cs="宋体"/>
                <w:color w:val="auto"/>
                <w:szCs w:val="21"/>
                <w:highlight w:val="none"/>
              </w:rPr>
            </w:pPr>
            <w:r>
              <w:rPr>
                <w:rFonts w:hint="eastAsia" w:ascii="宋体" w:hAnsi="宋体" w:cs="新宋体"/>
                <w:color w:val="auto"/>
                <w:szCs w:val="21"/>
                <w:highlight w:val="none"/>
              </w:rPr>
              <w:t>（13）开标结束。</w:t>
            </w:r>
          </w:p>
        </w:tc>
      </w:tr>
      <w:tr>
        <w:tblPrEx>
          <w:tblCellMar>
            <w:top w:w="0" w:type="dxa"/>
            <w:left w:w="108" w:type="dxa"/>
            <w:bottom w:w="0" w:type="dxa"/>
            <w:right w:w="108" w:type="dxa"/>
          </w:tblCellMar>
        </w:tblPrEx>
        <w:trPr>
          <w:trHeight w:val="113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left="1476" w:hanging="1476" w:hangingChars="703"/>
              <w:rPr>
                <w:rFonts w:hint="eastAsia" w:ascii="宋体" w:hAnsi="宋体" w:cs="宋体"/>
                <w:color w:val="auto"/>
                <w:szCs w:val="21"/>
                <w:highlight w:val="none"/>
              </w:rPr>
            </w:pPr>
            <w:r>
              <w:rPr>
                <w:rFonts w:hint="eastAsia" w:ascii="宋体" w:hAnsi="宋体" w:cs="宋体"/>
                <w:color w:val="auto"/>
                <w:szCs w:val="21"/>
                <w:highlight w:val="none"/>
              </w:rPr>
              <w:t>评标委员会构成：由招标人依法组建。</w:t>
            </w:r>
          </w:p>
        </w:tc>
      </w:tr>
      <w:tr>
        <w:tblPrEx>
          <w:tblCellMar>
            <w:top w:w="0" w:type="dxa"/>
            <w:left w:w="108" w:type="dxa"/>
            <w:bottom w:w="0" w:type="dxa"/>
            <w:right w:w="108" w:type="dxa"/>
          </w:tblCellMar>
        </w:tblPrEx>
        <w:trPr>
          <w:trHeight w:val="99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□是</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■否，推荐的中标候选人数：3人。</w:t>
            </w:r>
          </w:p>
        </w:tc>
      </w:tr>
      <w:tr>
        <w:tblPrEx>
          <w:tblCellMar>
            <w:top w:w="0" w:type="dxa"/>
            <w:left w:w="108" w:type="dxa"/>
            <w:bottom w:w="0" w:type="dxa"/>
            <w:right w:w="108" w:type="dxa"/>
          </w:tblCellMar>
        </w:tblPrEx>
        <w:trPr>
          <w:trHeight w:val="104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广州交易集团有限公司（广州公共资源交易中心）、广东省招标投标监管网和中国招标投标公共服务平台</w:t>
            </w:r>
          </w:p>
        </w:tc>
      </w:tr>
      <w:tr>
        <w:tblPrEx>
          <w:tblCellMar>
            <w:top w:w="0" w:type="dxa"/>
            <w:left w:w="108" w:type="dxa"/>
            <w:bottom w:w="0" w:type="dxa"/>
            <w:right w:w="108" w:type="dxa"/>
          </w:tblCellMar>
        </w:tblPrEx>
        <w:trPr>
          <w:trHeight w:val="112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7.4.1</w:t>
            </w:r>
          </w:p>
        </w:tc>
        <w:tc>
          <w:tcPr>
            <w:tcW w:w="22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履约担保</w:t>
            </w:r>
          </w:p>
        </w:tc>
        <w:tc>
          <w:tcPr>
            <w:tcW w:w="6463"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履约担保的形式：以合同约定为准。</w:t>
            </w:r>
          </w:p>
          <w:p>
            <w:pPr>
              <w:spacing w:line="276" w:lineRule="auto"/>
              <w:rPr>
                <w:rFonts w:hint="eastAsia" w:ascii="宋体" w:hAnsi="宋体" w:cs="宋体"/>
                <w:color w:val="auto"/>
                <w:szCs w:val="21"/>
                <w:highlight w:val="none"/>
              </w:rPr>
            </w:pPr>
            <w:r>
              <w:rPr>
                <w:rFonts w:hint="eastAsia" w:ascii="宋体" w:hAnsi="宋体" w:cs="宋体"/>
                <w:color w:val="auto"/>
                <w:kern w:val="0"/>
                <w:szCs w:val="21"/>
                <w:highlight w:val="none"/>
              </w:rPr>
              <w:t>履约担保的金额：履约担保金额为中标合同金额的10%。联合体中标的，其履约担保由联合体主办方按中标合同金额的10%</w:t>
            </w:r>
            <w:r>
              <w:rPr>
                <w:rFonts w:hint="eastAsia" w:ascii="宋体" w:hAnsi="宋体" w:cs="宋体"/>
                <w:color w:val="auto"/>
                <w:szCs w:val="21"/>
                <w:highlight w:val="none"/>
              </w:rPr>
              <w:t>开具。</w:t>
            </w:r>
          </w:p>
        </w:tc>
      </w:tr>
      <w:tr>
        <w:tblPrEx>
          <w:tblCellMar>
            <w:top w:w="0" w:type="dxa"/>
            <w:left w:w="108" w:type="dxa"/>
            <w:bottom w:w="0" w:type="dxa"/>
            <w:right w:w="108" w:type="dxa"/>
          </w:tblCellMar>
        </w:tblPrEx>
        <w:trPr>
          <w:trHeight w:val="41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9</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需要补充的其他内容</w:t>
            </w:r>
          </w:p>
        </w:tc>
      </w:tr>
      <w:tr>
        <w:tblPrEx>
          <w:tblCellMar>
            <w:top w:w="0" w:type="dxa"/>
            <w:left w:w="108" w:type="dxa"/>
            <w:bottom w:w="0" w:type="dxa"/>
            <w:right w:w="108" w:type="dxa"/>
          </w:tblCellMar>
        </w:tblPrEx>
        <w:trPr>
          <w:trHeight w:val="43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9.1</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bCs/>
                <w:color w:val="auto"/>
                <w:szCs w:val="21"/>
                <w:highlight w:val="none"/>
              </w:rPr>
            </w:pPr>
            <w:r>
              <w:rPr>
                <w:rFonts w:hint="eastAsia" w:ascii="宋体" w:hAnsi="宋体" w:cs="宋体"/>
                <w:bCs/>
                <w:color w:val="auto"/>
                <w:kern w:val="0"/>
                <w:szCs w:val="21"/>
                <w:highlight w:val="none"/>
              </w:rPr>
              <w:t>施工保修期限：按照《建设工程质量管理条例》规定。</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9.2</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建设工程质量检测管理办法：</w:t>
            </w:r>
          </w:p>
          <w:p>
            <w:pPr>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9.3</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在招标和合同实施期间，业主要求投标人和承包人遵守最高的道德标准。</w:t>
            </w:r>
          </w:p>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1、对本条款的规定，特定义如下词汇：</w:t>
            </w:r>
          </w:p>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（1）“腐败行为”是指在招标或合同执行期间，通过提供、给予、接受或索要任何有价值的东西，从而影响招标人有关人员工作的行为；</w:t>
            </w:r>
          </w:p>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spacing w:line="276"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2、如果投标人被认定在本招标的竞争中有腐败或欺诈行为，则会被取消投标资格。</w:t>
            </w:r>
          </w:p>
        </w:tc>
      </w:tr>
      <w:tr>
        <w:tblPrEx>
          <w:tblCellMar>
            <w:top w:w="0" w:type="dxa"/>
            <w:left w:w="108" w:type="dxa"/>
            <w:bottom w:w="0" w:type="dxa"/>
            <w:right w:w="108" w:type="dxa"/>
          </w:tblCellMar>
        </w:tblPrEx>
        <w:trPr>
          <w:trHeight w:val="998"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9.4</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职业健康安全管理目标：杜绝一般等级以上的伤亡事故且工伤责任事故人数为零。</w:t>
            </w:r>
          </w:p>
          <w:p>
            <w:pPr>
              <w:spacing w:line="276" w:lineRule="auto"/>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环境管理目标：严格执行《广州市建设工程现场文明施工管理办法》等市有关文明施工方面的文件。</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9.5</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承包方式：</w:t>
            </w:r>
            <w:r>
              <w:rPr>
                <w:rFonts w:hint="eastAsia" w:ascii="宋体" w:hAnsi="宋体"/>
                <w:color w:val="auto"/>
                <w:szCs w:val="21"/>
                <w:highlight w:val="none"/>
                <w:u w:val="single"/>
              </w:rPr>
              <w:t>包设计、包施工、包材料、包工期、包质量、包安全、包环保、包文明施工、包保修、包相关配合服务</w:t>
            </w:r>
            <w:r>
              <w:rPr>
                <w:rFonts w:hint="eastAsia" w:ascii="宋体" w:hAnsi="宋体" w:cs="宋体"/>
                <w:color w:val="auto"/>
                <w:szCs w:val="21"/>
                <w:highlight w:val="none"/>
                <w:u w:val="single"/>
              </w:rPr>
              <w:t>。</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结算方式具体按合同条款规定。</w:t>
            </w:r>
          </w:p>
          <w:p>
            <w:pPr>
              <w:spacing w:line="276" w:lineRule="auto"/>
              <w:jc w:val="left"/>
              <w:rPr>
                <w:rFonts w:hint="eastAsia" w:ascii="宋体" w:hAnsi="宋体" w:cs="宋体"/>
                <w:bCs/>
                <w:color w:val="auto"/>
                <w:szCs w:val="21"/>
                <w:highlight w:val="none"/>
              </w:rPr>
            </w:pPr>
            <w:r>
              <w:rPr>
                <w:rFonts w:hint="eastAsia" w:ascii="宋体" w:hAnsi="宋体" w:cs="宋体"/>
                <w:color w:val="auto"/>
                <w:szCs w:val="21"/>
                <w:highlight w:val="none"/>
                <w:u w:val="single"/>
              </w:rPr>
              <w:t>本工程实行全过程限额设计施工，限额投资。所有工程变更需经过建设单位审定后方可实施。</w:t>
            </w:r>
          </w:p>
        </w:tc>
      </w:tr>
      <w:tr>
        <w:tblPrEx>
          <w:tblCellMar>
            <w:top w:w="0" w:type="dxa"/>
            <w:left w:w="108" w:type="dxa"/>
            <w:bottom w:w="0" w:type="dxa"/>
            <w:right w:w="108" w:type="dxa"/>
          </w:tblCellMar>
        </w:tblPrEx>
        <w:trPr>
          <w:trHeight w:val="11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9.6</w:t>
            </w:r>
          </w:p>
        </w:tc>
        <w:tc>
          <w:tcPr>
            <w:tcW w:w="8689"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276" w:lineRule="auto"/>
              <w:jc w:val="left"/>
              <w:rPr>
                <w:rFonts w:hint="eastAsia" w:ascii="宋体" w:hAnsi="宋体" w:cs="宋体"/>
                <w:color w:val="auto"/>
                <w:szCs w:val="21"/>
                <w:highlight w:val="none"/>
              </w:rPr>
            </w:pPr>
            <w:r>
              <w:rPr>
                <w:rFonts w:hint="eastAsia" w:ascii="宋体" w:hAnsi="宋体" w:cs="宋体"/>
                <w:color w:val="auto"/>
                <w:szCs w:val="21"/>
                <w:highlight w:val="none"/>
              </w:rPr>
              <w:t>中标人代缴交易服务费，其费用包含在中标人报价中，由广州交易集团有限公司（广州公共资源交易中心）向中标人开具发票。</w:t>
            </w:r>
          </w:p>
          <w:p>
            <w:pPr>
              <w:pStyle w:val="12"/>
              <w:spacing w:line="276" w:lineRule="auto"/>
              <w:ind w:left="0" w:leftChars="0"/>
              <w:rPr>
                <w:rFonts w:hint="eastAsia" w:ascii="宋体" w:hAnsi="宋体" w:cs="宋体"/>
                <w:color w:val="auto"/>
                <w:szCs w:val="21"/>
                <w:highlight w:val="none"/>
              </w:rPr>
            </w:pPr>
            <w:r>
              <w:rPr>
                <w:rFonts w:hint="eastAsia" w:ascii="宋体" w:hAnsi="宋体" w:cs="宋体"/>
                <w:color w:val="auto"/>
                <w:szCs w:val="21"/>
                <w:highlight w:val="none"/>
              </w:rPr>
              <w:t>2、本项目招标代理服务费由中标人支付，金额以招标人与招标代理机构签订的招标代理合同为准。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电子招标投标</w:t>
            </w:r>
          </w:p>
        </w:tc>
        <w:tc>
          <w:tcPr>
            <w:tcW w:w="563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□否</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■是，具体要求：</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加盖个人电子印章或在线下完成后扫描上传。具体操作详见交易平台相关操作指南。</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2、投标文件的修改与撤回：投标人修改或撤回已递交的投标文件，需在交易平台发出撤回通知，并按要求加盖电子印章。电子招标投标交易平台收到通知后，即时向投标人发出确认回执通知。</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4、投标文件的递交：</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投标文件递交的截止时间（投标截止时间，下同）为  年  月  日  时  分，投标人应在截止时间前通过电子招标投标交易平台递交电子投标文件。</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提交投标文件备用光盘或u盘。</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投标文件光盘或u盘(备用)递交时间：投标文件递交的截止时间前15分钟。地点：广州交易集团有限公司（广州公共资源交易中心）花都交易部。</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3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③</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投标人完成电子投标上传后，电子招标投标交易平台即时向投标人发出递交回执通知。递交时间以递交回执通知载明的传输时间为准。</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4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④</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逾期送达的投标文件，电子招标投标交易平台将予以拒收。</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5、投标文件加密要求：</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网上递交的电子投标文件须进行加密。具体操作详见交易平台相关操作指南。</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2 \* GB3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②</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未按要求加密的投标文件，招标人将予以拒收。</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6、投标文件解密失败的补救方案：</w:t>
            </w:r>
          </w:p>
          <w:p>
            <w:pPr>
              <w:spacing w:line="276"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u w:val="single"/>
              </w:rPr>
              <w:t>除发生上述情况外，开标评标均以投标人通过交易平台网上递交的电子投标文件为准。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olor w:val="auto"/>
                <w:szCs w:val="21"/>
                <w:highlight w:val="none"/>
              </w:rPr>
              <w:t>10.1</w:t>
            </w:r>
          </w:p>
        </w:tc>
        <w:tc>
          <w:tcPr>
            <w:tcW w:w="3054"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投标人不得存在的情形</w:t>
            </w:r>
          </w:p>
        </w:tc>
        <w:tc>
          <w:tcPr>
            <w:tcW w:w="5635"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cs="宋体"/>
                <w:color w:val="auto"/>
                <w:szCs w:val="21"/>
                <w:highlight w:val="none"/>
              </w:rPr>
            </w:pPr>
            <w:r>
              <w:rPr>
                <w:rFonts w:ascii="宋体" w:hAnsi="宋体" w:cs="宋体"/>
                <w:color w:val="auto"/>
                <w:szCs w:val="21"/>
                <w:highlight w:val="none"/>
              </w:rPr>
              <w:t>投标人不得存在的情形以</w:t>
            </w:r>
            <w:r>
              <w:rPr>
                <w:rFonts w:hint="eastAsia" w:ascii="宋体" w:hAnsi="宋体" w:cs="宋体"/>
                <w:color w:val="auto"/>
                <w:szCs w:val="21"/>
                <w:highlight w:val="none"/>
              </w:rPr>
              <w:t>招标公告及《投标人声明》第</w:t>
            </w:r>
            <w:r>
              <w:rPr>
                <w:rFonts w:ascii="宋体" w:hAnsi="宋体" w:cs="宋体"/>
                <w:color w:val="auto"/>
                <w:szCs w:val="21"/>
                <w:highlight w:val="none"/>
              </w:rPr>
              <w:t>三点的规定为准。</w:t>
            </w:r>
          </w:p>
        </w:tc>
      </w:tr>
    </w:tbl>
    <w:p>
      <w:pPr>
        <w:pStyle w:val="4"/>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Start w:id="26" w:name="_Toc152042305"/>
      <w:bookmarkStart w:id="27" w:name="_Toc152045529"/>
      <w:bookmarkStart w:id="28" w:name="_Toc144974497"/>
      <w:bookmarkStart w:id="29" w:name="_Toc247513952"/>
      <w:bookmarkStart w:id="30" w:name="_Toc247527553"/>
      <w:r>
        <w:rPr>
          <w:rFonts w:hint="eastAsia" w:ascii="宋体" w:hAnsi="宋体" w:eastAsia="宋体" w:cs="宋体"/>
          <w:color w:val="auto"/>
          <w:highlight w:val="none"/>
        </w:rPr>
        <w:t>1. 总则</w:t>
      </w:r>
      <w:bookmarkEnd w:id="26"/>
      <w:bookmarkEnd w:id="27"/>
      <w:bookmarkEnd w:id="28"/>
      <w:bookmarkEnd w:id="29"/>
      <w:bookmarkEnd w:id="30"/>
    </w:p>
    <w:p>
      <w:pPr>
        <w:pStyle w:val="5"/>
        <w:rPr>
          <w:rFonts w:hint="eastAsia" w:ascii="宋体" w:eastAsia="宋体" w:cs="宋体"/>
          <w:color w:val="auto"/>
          <w:highlight w:val="none"/>
        </w:rPr>
      </w:pPr>
      <w:bookmarkStart w:id="31" w:name="_Toc26896"/>
      <w:bookmarkStart w:id="32" w:name="_Toc247527554"/>
      <w:bookmarkStart w:id="33" w:name="_Toc31341"/>
      <w:bookmarkStart w:id="34" w:name="_Toc152045530"/>
      <w:bookmarkStart w:id="35" w:name="_Toc152042306"/>
      <w:bookmarkStart w:id="36" w:name="_Toc144974498"/>
      <w:bookmarkStart w:id="37" w:name="_Toc247513953"/>
      <w:r>
        <w:rPr>
          <w:rFonts w:hint="eastAsia" w:ascii="宋体" w:eastAsia="宋体" w:cs="宋体"/>
          <w:color w:val="auto"/>
          <w:highlight w:val="none"/>
        </w:rPr>
        <w:t>1.1 项目概况</w:t>
      </w:r>
      <w:bookmarkEnd w:id="31"/>
      <w:bookmarkEnd w:id="32"/>
      <w:bookmarkEnd w:id="33"/>
      <w:bookmarkEnd w:id="34"/>
      <w:bookmarkEnd w:id="35"/>
      <w:bookmarkEnd w:id="36"/>
      <w:bookmarkEnd w:id="37"/>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1.1.1根据《中华人民共和国招标投标法》等有关法律、法规和规章的规定，本招标项目已具备招标条件，现对该项目设计施工进行总承包招标。</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1.1.2 招标人：见投标人须知前附表。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1.1.3 招标代理机构：见投标人须知前附表。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1.1.4 招标项目名称：见投标人须知前附表。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1.1.5 项目建设地点：见投标人须知前附表。</w:t>
      </w:r>
    </w:p>
    <w:p>
      <w:pPr>
        <w:pStyle w:val="5"/>
        <w:rPr>
          <w:rFonts w:hint="eastAsia" w:ascii="宋体" w:eastAsia="宋体" w:cs="宋体"/>
          <w:color w:val="auto"/>
          <w:highlight w:val="none"/>
        </w:rPr>
      </w:pPr>
      <w:bookmarkStart w:id="38" w:name="_Toc30664"/>
      <w:bookmarkStart w:id="39" w:name="_Toc247527555"/>
      <w:bookmarkStart w:id="40" w:name="_Toc152042307"/>
      <w:bookmarkStart w:id="41" w:name="_Toc1053"/>
      <w:bookmarkStart w:id="42" w:name="_Toc152045531"/>
      <w:bookmarkStart w:id="43" w:name="_Toc247513954"/>
      <w:bookmarkStart w:id="44" w:name="_Toc144974499"/>
      <w:r>
        <w:rPr>
          <w:rFonts w:hint="eastAsia" w:ascii="宋体" w:eastAsia="宋体" w:cs="宋体"/>
          <w:color w:val="auto"/>
          <w:highlight w:val="none"/>
        </w:rPr>
        <w:t>1.2 项目的资金来源和落实情况</w:t>
      </w:r>
      <w:bookmarkEnd w:id="38"/>
      <w:bookmarkEnd w:id="39"/>
      <w:bookmarkEnd w:id="40"/>
      <w:bookmarkEnd w:id="41"/>
      <w:bookmarkEnd w:id="42"/>
      <w:bookmarkEnd w:id="43"/>
      <w:bookmarkEnd w:id="44"/>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1.2.1 资金来源及比例：见投标人须知前附表。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1.2.2 资金落实情况：见投标人须知前附表。</w:t>
      </w:r>
    </w:p>
    <w:p>
      <w:pPr>
        <w:pStyle w:val="5"/>
        <w:rPr>
          <w:rFonts w:hint="eastAsia" w:ascii="宋体" w:eastAsia="宋体" w:cs="宋体"/>
          <w:color w:val="auto"/>
          <w:highlight w:val="none"/>
        </w:rPr>
      </w:pPr>
      <w:bookmarkStart w:id="45" w:name="_Toc152042308"/>
      <w:bookmarkStart w:id="46" w:name="_Toc144974500"/>
      <w:bookmarkStart w:id="47" w:name="_Toc247527556"/>
      <w:bookmarkStart w:id="48" w:name="_Toc247513955"/>
      <w:bookmarkStart w:id="49" w:name="_Toc152045532"/>
      <w:bookmarkStart w:id="50" w:name="_Toc11582"/>
      <w:bookmarkStart w:id="51" w:name="_Toc17207"/>
      <w:r>
        <w:rPr>
          <w:rFonts w:hint="eastAsia" w:ascii="宋体" w:eastAsia="宋体" w:cs="宋体"/>
          <w:color w:val="auto"/>
          <w:highlight w:val="none"/>
        </w:rPr>
        <w:t>1.3 招标范围、计划工期和</w:t>
      </w:r>
      <w:bookmarkEnd w:id="45"/>
      <w:bookmarkEnd w:id="46"/>
      <w:bookmarkEnd w:id="47"/>
      <w:bookmarkEnd w:id="48"/>
      <w:bookmarkEnd w:id="49"/>
      <w:r>
        <w:rPr>
          <w:rFonts w:hint="eastAsia" w:ascii="宋体" w:eastAsia="宋体" w:cs="宋体"/>
          <w:color w:val="auto"/>
          <w:highlight w:val="none"/>
        </w:rPr>
        <w:t>质量标准</w:t>
      </w:r>
      <w:bookmarkEnd w:id="50"/>
      <w:bookmarkEnd w:id="51"/>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1.3.1 招标范围：见投标人须知前附表。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1.3.2 计划工期：见投标人须知前附表。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1.3.3 质量标准：见投标人须知前附表。</w:t>
      </w:r>
    </w:p>
    <w:p>
      <w:pPr>
        <w:pStyle w:val="5"/>
        <w:rPr>
          <w:rFonts w:hint="eastAsia" w:ascii="宋体" w:eastAsia="宋体" w:cs="宋体"/>
          <w:color w:val="auto"/>
          <w:highlight w:val="none"/>
        </w:rPr>
      </w:pPr>
      <w:bookmarkStart w:id="52" w:name="_Toc247527558"/>
      <w:bookmarkStart w:id="53" w:name="_Toc17274"/>
      <w:bookmarkStart w:id="54" w:name="_Toc17813"/>
      <w:bookmarkStart w:id="55" w:name="_Toc144974502"/>
      <w:bookmarkStart w:id="56" w:name="_Toc152045534"/>
      <w:bookmarkStart w:id="57" w:name="_Toc152042310"/>
      <w:bookmarkStart w:id="58" w:name="_Toc247513957"/>
      <w:r>
        <w:rPr>
          <w:rFonts w:hint="eastAsia" w:ascii="宋体" w:eastAsia="宋体" w:cs="宋体"/>
          <w:color w:val="auto"/>
          <w:highlight w:val="none"/>
        </w:rPr>
        <w:t>1.4 投标人资格要求（适用于未进行资格预审的）</w:t>
      </w:r>
      <w:bookmarkEnd w:id="52"/>
      <w:bookmarkEnd w:id="53"/>
      <w:bookmarkEnd w:id="54"/>
      <w:bookmarkEnd w:id="55"/>
      <w:bookmarkEnd w:id="56"/>
      <w:bookmarkEnd w:id="57"/>
      <w:bookmarkEnd w:id="58"/>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1.4.1 投标人应具备承担本招标项目资质条件、能力和信誉：</w:t>
      </w:r>
      <w:r>
        <w:rPr>
          <w:rFonts w:hint="eastAsia" w:ascii="宋体" w:hAnsi="宋体"/>
          <w:color w:val="auto"/>
          <w:highlight w:val="none"/>
        </w:rPr>
        <w:t>详见招标公告。</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1.4.2 投标人须知前附表规定接受联合体投标的，除应符合本章第1.4.1项和投标人须知前附表的要求外，还应遵守以下规定： </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（1）联合体各方应按招标文件提供的格式签订联合体共同投标协议书，明确联合体主办方和各方权利义务；</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spacing w:line="400" w:lineRule="exact"/>
        <w:ind w:firstLine="315" w:firstLineChars="150"/>
        <w:rPr>
          <w:rFonts w:hint="eastAsia" w:ascii="宋体" w:hAnsi="宋体" w:cs="宋体"/>
          <w:color w:val="auto"/>
          <w:highlight w:val="none"/>
        </w:rPr>
      </w:pPr>
      <w:r>
        <w:rPr>
          <w:rFonts w:hint="eastAsia" w:ascii="宋体" w:hAnsi="宋体" w:cs="宋体"/>
          <w:color w:val="auto"/>
          <w:highlight w:val="none"/>
        </w:rPr>
        <w:t>（3）联合体各方不得再以自己名义单独或参加其他联合体在本招标项目中投标。</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1.4.3 投标人不得存在下列情形之一（以投标人提供的《投标人声明》中的承诺内容为准）：</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（1）为招标人不具有独立法人资格的附属机构（单位）； </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（2）为招标项目前期工作提供咨询服务的；</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（3）为本招标项目的监理人；</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（4）为本招标项目的代建人； </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（5）为本招标项目提供招标代理服务的； </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（6）被责令停业的； </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 xml:space="preserve">（7）被暂停或取消投标资格的； </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（8）财产被接管或冻结的；</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（9）在最近三年内有骗取中标或严重违约或重大工程质量问题的；</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（10）与本招标项目的监理人或代建人或招标代理机构同为一个法定代表人的；</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（11）与本招标项目的监理人或代建人或招标代理机构相互控股或参股的；</w:t>
      </w:r>
    </w:p>
    <w:p>
      <w:pPr>
        <w:spacing w:line="400" w:lineRule="exact"/>
        <w:ind w:firstLine="315" w:firstLineChars="150"/>
        <w:rPr>
          <w:rFonts w:hint="eastAsia" w:ascii="宋体" w:hAnsi="宋体" w:cs="宋体"/>
          <w:strike/>
          <w:color w:val="auto"/>
          <w:highlight w:val="none"/>
        </w:rPr>
      </w:pPr>
      <w:r>
        <w:rPr>
          <w:rFonts w:hint="eastAsia" w:ascii="宋体" w:hAnsi="宋体" w:cs="宋体"/>
          <w:strike/>
          <w:color w:val="auto"/>
          <w:highlight w:val="none"/>
        </w:rPr>
        <w:t>（12）与本招标项目的监理人或代建人或招标代理机构相互任职或工作的。</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1.4.4 单位负责人为同一人或者存在控股、管理关系的不同单位，不得同时参加本招标项目投标（以投标人提供的《投标人声明》中的承诺内容为准）。</w:t>
      </w:r>
    </w:p>
    <w:p>
      <w:pPr>
        <w:pStyle w:val="5"/>
        <w:rPr>
          <w:rFonts w:hint="eastAsia" w:ascii="宋体" w:eastAsia="宋体" w:cs="宋体"/>
          <w:color w:val="auto"/>
          <w:highlight w:val="none"/>
        </w:rPr>
      </w:pPr>
      <w:bookmarkStart w:id="59" w:name="_Toc152042311"/>
      <w:bookmarkStart w:id="60" w:name="_Toc152045535"/>
      <w:bookmarkStart w:id="61" w:name="_Toc247513958"/>
      <w:bookmarkStart w:id="62" w:name="_Toc144974503"/>
      <w:bookmarkStart w:id="63" w:name="_Toc247527559"/>
      <w:bookmarkStart w:id="64" w:name="_Toc28201"/>
      <w:bookmarkStart w:id="65" w:name="_Toc24413"/>
      <w:r>
        <w:rPr>
          <w:rFonts w:hint="eastAsia" w:ascii="宋体" w:eastAsia="宋体" w:cs="宋体"/>
          <w:color w:val="auto"/>
          <w:highlight w:val="none"/>
        </w:rPr>
        <w:t>1.5 费用承担</w:t>
      </w:r>
      <w:bookmarkEnd w:id="59"/>
      <w:bookmarkEnd w:id="60"/>
      <w:bookmarkEnd w:id="61"/>
      <w:bookmarkEnd w:id="62"/>
      <w:bookmarkEnd w:id="63"/>
      <w:r>
        <w:rPr>
          <w:rFonts w:hint="eastAsia" w:ascii="宋体" w:eastAsia="宋体" w:cs="宋体"/>
          <w:color w:val="auto"/>
          <w:highlight w:val="none"/>
        </w:rPr>
        <w:t>和设计成果补偿</w:t>
      </w:r>
      <w:bookmarkEnd w:id="64"/>
      <w:bookmarkEnd w:id="65"/>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1.5.1 投标人准备和参加投标活动发生的费用自理。</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1.5.2 招标人对符合招标文件规定的未中标人的设计成果进行补偿的，按投标人须知前附表规定给予补偿，并有权免费使用未中标人设计成果。</w:t>
      </w:r>
    </w:p>
    <w:p>
      <w:pPr>
        <w:pStyle w:val="5"/>
        <w:rPr>
          <w:rFonts w:hint="eastAsia" w:ascii="宋体" w:eastAsia="宋体" w:cs="宋体"/>
          <w:color w:val="auto"/>
          <w:highlight w:val="none"/>
        </w:rPr>
      </w:pPr>
      <w:bookmarkStart w:id="66" w:name="_Toc247513959"/>
      <w:bookmarkStart w:id="67" w:name="_Toc22870"/>
      <w:bookmarkStart w:id="68" w:name="_Toc144974504"/>
      <w:bookmarkStart w:id="69" w:name="_Toc152045536"/>
      <w:bookmarkStart w:id="70" w:name="_Toc10402"/>
      <w:bookmarkStart w:id="71" w:name="_Toc152042312"/>
      <w:bookmarkStart w:id="72" w:name="_Toc247527560"/>
      <w:r>
        <w:rPr>
          <w:rFonts w:hint="eastAsia" w:ascii="宋体" w:eastAsia="宋体" w:cs="宋体"/>
          <w:color w:val="auto"/>
          <w:highlight w:val="none"/>
        </w:rPr>
        <w:t>1.6 保密</w:t>
      </w:r>
      <w:bookmarkEnd w:id="66"/>
      <w:bookmarkEnd w:id="67"/>
      <w:bookmarkEnd w:id="68"/>
      <w:bookmarkEnd w:id="69"/>
      <w:bookmarkEnd w:id="70"/>
      <w:bookmarkEnd w:id="71"/>
      <w:bookmarkEnd w:id="72"/>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参与招标投标活动的各方应对招标文件和投标文件中的商业和技术等秘密保密，否则应承担相应的法律责任。 </w:t>
      </w:r>
    </w:p>
    <w:p>
      <w:pPr>
        <w:pStyle w:val="5"/>
        <w:rPr>
          <w:rFonts w:hint="eastAsia" w:ascii="宋体" w:eastAsia="宋体" w:cs="宋体"/>
          <w:color w:val="auto"/>
          <w:highlight w:val="none"/>
        </w:rPr>
      </w:pPr>
      <w:bookmarkStart w:id="73" w:name="_Toc144974505"/>
      <w:bookmarkStart w:id="74" w:name="_Toc3068"/>
      <w:bookmarkStart w:id="75" w:name="_Toc152045537"/>
      <w:bookmarkStart w:id="76" w:name="_Toc247527561"/>
      <w:bookmarkStart w:id="77" w:name="_Toc247513960"/>
      <w:bookmarkStart w:id="78" w:name="_Toc152042313"/>
      <w:bookmarkStart w:id="79" w:name="_Toc19774"/>
      <w:r>
        <w:rPr>
          <w:rFonts w:hint="eastAsia" w:ascii="宋体" w:eastAsia="宋体" w:cs="宋体"/>
          <w:color w:val="auto"/>
          <w:highlight w:val="none"/>
        </w:rPr>
        <w:t>1.7 语言</w:t>
      </w:r>
      <w:bookmarkEnd w:id="73"/>
      <w:r>
        <w:rPr>
          <w:rFonts w:hint="eastAsia" w:ascii="宋体" w:eastAsia="宋体" w:cs="宋体"/>
          <w:color w:val="auto"/>
          <w:highlight w:val="none"/>
        </w:rPr>
        <w:t>文字</w:t>
      </w:r>
      <w:bookmarkEnd w:id="74"/>
      <w:bookmarkEnd w:id="75"/>
      <w:bookmarkEnd w:id="76"/>
      <w:bookmarkEnd w:id="77"/>
      <w:bookmarkEnd w:id="78"/>
      <w:bookmarkEnd w:id="79"/>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招标投标文件使用的语言文字为中文。专用术语使用外文的，应附有中文注释。</w:t>
      </w:r>
    </w:p>
    <w:p>
      <w:pPr>
        <w:pStyle w:val="5"/>
        <w:rPr>
          <w:rFonts w:hint="eastAsia" w:ascii="宋体" w:eastAsia="宋体" w:cs="宋体"/>
          <w:color w:val="auto"/>
          <w:highlight w:val="none"/>
        </w:rPr>
      </w:pPr>
      <w:bookmarkStart w:id="80" w:name="_Toc247527562"/>
      <w:bookmarkStart w:id="81" w:name="_Toc152042314"/>
      <w:bookmarkStart w:id="82" w:name="_Toc152045538"/>
      <w:bookmarkStart w:id="83" w:name="_Toc25773"/>
      <w:bookmarkStart w:id="84" w:name="_Toc247513961"/>
      <w:bookmarkStart w:id="85" w:name="_Toc8865"/>
      <w:bookmarkStart w:id="86" w:name="_Toc144974506"/>
      <w:r>
        <w:rPr>
          <w:rFonts w:hint="eastAsia" w:ascii="宋体" w:eastAsia="宋体" w:cs="宋体"/>
          <w:color w:val="auto"/>
          <w:highlight w:val="none"/>
        </w:rPr>
        <w:t>1.8 计量单位</w:t>
      </w:r>
      <w:bookmarkEnd w:id="80"/>
      <w:bookmarkEnd w:id="81"/>
      <w:bookmarkEnd w:id="82"/>
      <w:bookmarkEnd w:id="83"/>
      <w:bookmarkEnd w:id="84"/>
      <w:bookmarkEnd w:id="85"/>
      <w:bookmarkEnd w:id="86"/>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1.8.1 所有计量均采用中华人民共和国法定计量单位。</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1.8.2 本工程投标报价采用的币种为人民币。</w:t>
      </w:r>
    </w:p>
    <w:p>
      <w:pPr>
        <w:pStyle w:val="5"/>
        <w:rPr>
          <w:rFonts w:hint="eastAsia" w:ascii="宋体" w:eastAsia="宋体" w:cs="宋体"/>
          <w:color w:val="auto"/>
          <w:highlight w:val="none"/>
        </w:rPr>
      </w:pPr>
      <w:bookmarkStart w:id="87" w:name="_Toc152042315"/>
      <w:bookmarkStart w:id="88" w:name="_Toc247513962"/>
      <w:bookmarkStart w:id="89" w:name="_Toc25098"/>
      <w:bookmarkStart w:id="90" w:name="_Toc152045539"/>
      <w:bookmarkStart w:id="91" w:name="_Toc19101"/>
      <w:bookmarkStart w:id="92" w:name="_Toc247527563"/>
      <w:bookmarkStart w:id="93" w:name="_Toc144974507"/>
      <w:r>
        <w:rPr>
          <w:rFonts w:hint="eastAsia" w:ascii="宋体" w:eastAsia="宋体" w:cs="宋体"/>
          <w:color w:val="auto"/>
          <w:highlight w:val="none"/>
        </w:rPr>
        <w:t>1.9 踏勘现场</w:t>
      </w:r>
      <w:bookmarkEnd w:id="87"/>
      <w:bookmarkEnd w:id="88"/>
      <w:bookmarkEnd w:id="89"/>
      <w:bookmarkEnd w:id="90"/>
      <w:bookmarkEnd w:id="91"/>
      <w:bookmarkEnd w:id="92"/>
      <w:bookmarkEnd w:id="93"/>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1.9.1 投标人须知前附表规定组织踏勘现场的，招标人按投标人须知前附表规定的时间、地点组织投标人踏勘项目现场。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1.9.2 投标人踏勘现场发生的费用自理。</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1.9.3 除招标人的原因外，投标人自行负责在踏勘现场中所发生的人员伤亡和财产损失。</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1.9.4 现场由投标人自行踏勘，投标人不进行踏勘的，视为已熟知现场条件，自行承担相关风险。招标人不对投标人自行踏勘现场作出的判断和决策负责。</w:t>
      </w:r>
    </w:p>
    <w:p>
      <w:pPr>
        <w:spacing w:line="400" w:lineRule="exact"/>
        <w:ind w:firstLine="420" w:firstLineChars="200"/>
        <w:rPr>
          <w:rFonts w:hint="eastAsia" w:ascii="宋体" w:hAnsi="宋体" w:cs="宋体"/>
          <w:color w:val="auto"/>
          <w:highlight w:val="none"/>
        </w:rPr>
      </w:pPr>
    </w:p>
    <w:p>
      <w:pPr>
        <w:pStyle w:val="5"/>
        <w:rPr>
          <w:rFonts w:hint="eastAsia" w:ascii="宋体" w:eastAsia="宋体" w:cs="宋体"/>
          <w:color w:val="auto"/>
          <w:highlight w:val="none"/>
        </w:rPr>
      </w:pPr>
      <w:bookmarkStart w:id="94" w:name="_Toc152042316"/>
      <w:bookmarkStart w:id="95" w:name="_Toc152045540"/>
      <w:bookmarkStart w:id="96" w:name="_Toc2420"/>
      <w:bookmarkStart w:id="97" w:name="_Toc247527564"/>
      <w:bookmarkStart w:id="98" w:name="_Toc17152"/>
      <w:bookmarkStart w:id="99" w:name="_Toc247513963"/>
      <w:bookmarkStart w:id="100" w:name="_Toc144974508"/>
      <w:r>
        <w:rPr>
          <w:rFonts w:hint="eastAsia" w:ascii="宋体" w:eastAsia="宋体" w:cs="宋体"/>
          <w:color w:val="auto"/>
          <w:highlight w:val="none"/>
        </w:rPr>
        <w:t>1.10 投标预备会</w:t>
      </w:r>
      <w:bookmarkEnd w:id="94"/>
      <w:bookmarkEnd w:id="95"/>
      <w:bookmarkEnd w:id="96"/>
      <w:bookmarkEnd w:id="97"/>
      <w:bookmarkEnd w:id="98"/>
      <w:bookmarkEnd w:id="99"/>
      <w:bookmarkEnd w:id="100"/>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hint="eastAsia" w:ascii="宋体" w:hAnsi="宋体"/>
          <w:color w:val="auto"/>
          <w:highlight w:val="none"/>
        </w:rPr>
      </w:pPr>
      <w:r>
        <w:rPr>
          <w:rFonts w:hint="eastAsia" w:ascii="宋体" w:hAnsi="宋体" w:cs="宋体"/>
          <w:color w:val="auto"/>
          <w:highlight w:val="none"/>
        </w:rPr>
        <w:t>1.10.2 投标人应在投标人须知前附表规定的时间前，</w:t>
      </w:r>
      <w:r>
        <w:rPr>
          <w:rFonts w:hint="eastAsia" w:ascii="宋体" w:hAnsi="宋体" w:cs="宋体"/>
          <w:color w:val="auto"/>
          <w:highlight w:val="none"/>
          <w:u w:val="single"/>
        </w:rPr>
        <w:t>进行网上答疑</w:t>
      </w:r>
      <w:r>
        <w:rPr>
          <w:rFonts w:hint="eastAsia" w:ascii="宋体" w:hAnsi="宋体"/>
          <w:color w:val="auto"/>
          <w:highlight w:val="none"/>
          <w:u w:val="single"/>
        </w:rPr>
        <w:t>。</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1.10.3 招标人在投标人须知前附表规定的时间内，将对投标人所提问题的澄清，</w:t>
      </w:r>
      <w:r>
        <w:rPr>
          <w:rFonts w:hint="eastAsia" w:ascii="宋体" w:hAnsi="宋体" w:cs="宋体"/>
          <w:color w:val="auto"/>
          <w:highlight w:val="none"/>
          <w:u w:val="single"/>
        </w:rPr>
        <w:t>以网上发布形式通知所有潜在投标人，澄清文件一经在广州交易集团有限公司（广州公共资源交易中心）网站发布，视作已发放给所有投标人。</w:t>
      </w:r>
      <w:r>
        <w:rPr>
          <w:rFonts w:hint="eastAsia" w:ascii="宋体" w:hAnsi="宋体" w:cs="宋体"/>
          <w:color w:val="auto"/>
          <w:highlight w:val="none"/>
        </w:rPr>
        <w:t>该澄清内容为招标文件的组成部分</w:t>
      </w:r>
      <w:r>
        <w:rPr>
          <w:rFonts w:hint="eastAsia" w:ascii="宋体" w:hAnsi="宋体"/>
          <w:color w:val="auto"/>
          <w:highlight w:val="none"/>
        </w:rPr>
        <w:t>。</w:t>
      </w:r>
    </w:p>
    <w:p>
      <w:pPr>
        <w:pStyle w:val="5"/>
        <w:rPr>
          <w:rFonts w:hint="eastAsia" w:ascii="宋体" w:eastAsia="宋体" w:cs="宋体"/>
          <w:color w:val="auto"/>
          <w:highlight w:val="none"/>
        </w:rPr>
      </w:pPr>
      <w:bookmarkStart w:id="101" w:name="_Toc152042317"/>
      <w:bookmarkStart w:id="102" w:name="_Toc21297"/>
      <w:bookmarkStart w:id="103" w:name="_Toc247513964"/>
      <w:bookmarkStart w:id="104" w:name="_Toc152045541"/>
      <w:bookmarkStart w:id="105" w:name="_Toc247527565"/>
      <w:bookmarkStart w:id="106" w:name="_Toc144974509"/>
      <w:bookmarkStart w:id="107" w:name="_Toc3694"/>
      <w:r>
        <w:rPr>
          <w:rFonts w:hint="eastAsia" w:ascii="宋体" w:eastAsia="宋体" w:cs="宋体"/>
          <w:color w:val="auto"/>
          <w:highlight w:val="none"/>
        </w:rPr>
        <w:t>1.11 分包</w:t>
      </w:r>
      <w:bookmarkEnd w:id="101"/>
      <w:bookmarkEnd w:id="102"/>
      <w:bookmarkEnd w:id="103"/>
      <w:bookmarkEnd w:id="104"/>
      <w:bookmarkEnd w:id="105"/>
      <w:bookmarkEnd w:id="106"/>
      <w:bookmarkEnd w:id="107"/>
    </w:p>
    <w:p>
      <w:pPr>
        <w:spacing w:line="400" w:lineRule="exact"/>
        <w:ind w:firstLine="567" w:firstLineChars="270"/>
        <w:rPr>
          <w:rFonts w:hint="eastAsia" w:ascii="宋体" w:hAnsi="宋体" w:cs="宋体"/>
          <w:color w:val="auto"/>
          <w:highlight w:val="none"/>
        </w:rPr>
      </w:pPr>
      <w:r>
        <w:rPr>
          <w:rFonts w:hint="eastAsia" w:ascii="宋体" w:hAnsi="宋体" w:cs="宋体"/>
          <w:color w:val="auto"/>
          <w:highlight w:val="none"/>
        </w:rPr>
        <w:t>1.11.1 投标人须知前附表规定应当由分包人实施的非主体、非关键性工作，投标人应当按照第五章“招标人要求”的规定提供分包人侯选名单及其相应资料。</w:t>
      </w:r>
    </w:p>
    <w:p>
      <w:pPr>
        <w:spacing w:line="400" w:lineRule="exact"/>
        <w:ind w:firstLine="567" w:firstLineChars="270"/>
        <w:rPr>
          <w:rFonts w:hint="eastAsia" w:ascii="宋体" w:hAnsi="宋体" w:cs="宋体"/>
          <w:color w:val="auto"/>
          <w:highlight w:val="none"/>
        </w:rPr>
      </w:pPr>
      <w:r>
        <w:rPr>
          <w:rFonts w:hint="eastAsia" w:ascii="宋体" w:hAnsi="宋体" w:cs="宋体"/>
          <w:color w:val="auto"/>
          <w:highlight w:val="none"/>
        </w:rPr>
        <w:t>1.11.2 投标人拟在中标后将中标项目的部分非主体、非关键性工作进行分包的，应符合投标人须知前附表规定的分包内容、分包金额和资质要求等限制性条件。</w:t>
      </w:r>
    </w:p>
    <w:p>
      <w:pPr>
        <w:pStyle w:val="5"/>
        <w:rPr>
          <w:rFonts w:hint="eastAsia" w:ascii="宋体" w:eastAsia="宋体" w:cs="宋体"/>
          <w:color w:val="auto"/>
          <w:highlight w:val="none"/>
        </w:rPr>
      </w:pPr>
      <w:bookmarkStart w:id="108" w:name="_Toc13521"/>
      <w:bookmarkStart w:id="109" w:name="_Toc247513965"/>
      <w:bookmarkStart w:id="110" w:name="_Toc247527566"/>
      <w:bookmarkStart w:id="111" w:name="_Toc9023"/>
      <w:r>
        <w:rPr>
          <w:rFonts w:hint="eastAsia" w:ascii="宋体" w:eastAsia="宋体" w:cs="宋体"/>
          <w:color w:val="auto"/>
          <w:highlight w:val="none"/>
        </w:rPr>
        <w:t>1.12 偏离</w:t>
      </w:r>
      <w:bookmarkEnd w:id="108"/>
      <w:bookmarkEnd w:id="109"/>
      <w:bookmarkEnd w:id="110"/>
      <w:bookmarkEnd w:id="111"/>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投标人须知前附表允许投标文件偏离招标文件某些要求的，偏离应当符合招标文件规定的偏离范围和幅度。</w:t>
      </w:r>
    </w:p>
    <w:p>
      <w:pPr>
        <w:pStyle w:val="4"/>
        <w:rPr>
          <w:rFonts w:hint="eastAsia" w:ascii="宋体" w:hAnsi="宋体" w:eastAsia="宋体" w:cs="宋体"/>
          <w:color w:val="auto"/>
          <w:highlight w:val="none"/>
        </w:rPr>
      </w:pPr>
      <w:bookmarkStart w:id="112" w:name="_Toc152045542"/>
      <w:bookmarkStart w:id="113" w:name="_Toc247527567"/>
      <w:bookmarkStart w:id="114" w:name="_Toc9146"/>
      <w:bookmarkStart w:id="115" w:name="_Toc152042318"/>
      <w:bookmarkStart w:id="116" w:name="_Toc29782"/>
      <w:bookmarkStart w:id="117" w:name="_Toc144974510"/>
      <w:bookmarkStart w:id="118" w:name="_Toc247513966"/>
      <w:r>
        <w:rPr>
          <w:rFonts w:hint="eastAsia" w:ascii="宋体" w:hAnsi="宋体" w:eastAsia="宋体" w:cs="宋体"/>
          <w:color w:val="auto"/>
          <w:highlight w:val="none"/>
        </w:rPr>
        <w:t>2. 招标文件</w:t>
      </w:r>
      <w:bookmarkEnd w:id="112"/>
      <w:bookmarkEnd w:id="113"/>
      <w:bookmarkEnd w:id="114"/>
      <w:bookmarkEnd w:id="115"/>
      <w:bookmarkEnd w:id="116"/>
      <w:bookmarkEnd w:id="117"/>
      <w:bookmarkEnd w:id="118"/>
    </w:p>
    <w:p>
      <w:pPr>
        <w:pStyle w:val="5"/>
        <w:rPr>
          <w:rFonts w:hint="eastAsia" w:ascii="宋体" w:eastAsia="宋体" w:cs="宋体"/>
          <w:color w:val="auto"/>
          <w:highlight w:val="none"/>
        </w:rPr>
      </w:pPr>
      <w:bookmarkStart w:id="119" w:name="_Toc247527568"/>
      <w:bookmarkStart w:id="120" w:name="_Toc144974511"/>
      <w:bookmarkStart w:id="121" w:name="_Toc247513967"/>
      <w:bookmarkStart w:id="122" w:name="_Toc152045543"/>
      <w:bookmarkStart w:id="123" w:name="_Toc152042319"/>
      <w:bookmarkStart w:id="124" w:name="_Toc30638"/>
      <w:bookmarkStart w:id="125" w:name="_Toc9990"/>
      <w:r>
        <w:rPr>
          <w:rFonts w:hint="eastAsia" w:ascii="宋体" w:eastAsia="宋体" w:cs="宋体"/>
          <w:color w:val="auto"/>
          <w:highlight w:val="none"/>
        </w:rPr>
        <w:t>2.1 招标文件的组成</w:t>
      </w:r>
      <w:bookmarkEnd w:id="119"/>
      <w:bookmarkEnd w:id="120"/>
      <w:bookmarkEnd w:id="121"/>
      <w:bookmarkEnd w:id="122"/>
      <w:bookmarkEnd w:id="123"/>
      <w:bookmarkEnd w:id="124"/>
      <w:bookmarkEnd w:id="125"/>
    </w:p>
    <w:p>
      <w:pPr>
        <w:spacing w:line="400" w:lineRule="exact"/>
        <w:rPr>
          <w:rFonts w:hint="eastAsia" w:ascii="宋体" w:hAnsi="宋体" w:cs="宋体"/>
          <w:color w:val="auto"/>
          <w:highlight w:val="none"/>
        </w:rPr>
      </w:pPr>
      <w:r>
        <w:rPr>
          <w:rFonts w:hint="eastAsia" w:ascii="宋体" w:hAnsi="宋体" w:cs="宋体"/>
          <w:color w:val="auto"/>
          <w:highlight w:val="none"/>
        </w:rPr>
        <w:t>　　本招标文件包括：</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（1）招标公告（另册）；</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（2）投标人须知；</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（3）评标办法；</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（4）合同条款及格式(另册)；</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（5）招标人要求；</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（6）招标人提供的资料；</w:t>
      </w:r>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（7）投标文件格式；</w:t>
      </w:r>
    </w:p>
    <w:p>
      <w:pPr>
        <w:spacing w:line="400" w:lineRule="exact"/>
        <w:ind w:firstLine="359" w:firstLineChars="171"/>
        <w:rPr>
          <w:rFonts w:hint="eastAsia" w:ascii="宋体" w:hAnsi="宋体" w:cs="宋体"/>
          <w:color w:val="auto"/>
          <w:highlight w:val="none"/>
          <w:u w:val="single"/>
        </w:rPr>
      </w:pPr>
      <w:r>
        <w:rPr>
          <w:rFonts w:hint="eastAsia" w:ascii="宋体" w:hAnsi="宋体" w:cs="宋体"/>
          <w:color w:val="auto"/>
          <w:highlight w:val="none"/>
        </w:rPr>
        <w:t>（8）投标人须知前附表规定的其他资料。</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根据本章第1.10款、第2.2款和第2.3款对招标文件所作的澄清、修改，</w:t>
      </w:r>
      <w:r>
        <w:rPr>
          <w:rFonts w:hint="eastAsia" w:ascii="宋体" w:hAnsi="宋体" w:cs="宋体"/>
          <w:color w:val="auto"/>
          <w:highlight w:val="none"/>
          <w:u w:val="single"/>
        </w:rPr>
        <w:t>构成招标文件的组成部分。当招标文件的澄清、修改等在同一内容的表述不一致时，以最后发出的书面文件为准</w:t>
      </w:r>
      <w:r>
        <w:rPr>
          <w:rFonts w:hint="eastAsia" w:ascii="宋体" w:hAnsi="宋体" w:cs="宋体"/>
          <w:color w:val="auto"/>
          <w:highlight w:val="none"/>
        </w:rPr>
        <w:t>。</w:t>
      </w:r>
    </w:p>
    <w:p>
      <w:pPr>
        <w:pStyle w:val="5"/>
        <w:rPr>
          <w:rFonts w:hint="eastAsia" w:ascii="宋体" w:eastAsia="宋体" w:cs="宋体"/>
          <w:color w:val="auto"/>
          <w:highlight w:val="none"/>
        </w:rPr>
      </w:pPr>
      <w:bookmarkStart w:id="126" w:name="_Toc152042320"/>
      <w:bookmarkStart w:id="127" w:name="_Toc23073"/>
      <w:bookmarkStart w:id="128" w:name="_Toc144974512"/>
      <w:bookmarkStart w:id="129" w:name="_Toc247513968"/>
      <w:bookmarkStart w:id="130" w:name="_Toc19158"/>
      <w:bookmarkStart w:id="131" w:name="_Toc152045544"/>
      <w:bookmarkStart w:id="132" w:name="_Toc247527569"/>
      <w:r>
        <w:rPr>
          <w:rFonts w:hint="eastAsia" w:ascii="宋体" w:eastAsia="宋体" w:cs="宋体"/>
          <w:color w:val="auto"/>
          <w:highlight w:val="none"/>
        </w:rPr>
        <w:t>2.2 招标文件的澄清</w:t>
      </w:r>
      <w:bookmarkEnd w:id="126"/>
      <w:bookmarkEnd w:id="127"/>
      <w:bookmarkEnd w:id="128"/>
      <w:bookmarkEnd w:id="129"/>
      <w:bookmarkEnd w:id="130"/>
      <w:bookmarkEnd w:id="131"/>
      <w:bookmarkEnd w:id="132"/>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2.2.1</w:t>
      </w:r>
      <w:r>
        <w:rPr>
          <w:rFonts w:hint="eastAsia" w:ascii="宋体" w:hAnsi="宋体" w:cs="宋体"/>
          <w:color w:val="auto"/>
          <w:highlight w:val="none"/>
          <w:u w:val="single"/>
        </w:rPr>
        <w:t>招标答疑采用网上答疑方式进行。投标人若对招标文件有疑问的，可在递交投标文件截止日期18日前通过广州交易集团有限公司（广州公共资源交易中心）网站将问题提交给招标人或招标代理人。提交问题时一律不得署名。</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2.2.2</w:t>
      </w:r>
      <w:r>
        <w:rPr>
          <w:rFonts w:hint="eastAsia" w:ascii="宋体" w:hAnsi="宋体" w:cs="宋体"/>
          <w:color w:val="auto"/>
          <w:highlight w:val="none"/>
          <w:u w:val="single"/>
        </w:rPr>
        <w:t>招标人应在投标截止时间15日前解答投标人对招标文件提出的疑问，形成答疑纪要，在广州交易集团有限公司（广州公共资源交易中心）网站发布。</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2.2.3招标文件的答疑纪要在广州交易集团有限公司（广州公共资源交易中心）网站发布，一经发布，视作已发放给所有投标人。</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2.2.4 招标答疑纪要为招标文件的一部分。投标人可在广州交易集团有限公司（广州公共资源交易中心）网站浏览、下载招标答疑纪要。</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rPr>
        <w:t>2.2.5 若招标答疑纪要与招标文件有矛盾时，以广州交易集团有限公司（广州公共资源交易中心）网站最后发布的答疑纪要为准。</w:t>
      </w:r>
    </w:p>
    <w:p>
      <w:pPr>
        <w:pStyle w:val="5"/>
        <w:rPr>
          <w:rFonts w:hint="eastAsia" w:ascii="宋体" w:eastAsia="宋体" w:cs="宋体"/>
          <w:color w:val="auto"/>
          <w:highlight w:val="none"/>
        </w:rPr>
      </w:pPr>
      <w:bookmarkStart w:id="133" w:name="_Toc247527570"/>
      <w:bookmarkStart w:id="134" w:name="_Toc5830"/>
      <w:bookmarkStart w:id="135" w:name="_Toc152042321"/>
      <w:bookmarkStart w:id="136" w:name="_Toc152045545"/>
      <w:bookmarkStart w:id="137" w:name="_Toc144974513"/>
      <w:bookmarkStart w:id="138" w:name="_Toc247513969"/>
      <w:bookmarkStart w:id="139" w:name="_Toc25207"/>
      <w:r>
        <w:rPr>
          <w:rFonts w:hint="eastAsia" w:ascii="宋体" w:eastAsia="宋体" w:cs="宋体"/>
          <w:color w:val="auto"/>
          <w:highlight w:val="none"/>
        </w:rPr>
        <w:t>2.3 招标文件的修改</w:t>
      </w:r>
      <w:bookmarkEnd w:id="133"/>
      <w:bookmarkEnd w:id="134"/>
      <w:bookmarkEnd w:id="135"/>
      <w:bookmarkEnd w:id="136"/>
      <w:bookmarkEnd w:id="137"/>
      <w:bookmarkEnd w:id="138"/>
      <w:bookmarkEnd w:id="139"/>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2.3.1 </w:t>
      </w:r>
      <w:r>
        <w:rPr>
          <w:rFonts w:hint="eastAsia" w:ascii="宋体" w:hAnsi="宋体" w:cs="宋体"/>
          <w:color w:val="auto"/>
          <w:highlight w:val="none"/>
          <w:u w:val="single"/>
        </w:rPr>
        <w:t>在投标截止时间15天前，招标人可对招标文件进行必要的澄清或修改，并通过广州交易集团有限公司（广州公共资源交易中心）网站发布。如果修改招标文件的时间距投标截止时间不足15 天，并且修改内容影响投标文件编制的，相应延长投标截止时间。投标人应及时通过广州交易集团有限公司（广州公共资源交易中心）网站浏览、下载招标文件修改。</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2.3.2 </w:t>
      </w:r>
      <w:r>
        <w:rPr>
          <w:rFonts w:hint="eastAsia" w:ascii="宋体" w:hAnsi="宋体" w:cs="宋体"/>
          <w:color w:val="auto"/>
          <w:highlight w:val="none"/>
          <w:u w:val="single"/>
        </w:rPr>
        <w:t>招标文件的澄清或修改在广州交易集团有限公司（广州公共资源交易中心）网站发布。招标文件的澄清或修改一经在广州交易集团有限公司（广州公共资源交易中心）网站发布，视作已发放给所有投标人。</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2.3.3 招标文件的澄清、修改作为招标文件的组成部分，具有约束作用。</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2.3.4 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pPr>
        <w:spacing w:line="400" w:lineRule="exact"/>
        <w:ind w:firstLine="420" w:firstLineChars="200"/>
        <w:rPr>
          <w:rFonts w:hint="eastAsia" w:ascii="宋体" w:hAnsi="宋体" w:cs="宋体"/>
          <w:color w:val="auto"/>
          <w:highlight w:val="none"/>
          <w:u w:val="single"/>
        </w:rPr>
      </w:pPr>
    </w:p>
    <w:p>
      <w:pPr>
        <w:pStyle w:val="4"/>
        <w:rPr>
          <w:rFonts w:hint="eastAsia" w:ascii="宋体" w:hAnsi="宋体" w:eastAsia="宋体" w:cs="宋体"/>
          <w:color w:val="auto"/>
          <w:highlight w:val="none"/>
        </w:rPr>
      </w:pPr>
      <w:bookmarkStart w:id="140" w:name="_Toc30863"/>
      <w:bookmarkStart w:id="141" w:name="_Toc152042322"/>
      <w:bookmarkStart w:id="142" w:name="_Toc247527571"/>
      <w:bookmarkStart w:id="143" w:name="_Toc152045546"/>
      <w:bookmarkStart w:id="144" w:name="_Toc247513970"/>
      <w:bookmarkStart w:id="145" w:name="_Toc144974514"/>
      <w:bookmarkStart w:id="146" w:name="_Toc11733"/>
      <w:r>
        <w:rPr>
          <w:rFonts w:hint="eastAsia" w:ascii="宋体" w:hAnsi="宋体" w:eastAsia="宋体" w:cs="宋体"/>
          <w:color w:val="auto"/>
          <w:highlight w:val="none"/>
        </w:rPr>
        <w:t>3. 投标文件</w:t>
      </w:r>
      <w:bookmarkEnd w:id="140"/>
      <w:bookmarkEnd w:id="141"/>
      <w:bookmarkEnd w:id="142"/>
      <w:bookmarkEnd w:id="143"/>
      <w:bookmarkEnd w:id="144"/>
      <w:bookmarkEnd w:id="145"/>
      <w:bookmarkEnd w:id="146"/>
    </w:p>
    <w:p>
      <w:pPr>
        <w:pStyle w:val="5"/>
        <w:rPr>
          <w:rFonts w:hint="eastAsia" w:ascii="宋体" w:eastAsia="宋体" w:cs="宋体"/>
          <w:color w:val="auto"/>
          <w:highlight w:val="none"/>
        </w:rPr>
      </w:pPr>
      <w:bookmarkStart w:id="147" w:name="_Toc247513971"/>
      <w:bookmarkStart w:id="148" w:name="_Toc357089529"/>
      <w:bookmarkStart w:id="149" w:name="_Toc439246015"/>
      <w:bookmarkStart w:id="150" w:name="_Toc300834968"/>
      <w:bookmarkStart w:id="151" w:name="_Toc682"/>
      <w:bookmarkStart w:id="152" w:name="_Toc144974515"/>
      <w:bookmarkStart w:id="153" w:name="_Toc251"/>
      <w:bookmarkStart w:id="154" w:name="_Toc247527572"/>
      <w:bookmarkStart w:id="155" w:name="_Toc152042323"/>
      <w:bookmarkStart w:id="156" w:name="_Toc439240616"/>
      <w:bookmarkStart w:id="157" w:name="_Toc152045547"/>
      <w:bookmarkStart w:id="158" w:name="_Toc356469195"/>
      <w:bookmarkStart w:id="159" w:name="_Toc32041"/>
      <w:r>
        <w:rPr>
          <w:rFonts w:hint="eastAsia" w:ascii="宋体" w:eastAsia="宋体" w:cs="宋体"/>
          <w:color w:val="auto"/>
          <w:highlight w:val="none"/>
        </w:rPr>
        <w:t>3.1 投标文件的组成</w:t>
      </w:r>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00" w:lineRule="exact"/>
        <w:ind w:firstLine="420" w:firstLineChars="200"/>
        <w:rPr>
          <w:rFonts w:hint="eastAsia" w:ascii="宋体" w:hAnsi="宋体"/>
          <w:color w:val="auto"/>
          <w:highlight w:val="none"/>
          <w:u w:val="single"/>
        </w:rPr>
      </w:pPr>
      <w:r>
        <w:rPr>
          <w:rFonts w:hint="eastAsia" w:ascii="宋体" w:hAnsi="宋体"/>
          <w:color w:val="auto"/>
          <w:highlight w:val="none"/>
          <w:u w:val="single"/>
        </w:rPr>
        <w:t>3.1.1投标文件由</w:t>
      </w:r>
      <w:r>
        <w:rPr>
          <w:rFonts w:hint="eastAsia" w:ascii="宋体" w:hAnsi="宋体"/>
          <w:b/>
          <w:bCs/>
          <w:color w:val="auto"/>
          <w:highlight w:val="none"/>
          <w:u w:val="single"/>
        </w:rPr>
        <w:t>资格审查文件、设计方案投标文件、工程总承包实施方案投标文件三部分组成</w:t>
      </w:r>
      <w:r>
        <w:rPr>
          <w:rFonts w:hint="eastAsia" w:ascii="宋体" w:hAnsi="宋体"/>
          <w:color w:val="auto"/>
          <w:highlight w:val="none"/>
          <w:u w:val="single"/>
        </w:rPr>
        <w:t>，如招标文件没有格式规定的，由投标人自行编制。</w:t>
      </w:r>
    </w:p>
    <w:p>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3.1.2资格审查文件</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投标单位法定代表人证明书及法人授权委托证明书（联合体投标的，由联合体主办方单位代表联合体授权））；</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企业营业执照（联合体投标的，联合体各方均提供）；</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资质证书（联合体投标的，联合体各方均提供）；</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安全生产许可证（联合体投标的，</w:t>
      </w:r>
      <w:r>
        <w:rPr>
          <w:rFonts w:hint="eastAsia" w:ascii="宋体" w:hAnsi="宋体" w:cs="宋体"/>
          <w:color w:val="auto"/>
          <w:szCs w:val="21"/>
          <w:highlight w:val="none"/>
          <w:u w:val="single"/>
        </w:rPr>
        <w:t>由施工方提供</w:t>
      </w:r>
      <w:r>
        <w:rPr>
          <w:rFonts w:hint="eastAsia" w:ascii="宋体" w:hAnsi="宋体" w:cs="宋体"/>
          <w:color w:val="auto"/>
          <w:highlight w:val="none"/>
          <w:u w:val="single"/>
        </w:rPr>
        <w:t>）；</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投标人（或联合体主办方）拟派项目负责人（可兼任施工负责人）的相关证书；</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投标人（或联合体主办方）拟派施工负责人的建造师注册证书，持有在有效期内的安全培训考核合格证书（B类）或建筑施工企业项目负责人安全生产考核合格证书；</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投标人（或联合体设计方）拟派设计负责人的职称证书；</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投标人（或联合体主办方）拟派专职安全员具有</w:t>
      </w:r>
      <w:r>
        <w:rPr>
          <w:rFonts w:hint="eastAsia" w:ascii="宋体" w:hAnsi="宋体" w:cs="宋体"/>
          <w:color w:val="auto"/>
          <w:szCs w:val="21"/>
          <w:highlight w:val="none"/>
          <w:u w:val="single"/>
        </w:rPr>
        <w:t>在有效期内的安全生产考核合格证书（C类）或建筑施工企业专职安全生产管理人员安全生产考核合格证书（C3类）</w:t>
      </w:r>
      <w:r>
        <w:rPr>
          <w:rFonts w:hint="eastAsia" w:ascii="宋体" w:hAnsi="宋体" w:cs="宋体"/>
          <w:color w:val="auto"/>
          <w:highlight w:val="none"/>
          <w:u w:val="single"/>
        </w:rPr>
        <w:t>；</w:t>
      </w:r>
    </w:p>
    <w:p>
      <w:pPr>
        <w:numPr>
          <w:ilvl w:val="0"/>
          <w:numId w:val="2"/>
        </w:numPr>
        <w:spacing w:line="400" w:lineRule="exact"/>
        <w:ind w:hanging="5"/>
        <w:rPr>
          <w:rFonts w:hint="eastAsia" w:ascii="宋体" w:hAnsi="宋体"/>
          <w:color w:val="auto"/>
          <w:highlight w:val="none"/>
        </w:rPr>
      </w:pPr>
      <w:r>
        <w:rPr>
          <w:rFonts w:hint="eastAsia" w:ascii="宋体" w:hAnsi="宋体" w:cs="宋体"/>
          <w:color w:val="auto"/>
          <w:highlight w:val="none"/>
          <w:u w:val="single"/>
        </w:rPr>
        <w:t>投标人（或联合体主办方）拟派施工技术负责人的</w:t>
      </w:r>
      <w:r>
        <w:rPr>
          <w:rFonts w:hint="eastAsia" w:ascii="宋体" w:hAnsi="宋体" w:cs="宋体"/>
          <w:color w:val="auto"/>
          <w:szCs w:val="21"/>
          <w:highlight w:val="none"/>
          <w:u w:val="single"/>
        </w:rPr>
        <w:t>职称证书；</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按招标公告附件一盖章签署的《投标人声明》；</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 xml:space="preserve">盖章签署的《联合体共同投标协议书》（参考格式）（如有）； </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登记前，投标人（含联合体各方）须在广州交易集团有限公司（广州公共资源交易中心）办理企业信息登记，拟担任本工程项目负责人、施工负责人、设计负责人、专职安全员须是投标人本企业信息登记中的在册人员（联合体投标的，企业信息登记和人员在册情况为联合体共同投标协议书分工对应企业库内的登记信息）。</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含联合体各方）不是本项目的代建单位、项目管理单位、监理单位、造价咨询单位、招标代理单位。投标人（含联合体各方）须承诺应当具有相应的项目管理体系和项目管理能力、财务和风险承担能力。（按投标人提供的《投标人声明》内容进行评审）</w:t>
      </w:r>
    </w:p>
    <w:p>
      <w:pPr>
        <w:numPr>
          <w:ilvl w:val="0"/>
          <w:numId w:val="2"/>
        </w:numPr>
        <w:spacing w:line="400" w:lineRule="exact"/>
        <w:ind w:hanging="5"/>
        <w:rPr>
          <w:rFonts w:hint="eastAsia" w:ascii="宋体" w:hAnsi="宋体" w:cs="宋体"/>
          <w:color w:val="auto"/>
          <w:highlight w:val="none"/>
          <w:u w:val="single"/>
        </w:rPr>
      </w:pPr>
      <w:r>
        <w:rPr>
          <w:rFonts w:hint="eastAsia" w:ascii="宋体" w:hAnsi="宋体" w:cs="宋体"/>
          <w:color w:val="auto"/>
          <w:highlight w:val="none"/>
          <w:u w:val="single"/>
        </w:rPr>
        <w:t>投标人认为应该提供的其他资料。</w:t>
      </w:r>
    </w:p>
    <w:p>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3.1.3设计方案文件</w:t>
      </w:r>
    </w:p>
    <w:p>
      <w:pPr>
        <w:pStyle w:val="39"/>
        <w:spacing w:after="0" w:line="360" w:lineRule="auto"/>
        <w:ind w:firstLine="422"/>
        <w:rPr>
          <w:rFonts w:hint="eastAsia" w:ascii="宋体" w:hAnsi="宋体"/>
          <w:b/>
          <w:color w:val="auto"/>
          <w:szCs w:val="21"/>
          <w:highlight w:val="none"/>
          <w:u w:val="single"/>
        </w:rPr>
      </w:pPr>
      <w:r>
        <w:rPr>
          <w:rFonts w:hint="eastAsia" w:ascii="宋体" w:hAnsi="宋体"/>
          <w:b/>
          <w:color w:val="auto"/>
          <w:szCs w:val="21"/>
          <w:highlight w:val="none"/>
          <w:u w:val="single"/>
        </w:rPr>
        <w:t>设计方案评审采用“暗标”形式，不得出现可以辨认投标人及专业技术人员身份的名称、印章、商标、图形等记认</w:t>
      </w:r>
      <w:r>
        <w:rPr>
          <w:rFonts w:ascii="宋体" w:hAnsi="宋体"/>
          <w:b/>
          <w:color w:val="auto"/>
          <w:szCs w:val="21"/>
          <w:highlight w:val="none"/>
          <w:u w:val="single"/>
        </w:rPr>
        <w:t>符号</w:t>
      </w:r>
      <w:r>
        <w:rPr>
          <w:rFonts w:hint="eastAsia" w:ascii="宋体" w:hAnsi="宋体"/>
          <w:b/>
          <w:color w:val="auto"/>
          <w:szCs w:val="21"/>
          <w:highlight w:val="none"/>
          <w:u w:val="single"/>
        </w:rPr>
        <w:t>，也不得通过明标、</w:t>
      </w:r>
      <w:r>
        <w:rPr>
          <w:rFonts w:ascii="宋体" w:hAnsi="宋体"/>
          <w:b/>
          <w:color w:val="auto"/>
          <w:szCs w:val="21"/>
          <w:highlight w:val="none"/>
          <w:u w:val="single"/>
        </w:rPr>
        <w:t>暗标中包含的相同内容</w:t>
      </w:r>
      <w:r>
        <w:rPr>
          <w:rFonts w:hint="eastAsia" w:ascii="宋体" w:hAnsi="宋体"/>
          <w:b/>
          <w:color w:val="auto"/>
          <w:szCs w:val="21"/>
          <w:highlight w:val="none"/>
          <w:u w:val="single"/>
        </w:rPr>
        <w:t>（如</w:t>
      </w:r>
      <w:r>
        <w:rPr>
          <w:rFonts w:ascii="宋体" w:hAnsi="宋体"/>
          <w:b/>
          <w:color w:val="auto"/>
          <w:szCs w:val="21"/>
          <w:highlight w:val="none"/>
          <w:u w:val="single"/>
        </w:rPr>
        <w:t>报价等</w:t>
      </w:r>
      <w:r>
        <w:rPr>
          <w:rFonts w:hint="eastAsia" w:ascii="宋体" w:hAnsi="宋体"/>
          <w:b/>
          <w:color w:val="auto"/>
          <w:szCs w:val="21"/>
          <w:highlight w:val="none"/>
          <w:u w:val="single"/>
        </w:rPr>
        <w:t>）互相</w:t>
      </w:r>
      <w:r>
        <w:rPr>
          <w:rFonts w:ascii="宋体" w:hAnsi="宋体"/>
          <w:b/>
          <w:color w:val="auto"/>
          <w:szCs w:val="21"/>
          <w:highlight w:val="none"/>
          <w:u w:val="single"/>
        </w:rPr>
        <w:t>印证、</w:t>
      </w:r>
      <w:r>
        <w:rPr>
          <w:rFonts w:hint="eastAsia" w:ascii="宋体" w:hAnsi="宋体"/>
          <w:b/>
          <w:color w:val="auto"/>
          <w:szCs w:val="21"/>
          <w:highlight w:val="none"/>
          <w:u w:val="single"/>
        </w:rPr>
        <w:t>辨认</w:t>
      </w:r>
      <w:r>
        <w:rPr>
          <w:rFonts w:ascii="宋体" w:hAnsi="宋体"/>
          <w:b/>
          <w:color w:val="auto"/>
          <w:szCs w:val="21"/>
          <w:highlight w:val="none"/>
          <w:u w:val="single"/>
        </w:rPr>
        <w:t>投标人身份</w:t>
      </w:r>
      <w:r>
        <w:rPr>
          <w:rFonts w:hint="eastAsia" w:ascii="宋体" w:hAnsi="宋体"/>
          <w:b/>
          <w:color w:val="auto"/>
          <w:szCs w:val="21"/>
          <w:highlight w:val="none"/>
          <w:u w:val="single"/>
        </w:rPr>
        <w:t>，应包含但不限于以下内容:</w:t>
      </w:r>
    </w:p>
    <w:p>
      <w:pPr>
        <w:pStyle w:val="38"/>
        <w:spacing w:after="0" w:line="360" w:lineRule="auto"/>
        <w:ind w:left="640"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（1）目录；</w:t>
      </w:r>
    </w:p>
    <w:p>
      <w:pPr>
        <w:pStyle w:val="38"/>
        <w:spacing w:after="0" w:line="360" w:lineRule="auto"/>
        <w:ind w:left="640" w:firstLine="0"/>
        <w:rPr>
          <w:rFonts w:hint="eastAsia" w:ascii="宋体" w:hAnsi="宋体" w:cs="宋体"/>
          <w:color w:val="auto"/>
          <w:szCs w:val="21"/>
          <w:highlight w:val="none"/>
          <w:u w:val="single"/>
        </w:rPr>
      </w:pPr>
      <w:r>
        <w:rPr>
          <w:rFonts w:hint="eastAsia" w:ascii="宋体" w:hAnsi="宋体" w:cs="宋体"/>
          <w:color w:val="auto"/>
          <w:szCs w:val="21"/>
          <w:highlight w:val="none"/>
          <w:u w:val="single"/>
        </w:rPr>
        <w:t>（2）设计方案；</w:t>
      </w:r>
      <w:r>
        <w:rPr>
          <w:rFonts w:hint="eastAsia" w:ascii="宋体" w:hAnsi="宋体" w:cs="宋体"/>
          <w:b/>
          <w:color w:val="auto"/>
          <w:szCs w:val="21"/>
          <w:highlight w:val="none"/>
          <w:u w:val="single"/>
          <w:lang w:val="zh-CN"/>
        </w:rPr>
        <w:t>（注：投资估算中不能体现相应的投标报价）</w:t>
      </w:r>
    </w:p>
    <w:p>
      <w:pPr>
        <w:pStyle w:val="38"/>
        <w:spacing w:after="0" w:line="360" w:lineRule="auto"/>
        <w:ind w:left="640" w:firstLine="0"/>
        <w:rPr>
          <w:rFonts w:hint="eastAsia" w:ascii="宋体" w:hAnsi="宋体"/>
          <w:color w:val="auto"/>
          <w:szCs w:val="21"/>
          <w:highlight w:val="none"/>
          <w:u w:val="single"/>
        </w:rPr>
      </w:pPr>
      <w:r>
        <w:rPr>
          <w:rFonts w:hint="eastAsia" w:ascii="宋体" w:hAnsi="宋体"/>
          <w:color w:val="auto"/>
          <w:szCs w:val="21"/>
          <w:highlight w:val="none"/>
          <w:u w:val="single"/>
        </w:rPr>
        <w:t>（3）投标人提出的建议；</w:t>
      </w:r>
    </w:p>
    <w:p>
      <w:pPr>
        <w:pStyle w:val="38"/>
        <w:spacing w:after="0" w:line="360" w:lineRule="auto"/>
        <w:ind w:left="640" w:firstLine="0"/>
        <w:rPr>
          <w:rFonts w:hint="eastAsia" w:ascii="宋体" w:hAnsi="宋体"/>
          <w:color w:val="auto"/>
          <w:szCs w:val="21"/>
          <w:highlight w:val="none"/>
          <w:u w:val="single"/>
        </w:rPr>
      </w:pPr>
      <w:r>
        <w:rPr>
          <w:rFonts w:hint="eastAsia" w:ascii="宋体" w:hAnsi="宋体"/>
          <w:color w:val="auto"/>
          <w:szCs w:val="21"/>
          <w:highlight w:val="none"/>
          <w:u w:val="single"/>
        </w:rPr>
        <w:t>（4）投标人认为有必要提供的其他资料。</w:t>
      </w:r>
    </w:p>
    <w:p>
      <w:pPr>
        <w:spacing w:line="400" w:lineRule="exact"/>
        <w:ind w:firstLine="422" w:firstLineChars="200"/>
        <w:rPr>
          <w:rFonts w:hint="eastAsia" w:ascii="宋体" w:hAnsi="宋体" w:cs="宋体"/>
          <w:b/>
          <w:bCs/>
          <w:color w:val="auto"/>
          <w:highlight w:val="none"/>
          <w:u w:val="single"/>
        </w:rPr>
      </w:pPr>
      <w:r>
        <w:rPr>
          <w:rFonts w:hint="eastAsia" w:ascii="宋体" w:hAnsi="宋体" w:cs="宋体"/>
          <w:b/>
          <w:bCs/>
          <w:color w:val="auto"/>
          <w:highlight w:val="none"/>
          <w:u w:val="single"/>
        </w:rPr>
        <w:t>3.1.4</w:t>
      </w:r>
      <w:r>
        <w:rPr>
          <w:rFonts w:hint="eastAsia" w:ascii="宋体" w:hAnsi="宋体"/>
          <w:b/>
          <w:bCs/>
          <w:color w:val="auto"/>
          <w:highlight w:val="none"/>
          <w:u w:val="single"/>
        </w:rPr>
        <w:t>工程总承包实施方案投标文件</w:t>
      </w:r>
      <w:r>
        <w:rPr>
          <w:rFonts w:hint="eastAsia" w:ascii="宋体" w:hAnsi="宋体" w:cs="宋体"/>
          <w:b/>
          <w:bCs/>
          <w:color w:val="auto"/>
          <w:highlight w:val="none"/>
          <w:u w:val="single"/>
        </w:rPr>
        <w:t>：</w:t>
      </w:r>
    </w:p>
    <w:p>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投标书；</w:t>
      </w:r>
    </w:p>
    <w:p>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投标承诺函；</w:t>
      </w:r>
    </w:p>
    <w:p>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工程总承包实施方案（按评分要求提供相关材料）；</w:t>
      </w:r>
    </w:p>
    <w:p>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参与编制投标文件人员名单；</w:t>
      </w:r>
    </w:p>
    <w:p>
      <w:pPr>
        <w:numPr>
          <w:ilvl w:val="0"/>
          <w:numId w:val="3"/>
        </w:numPr>
        <w:spacing w:before="62" w:beforeLines="20" w:after="4"/>
        <w:ind w:hanging="34"/>
        <w:rPr>
          <w:rFonts w:hint="eastAsia" w:ascii="宋体" w:hAnsi="宋体" w:cs="宋体"/>
          <w:color w:val="auto"/>
          <w:highlight w:val="none"/>
          <w:u w:val="single"/>
        </w:rPr>
      </w:pPr>
      <w:r>
        <w:rPr>
          <w:rFonts w:hint="eastAsia" w:ascii="宋体" w:hAnsi="宋体" w:cs="宋体"/>
          <w:color w:val="auto"/>
          <w:highlight w:val="none"/>
          <w:u w:val="single"/>
        </w:rPr>
        <w:t>投标人认为应该提供的其他资料。</w:t>
      </w:r>
    </w:p>
    <w:p>
      <w:pPr>
        <w:pStyle w:val="5"/>
        <w:rPr>
          <w:rFonts w:hint="eastAsia" w:ascii="宋体" w:eastAsia="宋体" w:cs="宋体"/>
          <w:color w:val="auto"/>
          <w:highlight w:val="none"/>
        </w:rPr>
      </w:pPr>
      <w:bookmarkStart w:id="160" w:name="_Toc247527573"/>
      <w:bookmarkStart w:id="161" w:name="_Toc247513972"/>
      <w:bookmarkStart w:id="162" w:name="_Toc16275"/>
      <w:bookmarkStart w:id="163" w:name="_Toc152045548"/>
      <w:bookmarkStart w:id="164" w:name="_Toc144974516"/>
      <w:bookmarkStart w:id="165" w:name="_Toc22089"/>
      <w:bookmarkStart w:id="166" w:name="_Toc152042324"/>
      <w:r>
        <w:rPr>
          <w:rFonts w:hint="eastAsia" w:ascii="宋体" w:eastAsia="宋体" w:cs="宋体"/>
          <w:color w:val="auto"/>
          <w:highlight w:val="none"/>
        </w:rPr>
        <w:t>3.2 投标报价</w:t>
      </w:r>
      <w:bookmarkEnd w:id="160"/>
      <w:bookmarkEnd w:id="161"/>
      <w:bookmarkEnd w:id="162"/>
      <w:bookmarkEnd w:id="163"/>
      <w:bookmarkEnd w:id="164"/>
      <w:bookmarkEnd w:id="165"/>
      <w:bookmarkEnd w:id="166"/>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 xml:space="preserve">3.2.1 </w:t>
      </w:r>
      <w:r>
        <w:rPr>
          <w:rFonts w:hint="eastAsia" w:ascii="宋体" w:hAnsi="宋体" w:cs="宋体"/>
          <w:color w:val="auto"/>
          <w:szCs w:val="21"/>
          <w:highlight w:val="none"/>
        </w:rPr>
        <w:t>投标人应充分了解施工场地的位置、周边环境、道路、装卸、保管、安装限制以及影响投标报价的其他要素。投标人根据投标设计，结合市场情况进行投标报价。</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3.2.2 招标人设有最高投标限价的，投标人的投标报价不得超过最高投标限价，最高投标限价或其计算方法在投标人须知前附表中载明。</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3.2.3 投标报价的其他要求见投标人须知前附表。</w:t>
      </w:r>
    </w:p>
    <w:p>
      <w:pPr>
        <w:pStyle w:val="5"/>
        <w:rPr>
          <w:rFonts w:hint="eastAsia" w:ascii="宋体" w:eastAsia="宋体" w:cs="宋体"/>
          <w:color w:val="auto"/>
          <w:highlight w:val="none"/>
        </w:rPr>
      </w:pPr>
      <w:bookmarkStart w:id="167" w:name="_Toc247513973"/>
      <w:bookmarkStart w:id="168" w:name="_Toc16455"/>
      <w:bookmarkStart w:id="169" w:name="_Toc144974517"/>
      <w:bookmarkStart w:id="170" w:name="_Toc152042325"/>
      <w:bookmarkStart w:id="171" w:name="_Toc6310"/>
      <w:bookmarkStart w:id="172" w:name="_Toc152045549"/>
      <w:bookmarkStart w:id="173" w:name="_Toc247527574"/>
      <w:r>
        <w:rPr>
          <w:rFonts w:hint="eastAsia" w:ascii="宋体" w:eastAsia="宋体" w:cs="宋体"/>
          <w:color w:val="auto"/>
          <w:highlight w:val="none"/>
        </w:rPr>
        <w:t>3.3 投标有效期</w:t>
      </w:r>
      <w:bookmarkEnd w:id="167"/>
      <w:bookmarkEnd w:id="168"/>
      <w:bookmarkEnd w:id="169"/>
      <w:bookmarkEnd w:id="170"/>
      <w:bookmarkEnd w:id="171"/>
      <w:bookmarkEnd w:id="172"/>
      <w:bookmarkEnd w:id="173"/>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3.3.1 除投标人须知前附表另有规定外，投标有效期为</w:t>
      </w:r>
      <w:r>
        <w:rPr>
          <w:rFonts w:hint="eastAsia" w:ascii="宋体" w:hAnsi="宋体" w:cs="宋体"/>
          <w:color w:val="auto"/>
          <w:highlight w:val="none"/>
          <w:u w:val="single"/>
        </w:rPr>
        <w:t>90</w:t>
      </w:r>
      <w:r>
        <w:rPr>
          <w:rFonts w:hint="eastAsia" w:ascii="宋体" w:hAnsi="宋体" w:cs="宋体"/>
          <w:color w:val="auto"/>
          <w:highlight w:val="none"/>
        </w:rPr>
        <w:t>天。</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3.3.2 在投标有效期内，投标人撤销或修改其投标文件的，应承担招标文件和法律规定的责任。</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3.3.3 出现特殊情况需要延长投标有效期的，招标人以书面形式通知所有投标人延长投标有效期。投标人同意延长的，</w:t>
      </w:r>
      <w:r>
        <w:rPr>
          <w:rFonts w:hint="eastAsia" w:ascii="宋体" w:hAnsi="宋体" w:cs="宋体"/>
          <w:strike/>
          <w:color w:val="auto"/>
          <w:highlight w:val="none"/>
        </w:rPr>
        <w:t>应相应延长其投标保证金的有效期，但</w:t>
      </w:r>
      <w:r>
        <w:rPr>
          <w:rFonts w:hint="eastAsia" w:ascii="宋体" w:hAnsi="宋体" w:cs="宋体"/>
          <w:color w:val="auto"/>
          <w:highlight w:val="none"/>
        </w:rPr>
        <w:t>不得要求或被允许修改或撤销其投标文件；投标人拒绝延长的，其投标失效</w:t>
      </w:r>
      <w:r>
        <w:rPr>
          <w:rFonts w:hint="eastAsia" w:ascii="宋体" w:hAnsi="宋体" w:cs="宋体"/>
          <w:strike/>
          <w:color w:val="auto"/>
          <w:highlight w:val="none"/>
        </w:rPr>
        <w:t>，但投标人有权收回其投标保证金</w:t>
      </w:r>
      <w:r>
        <w:rPr>
          <w:rFonts w:hint="eastAsia" w:ascii="宋体" w:hAnsi="宋体" w:cs="宋体"/>
          <w:color w:val="auto"/>
          <w:highlight w:val="none"/>
        </w:rPr>
        <w:t xml:space="preserve">。 </w:t>
      </w:r>
    </w:p>
    <w:p>
      <w:pPr>
        <w:pStyle w:val="5"/>
        <w:rPr>
          <w:rFonts w:hint="eastAsia" w:ascii="宋体" w:eastAsia="宋体" w:cs="宋体"/>
          <w:strike/>
          <w:color w:val="auto"/>
          <w:highlight w:val="none"/>
        </w:rPr>
      </w:pPr>
      <w:bookmarkStart w:id="174" w:name="_Toc152042326"/>
      <w:bookmarkStart w:id="175" w:name="_Toc14731"/>
      <w:bookmarkStart w:id="176" w:name="_Toc144974518"/>
      <w:bookmarkStart w:id="177" w:name="_Toc247513974"/>
      <w:bookmarkStart w:id="178" w:name="_Toc562"/>
      <w:bookmarkStart w:id="179" w:name="_Toc152045550"/>
      <w:bookmarkStart w:id="180" w:name="_Toc247527575"/>
      <w:r>
        <w:rPr>
          <w:rFonts w:hint="eastAsia" w:ascii="宋体" w:eastAsia="宋体" w:cs="宋体"/>
          <w:strike/>
          <w:color w:val="auto"/>
          <w:highlight w:val="none"/>
        </w:rPr>
        <w:t>3.4 投标保证金</w:t>
      </w:r>
      <w:bookmarkEnd w:id="174"/>
      <w:bookmarkEnd w:id="175"/>
      <w:bookmarkEnd w:id="176"/>
      <w:bookmarkEnd w:id="177"/>
      <w:bookmarkEnd w:id="178"/>
      <w:bookmarkEnd w:id="179"/>
      <w:bookmarkEnd w:id="180"/>
    </w:p>
    <w:p>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 xml:space="preserve">3.4.1 </w:t>
      </w:r>
      <w:r>
        <w:rPr>
          <w:rFonts w:hint="eastAsia" w:ascii="宋体" w:hAnsi="宋体" w:cs="宋体"/>
          <w:strike/>
          <w:color w:val="auto"/>
          <w:highlight w:val="none"/>
          <w:u w:val="single"/>
        </w:rPr>
        <w:t>投标人在投标截止时间前，应按投标人须知前附表规定的金额、形式递交投标保证金</w:t>
      </w:r>
      <w:r>
        <w:rPr>
          <w:rFonts w:hint="eastAsia" w:ascii="宋体" w:hAnsi="宋体" w:cs="宋体"/>
          <w:strike/>
          <w:color w:val="auto"/>
          <w:highlight w:val="none"/>
        </w:rPr>
        <w:t>，并作为其投标文件的组成部分。联合体投标的，其投标保证金由主办方递交，并应符合投标人须知前附表的规定。</w:t>
      </w:r>
    </w:p>
    <w:p>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3.4.2 投标人不按本章第3.4.1项要求提交投标保证金的，评标委员会将否决其投标。</w:t>
      </w:r>
    </w:p>
    <w:p>
      <w:pPr>
        <w:spacing w:line="400" w:lineRule="exact"/>
        <w:ind w:firstLine="420" w:firstLineChars="200"/>
        <w:rPr>
          <w:rFonts w:hint="eastAsia" w:ascii="宋体" w:hAnsi="宋体" w:cs="宋体"/>
          <w:strike/>
          <w:color w:val="auto"/>
          <w:highlight w:val="none"/>
          <w:u w:val="single"/>
        </w:rPr>
      </w:pPr>
      <w:r>
        <w:rPr>
          <w:rFonts w:hint="eastAsia" w:ascii="宋体" w:hAnsi="宋体" w:cs="宋体"/>
          <w:strike/>
          <w:color w:val="auto"/>
          <w:highlight w:val="none"/>
          <w:u w:val="single"/>
        </w:rPr>
        <w:t>3.4.3未中标的投标人的投标保证金将尽快退还，最迟不超过招标人与中标人签定合同后的5个工作日。中标人的投标保证金，在签署合同并按要求提供了履约担保后予以退还。</w:t>
      </w:r>
    </w:p>
    <w:p>
      <w:pPr>
        <w:spacing w:line="400" w:lineRule="exact"/>
        <w:ind w:firstLine="420" w:firstLineChars="200"/>
        <w:rPr>
          <w:rFonts w:hint="eastAsia" w:ascii="宋体" w:hAnsi="宋体" w:cs="宋体"/>
          <w:strike/>
          <w:color w:val="auto"/>
          <w:highlight w:val="none"/>
        </w:rPr>
      </w:pPr>
      <w:r>
        <w:rPr>
          <w:rFonts w:hint="eastAsia" w:ascii="宋体" w:hAnsi="宋体" w:cs="宋体"/>
          <w:strike/>
          <w:color w:val="auto"/>
          <w:highlight w:val="none"/>
        </w:rPr>
        <w:t xml:space="preserve">3.4.4有下列情形之一的，投标保证金将不予退还： </w:t>
      </w:r>
    </w:p>
    <w:p>
      <w:pPr>
        <w:pStyle w:val="2"/>
        <w:ind w:firstLine="420" w:firstLineChars="200"/>
        <w:rPr>
          <w:rFonts w:hint="eastAsia" w:hAnsi="宋体"/>
          <w:strike/>
          <w:color w:val="auto"/>
          <w:highlight w:val="none"/>
          <w:u w:val="single"/>
        </w:rPr>
      </w:pPr>
      <w:bookmarkStart w:id="181" w:name="_Toc152045552"/>
      <w:bookmarkStart w:id="182" w:name="_Toc247527577"/>
      <w:bookmarkStart w:id="183" w:name="_Toc21104"/>
      <w:bookmarkStart w:id="184" w:name="_Toc247513976"/>
      <w:bookmarkStart w:id="185" w:name="_Toc144974520"/>
      <w:bookmarkStart w:id="186" w:name="_Toc29040"/>
      <w:bookmarkStart w:id="187" w:name="_Toc152042328"/>
      <w:r>
        <w:rPr>
          <w:rFonts w:hint="eastAsia" w:hAnsi="宋体"/>
          <w:strike/>
          <w:color w:val="auto"/>
          <w:highlight w:val="none"/>
          <w:u w:val="single"/>
        </w:rPr>
        <w:t>（1）因投标人原因造成投标文件未解密的；</w:t>
      </w:r>
    </w:p>
    <w:p>
      <w:pPr>
        <w:pStyle w:val="2"/>
        <w:ind w:firstLine="420" w:firstLineChars="200"/>
        <w:rPr>
          <w:rFonts w:hint="eastAsia" w:hAnsi="宋体"/>
          <w:strike/>
          <w:color w:val="auto"/>
          <w:highlight w:val="none"/>
          <w:u w:val="single"/>
        </w:rPr>
      </w:pPr>
      <w:r>
        <w:rPr>
          <w:rFonts w:hint="eastAsia" w:hAnsi="宋体"/>
          <w:strike/>
          <w:color w:val="auto"/>
          <w:highlight w:val="none"/>
          <w:u w:val="single"/>
        </w:rPr>
        <w:t>（2）投标人在投标有效期内撤销投标文件；</w:t>
      </w:r>
    </w:p>
    <w:p>
      <w:pPr>
        <w:pStyle w:val="2"/>
        <w:ind w:firstLine="420" w:firstLineChars="200"/>
        <w:rPr>
          <w:rFonts w:hint="eastAsia" w:hAnsi="宋体"/>
          <w:strike/>
          <w:color w:val="auto"/>
          <w:highlight w:val="none"/>
          <w:u w:val="single"/>
        </w:rPr>
      </w:pPr>
      <w:r>
        <w:rPr>
          <w:rFonts w:hint="eastAsia" w:hAnsi="宋体"/>
          <w:strike/>
          <w:color w:val="auto"/>
          <w:highlight w:val="none"/>
          <w:u w:val="single"/>
        </w:rPr>
        <w:t>（3）中标人未能在规定期限内按要求提交履约担保；</w:t>
      </w:r>
    </w:p>
    <w:p>
      <w:pPr>
        <w:pStyle w:val="2"/>
        <w:ind w:firstLine="420" w:firstLineChars="200"/>
        <w:rPr>
          <w:rFonts w:hint="eastAsia" w:hAnsi="宋体"/>
          <w:strike/>
          <w:color w:val="auto"/>
          <w:highlight w:val="none"/>
          <w:u w:val="single"/>
        </w:rPr>
      </w:pPr>
      <w:r>
        <w:rPr>
          <w:rFonts w:hint="eastAsia" w:hAnsi="宋体"/>
          <w:strike/>
          <w:color w:val="auto"/>
          <w:highlight w:val="none"/>
          <w:u w:val="single"/>
        </w:rPr>
        <w:t>（4）中标人未能在规定期限内签署合同协议。</w:t>
      </w:r>
    </w:p>
    <w:p>
      <w:pPr>
        <w:pStyle w:val="5"/>
        <w:rPr>
          <w:rFonts w:hint="eastAsia" w:ascii="宋体" w:eastAsia="宋体" w:cs="宋体"/>
          <w:color w:val="auto"/>
          <w:highlight w:val="none"/>
        </w:rPr>
      </w:pPr>
      <w:r>
        <w:rPr>
          <w:rFonts w:hint="eastAsia" w:ascii="宋体" w:eastAsia="宋体" w:cs="宋体"/>
          <w:color w:val="auto"/>
          <w:highlight w:val="none"/>
        </w:rPr>
        <w:t>3.5 资格审查资料（适用于未进行资格预审的）</w:t>
      </w:r>
      <w:bookmarkEnd w:id="181"/>
      <w:bookmarkEnd w:id="182"/>
      <w:bookmarkEnd w:id="183"/>
      <w:bookmarkEnd w:id="184"/>
      <w:bookmarkEnd w:id="185"/>
      <w:bookmarkEnd w:id="186"/>
      <w:bookmarkEnd w:id="187"/>
    </w:p>
    <w:p>
      <w:pPr>
        <w:spacing w:line="400" w:lineRule="exact"/>
        <w:ind w:firstLine="315" w:firstLineChars="150"/>
        <w:rPr>
          <w:rFonts w:hint="eastAsia" w:ascii="宋体" w:hAnsi="宋体" w:cs="宋体"/>
          <w:color w:val="auto"/>
          <w:highlight w:val="none"/>
          <w:u w:val="single"/>
        </w:rPr>
      </w:pPr>
      <w:bookmarkStart w:id="188" w:name="_Toc144974521"/>
      <w:bookmarkStart w:id="189" w:name="_Toc152042329"/>
      <w:bookmarkStart w:id="190" w:name="_Toc152045553"/>
      <w:bookmarkStart w:id="191" w:name="_Toc247527578"/>
      <w:bookmarkStart w:id="192" w:name="_Toc247513977"/>
      <w:r>
        <w:rPr>
          <w:rFonts w:hint="eastAsia" w:ascii="宋体" w:hAnsi="宋体" w:cs="宋体"/>
          <w:color w:val="auto"/>
          <w:highlight w:val="none"/>
          <w:u w:val="single"/>
        </w:rPr>
        <w:t>3.5.1本项目采用电子化资格后审，由评标委员会负责对投标人的资格进行审查，评标时只对通过资格审查的投标人进行下一阶段的评审。</w:t>
      </w:r>
    </w:p>
    <w:p>
      <w:pPr>
        <w:spacing w:line="400" w:lineRule="exact"/>
        <w:ind w:firstLine="315" w:firstLineChars="150"/>
        <w:rPr>
          <w:rFonts w:hint="eastAsia" w:ascii="宋体" w:hAnsi="宋体" w:cs="宋体"/>
          <w:color w:val="auto"/>
          <w:highlight w:val="none"/>
          <w:u w:val="single"/>
        </w:rPr>
      </w:pPr>
      <w:r>
        <w:rPr>
          <w:rFonts w:hint="eastAsia" w:ascii="宋体" w:hAnsi="宋体" w:cs="宋体"/>
          <w:color w:val="auto"/>
          <w:highlight w:val="none"/>
          <w:u w:val="single"/>
        </w:rPr>
        <w:t>3.5.2资审合格后，投标人的资格发生变化而不满足投标人合格条件，在发出中标通知书前，资格问题仍未解决的，招标人将取消其中标资格。</w:t>
      </w:r>
    </w:p>
    <w:p>
      <w:pPr>
        <w:pStyle w:val="5"/>
        <w:rPr>
          <w:rFonts w:hint="eastAsia" w:ascii="宋体" w:eastAsia="宋体" w:cs="宋体"/>
          <w:color w:val="auto"/>
          <w:highlight w:val="none"/>
        </w:rPr>
      </w:pPr>
      <w:bookmarkStart w:id="193" w:name="_Toc21817"/>
      <w:bookmarkStart w:id="194" w:name="_Toc9896"/>
      <w:r>
        <w:rPr>
          <w:rFonts w:hint="eastAsia" w:ascii="宋体" w:eastAsia="宋体" w:cs="宋体"/>
          <w:color w:val="auto"/>
          <w:highlight w:val="none"/>
        </w:rPr>
        <w:t>3.6 备选投标方案</w:t>
      </w:r>
      <w:bookmarkEnd w:id="188"/>
      <w:bookmarkEnd w:id="189"/>
      <w:bookmarkEnd w:id="190"/>
      <w:bookmarkEnd w:id="191"/>
      <w:bookmarkEnd w:id="192"/>
      <w:bookmarkEnd w:id="193"/>
      <w:bookmarkEnd w:id="194"/>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除投标人须知前附表另有规定外，投标人不得递交备选投标方案。</w:t>
      </w:r>
    </w:p>
    <w:p>
      <w:pPr>
        <w:pStyle w:val="5"/>
        <w:rPr>
          <w:rFonts w:hint="eastAsia" w:ascii="宋体" w:eastAsia="宋体" w:cs="宋体"/>
          <w:color w:val="auto"/>
          <w:highlight w:val="none"/>
        </w:rPr>
      </w:pPr>
      <w:bookmarkStart w:id="195" w:name="_Toc247513978"/>
      <w:bookmarkStart w:id="196" w:name="_Toc152045554"/>
      <w:bookmarkStart w:id="197" w:name="_Toc25571"/>
      <w:bookmarkStart w:id="198" w:name="_Toc247527579"/>
      <w:bookmarkStart w:id="199" w:name="_Toc144974522"/>
      <w:bookmarkStart w:id="200" w:name="_Toc152042330"/>
      <w:bookmarkStart w:id="201" w:name="_Toc22621"/>
      <w:r>
        <w:rPr>
          <w:rFonts w:hint="eastAsia" w:ascii="宋体" w:eastAsia="宋体" w:cs="宋体"/>
          <w:color w:val="auto"/>
          <w:highlight w:val="none"/>
        </w:rPr>
        <w:t>3.7 投标文件的编制</w:t>
      </w:r>
      <w:bookmarkEnd w:id="195"/>
      <w:bookmarkEnd w:id="196"/>
      <w:bookmarkEnd w:id="197"/>
      <w:bookmarkEnd w:id="198"/>
      <w:bookmarkEnd w:id="199"/>
      <w:bookmarkEnd w:id="200"/>
      <w:bookmarkEnd w:id="201"/>
    </w:p>
    <w:p>
      <w:pPr>
        <w:spacing w:line="400" w:lineRule="exact"/>
        <w:ind w:firstLine="420" w:firstLineChars="200"/>
        <w:rPr>
          <w:rFonts w:hint="eastAsia" w:ascii="宋体" w:hAnsi="宋体" w:cs="宋体"/>
          <w:color w:val="auto"/>
          <w:highlight w:val="none"/>
        </w:rPr>
      </w:pPr>
      <w:bookmarkStart w:id="202" w:name="_Toc247513979"/>
      <w:bookmarkStart w:id="203" w:name="_Toc152045555"/>
      <w:bookmarkStart w:id="204" w:name="_Toc247527580"/>
      <w:bookmarkStart w:id="205" w:name="_Toc152042331"/>
      <w:bookmarkStart w:id="206" w:name="_Toc144974523"/>
      <w:r>
        <w:rPr>
          <w:rFonts w:hint="eastAsia" w:ascii="宋体" w:hAnsi="宋体" w:cs="宋体"/>
          <w:color w:val="auto"/>
          <w:highlight w:val="none"/>
        </w:rPr>
        <w:t xml:space="preserve">3.7.1 </w:t>
      </w:r>
      <w:r>
        <w:rPr>
          <w:rFonts w:hint="eastAsia" w:ascii="宋体" w:hAnsi="宋体" w:cs="宋体"/>
          <w:color w:val="auto"/>
          <w:highlight w:val="none"/>
          <w:u w:val="single"/>
        </w:rPr>
        <w:t>投标文件应按第七章“投标文件格式”进行编写，如有必要，可以增加附页，作为投标文件的组成部分。</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3.7.2 投标文件应当对招标文件有关</w:t>
      </w:r>
      <w:r>
        <w:rPr>
          <w:rFonts w:hint="eastAsia" w:ascii="宋体" w:hAnsi="宋体" w:cs="宋体"/>
          <w:color w:val="auto"/>
          <w:szCs w:val="21"/>
          <w:highlight w:val="none"/>
        </w:rPr>
        <w:t>招标范围、投标有效期、工期、质量标准、招标人要求等实质性内容作出响应。</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3.7.3</w:t>
      </w:r>
      <w:r>
        <w:rPr>
          <w:rFonts w:hint="eastAsia" w:ascii="宋体" w:hAnsi="宋体" w:cs="宋体"/>
          <w:color w:val="auto"/>
          <w:highlight w:val="none"/>
          <w:u w:val="single"/>
        </w:rPr>
        <w:t>投标人采用单位数字证书，按招标文件要求在相应位置加盖电子印章。投标文件中需个人签字或盖章的，应加盖个人电子印章或在线下完成后扫描上传。按照广州交易集团有限公司（广州公共资源交易中心）交易平台关于全流程电子化项目的相关指南进行操作。联合体投标的，除投标文件中的《联合体共同投标协议书》需联合体各方盖章、签字外，投标文件其他内容中的“投标人”、“声明企业”应填写联合体各方的单位全称，但由主办方盖章、签字即可。</w:t>
      </w:r>
    </w:p>
    <w:p>
      <w:pPr>
        <w:pStyle w:val="4"/>
        <w:rPr>
          <w:rFonts w:hint="eastAsia" w:ascii="宋体" w:hAnsi="宋体" w:eastAsia="宋体" w:cs="宋体"/>
          <w:color w:val="auto"/>
          <w:highlight w:val="none"/>
        </w:rPr>
      </w:pPr>
      <w:bookmarkStart w:id="207" w:name="_Toc148"/>
      <w:bookmarkStart w:id="208" w:name="_Toc13446"/>
      <w:r>
        <w:rPr>
          <w:rFonts w:hint="eastAsia" w:ascii="宋体" w:hAnsi="宋体" w:eastAsia="宋体" w:cs="宋体"/>
          <w:color w:val="auto"/>
          <w:highlight w:val="none"/>
        </w:rPr>
        <w:t>4. 投标</w:t>
      </w:r>
      <w:bookmarkEnd w:id="202"/>
      <w:bookmarkEnd w:id="203"/>
      <w:bookmarkEnd w:id="204"/>
      <w:bookmarkEnd w:id="205"/>
      <w:bookmarkEnd w:id="206"/>
      <w:bookmarkEnd w:id="207"/>
      <w:bookmarkEnd w:id="208"/>
    </w:p>
    <w:p>
      <w:pPr>
        <w:pStyle w:val="5"/>
        <w:rPr>
          <w:rFonts w:hint="eastAsia" w:ascii="宋体" w:eastAsia="宋体" w:cs="宋体"/>
          <w:color w:val="auto"/>
          <w:highlight w:val="none"/>
        </w:rPr>
      </w:pPr>
      <w:bookmarkStart w:id="209" w:name="_Toc152045556"/>
      <w:bookmarkStart w:id="210" w:name="_Toc247513980"/>
      <w:bookmarkStart w:id="211" w:name="_Toc152042332"/>
      <w:bookmarkStart w:id="212" w:name="_Toc18344"/>
      <w:bookmarkStart w:id="213" w:name="_Toc31640"/>
      <w:bookmarkStart w:id="214" w:name="_Toc247527581"/>
      <w:bookmarkStart w:id="215" w:name="_Toc144974524"/>
      <w:r>
        <w:rPr>
          <w:rFonts w:hint="eastAsia" w:ascii="宋体" w:eastAsia="宋体" w:cs="宋体"/>
          <w:color w:val="auto"/>
          <w:highlight w:val="none"/>
        </w:rPr>
        <w:t>4.1 投标文件的密封和标记</w:t>
      </w:r>
      <w:bookmarkEnd w:id="209"/>
      <w:bookmarkEnd w:id="210"/>
      <w:bookmarkEnd w:id="211"/>
      <w:bookmarkEnd w:id="212"/>
      <w:bookmarkEnd w:id="213"/>
      <w:bookmarkEnd w:id="214"/>
      <w:bookmarkEnd w:id="215"/>
    </w:p>
    <w:p>
      <w:pPr>
        <w:spacing w:line="400" w:lineRule="exact"/>
        <w:ind w:firstLine="420" w:firstLineChars="200"/>
        <w:rPr>
          <w:rFonts w:hint="eastAsia" w:ascii="宋体" w:hAnsi="宋体"/>
          <w:color w:val="auto"/>
          <w:highlight w:val="none"/>
          <w:u w:val="single"/>
        </w:rPr>
      </w:pPr>
      <w:bookmarkStart w:id="216" w:name="_Toc152042333"/>
      <w:bookmarkStart w:id="217" w:name="_Toc144974525"/>
      <w:bookmarkStart w:id="218" w:name="_Toc247513981"/>
      <w:bookmarkStart w:id="219" w:name="_Toc247527582"/>
      <w:bookmarkStart w:id="220" w:name="_Toc152045557"/>
      <w:r>
        <w:rPr>
          <w:rFonts w:hint="eastAsia" w:ascii="宋体" w:hAnsi="宋体"/>
          <w:color w:val="auto"/>
          <w:highlight w:val="none"/>
          <w:u w:val="single"/>
        </w:rPr>
        <w:t>4.1.1</w:t>
      </w:r>
      <w:r>
        <w:rPr>
          <w:rFonts w:hint="eastAsia" w:ascii="宋体" w:hAnsi="宋体" w:cs="宋体"/>
          <w:color w:val="auto"/>
          <w:szCs w:val="21"/>
          <w:highlight w:val="none"/>
          <w:u w:val="single"/>
        </w:rPr>
        <w:t>投</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人</w:t>
      </w:r>
      <w:r>
        <w:rPr>
          <w:rFonts w:hint="eastAsia" w:ascii="宋体" w:hAnsi="宋体" w:cs="宋体"/>
          <w:color w:val="auto"/>
          <w:spacing w:val="-2"/>
          <w:szCs w:val="21"/>
          <w:highlight w:val="none"/>
          <w:u w:val="single"/>
        </w:rPr>
        <w:t>应</w:t>
      </w:r>
      <w:r>
        <w:rPr>
          <w:rFonts w:hint="eastAsia" w:ascii="宋体" w:hAnsi="宋体" w:cs="宋体"/>
          <w:color w:val="auto"/>
          <w:szCs w:val="21"/>
          <w:highlight w:val="none"/>
          <w:u w:val="single"/>
        </w:rPr>
        <w:t>当</w:t>
      </w:r>
      <w:r>
        <w:rPr>
          <w:rFonts w:hint="eastAsia" w:ascii="宋体" w:hAnsi="宋体" w:cs="宋体"/>
          <w:color w:val="auto"/>
          <w:spacing w:val="-2"/>
          <w:szCs w:val="21"/>
          <w:highlight w:val="none"/>
          <w:u w:val="single"/>
        </w:rPr>
        <w:t>按</w:t>
      </w:r>
      <w:r>
        <w:rPr>
          <w:rFonts w:hint="eastAsia" w:ascii="宋体" w:hAnsi="宋体" w:cs="宋体"/>
          <w:color w:val="auto"/>
          <w:szCs w:val="21"/>
          <w:highlight w:val="none"/>
          <w:u w:val="single"/>
        </w:rPr>
        <w:t>照招</w:t>
      </w:r>
      <w:r>
        <w:rPr>
          <w:rFonts w:hint="eastAsia" w:ascii="宋体" w:hAnsi="宋体" w:cs="宋体"/>
          <w:color w:val="auto"/>
          <w:spacing w:val="-2"/>
          <w:szCs w:val="21"/>
          <w:highlight w:val="none"/>
          <w:u w:val="single"/>
        </w:rPr>
        <w:t>标</w:t>
      </w:r>
      <w:r>
        <w:rPr>
          <w:rFonts w:hint="eastAsia" w:ascii="宋体" w:hAnsi="宋体" w:cs="宋体"/>
          <w:color w:val="auto"/>
          <w:szCs w:val="21"/>
          <w:highlight w:val="none"/>
          <w:u w:val="single"/>
        </w:rPr>
        <w:t>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和</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标交</w:t>
      </w:r>
      <w:r>
        <w:rPr>
          <w:rFonts w:hint="eastAsia" w:ascii="宋体" w:hAnsi="宋体" w:cs="宋体"/>
          <w:color w:val="auto"/>
          <w:spacing w:val="-2"/>
          <w:szCs w:val="21"/>
          <w:highlight w:val="none"/>
          <w:u w:val="single"/>
        </w:rPr>
        <w:t>易</w:t>
      </w:r>
      <w:r>
        <w:rPr>
          <w:rFonts w:hint="eastAsia" w:ascii="宋体" w:hAnsi="宋体" w:cs="宋体"/>
          <w:color w:val="auto"/>
          <w:szCs w:val="21"/>
          <w:highlight w:val="none"/>
          <w:u w:val="single"/>
        </w:rPr>
        <w:t>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的</w:t>
      </w:r>
      <w:r>
        <w:rPr>
          <w:rFonts w:hint="eastAsia" w:ascii="宋体" w:hAnsi="宋体" w:cs="宋体"/>
          <w:color w:val="auto"/>
          <w:spacing w:val="-2"/>
          <w:szCs w:val="21"/>
          <w:highlight w:val="none"/>
          <w:u w:val="single"/>
        </w:rPr>
        <w:t>要</w:t>
      </w:r>
      <w:r>
        <w:rPr>
          <w:rFonts w:hint="eastAsia" w:ascii="宋体" w:hAnsi="宋体" w:cs="宋体"/>
          <w:color w:val="auto"/>
          <w:szCs w:val="21"/>
          <w:highlight w:val="none"/>
          <w:u w:val="single"/>
        </w:rPr>
        <w:t>求</w:t>
      </w:r>
      <w:r>
        <w:rPr>
          <w:rFonts w:hint="eastAsia" w:ascii="宋体" w:hAnsi="宋体" w:cs="宋体"/>
          <w:color w:val="auto"/>
          <w:spacing w:val="-2"/>
          <w:szCs w:val="21"/>
          <w:highlight w:val="none"/>
          <w:u w:val="single"/>
        </w:rPr>
        <w:t>加</w:t>
      </w:r>
      <w:r>
        <w:rPr>
          <w:rFonts w:hint="eastAsia" w:ascii="宋体" w:hAnsi="宋体" w:cs="宋体"/>
          <w:color w:val="auto"/>
          <w:szCs w:val="21"/>
          <w:highlight w:val="none"/>
          <w:u w:val="single"/>
        </w:rPr>
        <w:t>密</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rPr>
        <w:t>具</w:t>
      </w:r>
      <w:r>
        <w:rPr>
          <w:rFonts w:hint="eastAsia" w:ascii="宋体" w:hAnsi="宋体" w:cs="宋体"/>
          <w:color w:val="auto"/>
          <w:szCs w:val="21"/>
          <w:highlight w:val="none"/>
          <w:u w:val="single"/>
        </w:rPr>
        <w:t>体操作详见广州交易集团有限公司（广州公共资源交易中心）网站发布的最新版操作指引。</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4.1.2</w:t>
      </w:r>
      <w:r>
        <w:rPr>
          <w:rFonts w:hint="eastAsia" w:ascii="宋体" w:hAnsi="宋体" w:cs="宋体"/>
          <w:color w:val="auto"/>
          <w:highlight w:val="none"/>
        </w:rPr>
        <w:t>投标文件封套上应写明的内容见投标人须知前附表。</w:t>
      </w:r>
    </w:p>
    <w:p>
      <w:pPr>
        <w:spacing w:line="400" w:lineRule="exact"/>
        <w:ind w:firstLine="420" w:firstLineChars="200"/>
        <w:rPr>
          <w:rFonts w:hint="eastAsia" w:ascii="宋体" w:hAnsi="宋体" w:cs="宋体"/>
          <w:color w:val="auto"/>
          <w:highlight w:val="none"/>
          <w:u w:val="single"/>
        </w:rPr>
      </w:pPr>
      <w:r>
        <w:rPr>
          <w:rFonts w:hint="eastAsia" w:ascii="宋体" w:hAnsi="宋体"/>
          <w:color w:val="auto"/>
          <w:highlight w:val="none"/>
        </w:rPr>
        <w:t>4.1.3</w:t>
      </w:r>
      <w:r>
        <w:rPr>
          <w:rFonts w:hint="eastAsia" w:ascii="宋体" w:hAnsi="宋体" w:cs="宋体"/>
          <w:color w:val="auto"/>
          <w:highlight w:val="none"/>
        </w:rPr>
        <w:t>未按本章第4.1.1项或第4.1.2项要求密封和加写标记的投标文件，招标人不予受理。</w:t>
      </w:r>
    </w:p>
    <w:p>
      <w:pPr>
        <w:pStyle w:val="5"/>
        <w:rPr>
          <w:rFonts w:hint="eastAsia" w:ascii="宋体" w:eastAsia="宋体" w:cs="宋体"/>
          <w:color w:val="auto"/>
          <w:highlight w:val="none"/>
        </w:rPr>
      </w:pPr>
      <w:bookmarkStart w:id="221" w:name="_Toc27773"/>
      <w:bookmarkStart w:id="222" w:name="_Toc20052"/>
      <w:r>
        <w:rPr>
          <w:rFonts w:hint="eastAsia" w:ascii="宋体" w:eastAsia="宋体" w:cs="宋体"/>
          <w:color w:val="auto"/>
          <w:highlight w:val="none"/>
        </w:rPr>
        <w:t>4.2 投标文件的递交</w:t>
      </w:r>
      <w:bookmarkEnd w:id="216"/>
      <w:bookmarkEnd w:id="217"/>
      <w:bookmarkEnd w:id="218"/>
      <w:bookmarkEnd w:id="219"/>
      <w:bookmarkEnd w:id="220"/>
      <w:bookmarkEnd w:id="221"/>
      <w:bookmarkEnd w:id="222"/>
    </w:p>
    <w:p>
      <w:pPr>
        <w:spacing w:line="400" w:lineRule="exact"/>
        <w:ind w:firstLine="420" w:firstLineChars="200"/>
        <w:rPr>
          <w:rFonts w:hint="eastAsia" w:ascii="宋体" w:hAnsi="宋体" w:cs="宋体"/>
          <w:color w:val="auto"/>
          <w:highlight w:val="none"/>
        </w:rPr>
      </w:pPr>
      <w:bookmarkStart w:id="223" w:name="_Toc152042334"/>
      <w:bookmarkStart w:id="224" w:name="_Toc247527583"/>
      <w:bookmarkStart w:id="225" w:name="_Toc247513982"/>
      <w:bookmarkStart w:id="226" w:name="_Toc152045558"/>
      <w:bookmarkStart w:id="227" w:name="_Toc144974526"/>
      <w:r>
        <w:rPr>
          <w:rFonts w:hint="eastAsia" w:ascii="宋体" w:hAnsi="宋体" w:cs="宋体"/>
          <w:color w:val="auto"/>
          <w:highlight w:val="none"/>
        </w:rPr>
        <w:t>4.2.1投标人应在第2.2.2项规定的投标截止时间前递交投标文件。</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4.2.2 投标人递交投标文件的地点：见投标人须知前附表。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4.2.3 除投标人须知前附表另有规定外，投标人所递交的投标文件不予退还。</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4.2.4 </w:t>
      </w:r>
      <w:r>
        <w:rPr>
          <w:rFonts w:hint="eastAsia" w:ascii="宋体" w:hAnsi="宋体" w:cs="宋体"/>
          <w:color w:val="auto"/>
          <w:highlight w:val="none"/>
          <w:u w:val="single"/>
        </w:rPr>
        <w:t>投标人完成电子投标文件上传后，电子招标投标交易平台即时向投标人发出递交回执通知。递交时间以递交回执通知载明的传输完成时间为准。</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4.2.5</w:t>
      </w:r>
      <w:r>
        <w:rPr>
          <w:rFonts w:hint="eastAsia" w:ascii="宋体" w:hAnsi="宋体" w:cs="宋体"/>
          <w:color w:val="auto"/>
          <w:spacing w:val="-2"/>
          <w:szCs w:val="21"/>
          <w:highlight w:val="none"/>
          <w:u w:val="single"/>
        </w:rPr>
        <w:t>逾</w:t>
      </w:r>
      <w:r>
        <w:rPr>
          <w:rFonts w:hint="eastAsia" w:ascii="宋体" w:hAnsi="宋体" w:cs="宋体"/>
          <w:color w:val="auto"/>
          <w:szCs w:val="21"/>
          <w:highlight w:val="none"/>
          <w:u w:val="single"/>
        </w:rPr>
        <w:t>期</w:t>
      </w:r>
      <w:r>
        <w:rPr>
          <w:rFonts w:hint="eastAsia" w:ascii="宋体" w:hAnsi="宋体" w:cs="宋体"/>
          <w:color w:val="auto"/>
          <w:spacing w:val="-2"/>
          <w:szCs w:val="21"/>
          <w:highlight w:val="none"/>
          <w:u w:val="single"/>
        </w:rPr>
        <w:t>送</w:t>
      </w:r>
      <w:r>
        <w:rPr>
          <w:rFonts w:hint="eastAsia" w:ascii="宋体" w:hAnsi="宋体" w:cs="宋体"/>
          <w:color w:val="auto"/>
          <w:szCs w:val="21"/>
          <w:highlight w:val="none"/>
          <w:u w:val="single"/>
        </w:rPr>
        <w:t>达</w:t>
      </w:r>
      <w:r>
        <w:rPr>
          <w:rFonts w:hint="eastAsia" w:ascii="宋体" w:hAnsi="宋体" w:cs="宋体"/>
          <w:color w:val="auto"/>
          <w:spacing w:val="-2"/>
          <w:szCs w:val="21"/>
          <w:highlight w:val="none"/>
          <w:u w:val="single"/>
        </w:rPr>
        <w:t>的投</w:t>
      </w:r>
      <w:r>
        <w:rPr>
          <w:rFonts w:hint="eastAsia" w:ascii="宋体" w:hAnsi="宋体" w:cs="宋体"/>
          <w:color w:val="auto"/>
          <w:szCs w:val="21"/>
          <w:highlight w:val="none"/>
          <w:u w:val="single"/>
        </w:rPr>
        <w:t>标文</w:t>
      </w:r>
      <w:r>
        <w:rPr>
          <w:rFonts w:hint="eastAsia" w:ascii="宋体" w:hAnsi="宋体" w:cs="宋体"/>
          <w:color w:val="auto"/>
          <w:spacing w:val="-2"/>
          <w:szCs w:val="21"/>
          <w:highlight w:val="none"/>
          <w:u w:val="single"/>
        </w:rPr>
        <w:t>件</w:t>
      </w:r>
      <w:r>
        <w:rPr>
          <w:rFonts w:hint="eastAsia" w:ascii="宋体" w:hAnsi="宋体" w:cs="宋体"/>
          <w:color w:val="auto"/>
          <w:szCs w:val="21"/>
          <w:highlight w:val="none"/>
          <w:u w:val="single"/>
        </w:rPr>
        <w:t>，</w:t>
      </w:r>
      <w:r>
        <w:rPr>
          <w:rFonts w:hint="eastAsia" w:ascii="宋体" w:hAnsi="宋体" w:cs="宋体"/>
          <w:color w:val="auto"/>
          <w:spacing w:val="-2"/>
          <w:szCs w:val="21"/>
          <w:highlight w:val="none"/>
          <w:u w:val="single"/>
        </w:rPr>
        <w:t>电</w:t>
      </w:r>
      <w:r>
        <w:rPr>
          <w:rFonts w:hint="eastAsia" w:ascii="宋体" w:hAnsi="宋体" w:cs="宋体"/>
          <w:color w:val="auto"/>
          <w:szCs w:val="21"/>
          <w:highlight w:val="none"/>
          <w:u w:val="single"/>
        </w:rPr>
        <w:t>子</w:t>
      </w:r>
      <w:r>
        <w:rPr>
          <w:rFonts w:hint="eastAsia" w:ascii="宋体" w:hAnsi="宋体" w:cs="宋体"/>
          <w:color w:val="auto"/>
          <w:spacing w:val="-2"/>
          <w:szCs w:val="21"/>
          <w:highlight w:val="none"/>
          <w:u w:val="single"/>
        </w:rPr>
        <w:t>招</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投</w:t>
      </w:r>
      <w:r>
        <w:rPr>
          <w:rFonts w:hint="eastAsia" w:ascii="宋体" w:hAnsi="宋体" w:cs="宋体"/>
          <w:color w:val="auto"/>
          <w:szCs w:val="21"/>
          <w:highlight w:val="none"/>
          <w:u w:val="single"/>
        </w:rPr>
        <w:t>标</w:t>
      </w:r>
      <w:r>
        <w:rPr>
          <w:rFonts w:hint="eastAsia" w:ascii="宋体" w:hAnsi="宋体" w:cs="宋体"/>
          <w:color w:val="auto"/>
          <w:spacing w:val="-2"/>
          <w:szCs w:val="21"/>
          <w:highlight w:val="none"/>
          <w:u w:val="single"/>
        </w:rPr>
        <w:t>交</w:t>
      </w:r>
      <w:r>
        <w:rPr>
          <w:rFonts w:hint="eastAsia" w:ascii="宋体" w:hAnsi="宋体" w:cs="宋体"/>
          <w:color w:val="auto"/>
          <w:szCs w:val="21"/>
          <w:highlight w:val="none"/>
          <w:u w:val="single"/>
        </w:rPr>
        <w:t>易平</w:t>
      </w:r>
      <w:r>
        <w:rPr>
          <w:rFonts w:hint="eastAsia" w:ascii="宋体" w:hAnsi="宋体" w:cs="宋体"/>
          <w:color w:val="auto"/>
          <w:spacing w:val="-2"/>
          <w:szCs w:val="21"/>
          <w:highlight w:val="none"/>
          <w:u w:val="single"/>
        </w:rPr>
        <w:t>台</w:t>
      </w:r>
      <w:r>
        <w:rPr>
          <w:rFonts w:hint="eastAsia" w:ascii="宋体" w:hAnsi="宋体" w:cs="宋体"/>
          <w:color w:val="auto"/>
          <w:szCs w:val="21"/>
          <w:highlight w:val="none"/>
          <w:u w:val="single"/>
        </w:rPr>
        <w:t>将</w:t>
      </w:r>
      <w:r>
        <w:rPr>
          <w:rFonts w:hint="eastAsia" w:ascii="宋体" w:hAnsi="宋体" w:cs="宋体"/>
          <w:color w:val="auto"/>
          <w:spacing w:val="-2"/>
          <w:szCs w:val="21"/>
          <w:highlight w:val="none"/>
          <w:u w:val="single"/>
        </w:rPr>
        <w:t>予</w:t>
      </w:r>
      <w:r>
        <w:rPr>
          <w:rFonts w:hint="eastAsia" w:ascii="宋体" w:hAnsi="宋体" w:cs="宋体"/>
          <w:color w:val="auto"/>
          <w:szCs w:val="21"/>
          <w:highlight w:val="none"/>
          <w:u w:val="single"/>
        </w:rPr>
        <w:t>以</w:t>
      </w:r>
      <w:r>
        <w:rPr>
          <w:rFonts w:hint="eastAsia" w:ascii="宋体" w:hAnsi="宋体" w:cs="宋体"/>
          <w:color w:val="auto"/>
          <w:spacing w:val="-2"/>
          <w:szCs w:val="21"/>
          <w:highlight w:val="none"/>
          <w:u w:val="single"/>
        </w:rPr>
        <w:t>拒</w:t>
      </w:r>
      <w:r>
        <w:rPr>
          <w:rFonts w:hint="eastAsia" w:ascii="宋体" w:hAnsi="宋体" w:cs="宋体"/>
          <w:color w:val="auto"/>
          <w:szCs w:val="21"/>
          <w:highlight w:val="none"/>
          <w:u w:val="single"/>
        </w:rPr>
        <w:t>收</w:t>
      </w:r>
      <w:r>
        <w:rPr>
          <w:rFonts w:hint="eastAsia" w:ascii="宋体" w:hAnsi="宋体" w:cs="宋体"/>
          <w:color w:val="auto"/>
          <w:highlight w:val="none"/>
        </w:rPr>
        <w:t>。</w:t>
      </w:r>
    </w:p>
    <w:p>
      <w:pPr>
        <w:pStyle w:val="5"/>
        <w:rPr>
          <w:rFonts w:hint="eastAsia" w:ascii="宋体" w:eastAsia="宋体" w:cs="宋体"/>
          <w:color w:val="auto"/>
          <w:highlight w:val="none"/>
        </w:rPr>
      </w:pPr>
      <w:bookmarkStart w:id="228" w:name="_Toc19593"/>
      <w:bookmarkStart w:id="229" w:name="_Toc32044"/>
      <w:r>
        <w:rPr>
          <w:rFonts w:hint="eastAsia" w:ascii="宋体" w:eastAsia="宋体" w:cs="宋体"/>
          <w:color w:val="auto"/>
          <w:highlight w:val="none"/>
        </w:rPr>
        <w:t>4.3 投标文件的修改与撤回</w:t>
      </w:r>
      <w:bookmarkEnd w:id="223"/>
      <w:bookmarkEnd w:id="224"/>
      <w:bookmarkEnd w:id="225"/>
      <w:bookmarkEnd w:id="226"/>
      <w:bookmarkEnd w:id="227"/>
      <w:bookmarkEnd w:id="228"/>
      <w:bookmarkEnd w:id="229"/>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4.3.1 在规定的投标截止时间前，投标人可以修改或撤回已递交的投标文件，但应以书面形式通知招标人。</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4.3.3 修改的内容为投标文件的组成部分。修改的投标文件应按照本章第3条、第4条规定进行编制、密封、标记和递交，并标明“修改”字样。</w:t>
      </w:r>
    </w:p>
    <w:p>
      <w:pPr>
        <w:pStyle w:val="4"/>
        <w:rPr>
          <w:rFonts w:hint="eastAsia" w:ascii="宋体" w:hAnsi="宋体" w:eastAsia="宋体" w:cs="宋体"/>
          <w:color w:val="auto"/>
          <w:highlight w:val="none"/>
        </w:rPr>
      </w:pPr>
      <w:bookmarkStart w:id="230" w:name="_Toc17781"/>
      <w:bookmarkStart w:id="231" w:name="_Toc25580"/>
      <w:bookmarkStart w:id="232" w:name="_Toc152042335"/>
      <w:bookmarkStart w:id="233" w:name="_Toc247527584"/>
      <w:bookmarkStart w:id="234" w:name="_Toc247513983"/>
      <w:bookmarkStart w:id="235" w:name="_Toc144974527"/>
      <w:bookmarkStart w:id="236" w:name="_Toc152045559"/>
      <w:r>
        <w:rPr>
          <w:rFonts w:hint="eastAsia" w:ascii="宋体" w:hAnsi="宋体" w:eastAsia="宋体" w:cs="宋体"/>
          <w:color w:val="auto"/>
          <w:highlight w:val="none"/>
        </w:rPr>
        <w:t>5. 开标</w:t>
      </w:r>
      <w:bookmarkEnd w:id="230"/>
      <w:bookmarkEnd w:id="231"/>
      <w:bookmarkEnd w:id="232"/>
      <w:bookmarkEnd w:id="233"/>
      <w:bookmarkEnd w:id="234"/>
      <w:bookmarkEnd w:id="235"/>
      <w:bookmarkEnd w:id="236"/>
    </w:p>
    <w:p>
      <w:pPr>
        <w:pStyle w:val="5"/>
        <w:rPr>
          <w:rFonts w:hint="eastAsia" w:ascii="宋体" w:eastAsia="宋体" w:cs="宋体"/>
          <w:color w:val="auto"/>
          <w:highlight w:val="none"/>
        </w:rPr>
      </w:pPr>
      <w:bookmarkStart w:id="237" w:name="_Toc19889"/>
      <w:bookmarkStart w:id="238" w:name="_Toc152045560"/>
      <w:bookmarkStart w:id="239" w:name="_Toc144974528"/>
      <w:bookmarkStart w:id="240" w:name="_Toc20557"/>
      <w:bookmarkStart w:id="241" w:name="_Toc247513984"/>
      <w:bookmarkStart w:id="242" w:name="_Toc247527585"/>
      <w:bookmarkStart w:id="243" w:name="_Toc152042336"/>
      <w:r>
        <w:rPr>
          <w:rFonts w:hint="eastAsia" w:ascii="宋体" w:eastAsia="宋体" w:cs="宋体"/>
          <w:color w:val="auto"/>
          <w:highlight w:val="none"/>
        </w:rPr>
        <w:t>5.1 开标时间和地点</w:t>
      </w:r>
      <w:bookmarkEnd w:id="237"/>
      <w:bookmarkEnd w:id="238"/>
      <w:bookmarkEnd w:id="239"/>
      <w:bookmarkEnd w:id="240"/>
      <w:bookmarkEnd w:id="241"/>
      <w:bookmarkEnd w:id="242"/>
      <w:bookmarkEnd w:id="243"/>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招标人在规定的投标截止时间（开标时间）和投标人须知前附表规定的地点公开开标，并邀请所有投标人的法定代表人或其委托代理人准时参加。</w:t>
      </w:r>
      <w:r>
        <w:rPr>
          <w:rFonts w:hint="eastAsia" w:ascii="宋体" w:hAnsi="宋体" w:cs="宋体"/>
          <w:color w:val="auto"/>
          <w:highlight w:val="none"/>
          <w:u w:val="single"/>
        </w:rPr>
        <w:t>若投标人不参加开标会的，其投标文件在开标现场的投标人（如有）、招标人代表（如有）、招标代理机构代表及交易中心代表见证下公开开启，并视同该投标人认可开标结果。</w:t>
      </w:r>
    </w:p>
    <w:p>
      <w:pPr>
        <w:pStyle w:val="5"/>
        <w:rPr>
          <w:rFonts w:hint="eastAsia" w:ascii="宋体" w:eastAsia="宋体" w:cs="宋体"/>
          <w:color w:val="auto"/>
          <w:highlight w:val="none"/>
        </w:rPr>
      </w:pPr>
      <w:bookmarkStart w:id="244" w:name="_Toc144974529"/>
      <w:bookmarkStart w:id="245" w:name="_Toc152045561"/>
      <w:bookmarkStart w:id="246" w:name="_Toc3783"/>
      <w:bookmarkStart w:id="247" w:name="_Toc19617"/>
      <w:bookmarkStart w:id="248" w:name="_Toc152042337"/>
      <w:bookmarkStart w:id="249" w:name="_Toc247527586"/>
      <w:bookmarkStart w:id="250" w:name="_Toc247513985"/>
      <w:r>
        <w:rPr>
          <w:rFonts w:hint="eastAsia" w:ascii="宋体" w:eastAsia="宋体" w:cs="宋体"/>
          <w:color w:val="auto"/>
          <w:highlight w:val="none"/>
        </w:rPr>
        <w:t>5.2 开标程序</w:t>
      </w:r>
      <w:bookmarkEnd w:id="244"/>
      <w:bookmarkEnd w:id="245"/>
      <w:bookmarkEnd w:id="246"/>
      <w:bookmarkEnd w:id="247"/>
      <w:bookmarkEnd w:id="248"/>
      <w:bookmarkEnd w:id="249"/>
      <w:bookmarkEnd w:id="250"/>
    </w:p>
    <w:p>
      <w:pPr>
        <w:spacing w:line="360" w:lineRule="auto"/>
        <w:ind w:firstLine="420" w:firstLineChars="200"/>
        <w:rPr>
          <w:rFonts w:hint="eastAsia" w:ascii="宋体" w:hAnsi="宋体"/>
          <w:color w:val="auto"/>
          <w:highlight w:val="none"/>
        </w:rPr>
      </w:pPr>
      <w:r>
        <w:rPr>
          <w:rFonts w:hint="eastAsia" w:ascii="宋体" w:hAnsi="宋体" w:cs="新宋体"/>
          <w:color w:val="auto"/>
          <w:szCs w:val="21"/>
          <w:highlight w:val="none"/>
          <w:u w:val="single"/>
        </w:rPr>
        <w:t>主持人按下列程序进行开标：按“投标人须知前附表”第5</w:t>
      </w:r>
      <w:r>
        <w:rPr>
          <w:rFonts w:ascii="宋体" w:hAnsi="宋体" w:cs="新宋体"/>
          <w:color w:val="auto"/>
          <w:szCs w:val="21"/>
          <w:highlight w:val="none"/>
          <w:u w:val="single"/>
        </w:rPr>
        <w:t>.2</w:t>
      </w:r>
      <w:r>
        <w:rPr>
          <w:rFonts w:hint="eastAsia" w:ascii="宋体" w:hAnsi="宋体" w:cs="新宋体"/>
          <w:color w:val="auto"/>
          <w:szCs w:val="21"/>
          <w:highlight w:val="none"/>
          <w:u w:val="single"/>
        </w:rPr>
        <w:t>条。</w:t>
      </w:r>
    </w:p>
    <w:p>
      <w:pPr>
        <w:pStyle w:val="5"/>
        <w:rPr>
          <w:rFonts w:hint="eastAsia" w:ascii="宋体" w:eastAsia="宋体" w:cs="宋体"/>
          <w:color w:val="auto"/>
          <w:highlight w:val="none"/>
        </w:rPr>
      </w:pPr>
      <w:bookmarkStart w:id="251" w:name="_Toc26944"/>
      <w:bookmarkStart w:id="252" w:name="_Toc26051"/>
      <w:r>
        <w:rPr>
          <w:rFonts w:hint="eastAsia" w:ascii="宋体" w:eastAsia="宋体" w:cs="宋体"/>
          <w:color w:val="auto"/>
          <w:highlight w:val="none"/>
        </w:rPr>
        <w:t>5.3 开标异议</w:t>
      </w:r>
      <w:bookmarkEnd w:id="251"/>
      <w:bookmarkEnd w:id="252"/>
    </w:p>
    <w:p>
      <w:pPr>
        <w:spacing w:line="400" w:lineRule="exact"/>
        <w:ind w:firstLine="359" w:firstLineChars="171"/>
        <w:rPr>
          <w:rFonts w:hint="eastAsia" w:ascii="宋体" w:hAnsi="宋体" w:cs="宋体"/>
          <w:color w:val="auto"/>
          <w:highlight w:val="none"/>
        </w:rPr>
      </w:pPr>
      <w:r>
        <w:rPr>
          <w:rFonts w:hint="eastAsia" w:ascii="宋体" w:hAnsi="宋体" w:cs="宋体"/>
          <w:color w:val="auto"/>
          <w:highlight w:val="none"/>
        </w:rPr>
        <w:t>投标人对开标有异议的，应当在</w:t>
      </w:r>
      <w:r>
        <w:rPr>
          <w:rFonts w:hint="eastAsia" w:ascii="宋体" w:hAnsi="宋体" w:cs="宋体"/>
          <w:color w:val="auto"/>
          <w:highlight w:val="none"/>
          <w:u w:val="single"/>
        </w:rPr>
        <w:t>交易平台规定的时间内或开标现场</w:t>
      </w:r>
      <w:r>
        <w:rPr>
          <w:rFonts w:hint="eastAsia" w:ascii="宋体" w:hAnsi="宋体" w:cs="宋体"/>
          <w:color w:val="auto"/>
          <w:highlight w:val="none"/>
        </w:rPr>
        <w:t>提出，招标人当场作出答复，并制作记录。</w:t>
      </w:r>
    </w:p>
    <w:p>
      <w:pPr>
        <w:pStyle w:val="4"/>
        <w:rPr>
          <w:rFonts w:hint="eastAsia" w:ascii="宋体" w:hAnsi="宋体" w:eastAsia="宋体" w:cs="宋体"/>
          <w:color w:val="auto"/>
          <w:highlight w:val="none"/>
        </w:rPr>
      </w:pPr>
      <w:bookmarkStart w:id="253" w:name="_Toc4553"/>
      <w:bookmarkStart w:id="254" w:name="_Toc144974530"/>
      <w:bookmarkStart w:id="255" w:name="_Toc152042338"/>
      <w:bookmarkStart w:id="256" w:name="_Toc26114"/>
      <w:bookmarkStart w:id="257" w:name="_Toc152045562"/>
      <w:bookmarkStart w:id="258" w:name="_Toc247527587"/>
      <w:bookmarkStart w:id="259" w:name="_Toc247513986"/>
      <w:r>
        <w:rPr>
          <w:rFonts w:hint="eastAsia" w:ascii="宋体" w:hAnsi="宋体" w:eastAsia="宋体" w:cs="宋体"/>
          <w:color w:val="auto"/>
          <w:highlight w:val="none"/>
        </w:rPr>
        <w:t>6. 评标</w:t>
      </w:r>
      <w:bookmarkEnd w:id="253"/>
      <w:bookmarkEnd w:id="254"/>
      <w:bookmarkEnd w:id="255"/>
      <w:bookmarkEnd w:id="256"/>
      <w:bookmarkEnd w:id="257"/>
      <w:bookmarkEnd w:id="258"/>
      <w:bookmarkEnd w:id="259"/>
    </w:p>
    <w:p>
      <w:pPr>
        <w:pStyle w:val="5"/>
        <w:rPr>
          <w:rFonts w:hint="eastAsia" w:ascii="宋体" w:eastAsia="宋体" w:cs="宋体"/>
          <w:color w:val="auto"/>
          <w:highlight w:val="none"/>
        </w:rPr>
      </w:pPr>
      <w:bookmarkStart w:id="260" w:name="_Toc8592"/>
      <w:bookmarkStart w:id="261" w:name="_Toc144974531"/>
      <w:bookmarkStart w:id="262" w:name="_Toc247513987"/>
      <w:bookmarkStart w:id="263" w:name="_Toc152045563"/>
      <w:bookmarkStart w:id="264" w:name="_Toc247527588"/>
      <w:bookmarkStart w:id="265" w:name="_Toc15286"/>
      <w:bookmarkStart w:id="266" w:name="_Toc152042339"/>
      <w:r>
        <w:rPr>
          <w:rFonts w:hint="eastAsia" w:ascii="宋体" w:eastAsia="宋体" w:cs="宋体"/>
          <w:color w:val="auto"/>
          <w:highlight w:val="none"/>
        </w:rPr>
        <w:t>6.1 评标委员会</w:t>
      </w:r>
      <w:bookmarkEnd w:id="260"/>
      <w:bookmarkEnd w:id="261"/>
      <w:bookmarkEnd w:id="262"/>
      <w:bookmarkEnd w:id="263"/>
      <w:bookmarkEnd w:id="264"/>
      <w:bookmarkEnd w:id="265"/>
      <w:bookmarkEnd w:id="266"/>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6.1.1 </w:t>
      </w:r>
      <w:r>
        <w:rPr>
          <w:rFonts w:hint="eastAsia" w:ascii="宋体" w:hAnsi="宋体"/>
          <w:color w:val="auto"/>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6.1.2 评标委员会成员有下列情形之一的，应当回避：</w:t>
      </w:r>
    </w:p>
    <w:p>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（1）投标人或投标人主要负责人的近亲属；</w:t>
      </w:r>
    </w:p>
    <w:p>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（2）项目主管部门或者行政监督部门的人员；</w:t>
      </w:r>
    </w:p>
    <w:p>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（4）曾因在招标、评标以及其他与招标投标有关活动中从事违法行为而受过行政处罚或刑事处罚的；</w:t>
      </w:r>
    </w:p>
    <w:p>
      <w:pPr>
        <w:spacing w:line="400" w:lineRule="exact"/>
        <w:ind w:firstLine="718" w:firstLineChars="342"/>
        <w:rPr>
          <w:rFonts w:hint="eastAsia" w:ascii="宋体" w:hAnsi="宋体" w:cs="宋体"/>
          <w:color w:val="auto"/>
          <w:highlight w:val="none"/>
        </w:rPr>
      </w:pPr>
      <w:r>
        <w:rPr>
          <w:rFonts w:hint="eastAsia" w:ascii="宋体" w:hAnsi="宋体" w:cs="宋体"/>
          <w:color w:val="auto"/>
          <w:highlight w:val="none"/>
        </w:rPr>
        <w:t>（5）与投标人有其他利害关系。</w:t>
      </w:r>
    </w:p>
    <w:p>
      <w:pPr>
        <w:pStyle w:val="5"/>
        <w:rPr>
          <w:rFonts w:hint="eastAsia" w:ascii="宋体" w:eastAsia="宋体" w:cs="宋体"/>
          <w:color w:val="auto"/>
          <w:highlight w:val="none"/>
        </w:rPr>
      </w:pPr>
      <w:bookmarkStart w:id="267" w:name="_Toc152045564"/>
      <w:bookmarkStart w:id="268" w:name="_Toc7258"/>
      <w:bookmarkStart w:id="269" w:name="_Toc247513988"/>
      <w:bookmarkStart w:id="270" w:name="_Toc12581"/>
      <w:bookmarkStart w:id="271" w:name="_Toc144974532"/>
      <w:bookmarkStart w:id="272" w:name="_Toc247527589"/>
      <w:bookmarkStart w:id="273" w:name="_Toc152042340"/>
      <w:r>
        <w:rPr>
          <w:rFonts w:hint="eastAsia" w:ascii="宋体" w:eastAsia="宋体" w:cs="宋体"/>
          <w:color w:val="auto"/>
          <w:highlight w:val="none"/>
        </w:rPr>
        <w:t>6.2 评标原则</w:t>
      </w:r>
      <w:bookmarkEnd w:id="267"/>
      <w:bookmarkEnd w:id="268"/>
      <w:bookmarkEnd w:id="269"/>
      <w:bookmarkEnd w:id="270"/>
      <w:bookmarkEnd w:id="271"/>
      <w:bookmarkEnd w:id="272"/>
      <w:bookmarkEnd w:id="273"/>
      <w:r>
        <w:rPr>
          <w:rFonts w:hint="eastAsia" w:ascii="宋体" w:eastAsia="宋体" w:cs="宋体"/>
          <w:color w:val="auto"/>
          <w:highlight w:val="none"/>
        </w:rPr>
        <w:tab/>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评标活动遵循公平、公正、科学和择优的原则。</w:t>
      </w:r>
    </w:p>
    <w:p>
      <w:pPr>
        <w:pStyle w:val="5"/>
        <w:rPr>
          <w:rFonts w:hint="eastAsia" w:ascii="宋体" w:eastAsia="宋体" w:cs="宋体"/>
          <w:color w:val="auto"/>
          <w:highlight w:val="none"/>
        </w:rPr>
      </w:pPr>
      <w:bookmarkStart w:id="274" w:name="_Toc6862"/>
      <w:bookmarkStart w:id="275" w:name="_Toc247527590"/>
      <w:bookmarkStart w:id="276" w:name="_Toc152042341"/>
      <w:bookmarkStart w:id="277" w:name="_Toc144974533"/>
      <w:bookmarkStart w:id="278" w:name="_Toc16289"/>
      <w:bookmarkStart w:id="279" w:name="_Toc247513989"/>
      <w:bookmarkStart w:id="280" w:name="_Toc152045565"/>
      <w:r>
        <w:rPr>
          <w:rFonts w:hint="eastAsia" w:ascii="宋体" w:eastAsia="宋体" w:cs="宋体"/>
          <w:color w:val="auto"/>
          <w:highlight w:val="none"/>
        </w:rPr>
        <w:t>6.3 评标</w:t>
      </w:r>
      <w:bookmarkEnd w:id="274"/>
      <w:bookmarkEnd w:id="275"/>
      <w:bookmarkEnd w:id="276"/>
      <w:bookmarkEnd w:id="277"/>
      <w:bookmarkEnd w:id="278"/>
      <w:bookmarkEnd w:id="279"/>
      <w:bookmarkEnd w:id="280"/>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评标委员会按照第三章“评标办法”规定的方法、评审因素、标准和程序对投标文件进行评审。第三章“评标办法”没有规定的方法、评审因素和标准，不作为评标依据。</w:t>
      </w:r>
    </w:p>
    <w:p>
      <w:pPr>
        <w:pStyle w:val="4"/>
        <w:rPr>
          <w:rFonts w:hint="eastAsia" w:ascii="宋体" w:hAnsi="宋体" w:eastAsia="宋体" w:cs="宋体"/>
          <w:color w:val="auto"/>
          <w:highlight w:val="none"/>
        </w:rPr>
      </w:pPr>
      <w:bookmarkStart w:id="281" w:name="_Toc152045566"/>
      <w:bookmarkStart w:id="282" w:name="_Toc11622"/>
      <w:bookmarkStart w:id="283" w:name="_Toc11904"/>
      <w:bookmarkStart w:id="284" w:name="_Toc144974534"/>
      <w:bookmarkStart w:id="285" w:name="_Toc247513990"/>
      <w:bookmarkStart w:id="286" w:name="_Toc152042342"/>
      <w:bookmarkStart w:id="287" w:name="_Toc247527591"/>
      <w:r>
        <w:rPr>
          <w:rFonts w:hint="eastAsia" w:ascii="宋体" w:hAnsi="宋体" w:eastAsia="宋体" w:cs="宋体"/>
          <w:color w:val="auto"/>
          <w:highlight w:val="none"/>
        </w:rPr>
        <w:t>7. 合同授予</w:t>
      </w:r>
      <w:bookmarkEnd w:id="281"/>
      <w:bookmarkEnd w:id="282"/>
      <w:bookmarkEnd w:id="283"/>
      <w:bookmarkEnd w:id="284"/>
      <w:bookmarkEnd w:id="285"/>
      <w:bookmarkEnd w:id="286"/>
      <w:bookmarkEnd w:id="287"/>
    </w:p>
    <w:p>
      <w:pPr>
        <w:pStyle w:val="5"/>
        <w:rPr>
          <w:rFonts w:hint="eastAsia" w:ascii="宋体" w:eastAsia="宋体" w:cs="宋体"/>
          <w:color w:val="auto"/>
          <w:highlight w:val="none"/>
        </w:rPr>
      </w:pPr>
      <w:bookmarkStart w:id="288" w:name="_Toc247513991"/>
      <w:bookmarkStart w:id="289" w:name="_Toc152045567"/>
      <w:bookmarkStart w:id="290" w:name="_Toc31858"/>
      <w:bookmarkStart w:id="291" w:name="_Toc247527592"/>
      <w:bookmarkStart w:id="292" w:name="_Toc144974535"/>
      <w:bookmarkStart w:id="293" w:name="_Toc152042343"/>
      <w:bookmarkStart w:id="294" w:name="_Toc7899"/>
      <w:r>
        <w:rPr>
          <w:rFonts w:hint="eastAsia" w:ascii="宋体" w:eastAsia="宋体" w:cs="宋体"/>
          <w:color w:val="auto"/>
          <w:highlight w:val="none"/>
        </w:rPr>
        <w:t>7.1 定标方式</w:t>
      </w:r>
      <w:bookmarkEnd w:id="288"/>
      <w:bookmarkEnd w:id="289"/>
      <w:bookmarkEnd w:id="290"/>
      <w:bookmarkEnd w:id="291"/>
      <w:bookmarkEnd w:id="292"/>
      <w:bookmarkEnd w:id="293"/>
      <w:bookmarkEnd w:id="294"/>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7.1.1除投标人须知前附表规定评标委员会直接确定中标人外，招标人依据评标委员会推荐的中标候选人确定中标人，评标委员会推荐中标候选人的人数见投标人须知前附表。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7.1.2 依法必须进行公开招标的项目，招标人应当确定排名第一的中标候选人为中标人。</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7.1.3 排名第一的中标候选人放弃中标、或被取消中标资格，或因不可抗力提出不能履行合同，或者招标文件规定应当提交履约担保而在规定的期限内未能提交的，</w:t>
      </w:r>
      <w:r>
        <w:rPr>
          <w:rFonts w:hint="eastAsia" w:ascii="宋体" w:hAnsi="宋体" w:cs="宋体"/>
          <w:color w:val="auto"/>
          <w:szCs w:val="21"/>
          <w:highlight w:val="none"/>
          <w:u w:val="single"/>
        </w:rPr>
        <w:t>或者被查实存在影响中标结果的违法行为等情形，不符合中标条件的，</w:t>
      </w:r>
      <w:r>
        <w:rPr>
          <w:rFonts w:hint="eastAsia" w:ascii="宋体" w:hAnsi="宋体" w:cs="宋体"/>
          <w:color w:val="auto"/>
          <w:highlight w:val="none"/>
          <w:u w:val="single"/>
        </w:rPr>
        <w:t>招标人可以按照中标候选人顺序依次上升替补定标，以此类推，也可以重新招标。</w:t>
      </w:r>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7.1.4 若本项目所有中标候选人都不能成为中标人，则本项目招标失败，招标人依法重新招标。</w:t>
      </w:r>
    </w:p>
    <w:p>
      <w:pPr>
        <w:pStyle w:val="5"/>
        <w:rPr>
          <w:rFonts w:hint="eastAsia" w:ascii="宋体" w:eastAsia="宋体" w:cs="宋体"/>
          <w:color w:val="auto"/>
          <w:highlight w:val="none"/>
        </w:rPr>
      </w:pPr>
      <w:bookmarkStart w:id="295" w:name="_Toc13071"/>
      <w:bookmarkStart w:id="296" w:name="_Toc10439"/>
      <w:r>
        <w:rPr>
          <w:rFonts w:hint="eastAsia" w:ascii="宋体" w:eastAsia="宋体" w:cs="宋体"/>
          <w:color w:val="auto"/>
          <w:highlight w:val="none"/>
        </w:rPr>
        <w:t>7.2 中标候选人公示</w:t>
      </w:r>
      <w:bookmarkEnd w:id="295"/>
      <w:bookmarkEnd w:id="296"/>
    </w:p>
    <w:p>
      <w:pPr>
        <w:spacing w:line="400" w:lineRule="exact"/>
        <w:ind w:firstLine="420" w:firstLineChars="200"/>
        <w:rPr>
          <w:rFonts w:hint="eastAsia" w:ascii="宋体" w:hAnsi="宋体" w:cs="宋体"/>
          <w:color w:val="auto"/>
          <w:highlight w:val="none"/>
          <w:u w:val="single"/>
        </w:rPr>
      </w:pPr>
      <w:bookmarkStart w:id="297" w:name="_Toc152045568"/>
      <w:bookmarkStart w:id="298" w:name="_Toc152042344"/>
      <w:bookmarkStart w:id="299" w:name="_Toc247513992"/>
      <w:bookmarkStart w:id="300" w:name="_Toc144974536"/>
      <w:bookmarkStart w:id="301" w:name="_Toc247527593"/>
      <w:r>
        <w:rPr>
          <w:rFonts w:hint="eastAsia" w:ascii="宋体" w:hAnsi="宋体" w:cs="宋体"/>
          <w:color w:val="auto"/>
          <w:highlight w:val="none"/>
        </w:rPr>
        <w:t>招标人在投标人须知前附表规定的媒介公示中标候选人。</w:t>
      </w:r>
      <w:r>
        <w:rPr>
          <w:rFonts w:hint="eastAsia" w:ascii="宋体" w:hAnsi="宋体" w:cs="宋体"/>
          <w:color w:val="auto"/>
          <w:highlight w:val="none"/>
          <w:u w:val="single"/>
        </w:rPr>
        <w:t>公示时间为3天，公示期间的最后1天应当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highlight w:val="none"/>
          <w:u w:val="single"/>
        </w:rPr>
        <w:t>。</w:t>
      </w:r>
    </w:p>
    <w:p>
      <w:pPr>
        <w:pStyle w:val="5"/>
        <w:rPr>
          <w:rFonts w:hint="eastAsia" w:ascii="宋体" w:eastAsia="宋体" w:cs="宋体"/>
          <w:color w:val="auto"/>
          <w:highlight w:val="none"/>
        </w:rPr>
      </w:pPr>
      <w:bookmarkStart w:id="302" w:name="_Toc12824"/>
      <w:bookmarkStart w:id="303" w:name="_Toc3472"/>
      <w:r>
        <w:rPr>
          <w:rFonts w:hint="eastAsia" w:ascii="宋体" w:eastAsia="宋体" w:cs="宋体"/>
          <w:color w:val="auto"/>
          <w:highlight w:val="none"/>
        </w:rPr>
        <w:t>7.3 中标通知</w:t>
      </w:r>
      <w:bookmarkEnd w:id="297"/>
      <w:bookmarkEnd w:id="298"/>
      <w:bookmarkEnd w:id="299"/>
      <w:bookmarkEnd w:id="300"/>
      <w:bookmarkEnd w:id="301"/>
      <w:bookmarkEnd w:id="302"/>
      <w:bookmarkEnd w:id="303"/>
    </w:p>
    <w:p>
      <w:pPr>
        <w:spacing w:line="400" w:lineRule="exact"/>
        <w:ind w:firstLine="420" w:firstLineChars="200"/>
        <w:rPr>
          <w:rFonts w:hint="eastAsia" w:ascii="宋体" w:hAnsi="宋体" w:cs="宋体"/>
          <w:color w:val="auto"/>
          <w:highlight w:val="none"/>
        </w:rPr>
      </w:pPr>
      <w:bookmarkStart w:id="304" w:name="_Toc247527594"/>
      <w:bookmarkStart w:id="305" w:name="_Toc152042345"/>
      <w:bookmarkStart w:id="306" w:name="_Toc152045569"/>
      <w:bookmarkStart w:id="307" w:name="_Toc247513993"/>
      <w:bookmarkStart w:id="308" w:name="_Toc144974537"/>
      <w:r>
        <w:rPr>
          <w:rFonts w:hint="eastAsia" w:ascii="宋体" w:hAnsi="宋体" w:cs="宋体"/>
          <w:color w:val="auto"/>
          <w:highlight w:val="none"/>
        </w:rPr>
        <w:t>在本章第3.3款规定的投标有效期内，招标人以书面形式向中标人发出中标通知书，同时将中标结果通知未中标的投标人。</w:t>
      </w:r>
    </w:p>
    <w:p>
      <w:pPr>
        <w:pStyle w:val="5"/>
        <w:rPr>
          <w:rFonts w:hint="eastAsia" w:ascii="宋体" w:eastAsia="宋体" w:cs="宋体"/>
          <w:color w:val="auto"/>
          <w:highlight w:val="none"/>
        </w:rPr>
      </w:pPr>
      <w:bookmarkStart w:id="309" w:name="_Toc16203"/>
      <w:bookmarkStart w:id="310" w:name="_Toc32705"/>
      <w:r>
        <w:rPr>
          <w:rFonts w:hint="eastAsia" w:ascii="宋体" w:eastAsia="宋体" w:cs="宋体"/>
          <w:color w:val="auto"/>
          <w:highlight w:val="none"/>
        </w:rPr>
        <w:t>7.4 履约担保</w:t>
      </w:r>
      <w:bookmarkEnd w:id="304"/>
      <w:bookmarkEnd w:id="305"/>
      <w:bookmarkEnd w:id="306"/>
      <w:bookmarkEnd w:id="307"/>
      <w:bookmarkEnd w:id="308"/>
      <w:bookmarkEnd w:id="309"/>
      <w:bookmarkEnd w:id="310"/>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主办方的名义提交。</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7.4.2 中标人不能按本章第7.4.1项要求提交履约担保的，视为放弃中标，其</w:t>
      </w:r>
      <w:r>
        <w:rPr>
          <w:rFonts w:hint="eastAsia" w:ascii="宋体" w:hAnsi="宋体" w:cs="宋体"/>
          <w:strike/>
          <w:color w:val="auto"/>
          <w:highlight w:val="none"/>
        </w:rPr>
        <w:t>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w:t>
      </w:r>
      <w:r>
        <w:rPr>
          <w:rFonts w:hint="eastAsia" w:ascii="宋体" w:hAnsi="宋体" w:cs="宋体"/>
          <w:color w:val="auto"/>
          <w:highlight w:val="none"/>
        </w:rPr>
        <w:t>的，中标人还应当</w:t>
      </w:r>
      <w:r>
        <w:rPr>
          <w:rFonts w:hint="eastAsia" w:ascii="宋体" w:hAnsi="宋体" w:cs="宋体"/>
          <w:strike/>
          <w:color w:val="auto"/>
          <w:highlight w:val="none"/>
        </w:rPr>
        <w:t>对超过部分</w:t>
      </w:r>
      <w:r>
        <w:rPr>
          <w:rFonts w:hint="eastAsia" w:ascii="宋体" w:hAnsi="宋体" w:cs="宋体"/>
          <w:color w:val="auto"/>
          <w:highlight w:val="none"/>
        </w:rPr>
        <w:t>予以赔偿。</w:t>
      </w:r>
    </w:p>
    <w:p>
      <w:pPr>
        <w:pStyle w:val="5"/>
        <w:rPr>
          <w:rFonts w:hint="eastAsia" w:ascii="宋体" w:eastAsia="宋体" w:cs="宋体"/>
          <w:color w:val="auto"/>
          <w:highlight w:val="none"/>
        </w:rPr>
      </w:pPr>
      <w:bookmarkStart w:id="311" w:name="_Toc29062"/>
      <w:bookmarkStart w:id="312" w:name="_Toc32105"/>
      <w:bookmarkStart w:id="313" w:name="_Toc144974538"/>
      <w:bookmarkStart w:id="314" w:name="_Toc152042346"/>
      <w:bookmarkStart w:id="315" w:name="_Toc247527595"/>
      <w:bookmarkStart w:id="316" w:name="_Toc247513994"/>
      <w:bookmarkStart w:id="317" w:name="_Toc152045570"/>
      <w:r>
        <w:rPr>
          <w:rFonts w:hint="eastAsia" w:ascii="宋体" w:eastAsia="宋体" w:cs="宋体"/>
          <w:color w:val="auto"/>
          <w:highlight w:val="none"/>
        </w:rPr>
        <w:t>7.5 签订合同</w:t>
      </w:r>
      <w:bookmarkEnd w:id="311"/>
      <w:bookmarkEnd w:id="312"/>
      <w:bookmarkEnd w:id="313"/>
      <w:bookmarkEnd w:id="314"/>
      <w:bookmarkEnd w:id="315"/>
      <w:bookmarkEnd w:id="316"/>
      <w:bookmarkEnd w:id="317"/>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strike/>
          <w:color w:val="auto"/>
          <w:highlight w:val="none"/>
        </w:rPr>
        <w:t>其投标保证金不予退还</w:t>
      </w:r>
      <w:r>
        <w:rPr>
          <w:rFonts w:hint="eastAsia" w:ascii="宋体" w:hAnsi="宋体" w:cs="宋体"/>
          <w:color w:val="auto"/>
          <w:highlight w:val="none"/>
        </w:rPr>
        <w:t>；给招标人造成的损失</w:t>
      </w:r>
      <w:r>
        <w:rPr>
          <w:rFonts w:hint="eastAsia" w:ascii="宋体" w:hAnsi="宋体" w:cs="宋体"/>
          <w:strike/>
          <w:color w:val="auto"/>
          <w:highlight w:val="none"/>
        </w:rPr>
        <w:t>超过投标保证金数额的</w:t>
      </w:r>
      <w:r>
        <w:rPr>
          <w:rFonts w:hint="eastAsia" w:ascii="宋体" w:hAnsi="宋体" w:cs="宋体"/>
          <w:color w:val="auto"/>
          <w:highlight w:val="none"/>
        </w:rPr>
        <w:t xml:space="preserve">，中标人还应当对超过部分予以赔偿。 </w:t>
      </w:r>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7.5.2 发出中标通知书后，招标人无正当理由拒签合同的，</w:t>
      </w:r>
      <w:r>
        <w:rPr>
          <w:rFonts w:hint="eastAsia" w:ascii="宋体" w:hAnsi="宋体" w:cs="宋体"/>
          <w:strike/>
          <w:color w:val="auto"/>
          <w:highlight w:val="none"/>
        </w:rPr>
        <w:t>招标人向中标人退还投标保证金</w:t>
      </w:r>
      <w:r>
        <w:rPr>
          <w:rFonts w:hint="eastAsia" w:ascii="宋体" w:hAnsi="宋体" w:cs="宋体"/>
          <w:color w:val="auto"/>
          <w:highlight w:val="none"/>
        </w:rPr>
        <w:t xml:space="preserve">；给中标人造成损失的，还应当赔偿损失。 </w:t>
      </w:r>
    </w:p>
    <w:p>
      <w:pPr>
        <w:pStyle w:val="4"/>
        <w:rPr>
          <w:rFonts w:hint="eastAsia" w:ascii="宋体" w:hAnsi="宋体" w:eastAsia="宋体" w:cs="宋体"/>
          <w:color w:val="auto"/>
          <w:highlight w:val="none"/>
        </w:rPr>
      </w:pPr>
      <w:bookmarkStart w:id="318" w:name="_Toc152045571"/>
      <w:bookmarkStart w:id="319" w:name="_Toc247527596"/>
      <w:bookmarkStart w:id="320" w:name="_Toc152042347"/>
      <w:bookmarkStart w:id="321" w:name="_Toc247513995"/>
      <w:bookmarkStart w:id="322" w:name="_Toc144974539"/>
      <w:bookmarkStart w:id="323" w:name="_Toc3454"/>
      <w:bookmarkStart w:id="324" w:name="_Toc15293"/>
      <w:r>
        <w:rPr>
          <w:rFonts w:hint="eastAsia" w:ascii="宋体" w:hAnsi="宋体" w:eastAsia="宋体" w:cs="宋体"/>
          <w:color w:val="auto"/>
          <w:highlight w:val="none"/>
        </w:rPr>
        <w:t>8.</w:t>
      </w:r>
      <w:bookmarkEnd w:id="318"/>
      <w:bookmarkEnd w:id="319"/>
      <w:bookmarkEnd w:id="320"/>
      <w:bookmarkEnd w:id="321"/>
      <w:bookmarkEnd w:id="322"/>
      <w:bookmarkStart w:id="325" w:name="_Toc144974542"/>
      <w:bookmarkStart w:id="326" w:name="_Toc152045574"/>
      <w:bookmarkStart w:id="327" w:name="_Toc152042350"/>
      <w:bookmarkStart w:id="328" w:name="_Toc247513998"/>
      <w:bookmarkStart w:id="329" w:name="_Toc247527599"/>
      <w:r>
        <w:rPr>
          <w:rFonts w:hint="eastAsia" w:ascii="宋体" w:hAnsi="宋体" w:eastAsia="宋体" w:cs="宋体"/>
          <w:color w:val="auto"/>
          <w:highlight w:val="none"/>
        </w:rPr>
        <w:t xml:space="preserve"> 纪律和监督</w:t>
      </w:r>
      <w:bookmarkEnd w:id="323"/>
      <w:bookmarkEnd w:id="324"/>
      <w:bookmarkEnd w:id="325"/>
      <w:bookmarkEnd w:id="326"/>
      <w:bookmarkEnd w:id="327"/>
      <w:bookmarkEnd w:id="328"/>
      <w:bookmarkEnd w:id="329"/>
    </w:p>
    <w:p>
      <w:pPr>
        <w:pStyle w:val="5"/>
        <w:rPr>
          <w:rFonts w:hint="eastAsia" w:ascii="宋体" w:eastAsia="宋体" w:cs="宋体"/>
          <w:color w:val="auto"/>
          <w:highlight w:val="none"/>
        </w:rPr>
      </w:pPr>
      <w:bookmarkStart w:id="330" w:name="_Toc144974543"/>
      <w:bookmarkStart w:id="331" w:name="_Toc247527600"/>
      <w:bookmarkStart w:id="332" w:name="_Toc152045575"/>
      <w:bookmarkStart w:id="333" w:name="_Toc247513999"/>
      <w:bookmarkStart w:id="334" w:name="_Toc18127"/>
      <w:bookmarkStart w:id="335" w:name="_Toc22859"/>
      <w:bookmarkStart w:id="336" w:name="_Toc152042351"/>
      <w:r>
        <w:rPr>
          <w:rFonts w:hint="eastAsia" w:ascii="宋体" w:eastAsia="宋体" w:cs="宋体"/>
          <w:color w:val="auto"/>
          <w:highlight w:val="none"/>
        </w:rPr>
        <w:t>8.1 对招标人的纪律要求</w:t>
      </w:r>
      <w:bookmarkEnd w:id="330"/>
      <w:bookmarkEnd w:id="331"/>
      <w:bookmarkEnd w:id="332"/>
      <w:bookmarkEnd w:id="333"/>
      <w:bookmarkEnd w:id="334"/>
      <w:bookmarkEnd w:id="335"/>
      <w:bookmarkEnd w:id="336"/>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pPr>
        <w:pStyle w:val="5"/>
        <w:rPr>
          <w:rFonts w:hint="eastAsia" w:ascii="宋体" w:eastAsia="宋体" w:cs="宋体"/>
          <w:color w:val="auto"/>
          <w:highlight w:val="none"/>
        </w:rPr>
      </w:pPr>
      <w:bookmarkStart w:id="337" w:name="_Toc247514000"/>
      <w:bookmarkStart w:id="338" w:name="_Toc15285"/>
      <w:bookmarkStart w:id="339" w:name="_Toc152045576"/>
      <w:bookmarkStart w:id="340" w:name="_Toc144974544"/>
      <w:bookmarkStart w:id="341" w:name="_Toc17310"/>
      <w:bookmarkStart w:id="342" w:name="_Toc247527601"/>
      <w:bookmarkStart w:id="343" w:name="_Toc152042352"/>
      <w:r>
        <w:rPr>
          <w:rFonts w:hint="eastAsia" w:ascii="宋体" w:eastAsia="宋体" w:cs="宋体"/>
          <w:color w:val="auto"/>
          <w:highlight w:val="none"/>
        </w:rPr>
        <w:t>8.2 对投标人的纪律要求</w:t>
      </w:r>
      <w:bookmarkEnd w:id="337"/>
      <w:bookmarkEnd w:id="338"/>
      <w:bookmarkEnd w:id="339"/>
      <w:bookmarkEnd w:id="340"/>
      <w:bookmarkEnd w:id="341"/>
      <w:bookmarkEnd w:id="342"/>
      <w:bookmarkEnd w:id="343"/>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rPr>
          <w:rFonts w:hint="eastAsia" w:ascii="宋体" w:eastAsia="宋体" w:cs="宋体"/>
          <w:color w:val="auto"/>
          <w:highlight w:val="none"/>
        </w:rPr>
      </w:pPr>
      <w:bookmarkStart w:id="344" w:name="_Toc152042353"/>
      <w:bookmarkStart w:id="345" w:name="_Toc152045577"/>
      <w:bookmarkStart w:id="346" w:name="_Toc247527602"/>
      <w:bookmarkStart w:id="347" w:name="_Toc21803"/>
      <w:bookmarkStart w:id="348" w:name="_Toc247514001"/>
      <w:bookmarkStart w:id="349" w:name="_Toc8598"/>
      <w:bookmarkStart w:id="350" w:name="_Toc144974545"/>
      <w:r>
        <w:rPr>
          <w:rFonts w:hint="eastAsia" w:ascii="宋体" w:eastAsia="宋体" w:cs="宋体"/>
          <w:color w:val="auto"/>
          <w:highlight w:val="none"/>
        </w:rPr>
        <w:t>8.3 对评标委员会成员的纪律要求</w:t>
      </w:r>
      <w:bookmarkEnd w:id="344"/>
      <w:bookmarkEnd w:id="345"/>
      <w:bookmarkEnd w:id="346"/>
      <w:bookmarkEnd w:id="347"/>
      <w:bookmarkEnd w:id="348"/>
      <w:bookmarkEnd w:id="349"/>
      <w:bookmarkEnd w:id="350"/>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rFonts w:hint="eastAsia" w:ascii="宋体" w:eastAsia="宋体" w:cs="宋体"/>
          <w:color w:val="auto"/>
          <w:highlight w:val="none"/>
        </w:rPr>
      </w:pPr>
      <w:bookmarkStart w:id="351" w:name="_Toc152045578"/>
      <w:bookmarkStart w:id="352" w:name="_Toc247514002"/>
      <w:bookmarkStart w:id="353" w:name="_Toc12506"/>
      <w:bookmarkStart w:id="354" w:name="_Toc152042354"/>
      <w:bookmarkStart w:id="355" w:name="_Toc24179"/>
      <w:bookmarkStart w:id="356" w:name="_Toc247527603"/>
      <w:bookmarkStart w:id="357" w:name="_Toc144974546"/>
      <w:r>
        <w:rPr>
          <w:rFonts w:hint="eastAsia" w:ascii="宋体" w:eastAsia="宋体" w:cs="宋体"/>
          <w:color w:val="auto"/>
          <w:highlight w:val="none"/>
        </w:rPr>
        <w:t>8.4 对与评标活动有关的工作人员的纪律要求</w:t>
      </w:r>
      <w:bookmarkEnd w:id="351"/>
      <w:bookmarkEnd w:id="352"/>
      <w:bookmarkEnd w:id="353"/>
      <w:bookmarkEnd w:id="354"/>
      <w:bookmarkEnd w:id="355"/>
      <w:bookmarkEnd w:id="356"/>
    </w:p>
    <w:p>
      <w:pPr>
        <w:spacing w:line="400" w:lineRule="exact"/>
        <w:ind w:firstLine="420" w:firstLineChars="200"/>
        <w:rPr>
          <w:rFonts w:hint="eastAsia" w:ascii="宋体" w:hAnsi="宋体" w:cs="宋体"/>
          <w:color w:val="auto"/>
          <w:highlight w:val="none"/>
        </w:rPr>
      </w:pPr>
      <w:bookmarkStart w:id="358" w:name="_Toc152042355"/>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8"/>
    </w:p>
    <w:p>
      <w:pPr>
        <w:pStyle w:val="5"/>
        <w:rPr>
          <w:rFonts w:hint="eastAsia" w:ascii="宋体" w:eastAsia="宋体" w:cs="宋体"/>
          <w:color w:val="auto"/>
          <w:highlight w:val="none"/>
        </w:rPr>
      </w:pPr>
      <w:bookmarkStart w:id="359" w:name="_Toc9992"/>
      <w:bookmarkStart w:id="360" w:name="_Toc152042356"/>
      <w:bookmarkStart w:id="361" w:name="_Toc247514003"/>
      <w:bookmarkStart w:id="362" w:name="_Toc26562"/>
      <w:bookmarkStart w:id="363" w:name="_Toc152045579"/>
      <w:bookmarkStart w:id="364" w:name="_Toc247527604"/>
      <w:r>
        <w:rPr>
          <w:rFonts w:hint="eastAsia" w:ascii="宋体" w:eastAsia="宋体" w:cs="宋体"/>
          <w:color w:val="auto"/>
          <w:highlight w:val="none"/>
        </w:rPr>
        <w:t>8.5 投诉</w:t>
      </w:r>
      <w:bookmarkEnd w:id="357"/>
      <w:bookmarkEnd w:id="359"/>
      <w:bookmarkEnd w:id="360"/>
      <w:bookmarkEnd w:id="361"/>
      <w:bookmarkEnd w:id="362"/>
      <w:bookmarkEnd w:id="363"/>
      <w:bookmarkEnd w:id="364"/>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pPr>
        <w:pStyle w:val="4"/>
        <w:rPr>
          <w:rFonts w:hint="eastAsia" w:ascii="宋体" w:hAnsi="宋体" w:eastAsia="宋体" w:cs="宋体"/>
          <w:color w:val="auto"/>
          <w:highlight w:val="none"/>
        </w:rPr>
      </w:pPr>
      <w:bookmarkStart w:id="365" w:name="_Toc152042357"/>
      <w:bookmarkStart w:id="366" w:name="_Toc144974547"/>
      <w:bookmarkStart w:id="367" w:name="_Toc25723"/>
      <w:bookmarkStart w:id="368" w:name="_Toc247514004"/>
      <w:bookmarkStart w:id="369" w:name="_Toc152045580"/>
      <w:bookmarkStart w:id="370" w:name="_Toc247527605"/>
      <w:bookmarkStart w:id="371" w:name="_Toc32659"/>
      <w:r>
        <w:rPr>
          <w:rFonts w:hint="eastAsia" w:ascii="宋体" w:hAnsi="宋体" w:eastAsia="宋体" w:cs="宋体"/>
          <w:color w:val="auto"/>
          <w:highlight w:val="none"/>
        </w:rPr>
        <w:t>9. 需要补充的其他内容</w:t>
      </w:r>
      <w:bookmarkEnd w:id="365"/>
      <w:bookmarkEnd w:id="366"/>
      <w:bookmarkEnd w:id="367"/>
      <w:bookmarkEnd w:id="368"/>
      <w:bookmarkEnd w:id="369"/>
      <w:bookmarkEnd w:id="370"/>
      <w:bookmarkEnd w:id="371"/>
    </w:p>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需要补充的其他内容：见投标人须知前附表。</w:t>
      </w:r>
    </w:p>
    <w:p>
      <w:pPr>
        <w:pStyle w:val="4"/>
        <w:rPr>
          <w:rFonts w:hint="eastAsia" w:ascii="宋体" w:hAnsi="宋体" w:eastAsia="宋体" w:cs="宋体"/>
          <w:color w:val="auto"/>
          <w:highlight w:val="none"/>
        </w:rPr>
      </w:pPr>
      <w:bookmarkStart w:id="372" w:name="_Toc22808"/>
      <w:bookmarkStart w:id="373" w:name="_Toc661"/>
      <w:r>
        <w:rPr>
          <w:rFonts w:hint="eastAsia" w:ascii="宋体" w:hAnsi="宋体" w:eastAsia="宋体" w:cs="宋体"/>
          <w:color w:val="auto"/>
          <w:highlight w:val="none"/>
        </w:rPr>
        <w:t>10. 电子招标投标</w:t>
      </w:r>
      <w:bookmarkEnd w:id="372"/>
      <w:bookmarkEnd w:id="373"/>
    </w:p>
    <w:p>
      <w:pPr>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采用电子招标投标，对投标文件的编制、加密和标记、递交、开标、评标等具体要求，见投标人须知前附表。</w:t>
      </w:r>
    </w:p>
    <w:p>
      <w:pPr>
        <w:spacing w:line="400" w:lineRule="exact"/>
        <w:ind w:firstLine="420" w:firstLineChars="200"/>
        <w:rPr>
          <w:rFonts w:hint="eastAsia" w:ascii="宋体" w:hAnsi="宋体" w:cs="宋体"/>
          <w:color w:val="auto"/>
          <w:highlight w:val="none"/>
          <w:u w:val="single"/>
        </w:rPr>
        <w:sectPr>
          <w:pgSz w:w="11906" w:h="16838"/>
          <w:pgMar w:top="1304" w:right="1304" w:bottom="1304" w:left="1304" w:header="851" w:footer="992" w:gutter="0"/>
          <w:cols w:space="720" w:num="1"/>
          <w:docGrid w:type="lines" w:linePitch="312" w:charSpace="0"/>
        </w:sectPr>
      </w:pPr>
    </w:p>
    <w:p>
      <w:pPr>
        <w:pStyle w:val="5"/>
        <w:spacing w:before="0"/>
        <w:ind w:firstLine="0" w:firstLineChars="0"/>
        <w:rPr>
          <w:rFonts w:hint="eastAsia" w:ascii="宋体" w:eastAsia="宋体" w:cs="宋体"/>
          <w:color w:val="auto"/>
          <w:highlight w:val="none"/>
        </w:rPr>
      </w:pPr>
      <w:bookmarkStart w:id="374" w:name="_Toc10524"/>
      <w:bookmarkStart w:id="375" w:name="_Toc3477"/>
      <w:r>
        <w:rPr>
          <w:rFonts w:hint="eastAsia" w:ascii="宋体" w:eastAsia="宋体" w:cs="宋体"/>
          <w:color w:val="auto"/>
          <w:highlight w:val="none"/>
        </w:rPr>
        <w:t>附件一：</w:t>
      </w:r>
      <w:r>
        <w:rPr>
          <w:rFonts w:hint="eastAsia" w:ascii="宋体" w:eastAsia="宋体" w:cs="宋体"/>
          <w:color w:val="auto"/>
          <w:highlight w:val="none"/>
          <w:u w:val="single"/>
        </w:rPr>
        <w:t>开标记录表</w:t>
      </w:r>
      <w:bookmarkEnd w:id="374"/>
      <w:bookmarkEnd w:id="375"/>
    </w:p>
    <w:p>
      <w:pPr>
        <w:spacing w:line="40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开标记录表（以交易中心系统为准）</w:t>
      </w:r>
    </w:p>
    <w:p>
      <w:pPr>
        <w:spacing w:line="400" w:lineRule="exact"/>
        <w:ind w:right="420"/>
        <w:jc w:val="left"/>
        <w:rPr>
          <w:rFonts w:hint="eastAsia" w:ascii="宋体" w:hAnsi="宋体" w:cs="宋体"/>
          <w:color w:val="auto"/>
          <w:szCs w:val="21"/>
          <w:highlight w:val="none"/>
        </w:rPr>
      </w:pPr>
      <w:r>
        <w:rPr>
          <w:rFonts w:hint="eastAsia" w:ascii="宋体" w:hAnsi="宋体" w:cs="宋体"/>
          <w:color w:val="auto"/>
          <w:szCs w:val="21"/>
          <w:highlight w:val="none"/>
        </w:rPr>
        <w:t>项目编号：       项目名称：</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p>
    <w:p>
      <w:pPr>
        <w:spacing w:line="400" w:lineRule="exact"/>
        <w:ind w:right="420"/>
        <w:jc w:val="left"/>
        <w:rPr>
          <w:rFonts w:hint="eastAsia" w:ascii="宋体" w:hAnsi="宋体" w:cs="宋体"/>
          <w:color w:val="auto"/>
          <w:szCs w:val="21"/>
          <w:highlight w:val="none"/>
        </w:rPr>
      </w:pPr>
      <w:r>
        <w:rPr>
          <w:rFonts w:hint="eastAsia" w:ascii="宋体" w:hAnsi="宋体" w:cs="宋体"/>
          <w:color w:val="auto"/>
          <w:szCs w:val="21"/>
          <w:highlight w:val="none"/>
        </w:rPr>
        <w:t>最高投标限价(元)：</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ab/>
      </w:r>
    </w:p>
    <w:tbl>
      <w:tblPr>
        <w:tblStyle w:val="40"/>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993"/>
        <w:gridCol w:w="992"/>
        <w:gridCol w:w="1134"/>
        <w:gridCol w:w="709"/>
        <w:gridCol w:w="1134"/>
        <w:gridCol w:w="1275"/>
        <w:gridCol w:w="1418"/>
        <w:gridCol w:w="1417"/>
        <w:gridCol w:w="1418"/>
        <w:gridCol w:w="1166"/>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投标文件递交情况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投标文件解密情况</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投标担保递交情况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1418"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施工负责人</w:t>
            </w:r>
          </w:p>
        </w:tc>
        <w:tc>
          <w:tcPr>
            <w:tcW w:w="1417"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设计负责人</w:t>
            </w:r>
          </w:p>
        </w:tc>
        <w:tc>
          <w:tcPr>
            <w:tcW w:w="1418"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专职安全员</w:t>
            </w:r>
          </w:p>
        </w:tc>
        <w:tc>
          <w:tcPr>
            <w:tcW w:w="1166"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投标总报价（元）</w:t>
            </w:r>
          </w:p>
        </w:tc>
        <w:tc>
          <w:tcPr>
            <w:tcW w:w="895" w:type="dxa"/>
            <w:tcBorders>
              <w:top w:val="single" w:color="auto" w:sz="4" w:space="0"/>
              <w:left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投标人签名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ascii="宋体" w:hAnsi="宋体" w:cs="宋体"/>
                <w:color w:val="auto"/>
                <w:szCs w:val="21"/>
                <w:highlight w:val="none"/>
              </w:rPr>
            </w:pPr>
          </w:p>
        </w:tc>
        <w:tc>
          <w:tcPr>
            <w:tcW w:w="89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ascii="宋体" w:hAnsi="宋体" w:cs="宋体"/>
                <w:color w:val="auto"/>
                <w:szCs w:val="21"/>
                <w:highlight w:val="none"/>
              </w:rPr>
            </w:pPr>
          </w:p>
        </w:tc>
      </w:tr>
    </w:tbl>
    <w:p>
      <w:pPr>
        <w:spacing w:line="400" w:lineRule="exact"/>
        <w:ind w:right="420"/>
        <w:jc w:val="left"/>
        <w:rPr>
          <w:rFonts w:hint="eastAsia" w:ascii="宋体" w:hAnsi="宋体" w:cs="宋体"/>
          <w:color w:val="auto"/>
          <w:szCs w:val="21"/>
          <w:highlight w:val="none"/>
        </w:rPr>
      </w:pPr>
    </w:p>
    <w:p>
      <w:pPr>
        <w:spacing w:line="620" w:lineRule="exact"/>
        <w:rPr>
          <w:rFonts w:hint="eastAsia" w:ascii="宋体" w:hAnsi="宋体"/>
          <w:color w:val="auto"/>
          <w:szCs w:val="21"/>
          <w:highlight w:val="none"/>
        </w:rPr>
      </w:pPr>
      <w:r>
        <w:rPr>
          <w:rFonts w:hint="eastAsia" w:ascii="宋体" w:hAnsi="宋体" w:cs="宋体"/>
          <w:color w:val="auto"/>
          <w:szCs w:val="21"/>
          <w:highlight w:val="none"/>
        </w:rPr>
        <w:tab/>
      </w:r>
      <w:r>
        <w:rPr>
          <w:rFonts w:ascii="宋体" w:hAnsi="宋体"/>
          <w:color w:val="auto"/>
          <w:szCs w:val="21"/>
          <w:highlight w:val="none"/>
        </w:rPr>
        <w:t>招标人代表：</w:t>
      </w:r>
      <w:r>
        <w:rPr>
          <w:rFonts w:ascii="宋体" w:hAnsi="宋体"/>
          <w:color w:val="auto"/>
          <w:szCs w:val="21"/>
          <w:highlight w:val="none"/>
          <w:u w:val="single"/>
        </w:rPr>
        <w:t xml:space="preserve">            </w:t>
      </w:r>
      <w:r>
        <w:rPr>
          <w:rFonts w:ascii="宋体" w:hAnsi="宋体"/>
          <w:color w:val="auto"/>
          <w:szCs w:val="21"/>
          <w:highlight w:val="none"/>
        </w:rPr>
        <w:t xml:space="preserve"> 记录人：</w:t>
      </w:r>
      <w:r>
        <w:rPr>
          <w:rFonts w:ascii="宋体" w:hAnsi="宋体"/>
          <w:color w:val="auto"/>
          <w:szCs w:val="21"/>
          <w:highlight w:val="none"/>
          <w:u w:val="single"/>
        </w:rPr>
        <w:t xml:space="preserve">            </w:t>
      </w:r>
      <w:r>
        <w:rPr>
          <w:rFonts w:ascii="宋体" w:hAnsi="宋体"/>
          <w:color w:val="auto"/>
          <w:szCs w:val="21"/>
          <w:highlight w:val="none"/>
        </w:rPr>
        <w:t xml:space="preserve"> 监标人：</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620" w:lineRule="exact"/>
        <w:rPr>
          <w:rFonts w:hint="eastAsia" w:ascii="宋体" w:hAnsi="宋体"/>
          <w:color w:val="auto"/>
          <w:sz w:val="20"/>
          <w:szCs w:val="20"/>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highlight w:val="none"/>
          <w:u w:val="single"/>
        </w:rPr>
        <w:t xml:space="preserve">      </w:t>
      </w:r>
      <w:r>
        <w:rPr>
          <w:rFonts w:ascii="宋体" w:hAnsi="宋体"/>
          <w:color w:val="auto"/>
          <w:szCs w:val="21"/>
          <w:highlight w:val="none"/>
        </w:rPr>
        <w:t>年</w:t>
      </w:r>
      <w:r>
        <w:rPr>
          <w:rFonts w:hint="eastAsia" w:ascii="宋体" w:hAnsi="宋体"/>
          <w:color w:val="auto"/>
          <w:highlight w:val="none"/>
          <w:u w:val="single"/>
        </w:rPr>
        <w:t xml:space="preserve">      </w:t>
      </w:r>
      <w:r>
        <w:rPr>
          <w:rFonts w:ascii="宋体" w:hAnsi="宋体"/>
          <w:color w:val="auto"/>
          <w:szCs w:val="21"/>
          <w:highlight w:val="none"/>
        </w:rPr>
        <w:t>月</w:t>
      </w:r>
      <w:r>
        <w:rPr>
          <w:rFonts w:hint="eastAsia" w:ascii="宋体" w:hAnsi="宋体"/>
          <w:color w:val="auto"/>
          <w:highlight w:val="none"/>
          <w:u w:val="single"/>
        </w:rPr>
        <w:t xml:space="preserve">      </w:t>
      </w:r>
      <w:r>
        <w:rPr>
          <w:rFonts w:ascii="宋体" w:hAnsi="宋体"/>
          <w:color w:val="auto"/>
          <w:szCs w:val="21"/>
          <w:highlight w:val="none"/>
        </w:rPr>
        <w:t>日</w:t>
      </w:r>
    </w:p>
    <w:p>
      <w:pPr>
        <w:spacing w:line="400" w:lineRule="exact"/>
        <w:ind w:right="420"/>
        <w:jc w:val="left"/>
        <w:rPr>
          <w:rFonts w:hint="eastAsia" w:ascii="宋体" w:hAnsi="宋体" w:cs="宋体"/>
          <w:color w:val="auto"/>
          <w:highlight w:val="none"/>
        </w:rPr>
        <w:sectPr>
          <w:pgSz w:w="16838" w:h="11906" w:orient="landscape"/>
          <w:pgMar w:top="1304" w:right="1304" w:bottom="1304" w:left="1304" w:header="851" w:footer="992" w:gutter="0"/>
          <w:cols w:space="720" w:num="1"/>
          <w:docGrid w:type="lines" w:linePitch="312" w:charSpace="0"/>
        </w:sectPr>
      </w:pPr>
    </w:p>
    <w:p>
      <w:pPr>
        <w:pStyle w:val="5"/>
        <w:spacing w:before="0"/>
        <w:ind w:firstLine="0" w:firstLineChars="0"/>
        <w:rPr>
          <w:rFonts w:hint="eastAsia" w:ascii="宋体" w:eastAsia="宋体" w:cs="宋体"/>
          <w:color w:val="auto"/>
          <w:highlight w:val="none"/>
        </w:rPr>
      </w:pPr>
      <w:bookmarkStart w:id="376" w:name="_Toc247527607"/>
      <w:bookmarkStart w:id="377" w:name="_Toc144974549"/>
      <w:bookmarkStart w:id="378" w:name="_Toc152045582"/>
      <w:bookmarkStart w:id="379" w:name="_Toc247514006"/>
      <w:bookmarkStart w:id="380" w:name="_Toc152042359"/>
      <w:r>
        <w:rPr>
          <w:rFonts w:hint="eastAsia" w:ascii="宋体" w:eastAsia="宋体" w:cs="宋体"/>
          <w:color w:val="auto"/>
          <w:highlight w:val="none"/>
        </w:rPr>
        <w:t>附件二：问题澄清通知</w:t>
      </w:r>
      <w:bookmarkEnd w:id="376"/>
      <w:bookmarkEnd w:id="377"/>
      <w:bookmarkEnd w:id="378"/>
      <w:bookmarkEnd w:id="379"/>
      <w:bookmarkEnd w:id="380"/>
    </w:p>
    <w:p>
      <w:pPr>
        <w:spacing w:line="440" w:lineRule="exact"/>
        <w:jc w:val="center"/>
        <w:rPr>
          <w:rFonts w:hint="eastAsia" w:ascii="宋体" w:hAnsi="宋体" w:cs="宋体"/>
          <w:color w:val="auto"/>
          <w:szCs w:val="21"/>
          <w:highlight w:val="none"/>
        </w:rPr>
      </w:pP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问题澄清通知</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编号：</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（工程名称）设计施工总承包招标的评标委员会，对你方的投标文件进行了仔细的审查，现需你方对下列问题以书面形式予以澄清：</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2.</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请将上述问题的澄清于年月日时前递交至（详细地址）或传真至（传真号码）。采用传真方式的，应在年月日时前将原件递交至（详细地址）。</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评标委员会授权的招标人或招标代理机构：（签字或盖章）</w:t>
      </w:r>
    </w:p>
    <w:p>
      <w:pPr>
        <w:spacing w:line="440" w:lineRule="exact"/>
        <w:rPr>
          <w:rFonts w:hint="eastAsia" w:ascii="宋体" w:hAnsi="宋体" w:cs="宋体"/>
          <w:color w:val="auto"/>
          <w:szCs w:val="21"/>
          <w:highlight w:val="none"/>
        </w:rPr>
      </w:pPr>
    </w:p>
    <w:p>
      <w:pPr>
        <w:spacing w:line="440" w:lineRule="exact"/>
        <w:jc w:val="right"/>
        <w:rPr>
          <w:rFonts w:hint="eastAsia" w:ascii="宋体" w:hAnsi="宋体" w:cs="宋体"/>
          <w:color w:val="auto"/>
          <w:szCs w:val="21"/>
          <w:highlight w:val="none"/>
        </w:rPr>
      </w:pPr>
      <w:r>
        <w:rPr>
          <w:rFonts w:hint="eastAsia" w:ascii="宋体" w:hAnsi="宋体" w:cs="宋体"/>
          <w:color w:val="auto"/>
          <w:szCs w:val="21"/>
          <w:highlight w:val="none"/>
        </w:rPr>
        <w:t>年月日</w:t>
      </w:r>
    </w:p>
    <w:p>
      <w:pPr>
        <w:spacing w:line="400" w:lineRule="exact"/>
        <w:rPr>
          <w:rFonts w:hint="eastAsia" w:ascii="宋体" w:hAnsi="宋体" w:cs="宋体"/>
          <w:color w:val="auto"/>
          <w:szCs w:val="21"/>
          <w:highlight w:val="none"/>
        </w:rPr>
      </w:pP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5"/>
        <w:ind w:firstLine="0" w:firstLineChars="0"/>
        <w:rPr>
          <w:rFonts w:hint="eastAsia" w:ascii="宋体" w:eastAsia="宋体" w:cs="宋体"/>
          <w:color w:val="auto"/>
          <w:highlight w:val="none"/>
        </w:rPr>
      </w:pPr>
      <w:bookmarkStart w:id="381" w:name="_Toc152045583"/>
      <w:bookmarkStart w:id="382" w:name="_Toc247527608"/>
      <w:bookmarkStart w:id="383" w:name="_Toc247514007"/>
      <w:bookmarkStart w:id="384" w:name="_Toc11670"/>
      <w:bookmarkStart w:id="385" w:name="_Toc152042360"/>
      <w:bookmarkStart w:id="386" w:name="_Toc144974550"/>
      <w:bookmarkStart w:id="387" w:name="_Toc14870"/>
      <w:r>
        <w:rPr>
          <w:rFonts w:hint="eastAsia" w:ascii="宋体" w:eastAsia="宋体" w:cs="宋体"/>
          <w:color w:val="auto"/>
          <w:highlight w:val="none"/>
        </w:rPr>
        <w:t>附件三：问题的澄清</w:t>
      </w:r>
      <w:bookmarkEnd w:id="381"/>
      <w:bookmarkEnd w:id="382"/>
      <w:bookmarkEnd w:id="383"/>
      <w:bookmarkEnd w:id="384"/>
      <w:bookmarkEnd w:id="385"/>
      <w:bookmarkEnd w:id="386"/>
      <w:bookmarkEnd w:id="387"/>
    </w:p>
    <w:p>
      <w:pPr>
        <w:spacing w:line="400" w:lineRule="exact"/>
        <w:jc w:val="center"/>
        <w:rPr>
          <w:rFonts w:hint="eastAsia" w:ascii="宋体" w:hAnsi="宋体" w:cs="宋体"/>
          <w:color w:val="auto"/>
          <w:szCs w:val="21"/>
          <w:highlight w:val="none"/>
        </w:rPr>
      </w:pP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问题的澄清</w:t>
      </w:r>
    </w:p>
    <w:p>
      <w:pPr>
        <w:spacing w:line="400" w:lineRule="exact"/>
        <w:ind w:firstLine="3465" w:firstLineChars="1650"/>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pPr>
        <w:spacing w:line="40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（工程名称）设计施工总承包招标评标委员会：</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问题澄清通知（编号：）已收悉，现澄清如下：</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1.</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2.</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投标人：（盖单位章）</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法定代表人或其委托代理人：（签字）</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年月日</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r>
        <w:rPr>
          <w:rFonts w:hint="eastAsia" w:ascii="宋体" w:hAnsi="宋体" w:cs="宋体"/>
          <w:color w:val="auto"/>
          <w:highlight w:val="none"/>
        </w:rPr>
        <w:br w:type="page"/>
      </w:r>
    </w:p>
    <w:p>
      <w:pPr>
        <w:pStyle w:val="5"/>
        <w:ind w:firstLine="0" w:firstLineChars="0"/>
        <w:rPr>
          <w:rFonts w:hint="eastAsia" w:ascii="宋体" w:eastAsia="宋体" w:cs="宋体"/>
          <w:color w:val="auto"/>
          <w:highlight w:val="none"/>
        </w:rPr>
      </w:pPr>
      <w:bookmarkStart w:id="388" w:name="_Toc152042361"/>
      <w:bookmarkStart w:id="389" w:name="_Toc32746"/>
      <w:bookmarkStart w:id="390" w:name="_Toc30680"/>
      <w:bookmarkStart w:id="391" w:name="_Toc247514008"/>
      <w:bookmarkStart w:id="392" w:name="_Toc152045584"/>
      <w:bookmarkStart w:id="393" w:name="_Toc247527609"/>
      <w:bookmarkStart w:id="394" w:name="_Toc144974551"/>
      <w:r>
        <w:rPr>
          <w:rFonts w:hint="eastAsia" w:ascii="宋体" w:eastAsia="宋体" w:cs="宋体"/>
          <w:color w:val="auto"/>
          <w:highlight w:val="none"/>
        </w:rPr>
        <w:t>附件四：中标通知书</w:t>
      </w:r>
      <w:bookmarkEnd w:id="388"/>
      <w:bookmarkEnd w:id="389"/>
      <w:bookmarkEnd w:id="390"/>
      <w:bookmarkEnd w:id="391"/>
      <w:bookmarkEnd w:id="392"/>
      <w:bookmarkEnd w:id="393"/>
      <w:bookmarkEnd w:id="394"/>
    </w:p>
    <w:p>
      <w:pPr>
        <w:spacing w:line="400" w:lineRule="exact"/>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中标通知书（以交易中心出具为准）</w:t>
      </w:r>
    </w:p>
    <w:p>
      <w:pPr>
        <w:pStyle w:val="3"/>
        <w:jc w:val="center"/>
        <w:rPr>
          <w:rFonts w:hint="eastAsia" w:ascii="宋体" w:hAnsi="宋体" w:cs="宋体"/>
          <w:color w:val="auto"/>
          <w:highlight w:val="none"/>
        </w:rPr>
      </w:pPr>
      <w:bookmarkStart w:id="395" w:name="_Toc247527623"/>
      <w:bookmarkStart w:id="396" w:name="_Toc152042375"/>
      <w:bookmarkStart w:id="397" w:name="_Toc144974565"/>
      <w:bookmarkStart w:id="398" w:name="_Toc247514022"/>
      <w:bookmarkStart w:id="399" w:name="_Toc152045598"/>
      <w:r>
        <w:rPr>
          <w:rFonts w:hint="eastAsia" w:ascii="宋体" w:hAnsi="宋体" w:cs="宋体"/>
          <w:color w:val="auto"/>
          <w:highlight w:val="none"/>
        </w:rPr>
        <w:br w:type="page"/>
      </w:r>
      <w:bookmarkStart w:id="400" w:name="_Toc12849"/>
      <w:bookmarkStart w:id="401" w:name="_Toc28885"/>
      <w:r>
        <w:rPr>
          <w:rFonts w:hint="eastAsia" w:ascii="宋体" w:hAnsi="宋体" w:cs="宋体"/>
          <w:color w:val="auto"/>
          <w:highlight w:val="none"/>
        </w:rPr>
        <w:t>第三章  评标办法（综合评估法）</w:t>
      </w:r>
      <w:bookmarkEnd w:id="395"/>
      <w:bookmarkEnd w:id="396"/>
      <w:bookmarkEnd w:id="397"/>
      <w:bookmarkEnd w:id="398"/>
      <w:bookmarkEnd w:id="399"/>
      <w:bookmarkEnd w:id="400"/>
      <w:bookmarkEnd w:id="401"/>
    </w:p>
    <w:p>
      <w:pPr>
        <w:pStyle w:val="4"/>
        <w:jc w:val="center"/>
        <w:rPr>
          <w:rFonts w:hint="eastAsia" w:ascii="宋体" w:hAnsi="宋体" w:eastAsia="宋体" w:cs="宋体"/>
          <w:color w:val="auto"/>
          <w:highlight w:val="none"/>
        </w:rPr>
      </w:pPr>
      <w:bookmarkStart w:id="402" w:name="_Toc247527624"/>
      <w:bookmarkStart w:id="403" w:name="_Toc4306"/>
      <w:bookmarkStart w:id="404" w:name="_Toc144974566"/>
      <w:bookmarkStart w:id="405" w:name="_Toc247514023"/>
      <w:bookmarkStart w:id="406" w:name="_Toc152042376"/>
      <w:bookmarkStart w:id="407" w:name="_Toc12277"/>
      <w:bookmarkStart w:id="408" w:name="_Toc152045599"/>
      <w:r>
        <w:rPr>
          <w:rFonts w:hint="eastAsia" w:ascii="宋体" w:hAnsi="宋体" w:eastAsia="宋体" w:cs="宋体"/>
          <w:color w:val="auto"/>
          <w:highlight w:val="none"/>
        </w:rPr>
        <w:t>评标办法前附表</w:t>
      </w:r>
      <w:bookmarkEnd w:id="402"/>
      <w:bookmarkEnd w:id="403"/>
      <w:bookmarkEnd w:id="404"/>
      <w:bookmarkEnd w:id="405"/>
      <w:bookmarkEnd w:id="406"/>
      <w:bookmarkEnd w:id="407"/>
      <w:bookmarkEnd w:id="408"/>
    </w:p>
    <w:tbl>
      <w:tblPr>
        <w:tblStyle w:val="40"/>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1"/>
        <w:gridCol w:w="670"/>
        <w:gridCol w:w="891"/>
        <w:gridCol w:w="1822"/>
        <w:gridCol w:w="5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822" w:type="dxa"/>
            <w:vAlign w:val="center"/>
          </w:tcPr>
          <w:p>
            <w:pP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5729" w:type="dxa"/>
            <w:vAlign w:val="center"/>
          </w:tcPr>
          <w:p>
            <w:pP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732" w:type="dxa"/>
            <w:gridSpan w:val="3"/>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w:t>
            </w:r>
            <w:r>
              <w:rPr>
                <w:rFonts w:hint="eastAsia" w:ascii="宋体" w:hAnsi="宋体" w:eastAsia="宋体" w:cs="宋体"/>
                <w:color w:val="auto"/>
                <w:szCs w:val="21"/>
                <w:highlight w:val="none"/>
                <w:u w:val="single"/>
              </w:rPr>
              <w:t>或法人证书</w:t>
            </w:r>
            <w:r>
              <w:rPr>
                <w:rFonts w:hint="eastAsia" w:ascii="宋体" w:hAnsi="宋体" w:eastAsia="宋体" w:cs="宋体"/>
                <w:color w:val="auto"/>
                <w:szCs w:val="21"/>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法定代表人证明及授权</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投标文件中有有效的法定代表人证明书，或由委托代理人签字或盖章的投标文件中有法定代表人证明书和授权委托证明书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投标承诺函</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投标承诺函内容与招标文件规定一致，且按规定加盖投标人电子印章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符合第七章“投标文件格式”的要求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投标保证金递交情况</w:t>
            </w:r>
          </w:p>
        </w:tc>
        <w:tc>
          <w:tcPr>
            <w:tcW w:w="5729" w:type="dxa"/>
            <w:vAlign w:val="center"/>
          </w:tcPr>
          <w:p>
            <w:pPr>
              <w:spacing w:line="276" w:lineRule="auto"/>
              <w:rPr>
                <w:rFonts w:hint="eastAsia" w:ascii="宋体" w:hAnsi="宋体" w:eastAsia="宋体" w:cs="宋体"/>
                <w:strike/>
                <w:color w:val="auto"/>
                <w:szCs w:val="21"/>
                <w:highlight w:val="none"/>
              </w:rPr>
            </w:pPr>
            <w:r>
              <w:rPr>
                <w:rFonts w:hint="eastAsia" w:ascii="宋体" w:hAnsi="宋体" w:eastAsia="宋体" w:cs="宋体"/>
                <w:strike/>
                <w:color w:val="auto"/>
                <w:szCs w:val="21"/>
                <w:highlight w:val="none"/>
              </w:rPr>
              <w:t>按招标文件要求递交投标保证金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机器特征码一致</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不同投标人的加密打包投标文件电脑机器特征码不一致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732" w:type="dxa"/>
            <w:gridSpan w:val="3"/>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822" w:type="dxa"/>
            <w:vAlign w:val="center"/>
          </w:tcPr>
          <w:p>
            <w:pPr>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营业执照或法人证书</w:t>
            </w:r>
          </w:p>
        </w:tc>
        <w:tc>
          <w:tcPr>
            <w:tcW w:w="5729" w:type="dxa"/>
            <w:vAlign w:val="center"/>
          </w:tcPr>
          <w:p>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国内投标人具有有效的营业执照或法人证书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财务状况</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类似项目业绩</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施工负责人</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设计负责人</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施工技术负责人</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专职安全员</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32" w:type="dxa"/>
            <w:gridSpan w:val="3"/>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设计方案响应性评审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暗标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标准</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暗标形式</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投标人未在设计方案上标注或做任何可以辨认投标人及专业技术人员身份的名称、印章、商标、图形等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明标暗标互相印</w:t>
            </w:r>
            <w:r>
              <w:rPr>
                <w:rFonts w:hint="eastAsia" w:ascii="宋体" w:hAnsi="宋体" w:cs="宋体"/>
                <w:color w:val="auto"/>
                <w:szCs w:val="21"/>
                <w:highlight w:val="none"/>
                <w:lang w:val="en-US" w:eastAsia="zh-CN"/>
              </w:rPr>
              <w:t>证</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投标文件未通过明标、暗标中包含的相同内容（如报价等）互相印证、辨认投标人身份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合法合规性</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投标人之间不存在《广东省实施&lt;中华人民共和国招标投标法&gt;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eastAsia="宋体" w:cs="宋体"/>
                <w:color w:val="auto"/>
                <w:szCs w:val="21"/>
                <w:highlight w:val="none"/>
              </w:rPr>
              <w:t>》第十六条所禁止的情形的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抄袭行为</w:t>
            </w:r>
          </w:p>
        </w:tc>
        <w:tc>
          <w:tcPr>
            <w:tcW w:w="5729" w:type="dxa"/>
            <w:vAlign w:val="center"/>
          </w:tcPr>
          <w:p>
            <w:pPr>
              <w:spacing w:line="276" w:lineRule="auto"/>
              <w:jc w:val="cente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未发现明显抄袭行为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p>
            <w:pPr>
              <w:pStyle w:val="17"/>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p>
            <w:pPr>
              <w:spacing w:line="276" w:lineRule="auto"/>
              <w:jc w:val="center"/>
              <w:rPr>
                <w:rFonts w:hint="eastAsia" w:ascii="宋体" w:hAnsi="宋体" w:eastAsia="宋体" w:cs="宋体"/>
                <w:color w:val="auto"/>
                <w:szCs w:val="21"/>
                <w:highlight w:val="none"/>
              </w:rPr>
            </w:pPr>
          </w:p>
        </w:tc>
        <w:tc>
          <w:tcPr>
            <w:tcW w:w="1732" w:type="dxa"/>
            <w:gridSpan w:val="3"/>
            <w:vMerge w:val="restart"/>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工程总承包实施方案响应性评审标准</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符合第二章“投标人须知”第3.2.2项规定且不低于企业成本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9" w:type="dxa"/>
            <w:vMerge w:val="continue"/>
            <w:vAlign w:val="center"/>
          </w:tcPr>
          <w:p>
            <w:pPr>
              <w:spacing w:line="276" w:lineRule="auto"/>
              <w:jc w:val="center"/>
              <w:rPr>
                <w:rFonts w:hint="eastAsia" w:ascii="宋体" w:hAnsi="宋体" w:eastAsia="宋体" w:cs="宋体"/>
                <w:color w:val="auto"/>
                <w:szCs w:val="21"/>
                <w:highlight w:val="none"/>
              </w:rPr>
            </w:pPr>
          </w:p>
        </w:tc>
        <w:tc>
          <w:tcPr>
            <w:tcW w:w="1732" w:type="dxa"/>
            <w:gridSpan w:val="3"/>
            <w:vMerge w:val="continue"/>
            <w:vAlign w:val="center"/>
          </w:tcPr>
          <w:p>
            <w:pPr>
              <w:spacing w:line="276" w:lineRule="auto"/>
              <w:jc w:val="center"/>
              <w:rPr>
                <w:rFonts w:hint="eastAsia" w:ascii="宋体" w:hAnsi="宋体" w:eastAsia="宋体" w:cs="宋体"/>
                <w:color w:val="auto"/>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合法合规性</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投标人之间不存在《广东省实施&lt;中华人民共和国招标投标法&gt;</w:t>
            </w:r>
            <w:r>
              <w:rPr>
                <w:rFonts w:hint="eastAsia" w:ascii="宋体" w:hAnsi="宋体" w:cs="宋体"/>
                <w:color w:val="auto"/>
                <w:szCs w:val="21"/>
                <w:highlight w:val="none"/>
                <w:lang w:val="en-US" w:eastAsia="zh-CN"/>
              </w:rPr>
              <w:t>办法</w:t>
            </w:r>
            <w:r>
              <w:rPr>
                <w:rFonts w:hint="eastAsia" w:ascii="宋体" w:hAnsi="宋体" w:eastAsia="宋体" w:cs="宋体"/>
                <w:color w:val="auto"/>
                <w:szCs w:val="21"/>
                <w:highlight w:val="none"/>
              </w:rPr>
              <w:t>》第十六条所禁止的情形的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5729" w:type="dxa"/>
            <w:vAlign w:val="center"/>
          </w:tcPr>
          <w:p>
            <w:pPr>
              <w:spacing w:line="27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729" w:type="dxa"/>
            <w:vAlign w:val="center"/>
          </w:tcPr>
          <w:p>
            <w:pPr>
              <w:spacing w:line="276"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总分=设计方案得分（满分为100分）×权重（</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0%）+工程总承包实施方案得分（满分为100分）×权重（</w:t>
            </w:r>
            <w:r>
              <w:rPr>
                <w:rFonts w:hint="eastAsia" w:ascii="宋体" w:hAnsi="宋体" w:eastAsia="宋体" w:cs="宋体"/>
                <w:b/>
                <w:bCs/>
                <w:color w:val="auto"/>
                <w:szCs w:val="21"/>
                <w:highlight w:val="none"/>
                <w:lang w:val="en-US" w:eastAsia="zh-CN"/>
              </w:rPr>
              <w:t>35</w:t>
            </w:r>
            <w:r>
              <w:rPr>
                <w:rFonts w:hint="eastAsia" w:ascii="宋体" w:hAnsi="宋体" w:eastAsia="宋体" w:cs="宋体"/>
                <w:b/>
                <w:bCs/>
                <w:color w:val="auto"/>
                <w:szCs w:val="21"/>
                <w:highlight w:val="none"/>
              </w:rPr>
              <w:t>%）+投标报价得分（满分为100分）×权重（</w:t>
            </w:r>
            <w:r>
              <w:rPr>
                <w:rFonts w:hint="eastAsia" w:ascii="宋体" w:hAnsi="宋体" w:eastAsia="宋体" w:cs="宋体"/>
                <w:b/>
                <w:bCs/>
                <w:color w:val="auto"/>
                <w:szCs w:val="21"/>
                <w:highlight w:val="none"/>
                <w:lang w:val="en-US" w:eastAsia="zh-CN"/>
              </w:rPr>
              <w:t>35</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w:t>
            </w:r>
            <w:r>
              <w:rPr>
                <w:rFonts w:hint="eastAsia" w:ascii="宋体" w:hAnsi="宋体" w:cs="宋体"/>
                <w:color w:val="auto"/>
                <w:szCs w:val="21"/>
                <w:highlight w:val="none"/>
                <w:lang w:val="en-US" w:eastAsia="zh-CN"/>
              </w:rPr>
              <w:t>初步</w:t>
            </w:r>
            <w:r>
              <w:rPr>
                <w:rFonts w:hint="eastAsia" w:ascii="宋体" w:hAnsi="宋体" w:eastAsia="宋体" w:cs="宋体"/>
                <w:color w:val="auto"/>
                <w:szCs w:val="21"/>
                <w:highlight w:val="none"/>
              </w:rPr>
              <w:t>评审且经算术校核的投标总报价位于[本项目最高投标限价×90%，本项目最高投标限价]区间的投标人大于或等于5家时，去掉一个最高价和一个最低价后，取剩余报价的算术平均值为评标基准价；通过</w:t>
            </w:r>
            <w:r>
              <w:rPr>
                <w:rFonts w:hint="eastAsia" w:ascii="宋体" w:hAnsi="宋体" w:cs="宋体"/>
                <w:color w:val="auto"/>
                <w:szCs w:val="21"/>
                <w:highlight w:val="none"/>
                <w:lang w:val="en-US" w:eastAsia="zh-CN"/>
              </w:rPr>
              <w:t>初步</w:t>
            </w:r>
            <w:r>
              <w:rPr>
                <w:rFonts w:hint="eastAsia" w:ascii="宋体" w:hAnsi="宋体" w:eastAsia="宋体" w:cs="宋体"/>
                <w:color w:val="auto"/>
                <w:szCs w:val="21"/>
                <w:highlight w:val="none"/>
              </w:rPr>
              <w:t>评审且经算术校核的投标总报价位于[本项目最高投标限价×90%，本项目最高投标限价]区间的投标人少于5家时，直接取区间中的投标总报价的算术平均值为评标基准价。通过</w:t>
            </w:r>
            <w:r>
              <w:rPr>
                <w:rFonts w:hint="eastAsia" w:ascii="宋体" w:hAnsi="宋体" w:cs="宋体"/>
                <w:color w:val="auto"/>
                <w:szCs w:val="21"/>
                <w:highlight w:val="none"/>
                <w:lang w:val="en-US" w:eastAsia="zh-CN"/>
              </w:rPr>
              <w:t>初步</w:t>
            </w:r>
            <w:r>
              <w:rPr>
                <w:rFonts w:hint="eastAsia" w:ascii="宋体" w:hAnsi="宋体" w:eastAsia="宋体" w:cs="宋体"/>
                <w:color w:val="auto"/>
                <w:szCs w:val="21"/>
                <w:highlight w:val="none"/>
              </w:rPr>
              <w:t>评审且经算术校核的投标总报价若没有位于[本项目最高总投标限价×90%，本项目最高投标限价]区间，则以本项目最高投标限价×90%为评标基准价。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w:t>
            </w:r>
          </w:p>
        </w:tc>
        <w:tc>
          <w:tcPr>
            <w:tcW w:w="5729" w:type="dxa"/>
            <w:vAlign w:val="center"/>
          </w:tcPr>
          <w:p>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偏差率=100% ×（投标总报价－评标基准价）/评标基准价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401" w:type="dxa"/>
            <w:gridSpan w:val="4"/>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评分因素</w:t>
            </w:r>
          </w:p>
        </w:tc>
        <w:tc>
          <w:tcPr>
            <w:tcW w:w="5729"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restart"/>
            <w:vAlign w:val="center"/>
          </w:tcPr>
          <w:p>
            <w:pPr>
              <w:spacing w:line="276" w:lineRule="auto"/>
              <w:jc w:val="center"/>
              <w:rPr>
                <w:rFonts w:hint="eastAsia" w:ascii="宋体" w:hAnsi="宋体" w:eastAsia="宋体" w:cs="宋体"/>
                <w:color w:val="auto"/>
                <w:kern w:val="1"/>
                <w:szCs w:val="21"/>
                <w:highlight w:val="none"/>
              </w:rPr>
            </w:pPr>
            <w:bookmarkStart w:id="409" w:name="_Toc144974567"/>
            <w:bookmarkStart w:id="410" w:name="_Toc247514024"/>
            <w:bookmarkStart w:id="411" w:name="_Toc152045600"/>
            <w:bookmarkStart w:id="412" w:name="_Toc247527625"/>
            <w:bookmarkStart w:id="413" w:name="_Toc152042377"/>
            <w:r>
              <w:rPr>
                <w:rFonts w:hint="eastAsia" w:ascii="宋体" w:hAnsi="宋体" w:eastAsia="宋体" w:cs="宋体"/>
                <w:color w:val="auto"/>
                <w:kern w:val="1"/>
                <w:szCs w:val="21"/>
                <w:highlight w:val="none"/>
              </w:rPr>
              <w:t>2.2.4（1）</w:t>
            </w:r>
          </w:p>
        </w:tc>
        <w:tc>
          <w:tcPr>
            <w:tcW w:w="670" w:type="dxa"/>
            <w:vMerge w:val="restart"/>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设计方案评分标准（100分）</w:t>
            </w:r>
          </w:p>
        </w:tc>
        <w:tc>
          <w:tcPr>
            <w:tcW w:w="891" w:type="dxa"/>
            <w:vAlign w:val="center"/>
          </w:tcPr>
          <w:p>
            <w:pPr>
              <w:spacing w:line="276" w:lineRule="auto"/>
              <w:jc w:val="left"/>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val="zh-CN"/>
              </w:rPr>
              <w:t>投标文件的符合性（</w:t>
            </w:r>
            <w:r>
              <w:rPr>
                <w:rFonts w:hint="eastAsia" w:ascii="宋体" w:hAnsi="宋体" w:eastAsia="宋体" w:cs="宋体"/>
                <w:color w:val="auto"/>
                <w:szCs w:val="21"/>
                <w:highlight w:val="none"/>
                <w:lang w:val="en-US" w:eastAsia="zh-CN"/>
              </w:rPr>
              <w:t>15分</w:t>
            </w:r>
            <w:r>
              <w:rPr>
                <w:rFonts w:hint="eastAsia" w:ascii="宋体" w:hAnsi="宋体" w:eastAsia="宋体" w:cs="宋体"/>
                <w:color w:val="auto"/>
                <w:szCs w:val="21"/>
                <w:highlight w:val="none"/>
                <w:lang w:val="zh-CN"/>
              </w:rPr>
              <w:t>）</w:t>
            </w:r>
          </w:p>
        </w:tc>
        <w:tc>
          <w:tcPr>
            <w:tcW w:w="1822" w:type="dxa"/>
            <w:vAlign w:val="center"/>
          </w:tcPr>
          <w:p>
            <w:pPr>
              <w:spacing w:line="276" w:lineRule="auto"/>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15分</w:t>
            </w:r>
          </w:p>
        </w:tc>
        <w:tc>
          <w:tcPr>
            <w:tcW w:w="5729" w:type="dxa"/>
            <w:vAlign w:val="center"/>
          </w:tcPr>
          <w:p>
            <w:pPr>
              <w:wordWrap w:val="0"/>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整个设计内容符合招标文件要求，</w:t>
            </w:r>
            <w:r>
              <w:rPr>
                <w:rFonts w:hint="eastAsia" w:ascii="宋体" w:hAnsi="宋体" w:eastAsia="宋体" w:cs="宋体"/>
                <w:color w:val="auto"/>
                <w:szCs w:val="21"/>
                <w:highlight w:val="none"/>
              </w:rPr>
              <w:t>文件包含相关总说明和附图得12分；</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设计总说明书文字表达清楚、思路清晰、重点和难点突出：</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良得2</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276" w:lineRule="auto"/>
              <w:rPr>
                <w:rFonts w:hint="eastAsia" w:ascii="宋体" w:hAnsi="宋体" w:eastAsia="宋体" w:cs="宋体"/>
                <w:b/>
                <w:color w:val="auto"/>
                <w:kern w:val="1"/>
                <w:szCs w:val="21"/>
                <w:highlight w:val="none"/>
                <w:u w:val="single"/>
              </w:rPr>
            </w:pPr>
            <w:r>
              <w:rPr>
                <w:rFonts w:hint="eastAsia" w:ascii="宋体" w:hAnsi="宋体" w:eastAsia="宋体" w:cs="宋体"/>
                <w:color w:val="auto"/>
                <w:highlight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restart"/>
            <w:vAlign w:val="center"/>
          </w:tcPr>
          <w:p>
            <w:pPr>
              <w:spacing w:line="276" w:lineRule="auto"/>
              <w:jc w:val="left"/>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val="zh-CN"/>
              </w:rPr>
              <w:t>设计方案（</w:t>
            </w:r>
            <w:r>
              <w:rPr>
                <w:rFonts w:hint="eastAsia" w:ascii="宋体" w:hAnsi="宋体" w:eastAsia="宋体" w:cs="宋体"/>
                <w:color w:val="auto"/>
                <w:szCs w:val="21"/>
                <w:highlight w:val="none"/>
                <w:lang w:val="en-US" w:eastAsia="zh-CN"/>
              </w:rPr>
              <w:t>70分</w:t>
            </w:r>
            <w:r>
              <w:rPr>
                <w:rFonts w:hint="eastAsia" w:ascii="宋体" w:hAnsi="宋体" w:eastAsia="宋体" w:cs="宋体"/>
                <w:color w:val="auto"/>
                <w:szCs w:val="21"/>
                <w:highlight w:val="none"/>
                <w:lang w:val="zh-CN"/>
              </w:rPr>
              <w:t>）</w:t>
            </w:r>
          </w:p>
        </w:tc>
        <w:tc>
          <w:tcPr>
            <w:tcW w:w="1822" w:type="dxa"/>
            <w:vAlign w:val="center"/>
          </w:tcPr>
          <w:p>
            <w:pPr>
              <w:spacing w:line="276" w:lineRule="auto"/>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25分</w:t>
            </w:r>
          </w:p>
        </w:tc>
        <w:tc>
          <w:tcPr>
            <w:tcW w:w="5729" w:type="dxa"/>
            <w:vAlign w:val="center"/>
          </w:tcPr>
          <w:p>
            <w:pPr>
              <w:numPr>
                <w:ilvl w:val="0"/>
                <w:numId w:val="0"/>
              </w:num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能</w:t>
            </w:r>
            <w:r>
              <w:rPr>
                <w:rFonts w:hint="eastAsia" w:ascii="宋体" w:hAnsi="宋体" w:eastAsia="宋体" w:cs="宋体"/>
                <w:color w:val="auto"/>
                <w:szCs w:val="21"/>
                <w:highlight w:val="none"/>
                <w:lang w:val="zh-CN"/>
              </w:rPr>
              <w:t>正确理解并执行规划建设意图、</w:t>
            </w:r>
            <w:r>
              <w:rPr>
                <w:rFonts w:hint="eastAsia" w:ascii="宋体" w:hAnsi="宋体" w:eastAsia="宋体" w:cs="宋体"/>
                <w:color w:val="auto"/>
                <w:szCs w:val="21"/>
                <w:highlight w:val="none"/>
              </w:rPr>
              <w:t>建设目的</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有相对完善的总体设计思路分析，得20分；</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其中方案</w:t>
            </w:r>
            <w:r>
              <w:rPr>
                <w:rFonts w:hint="eastAsia" w:ascii="宋体" w:hAnsi="宋体" w:eastAsia="宋体" w:cs="宋体"/>
                <w:color w:val="auto"/>
                <w:szCs w:val="21"/>
                <w:highlight w:val="none"/>
                <w:lang w:val="zh-CN"/>
              </w:rPr>
              <w:t>与周边路网、管网规划协调一致；对区域内路网的交通组织完善合理，总体思路清晰；路线平、纵、横等设计科学合理；道路、排水、</w:t>
            </w:r>
            <w:r>
              <w:rPr>
                <w:rFonts w:hint="eastAsia" w:ascii="宋体" w:hAnsi="宋体" w:eastAsia="宋体" w:cs="宋体"/>
                <w:color w:val="auto"/>
                <w:szCs w:val="21"/>
                <w:highlight w:val="none"/>
              </w:rPr>
              <w:t>周边现状衔接等</w:t>
            </w:r>
            <w:r>
              <w:rPr>
                <w:rFonts w:hint="eastAsia" w:ascii="宋体" w:hAnsi="宋体" w:eastAsia="宋体" w:cs="宋体"/>
                <w:color w:val="auto"/>
                <w:szCs w:val="21"/>
                <w:highlight w:val="none"/>
                <w:lang w:val="zh-CN"/>
              </w:rPr>
              <w:t>之间的关系处理得当</w:t>
            </w:r>
            <w:r>
              <w:rPr>
                <w:rFonts w:hint="eastAsia" w:ascii="宋体" w:hAnsi="宋体" w:cs="宋体"/>
                <w:color w:val="auto"/>
                <w:szCs w:val="21"/>
                <w:highlight w:val="none"/>
                <w:lang w:val="zh-CN"/>
              </w:rPr>
              <w:t>；项目规划建设意图主要是服务于采石场，路面结构及路基标准横断面布设需满足规划建设需求</w:t>
            </w:r>
            <w:r>
              <w:rPr>
                <w:rFonts w:hint="eastAsia" w:ascii="宋体" w:hAnsi="宋体" w:cs="宋体"/>
                <w:color w:val="auto"/>
                <w:szCs w:val="21"/>
                <w:highlight w:val="none"/>
                <w:lang w:val="en-US" w:eastAsia="zh-CN"/>
              </w:rPr>
              <w:t>等方面</w:t>
            </w:r>
            <w:r>
              <w:rPr>
                <w:rFonts w:hint="eastAsia" w:ascii="宋体" w:hAnsi="宋体" w:cs="宋体"/>
                <w:color w:val="auto"/>
                <w:szCs w:val="21"/>
                <w:highlight w:val="none"/>
                <w:lang w:val="zh-CN"/>
              </w:rPr>
              <w:t>：</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5-4</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良得3-2</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276" w:lineRule="auto"/>
              <w:rPr>
                <w:rFonts w:hint="eastAsia" w:ascii="宋体" w:hAnsi="宋体" w:eastAsia="宋体" w:cs="宋体"/>
                <w:b/>
                <w:color w:val="auto"/>
                <w:kern w:val="1"/>
                <w:szCs w:val="21"/>
                <w:highlight w:val="none"/>
                <w:u w:val="single"/>
              </w:rPr>
            </w:pPr>
            <w:r>
              <w:rPr>
                <w:rFonts w:hint="eastAsia" w:ascii="宋体" w:hAnsi="宋体" w:eastAsia="宋体" w:cs="宋体"/>
                <w:color w:val="auto"/>
                <w:highlight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left"/>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c>
          <w:tcPr>
            <w:tcW w:w="5729" w:type="dxa"/>
            <w:vAlign w:val="center"/>
          </w:tcPr>
          <w:p>
            <w:pPr>
              <w:numPr>
                <w:ilvl w:val="0"/>
                <w:numId w:val="0"/>
              </w:num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主体工程方案设计完整，有路线交叉节点、契合工程的结构、路基设计和相关公用设施元素等相关设计分析得12分</w:t>
            </w:r>
            <w:r>
              <w:rPr>
                <w:rFonts w:hint="eastAsia" w:ascii="宋体" w:hAnsi="宋体" w:eastAsia="宋体" w:cs="宋体"/>
                <w:color w:val="auto"/>
                <w:szCs w:val="21"/>
                <w:highlight w:val="none"/>
                <w:lang w:val="zh-CN"/>
              </w:rPr>
              <w:t>；</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交叉节点功能定位</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地基处理设计安全，结构方案</w:t>
            </w:r>
            <w:r>
              <w:rPr>
                <w:rFonts w:hint="eastAsia" w:ascii="宋体" w:hAnsi="宋体" w:eastAsia="宋体" w:cs="宋体"/>
                <w:color w:val="auto"/>
                <w:szCs w:val="21"/>
                <w:highlight w:val="none"/>
                <w:lang w:val="zh-CN"/>
              </w:rPr>
              <w:t>有所创新、造型优美，</w:t>
            </w:r>
            <w:r>
              <w:rPr>
                <w:rFonts w:hint="eastAsia" w:ascii="宋体" w:hAnsi="宋体" w:eastAsia="宋体" w:cs="宋体"/>
                <w:color w:val="auto"/>
                <w:szCs w:val="21"/>
                <w:highlight w:val="none"/>
              </w:rPr>
              <w:t>公用设施设计</w:t>
            </w:r>
            <w:r>
              <w:rPr>
                <w:rFonts w:hint="eastAsia" w:ascii="宋体" w:hAnsi="宋体" w:eastAsia="宋体" w:cs="宋体"/>
                <w:color w:val="auto"/>
                <w:szCs w:val="21"/>
                <w:highlight w:val="none"/>
                <w:lang w:val="zh-CN"/>
              </w:rPr>
              <w:t>科学合理</w:t>
            </w:r>
            <w:r>
              <w:rPr>
                <w:rFonts w:hint="eastAsia" w:ascii="宋体" w:hAnsi="宋体" w:eastAsia="宋体" w:cs="宋体"/>
                <w:color w:val="auto"/>
                <w:szCs w:val="21"/>
                <w:highlight w:val="none"/>
              </w:rPr>
              <w:t>性</w:t>
            </w:r>
            <w:r>
              <w:rPr>
                <w:rFonts w:hint="eastAsia" w:ascii="宋体" w:hAnsi="宋体" w:eastAsia="宋体" w:cs="宋体"/>
                <w:color w:val="auto"/>
                <w:szCs w:val="21"/>
                <w:highlight w:val="none"/>
                <w:lang w:val="zh-CN"/>
              </w:rPr>
              <w:t>、特点鲜明</w:t>
            </w:r>
            <w:r>
              <w:rPr>
                <w:rFonts w:hint="eastAsia" w:ascii="宋体" w:hAnsi="宋体" w:eastAsia="宋体" w:cs="宋体"/>
                <w:color w:val="auto"/>
                <w:szCs w:val="21"/>
                <w:highlight w:val="none"/>
              </w:rPr>
              <w:t>性，整体方案</w:t>
            </w:r>
            <w:r>
              <w:rPr>
                <w:rFonts w:hint="eastAsia" w:ascii="宋体" w:hAnsi="宋体" w:eastAsia="宋体" w:cs="宋体"/>
                <w:color w:val="auto"/>
                <w:szCs w:val="21"/>
                <w:highlight w:val="none"/>
                <w:lang w:val="zh-CN"/>
              </w:rPr>
              <w:t>计安全、合理、经济且能满足工期</w:t>
            </w:r>
            <w:r>
              <w:rPr>
                <w:rFonts w:hint="eastAsia" w:ascii="宋体" w:hAnsi="宋体" w:eastAsia="宋体" w:cs="宋体"/>
                <w:color w:val="auto"/>
                <w:szCs w:val="21"/>
                <w:highlight w:val="none"/>
              </w:rPr>
              <w:t>方面：</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良得2</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wordWrap w:val="0"/>
              <w:topLinePunct/>
              <w:spacing w:line="276" w:lineRule="auto"/>
              <w:rPr>
                <w:rFonts w:hint="eastAsia" w:ascii="宋体" w:hAnsi="宋体" w:eastAsia="宋体" w:cs="宋体"/>
                <w:color w:val="auto"/>
                <w:szCs w:val="21"/>
                <w:highlight w:val="none"/>
                <w:lang w:val="zh-CN"/>
              </w:rPr>
            </w:pPr>
            <w:r>
              <w:rPr>
                <w:rFonts w:hint="eastAsia" w:ascii="宋体" w:hAnsi="宋体" w:eastAsia="宋体" w:cs="宋体"/>
                <w:color w:val="auto"/>
                <w:highlight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left"/>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15分</w:t>
            </w:r>
          </w:p>
        </w:tc>
        <w:tc>
          <w:tcPr>
            <w:tcW w:w="5729" w:type="dxa"/>
            <w:vAlign w:val="center"/>
          </w:tcPr>
          <w:p>
            <w:pPr>
              <w:wordWrap w:val="0"/>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管线工程有相关管线综合设计，并</w:t>
            </w:r>
            <w:r>
              <w:rPr>
                <w:rFonts w:hint="eastAsia" w:ascii="宋体" w:hAnsi="宋体" w:eastAsia="宋体" w:cs="宋体"/>
                <w:color w:val="auto"/>
                <w:highlight w:val="none"/>
              </w:rPr>
              <w:t>充分考虑周边已有管线设施，结合现状及规划需求，综合考虑近远期结合的要求得12分</w:t>
            </w:r>
            <w:r>
              <w:rPr>
                <w:rFonts w:hint="eastAsia" w:ascii="宋体" w:hAnsi="宋体" w:eastAsia="宋体" w:cs="宋体"/>
                <w:color w:val="auto"/>
                <w:szCs w:val="21"/>
                <w:highlight w:val="none"/>
              </w:rPr>
              <w:t>；</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其中</w:t>
            </w:r>
            <w:r>
              <w:rPr>
                <w:rFonts w:hint="eastAsia" w:ascii="宋体" w:hAnsi="宋体" w:eastAsia="宋体" w:cs="宋体"/>
                <w:color w:val="auto"/>
                <w:szCs w:val="21"/>
                <w:highlight w:val="none"/>
                <w:lang w:val="zh-CN"/>
              </w:rPr>
              <w:t>综合管线的布置形式系统、合理、经济、实用，充分考虑与市政道路的衔接与协调；</w:t>
            </w:r>
            <w:r>
              <w:rPr>
                <w:rFonts w:hint="eastAsia" w:ascii="宋体" w:hAnsi="宋体" w:eastAsia="宋体" w:cs="宋体"/>
                <w:color w:val="auto"/>
                <w:highlight w:val="none"/>
              </w:rPr>
              <w:t>重力流管线系统总体布局充分利用地形，尽量采用自流，尽量避免穿越河道，缩短管线长度，减小主干管管径，充分考虑其可实施性和可操作性</w:t>
            </w:r>
            <w:r>
              <w:rPr>
                <w:rFonts w:hint="eastAsia" w:ascii="宋体" w:hAnsi="宋体" w:eastAsia="宋体" w:cs="宋体"/>
                <w:color w:val="auto"/>
                <w:szCs w:val="21"/>
                <w:highlight w:val="none"/>
              </w:rPr>
              <w:t>方面</w:t>
            </w:r>
            <w:r>
              <w:rPr>
                <w:rFonts w:hint="eastAsia" w:ascii="宋体" w:hAnsi="宋体" w:eastAsia="宋体" w:cs="宋体"/>
                <w:color w:val="auto"/>
                <w:szCs w:val="21"/>
                <w:highlight w:val="none"/>
                <w:lang w:val="zh-CN"/>
              </w:rPr>
              <w:t>：</w:t>
            </w:r>
          </w:p>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良得2</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wordWrap w:val="0"/>
              <w:topLinePunct/>
              <w:spacing w:line="276" w:lineRule="auto"/>
              <w:rPr>
                <w:rFonts w:hint="eastAsia" w:ascii="宋体" w:hAnsi="宋体" w:eastAsia="宋体" w:cs="宋体"/>
                <w:b/>
                <w:color w:val="auto"/>
                <w:szCs w:val="21"/>
                <w:highlight w:val="none"/>
                <w:u w:val="single"/>
                <w:lang w:val="zh-CN"/>
              </w:rPr>
            </w:pPr>
            <w:r>
              <w:rPr>
                <w:rFonts w:hint="eastAsia" w:ascii="宋体" w:hAnsi="宋体" w:eastAsia="宋体" w:cs="宋体"/>
                <w:color w:val="auto"/>
                <w:highlight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left"/>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15分</w:t>
            </w:r>
          </w:p>
        </w:tc>
        <w:tc>
          <w:tcPr>
            <w:tcW w:w="5729" w:type="dxa"/>
            <w:vAlign w:val="center"/>
          </w:tcPr>
          <w:p>
            <w:pPr>
              <w:wordWrap w:val="0"/>
              <w:topLinePun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方案</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体现绿色环保、节能概念，</w:t>
            </w: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val="zh-CN"/>
              </w:rPr>
              <w:t>工程建设和使用的重点、难点分析</w:t>
            </w:r>
            <w:r>
              <w:rPr>
                <w:rFonts w:hint="eastAsia" w:ascii="宋体" w:hAnsi="宋体" w:eastAsia="宋体" w:cs="宋体"/>
                <w:color w:val="auto"/>
                <w:szCs w:val="21"/>
                <w:highlight w:val="none"/>
              </w:rPr>
              <w:t>得12分；</w:t>
            </w:r>
          </w:p>
          <w:p>
            <w:pPr>
              <w:wordWrap w:val="0"/>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其中重、难点分析</w:t>
            </w:r>
            <w:r>
              <w:rPr>
                <w:rFonts w:hint="eastAsia" w:ascii="宋体" w:hAnsi="宋体" w:eastAsia="宋体" w:cs="宋体"/>
                <w:color w:val="auto"/>
                <w:szCs w:val="21"/>
                <w:highlight w:val="none"/>
                <w:lang w:val="zh-CN"/>
              </w:rPr>
              <w:t>透彻，解决措施合理，工程采用新材料、新工艺，设计合理可行</w:t>
            </w:r>
            <w:r>
              <w:rPr>
                <w:rFonts w:hint="eastAsia" w:ascii="宋体" w:hAnsi="宋体" w:eastAsia="宋体" w:cs="宋体"/>
                <w:color w:val="auto"/>
                <w:szCs w:val="21"/>
                <w:highlight w:val="none"/>
              </w:rPr>
              <w:t>方面：</w:t>
            </w:r>
          </w:p>
          <w:p>
            <w:pPr>
              <w:wordWrap w:val="0"/>
              <w:topLinePun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，良得2</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wordWrap w:val="0"/>
              <w:topLinePunct/>
              <w:spacing w:line="276" w:lineRule="auto"/>
              <w:rPr>
                <w:rFonts w:hint="eastAsia" w:ascii="宋体" w:hAnsi="宋体" w:eastAsia="宋体" w:cs="宋体"/>
                <w:b/>
                <w:color w:val="auto"/>
                <w:szCs w:val="21"/>
                <w:highlight w:val="none"/>
                <w:u w:val="single"/>
                <w:lang w:val="zh-CN"/>
              </w:rPr>
            </w:pPr>
            <w:r>
              <w:rPr>
                <w:rFonts w:hint="eastAsia" w:ascii="宋体" w:hAnsi="宋体" w:eastAsia="宋体" w:cs="宋体"/>
                <w:color w:val="auto"/>
                <w:highlight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Align w:val="center"/>
          </w:tcPr>
          <w:p>
            <w:pPr>
              <w:spacing w:line="276" w:lineRule="auto"/>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投资控制（1</w:t>
            </w:r>
            <w:r>
              <w:rPr>
                <w:rFonts w:hint="eastAsia" w:ascii="宋体" w:hAnsi="宋体" w:eastAsia="宋体" w:cs="宋体"/>
                <w:color w:val="auto"/>
                <w:kern w:val="1"/>
                <w:szCs w:val="21"/>
                <w:highlight w:val="none"/>
                <w:lang w:val="en-US" w:eastAsia="zh-CN"/>
              </w:rPr>
              <w:t>5</w:t>
            </w:r>
            <w:r>
              <w:rPr>
                <w:rFonts w:hint="eastAsia" w:ascii="宋体" w:hAnsi="宋体" w:eastAsia="宋体" w:cs="宋体"/>
                <w:color w:val="auto"/>
                <w:kern w:val="1"/>
                <w:szCs w:val="21"/>
                <w:highlight w:val="none"/>
              </w:rPr>
              <w:t>分）</w:t>
            </w:r>
          </w:p>
        </w:tc>
        <w:tc>
          <w:tcPr>
            <w:tcW w:w="1822" w:type="dxa"/>
            <w:vAlign w:val="center"/>
          </w:tcPr>
          <w:p>
            <w:pPr>
              <w:spacing w:line="276" w:lineRule="auto"/>
              <w:jc w:val="center"/>
              <w:rPr>
                <w:rFonts w:hint="eastAsia" w:ascii="宋体" w:hAnsi="宋体" w:eastAsia="宋体" w:cs="宋体"/>
                <w:color w:val="auto"/>
                <w:kern w:val="1"/>
                <w:szCs w:val="21"/>
                <w:highlight w:val="none"/>
                <w:lang w:val="en-US" w:eastAsia="zh-CN"/>
              </w:rPr>
            </w:pPr>
            <w:r>
              <w:rPr>
                <w:rFonts w:hint="eastAsia" w:ascii="宋体" w:hAnsi="宋体" w:eastAsia="宋体" w:cs="宋体"/>
                <w:color w:val="auto"/>
                <w:kern w:val="1"/>
                <w:szCs w:val="21"/>
                <w:highlight w:val="none"/>
                <w:lang w:val="en-US" w:eastAsia="zh-CN"/>
              </w:rPr>
              <w:t>15分</w:t>
            </w:r>
          </w:p>
        </w:tc>
        <w:tc>
          <w:tcPr>
            <w:tcW w:w="5729" w:type="dxa"/>
            <w:vAlign w:val="center"/>
          </w:tcPr>
          <w:p>
            <w:pPr>
              <w:spacing w:line="276" w:lineRule="auto"/>
              <w:rPr>
                <w:rFonts w:hint="eastAsia" w:ascii="宋体" w:hAnsi="宋体" w:eastAsia="宋体" w:cs="宋体"/>
                <w:b w:val="0"/>
                <w:bCs/>
                <w:color w:val="auto"/>
                <w:kern w:val="1"/>
                <w:szCs w:val="21"/>
                <w:highlight w:val="none"/>
                <w:u w:val="none"/>
              </w:rPr>
            </w:pPr>
            <w:r>
              <w:rPr>
                <w:rFonts w:hint="eastAsia" w:ascii="宋体" w:hAnsi="宋体" w:eastAsia="宋体" w:cs="宋体"/>
                <w:b w:val="0"/>
                <w:bCs/>
                <w:color w:val="auto"/>
                <w:kern w:val="1"/>
                <w:szCs w:val="21"/>
                <w:highlight w:val="none"/>
                <w:u w:val="none"/>
                <w:lang w:val="zh-CN"/>
              </w:rPr>
              <w:t>工程总投资合理，</w:t>
            </w:r>
            <w:r>
              <w:rPr>
                <w:rFonts w:hint="eastAsia" w:ascii="宋体" w:hAnsi="宋体" w:eastAsia="宋体" w:cs="宋体"/>
                <w:b w:val="0"/>
                <w:bCs/>
                <w:color w:val="auto"/>
                <w:kern w:val="1"/>
                <w:szCs w:val="21"/>
                <w:highlight w:val="none"/>
                <w:u w:val="none"/>
              </w:rPr>
              <w:t>有工程投资估算和工程投资节约措施分析得12分；</w:t>
            </w:r>
          </w:p>
          <w:p>
            <w:pPr>
              <w:spacing w:line="276" w:lineRule="auto"/>
              <w:rPr>
                <w:rFonts w:hint="eastAsia" w:ascii="宋体" w:hAnsi="宋体" w:eastAsia="宋体" w:cs="宋体"/>
                <w:b w:val="0"/>
                <w:bCs/>
                <w:color w:val="auto"/>
                <w:kern w:val="1"/>
                <w:szCs w:val="21"/>
                <w:highlight w:val="none"/>
                <w:u w:val="none"/>
                <w:lang w:val="zh-CN"/>
              </w:rPr>
            </w:pPr>
            <w:r>
              <w:rPr>
                <w:rFonts w:hint="eastAsia" w:ascii="宋体" w:hAnsi="宋体" w:eastAsia="宋体" w:cs="宋体"/>
                <w:b w:val="0"/>
                <w:bCs/>
                <w:color w:val="auto"/>
                <w:kern w:val="1"/>
                <w:szCs w:val="21"/>
                <w:highlight w:val="none"/>
                <w:u w:val="none"/>
                <w:lang w:val="zh-CN"/>
              </w:rPr>
              <w:t>节约工程总投资的措施及理由合理、可信、可行</w:t>
            </w:r>
            <w:r>
              <w:rPr>
                <w:rFonts w:hint="eastAsia" w:ascii="宋体" w:hAnsi="宋体" w:eastAsia="宋体" w:cs="宋体"/>
                <w:b w:val="0"/>
                <w:bCs/>
                <w:color w:val="auto"/>
                <w:kern w:val="1"/>
                <w:szCs w:val="21"/>
                <w:highlight w:val="none"/>
                <w:u w:val="none"/>
              </w:rPr>
              <w:t>程度及</w:t>
            </w:r>
            <w:r>
              <w:rPr>
                <w:rFonts w:hint="eastAsia" w:ascii="宋体" w:hAnsi="宋体" w:eastAsia="宋体" w:cs="宋体"/>
                <w:b w:val="0"/>
                <w:bCs/>
                <w:color w:val="auto"/>
                <w:kern w:val="1"/>
                <w:szCs w:val="21"/>
                <w:highlight w:val="none"/>
                <w:u w:val="none"/>
                <w:lang w:val="zh-CN"/>
              </w:rPr>
              <w:t>投资估算编制依据正确，</w:t>
            </w:r>
            <w:r>
              <w:rPr>
                <w:rFonts w:hint="eastAsia" w:ascii="宋体" w:hAnsi="宋体" w:eastAsia="宋体" w:cs="宋体"/>
                <w:b w:val="0"/>
                <w:bCs/>
                <w:color w:val="auto"/>
                <w:kern w:val="1"/>
                <w:szCs w:val="21"/>
                <w:highlight w:val="none"/>
                <w:u w:val="none"/>
              </w:rPr>
              <w:t>编制</w:t>
            </w:r>
            <w:r>
              <w:rPr>
                <w:rFonts w:hint="eastAsia" w:ascii="宋体" w:hAnsi="宋体" w:eastAsia="宋体" w:cs="宋体"/>
                <w:b w:val="0"/>
                <w:bCs/>
                <w:color w:val="auto"/>
                <w:kern w:val="1"/>
                <w:szCs w:val="21"/>
                <w:highlight w:val="none"/>
                <w:u w:val="none"/>
                <w:lang w:val="zh-CN"/>
              </w:rPr>
              <w:t>相应的深度要求，编制质量高的：</w:t>
            </w:r>
          </w:p>
          <w:p>
            <w:pPr>
              <w:spacing w:line="276" w:lineRule="auto"/>
              <w:rPr>
                <w:rFonts w:hint="eastAsia" w:ascii="宋体" w:hAnsi="宋体" w:eastAsia="宋体" w:cs="宋体"/>
                <w:b w:val="0"/>
                <w:bCs/>
                <w:color w:val="auto"/>
                <w:kern w:val="1"/>
                <w:szCs w:val="21"/>
                <w:highlight w:val="none"/>
                <w:u w:val="none"/>
                <w:lang w:val="zh-CN"/>
              </w:rPr>
            </w:pPr>
            <w:r>
              <w:rPr>
                <w:rFonts w:hint="eastAsia" w:ascii="宋体" w:hAnsi="宋体" w:eastAsia="宋体" w:cs="宋体"/>
                <w:b w:val="0"/>
                <w:bCs/>
                <w:color w:val="auto"/>
                <w:kern w:val="1"/>
                <w:szCs w:val="21"/>
                <w:highlight w:val="none"/>
                <w:u w:val="none"/>
              </w:rPr>
              <w:t>优</w:t>
            </w:r>
            <w:r>
              <w:rPr>
                <w:rFonts w:hint="eastAsia" w:ascii="宋体" w:hAnsi="宋体" w:eastAsia="宋体" w:cs="宋体"/>
                <w:b w:val="0"/>
                <w:bCs/>
                <w:color w:val="auto"/>
                <w:kern w:val="1"/>
                <w:szCs w:val="21"/>
                <w:highlight w:val="none"/>
                <w:u w:val="none"/>
                <w:lang w:val="zh-CN"/>
              </w:rPr>
              <w:t>得</w:t>
            </w:r>
            <w:r>
              <w:rPr>
                <w:rFonts w:hint="eastAsia" w:ascii="宋体" w:hAnsi="宋体" w:eastAsia="宋体" w:cs="宋体"/>
                <w:b w:val="0"/>
                <w:bCs/>
                <w:color w:val="auto"/>
                <w:kern w:val="1"/>
                <w:szCs w:val="21"/>
                <w:highlight w:val="none"/>
                <w:u w:val="none"/>
              </w:rPr>
              <w:t>3</w:t>
            </w:r>
            <w:r>
              <w:rPr>
                <w:rFonts w:hint="eastAsia" w:ascii="宋体" w:hAnsi="宋体" w:eastAsia="宋体" w:cs="宋体"/>
                <w:b w:val="0"/>
                <w:bCs/>
                <w:color w:val="auto"/>
                <w:kern w:val="1"/>
                <w:szCs w:val="21"/>
                <w:highlight w:val="none"/>
                <w:u w:val="none"/>
                <w:lang w:val="zh-CN"/>
              </w:rPr>
              <w:t>分，</w:t>
            </w:r>
            <w:r>
              <w:rPr>
                <w:rFonts w:hint="eastAsia" w:ascii="宋体" w:hAnsi="宋体" w:eastAsia="宋体" w:cs="宋体"/>
                <w:b w:val="0"/>
                <w:bCs/>
                <w:color w:val="auto"/>
                <w:kern w:val="1"/>
                <w:szCs w:val="21"/>
                <w:highlight w:val="none"/>
                <w:u w:val="none"/>
              </w:rPr>
              <w:t>中2</w:t>
            </w:r>
            <w:r>
              <w:rPr>
                <w:rFonts w:hint="eastAsia" w:ascii="宋体" w:hAnsi="宋体" w:eastAsia="宋体" w:cs="宋体"/>
                <w:b w:val="0"/>
                <w:bCs/>
                <w:color w:val="auto"/>
                <w:kern w:val="1"/>
                <w:szCs w:val="21"/>
                <w:highlight w:val="none"/>
                <w:u w:val="none"/>
                <w:lang w:val="zh-CN"/>
              </w:rPr>
              <w:t>分，</w:t>
            </w:r>
            <w:r>
              <w:rPr>
                <w:rFonts w:hint="eastAsia" w:ascii="宋体" w:hAnsi="宋体" w:eastAsia="宋体" w:cs="宋体"/>
                <w:b w:val="0"/>
                <w:bCs/>
                <w:color w:val="auto"/>
                <w:kern w:val="1"/>
                <w:szCs w:val="21"/>
                <w:highlight w:val="none"/>
                <w:u w:val="none"/>
              </w:rPr>
              <w:t>中</w:t>
            </w:r>
            <w:r>
              <w:rPr>
                <w:rFonts w:hint="eastAsia" w:ascii="宋体" w:hAnsi="宋体" w:eastAsia="宋体" w:cs="宋体"/>
                <w:b w:val="0"/>
                <w:bCs/>
                <w:color w:val="auto"/>
                <w:kern w:val="1"/>
                <w:szCs w:val="21"/>
                <w:highlight w:val="none"/>
                <w:u w:val="none"/>
                <w:lang w:val="zh-CN"/>
              </w:rPr>
              <w:t>得</w:t>
            </w:r>
            <w:r>
              <w:rPr>
                <w:rFonts w:hint="eastAsia" w:ascii="宋体" w:hAnsi="宋体" w:eastAsia="宋体" w:cs="宋体"/>
                <w:b w:val="0"/>
                <w:bCs/>
                <w:color w:val="auto"/>
                <w:kern w:val="1"/>
                <w:szCs w:val="21"/>
                <w:highlight w:val="none"/>
                <w:u w:val="none"/>
              </w:rPr>
              <w:t>1</w:t>
            </w:r>
            <w:r>
              <w:rPr>
                <w:rFonts w:hint="eastAsia" w:ascii="宋体" w:hAnsi="宋体" w:eastAsia="宋体" w:cs="宋体"/>
                <w:b w:val="0"/>
                <w:bCs/>
                <w:color w:val="auto"/>
                <w:kern w:val="1"/>
                <w:szCs w:val="21"/>
                <w:highlight w:val="none"/>
                <w:u w:val="none"/>
                <w:lang w:val="zh-CN"/>
              </w:rPr>
              <w:t>分。</w:t>
            </w:r>
          </w:p>
          <w:p>
            <w:pPr>
              <w:spacing w:line="276" w:lineRule="auto"/>
              <w:rPr>
                <w:rFonts w:hint="eastAsia" w:ascii="宋体" w:hAnsi="宋体" w:eastAsia="宋体" w:cs="宋体"/>
                <w:b/>
                <w:color w:val="auto"/>
                <w:kern w:val="1"/>
                <w:szCs w:val="21"/>
                <w:highlight w:val="none"/>
                <w:u w:val="single"/>
              </w:rPr>
            </w:pPr>
            <w:r>
              <w:rPr>
                <w:rFonts w:hint="eastAsia" w:ascii="宋体" w:hAnsi="宋体" w:eastAsia="宋体" w:cs="宋体"/>
                <w:b w:val="0"/>
                <w:bCs/>
                <w:color w:val="auto"/>
                <w:kern w:val="1"/>
                <w:szCs w:val="21"/>
                <w:highlight w:val="none"/>
                <w:u w:val="none"/>
              </w:rPr>
              <w:t>注：没有提供相关资料或描述的得0分。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restart"/>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2.2.4（2）</w:t>
            </w:r>
          </w:p>
        </w:tc>
        <w:tc>
          <w:tcPr>
            <w:tcW w:w="670" w:type="dxa"/>
            <w:vMerge w:val="restart"/>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工程总承包实施方案评分标准（100分）</w:t>
            </w:r>
          </w:p>
        </w:tc>
        <w:tc>
          <w:tcPr>
            <w:tcW w:w="891" w:type="dxa"/>
            <w:vMerge w:val="restart"/>
            <w:vAlign w:val="center"/>
          </w:tcPr>
          <w:p>
            <w:pPr>
              <w:spacing w:line="276"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rPr>
              <w:t>资信</w:t>
            </w:r>
            <w:r>
              <w:rPr>
                <w:rFonts w:hint="eastAsia" w:ascii="宋体" w:hAnsi="宋体" w:cs="宋体"/>
                <w:color w:val="auto"/>
                <w:kern w:val="1"/>
                <w:szCs w:val="21"/>
                <w:highlight w:val="none"/>
                <w:lang w:val="en-US" w:eastAsia="zh-CN"/>
              </w:rPr>
              <w:t>业绩</w:t>
            </w:r>
          </w:p>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en-US" w:eastAsia="zh-CN"/>
              </w:rPr>
              <w:t>6</w:t>
            </w:r>
            <w:r>
              <w:rPr>
                <w:rFonts w:hint="eastAsia" w:ascii="宋体" w:hAnsi="宋体" w:eastAsia="宋体" w:cs="宋体"/>
                <w:color w:val="auto"/>
                <w:kern w:val="1"/>
                <w:szCs w:val="21"/>
                <w:highlight w:val="none"/>
              </w:rPr>
              <w:t>分）</w:t>
            </w:r>
          </w:p>
        </w:tc>
        <w:tc>
          <w:tcPr>
            <w:tcW w:w="1822" w:type="dxa"/>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企业类似业绩</w:t>
            </w:r>
          </w:p>
          <w:p>
            <w:pPr>
              <w:spacing w:line="276" w:lineRule="auto"/>
              <w:jc w:val="center"/>
              <w:rPr>
                <w:rFonts w:hint="eastAsia" w:ascii="宋体" w:hAnsi="宋体" w:eastAsia="宋体" w:cs="宋体"/>
                <w:color w:val="auto"/>
                <w:kern w:val="1"/>
                <w:szCs w:val="21"/>
                <w:highlight w:val="none"/>
              </w:rPr>
            </w:pPr>
            <w:bookmarkStart w:id="529" w:name="_GoBack"/>
            <w:bookmarkEnd w:id="529"/>
            <w:r>
              <w:rPr>
                <w:rFonts w:hint="eastAsia" w:ascii="宋体" w:hAnsi="宋体" w:eastAsia="宋体" w:cs="宋体"/>
                <w:color w:val="auto"/>
                <w:kern w:val="1"/>
                <w:szCs w:val="21"/>
                <w:highlight w:val="none"/>
                <w:lang w:val="en-US" w:eastAsia="zh-CN"/>
              </w:rPr>
              <w:t>（</w:t>
            </w:r>
            <w:r>
              <w:rPr>
                <w:rFonts w:hint="eastAsia" w:ascii="宋体" w:hAnsi="宋体" w:cs="宋体"/>
                <w:color w:val="auto"/>
                <w:kern w:val="1"/>
                <w:szCs w:val="21"/>
                <w:highlight w:val="none"/>
                <w:lang w:val="en-US" w:eastAsia="zh-CN"/>
              </w:rPr>
              <w:t>9</w:t>
            </w:r>
            <w:r>
              <w:rPr>
                <w:rFonts w:hint="eastAsia" w:ascii="宋体" w:hAnsi="宋体" w:eastAsia="宋体" w:cs="宋体"/>
                <w:color w:val="auto"/>
                <w:kern w:val="1"/>
                <w:szCs w:val="21"/>
                <w:highlight w:val="none"/>
              </w:rPr>
              <w:t>分</w:t>
            </w:r>
            <w:r>
              <w:rPr>
                <w:rFonts w:hint="eastAsia" w:ascii="宋体" w:hAnsi="宋体" w:eastAsia="宋体" w:cs="宋体"/>
                <w:color w:val="auto"/>
                <w:kern w:val="1"/>
                <w:szCs w:val="21"/>
                <w:highlight w:val="none"/>
                <w:lang w:val="en-US" w:eastAsia="zh-CN"/>
              </w:rPr>
              <w:t>）</w:t>
            </w:r>
          </w:p>
        </w:tc>
        <w:tc>
          <w:tcPr>
            <w:tcW w:w="5729" w:type="dxa"/>
            <w:vAlign w:val="center"/>
          </w:tcPr>
          <w:p>
            <w:pPr>
              <w:spacing w:line="276" w:lineRule="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（1）投标人</w:t>
            </w:r>
            <w:r>
              <w:rPr>
                <w:rFonts w:hint="eastAsia" w:ascii="宋体" w:hAnsi="宋体" w:eastAsia="宋体" w:cs="宋体"/>
                <w:color w:val="auto"/>
                <w:szCs w:val="21"/>
                <w:highlight w:val="none"/>
                <w:u w:val="single"/>
              </w:rPr>
              <w:t>（若为联合体，指联合体主办方）</w:t>
            </w:r>
            <w:r>
              <w:rPr>
                <w:rFonts w:hint="eastAsia" w:ascii="宋体" w:hAnsi="宋体" w:eastAsia="宋体" w:cs="宋体"/>
                <w:color w:val="auto"/>
                <w:szCs w:val="21"/>
                <w:highlight w:val="none"/>
                <w:u w:val="none"/>
              </w:rPr>
              <w:t>自2021年1月1日至今完成过中标金额≥</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000万元的市政公用工程施工总承包业绩或工程总承包业绩(工程总承包业绩包含但不限于以下任一种:勘察设计施工总承包、设计施工总承包、EPC+0、EPC等)，每项得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分，本项最高分为</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分。</w:t>
            </w:r>
          </w:p>
          <w:p>
            <w:pPr>
              <w:spacing w:line="276"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注：须提供中标通知书（或免招标证明）、合同关键页、竣工验收证明文件的扫描件，业绩时间以竣工验收日期为准，业绩金额以中标价的信息为准，若中标价没有显示相应金额的，以合同价信息为准。如中标通知书或合同不能完全体现项目相应中标额，须提供能证明业绩经济或技术指标的证明文件。不符合上述条件或资料不齐全的不得分。</w:t>
            </w:r>
          </w:p>
          <w:p>
            <w:pPr>
              <w:pStyle w:val="13"/>
              <w:ind w:left="-1" w:leftChars="-1" w:hanging="1" w:firstLineChars="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（2）投标人</w:t>
            </w:r>
            <w:r>
              <w:rPr>
                <w:rFonts w:hint="eastAsia" w:ascii="宋体" w:hAnsi="宋体" w:eastAsia="宋体" w:cs="宋体"/>
                <w:color w:val="auto"/>
                <w:szCs w:val="21"/>
                <w:highlight w:val="none"/>
                <w:u w:val="single"/>
              </w:rPr>
              <w:t>（若为联合体，指联合体承担设计任务的单位）</w:t>
            </w:r>
            <w:r>
              <w:rPr>
                <w:rFonts w:hint="eastAsia" w:ascii="宋体" w:hAnsi="宋体" w:eastAsia="宋体" w:cs="宋体"/>
                <w:color w:val="auto"/>
                <w:szCs w:val="21"/>
                <w:highlight w:val="none"/>
                <w:u w:val="none"/>
              </w:rPr>
              <w:t>自2021年1月1日至今完成过总投资≥4000万元类似业绩的，每项得</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分，本项最高得</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rPr>
              <w:t>分。</w:t>
            </w:r>
          </w:p>
          <w:p>
            <w:pPr>
              <w:pStyle w:val="13"/>
              <w:ind w:left="-1" w:leftChars="-1" w:hanging="1" w:firstLineChars="0"/>
              <w:rPr>
                <w:rFonts w:hint="eastAsia" w:ascii="宋体" w:hAnsi="宋体" w:eastAsia="宋体" w:cs="宋体"/>
                <w:color w:val="auto"/>
                <w:highlight w:val="none"/>
              </w:rPr>
            </w:pPr>
            <w:r>
              <w:rPr>
                <w:rFonts w:hint="eastAsia" w:ascii="宋体" w:hAnsi="宋体" w:eastAsia="宋体" w:cs="宋体"/>
                <w:color w:val="auto"/>
                <w:szCs w:val="21"/>
                <w:highlight w:val="none"/>
                <w:u w:val="none"/>
              </w:rPr>
              <w:t>注：类似业绩工程是指市政公用工程设计业绩或勘察设计业绩或设计施工总承包业绩(设计施工总承包业绩包含但不限于以下任一种:勘察设计施工总承包、设计施工总承包、EPC+0、EPC等)。业绩认定时间以合同签订时间为准。同时提供中标通知书（或项目审批部门出具的免招标的相关证明）、合同关键页、项目初步设计审查证明（或初步设计会议评审纪要）或项目主体施工图审查合格证明或经业主确认的履约证明材料复印件并加盖单位公章，不提供或资料不齐全者不得分。</w:t>
            </w:r>
            <w:r>
              <w:rPr>
                <w:rFonts w:hint="eastAsia" w:ascii="宋体" w:hAnsi="宋体" w:eastAsia="宋体" w:cs="宋体"/>
                <w:color w:val="auto"/>
                <w:szCs w:val="21"/>
                <w:highlight w:val="none"/>
                <w:u w:val="single"/>
              </w:rPr>
              <w:t>若联合体投标中有2家或以上单位承担设计的，则以得分高的1家单位作为评审对象。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val="zh-CN"/>
              </w:rPr>
              <w:t>企业</w:t>
            </w:r>
            <w:r>
              <w:rPr>
                <w:rFonts w:hint="eastAsia" w:ascii="宋体" w:hAnsi="宋体" w:eastAsia="宋体" w:cs="宋体"/>
                <w:color w:val="auto"/>
                <w:szCs w:val="21"/>
                <w:highlight w:val="none"/>
              </w:rPr>
              <w:t>业绩</w:t>
            </w:r>
            <w:r>
              <w:rPr>
                <w:rFonts w:hint="eastAsia" w:ascii="宋体" w:hAnsi="宋体" w:eastAsia="宋体" w:cs="宋体"/>
                <w:color w:val="auto"/>
                <w:szCs w:val="21"/>
                <w:highlight w:val="none"/>
                <w:lang w:val="zh-CN"/>
              </w:rPr>
              <w:t>获奖</w:t>
            </w:r>
          </w:p>
          <w:p>
            <w:pPr>
              <w:spacing w:line="276"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w:t>
            </w:r>
            <w:r>
              <w:rPr>
                <w:rFonts w:hint="eastAsia" w:ascii="宋体" w:hAnsi="宋体" w:eastAsia="宋体" w:cs="宋体"/>
                <w:color w:val="auto"/>
                <w:kern w:val="1"/>
                <w:szCs w:val="21"/>
                <w:highlight w:val="none"/>
                <w:lang w:val="en-US" w:eastAsia="zh-CN"/>
              </w:rPr>
              <w:t>1</w:t>
            </w:r>
            <w:r>
              <w:rPr>
                <w:rFonts w:hint="eastAsia" w:ascii="宋体" w:hAnsi="宋体" w:cs="宋体"/>
                <w:color w:val="auto"/>
                <w:kern w:val="1"/>
                <w:szCs w:val="21"/>
                <w:highlight w:val="none"/>
                <w:lang w:val="en-US" w:eastAsia="zh-CN"/>
              </w:rPr>
              <w:t>0</w:t>
            </w:r>
            <w:r>
              <w:rPr>
                <w:rFonts w:hint="eastAsia" w:ascii="宋体" w:hAnsi="宋体" w:eastAsia="宋体" w:cs="宋体"/>
                <w:color w:val="auto"/>
                <w:kern w:val="1"/>
                <w:szCs w:val="21"/>
                <w:highlight w:val="none"/>
              </w:rPr>
              <w:t>分</w:t>
            </w:r>
            <w:r>
              <w:rPr>
                <w:rFonts w:hint="eastAsia" w:ascii="宋体" w:hAnsi="宋体" w:eastAsia="宋体" w:cs="宋体"/>
                <w:color w:val="auto"/>
                <w:kern w:val="1"/>
                <w:szCs w:val="21"/>
                <w:highlight w:val="none"/>
                <w:lang w:eastAsia="zh-CN"/>
              </w:rPr>
              <w:t>）</w:t>
            </w:r>
          </w:p>
        </w:tc>
        <w:tc>
          <w:tcPr>
            <w:tcW w:w="5729" w:type="dxa"/>
            <w:vAlign w:val="center"/>
          </w:tcPr>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w:t>
            </w:r>
            <w:r>
              <w:rPr>
                <w:rFonts w:hint="eastAsia" w:ascii="宋体" w:hAnsi="宋体" w:eastAsia="宋体" w:cs="宋体"/>
                <w:color w:val="auto"/>
                <w:szCs w:val="21"/>
                <w:highlight w:val="none"/>
                <w:u w:val="single"/>
              </w:rPr>
              <w:t>（若为联合体，指联合体主办方）</w:t>
            </w:r>
            <w:r>
              <w:rPr>
                <w:rFonts w:hint="eastAsia" w:ascii="宋体" w:hAnsi="宋体" w:eastAsia="宋体" w:cs="宋体"/>
                <w:color w:val="auto"/>
                <w:szCs w:val="21"/>
                <w:highlight w:val="none"/>
              </w:rPr>
              <w:t>自20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年1月1日至今，承接的市政公用工程获得过：</w:t>
            </w:r>
            <w:r>
              <w:rPr>
                <w:rFonts w:hint="eastAsia" w:ascii="宋体" w:hAnsi="宋体" w:eastAsia="宋体" w:cs="宋体"/>
                <w:color w:val="auto"/>
                <w:szCs w:val="21"/>
                <w:highlight w:val="none"/>
                <w:lang w:val="zh-CN"/>
              </w:rPr>
              <w:t>国家级奖项的每项得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分，获省级奖项的每项得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zh-CN"/>
              </w:rPr>
              <w:t>分，获市级（含副省级）奖项的每项得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，本小项最高得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wordWrap w:val="0"/>
              <w:rPr>
                <w:rFonts w:hint="eastAsia" w:ascii="宋体" w:hAnsi="宋体" w:eastAsia="宋体" w:cs="宋体"/>
                <w:color w:val="auto"/>
                <w:kern w:val="1"/>
                <w:szCs w:val="21"/>
                <w:highlight w:val="none"/>
                <w:u w:val="single"/>
              </w:rPr>
            </w:pPr>
            <w:r>
              <w:rPr>
                <w:rFonts w:hint="eastAsia" w:ascii="宋体" w:hAnsi="宋体" w:eastAsia="宋体" w:cs="宋体"/>
                <w:b/>
                <w:color w:val="auto"/>
                <w:kern w:val="1"/>
                <w:szCs w:val="21"/>
                <w:highlight w:val="none"/>
                <w:u w:val="single"/>
              </w:rPr>
              <w:t>注：</w:t>
            </w:r>
            <w:r>
              <w:rPr>
                <w:rFonts w:hint="eastAsia" w:ascii="宋体" w:hAnsi="宋体" w:eastAsia="宋体" w:cs="宋体"/>
                <w:color w:val="auto"/>
                <w:kern w:val="1"/>
                <w:szCs w:val="21"/>
                <w:highlight w:val="none"/>
                <w:u w:val="single"/>
              </w:rPr>
              <w:t>①须提供获奖证书或证明文件作为证明材料。</w:t>
            </w:r>
            <w:r>
              <w:rPr>
                <w:rFonts w:hint="eastAsia" w:ascii="宋体" w:hAnsi="宋体" w:eastAsia="宋体" w:cs="宋体"/>
                <w:color w:val="auto"/>
                <w:highlight w:val="none"/>
                <w:u w:val="single"/>
              </w:rPr>
              <w:t>若发证机构为协会的，须提供该协会在“全国社会组织信用信息公示平台（试运行)”网站（https://xxgs.chinanpo.mca.gov.cn/gsxt/newList）查询结果的网页打印页。</w:t>
            </w:r>
          </w:p>
          <w:p>
            <w:pPr>
              <w:rPr>
                <w:rFonts w:hint="eastAsia"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rPr>
              <w:t>②时间以获奖证书或证明文件颁发的时间为准，奖项级别以颁发单位的区域级别为准。</w:t>
            </w:r>
          </w:p>
          <w:p>
            <w:pPr>
              <w:rPr>
                <w:rFonts w:hint="eastAsia" w:ascii="宋体" w:hAnsi="宋体" w:eastAsia="宋体" w:cs="宋体"/>
                <w:color w:val="auto"/>
                <w:szCs w:val="21"/>
                <w:highlight w:val="none"/>
              </w:rPr>
            </w:pPr>
            <w:r>
              <w:rPr>
                <w:rFonts w:hint="eastAsia" w:ascii="宋体" w:hAnsi="宋体" w:eastAsia="宋体" w:cs="宋体"/>
                <w:color w:val="auto"/>
                <w:kern w:val="1"/>
                <w:szCs w:val="21"/>
                <w:highlight w:val="none"/>
                <w:u w:val="single"/>
              </w:rPr>
              <w:t>③同一工程获不同等级奖项，只按最高级别计算一次得分。</w:t>
            </w: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（2）投标人</w:t>
            </w:r>
            <w:r>
              <w:rPr>
                <w:rFonts w:hint="eastAsia" w:ascii="宋体" w:hAnsi="宋体" w:eastAsia="宋体" w:cs="宋体"/>
                <w:color w:val="auto"/>
                <w:szCs w:val="21"/>
                <w:highlight w:val="none"/>
                <w:u w:val="single"/>
              </w:rPr>
              <w:t>（若为联合体，指联合体承担设计任务的单位）</w:t>
            </w:r>
            <w:r>
              <w:rPr>
                <w:rFonts w:hint="eastAsia" w:ascii="宋体" w:hAnsi="宋体" w:eastAsia="宋体" w:cs="宋体"/>
                <w:color w:val="auto"/>
                <w:szCs w:val="21"/>
                <w:highlight w:val="none"/>
                <w:u w:val="none"/>
              </w:rPr>
              <w:t>自2021年1月1日至今，承接的市政公用工程设计获奖：获国家级（含行业级）奖项的，每项得</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rPr>
              <w:t>分；省级奖项的，每项得</w:t>
            </w:r>
            <w:r>
              <w:rPr>
                <w:rFonts w:hint="eastAsia" w:ascii="宋体" w:hAnsi="宋体" w:cs="宋体"/>
                <w:color w:val="auto"/>
                <w:szCs w:val="21"/>
                <w:highlight w:val="none"/>
                <w:u w:val="none"/>
                <w:lang w:val="en-US" w:eastAsia="zh-CN"/>
              </w:rPr>
              <w:t>2.5</w:t>
            </w:r>
            <w:r>
              <w:rPr>
                <w:rFonts w:hint="eastAsia" w:ascii="宋体" w:hAnsi="宋体" w:eastAsia="宋体" w:cs="宋体"/>
                <w:color w:val="auto"/>
                <w:szCs w:val="21"/>
                <w:highlight w:val="none"/>
                <w:u w:val="none"/>
              </w:rPr>
              <w:t>分；市级奖（含副省级）的，每项得</w:t>
            </w:r>
            <w:r>
              <w:rPr>
                <w:rFonts w:hint="eastAsia" w:ascii="宋体" w:hAnsi="宋体" w:cs="宋体"/>
                <w:color w:val="auto"/>
                <w:szCs w:val="21"/>
                <w:highlight w:val="none"/>
                <w:u w:val="none"/>
                <w:lang w:val="en-US" w:eastAsia="zh-CN"/>
              </w:rPr>
              <w:t>2</w:t>
            </w:r>
            <w:r>
              <w:rPr>
                <w:rFonts w:hint="eastAsia" w:ascii="宋体" w:hAnsi="宋体" w:eastAsia="宋体" w:cs="宋体"/>
                <w:color w:val="auto"/>
                <w:szCs w:val="21"/>
                <w:highlight w:val="none"/>
                <w:u w:val="none"/>
              </w:rPr>
              <w:t>分。本项最高得</w:t>
            </w:r>
            <w:r>
              <w:rPr>
                <w:rFonts w:hint="eastAsia" w:ascii="宋体" w:hAnsi="宋体" w:cs="宋体"/>
                <w:color w:val="auto"/>
                <w:szCs w:val="21"/>
                <w:highlight w:val="none"/>
                <w:u w:val="none"/>
                <w:lang w:val="en-US" w:eastAsia="zh-CN"/>
              </w:rPr>
              <w:t>4</w:t>
            </w:r>
            <w:r>
              <w:rPr>
                <w:rFonts w:hint="eastAsia" w:ascii="宋体" w:hAnsi="宋体" w:eastAsia="宋体" w:cs="宋体"/>
                <w:color w:val="auto"/>
                <w:szCs w:val="21"/>
                <w:highlight w:val="none"/>
                <w:u w:val="none"/>
              </w:rPr>
              <w:t>分。</w:t>
            </w:r>
          </w:p>
          <w:p>
            <w:pPr>
              <w:rPr>
                <w:rFonts w:hint="eastAsia" w:ascii="宋体" w:hAnsi="宋体" w:eastAsia="宋体" w:cs="宋体"/>
                <w:color w:val="auto"/>
                <w:highlight w:val="none"/>
              </w:rPr>
            </w:pPr>
            <w:r>
              <w:rPr>
                <w:rFonts w:hint="eastAsia" w:ascii="宋体" w:hAnsi="宋体" w:eastAsia="宋体" w:cs="宋体"/>
                <w:color w:val="auto"/>
                <w:szCs w:val="21"/>
                <w:highlight w:val="none"/>
                <w:u w:val="single"/>
              </w:rPr>
              <w:t>注：①获奖奖项为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工程勘察设计奖。②获奖时间以证书日期为准。工程项目获奖处于公示阶段的不得分。③须提供获奖证书（或获奖文件）并加盖单位公章，不提供者不得分。④同一项目获奖按最高级别计分一次</w:t>
            </w:r>
            <w:r>
              <w:rPr>
                <w:rFonts w:hint="eastAsia" w:ascii="宋体" w:hAnsi="宋体" w:eastAsia="宋体" w:cs="宋体"/>
                <w:color w:val="auto"/>
                <w:kern w:val="1"/>
                <w:szCs w:val="21"/>
                <w:highlight w:val="none"/>
                <w:u w:val="single"/>
              </w:rPr>
              <w:t>。</w:t>
            </w:r>
            <w:r>
              <w:rPr>
                <w:rFonts w:hint="eastAsia" w:ascii="宋体" w:hAnsi="宋体" w:eastAsia="宋体" w:cs="宋体"/>
                <w:color w:val="auto"/>
                <w:szCs w:val="21"/>
                <w:highlight w:val="none"/>
                <w:u w:val="single"/>
              </w:rPr>
              <w:t>若联合体投标中有2家或以上单位承担设计的，则以得分高的1家单位作为评审对象。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科技创新成果</w:t>
            </w:r>
          </w:p>
          <w:p>
            <w:pPr>
              <w:spacing w:line="276"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p>
        </w:tc>
        <w:tc>
          <w:tcPr>
            <w:tcW w:w="5729" w:type="dxa"/>
            <w:vAlign w:val="center"/>
          </w:tcPr>
          <w:p>
            <w:pPr>
              <w:jc w:val="left"/>
              <w:rPr>
                <w:rFonts w:ascii="宋体" w:hAnsi="宋体" w:cstheme="minorBidi"/>
                <w:color w:val="auto"/>
                <w:szCs w:val="22"/>
                <w:highlight w:val="none"/>
              </w:rPr>
            </w:pPr>
            <w:r>
              <w:rPr>
                <w:rFonts w:hint="eastAsia" w:ascii="宋体" w:hAnsi="宋体" w:cstheme="minorBidi"/>
                <w:color w:val="auto"/>
                <w:szCs w:val="22"/>
                <w:highlight w:val="none"/>
              </w:rPr>
              <w:t>投标人（若为联合体，</w:t>
            </w:r>
            <w:r>
              <w:rPr>
                <w:rFonts w:hint="eastAsia" w:ascii="宋体" w:hAnsi="宋体" w:eastAsia="宋体" w:cs="宋体"/>
                <w:color w:val="auto"/>
                <w:szCs w:val="21"/>
                <w:highlight w:val="none"/>
                <w:u w:val="single"/>
              </w:rPr>
              <w:t>指联合体承担设计任务的单位</w:t>
            </w:r>
            <w:r>
              <w:rPr>
                <w:rFonts w:hint="eastAsia" w:ascii="宋体" w:hAnsi="宋体" w:cstheme="minorBidi"/>
                <w:color w:val="auto"/>
                <w:szCs w:val="22"/>
                <w:highlight w:val="none"/>
              </w:rPr>
              <w:t>）自</w:t>
            </w:r>
            <w:r>
              <w:rPr>
                <w:rFonts w:ascii="宋体" w:hAnsi="宋体" w:cstheme="minorBidi"/>
                <w:color w:val="auto"/>
                <w:szCs w:val="22"/>
                <w:highlight w:val="none"/>
              </w:rPr>
              <w:t>2021年1月1日至今</w:t>
            </w:r>
            <w:r>
              <w:rPr>
                <w:rFonts w:ascii="宋体" w:hAnsi="宋体" w:cstheme="minorBidi"/>
                <w:color w:val="auto"/>
                <w:szCs w:val="21"/>
                <w:highlight w:val="none"/>
              </w:rPr>
              <w:t>作为主要完成单位或独立完成单位获得过市政类</w:t>
            </w:r>
            <w:r>
              <w:rPr>
                <w:rFonts w:hint="eastAsia" w:ascii="宋体" w:hAnsi="宋体" w:cstheme="minorBidi"/>
                <w:color w:val="auto"/>
                <w:szCs w:val="21"/>
                <w:highlight w:val="none"/>
              </w:rPr>
              <w:t>省</w:t>
            </w:r>
            <w:r>
              <w:rPr>
                <w:rFonts w:ascii="宋体" w:hAnsi="宋体" w:cstheme="minorBidi"/>
                <w:color w:val="auto"/>
                <w:szCs w:val="21"/>
                <w:highlight w:val="none"/>
              </w:rPr>
              <w:t>级或以上</w:t>
            </w:r>
            <w:r>
              <w:rPr>
                <w:rFonts w:hint="eastAsia"/>
                <w:color w:val="auto"/>
                <w:highlight w:val="none"/>
                <w:lang w:val="en-US" w:eastAsia="zh-CN"/>
              </w:rPr>
              <w:t>科学技术类奖项</w:t>
            </w:r>
            <w:r>
              <w:rPr>
                <w:rFonts w:ascii="宋体" w:hAnsi="宋体" w:cstheme="minorBidi"/>
                <w:color w:val="auto"/>
                <w:szCs w:val="21"/>
                <w:highlight w:val="none"/>
              </w:rPr>
              <w:t>，每项得</w:t>
            </w:r>
            <w:r>
              <w:rPr>
                <w:rFonts w:hint="eastAsia" w:ascii="宋体" w:hAnsi="宋体" w:cstheme="minorBidi"/>
                <w:color w:val="auto"/>
                <w:szCs w:val="21"/>
                <w:highlight w:val="none"/>
                <w:lang w:val="en-US" w:eastAsia="zh-CN"/>
              </w:rPr>
              <w:t>5</w:t>
            </w:r>
            <w:r>
              <w:rPr>
                <w:rFonts w:ascii="宋体" w:hAnsi="宋体" w:cstheme="minorBidi"/>
                <w:color w:val="auto"/>
                <w:szCs w:val="21"/>
                <w:highlight w:val="none"/>
              </w:rPr>
              <w:t>分</w:t>
            </w:r>
            <w:r>
              <w:rPr>
                <w:rFonts w:hint="eastAsia" w:ascii="宋体" w:hAnsi="宋体" w:cstheme="minorBidi"/>
                <w:color w:val="auto"/>
                <w:szCs w:val="21"/>
                <w:highlight w:val="none"/>
              </w:rPr>
              <w:t>；</w:t>
            </w:r>
            <w:r>
              <w:rPr>
                <w:rFonts w:ascii="宋体" w:hAnsi="宋体" w:cstheme="minorBidi"/>
                <w:color w:val="auto"/>
                <w:szCs w:val="21"/>
                <w:highlight w:val="none"/>
              </w:rPr>
              <w:t>获得过市政类</w:t>
            </w:r>
            <w:r>
              <w:rPr>
                <w:rFonts w:hint="eastAsia" w:ascii="宋体" w:hAnsi="宋体" w:cstheme="minorBidi"/>
                <w:color w:val="auto"/>
                <w:szCs w:val="21"/>
                <w:highlight w:val="none"/>
                <w:lang w:val="en-US" w:eastAsia="zh-CN"/>
              </w:rPr>
              <w:t>市</w:t>
            </w:r>
            <w:r>
              <w:rPr>
                <w:rFonts w:ascii="宋体" w:hAnsi="宋体" w:cstheme="minorBidi"/>
                <w:color w:val="auto"/>
                <w:szCs w:val="21"/>
                <w:highlight w:val="none"/>
              </w:rPr>
              <w:t>级</w:t>
            </w:r>
            <w:r>
              <w:rPr>
                <w:rFonts w:hint="eastAsia"/>
                <w:color w:val="auto"/>
                <w:highlight w:val="none"/>
                <w:lang w:val="en-US" w:eastAsia="zh-CN"/>
              </w:rPr>
              <w:t>科学技术类奖项</w:t>
            </w:r>
            <w:r>
              <w:rPr>
                <w:rFonts w:ascii="宋体" w:hAnsi="宋体" w:cstheme="minorBidi"/>
                <w:color w:val="auto"/>
                <w:szCs w:val="21"/>
                <w:highlight w:val="none"/>
              </w:rPr>
              <w:t>，每项得</w:t>
            </w:r>
            <w:r>
              <w:rPr>
                <w:rFonts w:hint="eastAsia" w:ascii="宋体" w:hAnsi="宋体" w:cstheme="minorBidi"/>
                <w:color w:val="auto"/>
                <w:szCs w:val="21"/>
                <w:highlight w:val="none"/>
                <w:lang w:val="en-US" w:eastAsia="zh-CN"/>
              </w:rPr>
              <w:t>2.5</w:t>
            </w:r>
            <w:r>
              <w:rPr>
                <w:rFonts w:ascii="宋体" w:hAnsi="宋体" w:cstheme="minorBidi"/>
                <w:color w:val="auto"/>
                <w:szCs w:val="21"/>
                <w:highlight w:val="none"/>
              </w:rPr>
              <w:t>分</w:t>
            </w:r>
            <w:r>
              <w:rPr>
                <w:rFonts w:hint="eastAsia" w:ascii="宋体" w:hAnsi="宋体" w:cstheme="minorBidi"/>
                <w:color w:val="auto"/>
                <w:szCs w:val="21"/>
                <w:highlight w:val="none"/>
                <w:lang w:eastAsia="zh-CN"/>
              </w:rPr>
              <w:t>；</w:t>
            </w:r>
            <w:r>
              <w:rPr>
                <w:rFonts w:ascii="宋体" w:hAnsi="宋体" w:cstheme="minorBidi"/>
                <w:color w:val="auto"/>
                <w:szCs w:val="22"/>
                <w:highlight w:val="none"/>
              </w:rPr>
              <w:t>最多得</w:t>
            </w:r>
            <w:r>
              <w:rPr>
                <w:rFonts w:hint="eastAsia" w:ascii="宋体" w:hAnsi="宋体" w:cstheme="minorBidi"/>
                <w:color w:val="auto"/>
                <w:szCs w:val="22"/>
                <w:highlight w:val="none"/>
                <w:lang w:val="en-US" w:eastAsia="zh-CN"/>
              </w:rPr>
              <w:t>5</w:t>
            </w:r>
            <w:r>
              <w:rPr>
                <w:rFonts w:ascii="宋体" w:hAnsi="宋体" w:cstheme="minorBidi"/>
                <w:color w:val="auto"/>
                <w:szCs w:val="22"/>
                <w:highlight w:val="none"/>
              </w:rPr>
              <w:t>分。</w:t>
            </w:r>
          </w:p>
          <w:p>
            <w:pPr>
              <w:rPr>
                <w:rFonts w:hint="eastAsia" w:ascii="宋体" w:hAnsi="宋体" w:eastAsia="宋体" w:cs="宋体"/>
                <w:color w:val="auto"/>
                <w:szCs w:val="21"/>
                <w:highlight w:val="none"/>
                <w:u w:val="single"/>
              </w:rPr>
            </w:pPr>
            <w:r>
              <w:rPr>
                <w:rFonts w:hint="eastAsia" w:ascii="宋体" w:hAnsi="宋体" w:cstheme="minorBidi"/>
                <w:color w:val="auto"/>
                <w:szCs w:val="21"/>
                <w:highlight w:val="none"/>
              </w:rPr>
              <w:t>注：</w:t>
            </w:r>
            <w:r>
              <w:rPr>
                <w:rFonts w:hint="eastAsia" w:ascii="宋体" w:hAnsi="宋体" w:cstheme="minorBidi"/>
                <w:color w:val="auto"/>
                <w:szCs w:val="22"/>
                <w:highlight w:val="none"/>
              </w:rPr>
              <w:t>须提供科学技术</w:t>
            </w:r>
            <w:r>
              <w:rPr>
                <w:rFonts w:hint="eastAsia" w:ascii="宋体" w:hAnsi="宋体" w:cstheme="minorBidi"/>
                <w:color w:val="auto"/>
                <w:szCs w:val="22"/>
                <w:highlight w:val="none"/>
                <w:lang w:val="en-US" w:eastAsia="zh-CN"/>
              </w:rPr>
              <w:t>类</w:t>
            </w:r>
            <w:r>
              <w:rPr>
                <w:rFonts w:hint="eastAsia" w:ascii="宋体" w:hAnsi="宋体" w:cstheme="minorBidi"/>
                <w:color w:val="auto"/>
                <w:szCs w:val="22"/>
                <w:highlight w:val="none"/>
              </w:rPr>
              <w:t>奖证书扫描件，时间以证书中载明的发证时间为准</w:t>
            </w:r>
            <w:r>
              <w:rPr>
                <w:rFonts w:ascii="宋体" w:hAnsi="宋体" w:cstheme="minorBidi"/>
                <w:color w:val="auto"/>
                <w:szCs w:val="22"/>
                <w:highlight w:val="none"/>
              </w:rPr>
              <w:t>，否则不得分。</w:t>
            </w:r>
            <w:r>
              <w:rPr>
                <w:rFonts w:hint="eastAsia" w:ascii="宋体" w:hAnsi="宋体" w:eastAsia="宋体" w:cs="宋体"/>
                <w:color w:val="auto"/>
                <w:szCs w:val="21"/>
                <w:highlight w:val="none"/>
                <w:u w:val="single"/>
              </w:rPr>
              <w:t>若联合体投标中有2家或以上单位承担设计的，则以得分高的1家单位作为评审对象。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第三方信用评价</w:t>
            </w:r>
          </w:p>
          <w:p>
            <w:pPr>
              <w:spacing w:line="276"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color w:val="auto"/>
                <w:kern w:val="1"/>
                <w:szCs w:val="21"/>
                <w:highlight w:val="none"/>
                <w:lang w:eastAsia="zh-CN"/>
              </w:rPr>
              <w:t>（</w:t>
            </w:r>
            <w:r>
              <w:rPr>
                <w:rFonts w:hint="eastAsia" w:ascii="宋体" w:hAnsi="宋体" w:cs="宋体"/>
                <w:color w:val="auto"/>
                <w:kern w:val="1"/>
                <w:szCs w:val="21"/>
                <w:highlight w:val="none"/>
                <w:lang w:val="en-US" w:eastAsia="zh-CN"/>
              </w:rPr>
              <w:t>12</w:t>
            </w:r>
            <w:r>
              <w:rPr>
                <w:rFonts w:hint="eastAsia" w:ascii="宋体" w:hAnsi="宋体" w:eastAsia="宋体" w:cs="宋体"/>
                <w:color w:val="auto"/>
                <w:kern w:val="1"/>
                <w:szCs w:val="21"/>
                <w:highlight w:val="none"/>
              </w:rPr>
              <w:t>分</w:t>
            </w:r>
            <w:r>
              <w:rPr>
                <w:rFonts w:hint="eastAsia" w:ascii="宋体" w:hAnsi="宋体" w:eastAsia="宋体" w:cs="宋体"/>
                <w:color w:val="auto"/>
                <w:kern w:val="1"/>
                <w:szCs w:val="21"/>
                <w:highlight w:val="none"/>
                <w:lang w:eastAsia="zh-CN"/>
              </w:rPr>
              <w:t>）</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w:t>
            </w:r>
            <w:r>
              <w:rPr>
                <w:rFonts w:hint="eastAsia" w:ascii="宋体" w:hAnsi="宋体" w:eastAsia="宋体" w:cs="宋体"/>
                <w:color w:val="auto"/>
                <w:szCs w:val="21"/>
                <w:highlight w:val="none"/>
                <w:u w:val="single"/>
              </w:rPr>
              <w:t>（若为联合体，指联合体主办方）</w:t>
            </w:r>
            <w:r>
              <w:rPr>
                <w:rFonts w:hint="eastAsia" w:ascii="宋体" w:hAnsi="宋体" w:eastAsia="宋体" w:cs="宋体"/>
                <w:color w:val="auto"/>
                <w:szCs w:val="21"/>
                <w:highlight w:val="none"/>
              </w:rPr>
              <w:t>至投标截止时间为止，连续获得“A级纳税人”称号情况：</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连续获得5年或以上的，得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连续获得3年-4年的，得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连续获得1年-2年的，得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其他不得分。</w:t>
            </w:r>
          </w:p>
          <w:p>
            <w:pPr>
              <w:pStyle w:val="13"/>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本项需包含最近评审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w:t>
            </w:r>
            <w:r>
              <w:rPr>
                <w:rFonts w:hint="eastAsia" w:ascii="宋体" w:hAnsi="宋体" w:eastAsia="宋体" w:cs="宋体"/>
                <w:color w:val="auto"/>
                <w:szCs w:val="21"/>
                <w:highlight w:val="none"/>
                <w:u w:val="single"/>
              </w:rPr>
              <w:t>（若为联合体，指联合体承担设计任务的单位）</w:t>
            </w:r>
            <w:r>
              <w:rPr>
                <w:rFonts w:hint="eastAsia" w:ascii="宋体" w:hAnsi="宋体" w:eastAsia="宋体" w:cs="宋体"/>
                <w:color w:val="auto"/>
                <w:szCs w:val="21"/>
                <w:highlight w:val="none"/>
              </w:rPr>
              <w:t>至投标截止时间为止，连续获得“A级纳税人”称号情况：</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连续获得5年或以上的，得</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连续获得3年-4年的，得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连续获得1年-2年的，得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其他不得分。</w:t>
            </w:r>
          </w:p>
          <w:p>
            <w:pPr>
              <w:pStyle w:val="13"/>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本项需包含最近评审年度，需提供相关证明材料，时间以证明材料上注明的获奖年度为准，证明材料可为“国家税务总局”官网（http://www.chinatax.gov.cn/）查询结果截图或各省税务局管网查询结果（须提供在查询结果网页打印件）或信用中国官网（须提供在查询结果网页打印件），或税务局出具的官方证明为准。只计算投标人自身（不计算投标人的分公司和子公司）。</w:t>
            </w:r>
            <w:r>
              <w:rPr>
                <w:rFonts w:hint="eastAsia" w:ascii="宋体" w:hAnsi="宋体" w:eastAsia="宋体" w:cs="宋体"/>
                <w:color w:val="auto"/>
                <w:szCs w:val="21"/>
                <w:highlight w:val="none"/>
                <w:u w:val="single"/>
              </w:rPr>
              <w:t>若联合体投标中有2家或以上单位承担设计的，则以得分高的1家单位作为评审对象。</w:t>
            </w:r>
          </w:p>
          <w:p>
            <w:pPr>
              <w:pStyle w:val="13"/>
              <w:ind w:firstLine="0" w:firstLineChars="0"/>
              <w:rPr>
                <w:rFonts w:hint="eastAsia" w:ascii="宋体" w:hAnsi="宋体" w:eastAsia="宋体" w:cs="宋体"/>
                <w:b w:val="0"/>
                <w:color w:val="auto"/>
                <w:szCs w:val="24"/>
                <w:highlight w:val="none"/>
                <w:lang w:val="en-US" w:eastAsia="zh-CN"/>
              </w:rPr>
            </w:pPr>
            <w:r>
              <w:rPr>
                <w:rFonts w:hint="eastAsia" w:ascii="宋体" w:hAnsi="宋体" w:eastAsia="宋体" w:cs="宋体"/>
                <w:b w:val="0"/>
                <w:color w:val="auto"/>
                <w:szCs w:val="24"/>
                <w:highlight w:val="none"/>
                <w:lang w:val="en-US" w:eastAsia="zh-CN"/>
              </w:rPr>
              <w:t>3、投标人</w:t>
            </w:r>
            <w:r>
              <w:rPr>
                <w:rFonts w:hint="eastAsia" w:ascii="宋体" w:hAnsi="宋体" w:eastAsia="宋体" w:cs="宋体"/>
                <w:color w:val="auto"/>
                <w:szCs w:val="21"/>
                <w:highlight w:val="none"/>
                <w:u w:val="single"/>
              </w:rPr>
              <w:t>（若为联合体，指联合体承担设计任务的单位）具有质量管理体系认证、环境管理体系认证、职业健康管理体系认证且在有效期内的，</w:t>
            </w:r>
            <w:r>
              <w:rPr>
                <w:rFonts w:hint="eastAsia" w:ascii="宋体" w:hAnsi="宋体" w:cs="宋体"/>
                <w:color w:val="auto"/>
                <w:szCs w:val="21"/>
                <w:highlight w:val="none"/>
                <w:u w:val="single"/>
                <w:lang w:val="en-US" w:eastAsia="zh-CN"/>
              </w:rPr>
              <w:t>提供3个得4分；提供其中2个得2分；提供其中1</w:t>
            </w:r>
            <w:r>
              <w:rPr>
                <w:rFonts w:hint="eastAsia" w:ascii="宋体" w:hAnsi="宋体" w:eastAsia="宋体" w:cs="宋体"/>
                <w:color w:val="auto"/>
                <w:szCs w:val="21"/>
                <w:highlight w:val="none"/>
                <w:u w:val="single"/>
              </w:rPr>
              <w:t>个得</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分，最多得</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分；没有得0分</w:t>
            </w:r>
            <w:r>
              <w:rPr>
                <w:rFonts w:hint="eastAsia" w:ascii="宋体" w:hAnsi="宋体" w:eastAsia="宋体" w:cs="宋体"/>
                <w:b w:val="0"/>
                <w:color w:val="auto"/>
                <w:szCs w:val="24"/>
                <w:highlight w:val="none"/>
                <w:lang w:val="en-US" w:eastAsia="zh-CN"/>
              </w:rPr>
              <w:t>。本小项最多得</w:t>
            </w:r>
            <w:r>
              <w:rPr>
                <w:rFonts w:hint="eastAsia" w:ascii="宋体" w:hAnsi="宋体" w:cs="宋体"/>
                <w:b w:val="0"/>
                <w:color w:val="auto"/>
                <w:szCs w:val="24"/>
                <w:highlight w:val="none"/>
                <w:lang w:val="en-US" w:eastAsia="zh-CN"/>
              </w:rPr>
              <w:t>4</w:t>
            </w:r>
            <w:r>
              <w:rPr>
                <w:rFonts w:hint="eastAsia" w:ascii="宋体" w:hAnsi="宋体" w:eastAsia="宋体" w:cs="宋体"/>
                <w:b w:val="0"/>
                <w:color w:val="auto"/>
                <w:szCs w:val="24"/>
                <w:highlight w:val="none"/>
                <w:lang w:val="en-US" w:eastAsia="zh-CN"/>
              </w:rPr>
              <w:t>分。</w:t>
            </w:r>
          </w:p>
          <w:p>
            <w:pPr>
              <w:pStyle w:val="13"/>
              <w:ind w:firstLine="0" w:firstLineChars="0"/>
              <w:rPr>
                <w:rFonts w:hint="eastAsia" w:ascii="宋体" w:hAnsi="宋体" w:eastAsia="宋体" w:cs="宋体"/>
                <w:color w:val="auto"/>
                <w:highlight w:val="none"/>
                <w:lang w:val="en-US" w:eastAsia="zh-CN"/>
              </w:rPr>
            </w:pPr>
            <w:r>
              <w:rPr>
                <w:rFonts w:hint="eastAsia" w:ascii="宋体" w:hAnsi="宋体" w:eastAsia="宋体" w:cs="宋体"/>
                <w:b w:val="0"/>
                <w:color w:val="auto"/>
                <w:szCs w:val="24"/>
                <w:highlight w:val="none"/>
                <w:lang w:val="en-US" w:eastAsia="zh-CN"/>
              </w:rPr>
              <w:t>注：提供相关证书应在有效期内，否则不计分。应提供证书原件扫描件，加盖单位公章。</w:t>
            </w:r>
            <w:r>
              <w:rPr>
                <w:rFonts w:hint="eastAsia" w:ascii="宋体" w:hAnsi="宋体" w:eastAsia="宋体" w:cs="宋体"/>
                <w:color w:val="auto"/>
                <w:szCs w:val="21"/>
                <w:highlight w:val="none"/>
                <w:u w:val="single"/>
              </w:rPr>
              <w:t>若联合体投标中有2家或以上单位承担设计的，则以得分高的1家单位作为评审对象。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restart"/>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工程实施方案（6</w:t>
            </w:r>
            <w:r>
              <w:rPr>
                <w:rFonts w:hint="eastAsia" w:ascii="宋体" w:hAnsi="宋体" w:eastAsia="宋体" w:cs="宋体"/>
                <w:color w:val="auto"/>
                <w:kern w:val="1"/>
                <w:szCs w:val="21"/>
                <w:highlight w:val="none"/>
                <w:lang w:val="en-US" w:eastAsia="zh-CN"/>
              </w:rPr>
              <w:t>4</w:t>
            </w:r>
            <w:r>
              <w:rPr>
                <w:rFonts w:hint="eastAsia" w:ascii="宋体" w:hAnsi="宋体" w:eastAsia="宋体" w:cs="宋体"/>
                <w:color w:val="auto"/>
                <w:kern w:val="1"/>
                <w:szCs w:val="21"/>
                <w:highlight w:val="none"/>
              </w:rPr>
              <w:t>分）</w:t>
            </w:r>
          </w:p>
        </w:tc>
        <w:tc>
          <w:tcPr>
            <w:tcW w:w="1822" w:type="dxa"/>
            <w:vMerge w:val="restart"/>
            <w:vAlign w:val="center"/>
          </w:tcPr>
          <w:p>
            <w:pPr>
              <w:pStyle w:val="13"/>
              <w:ind w:firstLine="0" w:firstLineChars="0"/>
              <w:jc w:val="center"/>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项目管理团队</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32分</w:t>
            </w:r>
            <w:r>
              <w:rPr>
                <w:rFonts w:hint="eastAsia" w:ascii="宋体" w:hAnsi="宋体" w:eastAsia="宋体" w:cs="宋体"/>
                <w:color w:val="auto"/>
                <w:kern w:val="0"/>
                <w:szCs w:val="21"/>
                <w:highlight w:val="none"/>
                <w:lang w:eastAsia="zh-CN"/>
              </w:rPr>
              <w:t>）</w:t>
            </w:r>
          </w:p>
        </w:tc>
        <w:tc>
          <w:tcPr>
            <w:tcW w:w="5729" w:type="dxa"/>
            <w:vAlign w:val="center"/>
          </w:tcPr>
          <w:p>
            <w:pP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施工</w:t>
            </w:r>
            <w:r>
              <w:rPr>
                <w:rFonts w:hint="eastAsia" w:ascii="宋体" w:hAnsi="宋体" w:eastAsia="宋体" w:cs="宋体"/>
                <w:bCs/>
                <w:snapToGrid w:val="0"/>
                <w:color w:val="auto"/>
                <w:kern w:val="0"/>
                <w:szCs w:val="21"/>
                <w:highlight w:val="none"/>
              </w:rPr>
              <w:t>项目管理团队（14分）：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w:t>
            </w:r>
            <w:r>
              <w:rPr>
                <w:rFonts w:hint="eastAsia" w:ascii="宋体" w:hAnsi="宋体" w:cs="宋体"/>
                <w:bCs/>
                <w:snapToGrid w:val="0"/>
                <w:color w:val="auto"/>
                <w:kern w:val="0"/>
                <w:szCs w:val="21"/>
                <w:highlight w:val="none"/>
                <w:lang w:val="en-US" w:eastAsia="zh-CN"/>
              </w:rPr>
              <w:t>施工</w:t>
            </w:r>
            <w:r>
              <w:rPr>
                <w:rFonts w:hint="eastAsia" w:ascii="宋体" w:hAnsi="宋体" w:cs="宋体"/>
                <w:bCs/>
                <w:snapToGrid w:val="0"/>
                <w:color w:val="auto"/>
                <w:kern w:val="0"/>
                <w:szCs w:val="21"/>
                <w:highlight w:val="none"/>
              </w:rPr>
              <w:t>负责人（</w:t>
            </w:r>
            <w:r>
              <w:rPr>
                <w:rFonts w:hint="eastAsia" w:ascii="宋体" w:hAnsi="宋体" w:cs="宋体"/>
                <w:bCs/>
                <w:snapToGrid w:val="0"/>
                <w:color w:val="auto"/>
                <w:kern w:val="0"/>
                <w:szCs w:val="21"/>
                <w:highlight w:val="none"/>
                <w:lang w:val="en-US" w:eastAsia="zh-CN"/>
              </w:rPr>
              <w:t>2</w:t>
            </w:r>
            <w:r>
              <w:rPr>
                <w:rFonts w:hint="eastAsia" w:ascii="宋体" w:hAnsi="宋体" w:cs="宋体"/>
                <w:bCs/>
                <w:snapToGrid w:val="0"/>
                <w:color w:val="auto"/>
                <w:kern w:val="0"/>
                <w:szCs w:val="21"/>
                <w:highlight w:val="none"/>
              </w:rPr>
              <w:t>分）</w:t>
            </w:r>
          </w:p>
          <w:p>
            <w:pPr>
              <w:rPr>
                <w:rFonts w:hint="eastAsia" w:ascii="宋体" w:hAnsi="宋体" w:eastAsia="宋体" w:cs="宋体"/>
                <w:bCs/>
                <w:snapToGrid w:val="0"/>
                <w:color w:val="auto"/>
                <w:kern w:val="0"/>
                <w:szCs w:val="21"/>
                <w:highlight w:val="none"/>
                <w:lang w:eastAsia="zh-CN"/>
              </w:rPr>
            </w:pPr>
            <w:r>
              <w:rPr>
                <w:rFonts w:hint="eastAsia" w:ascii="宋体" w:hAnsi="宋体" w:cs="宋体"/>
                <w:bCs/>
                <w:snapToGrid w:val="0"/>
                <w:color w:val="auto"/>
                <w:kern w:val="0"/>
                <w:szCs w:val="21"/>
                <w:highlight w:val="none"/>
              </w:rPr>
              <w:t>（1）具有市政类类专业高级（或以上）职称得1分，具有</w:t>
            </w:r>
            <w:r>
              <w:rPr>
                <w:rFonts w:hint="eastAsia" w:ascii="宋体" w:hAnsi="宋体" w:cs="宋体"/>
                <w:bCs/>
                <w:snapToGrid w:val="0"/>
                <w:color w:val="auto"/>
                <w:kern w:val="0"/>
                <w:szCs w:val="21"/>
                <w:highlight w:val="none"/>
                <w:lang w:val="en-US" w:eastAsia="zh-CN"/>
              </w:rPr>
              <w:t>市政</w:t>
            </w:r>
            <w:r>
              <w:rPr>
                <w:rFonts w:hint="eastAsia" w:ascii="宋体" w:hAnsi="宋体" w:cs="宋体"/>
                <w:bCs/>
                <w:snapToGrid w:val="0"/>
                <w:color w:val="auto"/>
                <w:kern w:val="0"/>
                <w:szCs w:val="21"/>
                <w:highlight w:val="none"/>
              </w:rPr>
              <w:t>类专业中级职称得0.5分</w:t>
            </w:r>
            <w:r>
              <w:rPr>
                <w:rFonts w:hint="eastAsia" w:ascii="宋体" w:hAnsi="宋体" w:cs="宋体"/>
                <w:bCs/>
                <w:snapToGrid w:val="0"/>
                <w:color w:val="auto"/>
                <w:kern w:val="0"/>
                <w:szCs w:val="21"/>
                <w:highlight w:val="none"/>
                <w:lang w:eastAsia="zh-CN"/>
              </w:rPr>
              <w:t>；</w:t>
            </w:r>
          </w:p>
          <w:p>
            <w:pPr>
              <w:rPr>
                <w:rFonts w:hint="eastAsia" w:eastAsia="宋体"/>
                <w:color w:val="auto"/>
                <w:highlight w:val="none"/>
                <w:lang w:eastAsia="zh-CN"/>
              </w:rPr>
            </w:pPr>
            <w:r>
              <w:rPr>
                <w:rFonts w:hint="eastAsia" w:ascii="宋体" w:hAnsi="宋体" w:cs="宋体"/>
                <w:bCs/>
                <w:snapToGrid w:val="0"/>
                <w:color w:val="auto"/>
                <w:kern w:val="0"/>
                <w:szCs w:val="21"/>
                <w:highlight w:val="none"/>
              </w:rPr>
              <w:t>（2）</w:t>
            </w:r>
            <w:r>
              <w:rPr>
                <w:rFonts w:hint="eastAsia" w:ascii="宋体" w:hAnsi="宋体" w:eastAsia="宋体" w:cs="宋体"/>
                <w:bCs/>
                <w:snapToGrid w:val="0"/>
                <w:color w:val="auto"/>
                <w:kern w:val="0"/>
                <w:szCs w:val="21"/>
                <w:highlight w:val="none"/>
              </w:rPr>
              <w:t>作为</w:t>
            </w:r>
            <w:r>
              <w:rPr>
                <w:rFonts w:hint="eastAsia" w:ascii="宋体" w:hAnsi="宋体" w:eastAsia="宋体" w:cs="宋体"/>
                <w:bCs/>
                <w:snapToGrid w:val="0"/>
                <w:color w:val="auto"/>
                <w:kern w:val="0"/>
                <w:szCs w:val="21"/>
                <w:highlight w:val="none"/>
                <w:lang w:val="en-US" w:eastAsia="zh-CN"/>
              </w:rPr>
              <w:t>施工</w:t>
            </w:r>
            <w:r>
              <w:rPr>
                <w:rFonts w:hint="eastAsia" w:ascii="宋体" w:hAnsi="宋体" w:eastAsia="宋体" w:cs="宋体"/>
                <w:bCs/>
                <w:snapToGrid w:val="0"/>
                <w:color w:val="auto"/>
                <w:kern w:val="0"/>
                <w:szCs w:val="21"/>
                <w:highlight w:val="none"/>
              </w:rPr>
              <w:t>负责人完成过质量合格的市政公用工程业绩，得</w:t>
            </w:r>
            <w:r>
              <w:rPr>
                <w:rFonts w:hint="eastAsia" w:ascii="宋体" w:hAnsi="宋体" w:eastAsia="宋体" w:cs="宋体"/>
                <w:bCs/>
                <w:snapToGrid w:val="0"/>
                <w:color w:val="auto"/>
                <w:kern w:val="0"/>
                <w:szCs w:val="21"/>
                <w:highlight w:val="none"/>
                <w:lang w:val="en-US" w:eastAsia="zh-CN"/>
              </w:rPr>
              <w:t>1</w:t>
            </w:r>
            <w:r>
              <w:rPr>
                <w:rFonts w:hint="eastAsia" w:ascii="宋体" w:hAnsi="宋体" w:eastAsia="宋体" w:cs="宋体"/>
                <w:bCs/>
                <w:snapToGrid w:val="0"/>
                <w:color w:val="auto"/>
                <w:kern w:val="0"/>
                <w:szCs w:val="21"/>
                <w:highlight w:val="none"/>
              </w:rPr>
              <w:t>分</w:t>
            </w:r>
            <w:r>
              <w:rPr>
                <w:rFonts w:hint="eastAsia"/>
                <w:color w:val="auto"/>
                <w:highlight w:val="none"/>
                <w:lang w:eastAsia="zh-CN"/>
              </w:rPr>
              <w:t>。</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2、</w:t>
            </w:r>
            <w:r>
              <w:rPr>
                <w:rFonts w:hint="eastAsia" w:ascii="宋体" w:hAnsi="宋体" w:cs="宋体"/>
                <w:bCs/>
                <w:snapToGrid w:val="0"/>
                <w:color w:val="auto"/>
                <w:kern w:val="0"/>
                <w:szCs w:val="21"/>
                <w:highlight w:val="none"/>
              </w:rPr>
              <w:t>技术负责人（</w:t>
            </w:r>
            <w:r>
              <w:rPr>
                <w:rFonts w:hint="eastAsia" w:ascii="宋体" w:hAnsi="宋体" w:cs="宋体"/>
                <w:bCs/>
                <w:snapToGrid w:val="0"/>
                <w:color w:val="auto"/>
                <w:kern w:val="0"/>
                <w:szCs w:val="21"/>
                <w:highlight w:val="none"/>
                <w:lang w:val="en-US" w:eastAsia="zh-CN"/>
              </w:rPr>
              <w:t>1.5</w:t>
            </w:r>
            <w:r>
              <w:rPr>
                <w:rFonts w:hint="eastAsia" w:ascii="宋体" w:hAnsi="宋体" w:cs="宋体"/>
                <w:bCs/>
                <w:snapToGrid w:val="0"/>
                <w:color w:val="auto"/>
                <w:kern w:val="0"/>
                <w:szCs w:val="21"/>
                <w:highlight w:val="none"/>
              </w:rPr>
              <w:t>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（1）取得市政类专业高级（或以上）工程师职称10年以上（不含10年）得1</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r>
              <w:rPr>
                <w:rFonts w:ascii="宋体" w:hAnsi="宋体" w:cs="宋体"/>
                <w:bCs/>
                <w:snapToGrid w:val="0"/>
                <w:color w:val="auto"/>
                <w:kern w:val="0"/>
                <w:szCs w:val="21"/>
                <w:highlight w:val="none"/>
              </w:rPr>
              <w:t>10</w:t>
            </w:r>
            <w:r>
              <w:rPr>
                <w:rFonts w:hint="eastAsia" w:ascii="宋体" w:hAnsi="宋体" w:cs="宋体"/>
                <w:bCs/>
                <w:snapToGrid w:val="0"/>
                <w:color w:val="auto"/>
                <w:kern w:val="0"/>
                <w:szCs w:val="21"/>
                <w:highlight w:val="none"/>
              </w:rPr>
              <w:t>年及以下得0.5分；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3</w:t>
            </w:r>
            <w:r>
              <w:rPr>
                <w:rFonts w:hint="eastAsia" w:ascii="宋体" w:hAnsi="宋体" w:cs="宋体"/>
                <w:bCs/>
                <w:snapToGrid w:val="0"/>
                <w:color w:val="auto"/>
                <w:kern w:val="0"/>
                <w:szCs w:val="21"/>
                <w:highlight w:val="none"/>
              </w:rPr>
              <w:t>、质量负责人（2</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（1）具有市政类专业高级（或以上）职称得1分，具有市政类专业中级职称得0.5分；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（2）取得市政类专业高级（或以上）工程师职称10年以上（不含10年）得1</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r>
              <w:rPr>
                <w:rFonts w:ascii="宋体" w:hAnsi="宋体" w:cs="宋体"/>
                <w:bCs/>
                <w:snapToGrid w:val="0"/>
                <w:color w:val="auto"/>
                <w:kern w:val="0"/>
                <w:szCs w:val="21"/>
                <w:highlight w:val="none"/>
              </w:rPr>
              <w:t>10</w:t>
            </w:r>
            <w:r>
              <w:rPr>
                <w:rFonts w:hint="eastAsia" w:ascii="宋体" w:hAnsi="宋体" w:cs="宋体"/>
                <w:bCs/>
                <w:snapToGrid w:val="0"/>
                <w:color w:val="auto"/>
                <w:kern w:val="0"/>
                <w:szCs w:val="21"/>
                <w:highlight w:val="none"/>
              </w:rPr>
              <w:t>年及以下得0.5分；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4</w:t>
            </w:r>
            <w:r>
              <w:rPr>
                <w:rFonts w:hint="eastAsia" w:ascii="宋体" w:hAnsi="宋体" w:cs="宋体"/>
                <w:bCs/>
                <w:snapToGrid w:val="0"/>
                <w:color w:val="auto"/>
                <w:kern w:val="0"/>
                <w:szCs w:val="21"/>
                <w:highlight w:val="none"/>
              </w:rPr>
              <w:t>、安全负责人（2</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（1）具有市政类专业高级（或以上）职称得1分，具有市政类专业中级职称得0.5分；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（2）取得市政类专业高级（或以上）工程师职称10年以上（不含10年）得1</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r>
              <w:rPr>
                <w:rFonts w:ascii="宋体" w:hAnsi="宋体" w:cs="宋体"/>
                <w:bCs/>
                <w:snapToGrid w:val="0"/>
                <w:color w:val="auto"/>
                <w:kern w:val="0"/>
                <w:szCs w:val="21"/>
                <w:highlight w:val="none"/>
              </w:rPr>
              <w:t>10</w:t>
            </w:r>
            <w:r>
              <w:rPr>
                <w:rFonts w:hint="eastAsia" w:ascii="宋体" w:hAnsi="宋体" w:cs="宋体"/>
                <w:bCs/>
                <w:snapToGrid w:val="0"/>
                <w:color w:val="auto"/>
                <w:kern w:val="0"/>
                <w:szCs w:val="21"/>
                <w:highlight w:val="none"/>
              </w:rPr>
              <w:t>年及以下得0.5分；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、造价负责人（5</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（1）具备一级注册造价工程师资格得2分；具备二级注册造价工程师资格得1分；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（2）具有市政类专业高级（或以上）职称得2分，具有市政类专业中级职称1分；</w:t>
            </w:r>
          </w:p>
          <w:p>
            <w:pPr>
              <w:rPr>
                <w:rFonts w:hint="eastAsia"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（3）取得市政类专业高级（或以上）工程师职称10年以上（不含10年）得1</w:t>
            </w:r>
            <w:r>
              <w:rPr>
                <w:rFonts w:hint="eastAsia" w:ascii="宋体" w:hAnsi="宋体" w:cs="宋体"/>
                <w:bCs/>
                <w:snapToGrid w:val="0"/>
                <w:color w:val="auto"/>
                <w:kern w:val="0"/>
                <w:szCs w:val="21"/>
                <w:highlight w:val="none"/>
                <w:lang w:val="en-US" w:eastAsia="zh-CN"/>
              </w:rPr>
              <w:t>.5</w:t>
            </w:r>
            <w:r>
              <w:rPr>
                <w:rFonts w:hint="eastAsia" w:ascii="宋体" w:hAnsi="宋体" w:cs="宋体"/>
                <w:bCs/>
                <w:snapToGrid w:val="0"/>
                <w:color w:val="auto"/>
                <w:kern w:val="0"/>
                <w:szCs w:val="21"/>
                <w:highlight w:val="none"/>
              </w:rPr>
              <w:t>分，</w:t>
            </w:r>
            <w:r>
              <w:rPr>
                <w:rFonts w:ascii="宋体" w:hAnsi="宋体" w:cs="宋体"/>
                <w:bCs/>
                <w:snapToGrid w:val="0"/>
                <w:color w:val="auto"/>
                <w:kern w:val="0"/>
                <w:szCs w:val="21"/>
                <w:highlight w:val="none"/>
              </w:rPr>
              <w:t>10</w:t>
            </w:r>
            <w:r>
              <w:rPr>
                <w:rFonts w:hint="eastAsia" w:ascii="宋体" w:hAnsi="宋体" w:cs="宋体"/>
                <w:bCs/>
                <w:snapToGrid w:val="0"/>
                <w:color w:val="auto"/>
                <w:kern w:val="0"/>
                <w:szCs w:val="21"/>
                <w:highlight w:val="none"/>
              </w:rPr>
              <w:t>年及以下得0.5分；</w:t>
            </w:r>
          </w:p>
          <w:p>
            <w:pPr>
              <w:pStyle w:val="13"/>
              <w:wordWrap w:val="0"/>
              <w:ind w:firstLine="0" w:firstLineChars="0"/>
              <w:rPr>
                <w:rFonts w:hint="eastAsia" w:ascii="宋体" w:hAnsi="宋体" w:eastAsia="宋体" w:cs="宋体"/>
                <w:color w:val="auto"/>
                <w:highlight w:val="none"/>
                <w:u w:val="single"/>
              </w:rPr>
            </w:pPr>
            <w:r>
              <w:rPr>
                <w:rFonts w:hint="eastAsia" w:ascii="宋体" w:hAnsi="宋体" w:eastAsia="宋体" w:cs="宋体"/>
                <w:bCs/>
                <w:snapToGrid w:val="0"/>
                <w:color w:val="auto"/>
                <w:kern w:val="0"/>
                <w:szCs w:val="21"/>
                <w:highlight w:val="none"/>
              </w:rPr>
              <w:t>注：以上各人员不得兼任，本项最多得14分。需提供相关证书扫描件并加盖电子印章。人员须为投标人（若为联合体投标，指联合体主办方）正式职工，需提供投标截止时间最近1个月（2024年</w:t>
            </w:r>
            <w:r>
              <w:rPr>
                <w:rFonts w:hint="eastAsia" w:ascii="宋体" w:hAnsi="宋体" w:eastAsia="宋体" w:cs="宋体"/>
                <w:bCs/>
                <w:snapToGrid w:val="0"/>
                <w:color w:val="auto"/>
                <w:kern w:val="0"/>
                <w:szCs w:val="21"/>
                <w:highlight w:val="none"/>
                <w:lang w:val="en-US" w:eastAsia="zh-CN"/>
              </w:rPr>
              <w:t>9</w:t>
            </w:r>
            <w:r>
              <w:rPr>
                <w:rFonts w:hint="eastAsia" w:ascii="宋体" w:hAnsi="宋体" w:eastAsia="宋体" w:cs="宋体"/>
                <w:bCs/>
                <w:snapToGrid w:val="0"/>
                <w:color w:val="auto"/>
                <w:kern w:val="0"/>
                <w:szCs w:val="21"/>
                <w:highlight w:val="none"/>
              </w:rPr>
              <w:t>月份）在本单位（含分支机构）交纳的社保证明原件扫描件，加盖单位公章，不提供不得分。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Merge w:val="continue"/>
            <w:vAlign w:val="center"/>
          </w:tcPr>
          <w:p>
            <w:pPr>
              <w:pStyle w:val="13"/>
              <w:ind w:firstLine="0" w:firstLineChars="0"/>
              <w:jc w:val="center"/>
              <w:rPr>
                <w:rFonts w:hint="eastAsia" w:ascii="宋体" w:hAnsi="宋体" w:eastAsia="宋体" w:cs="宋体"/>
                <w:color w:val="auto"/>
                <w:kern w:val="0"/>
                <w:szCs w:val="21"/>
                <w:highlight w:val="none"/>
              </w:rPr>
            </w:pPr>
          </w:p>
        </w:tc>
        <w:tc>
          <w:tcPr>
            <w:tcW w:w="5729" w:type="dxa"/>
            <w:vAlign w:val="center"/>
          </w:tcPr>
          <w:p>
            <w:pP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lang w:val="en-US" w:eastAsia="zh-CN"/>
              </w:rPr>
              <w:t>设计</w:t>
            </w:r>
            <w:r>
              <w:rPr>
                <w:rFonts w:hint="eastAsia" w:ascii="宋体" w:hAnsi="宋体" w:eastAsia="宋体" w:cs="宋体"/>
                <w:bCs/>
                <w:snapToGrid w:val="0"/>
                <w:color w:val="auto"/>
                <w:kern w:val="0"/>
                <w:szCs w:val="21"/>
                <w:highlight w:val="none"/>
              </w:rPr>
              <w:t>项目管理团队（1</w:t>
            </w:r>
            <w:r>
              <w:rPr>
                <w:rFonts w:hint="eastAsia" w:ascii="宋体" w:hAnsi="宋体" w:eastAsia="宋体" w:cs="宋体"/>
                <w:bCs/>
                <w:snapToGrid w:val="0"/>
                <w:color w:val="auto"/>
                <w:kern w:val="0"/>
                <w:szCs w:val="21"/>
                <w:highlight w:val="none"/>
                <w:lang w:val="en-US" w:eastAsia="zh-CN"/>
              </w:rPr>
              <w:t>8</w:t>
            </w:r>
            <w:r>
              <w:rPr>
                <w:rFonts w:hint="eastAsia" w:ascii="宋体" w:hAnsi="宋体" w:eastAsia="宋体" w:cs="宋体"/>
                <w:bCs/>
                <w:snapToGrid w:val="0"/>
                <w:color w:val="auto"/>
                <w:kern w:val="0"/>
                <w:szCs w:val="21"/>
                <w:highlight w:val="none"/>
              </w:rPr>
              <w:t>分）：</w:t>
            </w:r>
          </w:p>
          <w:p>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道路专业设计负责人（2分）：</w:t>
            </w:r>
          </w:p>
          <w:p>
            <w:pPr>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具有路桥相关专业高级（或以上）工程师职称的得2分；具有路桥相关专业工程师职称的得1分</w:t>
            </w:r>
            <w:r>
              <w:rPr>
                <w:rFonts w:hint="eastAsia" w:ascii="宋体" w:hAnsi="宋体" w:cs="宋体"/>
                <w:color w:val="auto"/>
                <w:szCs w:val="21"/>
                <w:highlight w:val="none"/>
                <w:lang w:val="en-US" w:eastAsia="zh-CN"/>
              </w:rPr>
              <w:t>。</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rPr>
              <w:t>交通工程专业设计负责人（2分）：</w:t>
            </w:r>
          </w:p>
          <w:p>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具有交通工程相关专业高级（或以上）工程师的得2分；具有交通工程相关专业工程师的得1分</w:t>
            </w:r>
            <w:r>
              <w:rPr>
                <w:rFonts w:hint="eastAsia" w:ascii="宋体" w:hAnsi="宋体" w:cs="宋体"/>
                <w:color w:val="auto"/>
                <w:szCs w:val="21"/>
                <w:highlight w:val="none"/>
                <w:lang w:val="en-US" w:eastAsia="zh-CN"/>
              </w:rPr>
              <w:t>。</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给排水专业设计负责人（3分）：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具有给排水相关专业高级（或以上）工程师的得2分；具有给排水相关专业工程师的得1分；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具有注册公用设备工程师（给水排水）证书的得1分。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结构专业设计负责人（3分）：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具有路桥相关专业高级（或以上）工程师职称的得2分；具有路桥或结构相关专业工程师职称的得1分；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具有一级注册结构工程师证书的得1分。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rPr>
              <w:t>电气专业设计负责人（2分）：</w:t>
            </w:r>
          </w:p>
          <w:p>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具有电气相关专业高级（或以上）工程师职称的得2分；具有电气相关专业工程师职称的得1分；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zh-CN"/>
              </w:rPr>
              <w:t>造价专业设计负责人（3分）：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具有路桥相关专业高级（或以上）工程师的得2分；具有路桥相关专业工程师的得1分；</w:t>
            </w:r>
          </w:p>
          <w:p>
            <w:p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rPr>
              <w:t>具有一级注册造价工程师证书的得1分</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lang w:val="zh-CN"/>
              </w:rPr>
              <w:t>级注册造价工程师证书的得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val="zh-CN"/>
              </w:rPr>
              <w:t>分。</w:t>
            </w:r>
          </w:p>
          <w:p>
            <w:pPr>
              <w:jc w:val="left"/>
              <w:rPr>
                <w:rFonts w:hint="eastAsia" w:ascii="宋体" w:hAnsi="宋体" w:eastAsia="宋体" w:cs="宋体"/>
                <w:color w:val="auto"/>
                <w:highlight w:val="none"/>
                <w:lang w:val="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zh-CN"/>
              </w:rPr>
              <w:t>各专业负责人自2021年1月1日至投标截止时间止，每1名参与设计的市政公用工程项目获省级或以上奖项的，每项得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分；获市（含副省级）奖项，每项得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lang w:val="zh-CN"/>
              </w:rPr>
              <w:t>分。本小项最高得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rPr>
              <w:t>分</w:t>
            </w:r>
            <w:r>
              <w:rPr>
                <w:rFonts w:hint="eastAsia" w:ascii="宋体" w:hAnsi="宋体" w:eastAsia="宋体" w:cs="宋体"/>
                <w:color w:val="auto"/>
                <w:highlight w:val="none"/>
                <w:lang w:val="zh-CN"/>
              </w:rPr>
              <w:t>。</w:t>
            </w:r>
          </w:p>
          <w:p>
            <w:pPr>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以上合计最多得</w:t>
            </w: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r>
              <w:rPr>
                <w:rFonts w:hint="eastAsia" w:ascii="宋体" w:hAnsi="宋体" w:eastAsia="宋体" w:cs="宋体"/>
                <w:color w:val="auto"/>
                <w:highlight w:val="none"/>
                <w:lang w:val="zh-CN"/>
              </w:rPr>
              <w:t>分。</w:t>
            </w:r>
          </w:p>
          <w:p>
            <w:pPr>
              <w:pStyle w:val="13"/>
              <w:wordWrap w:val="0"/>
              <w:ind w:firstLine="0" w:firstLineChars="0"/>
              <w:rPr>
                <w:rFonts w:hint="eastAsia" w:ascii="宋体" w:hAnsi="宋体" w:eastAsia="宋体" w:cs="宋体"/>
                <w:bCs/>
                <w:snapToGrid w:val="0"/>
                <w:color w:val="auto"/>
                <w:kern w:val="0"/>
                <w:szCs w:val="21"/>
                <w:highlight w:val="none"/>
              </w:rPr>
            </w:pPr>
            <w:r>
              <w:rPr>
                <w:rFonts w:hint="eastAsia" w:ascii="宋体" w:hAnsi="宋体" w:eastAsia="宋体" w:cs="宋体"/>
                <w:color w:val="auto"/>
                <w:highlight w:val="none"/>
              </w:rPr>
              <w:t>注：①提供各专业负责人的职称证书、注册证书（如有）、获奖证书（或获奖文件）等证明材料原件扫描件，同时提供投标截止时间最近1个月（2024年9月份）在本单位（含分支机构）交纳的社保证明文件，加盖单位公章，不提供不得分。上述各专业人员不可兼任，每专业仅计算一人得分，一个专业配置多人仅计算第一人得分；②获奖奖项为</w:t>
            </w:r>
            <w:r>
              <w:rPr>
                <w:rFonts w:hint="eastAsia" w:ascii="宋体" w:hAnsi="宋体" w:eastAsia="宋体" w:cs="宋体"/>
                <w:color w:val="auto"/>
                <w:kern w:val="0"/>
                <w:highlight w:val="none"/>
              </w:rPr>
              <w:t>住建部颁发的全国优秀工程勘察设计奖、住建部的华夏建设科学技术奖励委员会颁发的华夏建设科学技术奖、中国勘察设计协会颁发的全国优秀工程勘察设计行业奖等、省级或市级（含副省级）工程勘察设计行业协会或建设行业主管部门颁发的省级或市级（含副省级）优秀工程勘察设计奖。</w:t>
            </w:r>
            <w:r>
              <w:rPr>
                <w:rFonts w:hint="eastAsia" w:ascii="宋体" w:hAnsi="宋体" w:eastAsia="宋体" w:cs="宋体"/>
                <w:color w:val="auto"/>
                <w:highlight w:val="none"/>
              </w:rPr>
              <w:t>获奖时间以证书日期为准。工程项目获奖处于公示阶段的不得分。须提供获奖证书（或获奖文件）并加盖单位公章。同一项目获奖按最高级别计分一次。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设计和施工的融合措施</w:t>
            </w:r>
          </w:p>
          <w:p>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【优】设计和施工融合目标，有设计和施工融合措施，有本项目针对性的技术服务方案，得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【良】有设计和施工融合目标，没有设计和施工融合措施，有本项目针对性的技术服务方案，得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【中】有设计和施工融合目标，没有设计和施工融合措施，没有本项目针对性的技术服务方案，得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进度控制措施</w:t>
            </w:r>
          </w:p>
          <w:p>
            <w:pPr>
              <w:jc w:val="cente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【优】制定施工进度计划，有保证措施，承诺工期争取提前的，得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【良】制定施工进度计划，有保证措施，未承诺工期争取提前的，得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【中】制定施工进度计划，无保证措施，得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widowControl/>
              <w:adjustRightInd w:val="0"/>
              <w:snapToGrid w:val="0"/>
              <w:spacing w:line="360" w:lineRule="auto"/>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质量控制措施</w:t>
            </w:r>
          </w:p>
          <w:p>
            <w:pPr>
              <w:widowControl/>
              <w:adjustRightInd w:val="0"/>
              <w:snapToGrid w:val="0"/>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r>
              <w:rPr>
                <w:rFonts w:hint="eastAsia" w:ascii="宋体" w:hAnsi="宋体" w:eastAsia="宋体" w:cs="宋体"/>
                <w:bCs/>
                <w:snapToGrid w:val="0"/>
                <w:color w:val="auto"/>
                <w:kern w:val="0"/>
                <w:szCs w:val="21"/>
                <w:highlight w:val="none"/>
              </w:rPr>
              <w:t xml:space="preserve">  </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【优】有质量管理组织架构，有质量保证运行体系及制定质量目标保证措施的，得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【良】有质量管理组织架构，有质量保证运行体系，无质量目标保证措施的，得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【中】有质量管理组织架构，无质量保证运行体系的，得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widowControl/>
              <w:adjustRightInd w:val="0"/>
              <w:snapToGrid w:val="0"/>
              <w:spacing w:line="360" w:lineRule="auto"/>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安全控制措施</w:t>
            </w:r>
          </w:p>
          <w:p>
            <w:pPr>
              <w:widowControl/>
              <w:adjustRightInd w:val="0"/>
              <w:snapToGrid w:val="0"/>
              <w:spacing w:line="360" w:lineRule="auto"/>
              <w:jc w:val="cente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r>
              <w:rPr>
                <w:rFonts w:hint="eastAsia" w:ascii="宋体" w:hAnsi="宋体" w:eastAsia="宋体" w:cs="宋体"/>
                <w:bCs/>
                <w:snapToGrid w:val="0"/>
                <w:color w:val="auto"/>
                <w:kern w:val="0"/>
                <w:szCs w:val="21"/>
                <w:highlight w:val="none"/>
              </w:rPr>
              <w:t xml:space="preserve"> </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【优】制定安全、文明施工保证体系，制定各项保证措施，承诺争创市级或以上安全文明样板工地，得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【良】制定安全、文明施工保证体系，制定各项保证措施，未承诺争创市级或以上安全文明样板工地，得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【中】制定安全、文明施工保证体系，无各项保证措施的，得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widowControl/>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Cs/>
                <w:snapToGrid w:val="0"/>
                <w:color w:val="auto"/>
                <w:kern w:val="0"/>
                <w:szCs w:val="21"/>
                <w:highlight w:val="none"/>
              </w:rPr>
              <w:t>绿色</w:t>
            </w:r>
            <w:r>
              <w:rPr>
                <w:rFonts w:hint="eastAsia" w:ascii="宋体" w:hAnsi="宋体" w:eastAsia="宋体" w:cs="宋体"/>
                <w:color w:val="auto"/>
                <w:szCs w:val="21"/>
                <w:highlight w:val="none"/>
              </w:rPr>
              <w:t>施工措施</w:t>
            </w:r>
          </w:p>
          <w:p>
            <w:pPr>
              <w:widowControl/>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5分</w:t>
            </w:r>
            <w:r>
              <w:rPr>
                <w:rFonts w:hint="eastAsia" w:ascii="宋体" w:hAnsi="宋体" w:eastAsia="宋体" w:cs="宋体"/>
                <w:color w:val="auto"/>
                <w:szCs w:val="21"/>
                <w:highlight w:val="none"/>
                <w:lang w:eastAsia="zh-CN"/>
              </w:rPr>
              <w:t>）</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【优】制定绿色施工管理目标，有相应控制措施，承诺在施工过程中通过科学管理和先进的技术手段，最大限度地节约资源与减少对环境的负面影响，得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【良】制定绿色施工管理目标，有相应控制措施，未承诺在施工过程中通过科学管理和先进的技术手段、最大限度地节约资源与减少对环境的负面影响，得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【中】制定绿色施工管理目标，无相应控制措施的，得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widowControl/>
              <w:adjustRightInd w:val="0"/>
              <w:snapToGrid w:val="0"/>
              <w:spacing w:line="360" w:lineRule="auto"/>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施工重难点分析及对策</w:t>
            </w:r>
          </w:p>
          <w:p>
            <w:pPr>
              <w:widowControl/>
              <w:adjustRightInd w:val="0"/>
              <w:snapToGrid w:val="0"/>
              <w:spacing w:line="360"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bCs/>
                <w:snapToGrid w:val="0"/>
                <w:color w:val="auto"/>
                <w:kern w:val="0"/>
                <w:szCs w:val="21"/>
                <w:highlight w:val="none"/>
                <w:lang w:eastAsia="zh-CN"/>
              </w:rPr>
              <w:t>（</w:t>
            </w:r>
            <w:r>
              <w:rPr>
                <w:rFonts w:hint="eastAsia" w:ascii="宋体" w:hAnsi="宋体" w:eastAsia="宋体" w:cs="宋体"/>
                <w:bCs/>
                <w:snapToGrid w:val="0"/>
                <w:color w:val="auto"/>
                <w:kern w:val="0"/>
                <w:szCs w:val="21"/>
                <w:highlight w:val="none"/>
                <w:lang w:val="en-US" w:eastAsia="zh-CN"/>
              </w:rPr>
              <w:t>5分</w:t>
            </w:r>
            <w:r>
              <w:rPr>
                <w:rFonts w:hint="eastAsia" w:ascii="宋体" w:hAnsi="宋体" w:eastAsia="宋体" w:cs="宋体"/>
                <w:bCs/>
                <w:snapToGrid w:val="0"/>
                <w:color w:val="auto"/>
                <w:kern w:val="0"/>
                <w:szCs w:val="21"/>
                <w:highlight w:val="none"/>
                <w:lang w:eastAsia="zh-CN"/>
              </w:rPr>
              <w:t>）</w:t>
            </w:r>
          </w:p>
        </w:tc>
        <w:tc>
          <w:tcPr>
            <w:tcW w:w="5729"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【优】结合本项目特点，有关键技术、工艺方案，有</w:t>
            </w:r>
            <w:r>
              <w:rPr>
                <w:rFonts w:hint="eastAsia" w:ascii="宋体" w:hAnsi="宋体" w:eastAsia="宋体" w:cs="宋体"/>
                <w:bCs/>
                <w:snapToGrid w:val="0"/>
                <w:color w:val="auto"/>
                <w:kern w:val="0"/>
                <w:szCs w:val="21"/>
                <w:highlight w:val="none"/>
              </w:rPr>
              <w:t>施工重难点分析，有施工重难点对策</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【良】结合本项目特点，有关键技术、工艺方案，有</w:t>
            </w:r>
            <w:r>
              <w:rPr>
                <w:rFonts w:hint="eastAsia" w:ascii="宋体" w:hAnsi="宋体" w:eastAsia="宋体" w:cs="宋体"/>
                <w:bCs/>
                <w:snapToGrid w:val="0"/>
                <w:color w:val="auto"/>
                <w:kern w:val="0"/>
                <w:szCs w:val="21"/>
                <w:highlight w:val="none"/>
              </w:rPr>
              <w:t>施工重难点分析，无施工重难点对策</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【中】结合本项目特点，有关键技术、工艺方案，无</w:t>
            </w:r>
            <w:r>
              <w:rPr>
                <w:rFonts w:hint="eastAsia" w:ascii="宋体" w:hAnsi="宋体" w:eastAsia="宋体" w:cs="宋体"/>
                <w:bCs/>
                <w:snapToGrid w:val="0"/>
                <w:color w:val="auto"/>
                <w:kern w:val="0"/>
                <w:szCs w:val="21"/>
                <w:highlight w:val="none"/>
              </w:rPr>
              <w:t>施工重难点分析，无施工重难点对策</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pP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40" w:type="dxa"/>
            <w:gridSpan w:val="2"/>
            <w:vMerge w:val="continue"/>
            <w:vAlign w:val="center"/>
          </w:tcPr>
          <w:p>
            <w:pPr>
              <w:spacing w:line="276" w:lineRule="auto"/>
              <w:jc w:val="center"/>
              <w:rPr>
                <w:rFonts w:hint="eastAsia" w:ascii="宋体" w:hAnsi="宋体" w:eastAsia="宋体" w:cs="宋体"/>
                <w:color w:val="auto"/>
                <w:kern w:val="1"/>
                <w:szCs w:val="21"/>
                <w:highlight w:val="none"/>
              </w:rPr>
            </w:pPr>
          </w:p>
        </w:tc>
        <w:tc>
          <w:tcPr>
            <w:tcW w:w="670"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891" w:type="dxa"/>
            <w:vMerge w:val="continue"/>
            <w:vAlign w:val="center"/>
          </w:tcPr>
          <w:p>
            <w:pPr>
              <w:spacing w:line="276" w:lineRule="auto"/>
              <w:jc w:val="center"/>
              <w:rPr>
                <w:rFonts w:hint="eastAsia" w:ascii="宋体" w:hAnsi="宋体" w:eastAsia="宋体" w:cs="宋体"/>
                <w:color w:val="auto"/>
                <w:kern w:val="1"/>
                <w:szCs w:val="21"/>
                <w:highlight w:val="none"/>
              </w:rPr>
            </w:pPr>
          </w:p>
        </w:tc>
        <w:tc>
          <w:tcPr>
            <w:tcW w:w="1822" w:type="dxa"/>
            <w:vAlign w:val="center"/>
          </w:tcPr>
          <w:p>
            <w:pPr>
              <w:widowControl/>
              <w:adjustRightInd w:val="0"/>
              <w:snapToGrid w:val="0"/>
              <w:spacing w:line="360" w:lineRule="auto"/>
              <w:jc w:val="center"/>
              <w:rPr>
                <w:rFonts w:hint="eastAsia" w:ascii="宋体" w:hAnsi="宋体" w:eastAsia="宋体" w:cs="宋体"/>
                <w:bCs/>
                <w:snapToGrid w:val="0"/>
                <w:color w:val="auto"/>
                <w:kern w:val="0"/>
                <w:szCs w:val="21"/>
                <w:highlight w:val="none"/>
              </w:rPr>
            </w:pPr>
            <w:r>
              <w:rPr>
                <w:rFonts w:hint="eastAsia" w:ascii="宋体" w:hAnsi="宋体" w:eastAsia="宋体" w:cs="宋体"/>
                <w:bCs/>
                <w:snapToGrid w:val="0"/>
                <w:color w:val="auto"/>
                <w:kern w:val="0"/>
                <w:szCs w:val="21"/>
                <w:highlight w:val="none"/>
              </w:rPr>
              <w:t>资源配备计划及劳动力、机械投入措施</w:t>
            </w:r>
          </w:p>
          <w:p>
            <w:pPr>
              <w:widowControl/>
              <w:adjustRightInd w:val="0"/>
              <w:snapToGrid w:val="0"/>
              <w:spacing w:line="360" w:lineRule="auto"/>
              <w:jc w:val="center"/>
              <w:rPr>
                <w:rFonts w:hint="eastAsia" w:ascii="宋体" w:hAnsi="宋体" w:eastAsia="宋体" w:cs="宋体"/>
                <w:color w:val="auto"/>
                <w:kern w:val="1"/>
                <w:szCs w:val="21"/>
                <w:highlight w:val="none"/>
                <w:lang w:eastAsia="zh-CN"/>
              </w:rPr>
            </w:pPr>
            <w:r>
              <w:rPr>
                <w:rFonts w:hint="eastAsia" w:ascii="宋体" w:hAnsi="宋体" w:eastAsia="宋体" w:cs="宋体"/>
                <w:bCs/>
                <w:snapToGrid w:val="0"/>
                <w:color w:val="auto"/>
                <w:kern w:val="0"/>
                <w:szCs w:val="21"/>
                <w:highlight w:val="none"/>
                <w:lang w:eastAsia="zh-CN"/>
              </w:rPr>
              <w:t>（</w:t>
            </w:r>
            <w:r>
              <w:rPr>
                <w:rFonts w:hint="eastAsia" w:ascii="宋体" w:hAnsi="宋体" w:eastAsia="宋体" w:cs="宋体"/>
                <w:bCs/>
                <w:snapToGrid w:val="0"/>
                <w:color w:val="auto"/>
                <w:kern w:val="0"/>
                <w:szCs w:val="21"/>
                <w:highlight w:val="none"/>
                <w:lang w:val="en-US" w:eastAsia="zh-CN"/>
              </w:rPr>
              <w:t>2分</w:t>
            </w:r>
            <w:r>
              <w:rPr>
                <w:rFonts w:hint="eastAsia" w:ascii="宋体" w:hAnsi="宋体" w:eastAsia="宋体" w:cs="宋体"/>
                <w:bCs/>
                <w:snapToGrid w:val="0"/>
                <w:color w:val="auto"/>
                <w:kern w:val="0"/>
                <w:szCs w:val="21"/>
                <w:highlight w:val="none"/>
                <w:lang w:eastAsia="zh-CN"/>
              </w:rPr>
              <w:t>）</w:t>
            </w:r>
          </w:p>
        </w:tc>
        <w:tc>
          <w:tcPr>
            <w:tcW w:w="5729" w:type="dxa"/>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【优】制定资源供应计划保证措施，有劳动力需求计划及保障措施，有机械设备需求计划及保障措施，有材料需求计划及保障措施的，得2分</w:t>
            </w:r>
            <w:r>
              <w:rPr>
                <w:rFonts w:hint="eastAsia" w:ascii="宋体" w:hAnsi="宋体" w:cs="宋体"/>
                <w:color w:val="auto"/>
                <w:szCs w:val="21"/>
                <w:highlight w:val="none"/>
                <w:lang w:eastAsia="zh-CN"/>
              </w:rPr>
              <w:t>；</w:t>
            </w:r>
          </w:p>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【良】制定资源供应计划保证措施，有劳动力需求计划及保障措施，有机械设备需求计划及保障措施，无材料需求计划及保障措施的，得1分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【中】制定资源供应计划保证措施，有劳动力需求计划及保障措施，无机械设备需求计划及保障措施，无材料需求计划及保障措施的，得0.5分</w:t>
            </w:r>
            <w:r>
              <w:rPr>
                <w:rFonts w:hint="eastAsia" w:ascii="宋体" w:hAnsi="宋体" w:cs="宋体"/>
                <w:color w:val="auto"/>
                <w:szCs w:val="21"/>
                <w:highlight w:val="none"/>
                <w:lang w:eastAsia="zh-CN"/>
              </w:rPr>
              <w:t>；</w:t>
            </w:r>
          </w:p>
          <w:p>
            <w:pPr>
              <w:rPr>
                <w:rFonts w:hint="eastAsia" w:ascii="宋体" w:hAnsi="宋体" w:eastAsia="宋体" w:cs="宋体"/>
                <w:color w:val="auto"/>
                <w:kern w:val="1"/>
                <w:szCs w:val="21"/>
                <w:highlight w:val="none"/>
              </w:rPr>
            </w:pPr>
            <w:r>
              <w:rPr>
                <w:rFonts w:hint="eastAsia" w:ascii="宋体" w:hAnsi="宋体" w:eastAsia="宋体" w:cs="宋体"/>
                <w:color w:val="auto"/>
                <w:szCs w:val="21"/>
                <w:highlight w:val="none"/>
              </w:rPr>
              <w:t>注:无此部分内容不得分。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0" w:type="dxa"/>
            <w:gridSpan w:val="2"/>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2.2.4（3）</w:t>
            </w:r>
          </w:p>
        </w:tc>
        <w:tc>
          <w:tcPr>
            <w:tcW w:w="1561" w:type="dxa"/>
            <w:gridSpan w:val="2"/>
            <w:vAlign w:val="center"/>
          </w:tcPr>
          <w:p>
            <w:pPr>
              <w:spacing w:line="276" w:lineRule="auto"/>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投标报价评分标准（100分）</w:t>
            </w:r>
          </w:p>
        </w:tc>
        <w:tc>
          <w:tcPr>
            <w:tcW w:w="1822" w:type="dxa"/>
            <w:vAlign w:val="center"/>
          </w:tcPr>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投标报价</w:t>
            </w:r>
          </w:p>
          <w:p>
            <w:pPr>
              <w:spacing w:line="276" w:lineRule="auto"/>
              <w:jc w:val="center"/>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（100分）</w:t>
            </w:r>
          </w:p>
        </w:tc>
        <w:tc>
          <w:tcPr>
            <w:tcW w:w="5729" w:type="dxa"/>
            <w:vAlign w:val="center"/>
          </w:tcPr>
          <w:p>
            <w:pPr>
              <w:spacing w:line="276" w:lineRule="auto"/>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当投标总报价等于评标基准价时得100分，投标总报价每高于评标基准价1%，扣0.2分，每低于评标基准价1%，扣0.1分，得出投标报价得分，最多扣100分，精确到小数点后两位，第三位小数四舍五入。</w:t>
            </w:r>
          </w:p>
        </w:tc>
      </w:tr>
    </w:tbl>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备注：</w:t>
      </w:r>
    </w:p>
    <w:p>
      <w:pPr>
        <w:spacing w:line="360" w:lineRule="auto"/>
        <w:ind w:firstLine="422" w:firstLineChars="201"/>
        <w:rPr>
          <w:rFonts w:hint="eastAsia" w:ascii="宋体" w:hAnsi="宋体" w:cs="宋体"/>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color w:val="auto"/>
          <w:szCs w:val="21"/>
          <w:highlight w:val="none"/>
          <w:u w:val="single"/>
        </w:rPr>
        <w:t>如组成联合体投标的，施工部分评分以承接施工任务的单位为准；设计部分评分以承接设计任务的单位为准。投标人如果同时满足多个评分档次的，按所满足的最高档得分。</w:t>
      </w:r>
    </w:p>
    <w:p>
      <w:pPr>
        <w:pStyle w:val="13"/>
        <w:spacing w:line="360" w:lineRule="auto"/>
        <w:ind w:firstLine="422" w:firstLineChars="201"/>
        <w:rPr>
          <w:rFonts w:hint="eastAsia" w:ascii="宋体" w:hAnsi="宋体"/>
          <w:b/>
          <w:color w:val="auto"/>
          <w:highlight w:val="none"/>
        </w:rPr>
      </w:pPr>
      <w:r>
        <w:rPr>
          <w:rFonts w:ascii="宋体" w:hAnsi="宋体"/>
          <w:color w:val="auto"/>
          <w:highlight w:val="none"/>
          <w:u w:val="single"/>
        </w:rPr>
        <w:t>（</w:t>
      </w:r>
      <w:r>
        <w:rPr>
          <w:rFonts w:hint="eastAsia" w:ascii="宋体" w:hAnsi="宋体"/>
          <w:color w:val="auto"/>
          <w:highlight w:val="none"/>
          <w:u w:val="single"/>
        </w:rPr>
        <w:t>2</w:t>
      </w:r>
      <w:r>
        <w:rPr>
          <w:rFonts w:ascii="宋体" w:hAnsi="宋体"/>
          <w:color w:val="auto"/>
          <w:highlight w:val="none"/>
          <w:u w:val="single"/>
        </w:rPr>
        <w:t>）</w:t>
      </w:r>
      <w:r>
        <w:rPr>
          <w:rFonts w:hint="eastAsia" w:ascii="宋体" w:hAnsi="宋体"/>
          <w:color w:val="auto"/>
          <w:highlight w:val="none"/>
          <w:u w:val="single"/>
        </w:rPr>
        <w:t>本评分表中所附所有证明材料必须加盖投标人电子印章且内容必须清晰可辨，如因提供资料内容模糊导致评标时无法判断的，后果由投标人自负。上述资料不提供或提供不完整或提供不符合要求的不得分。</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14" w:name="_Toc27342"/>
      <w:bookmarkStart w:id="415" w:name="_Toc1966"/>
      <w:r>
        <w:rPr>
          <w:rFonts w:hint="eastAsia" w:ascii="宋体" w:hAnsi="宋体" w:eastAsia="宋体" w:cs="宋体"/>
          <w:color w:val="auto"/>
          <w:highlight w:val="none"/>
        </w:rPr>
        <w:t>1. 评标方法</w:t>
      </w:r>
      <w:bookmarkEnd w:id="409"/>
      <w:bookmarkEnd w:id="410"/>
      <w:bookmarkEnd w:id="411"/>
      <w:bookmarkEnd w:id="412"/>
      <w:bookmarkEnd w:id="413"/>
      <w:bookmarkEnd w:id="414"/>
      <w:bookmarkEnd w:id="415"/>
    </w:p>
    <w:p>
      <w:pPr>
        <w:spacing w:line="360" w:lineRule="auto"/>
        <w:ind w:firstLine="420" w:firstLineChars="200"/>
        <w:rPr>
          <w:rFonts w:hint="eastAsia" w:ascii="宋体" w:hAnsi="宋体"/>
          <w:color w:val="auto"/>
          <w:highlight w:val="none"/>
        </w:rPr>
      </w:pPr>
      <w:bookmarkStart w:id="416" w:name="_Toc247514025"/>
      <w:bookmarkStart w:id="417" w:name="_Toc152045601"/>
      <w:bookmarkStart w:id="418" w:name="_Toc144974568"/>
      <w:bookmarkStart w:id="419" w:name="_Toc247527626"/>
      <w:bookmarkStart w:id="420" w:name="_Toc152042378"/>
      <w:r>
        <w:rPr>
          <w:rFonts w:hint="eastAsia" w:ascii="宋体" w:hAnsi="宋体"/>
          <w:color w:val="auto"/>
          <w:highlight w:val="none"/>
        </w:rPr>
        <w:t>本次评标采用综合评估法。评标委员会对满足招标文件实质性要求的投标文件，按照本章第</w:t>
      </w:r>
      <w:r>
        <w:rPr>
          <w:rFonts w:ascii="宋体" w:hAnsi="宋体"/>
          <w:color w:val="auto"/>
          <w:highlight w:val="none"/>
        </w:rPr>
        <w:t>2.2</w:t>
      </w:r>
      <w:r>
        <w:rPr>
          <w:rFonts w:hint="eastAsia" w:ascii="宋体" w:hAnsi="宋体"/>
          <w:color w:val="auto"/>
          <w:highlight w:val="none"/>
        </w:rPr>
        <w:t>款规定的评分标准进行打分，并按得分由高到低顺序推荐中标候选人，或根据招标人授权直接确定中标人，但投标报价低于其成本的除外。</w:t>
      </w:r>
    </w:p>
    <w:p>
      <w:pPr>
        <w:pStyle w:val="4"/>
        <w:rPr>
          <w:rFonts w:hint="eastAsia" w:ascii="宋体" w:hAnsi="宋体" w:eastAsia="宋体" w:cs="宋体"/>
          <w:color w:val="auto"/>
          <w:highlight w:val="none"/>
        </w:rPr>
      </w:pPr>
      <w:bookmarkStart w:id="421" w:name="_Toc18218"/>
      <w:bookmarkStart w:id="422" w:name="_Toc14448"/>
      <w:r>
        <w:rPr>
          <w:rFonts w:hint="eastAsia" w:ascii="宋体" w:hAnsi="宋体" w:eastAsia="宋体" w:cs="宋体"/>
          <w:color w:val="auto"/>
          <w:highlight w:val="none"/>
        </w:rPr>
        <w:t>2. 评审标准</w:t>
      </w:r>
      <w:bookmarkEnd w:id="416"/>
      <w:bookmarkEnd w:id="417"/>
      <w:bookmarkEnd w:id="418"/>
      <w:bookmarkEnd w:id="419"/>
      <w:bookmarkEnd w:id="420"/>
      <w:bookmarkEnd w:id="421"/>
      <w:bookmarkEnd w:id="422"/>
    </w:p>
    <w:p>
      <w:pPr>
        <w:pStyle w:val="5"/>
        <w:rPr>
          <w:rFonts w:hint="eastAsia" w:ascii="宋体" w:eastAsia="宋体" w:cs="宋体"/>
          <w:color w:val="auto"/>
          <w:highlight w:val="none"/>
        </w:rPr>
      </w:pPr>
      <w:bookmarkStart w:id="423" w:name="_Toc24698"/>
      <w:bookmarkStart w:id="424" w:name="_Toc152045602"/>
      <w:bookmarkStart w:id="425" w:name="_Toc152042379"/>
      <w:bookmarkStart w:id="426" w:name="_Toc144974569"/>
      <w:bookmarkStart w:id="427" w:name="_Toc18349"/>
      <w:bookmarkStart w:id="428" w:name="_Toc247514026"/>
      <w:bookmarkStart w:id="429" w:name="_Toc247527627"/>
      <w:r>
        <w:rPr>
          <w:rFonts w:hint="eastAsia" w:ascii="宋体" w:eastAsia="宋体" w:cs="宋体"/>
          <w:color w:val="auto"/>
          <w:highlight w:val="none"/>
        </w:rPr>
        <w:t>2.1 初步评审标准</w:t>
      </w:r>
      <w:bookmarkEnd w:id="423"/>
      <w:bookmarkEnd w:id="424"/>
      <w:bookmarkEnd w:id="425"/>
      <w:bookmarkEnd w:id="426"/>
      <w:bookmarkEnd w:id="427"/>
      <w:bookmarkEnd w:id="428"/>
      <w:bookmarkEnd w:id="429"/>
    </w:p>
    <w:p>
      <w:pPr>
        <w:spacing w:line="360" w:lineRule="auto"/>
        <w:ind w:firstLine="420" w:firstLineChars="200"/>
        <w:rPr>
          <w:rFonts w:hint="eastAsia" w:ascii="宋体" w:hAnsi="宋体" w:cs="宋体"/>
          <w:color w:val="auto"/>
          <w:highlight w:val="none"/>
        </w:rPr>
      </w:pPr>
      <w:bookmarkStart w:id="430" w:name="_Toc152045603"/>
      <w:bookmarkStart w:id="431" w:name="_Toc152042380"/>
      <w:bookmarkStart w:id="432" w:name="_Toc144974570"/>
      <w:bookmarkStart w:id="433" w:name="_Toc247514027"/>
      <w:bookmarkStart w:id="434" w:name="_Toc247527628"/>
      <w:r>
        <w:rPr>
          <w:rFonts w:hint="eastAsia" w:ascii="宋体" w:hAnsi="宋体" w:cs="宋体"/>
          <w:color w:val="auto"/>
          <w:highlight w:val="none"/>
        </w:rPr>
        <w:t>2.1.1 形式评审标准：见评标办法前附表。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2.1.2 资格评审标准：见评标办法前附表。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（1）</w:t>
      </w:r>
      <w:r>
        <w:rPr>
          <w:rFonts w:hint="eastAsia" w:ascii="宋体" w:hAnsi="宋体" w:cs="宋体"/>
          <w:color w:val="auto"/>
          <w:szCs w:val="21"/>
          <w:highlight w:val="none"/>
        </w:rPr>
        <w:t>设计方案</w:t>
      </w:r>
      <w:r>
        <w:rPr>
          <w:rFonts w:hint="eastAsia" w:ascii="宋体" w:hAnsi="宋体" w:cs="宋体"/>
          <w:color w:val="auto"/>
          <w:highlight w:val="none"/>
        </w:rPr>
        <w:t>响应性评审</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暗标</w:t>
      </w:r>
      <w:r>
        <w:rPr>
          <w:rFonts w:hint="eastAsia" w:ascii="宋体" w:hAnsi="宋体" w:cs="宋体"/>
          <w:color w:val="auto"/>
          <w:highlight w:val="none"/>
          <w:lang w:eastAsia="zh-CN"/>
        </w:rPr>
        <w:t>）</w:t>
      </w:r>
      <w:r>
        <w:rPr>
          <w:rFonts w:hint="eastAsia" w:ascii="宋体" w:hAnsi="宋体" w:cs="宋体"/>
          <w:color w:val="auto"/>
          <w:highlight w:val="none"/>
        </w:rPr>
        <w:t>标准：见评标办法前附表。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2.1.3 （2）</w:t>
      </w:r>
      <w:r>
        <w:rPr>
          <w:rFonts w:hint="eastAsia" w:ascii="宋体" w:hAnsi="宋体" w:cs="宋体"/>
          <w:color w:val="auto"/>
          <w:kern w:val="1"/>
          <w:szCs w:val="21"/>
          <w:highlight w:val="none"/>
        </w:rPr>
        <w:t>工程总承包实施方案</w:t>
      </w:r>
      <w:r>
        <w:rPr>
          <w:rFonts w:hint="eastAsia" w:ascii="宋体" w:hAnsi="宋体" w:cs="宋体"/>
          <w:color w:val="auto"/>
          <w:highlight w:val="none"/>
        </w:rPr>
        <w:t>响应性评审标准：见评标办法前附表。</w:t>
      </w:r>
    </w:p>
    <w:p>
      <w:pPr>
        <w:pStyle w:val="5"/>
        <w:rPr>
          <w:rFonts w:hint="eastAsia" w:ascii="宋体" w:eastAsia="宋体" w:cs="宋体"/>
          <w:color w:val="auto"/>
          <w:highlight w:val="none"/>
        </w:rPr>
      </w:pPr>
      <w:bookmarkStart w:id="435" w:name="_Toc4204"/>
      <w:bookmarkStart w:id="436" w:name="_Toc2683"/>
      <w:r>
        <w:rPr>
          <w:rFonts w:hint="eastAsia" w:ascii="宋体" w:eastAsia="宋体" w:cs="宋体"/>
          <w:color w:val="auto"/>
          <w:highlight w:val="none"/>
        </w:rPr>
        <w:t>2.2 分值构成与评分标准</w:t>
      </w:r>
      <w:bookmarkEnd w:id="430"/>
      <w:bookmarkEnd w:id="431"/>
      <w:bookmarkEnd w:id="432"/>
      <w:bookmarkEnd w:id="433"/>
      <w:bookmarkEnd w:id="434"/>
      <w:bookmarkEnd w:id="435"/>
      <w:bookmarkEnd w:id="436"/>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2.2.1 分值构成及权重：见评标办法前附表；</w:t>
      </w:r>
    </w:p>
    <w:p>
      <w:pPr>
        <w:spacing w:line="360" w:lineRule="auto"/>
        <w:ind w:firstLine="420" w:firstLineChars="200"/>
        <w:rPr>
          <w:rFonts w:hint="eastAsia" w:ascii="宋体" w:hAnsi="宋体" w:cs="宋体"/>
          <w:color w:val="auto"/>
          <w:highlight w:val="none"/>
          <w:u w:val="single"/>
        </w:rPr>
      </w:pPr>
      <w:bookmarkStart w:id="437" w:name="_Toc247514028"/>
      <w:bookmarkStart w:id="438" w:name="_Toc152045604"/>
      <w:bookmarkStart w:id="439" w:name="_Toc152042381"/>
      <w:bookmarkStart w:id="440" w:name="_Toc247527629"/>
      <w:bookmarkStart w:id="441" w:name="_Toc144974571"/>
      <w:r>
        <w:rPr>
          <w:rFonts w:hint="eastAsia" w:ascii="宋体" w:hAnsi="宋体" w:cs="宋体"/>
          <w:color w:val="auto"/>
          <w:highlight w:val="none"/>
          <w:u w:val="single"/>
        </w:rPr>
        <w:t>（1）设计方案：见评标办法前附表；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（3）投标报价：见评标办法前附表。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2.2.2 评标基准价计算</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评标基准价计算方法：见评标办法前附表。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2.2.3 投标报价的偏差率计算</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投标报价的偏差率计算公式：见评标办法前附表。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2.2.4 评分标准</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（1）设计方案评分标准：见评标办法前附表；</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（2）工程总承包实施方案评分标准：见评标办法前附表；</w:t>
      </w:r>
    </w:p>
    <w:p>
      <w:pPr>
        <w:spacing w:line="360" w:lineRule="auto"/>
        <w:ind w:firstLine="420" w:firstLineChars="200"/>
        <w:rPr>
          <w:rFonts w:hint="eastAsia" w:ascii="宋体" w:hAnsi="宋体"/>
          <w:color w:val="auto"/>
          <w:highlight w:val="none"/>
        </w:rPr>
      </w:pPr>
      <w:r>
        <w:rPr>
          <w:rFonts w:hint="eastAsia" w:ascii="宋体" w:hAnsi="宋体" w:cs="宋体"/>
          <w:color w:val="auto"/>
          <w:highlight w:val="none"/>
          <w:u w:val="single"/>
        </w:rPr>
        <w:t>（3）投标报价评分标准：见评标办法前附表。</w:t>
      </w:r>
    </w:p>
    <w:p>
      <w:pPr>
        <w:pStyle w:val="4"/>
        <w:rPr>
          <w:rFonts w:hint="eastAsia" w:ascii="宋体" w:hAnsi="宋体" w:eastAsia="宋体" w:cs="宋体"/>
          <w:color w:val="auto"/>
          <w:highlight w:val="none"/>
        </w:rPr>
      </w:pPr>
      <w:bookmarkStart w:id="442" w:name="_Toc26445"/>
      <w:bookmarkStart w:id="443" w:name="_Toc455"/>
      <w:r>
        <w:rPr>
          <w:rFonts w:hint="eastAsia" w:ascii="宋体" w:hAnsi="宋体" w:eastAsia="宋体" w:cs="宋体"/>
          <w:color w:val="auto"/>
          <w:highlight w:val="none"/>
        </w:rPr>
        <w:t>3. 评标程序</w:t>
      </w:r>
      <w:bookmarkEnd w:id="437"/>
      <w:bookmarkEnd w:id="438"/>
      <w:bookmarkEnd w:id="439"/>
      <w:bookmarkEnd w:id="440"/>
      <w:bookmarkEnd w:id="441"/>
      <w:bookmarkEnd w:id="442"/>
      <w:bookmarkEnd w:id="443"/>
    </w:p>
    <w:p>
      <w:pPr>
        <w:pStyle w:val="5"/>
        <w:spacing w:before="120" w:after="0" w:line="360" w:lineRule="auto"/>
        <w:rPr>
          <w:rFonts w:hint="eastAsia" w:ascii="宋体" w:eastAsia="宋体" w:cs="宋体"/>
          <w:color w:val="auto"/>
          <w:highlight w:val="none"/>
          <w:u w:val="single"/>
        </w:rPr>
      </w:pPr>
      <w:r>
        <w:rPr>
          <w:rFonts w:hint="eastAsia" w:ascii="宋体" w:eastAsia="宋体" w:cs="宋体"/>
          <w:color w:val="auto"/>
          <w:highlight w:val="none"/>
          <w:u w:val="single"/>
        </w:rPr>
        <w:t>3.1 本项目采取电子评标。</w:t>
      </w:r>
    </w:p>
    <w:p>
      <w:pPr>
        <w:spacing w:line="360" w:lineRule="auto"/>
        <w:ind w:firstLine="420" w:firstLineChars="200"/>
        <w:rPr>
          <w:rFonts w:hint="eastAsia" w:ascii="宋体" w:hAnsi="宋体" w:cs="宋体"/>
          <w:color w:val="auto"/>
          <w:szCs w:val="21"/>
          <w:highlight w:val="none"/>
          <w:u w:val="single"/>
        </w:rPr>
      </w:pPr>
      <w:bookmarkStart w:id="444" w:name="_Hlk179403238"/>
      <w:r>
        <w:rPr>
          <w:rFonts w:hint="eastAsia" w:ascii="宋体" w:hAnsi="宋体" w:cs="宋体"/>
          <w:color w:val="auto"/>
          <w:szCs w:val="21"/>
          <w:highlight w:val="none"/>
          <w:u w:val="single"/>
        </w:rPr>
        <w:t>投标文件由评标委员会负责评审。</w:t>
      </w:r>
    </w:p>
    <w:bookmarkEnd w:id="444"/>
    <w:p>
      <w:pPr>
        <w:pStyle w:val="5"/>
        <w:spacing w:before="120" w:after="0" w:line="360" w:lineRule="auto"/>
        <w:rPr>
          <w:rFonts w:hint="eastAsia" w:ascii="宋体" w:eastAsia="宋体" w:cs="宋体"/>
          <w:color w:val="auto"/>
          <w:highlight w:val="none"/>
          <w:u w:val="single"/>
        </w:rPr>
      </w:pPr>
      <w:bookmarkStart w:id="445" w:name="_Toc80124911"/>
      <w:bookmarkStart w:id="446" w:name="_Toc2974"/>
      <w:bookmarkStart w:id="447" w:name="_Toc439240660"/>
      <w:bookmarkStart w:id="448" w:name="_Toc439246059"/>
      <w:bookmarkStart w:id="449" w:name="_Toc247514032"/>
      <w:bookmarkStart w:id="450" w:name="_Toc152042386"/>
      <w:bookmarkStart w:id="451" w:name="_Toc144974576"/>
      <w:bookmarkStart w:id="452" w:name="_Toc152045608"/>
      <w:bookmarkStart w:id="453" w:name="_Toc247527633"/>
      <w:r>
        <w:rPr>
          <w:rFonts w:hint="eastAsia" w:ascii="宋体" w:eastAsia="宋体" w:cs="宋体"/>
          <w:color w:val="auto"/>
          <w:highlight w:val="none"/>
          <w:u w:val="single"/>
        </w:rPr>
        <w:t>3.</w:t>
      </w:r>
      <w:bookmarkEnd w:id="445"/>
      <w:bookmarkStart w:id="454" w:name="_Toc80124912"/>
      <w:r>
        <w:rPr>
          <w:rFonts w:hint="eastAsia" w:ascii="宋体" w:eastAsia="宋体" w:cs="宋体"/>
          <w:color w:val="auto"/>
          <w:highlight w:val="none"/>
          <w:u w:val="single"/>
        </w:rPr>
        <w:t xml:space="preserve">2 </w:t>
      </w:r>
      <w:bookmarkEnd w:id="454"/>
      <w:r>
        <w:rPr>
          <w:rFonts w:hint="eastAsia" w:ascii="宋体" w:eastAsia="宋体" w:cs="宋体"/>
          <w:color w:val="auto"/>
          <w:highlight w:val="none"/>
          <w:u w:val="single"/>
        </w:rPr>
        <w:t>初步评审</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cs="宋体"/>
          <w:color w:val="auto"/>
          <w:szCs w:val="21"/>
          <w:highlight w:val="none"/>
        </w:rPr>
        <w:t xml:space="preserve">3.2.1 </w:t>
      </w:r>
      <w:bookmarkEnd w:id="446"/>
      <w:bookmarkEnd w:id="447"/>
      <w:bookmarkEnd w:id="448"/>
      <w:bookmarkStart w:id="455" w:name="_Toc2723"/>
      <w:r>
        <w:rPr>
          <w:rFonts w:hint="eastAsia" w:ascii="宋体" w:hAnsi="宋体" w:eastAsia="宋体" w:cs="宋体"/>
          <w:color w:val="auto"/>
          <w:szCs w:val="21"/>
          <w:highlight w:val="none"/>
          <w:u w:val="single"/>
        </w:rPr>
        <w:t>评标委员会依据本章第2.1款规定的标准对投标文件依次进行形式评审、资格评审、</w:t>
      </w:r>
      <w:r>
        <w:rPr>
          <w:rFonts w:hint="eastAsia" w:ascii="宋体" w:hAnsi="宋体" w:eastAsia="宋体" w:cs="Times New Roman"/>
          <w:color w:val="auto"/>
          <w:szCs w:val="21"/>
          <w:highlight w:val="none"/>
          <w:u w:val="single"/>
        </w:rPr>
        <w:t>设计方案响应性评审（暗标）</w:t>
      </w:r>
      <w:r>
        <w:rPr>
          <w:rFonts w:hint="eastAsia" w:ascii="宋体" w:hAnsi="宋体" w:eastAsia="宋体" w:cs="宋体"/>
          <w:color w:val="auto"/>
          <w:szCs w:val="21"/>
          <w:highlight w:val="none"/>
          <w:u w:val="single"/>
          <w:lang w:val="en-US" w:eastAsia="zh-CN"/>
        </w:rPr>
        <w:t>和</w:t>
      </w:r>
      <w:r>
        <w:rPr>
          <w:rFonts w:hint="eastAsia" w:ascii="宋体" w:hAnsi="宋体" w:eastAsia="宋体" w:cs="宋体"/>
          <w:color w:val="auto"/>
          <w:szCs w:val="21"/>
          <w:highlight w:val="none"/>
          <w:u w:val="single"/>
        </w:rPr>
        <w:t>工程总承包实施方案响应性评审，有一项不符合评审标准的，评标委员会应当否决其投标，</w:t>
      </w:r>
      <w:r>
        <w:rPr>
          <w:rFonts w:hint="eastAsia" w:ascii="宋体" w:hAnsi="宋体" w:eastAsia="宋体" w:cs="Times New Roman"/>
          <w:color w:val="auto"/>
          <w:szCs w:val="21"/>
          <w:highlight w:val="none"/>
          <w:u w:val="single"/>
        </w:rPr>
        <w:t>只有通过相应评审的投标文件方可进入下一阶段的评审</w:t>
      </w:r>
      <w:r>
        <w:rPr>
          <w:rFonts w:hint="eastAsia" w:ascii="宋体" w:hAnsi="宋体" w:eastAsia="宋体" w:cs="宋体"/>
          <w:color w:val="auto"/>
          <w:szCs w:val="21"/>
          <w:highlight w:val="none"/>
          <w:u w:val="single"/>
        </w:rPr>
        <w:t>。如评标委员会成员的评审意见不一致时，以评标委员会过半数成员的意见作为评标委员会对该情形的认定结论。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投标人有以下情形之一的，评标委员会应当否决其投标：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投标人存在《投标人声明》第三条情形之一的；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pPr>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（3）不按评标委员会要求澄清、说明或补正的。</w:t>
      </w:r>
    </w:p>
    <w:p>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特别声明：资审合格后，投标人的资格发生变化而不满足投标人合格条件，在发出中标通知书前，资格问题仍未解决的，招标人将取消其中标资格。</w:t>
      </w:r>
    </w:p>
    <w:p>
      <w:pPr>
        <w:keepNext/>
        <w:keepLines/>
        <w:spacing w:before="120" w:line="360" w:lineRule="auto"/>
        <w:ind w:firstLine="137" w:firstLineChars="49"/>
        <w:outlineLvl w:val="2"/>
        <w:rPr>
          <w:rFonts w:hint="eastAsia" w:ascii="宋体" w:hAnsi="宋体" w:eastAsia="宋体" w:cs="宋体"/>
          <w:bCs/>
          <w:color w:val="auto"/>
          <w:sz w:val="28"/>
          <w:szCs w:val="28"/>
          <w:highlight w:val="none"/>
          <w:u w:val="single"/>
        </w:rPr>
      </w:pPr>
      <w:bookmarkStart w:id="456" w:name="_Toc29953"/>
      <w:bookmarkStart w:id="457" w:name="_Toc28052"/>
      <w:bookmarkStart w:id="458" w:name="_Toc439246060"/>
      <w:bookmarkStart w:id="459" w:name="_Toc33695050"/>
      <w:bookmarkStart w:id="460" w:name="_Toc439240661"/>
      <w:bookmarkStart w:id="461" w:name="_Toc414"/>
      <w:bookmarkStart w:id="462" w:name="_Toc80124913"/>
      <w:r>
        <w:rPr>
          <w:rFonts w:hint="eastAsia" w:ascii="宋体" w:hAnsi="宋体" w:eastAsia="宋体" w:cs="宋体"/>
          <w:bCs/>
          <w:color w:val="auto"/>
          <w:sz w:val="28"/>
          <w:szCs w:val="28"/>
          <w:highlight w:val="none"/>
          <w:u w:val="single"/>
        </w:rPr>
        <w:t>3.3</w:t>
      </w:r>
      <w:bookmarkEnd w:id="456"/>
      <w:bookmarkEnd w:id="457"/>
      <w:bookmarkEnd w:id="458"/>
      <w:bookmarkEnd w:id="459"/>
      <w:bookmarkEnd w:id="460"/>
      <w:bookmarkEnd w:id="461"/>
      <w:r>
        <w:rPr>
          <w:rFonts w:hint="eastAsia" w:ascii="宋体" w:hAnsi="宋体" w:eastAsia="宋体" w:cs="宋体"/>
          <w:bCs/>
          <w:color w:val="auto"/>
          <w:sz w:val="28"/>
          <w:szCs w:val="28"/>
          <w:highlight w:val="none"/>
          <w:u w:val="single"/>
        </w:rPr>
        <w:t xml:space="preserve"> 设计方案评审</w:t>
      </w:r>
      <w:r>
        <w:rPr>
          <w:rFonts w:hint="eastAsia" w:ascii="宋体" w:hAnsi="宋体" w:eastAsia="宋体" w:cs="宋体"/>
          <w:b/>
          <w:bCs/>
          <w:color w:val="auto"/>
          <w:sz w:val="28"/>
          <w:szCs w:val="28"/>
          <w:highlight w:val="none"/>
          <w:u w:val="single"/>
        </w:rPr>
        <w:t>（暗标）</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3.3.1</w:t>
      </w:r>
      <w:r>
        <w:rPr>
          <w:rFonts w:hint="eastAsia" w:ascii="宋体" w:hAnsi="宋体" w:eastAsia="宋体" w:cs="宋体"/>
          <w:color w:val="auto"/>
          <w:szCs w:val="21"/>
          <w:highlight w:val="none"/>
          <w:u w:val="single"/>
        </w:rPr>
        <w:t>评标委员会</w:t>
      </w:r>
      <w:r>
        <w:rPr>
          <w:rFonts w:hint="eastAsia" w:ascii="宋体" w:hAnsi="宋体" w:eastAsia="宋体" w:cs="Times New Roman"/>
          <w:color w:val="auto"/>
          <w:szCs w:val="21"/>
          <w:highlight w:val="none"/>
          <w:u w:val="single"/>
        </w:rPr>
        <w:t>按照设计方案评分标准（详见前附表）对通过初步评审的设计方案文件进行详细评分。</w:t>
      </w:r>
    </w:p>
    <w:p>
      <w:pPr>
        <w:spacing w:line="360" w:lineRule="auto"/>
        <w:ind w:firstLine="424" w:firstLineChars="202"/>
        <w:rPr>
          <w:rFonts w:hint="eastAsia" w:ascii="宋体" w:hAnsi="宋体" w:eastAsia="宋体" w:cs="Times New Roman"/>
          <w:color w:val="auto"/>
          <w:szCs w:val="24"/>
          <w:highlight w:val="none"/>
          <w:u w:val="single"/>
        </w:rPr>
      </w:pPr>
      <w:r>
        <w:rPr>
          <w:rFonts w:hint="eastAsia" w:ascii="宋体" w:hAnsi="宋体" w:eastAsia="宋体" w:cs="Times New Roman"/>
          <w:color w:val="auto"/>
          <w:szCs w:val="21"/>
          <w:highlight w:val="none"/>
          <w:u w:val="single"/>
        </w:rPr>
        <w:t>3.3.</w:t>
      </w:r>
      <w:bookmarkStart w:id="463" w:name="_Hlk179403273"/>
      <w:r>
        <w:rPr>
          <w:rFonts w:hint="eastAsia" w:ascii="宋体" w:hAnsi="宋体" w:eastAsia="宋体" w:cs="Times New Roman"/>
          <w:color w:val="auto"/>
          <w:szCs w:val="21"/>
          <w:highlight w:val="none"/>
          <w:u w:val="single"/>
        </w:rPr>
        <w:t>2</w:t>
      </w:r>
      <w:r>
        <w:rPr>
          <w:rFonts w:hint="eastAsia" w:ascii="宋体" w:hAnsi="宋体" w:eastAsia="宋体" w:cs="宋体"/>
          <w:color w:val="auto"/>
          <w:szCs w:val="21"/>
          <w:highlight w:val="none"/>
          <w:u w:val="single"/>
        </w:rPr>
        <w:t>投标人</w:t>
      </w:r>
      <w:r>
        <w:rPr>
          <w:rFonts w:hint="eastAsia" w:ascii="宋体" w:hAnsi="宋体" w:eastAsia="宋体" w:cs="Times New Roman"/>
          <w:color w:val="auto"/>
          <w:szCs w:val="21"/>
          <w:highlight w:val="none"/>
          <w:u w:val="single"/>
        </w:rPr>
        <w:t>设计方案</w:t>
      </w:r>
      <w:bookmarkEnd w:id="463"/>
      <w:r>
        <w:rPr>
          <w:rFonts w:hint="eastAsia" w:ascii="宋体" w:hAnsi="宋体" w:eastAsia="宋体" w:cs="宋体"/>
          <w:color w:val="auto"/>
          <w:szCs w:val="21"/>
          <w:highlight w:val="none"/>
          <w:u w:val="single"/>
        </w:rPr>
        <w:t>得分为所有评委评分的算术平均值</w:t>
      </w:r>
      <w:r>
        <w:rPr>
          <w:rFonts w:hint="eastAsia" w:ascii="宋体" w:hAnsi="宋体" w:eastAsia="宋体" w:cs="Times New Roman"/>
          <w:color w:val="auto"/>
          <w:szCs w:val="21"/>
          <w:highlight w:val="none"/>
          <w:u w:val="single"/>
        </w:rPr>
        <w:t>，分数出现小数点，保留小数点后二位，第三位小数四舍五入。</w:t>
      </w:r>
    </w:p>
    <w:p>
      <w:pPr>
        <w:keepNext/>
        <w:keepLines/>
        <w:spacing w:before="120" w:line="360" w:lineRule="auto"/>
        <w:ind w:firstLine="137" w:firstLineChars="49"/>
        <w:outlineLvl w:val="2"/>
        <w:rPr>
          <w:rFonts w:hint="eastAsia" w:ascii="宋体" w:hAnsi="宋体" w:eastAsia="宋体" w:cs="宋体"/>
          <w:color w:val="auto"/>
          <w:szCs w:val="21"/>
          <w:highlight w:val="none"/>
          <w:u w:val="single"/>
        </w:rPr>
      </w:pPr>
      <w:r>
        <w:rPr>
          <w:rFonts w:hint="eastAsia" w:ascii="宋体" w:hAnsi="宋体" w:eastAsia="宋体" w:cs="宋体"/>
          <w:bCs/>
          <w:color w:val="auto"/>
          <w:sz w:val="28"/>
          <w:szCs w:val="28"/>
          <w:highlight w:val="none"/>
          <w:u w:val="single"/>
        </w:rPr>
        <w:t>3.4 工程总承包实施方案评审</w:t>
      </w:r>
      <w:bookmarkEnd w:id="462"/>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3.4.1</w:t>
      </w:r>
      <w:r>
        <w:rPr>
          <w:rFonts w:hint="eastAsia" w:ascii="宋体" w:hAnsi="宋体" w:eastAsia="宋体" w:cs="宋体"/>
          <w:color w:val="auto"/>
          <w:szCs w:val="24"/>
          <w:highlight w:val="none"/>
          <w:u w:val="single"/>
        </w:rPr>
        <w:t>评标委员会</w:t>
      </w:r>
      <w:r>
        <w:rPr>
          <w:rFonts w:hint="eastAsia" w:ascii="宋体" w:hAnsi="宋体" w:eastAsia="宋体" w:cs="宋体"/>
          <w:color w:val="auto"/>
          <w:szCs w:val="21"/>
          <w:highlight w:val="none"/>
          <w:u w:val="single"/>
        </w:rPr>
        <w:t>按照</w:t>
      </w:r>
      <w:r>
        <w:rPr>
          <w:rFonts w:hint="eastAsia" w:ascii="宋体" w:hAnsi="宋体" w:eastAsia="宋体" w:cs="Times New Roman"/>
          <w:color w:val="auto"/>
          <w:szCs w:val="21"/>
          <w:highlight w:val="none"/>
          <w:u w:val="single"/>
        </w:rPr>
        <w:t>工程总承包实施方案</w:t>
      </w:r>
      <w:r>
        <w:rPr>
          <w:rFonts w:hint="eastAsia" w:ascii="宋体" w:hAnsi="宋体" w:eastAsia="宋体" w:cs="宋体"/>
          <w:color w:val="auto"/>
          <w:szCs w:val="21"/>
          <w:highlight w:val="none"/>
          <w:u w:val="single"/>
        </w:rPr>
        <w:t>评分标准（详见前附表）对通过</w:t>
      </w:r>
      <w:r>
        <w:rPr>
          <w:rFonts w:hint="eastAsia" w:ascii="宋体" w:hAnsi="宋体" w:eastAsia="宋体" w:cs="宋体"/>
          <w:color w:val="auto"/>
          <w:szCs w:val="24"/>
          <w:highlight w:val="none"/>
          <w:u w:val="single"/>
        </w:rPr>
        <w:t>初步评审</w:t>
      </w:r>
      <w:r>
        <w:rPr>
          <w:rFonts w:hint="eastAsia" w:ascii="宋体" w:hAnsi="宋体" w:eastAsia="宋体" w:cs="宋体"/>
          <w:color w:val="auto"/>
          <w:szCs w:val="21"/>
          <w:highlight w:val="none"/>
          <w:u w:val="single"/>
        </w:rPr>
        <w:t>的投标文件进行详细评分。</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3.4.2 投标人</w:t>
      </w:r>
      <w:r>
        <w:rPr>
          <w:rFonts w:hint="eastAsia" w:ascii="宋体" w:hAnsi="宋体" w:eastAsia="宋体" w:cs="Times New Roman"/>
          <w:color w:val="auto"/>
          <w:szCs w:val="21"/>
          <w:highlight w:val="none"/>
          <w:u w:val="single"/>
        </w:rPr>
        <w:t>工程总承包实施方案</w:t>
      </w:r>
      <w:r>
        <w:rPr>
          <w:rFonts w:hint="eastAsia" w:ascii="宋体" w:hAnsi="宋体" w:eastAsia="宋体" w:cs="宋体"/>
          <w:color w:val="auto"/>
          <w:szCs w:val="21"/>
          <w:highlight w:val="none"/>
          <w:u w:val="single"/>
        </w:rPr>
        <w:t>得分为所有评委评分的算术平均值，分数出现小数点，保留小数点后二位，第三位小数四舍五入。</w:t>
      </w:r>
    </w:p>
    <w:p>
      <w:pPr>
        <w:keepNext/>
        <w:keepLines/>
        <w:spacing w:before="100" w:after="100" w:line="360" w:lineRule="auto"/>
        <w:ind w:firstLine="137" w:firstLineChars="49"/>
        <w:outlineLvl w:val="2"/>
        <w:rPr>
          <w:rFonts w:hint="eastAsia" w:ascii="宋体" w:hAnsi="宋体" w:eastAsia="宋体" w:cs="Times New Roman"/>
          <w:bCs/>
          <w:color w:val="auto"/>
          <w:sz w:val="28"/>
          <w:szCs w:val="28"/>
          <w:highlight w:val="none"/>
        </w:rPr>
      </w:pPr>
      <w:bookmarkStart w:id="464" w:name="_Toc17199"/>
      <w:bookmarkStart w:id="465" w:name="_Toc78788121"/>
      <w:bookmarkStart w:id="466" w:name="_Toc26775"/>
      <w:bookmarkStart w:id="467" w:name="_Toc16232"/>
      <w:bookmarkStart w:id="468" w:name="_Toc439246061"/>
      <w:bookmarkStart w:id="469" w:name="_Toc439240662"/>
      <w:r>
        <w:rPr>
          <w:rFonts w:hint="eastAsia" w:ascii="宋体" w:hAnsi="宋体" w:eastAsia="宋体" w:cs="Times New Roman"/>
          <w:bCs/>
          <w:color w:val="auto"/>
          <w:sz w:val="28"/>
          <w:szCs w:val="28"/>
          <w:highlight w:val="none"/>
        </w:rPr>
        <w:t>3.5 投标报价评审</w:t>
      </w:r>
      <w:bookmarkEnd w:id="464"/>
      <w:bookmarkEnd w:id="465"/>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宋体"/>
          <w:color w:val="auto"/>
          <w:szCs w:val="21"/>
          <w:highlight w:val="none"/>
          <w:u w:val="single"/>
        </w:rPr>
        <w:t>3.5.1</w:t>
      </w:r>
      <w:r>
        <w:rPr>
          <w:rFonts w:hint="eastAsia" w:ascii="宋体" w:hAnsi="宋体" w:eastAsia="宋体" w:cs="Times New Roman"/>
          <w:color w:val="auto"/>
          <w:szCs w:val="21"/>
          <w:highlight w:val="none"/>
          <w:u w:val="single"/>
        </w:rPr>
        <w:t>评标委员会对通过</w:t>
      </w:r>
      <w:r>
        <w:rPr>
          <w:rFonts w:hint="eastAsia" w:ascii="宋体" w:hAnsi="宋体" w:eastAsia="宋体" w:cs="宋体"/>
          <w:color w:val="auto"/>
          <w:szCs w:val="24"/>
          <w:highlight w:val="none"/>
          <w:u w:val="single"/>
        </w:rPr>
        <w:t>初步评审</w:t>
      </w:r>
      <w:r>
        <w:rPr>
          <w:rFonts w:hint="eastAsia" w:ascii="宋体" w:hAnsi="宋体" w:eastAsia="宋体" w:cs="Times New Roman"/>
          <w:color w:val="auto"/>
          <w:szCs w:val="21"/>
          <w:highlight w:val="none"/>
          <w:u w:val="single"/>
        </w:rPr>
        <w:t>的投标文件的投标报价进行算术校核，具体标准如下：</w:t>
      </w:r>
    </w:p>
    <w:p>
      <w:pPr>
        <w:spacing w:line="360" w:lineRule="auto"/>
        <w:ind w:firstLine="424" w:firstLineChars="202"/>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u w:val="single"/>
        </w:rPr>
        <w:t>（1）如（1-下浮率）与最高限价乘积不等于投标报价时，以下浮率为准修正投标报价（下浮率有明显的数量级错误的除外，此时应修正下浮率），若修正后的投标报价超过最高投标限价的，作否决投标处理；</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（2）如果数字表示的金额和用文字表示的金额不一致时，应以文字表示的金额为准；</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（3）如果分项报价累加不等总价的，以分项报价累加为准，修正总价；</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（4）投标文件存在其他计算性错误的，按就低不就高计算并修正；</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（5）按上述修正错误的原则及方法调整或修正投标文件的投标报价，调整后的投标报价对投标人起约束作用。如果投标人不接受修正后的报价，则否决其投标。</w:t>
      </w:r>
    </w:p>
    <w:p>
      <w:pPr>
        <w:spacing w:line="360" w:lineRule="auto"/>
        <w:ind w:firstLine="424" w:firstLineChars="202"/>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3.5.2 投标报价评分</w:t>
      </w:r>
    </w:p>
    <w:bookmarkEnd w:id="466"/>
    <w:bookmarkEnd w:id="467"/>
    <w:bookmarkEnd w:id="468"/>
    <w:bookmarkEnd w:id="469"/>
    <w:p>
      <w:pPr>
        <w:spacing w:line="360" w:lineRule="auto"/>
        <w:ind w:firstLine="424" w:firstLineChars="202"/>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u w:val="single"/>
        </w:rPr>
        <w:t>（1）</w:t>
      </w:r>
      <w:r>
        <w:rPr>
          <w:rFonts w:hint="eastAsia" w:ascii="宋体" w:hAnsi="宋体" w:eastAsia="宋体" w:cs="Times New Roman"/>
          <w:color w:val="auto"/>
          <w:szCs w:val="21"/>
          <w:highlight w:val="none"/>
          <w:u w:val="single"/>
        </w:rPr>
        <w:t>评标委员会对</w:t>
      </w:r>
      <w:r>
        <w:rPr>
          <w:rFonts w:hint="eastAsia" w:ascii="宋体" w:hAnsi="宋体" w:eastAsia="宋体" w:cs="宋体"/>
          <w:color w:val="auto"/>
          <w:szCs w:val="24"/>
          <w:highlight w:val="none"/>
          <w:u w:val="single"/>
        </w:rPr>
        <w:t>通过</w:t>
      </w:r>
      <w:r>
        <w:rPr>
          <w:rFonts w:hint="eastAsia" w:ascii="宋体" w:hAnsi="宋体" w:eastAsia="宋体" w:cs="Times New Roman"/>
          <w:color w:val="auto"/>
          <w:szCs w:val="21"/>
          <w:highlight w:val="none"/>
          <w:u w:val="single"/>
        </w:rPr>
        <w:t>初步评审</w:t>
      </w:r>
      <w:r>
        <w:rPr>
          <w:rFonts w:hint="eastAsia" w:ascii="宋体" w:hAnsi="宋体" w:eastAsia="宋体" w:cs="宋体"/>
          <w:color w:val="auto"/>
          <w:szCs w:val="24"/>
          <w:highlight w:val="none"/>
          <w:u w:val="single"/>
        </w:rPr>
        <w:t>且经算术校核的投标总报价位于[本项目最高投标限价×90%，本项目最高投标限价]区间的投标人大于或等于5家时，去掉一个最高价和一个最低价后，取剩余报价的算术平均值为评标基准价；通过</w:t>
      </w:r>
      <w:r>
        <w:rPr>
          <w:rFonts w:hint="eastAsia" w:ascii="宋体" w:hAnsi="宋体" w:eastAsia="宋体" w:cs="Times New Roman"/>
          <w:color w:val="auto"/>
          <w:szCs w:val="21"/>
          <w:highlight w:val="none"/>
          <w:u w:val="single"/>
        </w:rPr>
        <w:t>初步评审</w:t>
      </w:r>
      <w:r>
        <w:rPr>
          <w:rFonts w:hint="eastAsia" w:ascii="宋体" w:hAnsi="宋体" w:eastAsia="宋体" w:cs="宋体"/>
          <w:color w:val="auto"/>
          <w:szCs w:val="24"/>
          <w:highlight w:val="none"/>
          <w:u w:val="single"/>
        </w:rPr>
        <w:t>且经算术校核的投标总报价位于[本项目最高投标限价×90%，本项目最高投标限价]区间的投标人少于5家时，直接取区间中的投标总报价的算术平均值为评标基准价。通过</w:t>
      </w:r>
      <w:r>
        <w:rPr>
          <w:rFonts w:hint="eastAsia" w:ascii="宋体" w:hAnsi="宋体" w:eastAsia="宋体" w:cs="Times New Roman"/>
          <w:color w:val="auto"/>
          <w:szCs w:val="21"/>
          <w:highlight w:val="none"/>
          <w:u w:val="single"/>
        </w:rPr>
        <w:t>初步评审</w:t>
      </w:r>
      <w:r>
        <w:rPr>
          <w:rFonts w:hint="eastAsia" w:ascii="宋体" w:hAnsi="宋体" w:eastAsia="宋体" w:cs="宋体"/>
          <w:color w:val="auto"/>
          <w:szCs w:val="24"/>
          <w:highlight w:val="none"/>
          <w:u w:val="single"/>
        </w:rPr>
        <w:t>且经算术校核的投标总报价若没有位于[本项目最高总投标限价×90%，本项目最高投标限价]区间，则以本项目最高投标限价×90%为评标基准价。</w:t>
      </w:r>
    </w:p>
    <w:p>
      <w:pPr>
        <w:spacing w:line="360" w:lineRule="auto"/>
        <w:ind w:firstLine="424" w:firstLineChars="202"/>
        <w:rPr>
          <w:rFonts w:hint="eastAsia" w:ascii="宋体" w:hAnsi="宋体" w:eastAsia="宋体" w:cs="Times New Roman"/>
          <w:color w:val="auto"/>
          <w:szCs w:val="21"/>
          <w:highlight w:val="none"/>
        </w:rPr>
      </w:pPr>
      <w:r>
        <w:rPr>
          <w:rFonts w:hint="eastAsia" w:ascii="宋体" w:hAnsi="宋体" w:eastAsia="宋体" w:cs="宋体"/>
          <w:color w:val="auto"/>
          <w:szCs w:val="24"/>
          <w:highlight w:val="none"/>
          <w:u w:val="single"/>
        </w:rPr>
        <w:t>（2）当投标总报价等于评标基准价时得100分，投标总报价每高于评标基准价1%，扣0.2分，每低于评标基准价1%，扣0.1分，</w:t>
      </w:r>
      <w:r>
        <w:rPr>
          <w:rFonts w:ascii="宋体" w:hAnsi="宋体" w:eastAsia="宋体" w:cs="Times New Roman"/>
          <w:color w:val="auto"/>
          <w:szCs w:val="21"/>
          <w:highlight w:val="none"/>
          <w:u w:val="single"/>
        </w:rPr>
        <w:t>得出投标报价得分</w:t>
      </w:r>
      <w:r>
        <w:rPr>
          <w:rFonts w:hint="eastAsia" w:ascii="宋体" w:hAnsi="宋体" w:eastAsia="宋体" w:cs="Times New Roman"/>
          <w:color w:val="auto"/>
          <w:szCs w:val="21"/>
          <w:highlight w:val="none"/>
          <w:u w:val="single"/>
        </w:rPr>
        <w:t>，</w:t>
      </w:r>
      <w:r>
        <w:rPr>
          <w:rFonts w:hint="eastAsia" w:ascii="宋体" w:hAnsi="宋体" w:eastAsia="宋体" w:cs="宋体"/>
          <w:color w:val="auto"/>
          <w:szCs w:val="24"/>
          <w:highlight w:val="none"/>
          <w:u w:val="single"/>
        </w:rPr>
        <w:t>最多扣100分，精确到小数点后两位，第三位小数四舍五入。</w:t>
      </w:r>
    </w:p>
    <w:p>
      <w:pPr>
        <w:keepNext/>
        <w:keepLines/>
        <w:outlineLvl w:val="2"/>
        <w:rPr>
          <w:rFonts w:hint="eastAsia" w:ascii="宋体" w:hAnsi="宋体" w:eastAsia="宋体" w:cs="Times New Roman"/>
          <w:bCs/>
          <w:color w:val="auto"/>
          <w:sz w:val="28"/>
          <w:szCs w:val="28"/>
          <w:highlight w:val="none"/>
        </w:rPr>
      </w:pPr>
      <w:bookmarkStart w:id="470" w:name="_Toc78788122"/>
      <w:bookmarkStart w:id="471" w:name="_Toc31590"/>
      <w:r>
        <w:rPr>
          <w:rFonts w:hint="eastAsia" w:ascii="宋体" w:hAnsi="宋体" w:eastAsia="宋体" w:cs="Times New Roman"/>
          <w:bCs/>
          <w:color w:val="auto"/>
          <w:sz w:val="28"/>
          <w:szCs w:val="28"/>
          <w:highlight w:val="none"/>
        </w:rPr>
        <w:t>3.6 评审汇总</w:t>
      </w:r>
      <w:bookmarkEnd w:id="470"/>
      <w:bookmarkEnd w:id="471"/>
    </w:p>
    <w:p>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 xml:space="preserve">3.6.1 </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在评标系统揭晓投标人身份并汇总投标人总得分。</w:t>
      </w:r>
    </w:p>
    <w:p>
      <w:pPr>
        <w:spacing w:line="360" w:lineRule="auto"/>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3.6.2投标人总得分满分为100分，分数出现小数点，保留小数点后二位，第三位小数四舍五入。总分权重分配见</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评标办法前附表。</w:t>
      </w:r>
    </w:p>
    <w:p>
      <w:pPr>
        <w:spacing w:line="360" w:lineRule="auto"/>
        <w:ind w:firstLine="420" w:firstLineChars="200"/>
        <w:rPr>
          <w:rFonts w:hint="eastAsia" w:ascii="宋体" w:hAnsi="宋体" w:eastAsia="宋体" w:cs="宋体"/>
          <w:color w:val="auto"/>
          <w:szCs w:val="24"/>
          <w:highlight w:val="none"/>
          <w:u w:val="single"/>
        </w:rPr>
      </w:pPr>
      <w:r>
        <w:rPr>
          <w:rFonts w:hint="eastAsia" w:ascii="宋体" w:hAnsi="宋体" w:eastAsia="宋体" w:cs="Times New Roman"/>
          <w:color w:val="auto"/>
          <w:szCs w:val="21"/>
          <w:highlight w:val="none"/>
          <w:u w:val="single"/>
        </w:rPr>
        <w:t>3.6.3</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按照“评标办法前附表</w:t>
      </w:r>
      <w:r>
        <w:rPr>
          <w:rFonts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rPr>
        <w:t>所述公式，只有通过初步评审方可计算各有效投标文件的总分，并按照总分从高到低排列先后次序。总分相同的，以投标总报价低的优先；投标总报价也相同的，以工程总承包实施方案得分高的优先；总分、投标总报价与工程总承包实施方案得分均相同的投标文件，则对具有相同情况的投标人，按中标候选人数量规定，由</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采用实名投票方式，确定中标候选人的排序。</w:t>
      </w:r>
      <w:r>
        <w:rPr>
          <w:rFonts w:hint="eastAsia" w:ascii="宋体" w:hAnsi="宋体" w:eastAsia="宋体" w:cs="宋体"/>
          <w:color w:val="auto"/>
          <w:szCs w:val="24"/>
          <w:highlight w:val="none"/>
          <w:u w:val="single"/>
        </w:rPr>
        <w:t>评标委员会</w:t>
      </w:r>
      <w:r>
        <w:rPr>
          <w:rFonts w:hint="eastAsia" w:ascii="宋体" w:hAnsi="宋体" w:eastAsia="宋体" w:cs="Times New Roman"/>
          <w:color w:val="auto"/>
          <w:szCs w:val="21"/>
          <w:highlight w:val="none"/>
          <w:u w:val="single"/>
        </w:rPr>
        <w:t>应按排序先后，在招标文件有效的投标人中，向招标人推荐前3名投标人依次为第一中标候选人至第三中标候选人，并编写评标报告（对评标结论持有异议的评标委员会成员可以书面方式阐述其不同意见和理由）。</w:t>
      </w:r>
    </w:p>
    <w:p>
      <w:pPr>
        <w:spacing w:line="360" w:lineRule="auto"/>
        <w:ind w:firstLine="420" w:firstLineChars="200"/>
        <w:rPr>
          <w:rFonts w:hint="eastAsia" w:ascii="宋体" w:hAnsi="宋体"/>
          <w:color w:val="auto"/>
          <w:szCs w:val="21"/>
          <w:highlight w:val="none"/>
          <w:u w:val="single"/>
        </w:rPr>
      </w:pPr>
      <w:r>
        <w:rPr>
          <w:rFonts w:hint="eastAsia" w:ascii="宋体" w:hAnsi="宋体" w:eastAsia="宋体" w:cs="Times New Roman"/>
          <w:color w:val="auto"/>
          <w:szCs w:val="21"/>
          <w:highlight w:val="none"/>
          <w:u w:val="single"/>
        </w:rPr>
        <w:t>3.6.3 通过初步评审的投标人不足3名的为招标失败</w:t>
      </w:r>
      <w:r>
        <w:rPr>
          <w:rFonts w:hint="eastAsia" w:ascii="宋体" w:hAnsi="宋体"/>
          <w:color w:val="auto"/>
          <w:szCs w:val="21"/>
          <w:highlight w:val="none"/>
          <w:u w:val="single"/>
        </w:rPr>
        <w:t>。</w:t>
      </w:r>
    </w:p>
    <w:bookmarkEnd w:id="449"/>
    <w:bookmarkEnd w:id="450"/>
    <w:bookmarkEnd w:id="451"/>
    <w:bookmarkEnd w:id="452"/>
    <w:bookmarkEnd w:id="453"/>
    <w:bookmarkEnd w:id="455"/>
    <w:p>
      <w:pPr>
        <w:pStyle w:val="5"/>
        <w:rPr>
          <w:rFonts w:hint="eastAsia" w:ascii="宋体" w:eastAsia="宋体" w:cs="宋体"/>
          <w:color w:val="auto"/>
          <w:highlight w:val="none"/>
        </w:rPr>
      </w:pPr>
      <w:bookmarkStart w:id="472" w:name="_Toc533330533"/>
      <w:bookmarkStart w:id="473" w:name="_Toc4273"/>
      <w:bookmarkStart w:id="474" w:name="_Toc16169"/>
      <w:r>
        <w:rPr>
          <w:rFonts w:hint="eastAsia" w:ascii="宋体" w:eastAsia="宋体" w:cs="宋体"/>
          <w:color w:val="auto"/>
          <w:highlight w:val="none"/>
        </w:rPr>
        <w:t>3.7 投标文件的澄清和补正</w:t>
      </w:r>
      <w:bookmarkEnd w:id="472"/>
      <w:bookmarkEnd w:id="473"/>
      <w:bookmarkEnd w:id="474"/>
    </w:p>
    <w:p>
      <w:pPr>
        <w:spacing w:line="360" w:lineRule="auto"/>
        <w:ind w:firstLine="424" w:firstLineChars="202"/>
        <w:rPr>
          <w:rFonts w:hint="eastAsia" w:ascii="宋体" w:hAnsi="宋体" w:cs="宋体"/>
          <w:color w:val="auto"/>
          <w:szCs w:val="21"/>
          <w:highlight w:val="none"/>
          <w:u w:val="single"/>
        </w:rPr>
      </w:pPr>
      <w:bookmarkStart w:id="475" w:name="_Toc533330534"/>
      <w:r>
        <w:rPr>
          <w:rFonts w:hint="eastAsia" w:ascii="宋体" w:hAnsi="宋体" w:cs="宋体"/>
          <w:color w:val="auto"/>
          <w:szCs w:val="21"/>
          <w:highlight w:val="none"/>
          <w:u w:val="single"/>
        </w:rPr>
        <w:t>3.7.1 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3.7.2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3.7.3 评标委员会成员均应当阅读投标人的澄清，但应独立参考澄清对投标文件进行评审。</w:t>
      </w:r>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3.7.4 如果投标文件实质上不响应招标文件的各项要求，评标委员会相应评审将按照响应性审查标准予以拒绝，不接受投标人通过修改或撤销其不符合要求的差异或保留，使之成为具有响应性的投标。</w:t>
      </w:r>
    </w:p>
    <w:p>
      <w:pPr>
        <w:pStyle w:val="5"/>
        <w:rPr>
          <w:rFonts w:hint="eastAsia" w:ascii="宋体" w:eastAsia="宋体" w:cs="宋体"/>
          <w:color w:val="auto"/>
          <w:highlight w:val="none"/>
        </w:rPr>
      </w:pPr>
      <w:bookmarkStart w:id="476" w:name="_Toc1734"/>
      <w:bookmarkStart w:id="477" w:name="_Toc30315"/>
      <w:r>
        <w:rPr>
          <w:rFonts w:hint="eastAsia" w:ascii="宋体" w:eastAsia="宋体" w:cs="宋体"/>
          <w:color w:val="auto"/>
          <w:highlight w:val="none"/>
        </w:rPr>
        <w:t>3.8 评标结果</w:t>
      </w:r>
      <w:bookmarkEnd w:id="475"/>
      <w:bookmarkEnd w:id="476"/>
      <w:bookmarkEnd w:id="477"/>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3.8.1 除第二章“投标人须知”前附表授权直接确定中标人外，评标委员会按照得分由高到低的顺序推荐中标候选人。</w:t>
      </w:r>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3.8.2 评标委员会完成评标后，应当向招标人提交书面评标报告。</w:t>
      </w:r>
    </w:p>
    <w:p>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3.8.3 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pacing w:line="400" w:lineRule="exact"/>
        <w:ind w:firstLine="457" w:firstLineChars="218"/>
        <w:rPr>
          <w:rFonts w:hint="eastAsia" w:ascii="宋体" w:hAnsi="宋体" w:cs="宋体"/>
          <w:color w:val="auto"/>
          <w:highlight w:val="none"/>
        </w:rPr>
        <w:sectPr>
          <w:pgSz w:w="11906" w:h="16838"/>
          <w:pgMar w:top="1304" w:right="1304" w:bottom="1304" w:left="1304" w:header="851" w:footer="992" w:gutter="0"/>
          <w:cols w:space="720" w:num="1"/>
          <w:docGrid w:type="lines" w:linePitch="312" w:charSpace="0"/>
        </w:sectPr>
      </w:pPr>
    </w:p>
    <w:p>
      <w:pPr>
        <w:rPr>
          <w:rFonts w:hint="eastAsia" w:ascii="宋体" w:hAnsi="宋体" w:cs="宋体"/>
          <w:b/>
          <w:color w:val="auto"/>
          <w:sz w:val="24"/>
          <w:highlight w:val="none"/>
        </w:rPr>
      </w:pPr>
      <w:r>
        <w:rPr>
          <w:rFonts w:hint="eastAsia" w:ascii="宋体" w:hAnsi="宋体" w:cs="宋体"/>
          <w:b/>
          <w:color w:val="auto"/>
          <w:sz w:val="24"/>
          <w:highlight w:val="none"/>
        </w:rPr>
        <w:t xml:space="preserve">                         </w:t>
      </w:r>
    </w:p>
    <w:p>
      <w:pPr>
        <w:spacing w:line="300" w:lineRule="auto"/>
        <w:ind w:left="-424" w:leftChars="-202"/>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投标总报价得分计算表</w:t>
      </w:r>
    </w:p>
    <w:p>
      <w:pPr>
        <w:jc w:val="center"/>
        <w:rPr>
          <w:rFonts w:hint="eastAsia" w:ascii="宋体" w:hAnsi="宋体" w:cs="宋体"/>
          <w:b/>
          <w:color w:val="auto"/>
          <w:sz w:val="24"/>
          <w:highlight w:val="none"/>
        </w:rPr>
      </w:pPr>
    </w:p>
    <w:tbl>
      <w:tblPr>
        <w:tblStyle w:val="40"/>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1011"/>
        <w:gridCol w:w="1008"/>
        <w:gridCol w:w="1008"/>
        <w:gridCol w:w="1008"/>
        <w:gridCol w:w="1007"/>
        <w:gridCol w:w="1007"/>
        <w:gridCol w:w="1007"/>
        <w:gridCol w:w="1007"/>
        <w:gridCol w:w="1007"/>
        <w:gridCol w:w="1007"/>
        <w:gridCol w:w="100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投标报价PT（元）</w:t>
            </w:r>
          </w:p>
          <w:p>
            <w:pPr>
              <w:rPr>
                <w:rFonts w:hint="eastAsia" w:ascii="宋体" w:hAnsi="宋体" w:cs="宋体"/>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评标基准价PC（元）</w:t>
            </w:r>
          </w:p>
        </w:tc>
        <w:tc>
          <w:tcPr>
            <w:tcW w:w="12117" w:type="dxa"/>
            <w:gridSpan w:val="1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pacing w:val="-10"/>
                <w:szCs w:val="21"/>
                <w:highlight w:val="none"/>
              </w:rPr>
            </w:pPr>
            <w:r>
              <w:rPr>
                <w:rFonts w:hint="eastAsia" w:ascii="宋体" w:hAnsi="宋体" w:cs="宋体"/>
                <w:color w:val="auto"/>
                <w:spacing w:val="-10"/>
                <w:szCs w:val="21"/>
                <w:highlight w:val="none"/>
              </w:rPr>
              <w:t>偏差（（PT-PC）/PC）（%）</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减分（A）</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得分(I=100-A)</w:t>
            </w:r>
          </w:p>
        </w:tc>
        <w:tc>
          <w:tcPr>
            <w:tcW w:w="10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0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rPr>
            </w:pP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注：报价得分精确到小数点后两位。</w:t>
      </w:r>
    </w:p>
    <w:p>
      <w:pPr>
        <w:spacing w:line="360" w:lineRule="auto"/>
        <w:ind w:firstLine="405"/>
        <w:rPr>
          <w:rFonts w:hint="eastAsia" w:ascii="宋体" w:hAnsi="宋体" w:cs="宋体"/>
          <w:color w:val="auto"/>
          <w:szCs w:val="21"/>
          <w:highlight w:val="none"/>
        </w:rPr>
      </w:pPr>
    </w:p>
    <w:p>
      <w:pPr>
        <w:spacing w:line="360" w:lineRule="auto"/>
        <w:ind w:left="209" w:leftChars="-67" w:hanging="350" w:hangingChars="167"/>
        <w:jc w:val="left"/>
        <w:rPr>
          <w:rFonts w:hint="eastAsia" w:ascii="宋体" w:hAnsi="宋体" w:cs="宋体"/>
          <w:color w:val="auto"/>
          <w:szCs w:val="21"/>
          <w:highlight w:val="none"/>
        </w:rPr>
      </w:pPr>
      <w:r>
        <w:rPr>
          <w:rFonts w:hint="eastAsia" w:ascii="宋体" w:hAnsi="宋体" w:cs="宋体"/>
          <w:color w:val="auto"/>
          <w:szCs w:val="21"/>
          <w:highlight w:val="none"/>
        </w:rPr>
        <w:t>评委签名：                              日期：</w:t>
      </w:r>
    </w:p>
    <w:p>
      <w:pPr>
        <w:spacing w:line="360" w:lineRule="auto"/>
        <w:ind w:left="209" w:leftChars="-67" w:hanging="350" w:hangingChars="167"/>
        <w:jc w:val="left"/>
        <w:rPr>
          <w:rFonts w:hint="eastAsia" w:ascii="宋体" w:hAnsi="宋体" w:cs="宋体"/>
          <w:color w:val="auto"/>
          <w:szCs w:val="21"/>
          <w:highlight w:val="none"/>
        </w:rPr>
      </w:pPr>
    </w:p>
    <w:p>
      <w:pPr>
        <w:spacing w:line="360" w:lineRule="auto"/>
        <w:ind w:left="209" w:leftChars="-67" w:hanging="350" w:hangingChars="167"/>
        <w:jc w:val="left"/>
        <w:rPr>
          <w:rFonts w:hint="eastAsia" w:ascii="宋体" w:hAnsi="宋体" w:cs="宋体"/>
          <w:color w:val="auto"/>
          <w:szCs w:val="21"/>
          <w:highlight w:val="none"/>
        </w:rPr>
      </w:pPr>
    </w:p>
    <w:p>
      <w:pPr>
        <w:spacing w:line="400" w:lineRule="exact"/>
        <w:rPr>
          <w:rFonts w:hint="eastAsia" w:ascii="宋体" w:hAnsi="宋体" w:cs="宋体"/>
          <w:color w:val="auto"/>
          <w:highlight w:val="none"/>
        </w:rPr>
      </w:pPr>
      <w:bookmarkStart w:id="478" w:name="_Toc247527634"/>
      <w:bookmarkStart w:id="479" w:name="_Toc152045609"/>
      <w:bookmarkStart w:id="480" w:name="_Toc247514033"/>
      <w:bookmarkStart w:id="481" w:name="_Toc152042387"/>
      <w:bookmarkStart w:id="482" w:name="_Toc144974577"/>
    </w:p>
    <w:p>
      <w:pPr>
        <w:pStyle w:val="3"/>
        <w:rPr>
          <w:rFonts w:hint="eastAsia" w:ascii="宋体" w:hAnsi="宋体" w:cs="宋体"/>
          <w:color w:val="auto"/>
          <w:highlight w:val="none"/>
        </w:rPr>
        <w:sectPr>
          <w:headerReference r:id="rId4" w:type="default"/>
          <w:footerReference r:id="rId5" w:type="default"/>
          <w:footnotePr>
            <w:numRestart w:val="eachPage"/>
          </w:footnotePr>
          <w:pgSz w:w="16838" w:h="11905" w:orient="landscape"/>
          <w:pgMar w:top="1304" w:right="1304" w:bottom="1304" w:left="1304" w:header="851" w:footer="992" w:gutter="0"/>
          <w:cols w:space="720" w:num="1"/>
          <w:docGrid w:type="lines" w:linePitch="321" w:charSpace="0"/>
        </w:sectPr>
      </w:pPr>
    </w:p>
    <w:p>
      <w:pPr>
        <w:pStyle w:val="3"/>
        <w:jc w:val="center"/>
        <w:rPr>
          <w:rFonts w:hint="eastAsia" w:ascii="宋体" w:hAnsi="宋体" w:cs="宋体"/>
          <w:color w:val="auto"/>
          <w:highlight w:val="none"/>
        </w:rPr>
      </w:pPr>
      <w:bookmarkStart w:id="483" w:name="_Toc24223"/>
      <w:bookmarkStart w:id="484" w:name="_Toc30231"/>
      <w:r>
        <w:rPr>
          <w:rFonts w:hint="eastAsia" w:ascii="宋体" w:hAnsi="宋体" w:cs="宋体"/>
          <w:color w:val="auto"/>
          <w:highlight w:val="none"/>
        </w:rPr>
        <w:t>第四章  合同条款及格式</w:t>
      </w:r>
      <w:bookmarkEnd w:id="478"/>
      <w:bookmarkEnd w:id="479"/>
      <w:bookmarkEnd w:id="480"/>
      <w:bookmarkEnd w:id="481"/>
      <w:bookmarkEnd w:id="482"/>
      <w:bookmarkEnd w:id="483"/>
      <w:bookmarkEnd w:id="484"/>
      <w:bookmarkStart w:id="485" w:name="_Toc144974578"/>
      <w:bookmarkStart w:id="486" w:name="_Toc247514034"/>
      <w:bookmarkStart w:id="487" w:name="_Toc152045610"/>
      <w:bookmarkStart w:id="488" w:name="_Toc247527635"/>
      <w:bookmarkStart w:id="489" w:name="_Toc152042388"/>
      <w:bookmarkStart w:id="490" w:name="_Toc184635097"/>
    </w:p>
    <w:p>
      <w:pPr>
        <w:jc w:val="center"/>
        <w:rPr>
          <w:rFonts w:hint="eastAsia" w:ascii="宋体" w:hAnsi="宋体" w:cs="宋体"/>
          <w:color w:val="auto"/>
          <w:sz w:val="24"/>
          <w:highlight w:val="none"/>
          <w:u w:val="single"/>
        </w:rPr>
      </w:pPr>
      <w:r>
        <w:rPr>
          <w:rFonts w:hint="eastAsia" w:ascii="宋体" w:hAnsi="宋体" w:cs="宋体"/>
          <w:color w:val="auto"/>
          <w:sz w:val="24"/>
          <w:highlight w:val="none"/>
          <w:u w:val="single"/>
        </w:rPr>
        <w:t>（另册）</w:t>
      </w:r>
      <w:bookmarkEnd w:id="485"/>
      <w:bookmarkEnd w:id="486"/>
      <w:bookmarkEnd w:id="487"/>
      <w:bookmarkEnd w:id="488"/>
      <w:bookmarkEnd w:id="489"/>
      <w:bookmarkEnd w:id="490"/>
    </w:p>
    <w:p>
      <w:pPr>
        <w:pStyle w:val="3"/>
        <w:jc w:val="center"/>
        <w:rPr>
          <w:rFonts w:hint="eastAsia" w:ascii="宋体" w:hAnsi="宋体" w:cs="宋体"/>
          <w:color w:val="auto"/>
          <w:highlight w:val="none"/>
        </w:rPr>
      </w:pPr>
      <w:bookmarkStart w:id="491" w:name="_Toc247527820"/>
      <w:bookmarkStart w:id="492" w:name="_Toc144974851"/>
      <w:bookmarkStart w:id="493" w:name="_Toc152045782"/>
      <w:bookmarkStart w:id="494" w:name="_Toc152042571"/>
      <w:bookmarkStart w:id="495" w:name="_Toc247514233"/>
      <w:bookmarkStart w:id="496" w:name="_Toc9547"/>
      <w:bookmarkStart w:id="497" w:name="_Toc16246"/>
      <w:r>
        <w:rPr>
          <w:rFonts w:hint="eastAsia" w:ascii="宋体" w:hAnsi="宋体" w:cs="宋体"/>
          <w:color w:val="auto"/>
          <w:highlight w:val="none"/>
        </w:rPr>
        <w:br w:type="page"/>
      </w:r>
      <w:r>
        <w:rPr>
          <w:rFonts w:hint="eastAsia" w:ascii="宋体" w:hAnsi="宋体" w:cs="宋体"/>
          <w:color w:val="auto"/>
          <w:highlight w:val="none"/>
        </w:rPr>
        <w:t xml:space="preserve">第五章  </w:t>
      </w:r>
      <w:bookmarkEnd w:id="491"/>
      <w:bookmarkEnd w:id="492"/>
      <w:bookmarkEnd w:id="493"/>
      <w:bookmarkEnd w:id="494"/>
      <w:bookmarkEnd w:id="495"/>
      <w:r>
        <w:rPr>
          <w:rFonts w:hint="eastAsia" w:ascii="宋体" w:hAnsi="宋体" w:cs="宋体"/>
          <w:color w:val="auto"/>
          <w:highlight w:val="none"/>
        </w:rPr>
        <w:t>招标人要求</w:t>
      </w:r>
      <w:bookmarkEnd w:id="496"/>
      <w:bookmarkEnd w:id="497"/>
    </w:p>
    <w:p>
      <w:pPr>
        <w:adjustRightInd w:val="0"/>
        <w:spacing w:line="360" w:lineRule="auto"/>
        <w:ind w:firstLine="620" w:firstLineChars="193"/>
        <w:jc w:val="center"/>
        <w:rPr>
          <w:rFonts w:hint="eastAsia" w:ascii="宋体" w:hAnsi="宋体" w:cs="宋体"/>
          <w:b/>
          <w:color w:val="auto"/>
          <w:sz w:val="24"/>
          <w:highlight w:val="none"/>
        </w:rPr>
      </w:pPr>
      <w:bookmarkStart w:id="498" w:name="_Toc144974855"/>
      <w:bookmarkStart w:id="499" w:name="_Toc152045786"/>
      <w:bookmarkStart w:id="500" w:name="_Toc152042575"/>
      <w:bookmarkStart w:id="501" w:name="_Toc247514245"/>
      <w:bookmarkStart w:id="502" w:name="_Toc247527826"/>
      <w:r>
        <w:rPr>
          <w:rFonts w:hint="eastAsia" w:ascii="宋体" w:hAnsi="宋体"/>
          <w:b/>
          <w:color w:val="auto"/>
          <w:sz w:val="32"/>
          <w:highlight w:val="none"/>
        </w:rPr>
        <w:t>基础资料和设计任务书</w:t>
      </w:r>
    </w:p>
    <w:p>
      <w:pPr>
        <w:spacing w:line="400" w:lineRule="exact"/>
        <w:outlineLvl w:val="0"/>
        <w:rPr>
          <w:rFonts w:hint="eastAsia" w:ascii="宋体" w:hAnsi="宋体" w:cs="宋体"/>
          <w:b/>
          <w:color w:val="auto"/>
          <w:sz w:val="24"/>
          <w:highlight w:val="none"/>
        </w:rPr>
      </w:pPr>
    </w:p>
    <w:p>
      <w:pPr>
        <w:spacing w:line="400" w:lineRule="exact"/>
        <w:outlineLvl w:val="0"/>
        <w:rPr>
          <w:rFonts w:hint="eastAsia" w:ascii="宋体" w:hAnsi="宋体" w:cs="宋体"/>
          <w:b/>
          <w:color w:val="auto"/>
          <w:sz w:val="24"/>
          <w:highlight w:val="none"/>
        </w:rPr>
      </w:pPr>
      <w:r>
        <w:rPr>
          <w:rFonts w:hint="eastAsia" w:ascii="宋体" w:hAnsi="宋体" w:cs="宋体"/>
          <w:b/>
          <w:color w:val="auto"/>
          <w:sz w:val="24"/>
          <w:highlight w:val="none"/>
        </w:rPr>
        <w:t>一、工程背景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国道G106至</w:t>
      </w:r>
      <w:r>
        <w:rPr>
          <w:rFonts w:hint="eastAsia" w:ascii="宋体" w:hAnsi="宋体" w:cs="宋体"/>
          <w:color w:val="auto"/>
          <w:szCs w:val="21"/>
          <w:highlight w:val="none"/>
          <w:lang w:val="en-US" w:eastAsia="zh-CN"/>
        </w:rPr>
        <w:t>花山</w:t>
      </w:r>
      <w:r>
        <w:rPr>
          <w:rFonts w:hint="eastAsia" w:ascii="宋体" w:hAnsi="宋体" w:eastAsia="宋体" w:cs="宋体"/>
          <w:color w:val="auto"/>
          <w:szCs w:val="21"/>
          <w:highlight w:val="none"/>
        </w:rPr>
        <w:t>平安楼道路为广州市花都区花山镇城西石场建筑用花岗岩矿区及平安楼对外的唯一通道</w:t>
      </w:r>
      <w:r>
        <w:rPr>
          <w:rFonts w:hint="eastAsia" w:ascii="宋体" w:hAnsi="宋体" w:cs="宋体"/>
          <w:color w:val="auto"/>
          <w:szCs w:val="21"/>
          <w:highlight w:val="none"/>
          <w:lang w:eastAsia="zh-CN"/>
        </w:rPr>
        <w:t>，该项目的建成，</w:t>
      </w:r>
      <w:r>
        <w:rPr>
          <w:rFonts w:hint="eastAsia" w:ascii="宋体" w:hAnsi="宋体" w:cs="宋体"/>
          <w:color w:val="auto"/>
          <w:szCs w:val="21"/>
          <w:highlight w:val="none"/>
          <w:lang w:val="en-US" w:eastAsia="zh-CN"/>
        </w:rPr>
        <w:t>不仅是完善区域市政道路设施的需要，也是适应地区产业发展的需要、促进区域经济建设、改善片区出行条件</w:t>
      </w:r>
      <w:r>
        <w:rPr>
          <w:rFonts w:hint="eastAsia" w:ascii="宋体" w:hAnsi="宋体" w:cs="宋体"/>
          <w:color w:val="auto"/>
          <w:szCs w:val="21"/>
          <w:highlight w:val="none"/>
          <w:lang w:eastAsia="zh-CN"/>
        </w:rPr>
        <w:t>的重要举措</w:t>
      </w:r>
      <w:r>
        <w:rPr>
          <w:rFonts w:hint="eastAsia" w:ascii="宋体" w:hAnsi="宋体" w:eastAsia="宋体" w:cs="宋体"/>
          <w:color w:val="auto"/>
          <w:szCs w:val="21"/>
          <w:highlight w:val="none"/>
        </w:rPr>
        <w:t>。</w:t>
      </w:r>
    </w:p>
    <w:p>
      <w:pPr>
        <w:spacing w:line="400" w:lineRule="exac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二、工程范围</w:t>
      </w:r>
    </w:p>
    <w:p>
      <w:pPr>
        <w:spacing w:before="0" w:beforeLines="0" w:after="0" w:afterLines="0" w:line="400" w:lineRule="exact"/>
        <w:ind w:firstLine="420" w:firstLineChars="200"/>
        <w:jc w:val="left"/>
        <w:outlineLvl w:val="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eastAsia="zh-CN"/>
        </w:rPr>
        <w:t>国道G106至花山平安楼道路工程</w:t>
      </w:r>
      <w:r>
        <w:rPr>
          <w:rFonts w:hint="eastAsia" w:ascii="宋体" w:hAnsi="宋体" w:eastAsia="宋体" w:cs="宋体"/>
          <w:b w:val="0"/>
          <w:color w:val="auto"/>
          <w:sz w:val="21"/>
          <w:szCs w:val="21"/>
          <w:highlight w:val="none"/>
        </w:rPr>
        <w:t>位于</w:t>
      </w:r>
      <w:r>
        <w:rPr>
          <w:rFonts w:hint="eastAsia" w:ascii="宋体" w:hAnsi="宋体" w:eastAsia="宋体" w:cs="宋体"/>
          <w:color w:val="auto"/>
          <w:szCs w:val="21"/>
          <w:highlight w:val="none"/>
        </w:rPr>
        <w:t>广州市花都区花</w:t>
      </w:r>
      <w:r>
        <w:rPr>
          <w:rFonts w:hint="eastAsia" w:ascii="宋体" w:hAnsi="宋体" w:cs="宋体"/>
          <w:color w:val="auto"/>
          <w:szCs w:val="21"/>
          <w:highlight w:val="none"/>
          <w:lang w:val="en-US" w:eastAsia="zh-CN"/>
        </w:rPr>
        <w:t>山</w:t>
      </w:r>
      <w:r>
        <w:rPr>
          <w:rFonts w:hint="eastAsia" w:ascii="宋体" w:hAnsi="宋体" w:eastAsia="宋体" w:cs="宋体"/>
          <w:color w:val="auto"/>
          <w:szCs w:val="21"/>
          <w:highlight w:val="none"/>
        </w:rPr>
        <w:t>镇</w:t>
      </w:r>
      <w:r>
        <w:rPr>
          <w:rFonts w:hint="eastAsia" w:ascii="宋体" w:hAnsi="宋体" w:cs="宋体"/>
          <w:color w:val="auto"/>
          <w:szCs w:val="21"/>
          <w:highlight w:val="none"/>
          <w:lang w:val="en-US" w:eastAsia="zh-CN"/>
        </w:rPr>
        <w:t>与梯面镇</w:t>
      </w:r>
      <w:r>
        <w:rPr>
          <w:rFonts w:hint="eastAsia" w:ascii="宋体" w:hAnsi="宋体" w:eastAsia="宋体" w:cs="宋体"/>
          <w:b w:val="0"/>
          <w:color w:val="auto"/>
          <w:sz w:val="21"/>
          <w:szCs w:val="21"/>
          <w:highlight w:val="none"/>
        </w:rPr>
        <w:t>，为城市支路，</w:t>
      </w:r>
      <w:r>
        <w:rPr>
          <w:rFonts w:hint="eastAsia" w:ascii="宋体" w:hAnsi="宋体" w:eastAsia="宋体" w:cs="宋体"/>
          <w:b w:val="0"/>
          <w:color w:val="auto"/>
          <w:sz w:val="21"/>
          <w:szCs w:val="21"/>
          <w:highlight w:val="none"/>
          <w:lang w:val="en-US" w:eastAsia="zh-CN"/>
        </w:rPr>
        <w:t>新建道路</w:t>
      </w:r>
      <w:r>
        <w:rPr>
          <w:rFonts w:hint="eastAsia" w:ascii="宋体" w:hAnsi="宋体" w:eastAsia="宋体" w:cs="宋体"/>
          <w:b w:val="0"/>
          <w:color w:val="auto"/>
          <w:sz w:val="21"/>
          <w:szCs w:val="21"/>
          <w:highlight w:val="none"/>
        </w:rPr>
        <w:t>路线全长1.012km，为双向4车道，道路红线宽度24m，设计速度30km/h，水泥混凝土路面。</w:t>
      </w:r>
    </w:p>
    <w:p>
      <w:pPr>
        <w:spacing w:before="0" w:beforeLines="0" w:after="0" w:afterLines="0" w:line="400" w:lineRule="exact"/>
        <w:ind w:firstLine="420" w:firstLineChars="200"/>
        <w:jc w:val="left"/>
        <w:outlineLvl w:val="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主</w:t>
      </w:r>
      <w:r>
        <w:rPr>
          <w:rFonts w:hint="eastAsia" w:ascii="宋体" w:hAnsi="宋体" w:cs="宋体"/>
          <w:b w:val="0"/>
          <w:color w:val="auto"/>
          <w:sz w:val="21"/>
          <w:szCs w:val="21"/>
          <w:highlight w:val="none"/>
          <w:lang w:val="en-US" w:eastAsia="zh-CN"/>
        </w:rPr>
        <w:t>要</w:t>
      </w:r>
      <w:r>
        <w:rPr>
          <w:rFonts w:hint="eastAsia" w:ascii="宋体" w:hAnsi="宋体" w:eastAsia="宋体" w:cs="宋体"/>
          <w:b w:val="0"/>
          <w:color w:val="auto"/>
          <w:sz w:val="21"/>
          <w:szCs w:val="21"/>
          <w:highlight w:val="none"/>
        </w:rPr>
        <w:t>建设内容包括：</w:t>
      </w:r>
      <w:r>
        <w:rPr>
          <w:rFonts w:hint="eastAsia"/>
          <w:color w:val="auto"/>
          <w:szCs w:val="24"/>
          <w:highlight w:val="none"/>
        </w:rPr>
        <w:t>道路工程、交通工程（包含交通疏解）、照明、电力管沟工程及其他附属工程等</w:t>
      </w:r>
      <w:r>
        <w:rPr>
          <w:rFonts w:hint="eastAsia" w:ascii="宋体" w:hAnsi="宋体" w:eastAsia="宋体" w:cs="宋体"/>
          <w:b w:val="0"/>
          <w:color w:val="auto"/>
          <w:sz w:val="21"/>
          <w:szCs w:val="21"/>
          <w:highlight w:val="none"/>
        </w:rPr>
        <w:t>。</w:t>
      </w:r>
    </w:p>
    <w:p>
      <w:pPr>
        <w:spacing w:before="0" w:beforeLines="0" w:after="0" w:afterLines="0" w:line="400" w:lineRule="exact"/>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设计要求</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（1）设计方案必须满足国家、省和市有关建设方针、政策、规范、规程同时满足技术标准、通行能力的要求，并考虑工程造价、经济效益和社会效益等综合因素。</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（2）设计方案能正确理解并执行建设意图，与周边路网、管网规划协调一致，交通组织完善合理，总体思路清晰，路线平、纵、横等设计科学合理；道路、排水及管线之间的关系处理得当。 </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（3）设计方案可以充分结合周边现状，尽量减少重复开挖、边坡处理生态自然。</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（4）道路公用设施（公共交通站点布置、绿化照明、行人设施、道路元素等）设计科学合理、处理得当、特点鲜明。</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（5）运用低冲击开发模式的理念及相关新技术，在雨水的综合利用，控制径流系数及面源污染，绿色道路照明方面有创新亮点，体现未来城市样板区基础设施的特点。</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（6）施工期间交通组织，施工实施方案切合实际，与周边在建道路、河涌、湖体的施工衔接措施及建议得当。</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（7）工程总投资合理，节约工程总投资的措施及理由合理、可信、可行，投资估算编制依据正确，达到相应的深度要求，编制质量高。</w:t>
      </w:r>
    </w:p>
    <w:p>
      <w:pPr>
        <w:spacing w:before="0" w:beforeLines="0" w:after="0" w:afterLines="0" w:line="400" w:lineRule="exact"/>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编制依据</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《城市道路路线设计规范》CJJ193-2012</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《城市道路工程设计规范》CJJ37-2012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2016版</w:t>
      </w:r>
      <w:r>
        <w:rPr>
          <w:rFonts w:hint="eastAsia" w:ascii="宋体" w:hAnsi="宋体" w:eastAsia="宋体" w:cs="宋体"/>
          <w:color w:val="auto"/>
          <w:szCs w:val="21"/>
          <w:highlight w:val="none"/>
          <w:lang w:eastAsia="zh-CN"/>
        </w:rPr>
        <w:t>）</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《城市道路路面设计规范》CJJ169-2012</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《城镇道路养护技术规范》CJJ 36-20</w:t>
      </w:r>
      <w:r>
        <w:rPr>
          <w:rFonts w:hint="eastAsia" w:ascii="宋体" w:hAnsi="宋体" w:eastAsia="宋体" w:cs="宋体"/>
          <w:color w:val="auto"/>
          <w:szCs w:val="21"/>
          <w:highlight w:val="none"/>
          <w:lang w:eastAsia="zh-CN"/>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《城市道路交叉口规划规范》GB50647-2011</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《道路交通标志和标线》GB5768-2009</w:t>
      </w:r>
    </w:p>
    <w:p>
      <w:pPr>
        <w:spacing w:line="360" w:lineRule="auto"/>
        <w:ind w:firstLine="42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《道路交通信号灯设置与安装规范》GB 14886-20</w:t>
      </w:r>
      <w:r>
        <w:rPr>
          <w:rFonts w:hint="eastAsia" w:ascii="宋体" w:hAnsi="宋体" w:eastAsia="宋体" w:cs="宋体"/>
          <w:color w:val="auto"/>
          <w:szCs w:val="21"/>
          <w:highlight w:val="none"/>
          <w:lang w:val="en-US" w:eastAsia="zh-CN"/>
        </w:rPr>
        <w:t>16</w:t>
      </w:r>
    </w:p>
    <w:p>
      <w:pPr>
        <w:spacing w:before="0" w:beforeLines="0" w:after="0" w:afterLines="0" w:line="400" w:lineRule="exact"/>
        <w:jc w:val="left"/>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五、道路</w:t>
      </w:r>
      <w:r>
        <w:rPr>
          <w:rFonts w:hint="eastAsia" w:ascii="宋体" w:hAnsi="宋体" w:eastAsia="宋体" w:cs="宋体"/>
          <w:b/>
          <w:color w:val="auto"/>
          <w:sz w:val="24"/>
          <w:highlight w:val="none"/>
        </w:rPr>
        <w:t>技术标准</w:t>
      </w:r>
    </w:p>
    <w:p>
      <w:pPr>
        <w:spacing w:line="360" w:lineRule="auto"/>
        <w:ind w:firstLine="420"/>
        <w:jc w:val="left"/>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rPr>
        <w:t>（1）道路等级：城市</w:t>
      </w:r>
      <w:r>
        <w:rPr>
          <w:rFonts w:hint="eastAsia" w:ascii="宋体" w:hAnsi="宋体" w:cs="宋体"/>
          <w:color w:val="auto"/>
          <w:szCs w:val="21"/>
          <w:highlight w:val="none"/>
          <w:lang w:val="en-US" w:eastAsia="zh-CN"/>
        </w:rPr>
        <w:t>支路</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（2）设计车速： </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0km/h</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（3）路面设计荷载：BZZ-100</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（4）汽车荷载等级：城-A</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（5）路面材料：</w:t>
      </w:r>
      <w:r>
        <w:rPr>
          <w:rFonts w:hint="eastAsia" w:ascii="宋体" w:hAnsi="宋体" w:cs="宋体"/>
          <w:color w:val="auto"/>
          <w:szCs w:val="21"/>
          <w:highlight w:val="none"/>
          <w:lang w:val="en-US" w:eastAsia="zh-CN"/>
        </w:rPr>
        <w:t>水泥混凝土</w:t>
      </w:r>
      <w:r>
        <w:rPr>
          <w:rFonts w:hint="eastAsia" w:ascii="宋体" w:hAnsi="宋体" w:eastAsia="宋体" w:cs="宋体"/>
          <w:color w:val="auto"/>
          <w:szCs w:val="21"/>
          <w:highlight w:val="none"/>
        </w:rPr>
        <w:t>路面</w:t>
      </w:r>
    </w:p>
    <w:p>
      <w:pPr>
        <w:adjustRightInd w:val="0"/>
        <w:spacing w:line="360" w:lineRule="auto"/>
        <w:ind w:firstLine="420" w:firstLineChars="200"/>
        <w:rPr>
          <w:rFonts w:hint="eastAsia" w:ascii="宋体" w:hAnsi="宋体" w:cs="宋体"/>
          <w:b/>
          <w:color w:val="auto"/>
          <w:sz w:val="24"/>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车道宽度：3</w:t>
      </w:r>
      <w:r>
        <w:rPr>
          <w:rFonts w:hint="eastAsia" w:ascii="宋体" w:hAnsi="宋体" w:cs="宋体"/>
          <w:color w:val="auto"/>
          <w:szCs w:val="21"/>
          <w:highlight w:val="none"/>
          <w:lang w:val="en-US" w:eastAsia="zh-CN"/>
        </w:rPr>
        <w:t>.75</w:t>
      </w:r>
      <w:r>
        <w:rPr>
          <w:rFonts w:hint="eastAsia" w:ascii="宋体" w:hAnsi="宋体" w:eastAsia="宋体" w:cs="宋体"/>
          <w:color w:val="auto"/>
          <w:szCs w:val="21"/>
          <w:highlight w:val="none"/>
          <w:lang w:val="en-US" w:eastAsia="zh-CN"/>
        </w:rPr>
        <w:t>m</w:t>
      </w:r>
    </w:p>
    <w:p>
      <w:pPr>
        <w:ind w:firstLine="460" w:firstLineChars="192"/>
        <w:rPr>
          <w:rFonts w:hint="eastAsia" w:ascii="宋体" w:hAnsi="宋体" w:cs="宋体"/>
          <w:color w:val="auto"/>
          <w:sz w:val="24"/>
          <w:highlight w:val="none"/>
          <w:u w:val="single"/>
        </w:rPr>
      </w:pPr>
    </w:p>
    <w:p>
      <w:pPr>
        <w:pStyle w:val="3"/>
        <w:jc w:val="center"/>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第六章 </w:t>
      </w:r>
      <w:bookmarkStart w:id="503" w:name="_Toc9205"/>
      <w:r>
        <w:rPr>
          <w:rFonts w:hint="eastAsia" w:ascii="宋体" w:hAnsi="宋体" w:cs="宋体"/>
          <w:color w:val="auto"/>
          <w:highlight w:val="none"/>
        </w:rPr>
        <w:t xml:space="preserve"> 招标人提供的资料</w:t>
      </w:r>
      <w:bookmarkEnd w:id="503"/>
    </w:p>
    <w:p>
      <w:pPr>
        <w:jc w:val="center"/>
        <w:rPr>
          <w:rFonts w:hint="eastAsia" w:ascii="宋体" w:hAnsi="宋体" w:cs="宋体"/>
          <w:color w:val="auto"/>
          <w:sz w:val="24"/>
          <w:highlight w:val="none"/>
          <w:u w:val="single"/>
        </w:rPr>
      </w:pPr>
      <w:bookmarkStart w:id="504" w:name="_Toc10203"/>
      <w:r>
        <w:rPr>
          <w:rFonts w:hint="eastAsia" w:ascii="宋体" w:hAnsi="宋体" w:cs="宋体"/>
          <w:color w:val="auto"/>
          <w:sz w:val="24"/>
          <w:highlight w:val="none"/>
          <w:u w:val="single"/>
        </w:rPr>
        <w:t>（另册）</w:t>
      </w:r>
    </w:p>
    <w:p>
      <w:pPr>
        <w:jc w:val="center"/>
        <w:rPr>
          <w:rFonts w:hint="eastAsia" w:ascii="宋体" w:hAnsi="宋体" w:cs="宋体"/>
          <w:color w:val="auto"/>
          <w:highlight w:val="none"/>
        </w:rPr>
      </w:pPr>
      <w:r>
        <w:rPr>
          <w:rFonts w:hint="eastAsia" w:ascii="宋体" w:hAnsi="宋体" w:cs="宋体"/>
          <w:color w:val="auto"/>
          <w:highlight w:val="none"/>
        </w:rPr>
        <w:br w:type="page"/>
      </w:r>
      <w:bookmarkEnd w:id="504"/>
    </w:p>
    <w:p>
      <w:pPr>
        <w:pStyle w:val="3"/>
        <w:jc w:val="center"/>
        <w:rPr>
          <w:rFonts w:hint="eastAsia" w:ascii="宋体" w:hAnsi="宋体" w:cs="宋体"/>
          <w:color w:val="auto"/>
          <w:highlight w:val="none"/>
        </w:rPr>
      </w:pPr>
      <w:bookmarkStart w:id="505" w:name="_Toc8104"/>
      <w:bookmarkStart w:id="506" w:name="_Toc13417"/>
      <w:r>
        <w:rPr>
          <w:rFonts w:hint="eastAsia" w:ascii="宋体" w:hAnsi="宋体" w:cs="宋体"/>
          <w:color w:val="auto"/>
          <w:highlight w:val="none"/>
        </w:rPr>
        <w:t>第七章  投标文件格式</w:t>
      </w:r>
      <w:bookmarkEnd w:id="498"/>
      <w:bookmarkEnd w:id="499"/>
      <w:bookmarkEnd w:id="500"/>
      <w:bookmarkEnd w:id="501"/>
      <w:bookmarkEnd w:id="502"/>
      <w:bookmarkEnd w:id="505"/>
      <w:bookmarkEnd w:id="506"/>
    </w:p>
    <w:p>
      <w:pPr>
        <w:spacing w:line="400" w:lineRule="exact"/>
        <w:rPr>
          <w:rFonts w:hint="eastAsia" w:ascii="宋体" w:hAnsi="宋体" w:cs="宋体"/>
          <w:color w:val="auto"/>
          <w:highlight w:val="none"/>
        </w:rPr>
      </w:pPr>
    </w:p>
    <w:p>
      <w:pPr>
        <w:pStyle w:val="4"/>
        <w:jc w:val="center"/>
        <w:rPr>
          <w:rFonts w:hint="eastAsia" w:ascii="宋体" w:hAnsi="宋体" w:eastAsia="宋体" w:cs="宋体"/>
          <w:color w:val="auto"/>
          <w:highlight w:val="none"/>
        </w:rPr>
        <w:sectPr>
          <w:footerReference r:id="rId6" w:type="default"/>
          <w:pgSz w:w="11905" w:h="16838"/>
          <w:pgMar w:top="1304" w:right="1304" w:bottom="1304" w:left="1304" w:header="851" w:footer="992" w:gutter="0"/>
          <w:cols w:space="720" w:num="1"/>
          <w:docGrid w:type="lines" w:linePitch="321" w:charSpace="0"/>
        </w:sectPr>
      </w:pPr>
    </w:p>
    <w:p>
      <w:pPr>
        <w:pStyle w:val="4"/>
        <w:spacing w:before="0" w:after="0"/>
        <w:rPr>
          <w:rFonts w:hint="eastAsia" w:ascii="宋体" w:hAnsi="宋体" w:eastAsia="宋体" w:cs="宋体"/>
          <w:color w:val="auto"/>
          <w:sz w:val="28"/>
          <w:szCs w:val="28"/>
          <w:highlight w:val="none"/>
        </w:rPr>
      </w:pPr>
      <w:bookmarkStart w:id="507" w:name="_Toc19059"/>
      <w:bookmarkStart w:id="508" w:name="_Toc23311"/>
      <w:r>
        <w:rPr>
          <w:rFonts w:hint="eastAsia" w:ascii="宋体" w:hAnsi="宋体" w:eastAsia="宋体" w:cs="宋体"/>
          <w:color w:val="auto"/>
          <w:sz w:val="28"/>
          <w:szCs w:val="28"/>
          <w:highlight w:val="none"/>
        </w:rPr>
        <w:t>格式1</w:t>
      </w:r>
      <w:bookmarkEnd w:id="507"/>
      <w:bookmarkEnd w:id="508"/>
      <w:r>
        <w:rPr>
          <w:rFonts w:hint="eastAsia" w:ascii="宋体" w:hAnsi="宋体" w:eastAsia="宋体" w:cs="宋体"/>
          <w:color w:val="auto"/>
          <w:sz w:val="28"/>
          <w:szCs w:val="28"/>
          <w:highlight w:val="none"/>
        </w:rPr>
        <w:t>：</w:t>
      </w:r>
    </w:p>
    <w:p>
      <w:pPr>
        <w:autoSpaceDE w:val="0"/>
        <w:autoSpaceDN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法人代表证明书、授权委托证明书</w:t>
      </w:r>
    </w:p>
    <w:p>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法定代表人（负责人）证明书</w:t>
      </w:r>
    </w:p>
    <w:p>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40"/>
        <w:tblW w:w="94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5" w:type="dxa"/>
          </w:tcPr>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注：1、法定代表人证明书也可以采用工商行政管理局统一印制的格式。</w:t>
      </w:r>
    </w:p>
    <w:p>
      <w:pPr>
        <w:spacing w:line="360" w:lineRule="auto"/>
        <w:rPr>
          <w:rFonts w:hint="eastAsia" w:ascii="宋体" w:hAnsi="宋体" w:cs="宋体"/>
          <w:color w:val="auto"/>
          <w:sz w:val="24"/>
          <w:highlight w:val="none"/>
        </w:rPr>
      </w:pPr>
      <w:r>
        <w:rPr>
          <w:rFonts w:hint="eastAsia" w:ascii="宋体" w:hAnsi="宋体" w:cs="宋体"/>
          <w:color w:val="auto"/>
          <w:szCs w:val="21"/>
          <w:highlight w:val="none"/>
        </w:rPr>
        <w:t xml:space="preserve">    2、联合体投标的，本证明书由主办方出具，仅填写主办方单位名称并由主办方盖章即可。</w:t>
      </w:r>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法定代表人授权委托书</w:t>
      </w:r>
    </w:p>
    <w:p>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40"/>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3" w:type="dxa"/>
          </w:tcPr>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兹授权为我方委托代理人，其权限是：</w:t>
            </w:r>
          </w:p>
          <w:p>
            <w:pPr>
              <w:spacing w:line="360" w:lineRule="auto"/>
              <w:rPr>
                <w:rFonts w:hint="eastAsia" w:ascii="宋体" w:hAnsi="宋体" w:cs="宋体"/>
                <w:color w:val="auto"/>
                <w:sz w:val="24"/>
                <w:highlight w:val="none"/>
                <w:u w:val="single"/>
              </w:rPr>
            </w:pP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附：代理人性别：年龄：身份证号码：</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注册号码：企业类型：</w:t>
            </w:r>
          </w:p>
          <w:p>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法定代表人（负责人）：（签名或盖章）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授权单位：（盖章）</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年  月   日</w:t>
            </w:r>
          </w:p>
        </w:tc>
      </w:tr>
    </w:tbl>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注：1、法定代表人授权委托书也可以采用工商行政管理局统一印制的格式。</w:t>
      </w:r>
    </w:p>
    <w:p>
      <w:pPr>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t>2、联合体投标的，本授权书由主办方出具，仅填写主办方单位名称并由主办方签字或盖章即可。</w:t>
      </w:r>
    </w:p>
    <w:p>
      <w:pPr>
        <w:autoSpaceDE w:val="0"/>
        <w:autoSpaceDN w:val="0"/>
        <w:spacing w:line="360" w:lineRule="auto"/>
        <w:rPr>
          <w:rFonts w:hint="eastAsia" w:ascii="宋体" w:hAnsi="宋体" w:cs="宋体"/>
          <w:color w:val="auto"/>
          <w:sz w:val="24"/>
          <w:highlight w:val="none"/>
        </w:rPr>
      </w:pPr>
    </w:p>
    <w:p>
      <w:pPr>
        <w:pStyle w:val="4"/>
        <w:spacing w:before="0" w:after="0"/>
        <w:rPr>
          <w:rFonts w:hint="eastAsia" w:ascii="宋体" w:hAnsi="宋体" w:eastAsia="宋体" w:cs="宋体"/>
          <w:color w:val="auto"/>
          <w:sz w:val="28"/>
          <w:szCs w:val="28"/>
          <w:highlight w:val="none"/>
        </w:rPr>
      </w:pPr>
      <w:bookmarkStart w:id="509" w:name="_Toc13595"/>
      <w:bookmarkStart w:id="510" w:name="_Toc32110"/>
      <w:r>
        <w:rPr>
          <w:rFonts w:hint="eastAsia" w:ascii="宋体" w:hAnsi="宋体" w:eastAsia="宋体" w:cs="宋体"/>
          <w:color w:val="auto"/>
          <w:sz w:val="28"/>
          <w:szCs w:val="28"/>
          <w:highlight w:val="none"/>
        </w:rPr>
        <w:t>格式2</w:t>
      </w:r>
      <w:bookmarkEnd w:id="509"/>
      <w:bookmarkEnd w:id="510"/>
      <w:r>
        <w:rPr>
          <w:rFonts w:hint="eastAsia" w:ascii="宋体" w:hAnsi="宋体" w:eastAsia="宋体" w:cs="宋体"/>
          <w:color w:val="auto"/>
          <w:sz w:val="28"/>
          <w:szCs w:val="28"/>
          <w:highlight w:val="none"/>
        </w:rPr>
        <w:t>：</w:t>
      </w:r>
    </w:p>
    <w:p>
      <w:pPr>
        <w:autoSpaceDE w:val="0"/>
        <w:autoSpaceDN w:val="0"/>
        <w:spacing w:line="360" w:lineRule="auto"/>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联合体共同投标协议书</w:t>
      </w:r>
    </w:p>
    <w:p>
      <w:pPr>
        <w:spacing w:line="360" w:lineRule="auto"/>
        <w:jc w:val="center"/>
        <w:rPr>
          <w:rFonts w:hint="eastAsia" w:ascii="宋体" w:hAnsi="宋体"/>
          <w:color w:val="auto"/>
          <w:sz w:val="24"/>
          <w:highlight w:val="none"/>
          <w:u w:val="single"/>
        </w:rPr>
      </w:pPr>
      <w:r>
        <w:rPr>
          <w:rFonts w:hint="eastAsia" w:ascii="宋体" w:hAnsi="宋体"/>
          <w:color w:val="auto"/>
          <w:sz w:val="24"/>
          <w:highlight w:val="none"/>
          <w:u w:val="single"/>
        </w:rPr>
        <w:t>（参考格式）</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6" w:hRule="atLeast"/>
          <w:jc w:val="center"/>
        </w:trPr>
        <w:tc>
          <w:tcPr>
            <w:tcW w:w="9243" w:type="dxa"/>
          </w:tcPr>
          <w:p>
            <w:pPr>
              <w:spacing w:line="360" w:lineRule="auto"/>
              <w:ind w:firstLine="598" w:firstLineChars="285"/>
              <w:rPr>
                <w:rFonts w:hint="eastAsia" w:ascii="宋体" w:hAnsi="宋体"/>
                <w:color w:val="auto"/>
                <w:highlight w:val="none"/>
              </w:rPr>
            </w:pPr>
            <w:bookmarkStart w:id="511" w:name="_Toc11969"/>
            <w:bookmarkStart w:id="512" w:name="_Toc10851"/>
            <w:bookmarkStart w:id="513" w:name="_Toc533330246"/>
            <w:bookmarkStart w:id="514" w:name="_Toc479091923"/>
            <w:bookmarkStart w:id="515" w:name="_Toc533330557"/>
            <w:bookmarkStart w:id="516" w:name="_Toc22588"/>
            <w:bookmarkStart w:id="517" w:name="_Toc503539196"/>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w:t>
            </w:r>
            <w:r>
              <w:rPr>
                <w:rFonts w:hint="eastAsia" w:ascii="宋体" w:hAnsi="宋体"/>
                <w:color w:val="auto"/>
                <w:highlight w:val="none"/>
                <w:u w:val="single"/>
              </w:rPr>
              <w:t xml:space="preserve">               </w:t>
            </w:r>
            <w:r>
              <w:rPr>
                <w:rFonts w:hint="eastAsia" w:ascii="宋体" w:hAnsi="宋体"/>
                <w:color w:val="auto"/>
                <w:highlight w:val="none"/>
              </w:rPr>
              <w:t>(承担</w:t>
            </w:r>
            <w:r>
              <w:rPr>
                <w:rFonts w:hint="eastAsia" w:ascii="宋体" w:hAnsi="宋体"/>
                <w:b/>
                <w:color w:val="auto"/>
                <w:highlight w:val="none"/>
                <w:u w:val="single"/>
              </w:rPr>
              <w:t xml:space="preserve">   </w:t>
            </w:r>
            <w:r>
              <w:rPr>
                <w:rFonts w:hint="eastAsia" w:ascii="宋体" w:hAnsi="宋体"/>
                <w:color w:val="auto"/>
                <w:highlight w:val="none"/>
              </w:rPr>
              <w:t>任务的单位名称)自愿组成</w:t>
            </w:r>
            <w:r>
              <w:rPr>
                <w:rFonts w:hint="eastAsia" w:ascii="宋体" w:hAnsi="宋体"/>
                <w:color w:val="auto"/>
                <w:highlight w:val="none"/>
                <w:u w:val="single"/>
              </w:rPr>
              <w:t xml:space="preserve">                   （</w:t>
            </w:r>
            <w:r>
              <w:rPr>
                <w:rFonts w:hint="eastAsia" w:ascii="宋体" w:hAnsi="宋体"/>
                <w:color w:val="auto"/>
                <w:highlight w:val="none"/>
              </w:rPr>
              <w:t>联合体名称），共同参加</w:t>
            </w:r>
            <w:r>
              <w:rPr>
                <w:rFonts w:hint="eastAsia" w:ascii="宋体" w:hAnsi="宋体"/>
                <w:color w:val="auto"/>
                <w:highlight w:val="none"/>
                <w:u w:val="single"/>
              </w:rPr>
              <w:t xml:space="preserve">               </w:t>
            </w:r>
            <w:r>
              <w:rPr>
                <w:rFonts w:hint="eastAsia" w:ascii="宋体" w:hAnsi="宋体"/>
                <w:color w:val="auto"/>
                <w:highlight w:val="none"/>
              </w:rPr>
              <w:t>投标。现就联合体投标事宜订立如下协议。</w:t>
            </w:r>
          </w:p>
          <w:p>
            <w:pPr>
              <w:spacing w:line="360" w:lineRule="auto"/>
              <w:ind w:firstLine="598" w:firstLineChars="285"/>
              <w:rPr>
                <w:rFonts w:hint="eastAsia" w:ascii="宋体" w:hAnsi="宋体"/>
                <w:color w:val="auto"/>
                <w:highlight w:val="none"/>
              </w:rPr>
            </w:pPr>
            <w:r>
              <w:rPr>
                <w:rFonts w:ascii="宋体" w:hAnsi="宋体"/>
                <w:color w:val="auto"/>
                <w:highlight w:val="none"/>
              </w:rPr>
              <w:t>1</w:t>
            </w:r>
            <w:r>
              <w:rPr>
                <w:rFonts w:hint="eastAsia"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为联合体主办方。</w:t>
            </w:r>
            <w:r>
              <w:rPr>
                <w:rFonts w:hint="eastAsia" w:ascii="宋体" w:hAnsi="宋体"/>
                <w:color w:val="auto"/>
                <w:highlight w:val="none"/>
                <w:u w:val="single"/>
              </w:rPr>
              <w:t>（联合体主办方只允许填</w:t>
            </w:r>
            <w:r>
              <w:rPr>
                <w:rFonts w:ascii="宋体" w:hAnsi="宋体"/>
                <w:color w:val="auto"/>
                <w:highlight w:val="none"/>
                <w:u w:val="single"/>
              </w:rPr>
              <w:t>1家单位</w:t>
            </w:r>
            <w:r>
              <w:rPr>
                <w:rFonts w:hint="eastAsia" w:ascii="宋体" w:hAnsi="宋体"/>
                <w:color w:val="auto"/>
                <w:highlight w:val="none"/>
                <w:u w:val="single"/>
              </w:rPr>
              <w:t>）</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3、联合体将严格按照招标文件的各项要求，递交投标文件，履行合同，并对外承担连带责任。</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4、联合体各成员单位内部的职责分工如下：</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①</w:t>
            </w:r>
            <w:r>
              <w:rPr>
                <w:rFonts w:hint="eastAsia" w:ascii="宋体" w:hAnsi="宋体"/>
                <w:color w:val="auto"/>
                <w:highlight w:val="none"/>
                <w:u w:val="single"/>
              </w:rPr>
              <w:t xml:space="preserve">                  </w:t>
            </w:r>
            <w:r>
              <w:rPr>
                <w:rFonts w:hint="eastAsia" w:ascii="宋体" w:hAnsi="宋体"/>
                <w:color w:val="auto"/>
                <w:highlight w:val="none"/>
              </w:rPr>
              <w:t>：作为本项目总负责单位，除承担本项目的施工任务外，还对本招标项目的进度、质量、安全、投资控制、管理、协调等负全责，具体按合同要求。</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②</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pPr>
              <w:spacing w:line="360" w:lineRule="auto"/>
              <w:ind w:firstLine="598" w:firstLineChars="285"/>
              <w:rPr>
                <w:rFonts w:hint="eastAsia" w:ascii="宋体" w:hAnsi="宋体"/>
                <w:color w:val="auto"/>
                <w:highlight w:val="none"/>
              </w:rPr>
            </w:pPr>
            <w:r>
              <w:rPr>
                <w:rFonts w:hint="eastAsia" w:ascii="宋体" w:hAnsi="宋体"/>
                <w:color w:val="auto"/>
                <w:highlight w:val="none"/>
              </w:rPr>
              <w:t>③</w:t>
            </w:r>
            <w:r>
              <w:rPr>
                <w:rFonts w:hint="eastAsia" w:ascii="宋体" w:hAnsi="宋体"/>
                <w:color w:val="auto"/>
                <w:highlight w:val="none"/>
                <w:u w:val="single"/>
              </w:rPr>
              <w:t xml:space="preserve">                   </w:t>
            </w:r>
            <w:r>
              <w:rPr>
                <w:rFonts w:hint="eastAsia" w:ascii="宋体" w:hAnsi="宋体"/>
                <w:color w:val="auto"/>
                <w:highlight w:val="none"/>
              </w:rPr>
              <w:t>：主要承担本项目的</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rPr>
              <w:t>任务，具体按合同要求。</w:t>
            </w:r>
          </w:p>
          <w:p>
            <w:pPr>
              <w:spacing w:line="360" w:lineRule="auto"/>
              <w:ind w:firstLine="598" w:firstLineChars="285"/>
              <w:rPr>
                <w:rFonts w:hint="eastAsia" w:ascii="宋体" w:hAnsi="宋体"/>
                <w:color w:val="auto"/>
                <w:highlight w:val="none"/>
              </w:rPr>
            </w:pPr>
            <w:r>
              <w:rPr>
                <w:rFonts w:ascii="宋体" w:hAnsi="宋体"/>
                <w:color w:val="auto"/>
                <w:highlight w:val="none"/>
              </w:rPr>
              <w:t>…</w:t>
            </w:r>
          </w:p>
          <w:p>
            <w:pPr>
              <w:spacing w:line="360" w:lineRule="auto"/>
              <w:ind w:firstLine="598" w:firstLineChars="285"/>
              <w:rPr>
                <w:rFonts w:hint="eastAsia" w:ascii="宋体" w:hAnsi="宋体"/>
                <w:color w:val="auto"/>
                <w:highlight w:val="none"/>
              </w:rPr>
            </w:pPr>
            <w:r>
              <w:rPr>
                <w:rFonts w:ascii="宋体" w:hAnsi="宋体"/>
                <w:color w:val="auto"/>
                <w:highlight w:val="none"/>
              </w:rPr>
              <w:t>5</w:t>
            </w:r>
            <w:r>
              <w:rPr>
                <w:rFonts w:hint="eastAsia" w:ascii="宋体" w:hAnsi="宋体"/>
                <w:color w:val="auto"/>
                <w:highlight w:val="none"/>
              </w:rPr>
              <w:t>、本协议书自签署之日起生效，合同履行完毕后自动失效。</w:t>
            </w:r>
          </w:p>
          <w:p>
            <w:pPr>
              <w:topLinePunct/>
              <w:spacing w:line="276" w:lineRule="auto"/>
              <w:rPr>
                <w:rFonts w:hint="eastAsia" w:ascii="宋体" w:hAnsi="宋体"/>
                <w:color w:val="auto"/>
                <w:highlight w:val="none"/>
              </w:rPr>
            </w:pPr>
          </w:p>
          <w:p>
            <w:pPr>
              <w:topLinePunct/>
              <w:spacing w:line="276" w:lineRule="auto"/>
              <w:rPr>
                <w:rFonts w:hint="eastAsia" w:ascii="宋体" w:hAnsi="宋体"/>
                <w:color w:val="auto"/>
                <w:highlight w:val="none"/>
              </w:rPr>
            </w:pPr>
            <w:r>
              <w:rPr>
                <w:rFonts w:hint="eastAsia" w:ascii="宋体" w:hAnsi="宋体"/>
                <w:color w:val="auto"/>
                <w:highlight w:val="none"/>
              </w:rPr>
              <w:t>联合体</w:t>
            </w:r>
            <w:r>
              <w:rPr>
                <w:rFonts w:ascii="宋体" w:hAnsi="宋体"/>
                <w:color w:val="auto"/>
                <w:highlight w:val="none"/>
              </w:rPr>
              <w:t>主办方名称：</w:t>
            </w:r>
            <w:r>
              <w:rPr>
                <w:rFonts w:ascii="宋体" w:hAnsi="宋体"/>
                <w:color w:val="auto"/>
                <w:highlight w:val="none"/>
                <w:u w:val="single"/>
              </w:rPr>
              <w:t xml:space="preserve">                           </w:t>
            </w:r>
            <w:r>
              <w:rPr>
                <w:rFonts w:ascii="宋体" w:hAnsi="宋体"/>
                <w:color w:val="auto"/>
                <w:highlight w:val="none"/>
              </w:rPr>
              <w:t>（盖单位章）</w:t>
            </w:r>
          </w:p>
          <w:p>
            <w:pPr>
              <w:topLinePunct/>
              <w:spacing w:line="276" w:lineRule="auto"/>
              <w:rPr>
                <w:rFonts w:hint="eastAsia" w:ascii="宋体" w:hAnsi="宋体"/>
                <w:color w:val="auto"/>
                <w:highlight w:val="none"/>
              </w:rPr>
            </w:pPr>
            <w:r>
              <w:rPr>
                <w:rFonts w:ascii="宋体" w:hAnsi="宋体"/>
                <w:color w:val="auto"/>
                <w:highlight w:val="none"/>
              </w:rPr>
              <w:t>法定代表人：</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签字或盖章</w:t>
            </w:r>
            <w:r>
              <w:rPr>
                <w:rFonts w:ascii="宋体" w:hAnsi="宋体"/>
                <w:color w:val="auto"/>
                <w:highlight w:val="none"/>
              </w:rPr>
              <w:t>）</w:t>
            </w:r>
          </w:p>
          <w:p>
            <w:pPr>
              <w:topLinePunct/>
              <w:spacing w:line="276" w:lineRule="auto"/>
              <w:rPr>
                <w:rFonts w:hint="eastAsia" w:ascii="宋体" w:hAnsi="宋体"/>
                <w:color w:val="auto"/>
                <w:highlight w:val="none"/>
              </w:rPr>
            </w:pPr>
          </w:p>
          <w:p>
            <w:pPr>
              <w:topLinePunct/>
              <w:spacing w:line="276" w:lineRule="auto"/>
              <w:rPr>
                <w:rFonts w:hint="eastAsia"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topLinePunct/>
              <w:spacing w:line="276" w:lineRule="auto"/>
              <w:rPr>
                <w:rFonts w:hint="eastAsia"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pPr>
              <w:spacing w:line="276" w:lineRule="auto"/>
              <w:rPr>
                <w:rFonts w:hint="eastAsia" w:ascii="宋体" w:hAnsi="宋体" w:cs="Courier New"/>
                <w:color w:val="auto"/>
                <w:highlight w:val="none"/>
              </w:rPr>
            </w:pPr>
          </w:p>
          <w:p>
            <w:pPr>
              <w:topLinePunct/>
              <w:spacing w:line="276" w:lineRule="auto"/>
              <w:rPr>
                <w:rFonts w:hint="eastAsia" w:ascii="宋体" w:hAnsi="宋体"/>
                <w:color w:val="auto"/>
                <w:szCs w:val="21"/>
                <w:highlight w:val="none"/>
              </w:rPr>
            </w:pPr>
            <w:r>
              <w:rPr>
                <w:rFonts w:ascii="宋体" w:hAnsi="宋体"/>
                <w:color w:val="auto"/>
                <w:szCs w:val="21"/>
                <w:highlight w:val="none"/>
              </w:rPr>
              <w:t>成员名称：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（盖单位章）</w:t>
            </w:r>
          </w:p>
          <w:p>
            <w:pPr>
              <w:pStyle w:val="13"/>
              <w:spacing w:line="276" w:lineRule="auto"/>
              <w:ind w:firstLine="0" w:firstLineChars="0"/>
              <w:rPr>
                <w:rFonts w:hint="eastAsia" w:ascii="宋体" w:hAnsi="宋体"/>
                <w:color w:val="auto"/>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签字或盖章</w:t>
            </w:r>
            <w:r>
              <w:rPr>
                <w:rFonts w:ascii="宋体" w:hAnsi="宋体"/>
                <w:color w:val="auto"/>
                <w:szCs w:val="21"/>
                <w:highlight w:val="none"/>
              </w:rPr>
              <w:t>）</w:t>
            </w:r>
          </w:p>
          <w:p>
            <w:pPr>
              <w:spacing w:line="276" w:lineRule="auto"/>
              <w:rPr>
                <w:rFonts w:hint="eastAsia" w:ascii="宋体" w:hAnsi="宋体"/>
                <w:color w:val="auto"/>
                <w:highlight w:val="none"/>
              </w:rPr>
            </w:pPr>
            <w:r>
              <w:rPr>
                <w:rFonts w:ascii="宋体" w:hAnsi="宋体"/>
                <w:color w:val="auto"/>
                <w:highlight w:val="none"/>
              </w:rPr>
              <w:t>…</w:t>
            </w:r>
          </w:p>
          <w:p>
            <w:pPr>
              <w:autoSpaceDE w:val="0"/>
              <w:autoSpaceDN w:val="0"/>
              <w:adjustRightInd w:val="0"/>
              <w:spacing w:line="276" w:lineRule="auto"/>
              <w:jc w:val="right"/>
              <w:rPr>
                <w:rFonts w:hint="eastAsia" w:ascii="宋体" w:hAnsi="宋体" w:cs="宋体"/>
                <w:color w:val="auto"/>
                <w:highlight w:val="none"/>
              </w:rPr>
            </w:pPr>
            <w:r>
              <w:rPr>
                <w:rFonts w:hint="eastAsia" w:ascii="宋体" w:hAnsi="宋体"/>
                <w:color w:val="auto"/>
                <w:highlight w:val="none"/>
              </w:rPr>
              <w:t xml:space="preserve">                         </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s="宋体"/>
                <w:color w:val="auto"/>
                <w:highlight w:val="none"/>
              </w:rPr>
              <w:t>年</w:t>
            </w:r>
            <w:r>
              <w:rPr>
                <w:rFonts w:ascii="宋体" w:hAnsi="宋体"/>
                <w:color w:val="auto"/>
                <w:highlight w:val="none"/>
                <w:u w:val="single"/>
              </w:rPr>
              <w:t xml:space="preserve">       </w:t>
            </w:r>
            <w:r>
              <w:rPr>
                <w:rFonts w:hint="eastAsia" w:ascii="宋体" w:hAnsi="宋体" w:cs="宋体"/>
                <w:color w:val="auto"/>
                <w:highlight w:val="none"/>
              </w:rPr>
              <w:t>月</w:t>
            </w:r>
            <w:r>
              <w:rPr>
                <w:rFonts w:ascii="宋体" w:hAnsi="宋体"/>
                <w:color w:val="auto"/>
                <w:highlight w:val="none"/>
                <w:u w:val="single"/>
              </w:rPr>
              <w:t xml:space="preserve">       </w:t>
            </w:r>
            <w:r>
              <w:rPr>
                <w:rFonts w:hint="eastAsia" w:ascii="宋体" w:hAnsi="宋体" w:cs="宋体"/>
                <w:color w:val="auto"/>
                <w:highlight w:val="none"/>
              </w:rPr>
              <w:t>日</w:t>
            </w:r>
          </w:p>
          <w:p>
            <w:pPr>
              <w:autoSpaceDE w:val="0"/>
              <w:autoSpaceDN w:val="0"/>
              <w:adjustRightInd w:val="0"/>
              <w:spacing w:line="276" w:lineRule="auto"/>
              <w:jc w:val="left"/>
              <w:rPr>
                <w:rFonts w:hint="eastAsia" w:ascii="宋体" w:hAnsi="宋体" w:cs="宋体"/>
                <w:bCs/>
                <w:color w:val="auto"/>
                <w:sz w:val="24"/>
                <w:highlight w:val="none"/>
              </w:rPr>
            </w:pPr>
            <w:r>
              <w:rPr>
                <w:rFonts w:hint="eastAsia" w:ascii="宋体" w:hAnsi="宋体" w:cs="宋体"/>
                <w:color w:val="auto"/>
                <w:highlight w:val="none"/>
              </w:rPr>
              <w:t>注：单独投标的，无需提交本协议书。</w:t>
            </w:r>
          </w:p>
        </w:tc>
      </w:tr>
    </w:tbl>
    <w:p>
      <w:pPr>
        <w:pStyle w:val="13"/>
        <w:rPr>
          <w:rFonts w:hint="eastAsia" w:ascii="宋体" w:hAnsi="宋体"/>
          <w:color w:val="auto"/>
          <w:highlight w:val="none"/>
        </w:rPr>
      </w:pPr>
      <w:r>
        <w:rPr>
          <w:rFonts w:hint="eastAsia" w:ascii="宋体" w:hAnsi="宋体"/>
          <w:color w:val="auto"/>
          <w:highlight w:val="none"/>
        </w:rPr>
        <w:br w:type="page"/>
      </w:r>
    </w:p>
    <w:bookmarkEnd w:id="511"/>
    <w:bookmarkEnd w:id="512"/>
    <w:p>
      <w:pPr>
        <w:pStyle w:val="4"/>
        <w:spacing w:before="0" w:after="0"/>
        <w:rPr>
          <w:rFonts w:hint="eastAsia" w:ascii="宋体" w:hAnsi="宋体" w:eastAsia="宋体" w:cs="宋体"/>
          <w:color w:val="auto"/>
          <w:sz w:val="28"/>
          <w:szCs w:val="28"/>
          <w:highlight w:val="none"/>
        </w:rPr>
      </w:pPr>
      <w:bookmarkStart w:id="518" w:name="_Toc21967"/>
      <w:bookmarkStart w:id="519" w:name="_Toc24609"/>
      <w:r>
        <w:rPr>
          <w:rFonts w:hint="eastAsia" w:ascii="宋体" w:hAnsi="宋体" w:eastAsia="宋体" w:cs="宋体"/>
          <w:color w:val="auto"/>
          <w:sz w:val="28"/>
          <w:szCs w:val="28"/>
          <w:highlight w:val="none"/>
        </w:rPr>
        <w:t>格式3：</w:t>
      </w:r>
      <w:bookmarkEnd w:id="518"/>
      <w:bookmarkEnd w:id="519"/>
    </w:p>
    <w:p>
      <w:pPr>
        <w:jc w:val="center"/>
        <w:rPr>
          <w:rFonts w:hint="eastAsia" w:ascii="宋体" w:hAnsi="宋体" w:cs="宋体"/>
          <w:b/>
          <w:bCs/>
          <w:color w:val="auto"/>
          <w:kern w:val="0"/>
          <w:sz w:val="36"/>
          <w:szCs w:val="36"/>
          <w:highlight w:val="none"/>
          <w:lang w:val="zh-CN"/>
        </w:rPr>
      </w:pPr>
      <w:r>
        <w:rPr>
          <w:rFonts w:hint="eastAsia" w:ascii="宋体" w:hAnsi="宋体" w:cs="宋体"/>
          <w:b/>
          <w:bCs/>
          <w:color w:val="auto"/>
          <w:kern w:val="0"/>
          <w:sz w:val="36"/>
          <w:szCs w:val="36"/>
          <w:highlight w:val="none"/>
          <w:lang w:val="zh-CN"/>
        </w:rPr>
        <w:t>投标书</w:t>
      </w:r>
    </w:p>
    <w:tbl>
      <w:tblPr>
        <w:tblStyle w:val="40"/>
        <w:tblpPr w:leftFromText="180" w:rightFromText="180" w:vertAnchor="text" w:horzAnchor="margin" w:tblpY="2"/>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8"/>
        <w:gridCol w:w="2971"/>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工 程 名 称</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投 标 总 工 期</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工程质量标准</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保 修 期 限</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lang w:val="zh-CN"/>
              </w:rPr>
            </w:pPr>
            <w:r>
              <w:rPr>
                <w:rFonts w:hint="eastAsia" w:ascii="宋体" w:hAnsi="宋体" w:cs="宋体"/>
                <w:b/>
                <w:color w:val="auto"/>
                <w:sz w:val="24"/>
                <w:highlight w:val="none"/>
                <w:lang w:val="zh-CN"/>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委派的项目负责人</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施工负责人</w:t>
            </w:r>
          </w:p>
        </w:tc>
        <w:tc>
          <w:tcPr>
            <w:tcW w:w="2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委派的专职</w:t>
            </w:r>
            <w:r>
              <w:rPr>
                <w:rFonts w:hint="eastAsia" w:ascii="宋体" w:hAnsi="宋体" w:cs="宋体"/>
                <w:b/>
                <w:bCs/>
                <w:color w:val="auto"/>
                <w:sz w:val="24"/>
                <w:highlight w:val="none"/>
                <w:lang w:val="zh-CN"/>
              </w:rPr>
              <w:t>安全员</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委派的</w:t>
            </w:r>
            <w:r>
              <w:rPr>
                <w:rFonts w:hint="eastAsia" w:ascii="宋体" w:hAnsi="宋体" w:cs="宋体"/>
                <w:b/>
                <w:bCs/>
                <w:color w:val="auto"/>
                <w:sz w:val="24"/>
                <w:highlight w:val="none"/>
                <w:lang w:val="zh-CN"/>
              </w:rPr>
              <w:t>设计负责人</w:t>
            </w:r>
          </w:p>
        </w:tc>
        <w:tc>
          <w:tcPr>
            <w:tcW w:w="29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rPr>
              <w:t>姓    名</w:t>
            </w:r>
          </w:p>
        </w:tc>
        <w:tc>
          <w:tcPr>
            <w:tcW w:w="29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投标总报价（元）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left"/>
              <w:rPr>
                <w:rFonts w:hint="eastAsia" w:ascii="宋体" w:hAnsi="宋体" w:cs="宋体"/>
                <w:b/>
                <w:bCs/>
                <w:color w:val="auto"/>
                <w:sz w:val="24"/>
                <w:highlight w:val="none"/>
                <w:lang w:val="zh-CN"/>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其中：</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注：下浮率=【1-（</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费投标报价</w:t>
            </w:r>
            <w:r>
              <w:rPr>
                <w:rFonts w:hint="eastAsia" w:ascii="宋体" w:hAnsi="宋体" w:cs="宋体"/>
                <w:b/>
                <w:bCs/>
                <w:color w:val="auto"/>
                <w:sz w:val="24"/>
                <w:highlight w:val="none"/>
                <w:lang w:val="zh-CN"/>
              </w:rPr>
              <w:t>/</w:t>
            </w:r>
            <w:r>
              <w:rPr>
                <w:rFonts w:hint="eastAsia" w:ascii="宋体" w:hAnsi="宋体" w:cs="宋体"/>
                <w:b/>
                <w:color w:val="auto"/>
                <w:sz w:val="24"/>
                <w:highlight w:val="none"/>
              </w:rPr>
              <w:t>设计</w:t>
            </w:r>
            <w:r>
              <w:rPr>
                <w:rFonts w:hint="eastAsia" w:ascii="宋体" w:hAnsi="宋体" w:cs="宋体"/>
                <w:b/>
                <w:color w:val="auto"/>
                <w:sz w:val="24"/>
                <w:highlight w:val="none"/>
                <w:lang w:val="zh-CN"/>
              </w:rPr>
              <w:t>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restart"/>
            <w:tcBorders>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color w:val="auto"/>
                <w:sz w:val="24"/>
                <w:highlight w:val="none"/>
                <w:lang w:val="zh-CN"/>
              </w:rPr>
              <w:t>其中：建安工程费（元）</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rPr>
            </w:pPr>
            <w:r>
              <w:rPr>
                <w:rFonts w:hint="eastAsia" w:ascii="宋体" w:hAnsi="宋体" w:cs="宋体"/>
                <w:b/>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vMerge w:val="continue"/>
            <w:tcBorders>
              <w:left w:val="single" w:color="auto" w:sz="4" w:space="0"/>
              <w:right w:val="single" w:color="auto" w:sz="4" w:space="0"/>
            </w:tcBorders>
            <w:vAlign w:val="center"/>
          </w:tcPr>
          <w:p>
            <w:pPr>
              <w:widowControl/>
              <w:spacing w:line="360" w:lineRule="auto"/>
              <w:jc w:val="left"/>
              <w:rPr>
                <w:rFonts w:hint="eastAsia" w:ascii="宋体" w:hAnsi="宋体" w:cs="宋体"/>
                <w:b/>
                <w:bCs/>
                <w:color w:val="auto"/>
                <w:sz w:val="24"/>
                <w:highlight w:val="none"/>
                <w:lang w:val="zh-CN"/>
              </w:rPr>
            </w:pP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下浮率</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lang w:val="zh-CN"/>
              </w:rPr>
              <w:t>%，</w:t>
            </w:r>
          </w:p>
          <w:p>
            <w:pPr>
              <w:autoSpaceDE w:val="0"/>
              <w:autoSpaceDN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lang w:val="zh-CN"/>
              </w:rPr>
              <w:t>注：下浮率=【1-（建安工程费投标报价/建安工程费</w:t>
            </w:r>
            <w:r>
              <w:rPr>
                <w:rFonts w:hint="eastAsia" w:ascii="宋体" w:hAnsi="宋体" w:cs="宋体"/>
                <w:b/>
                <w:bCs/>
                <w:color w:val="auto"/>
                <w:sz w:val="24"/>
                <w:highlight w:val="none"/>
              </w:rPr>
              <w:t>最高投标限价</w:t>
            </w:r>
            <w:r>
              <w:rPr>
                <w:rFonts w:hint="eastAsia" w:ascii="宋体" w:hAnsi="宋体" w:cs="宋体"/>
                <w:b/>
                <w:bCs/>
                <w:color w:val="auto"/>
                <w:sz w:val="24"/>
                <w:highlight w:val="none"/>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法 定 代 表 人</w:t>
            </w:r>
          </w:p>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授 权 委 托 人</w:t>
            </w:r>
          </w:p>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（签名或盖章）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9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投标人</w:t>
            </w:r>
          </w:p>
          <w:p>
            <w:pPr>
              <w:autoSpaceDE w:val="0"/>
              <w:autoSpaceDN w:val="0"/>
              <w:spacing w:line="360" w:lineRule="auto"/>
              <w:jc w:val="center"/>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（企业公章）</w:t>
            </w:r>
          </w:p>
        </w:tc>
        <w:tc>
          <w:tcPr>
            <w:tcW w:w="594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 w:val="24"/>
                <w:highlight w:val="none"/>
                <w:lang w:val="zh-CN"/>
              </w:rPr>
            </w:pPr>
          </w:p>
        </w:tc>
      </w:tr>
    </w:tbl>
    <w:p>
      <w:pPr>
        <w:pStyle w:val="2"/>
        <w:rPr>
          <w:rFonts w:hint="eastAsia" w:hAnsi="宋体" w:cs="宋体"/>
          <w:b/>
          <w:bCs/>
          <w:color w:val="auto"/>
          <w:sz w:val="18"/>
          <w:szCs w:val="18"/>
          <w:highlight w:val="none"/>
        </w:rPr>
      </w:pPr>
      <w:r>
        <w:rPr>
          <w:rFonts w:hint="eastAsia" w:hAnsi="宋体" w:cs="宋体"/>
          <w:b/>
          <w:bCs/>
          <w:color w:val="auto"/>
          <w:sz w:val="18"/>
          <w:szCs w:val="18"/>
          <w:highlight w:val="none"/>
        </w:rPr>
        <w:t>注：（1）联合体投标的，“投标人”一栏需书写所有联合体成员的单位全称，可由主办方签署、盖章。</w:t>
      </w:r>
    </w:p>
    <w:p>
      <w:pPr>
        <w:pStyle w:val="2"/>
        <w:ind w:firstLine="361" w:firstLineChars="200"/>
        <w:rPr>
          <w:rFonts w:hint="eastAsia" w:hAnsi="宋体" w:cs="宋体"/>
          <w:b/>
          <w:color w:val="auto"/>
          <w:sz w:val="18"/>
          <w:szCs w:val="18"/>
          <w:highlight w:val="none"/>
        </w:rPr>
      </w:pPr>
      <w:r>
        <w:rPr>
          <w:rFonts w:hint="eastAsia" w:hAnsi="宋体" w:cs="宋体"/>
          <w:b/>
          <w:color w:val="auto"/>
          <w:sz w:val="18"/>
          <w:szCs w:val="18"/>
          <w:highlight w:val="none"/>
        </w:rPr>
        <w:t>（2）投标报价的大写金额和小写金额不一致的，以大写金额为准。</w:t>
      </w:r>
    </w:p>
    <w:p>
      <w:pPr>
        <w:pStyle w:val="2"/>
        <w:ind w:firstLine="361" w:firstLineChars="200"/>
        <w:rPr>
          <w:rFonts w:hint="eastAsia" w:hAnsi="宋体" w:cs="宋体"/>
          <w:b/>
          <w:color w:val="auto"/>
          <w:sz w:val="18"/>
          <w:szCs w:val="18"/>
          <w:highlight w:val="none"/>
        </w:rPr>
        <w:sectPr>
          <w:footerReference r:id="rId7" w:type="default"/>
          <w:pgSz w:w="11906" w:h="16838"/>
          <w:pgMar w:top="1304" w:right="1304" w:bottom="1304" w:left="1304" w:header="851" w:footer="992" w:gutter="0"/>
          <w:cols w:space="720" w:num="1"/>
          <w:docGrid w:type="lines" w:linePitch="312" w:charSpace="0"/>
        </w:sectPr>
      </w:pPr>
      <w:r>
        <w:rPr>
          <w:rFonts w:hint="eastAsia" w:hAnsi="宋体" w:cs="宋体"/>
          <w:b/>
          <w:color w:val="auto"/>
          <w:sz w:val="18"/>
          <w:szCs w:val="18"/>
          <w:highlight w:val="none"/>
        </w:rPr>
        <w:t>（3）投标报价及下浮率的填报精确到小数点后2位，第3位四舍五入。</w:t>
      </w:r>
    </w:p>
    <w:p>
      <w:pPr>
        <w:pStyle w:val="4"/>
        <w:spacing w:before="0" w:after="0"/>
        <w:rPr>
          <w:rFonts w:hint="eastAsia" w:ascii="宋体" w:hAnsi="宋体" w:eastAsia="宋体" w:cs="宋体"/>
          <w:color w:val="auto"/>
          <w:sz w:val="28"/>
          <w:szCs w:val="28"/>
          <w:highlight w:val="none"/>
        </w:rPr>
      </w:pPr>
      <w:bookmarkStart w:id="520" w:name="_Toc29718"/>
      <w:bookmarkStart w:id="521" w:name="_Toc4735"/>
      <w:bookmarkStart w:id="522" w:name="_Toc18803"/>
      <w:bookmarkStart w:id="523" w:name="_Toc16769"/>
      <w:r>
        <w:rPr>
          <w:rFonts w:hint="eastAsia" w:ascii="宋体" w:hAnsi="宋体" w:eastAsia="宋体" w:cs="宋体"/>
          <w:color w:val="auto"/>
          <w:sz w:val="28"/>
          <w:szCs w:val="28"/>
          <w:highlight w:val="none"/>
        </w:rPr>
        <w:t>格式4：</w:t>
      </w:r>
      <w:bookmarkEnd w:id="520"/>
      <w:bookmarkEnd w:id="521"/>
      <w:bookmarkEnd w:id="522"/>
      <w:bookmarkEnd w:id="523"/>
    </w:p>
    <w:p>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投标承诺函</w:t>
      </w:r>
    </w:p>
    <w:p>
      <w:pPr>
        <w:spacing w:line="360" w:lineRule="auto"/>
        <w:jc w:val="center"/>
        <w:rPr>
          <w:rFonts w:hint="eastAsia" w:ascii="宋体" w:hAnsi="宋体" w:cs="宋体"/>
          <w:b/>
          <w:color w:val="auto"/>
          <w:sz w:val="24"/>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（招标人名称）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我司确认收到贵司提供的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招标文件的全部内容，我司：</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已作为投标人正式授权</w:t>
      </w:r>
      <w:r>
        <w:rPr>
          <w:rFonts w:hint="eastAsia" w:ascii="宋体" w:hAnsi="宋体" w:cs="宋体"/>
          <w:color w:val="auto"/>
          <w:szCs w:val="21"/>
          <w:highlight w:val="none"/>
          <w:u w:val="single"/>
        </w:rPr>
        <w:t xml:space="preserve">         (授权代表全名，职务)    </w:t>
      </w:r>
      <w:r>
        <w:rPr>
          <w:rFonts w:hint="eastAsia" w:ascii="宋体" w:hAnsi="宋体" w:cs="宋体"/>
          <w:color w:val="auto"/>
          <w:szCs w:val="21"/>
          <w:highlight w:val="none"/>
        </w:rPr>
        <w:t>代表我司进行有关本投标的一切事宜。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我司已完全明白和接受招标文件的所有条款要求，并重申以下几点：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我司已充分阅读了本项目招标文件并充分了解有关报价方式及变更、结算方式，我司完全响应招标文件的规定。</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3．本投标文件的有效期为投标截止日后</w:t>
      </w:r>
      <w:r>
        <w:rPr>
          <w:rFonts w:hint="eastAsia" w:ascii="宋体" w:hAnsi="宋体" w:cs="宋体"/>
          <w:b/>
          <w:color w:val="auto"/>
          <w:szCs w:val="21"/>
          <w:highlight w:val="none"/>
          <w:u w:val="single"/>
        </w:rPr>
        <w:t>90日历天</w:t>
      </w:r>
      <w:r>
        <w:rPr>
          <w:rFonts w:hint="eastAsia" w:ascii="宋体" w:hAnsi="宋体" w:cs="宋体"/>
          <w:color w:val="auto"/>
          <w:szCs w:val="21"/>
          <w:highlight w:val="none"/>
        </w:rPr>
        <w:t>内有效；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4．我司承诺投标文件中的一切资料、数据是真实的，并承担由此引起的一切责任。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5．我司同意按照贵司可能提出的要求而提供与投标有关的任何其它数据或信息。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6.1保证履行招标文件以及招标文件修改书(如有)中的全部责任和义务，在中标通知书规定的时间内签订合同，并严格按国家有关法规履行我司的全部责任，按质、按量、按期完成合同约定的全部任务。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保证所完成的设计将完全符合国家相关规范要求，符合或优于招标文件、技术条件、合同条款的要求。若我司完成的设计文件未能达到招标人（或相关政府部门）的要求，我司将无条件根据要求进行修改设计文件，直至得到招标人（及相关政府部门）的认可为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6.4保证尽一切力量确保投标承诺的竣工日期，若我司未能按投标承诺的工期完成本项目，除承担合同约定的违约责任外，招标人有权解除合同，我司承担由于违约解除合同退场造成的对招标人的一切损失。</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6.5保证投标所报的项目负责人、施工负责人、设计负责人在本项目合同签订后7日内到职，全过程服务于本项目，在过程中非不可抗力或招标人要求不得更换。我司违反以上承诺的，同意按合同条款的规定承担违约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6.6保证所投入本项目的主要材料、设备质量符合或优于招标文件要求，所投入本项目的辅助设备、材料与主主要材料、设备质量一致并有良好的配套性。</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6.7保证按照招标文件的要求确保安全生产及文明施工，如有违反，我司愿意按合同约定承担违约责任，并为此负相关的法律责任。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6.8保证按国家的有关规定制订保证民工工资支付的方案及保证措施，否则，我司愿按合同条款规定承担违约责任并赔偿招标人的全部损失。</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 若我方中标，我方承诺拟投入本项目的施工负责人满足《注册建造师管理规定》第21条规定，如出现委派的项目负责人在其他在建项目担任工程总承包项目负责人或施工负责人、或者施工负责人在其他在建项目中任项目负责人或施工负责人【包括但不限于广州公共资源交易中心企业库（包含广州市住建行业信用管理平台），广东省建筑市场监管公共服务平台项目负责人锁定情况】，无条件接受招标人取消中标资格，招标人可以确定排名第二的中标候选人为中标人。</w:t>
      </w:r>
    </w:p>
    <w:p>
      <w:pPr>
        <w:spacing w:line="360" w:lineRule="auto"/>
        <w:ind w:firstLine="420" w:firstLineChars="200"/>
        <w:rPr>
          <w:rFonts w:hint="eastAsia" w:ascii="宋体" w:hAnsi="宋体" w:cs="宋体"/>
          <w:color w:val="auto"/>
          <w:szCs w:val="21"/>
          <w:highlight w:val="none"/>
        </w:rPr>
      </w:pPr>
    </w:p>
    <w:p>
      <w:pPr>
        <w:widowControl/>
        <w:spacing w:line="360" w:lineRule="auto"/>
        <w:jc w:val="left"/>
        <w:rPr>
          <w:rFonts w:hint="eastAsia" w:ascii="宋体" w:hAnsi="宋体" w:cs="宋体"/>
          <w:color w:val="auto"/>
          <w:szCs w:val="21"/>
          <w:highlight w:val="none"/>
        </w:rPr>
      </w:pPr>
    </w:p>
    <w:p>
      <w:pPr>
        <w:spacing w:line="360" w:lineRule="auto"/>
        <w:ind w:firstLine="3360" w:firstLineChars="1600"/>
        <w:rPr>
          <w:rFonts w:hint="eastAsia" w:ascii="宋体" w:hAnsi="宋体" w:cs="宋体"/>
          <w:color w:val="auto"/>
          <w:szCs w:val="21"/>
          <w:highlight w:val="none"/>
        </w:rPr>
      </w:pPr>
    </w:p>
    <w:p>
      <w:pPr>
        <w:spacing w:line="360" w:lineRule="auto"/>
        <w:ind w:firstLine="3360" w:firstLineChars="1600"/>
        <w:rPr>
          <w:rFonts w:hint="eastAsia" w:ascii="宋体" w:hAnsi="宋体" w:cs="宋体"/>
          <w:color w:val="auto"/>
          <w:szCs w:val="21"/>
          <w:highlight w:val="none"/>
        </w:rPr>
      </w:pPr>
      <w:r>
        <w:rPr>
          <w:rFonts w:hint="eastAsia" w:ascii="宋体" w:hAnsi="宋体" w:cs="宋体"/>
          <w:color w:val="auto"/>
          <w:szCs w:val="21"/>
          <w:highlight w:val="none"/>
        </w:rPr>
        <w:t>投标人：    （盖章）</w:t>
      </w:r>
    </w:p>
    <w:p>
      <w:pPr>
        <w:spacing w:line="360" w:lineRule="auto"/>
        <w:ind w:firstLine="3360" w:firstLineChars="1600"/>
        <w:rPr>
          <w:rFonts w:hint="eastAsia" w:ascii="宋体" w:hAnsi="宋体" w:cs="宋体"/>
          <w:color w:val="auto"/>
          <w:sz w:val="24"/>
          <w:highlight w:val="none"/>
        </w:rPr>
      </w:pPr>
      <w:r>
        <w:rPr>
          <w:rFonts w:hint="eastAsia" w:ascii="宋体" w:hAnsi="宋体" w:cs="宋体"/>
          <w:color w:val="auto"/>
          <w:szCs w:val="21"/>
          <w:highlight w:val="none"/>
        </w:rPr>
        <w:t>法定代表人或其授权代理人(签名或盖</w:t>
      </w:r>
      <w:r>
        <w:rPr>
          <w:rFonts w:hint="eastAsia" w:ascii="宋体" w:hAnsi="宋体" w:cs="宋体"/>
          <w:color w:val="auto"/>
          <w:sz w:val="24"/>
          <w:highlight w:val="none"/>
        </w:rPr>
        <w:t>章)：</w:t>
      </w:r>
    </w:p>
    <w:p>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sz w:val="24"/>
          <w:highlight w:val="none"/>
        </w:rPr>
        <w:t>日   期：    年    月    日</w:t>
      </w:r>
    </w:p>
    <w:p>
      <w:pPr>
        <w:pStyle w:val="2"/>
        <w:spacing w:line="360" w:lineRule="auto"/>
        <w:ind w:firstLine="241" w:firstLineChars="100"/>
        <w:rPr>
          <w:rFonts w:hint="eastAsia" w:hAnsi="宋体" w:cs="宋体"/>
          <w:b/>
          <w:color w:val="auto"/>
          <w:sz w:val="24"/>
          <w:szCs w:val="24"/>
          <w:highlight w:val="none"/>
        </w:rPr>
      </w:pPr>
    </w:p>
    <w:p>
      <w:pPr>
        <w:topLinePunct/>
        <w:rPr>
          <w:rFonts w:hint="eastAsia" w:ascii="宋体" w:hAnsi="宋体" w:cs="宋体"/>
          <w:b/>
          <w:bCs/>
          <w:color w:val="auto"/>
          <w:highlight w:val="none"/>
        </w:rPr>
      </w:pPr>
      <w:r>
        <w:rPr>
          <w:rFonts w:hint="eastAsia" w:ascii="宋体" w:hAnsi="宋体" w:cs="宋体"/>
          <w:b/>
          <w:color w:val="auto"/>
          <w:szCs w:val="21"/>
          <w:highlight w:val="none"/>
        </w:rPr>
        <w:t>注：联合体投标的，“投标人”一栏需书写所有联合体成员的单位全称，可由主办方签署、盖章。</w:t>
      </w:r>
    </w:p>
    <w:p>
      <w:pPr>
        <w:pStyle w:val="4"/>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24" w:name="_Toc26059"/>
      <w:bookmarkStart w:id="525" w:name="_Toc3204"/>
      <w:bookmarkStart w:id="526" w:name="_Toc31889"/>
      <w:bookmarkStart w:id="527" w:name="_Toc18337"/>
      <w:r>
        <w:rPr>
          <w:rFonts w:hint="eastAsia" w:ascii="宋体" w:hAnsi="宋体" w:eastAsia="宋体" w:cs="宋体"/>
          <w:color w:val="auto"/>
          <w:sz w:val="28"/>
          <w:szCs w:val="28"/>
          <w:highlight w:val="none"/>
        </w:rPr>
        <w:t>格式5：</w:t>
      </w:r>
      <w:bookmarkEnd w:id="524"/>
      <w:bookmarkEnd w:id="525"/>
      <w:bookmarkEnd w:id="526"/>
      <w:bookmarkEnd w:id="527"/>
    </w:p>
    <w:p>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项目管理团队人员信息表</w:t>
      </w:r>
    </w:p>
    <w:tbl>
      <w:tblPr>
        <w:tblStyle w:val="40"/>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293"/>
        <w:gridCol w:w="545"/>
        <w:gridCol w:w="755"/>
        <w:gridCol w:w="722"/>
        <w:gridCol w:w="722"/>
        <w:gridCol w:w="721"/>
        <w:gridCol w:w="1734"/>
        <w:gridCol w:w="115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序号</w:t>
            </w:r>
          </w:p>
        </w:tc>
        <w:tc>
          <w:tcPr>
            <w:tcW w:w="1293" w:type="dxa"/>
            <w:tcBorders>
              <w:top w:val="single" w:color="auto" w:sz="4" w:space="0"/>
              <w:left w:val="single" w:color="auto" w:sz="4" w:space="0"/>
              <w:bottom w:val="single" w:color="auto" w:sz="4" w:space="0"/>
              <w:right w:val="single" w:color="auto" w:sz="4" w:space="0"/>
            </w:tcBorders>
            <w:vAlign w:val="center"/>
          </w:tcPr>
          <w:p>
            <w:pPr>
              <w:pStyle w:val="96"/>
              <w:jc w:val="center"/>
              <w:rPr>
                <w:rFonts w:hint="eastAsia"/>
                <w:color w:val="auto"/>
                <w:highlight w:val="none"/>
              </w:rPr>
            </w:pPr>
            <w:r>
              <w:rPr>
                <w:rFonts w:hint="eastAsia"/>
                <w:color w:val="auto"/>
                <w:highlight w:val="none"/>
              </w:rPr>
              <w:t>姓名</w:t>
            </w:r>
          </w:p>
        </w:tc>
        <w:tc>
          <w:tcPr>
            <w:tcW w:w="545"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性别</w:t>
            </w:r>
          </w:p>
        </w:tc>
        <w:tc>
          <w:tcPr>
            <w:tcW w:w="755"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年龄</w:t>
            </w:r>
          </w:p>
        </w:tc>
        <w:tc>
          <w:tcPr>
            <w:tcW w:w="722" w:type="dxa"/>
            <w:tcBorders>
              <w:top w:val="single" w:color="auto" w:sz="4" w:space="0"/>
              <w:left w:val="single" w:color="auto" w:sz="4" w:space="0"/>
              <w:bottom w:val="single" w:color="auto" w:sz="4" w:space="0"/>
              <w:right w:val="single" w:color="auto" w:sz="4" w:space="0"/>
            </w:tcBorders>
            <w:vAlign w:val="center"/>
          </w:tcPr>
          <w:p>
            <w:pPr>
              <w:pStyle w:val="96"/>
              <w:jc w:val="center"/>
              <w:rPr>
                <w:rFonts w:hint="eastAsia"/>
                <w:color w:val="auto"/>
                <w:highlight w:val="none"/>
              </w:rPr>
            </w:pPr>
            <w:r>
              <w:rPr>
                <w:rFonts w:hint="eastAsia"/>
                <w:color w:val="auto"/>
                <w:highlight w:val="none"/>
              </w:rPr>
              <w:t>岗位</w:t>
            </w:r>
          </w:p>
        </w:tc>
        <w:tc>
          <w:tcPr>
            <w:tcW w:w="722" w:type="dxa"/>
            <w:tcBorders>
              <w:top w:val="single" w:color="auto" w:sz="4" w:space="0"/>
              <w:left w:val="single" w:color="auto" w:sz="4" w:space="0"/>
              <w:bottom w:val="single" w:color="auto" w:sz="4" w:space="0"/>
              <w:right w:val="single" w:color="auto" w:sz="4" w:space="0"/>
            </w:tcBorders>
            <w:vAlign w:val="center"/>
          </w:tcPr>
          <w:p>
            <w:pPr>
              <w:pStyle w:val="96"/>
              <w:jc w:val="center"/>
              <w:rPr>
                <w:rFonts w:hint="eastAsia"/>
                <w:color w:val="auto"/>
                <w:highlight w:val="none"/>
              </w:rPr>
            </w:pPr>
            <w:r>
              <w:rPr>
                <w:rFonts w:hint="eastAsia"/>
                <w:color w:val="auto"/>
                <w:highlight w:val="none"/>
              </w:rPr>
              <w:t>职称</w:t>
            </w:r>
          </w:p>
        </w:tc>
        <w:tc>
          <w:tcPr>
            <w:tcW w:w="721" w:type="dxa"/>
            <w:tcBorders>
              <w:top w:val="single" w:color="auto" w:sz="4" w:space="0"/>
              <w:left w:val="single" w:color="auto" w:sz="4" w:space="0"/>
              <w:bottom w:val="single" w:color="auto" w:sz="4" w:space="0"/>
              <w:right w:val="single" w:color="auto" w:sz="4" w:space="0"/>
            </w:tcBorders>
            <w:vAlign w:val="center"/>
          </w:tcPr>
          <w:p>
            <w:pPr>
              <w:pStyle w:val="96"/>
              <w:jc w:val="center"/>
              <w:rPr>
                <w:rFonts w:hint="eastAsia"/>
                <w:color w:val="auto"/>
                <w:highlight w:val="none"/>
              </w:rPr>
            </w:pPr>
            <w:r>
              <w:rPr>
                <w:rFonts w:hint="eastAsia"/>
                <w:color w:val="auto"/>
                <w:highlight w:val="none"/>
              </w:rPr>
              <w:t>专业</w:t>
            </w:r>
          </w:p>
        </w:tc>
        <w:tc>
          <w:tcPr>
            <w:tcW w:w="1734"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职称证书或资格证书或者注册执业资格证编号</w:t>
            </w:r>
          </w:p>
        </w:tc>
        <w:tc>
          <w:tcPr>
            <w:tcW w:w="1156"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从事工程工作年限</w:t>
            </w:r>
          </w:p>
        </w:tc>
        <w:tc>
          <w:tcPr>
            <w:tcW w:w="1536" w:type="dxa"/>
            <w:tcBorders>
              <w:top w:val="single" w:color="auto" w:sz="4" w:space="0"/>
              <w:left w:val="single" w:color="auto" w:sz="4" w:space="0"/>
              <w:bottom w:val="single" w:color="auto" w:sz="4" w:space="0"/>
              <w:right w:val="single" w:color="auto" w:sz="4" w:space="0"/>
            </w:tcBorders>
            <w:vAlign w:val="center"/>
          </w:tcPr>
          <w:p>
            <w:pPr>
              <w:pStyle w:val="96"/>
              <w:jc w:val="both"/>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50"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54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55"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722"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721"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734" w:type="dxa"/>
            <w:tcBorders>
              <w:top w:val="single" w:color="auto" w:sz="4" w:space="0"/>
              <w:left w:val="single" w:color="auto" w:sz="4" w:space="0"/>
              <w:bottom w:val="single" w:color="auto" w:sz="4" w:space="0"/>
              <w:right w:val="single" w:color="auto" w:sz="4" w:space="0"/>
            </w:tcBorders>
            <w:vAlign w:val="center"/>
          </w:tcPr>
          <w:p>
            <w:pPr>
              <w:pStyle w:val="114"/>
              <w:adjustRightInd/>
              <w:snapToGrid/>
              <w:ind w:firstLine="496"/>
              <w:rPr>
                <w:rFonts w:hint="eastAsia" w:ascii="宋体" w:hAnsi="宋体" w:eastAsia="宋体"/>
                <w:snapToGrid w:val="0"/>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c>
          <w:tcPr>
            <w:tcW w:w="1536" w:type="dxa"/>
            <w:tcBorders>
              <w:top w:val="single" w:color="auto" w:sz="4" w:space="0"/>
              <w:left w:val="single" w:color="auto" w:sz="4" w:space="0"/>
              <w:bottom w:val="single" w:color="auto" w:sz="4" w:space="0"/>
              <w:right w:val="single" w:color="auto" w:sz="4" w:space="0"/>
            </w:tcBorders>
          </w:tcPr>
          <w:p>
            <w:pPr>
              <w:pStyle w:val="114"/>
              <w:adjustRightInd/>
              <w:snapToGrid/>
              <w:ind w:firstLine="496"/>
              <w:rPr>
                <w:rFonts w:hint="eastAsia" w:ascii="宋体" w:hAnsi="宋体" w:eastAsia="宋体"/>
                <w:snapToGrid w:val="0"/>
                <w:color w:val="auto"/>
                <w:highlight w:val="none"/>
              </w:rPr>
            </w:pPr>
          </w:p>
        </w:tc>
      </w:tr>
    </w:tbl>
    <w:p>
      <w:pPr>
        <w:autoSpaceDE w:val="0"/>
        <w:autoSpaceDN w:val="0"/>
        <w:ind w:firstLine="420" w:firstLineChars="200"/>
        <w:rPr>
          <w:rFonts w:hint="eastAsia" w:ascii="宋体" w:hAnsi="宋体" w:cs="宋体"/>
          <w:color w:val="auto"/>
          <w:szCs w:val="21"/>
          <w:highlight w:val="none"/>
        </w:rPr>
      </w:pPr>
    </w:p>
    <w:p>
      <w:pPr>
        <w:autoSpaceDE w:val="0"/>
        <w:autoSpaceDN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注：按评分表附相关的证明材料扫描件。</w:t>
      </w:r>
    </w:p>
    <w:p>
      <w:pPr>
        <w:pStyle w:val="4"/>
        <w:spacing w:before="0" w:after="0"/>
        <w:rPr>
          <w:rFonts w:hint="eastAsia" w:ascii="宋体" w:hAnsi="宋体" w:eastAsia="宋体" w:cs="宋体"/>
          <w:color w:val="auto"/>
          <w:highlight w:val="none"/>
          <w:lang w:val="zh-CN"/>
        </w:rPr>
      </w:pPr>
      <w:r>
        <w:rPr>
          <w:rFonts w:hint="eastAsia" w:ascii="宋体" w:hAnsi="宋体" w:eastAsia="宋体" w:cs="宋体"/>
          <w:color w:val="auto"/>
          <w:highlight w:val="none"/>
        </w:rPr>
        <w:br w:type="page"/>
      </w:r>
      <w:bookmarkStart w:id="528" w:name="_Toc13315"/>
      <w:r>
        <w:rPr>
          <w:rFonts w:hint="eastAsia" w:ascii="宋体" w:hAnsi="宋体" w:eastAsia="宋体" w:cs="宋体"/>
          <w:color w:val="auto"/>
          <w:sz w:val="28"/>
          <w:szCs w:val="28"/>
          <w:highlight w:val="none"/>
        </w:rPr>
        <w:t>格式6：</w:t>
      </w:r>
      <w:bookmarkEnd w:id="528"/>
    </w:p>
    <w:p>
      <w:pPr>
        <w:autoSpaceDE w:val="0"/>
        <w:autoSpaceDN w:val="0"/>
        <w:spacing w:line="360" w:lineRule="auto"/>
        <w:jc w:val="center"/>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参与编制投标文件人员名单</w:t>
      </w:r>
    </w:p>
    <w:tbl>
      <w:tblPr>
        <w:tblStyle w:val="40"/>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1311" w:type="dxa"/>
            <w:vAlign w:val="center"/>
          </w:tcPr>
          <w:p>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320" w:type="dxa"/>
            <w:vAlign w:val="center"/>
          </w:tcPr>
          <w:p>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所承担工作</w:t>
            </w:r>
          </w:p>
        </w:tc>
        <w:tc>
          <w:tcPr>
            <w:tcW w:w="2449" w:type="dxa"/>
            <w:vAlign w:val="center"/>
          </w:tcPr>
          <w:p>
            <w:pPr>
              <w:tabs>
                <w:tab w:val="left" w:pos="0"/>
                <w:tab w:val="left" w:pos="720"/>
              </w:tabs>
              <w:jc w:val="center"/>
              <w:rPr>
                <w:rFonts w:hint="eastAsia" w:ascii="宋体" w:hAnsi="宋体" w:cs="宋体"/>
                <w:color w:val="auto"/>
                <w:sz w:val="24"/>
                <w:highlight w:val="none"/>
              </w:rPr>
            </w:pPr>
            <w:r>
              <w:rPr>
                <w:rFonts w:hint="eastAsia" w:ascii="宋体" w:hAnsi="宋体" w:cs="宋体"/>
                <w:color w:val="auto"/>
                <w:sz w:val="24"/>
                <w:highlight w:val="none"/>
              </w:rPr>
              <w:t>身份证号码</w:t>
            </w:r>
          </w:p>
        </w:tc>
        <w:tc>
          <w:tcPr>
            <w:tcW w:w="1468" w:type="dxa"/>
            <w:vAlign w:val="center"/>
          </w:tcPr>
          <w:p>
            <w:pPr>
              <w:tabs>
                <w:tab w:val="left" w:pos="0"/>
                <w:tab w:val="left" w:pos="720"/>
              </w:tabs>
              <w:rPr>
                <w:rFonts w:hint="eastAsia" w:ascii="宋体" w:hAnsi="宋体" w:cs="宋体"/>
                <w:color w:val="auto"/>
                <w:sz w:val="24"/>
                <w:highlight w:val="none"/>
              </w:rPr>
            </w:pPr>
            <w:r>
              <w:rPr>
                <w:rFonts w:hint="eastAsia" w:ascii="宋体" w:hAnsi="宋体" w:cs="宋体"/>
                <w:color w:val="auto"/>
                <w:sz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vAlign w:val="center"/>
          </w:tcPr>
          <w:p>
            <w:pPr>
              <w:tabs>
                <w:tab w:val="left" w:pos="0"/>
                <w:tab w:val="left" w:pos="720"/>
              </w:tabs>
              <w:jc w:val="center"/>
              <w:rPr>
                <w:rFonts w:hint="eastAsia" w:ascii="宋体" w:hAnsi="宋体" w:cs="宋体"/>
                <w:color w:val="auto"/>
                <w:sz w:val="24"/>
                <w:highlight w:val="none"/>
              </w:rPr>
            </w:pPr>
          </w:p>
        </w:tc>
        <w:tc>
          <w:tcPr>
            <w:tcW w:w="1311" w:type="dxa"/>
            <w:vAlign w:val="center"/>
          </w:tcPr>
          <w:p>
            <w:pPr>
              <w:tabs>
                <w:tab w:val="left" w:pos="0"/>
                <w:tab w:val="left" w:pos="720"/>
              </w:tabs>
              <w:jc w:val="center"/>
              <w:rPr>
                <w:rFonts w:hint="eastAsia" w:ascii="宋体" w:hAnsi="宋体" w:cs="宋体"/>
                <w:color w:val="auto"/>
                <w:sz w:val="24"/>
                <w:highlight w:val="none"/>
              </w:rPr>
            </w:pPr>
          </w:p>
        </w:tc>
        <w:tc>
          <w:tcPr>
            <w:tcW w:w="2320" w:type="dxa"/>
            <w:vAlign w:val="center"/>
          </w:tcPr>
          <w:p>
            <w:pPr>
              <w:tabs>
                <w:tab w:val="left" w:pos="0"/>
                <w:tab w:val="left" w:pos="720"/>
              </w:tabs>
              <w:jc w:val="center"/>
              <w:rPr>
                <w:rFonts w:hint="eastAsia" w:ascii="宋体" w:hAnsi="宋体" w:cs="宋体"/>
                <w:color w:val="auto"/>
                <w:sz w:val="24"/>
                <w:highlight w:val="none"/>
              </w:rPr>
            </w:pPr>
          </w:p>
        </w:tc>
        <w:tc>
          <w:tcPr>
            <w:tcW w:w="2449" w:type="dxa"/>
            <w:vAlign w:val="center"/>
          </w:tcPr>
          <w:p>
            <w:pPr>
              <w:tabs>
                <w:tab w:val="left" w:pos="0"/>
                <w:tab w:val="left" w:pos="720"/>
              </w:tabs>
              <w:jc w:val="center"/>
              <w:rPr>
                <w:rFonts w:hint="eastAsia" w:ascii="宋体" w:hAnsi="宋体" w:cs="宋体"/>
                <w:color w:val="auto"/>
                <w:sz w:val="24"/>
                <w:highlight w:val="none"/>
              </w:rPr>
            </w:pPr>
          </w:p>
        </w:tc>
        <w:tc>
          <w:tcPr>
            <w:tcW w:w="1468" w:type="dxa"/>
            <w:vAlign w:val="center"/>
          </w:tcPr>
          <w:p>
            <w:pPr>
              <w:tabs>
                <w:tab w:val="left" w:pos="0"/>
                <w:tab w:val="left" w:pos="720"/>
              </w:tabs>
              <w:jc w:val="center"/>
              <w:rPr>
                <w:rFonts w:hint="eastAsia" w:ascii="宋体" w:hAnsi="宋体" w:cs="宋体"/>
                <w:color w:val="auto"/>
                <w:sz w:val="24"/>
                <w:highlight w:val="none"/>
              </w:rPr>
            </w:pPr>
          </w:p>
        </w:tc>
      </w:tr>
    </w:tbl>
    <w:p>
      <w:pPr>
        <w:tabs>
          <w:tab w:val="left" w:pos="720"/>
        </w:tabs>
        <w:spacing w:line="360" w:lineRule="auto"/>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编制负责人：                                             解释负责人：</w:t>
      </w:r>
    </w:p>
    <w:p>
      <w:pPr>
        <w:pStyle w:val="38"/>
        <w:spacing w:after="0" w:line="360" w:lineRule="auto"/>
        <w:ind w:left="-2" w:leftChars="-1" w:firstLine="0"/>
        <w:rPr>
          <w:rFonts w:hint="eastAsia" w:ascii="宋体" w:hAnsi="宋体"/>
          <w:color w:val="auto"/>
          <w:sz w:val="18"/>
          <w:szCs w:val="18"/>
          <w:highlight w:val="none"/>
        </w:rPr>
      </w:pPr>
    </w:p>
    <w:p>
      <w:pPr>
        <w:pStyle w:val="38"/>
        <w:spacing w:after="0" w:line="360" w:lineRule="auto"/>
        <w:ind w:left="-2" w:leftChars="-1" w:firstLine="0"/>
        <w:rPr>
          <w:rFonts w:hint="eastAsia" w:ascii="宋体" w:hAnsi="宋体"/>
          <w:bCs/>
          <w:iCs/>
          <w:color w:val="auto"/>
          <w:sz w:val="18"/>
          <w:szCs w:val="18"/>
          <w:highlight w:val="none"/>
        </w:rPr>
      </w:pPr>
      <w:r>
        <w:rPr>
          <w:rFonts w:hint="eastAsia" w:ascii="宋体" w:hAnsi="宋体"/>
          <w:color w:val="auto"/>
          <w:sz w:val="18"/>
          <w:szCs w:val="18"/>
          <w:highlight w:val="none"/>
        </w:rPr>
        <w:t>注：</w:t>
      </w:r>
      <w:r>
        <w:rPr>
          <w:rFonts w:hint="eastAsia" w:ascii="宋体" w:hAnsi="宋体"/>
          <w:bCs/>
          <w:iCs/>
          <w:color w:val="auto"/>
          <w:sz w:val="18"/>
          <w:szCs w:val="18"/>
          <w:highlight w:val="none"/>
        </w:rPr>
        <w:t>参与编制标书所有人员名单应包括如编制工程总承包实施方案、投标报价、负责清样校对、负责加密打包、负责上传、负责密封、负责打印及复印等所有人员在内的人员名单。</w:t>
      </w:r>
    </w:p>
    <w:p>
      <w:pPr>
        <w:pStyle w:val="38"/>
        <w:spacing w:after="0" w:line="360" w:lineRule="auto"/>
        <w:ind w:left="-2" w:leftChars="-1" w:firstLine="0"/>
        <w:rPr>
          <w:rFonts w:hint="eastAsia" w:ascii="宋体" w:hAnsi="宋体"/>
          <w:bCs/>
          <w:iCs/>
          <w:color w:val="auto"/>
          <w:sz w:val="18"/>
          <w:szCs w:val="18"/>
          <w:highlight w:val="none"/>
        </w:rPr>
      </w:pPr>
    </w:p>
    <w:p>
      <w:pPr>
        <w:pStyle w:val="4"/>
        <w:spacing w:before="0" w:after="0"/>
        <w:rPr>
          <w:rFonts w:hint="eastAsia" w:ascii="宋体" w:hAnsi="宋体" w:eastAsia="宋体"/>
          <w:bCs w:val="0"/>
          <w:iCs/>
          <w:color w:val="auto"/>
          <w:sz w:val="18"/>
          <w:szCs w:val="18"/>
          <w:highlight w:val="none"/>
        </w:rPr>
      </w:pPr>
      <w:r>
        <w:rPr>
          <w:rFonts w:hint="eastAsia" w:ascii="宋体" w:hAnsi="宋体" w:eastAsia="宋体"/>
          <w:iCs/>
          <w:color w:val="auto"/>
          <w:sz w:val="18"/>
          <w:szCs w:val="18"/>
          <w:highlight w:val="none"/>
        </w:rPr>
        <w:br w:type="page"/>
      </w:r>
      <w:r>
        <w:rPr>
          <w:rFonts w:hint="eastAsia" w:ascii="宋体" w:hAnsi="宋体" w:eastAsia="宋体" w:cs="宋体"/>
          <w:color w:val="auto"/>
          <w:sz w:val="28"/>
          <w:szCs w:val="28"/>
          <w:highlight w:val="none"/>
        </w:rPr>
        <w:t>格式7：</w:t>
      </w:r>
    </w:p>
    <w:p>
      <w:pPr>
        <w:pStyle w:val="38"/>
        <w:spacing w:after="0" w:line="360" w:lineRule="auto"/>
        <w:ind w:left="-2" w:leftChars="-1" w:firstLine="0"/>
        <w:jc w:val="center"/>
        <w:rPr>
          <w:rFonts w:hint="eastAsia" w:ascii="宋体" w:hAnsi="宋体"/>
          <w:bCs/>
          <w:iCs/>
          <w:color w:val="auto"/>
          <w:sz w:val="24"/>
          <w:highlight w:val="none"/>
          <w:u w:val="single"/>
        </w:rPr>
      </w:pPr>
      <w:r>
        <w:rPr>
          <w:rFonts w:hint="eastAsia" w:ascii="宋体" w:hAnsi="宋体"/>
          <w:bCs/>
          <w:iCs/>
          <w:color w:val="auto"/>
          <w:sz w:val="24"/>
          <w:highlight w:val="none"/>
          <w:u w:val="single"/>
        </w:rPr>
        <w:t>投标人认为需要提交的其他资料</w:t>
      </w:r>
    </w:p>
    <w:bookmarkEnd w:id="513"/>
    <w:bookmarkEnd w:id="514"/>
    <w:bookmarkEnd w:id="515"/>
    <w:bookmarkEnd w:id="516"/>
    <w:bookmarkEnd w:id="517"/>
    <w:p>
      <w:pPr>
        <w:rPr>
          <w:rFonts w:hint="eastAsia" w:ascii="宋体" w:hAnsi="宋体"/>
          <w:color w:val="auto"/>
          <w:highlight w:val="none"/>
        </w:rPr>
      </w:pPr>
    </w:p>
    <w:sectPr>
      <w:footerReference r:id="rId8" w:type="default"/>
      <w:pgSz w:w="11905" w:h="16838"/>
      <w:pgMar w:top="1304" w:right="1304" w:bottom="1304" w:left="1304"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Calisto MT">
    <w:panose1 w:val="02040603050505030304"/>
    <w:charset w:val="00"/>
    <w:family w:val="roman"/>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20</w:t>
    </w:r>
    <w:r>
      <w:rPr>
        <w:lang w:val="zh-CN"/>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5"/>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7780" b="1270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5"/>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Y50WgA4CAAAQBAAADgAAAAAAAAABACAAAAAf&#10;AQAAZHJzL2Uyb0RvYy54bWxQSwUGAAAAAAYABgBZAQAAnwU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18415" b="4445"/>
              <wp:wrapNone/>
              <wp:docPr id="6" name="文本框 5"/>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6W/D9EAAAADAQAADwAAAAAAAAABACAAAAAiAAAAZHJzL2Rv&#10;d25yZXYueG1sUEsBAhQAFAAAAAgAh07iQEWQMEHPAQAAlwMAAA4AAAAAAAAAAQAgAAAAIAEAAGRy&#10;cy9lMm9Eb2MueG1sUEsFBgAAAAAGAAYAWQEAAGEFAAAAAA==&#10;">
              <v:fill on="f" focussize="0,0"/>
              <v:stroke on="f"/>
              <v:imagedata o:title=""/>
              <o:lock v:ext="edit" aspectratio="f"/>
              <v:textbox inset="0mm,0mm,0mm,0mm" style="mso-fit-shape-to-text:t;">
                <w:txbxContent>
                  <w:p>
                    <w:pPr>
                      <w:pStyle w:val="25"/>
                      <w:jc w:val="center"/>
                    </w:pPr>
                    <w:r>
                      <w:rPr>
                        <w:rFonts w:hint="eastAsia" w:ascii="宋体" w:hAnsi="宋体" w:cs="宋体"/>
                      </w:rPr>
                      <w:fldChar w:fldCharType="begin"/>
                    </w:r>
                    <w:r>
                      <w:rPr>
                        <w:rStyle w:val="42"/>
                        <w:rFonts w:hint="eastAsia" w:ascii="宋体" w:hAnsi="宋体" w:cs="宋体"/>
                      </w:rPr>
                      <w:instrText xml:space="preserve"> PAGE </w:instrText>
                    </w:r>
                    <w:r>
                      <w:rPr>
                        <w:rFonts w:hint="eastAsia" w:ascii="宋体" w:hAnsi="宋体" w:cs="宋体"/>
                      </w:rPr>
                      <w:fldChar w:fldCharType="separate"/>
                    </w:r>
                    <w:r>
                      <w:rPr>
                        <w:rStyle w:val="42"/>
                        <w:rFonts w:ascii="宋体" w:hAnsi="宋体" w:cs="宋体"/>
                      </w:rPr>
                      <w:t>50</w:t>
                    </w:r>
                    <w:r>
                      <w:rPr>
                        <w:rFonts w:hint="eastAsia" w:ascii="宋体" w:hAnsi="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2"/>
      </w:rPr>
      <w:instrText xml:space="preserve"> PAGE </w:instrText>
    </w:r>
    <w:r>
      <w:fldChar w:fldCharType="separate"/>
    </w:r>
    <w:r>
      <w:rPr>
        <w:rStyle w:val="4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DA407"/>
    <w:multiLevelType w:val="singleLevel"/>
    <w:tmpl w:val="03BDA407"/>
    <w:lvl w:ilvl="0" w:tentative="0">
      <w:start w:val="1"/>
      <w:numFmt w:val="decimal"/>
      <w:suff w:val="space"/>
      <w:lvlText w:val="(%1)"/>
      <w:lvlJc w:val="left"/>
      <w:pPr>
        <w:ind w:left="454" w:hanging="454"/>
      </w:pPr>
      <w:rPr>
        <w:rFonts w:hint="default" w:ascii="宋体" w:hAnsi="宋体" w:eastAsia="宋体" w:cs="宋体"/>
        <w:color w:val="auto"/>
        <w:sz w:val="21"/>
        <w:szCs w:val="21"/>
      </w:rPr>
    </w:lvl>
  </w:abstractNum>
  <w:abstractNum w:abstractNumId="1">
    <w:nsid w:val="4692604F"/>
    <w:multiLevelType w:val="singleLevel"/>
    <w:tmpl w:val="4692604F"/>
    <w:lvl w:ilvl="0" w:tentative="0">
      <w:start w:val="1"/>
      <w:numFmt w:val="decimal"/>
      <w:suff w:val="nothing"/>
      <w:lvlText w:val="%1、"/>
      <w:lvlJc w:val="left"/>
    </w:lvl>
  </w:abstractNum>
  <w:abstractNum w:abstractNumId="2">
    <w:nsid w:val="6D39FFF8"/>
    <w:multiLevelType w:val="singleLevel"/>
    <w:tmpl w:val="6D39FFF8"/>
    <w:lvl w:ilvl="0" w:tentative="0">
      <w:start w:val="1"/>
      <w:numFmt w:val="decimal"/>
      <w:lvlText w:val="(%1)"/>
      <w:lvlJc w:val="left"/>
      <w:pPr>
        <w:ind w:left="425" w:hanging="425"/>
      </w:pPr>
      <w:rPr>
        <w:rFonts w:hint="default" w:ascii="宋体" w:hAnsi="宋体" w:eastAsia="宋体" w:cs="宋体"/>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3E"/>
    <w:rsid w:val="00013006"/>
    <w:rsid w:val="0004713D"/>
    <w:rsid w:val="00050A07"/>
    <w:rsid w:val="0005185E"/>
    <w:rsid w:val="000851B4"/>
    <w:rsid w:val="00092FAC"/>
    <w:rsid w:val="000939AB"/>
    <w:rsid w:val="000B26CB"/>
    <w:rsid w:val="000C38DF"/>
    <w:rsid w:val="000C42A6"/>
    <w:rsid w:val="000D3B75"/>
    <w:rsid w:val="000E09E0"/>
    <w:rsid w:val="000F59F7"/>
    <w:rsid w:val="00157970"/>
    <w:rsid w:val="001676BB"/>
    <w:rsid w:val="00177810"/>
    <w:rsid w:val="0019533A"/>
    <w:rsid w:val="00196494"/>
    <w:rsid w:val="001A3723"/>
    <w:rsid w:val="001B045A"/>
    <w:rsid w:val="001D0E25"/>
    <w:rsid w:val="001E4555"/>
    <w:rsid w:val="001F19D5"/>
    <w:rsid w:val="001F1CCA"/>
    <w:rsid w:val="001F2EFB"/>
    <w:rsid w:val="00204764"/>
    <w:rsid w:val="002225EC"/>
    <w:rsid w:val="0022568B"/>
    <w:rsid w:val="002331B6"/>
    <w:rsid w:val="00255B68"/>
    <w:rsid w:val="00257022"/>
    <w:rsid w:val="00265B0B"/>
    <w:rsid w:val="00265ED5"/>
    <w:rsid w:val="00275350"/>
    <w:rsid w:val="002A14FC"/>
    <w:rsid w:val="002A1E3F"/>
    <w:rsid w:val="002D2AF5"/>
    <w:rsid w:val="002E6282"/>
    <w:rsid w:val="00302A11"/>
    <w:rsid w:val="00312187"/>
    <w:rsid w:val="003562D3"/>
    <w:rsid w:val="0036310E"/>
    <w:rsid w:val="0036332E"/>
    <w:rsid w:val="00366621"/>
    <w:rsid w:val="00367102"/>
    <w:rsid w:val="00381D17"/>
    <w:rsid w:val="003A04BF"/>
    <w:rsid w:val="003A690D"/>
    <w:rsid w:val="003B40E8"/>
    <w:rsid w:val="003B53A1"/>
    <w:rsid w:val="003F2EDC"/>
    <w:rsid w:val="003F5EBD"/>
    <w:rsid w:val="00400754"/>
    <w:rsid w:val="00417342"/>
    <w:rsid w:val="00436E6C"/>
    <w:rsid w:val="00464D99"/>
    <w:rsid w:val="004A5B1F"/>
    <w:rsid w:val="004B7630"/>
    <w:rsid w:val="004B7944"/>
    <w:rsid w:val="004D2CA9"/>
    <w:rsid w:val="004E3217"/>
    <w:rsid w:val="004E647E"/>
    <w:rsid w:val="004E7103"/>
    <w:rsid w:val="00505524"/>
    <w:rsid w:val="00533ACC"/>
    <w:rsid w:val="00544856"/>
    <w:rsid w:val="00552606"/>
    <w:rsid w:val="00590831"/>
    <w:rsid w:val="00597901"/>
    <w:rsid w:val="005B10FA"/>
    <w:rsid w:val="005C68AA"/>
    <w:rsid w:val="005D1D29"/>
    <w:rsid w:val="005E0E60"/>
    <w:rsid w:val="005E2C53"/>
    <w:rsid w:val="005E3933"/>
    <w:rsid w:val="005F2285"/>
    <w:rsid w:val="005F57C1"/>
    <w:rsid w:val="00615C47"/>
    <w:rsid w:val="006369CF"/>
    <w:rsid w:val="00642DC6"/>
    <w:rsid w:val="00666F72"/>
    <w:rsid w:val="00691F05"/>
    <w:rsid w:val="006A595E"/>
    <w:rsid w:val="006D1742"/>
    <w:rsid w:val="006D739E"/>
    <w:rsid w:val="006F3FDF"/>
    <w:rsid w:val="006F433F"/>
    <w:rsid w:val="006F43D8"/>
    <w:rsid w:val="00713D4C"/>
    <w:rsid w:val="00726BEA"/>
    <w:rsid w:val="0075790C"/>
    <w:rsid w:val="00761FB9"/>
    <w:rsid w:val="00771041"/>
    <w:rsid w:val="00775214"/>
    <w:rsid w:val="00787B98"/>
    <w:rsid w:val="007C500D"/>
    <w:rsid w:val="00801A0F"/>
    <w:rsid w:val="00805735"/>
    <w:rsid w:val="00817F23"/>
    <w:rsid w:val="00827CAC"/>
    <w:rsid w:val="00832E68"/>
    <w:rsid w:val="00837B6D"/>
    <w:rsid w:val="00851813"/>
    <w:rsid w:val="00857C0F"/>
    <w:rsid w:val="0086139C"/>
    <w:rsid w:val="008755A8"/>
    <w:rsid w:val="00876D44"/>
    <w:rsid w:val="00893A67"/>
    <w:rsid w:val="008A79C3"/>
    <w:rsid w:val="008B5AE0"/>
    <w:rsid w:val="008C4ACC"/>
    <w:rsid w:val="008C68B9"/>
    <w:rsid w:val="008C6E75"/>
    <w:rsid w:val="008E39FF"/>
    <w:rsid w:val="008E6826"/>
    <w:rsid w:val="008F08AB"/>
    <w:rsid w:val="008F47EB"/>
    <w:rsid w:val="00906552"/>
    <w:rsid w:val="009301CB"/>
    <w:rsid w:val="009376B8"/>
    <w:rsid w:val="009466DC"/>
    <w:rsid w:val="009557AA"/>
    <w:rsid w:val="009566CB"/>
    <w:rsid w:val="0096128F"/>
    <w:rsid w:val="0099352A"/>
    <w:rsid w:val="009A2691"/>
    <w:rsid w:val="009A6ACD"/>
    <w:rsid w:val="009D212E"/>
    <w:rsid w:val="009E3C96"/>
    <w:rsid w:val="009F01E3"/>
    <w:rsid w:val="00A314EE"/>
    <w:rsid w:val="00A4700D"/>
    <w:rsid w:val="00A84713"/>
    <w:rsid w:val="00AA1396"/>
    <w:rsid w:val="00AA1AEF"/>
    <w:rsid w:val="00AA3FE6"/>
    <w:rsid w:val="00AA4300"/>
    <w:rsid w:val="00AC1555"/>
    <w:rsid w:val="00AC2448"/>
    <w:rsid w:val="00AC274C"/>
    <w:rsid w:val="00B047D9"/>
    <w:rsid w:val="00B22BA5"/>
    <w:rsid w:val="00B26E82"/>
    <w:rsid w:val="00B31908"/>
    <w:rsid w:val="00B50B96"/>
    <w:rsid w:val="00B52FC8"/>
    <w:rsid w:val="00B566A1"/>
    <w:rsid w:val="00B61984"/>
    <w:rsid w:val="00B67362"/>
    <w:rsid w:val="00B764E2"/>
    <w:rsid w:val="00B9440C"/>
    <w:rsid w:val="00BB3291"/>
    <w:rsid w:val="00BD7DC9"/>
    <w:rsid w:val="00BE5AA3"/>
    <w:rsid w:val="00BF1EC4"/>
    <w:rsid w:val="00BF22FB"/>
    <w:rsid w:val="00BF566C"/>
    <w:rsid w:val="00C053BA"/>
    <w:rsid w:val="00C138DF"/>
    <w:rsid w:val="00C22657"/>
    <w:rsid w:val="00C41462"/>
    <w:rsid w:val="00C46451"/>
    <w:rsid w:val="00C6117B"/>
    <w:rsid w:val="00C71A7E"/>
    <w:rsid w:val="00C73420"/>
    <w:rsid w:val="00C801CA"/>
    <w:rsid w:val="00C833D3"/>
    <w:rsid w:val="00C96B0B"/>
    <w:rsid w:val="00CC013C"/>
    <w:rsid w:val="00CD5038"/>
    <w:rsid w:val="00CE1890"/>
    <w:rsid w:val="00CE2161"/>
    <w:rsid w:val="00D21AD9"/>
    <w:rsid w:val="00D43CCF"/>
    <w:rsid w:val="00D47ED8"/>
    <w:rsid w:val="00D56291"/>
    <w:rsid w:val="00DB3FA3"/>
    <w:rsid w:val="00DC6801"/>
    <w:rsid w:val="00DD0F7C"/>
    <w:rsid w:val="00E05838"/>
    <w:rsid w:val="00E063C4"/>
    <w:rsid w:val="00E1246D"/>
    <w:rsid w:val="00E13272"/>
    <w:rsid w:val="00E16CB9"/>
    <w:rsid w:val="00E30E3E"/>
    <w:rsid w:val="00E36ABD"/>
    <w:rsid w:val="00E46D8B"/>
    <w:rsid w:val="00E509F5"/>
    <w:rsid w:val="00E50BD9"/>
    <w:rsid w:val="00E563AB"/>
    <w:rsid w:val="00E64A87"/>
    <w:rsid w:val="00E707B6"/>
    <w:rsid w:val="00E72118"/>
    <w:rsid w:val="00E7541C"/>
    <w:rsid w:val="00EA1D0F"/>
    <w:rsid w:val="00EA4F3E"/>
    <w:rsid w:val="00EA59CA"/>
    <w:rsid w:val="00EB2D74"/>
    <w:rsid w:val="00ED113D"/>
    <w:rsid w:val="00ED7B3B"/>
    <w:rsid w:val="00F021DC"/>
    <w:rsid w:val="00F15791"/>
    <w:rsid w:val="00F60181"/>
    <w:rsid w:val="00F76D86"/>
    <w:rsid w:val="00FA041C"/>
    <w:rsid w:val="00FA26E0"/>
    <w:rsid w:val="00FA48FE"/>
    <w:rsid w:val="00FA7AD6"/>
    <w:rsid w:val="00FC01C9"/>
    <w:rsid w:val="00FD2CE4"/>
    <w:rsid w:val="01C933A0"/>
    <w:rsid w:val="064307C8"/>
    <w:rsid w:val="08687341"/>
    <w:rsid w:val="0BC11FDA"/>
    <w:rsid w:val="0C4F23F8"/>
    <w:rsid w:val="0C820D4D"/>
    <w:rsid w:val="0E403DF0"/>
    <w:rsid w:val="11D248DD"/>
    <w:rsid w:val="12CF543E"/>
    <w:rsid w:val="17B57BF4"/>
    <w:rsid w:val="189E5309"/>
    <w:rsid w:val="1BAD7D67"/>
    <w:rsid w:val="1D215F99"/>
    <w:rsid w:val="217C03C3"/>
    <w:rsid w:val="226E6A1B"/>
    <w:rsid w:val="24294EA4"/>
    <w:rsid w:val="25002538"/>
    <w:rsid w:val="2B442E19"/>
    <w:rsid w:val="2B7319D4"/>
    <w:rsid w:val="2BAC66B6"/>
    <w:rsid w:val="2CA77A03"/>
    <w:rsid w:val="30C60521"/>
    <w:rsid w:val="31FA3E8C"/>
    <w:rsid w:val="348A4874"/>
    <w:rsid w:val="34C96727"/>
    <w:rsid w:val="361169B7"/>
    <w:rsid w:val="400E6613"/>
    <w:rsid w:val="41682606"/>
    <w:rsid w:val="420C2820"/>
    <w:rsid w:val="48BE2F6F"/>
    <w:rsid w:val="4D38766A"/>
    <w:rsid w:val="4ED727E7"/>
    <w:rsid w:val="50594260"/>
    <w:rsid w:val="50E449C6"/>
    <w:rsid w:val="528A287A"/>
    <w:rsid w:val="52AA78C0"/>
    <w:rsid w:val="5A632B2E"/>
    <w:rsid w:val="5C4E17F9"/>
    <w:rsid w:val="68281331"/>
    <w:rsid w:val="6C0C37CF"/>
    <w:rsid w:val="74EF1BF0"/>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bCs/>
      <w:kern w:val="44"/>
      <w:sz w:val="44"/>
      <w:szCs w:val="44"/>
    </w:rPr>
  </w:style>
  <w:style w:type="paragraph" w:styleId="4">
    <w:name w:val="heading 2"/>
    <w:basedOn w:val="1"/>
    <w:next w:val="1"/>
    <w:link w:val="4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9"/>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50"/>
    <w:qFormat/>
    <w:uiPriority w:val="0"/>
    <w:pPr>
      <w:keepNext/>
      <w:keepLines/>
      <w:spacing w:before="280" w:after="290" w:line="374" w:lineRule="auto"/>
      <w:outlineLvl w:val="3"/>
    </w:pPr>
    <w:rPr>
      <w:rFonts w:ascii="Arial" w:hAnsi="Arial" w:eastAsia="黑体"/>
      <w:b/>
      <w:bCs/>
      <w:sz w:val="28"/>
      <w:szCs w:val="28"/>
    </w:rPr>
  </w:style>
  <w:style w:type="paragraph" w:styleId="7">
    <w:name w:val="heading 6"/>
    <w:basedOn w:val="1"/>
    <w:next w:val="1"/>
    <w:link w:val="5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52"/>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5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5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60"/>
    <w:qFormat/>
    <w:uiPriority w:val="0"/>
    <w:rPr>
      <w:rFonts w:ascii="宋体" w:hAnsi="Courier New"/>
      <w:szCs w:val="22"/>
    </w:rPr>
  </w:style>
  <w:style w:type="paragraph" w:styleId="11">
    <w:name w:val="toc 7"/>
    <w:basedOn w:val="1"/>
    <w:next w:val="1"/>
    <w:qFormat/>
    <w:uiPriority w:val="39"/>
    <w:pPr>
      <w:ind w:left="1260"/>
      <w:jc w:val="left"/>
    </w:pPr>
    <w:rPr>
      <w:sz w:val="18"/>
      <w:szCs w:val="18"/>
    </w:rPr>
  </w:style>
  <w:style w:type="paragraph" w:styleId="12">
    <w:name w:val="index 8"/>
    <w:basedOn w:val="1"/>
    <w:next w:val="1"/>
    <w:unhideWhenUsed/>
    <w:qFormat/>
    <w:uiPriority w:val="99"/>
    <w:pPr>
      <w:ind w:left="1400" w:leftChars="1400"/>
    </w:pPr>
  </w:style>
  <w:style w:type="paragraph" w:styleId="13">
    <w:name w:val="Normal Indent"/>
    <w:basedOn w:val="1"/>
    <w:next w:val="1"/>
    <w:qFormat/>
    <w:uiPriority w:val="0"/>
    <w:pPr>
      <w:ind w:firstLine="420" w:firstLineChars="200"/>
    </w:pPr>
  </w:style>
  <w:style w:type="paragraph" w:styleId="14">
    <w:name w:val="Document Map"/>
    <w:basedOn w:val="1"/>
    <w:link w:val="55"/>
    <w:qFormat/>
    <w:uiPriority w:val="0"/>
    <w:pPr>
      <w:shd w:val="clear" w:color="auto" w:fill="000080"/>
    </w:pPr>
    <w:rPr>
      <w:rFonts w:ascii="Calibri" w:hAnsi="Calibri"/>
    </w:rPr>
  </w:style>
  <w:style w:type="paragraph" w:styleId="15">
    <w:name w:val="annotation text"/>
    <w:basedOn w:val="1"/>
    <w:link w:val="56"/>
    <w:unhideWhenUsed/>
    <w:qFormat/>
    <w:uiPriority w:val="0"/>
    <w:pPr>
      <w:jc w:val="left"/>
    </w:pPr>
  </w:style>
  <w:style w:type="paragraph" w:styleId="16">
    <w:name w:val="Body Text 3"/>
    <w:basedOn w:val="1"/>
    <w:link w:val="57"/>
    <w:qFormat/>
    <w:uiPriority w:val="0"/>
    <w:rPr>
      <w:rFonts w:ascii="宋体"/>
      <w:sz w:val="24"/>
      <w:szCs w:val="20"/>
    </w:rPr>
  </w:style>
  <w:style w:type="paragraph" w:styleId="17">
    <w:name w:val="Body Text"/>
    <w:basedOn w:val="1"/>
    <w:next w:val="1"/>
    <w:link w:val="58"/>
    <w:qFormat/>
    <w:uiPriority w:val="0"/>
    <w:pPr>
      <w:spacing w:after="120"/>
    </w:pPr>
    <w:rPr>
      <w:rFonts w:ascii="Calibri" w:hAnsi="Calibri"/>
    </w:rPr>
  </w:style>
  <w:style w:type="paragraph" w:styleId="18">
    <w:name w:val="Body Text Indent"/>
    <w:basedOn w:val="1"/>
    <w:next w:val="1"/>
    <w:link w:val="59"/>
    <w:qFormat/>
    <w:uiPriority w:val="0"/>
    <w:pPr>
      <w:spacing w:after="120"/>
      <w:ind w:left="420" w:leftChars="200"/>
    </w:pPr>
  </w:style>
  <w:style w:type="paragraph" w:styleId="19">
    <w:name w:val="index 4"/>
    <w:basedOn w:val="1"/>
    <w:next w:val="1"/>
    <w:unhideWhenUsed/>
    <w:qFormat/>
    <w:uiPriority w:val="99"/>
    <w:pPr>
      <w:ind w:left="600" w:leftChars="600"/>
    </w:p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Cs/>
      <w:sz w:val="20"/>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61"/>
    <w:qFormat/>
    <w:uiPriority w:val="0"/>
    <w:rPr>
      <w:sz w:val="24"/>
      <w:szCs w:val="20"/>
    </w:rPr>
  </w:style>
  <w:style w:type="paragraph" w:styleId="24">
    <w:name w:val="Balloon Text"/>
    <w:basedOn w:val="1"/>
    <w:link w:val="62"/>
    <w:qFormat/>
    <w:uiPriority w:val="0"/>
    <w:rPr>
      <w:sz w:val="18"/>
      <w:szCs w:val="18"/>
    </w:rPr>
  </w:style>
  <w:style w:type="paragraph" w:styleId="25">
    <w:name w:val="footer"/>
    <w:basedOn w:val="1"/>
    <w:link w:val="63"/>
    <w:qFormat/>
    <w:uiPriority w:val="99"/>
    <w:pPr>
      <w:tabs>
        <w:tab w:val="center" w:pos="4153"/>
        <w:tab w:val="right" w:pos="8306"/>
      </w:tabs>
      <w:snapToGrid w:val="0"/>
      <w:jc w:val="left"/>
    </w:pPr>
    <w:rPr>
      <w:rFonts w:ascii="Calibri" w:hAnsi="Calibri"/>
      <w:sz w:val="18"/>
      <w:szCs w:val="18"/>
    </w:rPr>
  </w:style>
  <w:style w:type="paragraph" w:styleId="26">
    <w:name w:val="envelope return"/>
    <w:basedOn w:val="1"/>
    <w:qFormat/>
    <w:uiPriority w:val="99"/>
    <w:pPr>
      <w:snapToGrid w:val="0"/>
    </w:pPr>
    <w:rPr>
      <w:rFonts w:ascii="Arial" w:hAnsi="Arial" w:cs="Arial"/>
    </w:rPr>
  </w:style>
  <w:style w:type="paragraph" w:styleId="27">
    <w:name w:val="header"/>
    <w:basedOn w:val="1"/>
    <w:link w:val="6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toc 6"/>
    <w:basedOn w:val="1"/>
    <w:next w:val="1"/>
    <w:qFormat/>
    <w:uiPriority w:val="39"/>
    <w:pPr>
      <w:ind w:left="1050"/>
      <w:jc w:val="left"/>
    </w:pPr>
    <w:rPr>
      <w:sz w:val="18"/>
      <w:szCs w:val="18"/>
    </w:rPr>
  </w:style>
  <w:style w:type="paragraph" w:styleId="31">
    <w:name w:val="Body Text Indent 3"/>
    <w:basedOn w:val="1"/>
    <w:link w:val="65"/>
    <w:qFormat/>
    <w:uiPriority w:val="0"/>
    <w:pPr>
      <w:spacing w:after="120"/>
      <w:ind w:left="420" w:leftChars="200"/>
    </w:pPr>
    <w:rPr>
      <w:sz w:val="16"/>
      <w:szCs w:val="16"/>
    </w:r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qFormat/>
    <w:uiPriority w:val="0"/>
    <w:pPr>
      <w:spacing w:before="100" w:beforeAutospacing="1" w:after="100" w:afterAutospacing="1"/>
      <w:jc w:val="left"/>
    </w:pPr>
    <w:rPr>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Title"/>
    <w:basedOn w:val="1"/>
    <w:next w:val="1"/>
    <w:link w:val="6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67"/>
    <w:qFormat/>
    <w:uiPriority w:val="0"/>
    <w:pPr>
      <w:jc w:val="both"/>
    </w:pPr>
    <w:rPr>
      <w:rFonts w:ascii="Calibri" w:hAnsi="Calibri"/>
      <w:b/>
      <w:bCs/>
    </w:rPr>
  </w:style>
  <w:style w:type="paragraph" w:styleId="38">
    <w:name w:val="Body Text First Indent"/>
    <w:basedOn w:val="17"/>
    <w:link w:val="68"/>
    <w:qFormat/>
    <w:uiPriority w:val="0"/>
    <w:pPr>
      <w:spacing w:line="312" w:lineRule="auto"/>
      <w:ind w:firstLine="420"/>
    </w:pPr>
  </w:style>
  <w:style w:type="paragraph" w:styleId="39">
    <w:name w:val="Body Text First Indent 2"/>
    <w:basedOn w:val="18"/>
    <w:link w:val="69"/>
    <w:qFormat/>
    <w:uiPriority w:val="99"/>
    <w:pPr>
      <w:ind w:firstLine="420" w:firstLineChars="200"/>
    </w:pPr>
  </w:style>
  <w:style w:type="character" w:styleId="42">
    <w:name w:val="page number"/>
    <w:qFormat/>
    <w:uiPriority w:val="0"/>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basedOn w:val="41"/>
    <w:link w:val="3"/>
    <w:qFormat/>
    <w:uiPriority w:val="0"/>
    <w:rPr>
      <w:rFonts w:ascii="Times New Roman" w:hAnsi="Times New Roman" w:eastAsia="宋体" w:cs="Times New Roman"/>
      <w:bCs/>
      <w:kern w:val="44"/>
      <w:sz w:val="44"/>
      <w:szCs w:val="44"/>
    </w:rPr>
  </w:style>
  <w:style w:type="character" w:customStyle="1" w:styleId="48">
    <w:name w:val="标题 2 字符"/>
    <w:basedOn w:val="41"/>
    <w:link w:val="4"/>
    <w:qFormat/>
    <w:uiPriority w:val="0"/>
    <w:rPr>
      <w:rFonts w:ascii="Arial" w:hAnsi="Arial" w:eastAsia="黑体" w:cs="Times New Roman"/>
      <w:b/>
      <w:bCs/>
      <w:sz w:val="32"/>
      <w:szCs w:val="32"/>
    </w:rPr>
  </w:style>
  <w:style w:type="character" w:customStyle="1" w:styleId="49">
    <w:name w:val="标题 3 字符"/>
    <w:basedOn w:val="41"/>
    <w:link w:val="5"/>
    <w:qFormat/>
    <w:uiPriority w:val="0"/>
    <w:rPr>
      <w:rFonts w:ascii="黑体" w:hAnsi="宋体" w:eastAsia="黑体" w:cs="Times New Roman"/>
      <w:bCs/>
      <w:sz w:val="28"/>
      <w:szCs w:val="28"/>
    </w:rPr>
  </w:style>
  <w:style w:type="character" w:customStyle="1" w:styleId="50">
    <w:name w:val="标题 4 字符"/>
    <w:basedOn w:val="41"/>
    <w:link w:val="6"/>
    <w:qFormat/>
    <w:uiPriority w:val="0"/>
    <w:rPr>
      <w:rFonts w:ascii="Arial" w:hAnsi="Arial" w:eastAsia="黑体" w:cs="Times New Roman"/>
      <w:b/>
      <w:bCs/>
      <w:sz w:val="28"/>
      <w:szCs w:val="28"/>
    </w:rPr>
  </w:style>
  <w:style w:type="character" w:customStyle="1" w:styleId="51">
    <w:name w:val="标题 6 字符"/>
    <w:basedOn w:val="41"/>
    <w:link w:val="7"/>
    <w:qFormat/>
    <w:uiPriority w:val="0"/>
    <w:rPr>
      <w:rFonts w:ascii="Arial" w:hAnsi="Arial" w:eastAsia="黑体" w:cs="Times New Roman"/>
      <w:b/>
      <w:bCs/>
      <w:kern w:val="0"/>
      <w:sz w:val="24"/>
      <w:szCs w:val="24"/>
    </w:rPr>
  </w:style>
  <w:style w:type="character" w:customStyle="1" w:styleId="52">
    <w:name w:val="标题 7 字符"/>
    <w:basedOn w:val="41"/>
    <w:link w:val="8"/>
    <w:qFormat/>
    <w:uiPriority w:val="0"/>
    <w:rPr>
      <w:rFonts w:ascii="Times New Roman" w:hAnsi="Times New Roman" w:eastAsia="宋体" w:cs="Times New Roman"/>
      <w:b/>
      <w:bCs/>
      <w:kern w:val="0"/>
      <w:sz w:val="24"/>
      <w:szCs w:val="24"/>
    </w:rPr>
  </w:style>
  <w:style w:type="character" w:customStyle="1" w:styleId="53">
    <w:name w:val="标题 8 字符"/>
    <w:basedOn w:val="41"/>
    <w:link w:val="9"/>
    <w:qFormat/>
    <w:uiPriority w:val="0"/>
    <w:rPr>
      <w:rFonts w:ascii="Arial" w:hAnsi="Arial" w:eastAsia="黑体" w:cs="Times New Roman"/>
      <w:kern w:val="0"/>
      <w:sz w:val="24"/>
      <w:szCs w:val="24"/>
    </w:rPr>
  </w:style>
  <w:style w:type="character" w:customStyle="1" w:styleId="54">
    <w:name w:val="标题 9 字符"/>
    <w:basedOn w:val="41"/>
    <w:link w:val="10"/>
    <w:qFormat/>
    <w:uiPriority w:val="0"/>
    <w:rPr>
      <w:rFonts w:ascii="Arial" w:hAnsi="Arial" w:eastAsia="黑体" w:cs="Times New Roman"/>
      <w:kern w:val="0"/>
      <w:szCs w:val="21"/>
    </w:rPr>
  </w:style>
  <w:style w:type="character" w:customStyle="1" w:styleId="55">
    <w:name w:val="文档结构图 字符"/>
    <w:basedOn w:val="41"/>
    <w:link w:val="14"/>
    <w:qFormat/>
    <w:uiPriority w:val="0"/>
    <w:rPr>
      <w:rFonts w:ascii="Calibri" w:hAnsi="Calibri" w:eastAsia="宋体" w:cs="Times New Roman"/>
      <w:szCs w:val="24"/>
      <w:shd w:val="clear" w:color="auto" w:fill="000080"/>
    </w:rPr>
  </w:style>
  <w:style w:type="character" w:customStyle="1" w:styleId="56">
    <w:name w:val="批注文字 字符"/>
    <w:basedOn w:val="41"/>
    <w:link w:val="15"/>
    <w:qFormat/>
    <w:uiPriority w:val="0"/>
    <w:rPr>
      <w:rFonts w:ascii="Times New Roman" w:hAnsi="Times New Roman" w:eastAsia="宋体" w:cs="Times New Roman"/>
      <w:szCs w:val="24"/>
    </w:rPr>
  </w:style>
  <w:style w:type="character" w:customStyle="1" w:styleId="57">
    <w:name w:val="正文文本 3 字符"/>
    <w:basedOn w:val="41"/>
    <w:link w:val="16"/>
    <w:qFormat/>
    <w:uiPriority w:val="0"/>
    <w:rPr>
      <w:rFonts w:ascii="宋体" w:hAnsi="Times New Roman" w:eastAsia="宋体" w:cs="Times New Roman"/>
      <w:sz w:val="24"/>
      <w:szCs w:val="20"/>
    </w:rPr>
  </w:style>
  <w:style w:type="character" w:customStyle="1" w:styleId="58">
    <w:name w:val="正文文本 字符"/>
    <w:basedOn w:val="41"/>
    <w:link w:val="17"/>
    <w:qFormat/>
    <w:uiPriority w:val="0"/>
    <w:rPr>
      <w:rFonts w:ascii="Calibri" w:hAnsi="Calibri" w:eastAsia="宋体" w:cs="Times New Roman"/>
      <w:szCs w:val="24"/>
    </w:rPr>
  </w:style>
  <w:style w:type="character" w:customStyle="1" w:styleId="59">
    <w:name w:val="正文文本缩进 字符"/>
    <w:basedOn w:val="41"/>
    <w:link w:val="18"/>
    <w:qFormat/>
    <w:uiPriority w:val="0"/>
    <w:rPr>
      <w:rFonts w:ascii="Times New Roman" w:hAnsi="Times New Roman" w:eastAsia="宋体" w:cs="Times New Roman"/>
      <w:szCs w:val="24"/>
    </w:rPr>
  </w:style>
  <w:style w:type="character" w:customStyle="1" w:styleId="60">
    <w:name w:val="纯文本 字符"/>
    <w:basedOn w:val="41"/>
    <w:link w:val="2"/>
    <w:qFormat/>
    <w:uiPriority w:val="0"/>
    <w:rPr>
      <w:rFonts w:ascii="宋体" w:hAnsi="Courier New" w:eastAsia="宋体" w:cs="Times New Roman"/>
    </w:rPr>
  </w:style>
  <w:style w:type="character" w:customStyle="1" w:styleId="61">
    <w:name w:val="日期 字符"/>
    <w:basedOn w:val="41"/>
    <w:link w:val="23"/>
    <w:qFormat/>
    <w:uiPriority w:val="0"/>
    <w:rPr>
      <w:rFonts w:ascii="Times New Roman" w:hAnsi="Times New Roman" w:eastAsia="宋体" w:cs="Times New Roman"/>
      <w:sz w:val="24"/>
      <w:szCs w:val="20"/>
    </w:rPr>
  </w:style>
  <w:style w:type="character" w:customStyle="1" w:styleId="62">
    <w:name w:val="批注框文本 字符"/>
    <w:basedOn w:val="41"/>
    <w:link w:val="24"/>
    <w:qFormat/>
    <w:uiPriority w:val="0"/>
    <w:rPr>
      <w:rFonts w:ascii="Times New Roman" w:hAnsi="Times New Roman" w:eastAsia="宋体" w:cs="Times New Roman"/>
      <w:sz w:val="18"/>
      <w:szCs w:val="18"/>
    </w:rPr>
  </w:style>
  <w:style w:type="character" w:customStyle="1" w:styleId="63">
    <w:name w:val="页脚 字符"/>
    <w:basedOn w:val="41"/>
    <w:link w:val="25"/>
    <w:qFormat/>
    <w:uiPriority w:val="99"/>
    <w:rPr>
      <w:rFonts w:ascii="Calibri" w:hAnsi="Calibri" w:eastAsia="宋体" w:cs="Times New Roman"/>
      <w:sz w:val="18"/>
      <w:szCs w:val="18"/>
    </w:rPr>
  </w:style>
  <w:style w:type="character" w:customStyle="1" w:styleId="64">
    <w:name w:val="页眉 字符"/>
    <w:basedOn w:val="41"/>
    <w:link w:val="27"/>
    <w:qFormat/>
    <w:uiPriority w:val="0"/>
    <w:rPr>
      <w:rFonts w:ascii="Calibri" w:hAnsi="Calibri" w:eastAsia="宋体" w:cs="Times New Roman"/>
      <w:sz w:val="18"/>
      <w:szCs w:val="18"/>
    </w:rPr>
  </w:style>
  <w:style w:type="character" w:customStyle="1" w:styleId="65">
    <w:name w:val="正文文本缩进 3 字符"/>
    <w:basedOn w:val="41"/>
    <w:link w:val="31"/>
    <w:qFormat/>
    <w:uiPriority w:val="0"/>
    <w:rPr>
      <w:rFonts w:ascii="Times New Roman" w:hAnsi="Times New Roman" w:eastAsia="宋体" w:cs="Times New Roman"/>
      <w:sz w:val="16"/>
      <w:szCs w:val="16"/>
    </w:rPr>
  </w:style>
  <w:style w:type="character" w:customStyle="1" w:styleId="66">
    <w:name w:val="标题 字符"/>
    <w:basedOn w:val="41"/>
    <w:link w:val="36"/>
    <w:qFormat/>
    <w:uiPriority w:val="0"/>
    <w:rPr>
      <w:rFonts w:ascii="Arial" w:hAnsi="Arial" w:eastAsia="宋体" w:cs="Times New Roman"/>
      <w:b/>
      <w:kern w:val="0"/>
      <w:sz w:val="32"/>
      <w:szCs w:val="20"/>
    </w:rPr>
  </w:style>
  <w:style w:type="character" w:customStyle="1" w:styleId="67">
    <w:name w:val="批注主题 字符"/>
    <w:basedOn w:val="56"/>
    <w:link w:val="37"/>
    <w:qFormat/>
    <w:uiPriority w:val="0"/>
    <w:rPr>
      <w:rFonts w:ascii="Calibri" w:hAnsi="Calibri" w:eastAsia="宋体" w:cs="Times New Roman"/>
      <w:b/>
      <w:bCs/>
      <w:szCs w:val="24"/>
    </w:rPr>
  </w:style>
  <w:style w:type="character" w:customStyle="1" w:styleId="68">
    <w:name w:val="正文文本首行缩进 字符"/>
    <w:basedOn w:val="58"/>
    <w:link w:val="38"/>
    <w:qFormat/>
    <w:uiPriority w:val="0"/>
    <w:rPr>
      <w:rFonts w:ascii="Calibri" w:hAnsi="Calibri" w:eastAsia="宋体" w:cs="Times New Roman"/>
      <w:szCs w:val="24"/>
    </w:rPr>
  </w:style>
  <w:style w:type="character" w:customStyle="1" w:styleId="69">
    <w:name w:val="正文文本首行缩进 2 字符"/>
    <w:basedOn w:val="59"/>
    <w:link w:val="39"/>
    <w:qFormat/>
    <w:uiPriority w:val="99"/>
    <w:rPr>
      <w:rFonts w:ascii="Times New Roman" w:hAnsi="Times New Roman" w:eastAsia="宋体" w:cs="Times New Roman"/>
      <w:szCs w:val="24"/>
    </w:rPr>
  </w:style>
  <w:style w:type="paragraph" w:customStyle="1" w:styleId="70">
    <w:name w:val="_Style 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font01"/>
    <w:qFormat/>
    <w:uiPriority w:val="0"/>
    <w:rPr>
      <w:rFonts w:hint="eastAsia" w:ascii="宋体" w:hAnsi="宋体" w:eastAsia="宋体" w:cs="宋体"/>
      <w:color w:val="000000"/>
      <w:sz w:val="20"/>
      <w:szCs w:val="20"/>
      <w:u w:val="none"/>
    </w:rPr>
  </w:style>
  <w:style w:type="character" w:customStyle="1" w:styleId="72">
    <w:name w:val="font71"/>
    <w:qFormat/>
    <w:uiPriority w:val="0"/>
    <w:rPr>
      <w:rFonts w:hint="eastAsia" w:ascii="宋体" w:hAnsi="宋体" w:eastAsia="宋体" w:cs="宋体"/>
      <w:color w:val="000000"/>
      <w:sz w:val="20"/>
      <w:szCs w:val="20"/>
      <w:u w:val="none"/>
    </w:rPr>
  </w:style>
  <w:style w:type="character" w:customStyle="1" w:styleId="73">
    <w:name w:val="font4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character" w:customStyle="1" w:styleId="75">
    <w:name w:val="font51"/>
    <w:qFormat/>
    <w:uiPriority w:val="0"/>
    <w:rPr>
      <w:rFonts w:hint="eastAsia" w:ascii="宋体" w:hAnsi="宋体" w:eastAsia="宋体" w:cs="宋体"/>
      <w:color w:val="000000"/>
      <w:sz w:val="20"/>
      <w:szCs w:val="20"/>
      <w:u w:val="none"/>
    </w:rPr>
  </w:style>
  <w:style w:type="character" w:customStyle="1" w:styleId="76">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77">
    <w:name w:val="font61"/>
    <w:qFormat/>
    <w:uiPriority w:val="0"/>
    <w:rPr>
      <w:rFonts w:hint="eastAsia" w:ascii="宋体" w:hAnsi="宋体" w:eastAsia="宋体" w:cs="宋体"/>
      <w:color w:val="000000"/>
      <w:sz w:val="20"/>
      <w:szCs w:val="20"/>
      <w:u w:val="none"/>
    </w:rPr>
  </w:style>
  <w:style w:type="character" w:customStyle="1" w:styleId="78">
    <w:name w:val="font11"/>
    <w:qFormat/>
    <w:uiPriority w:val="0"/>
    <w:rPr>
      <w:rFonts w:hint="eastAsia" w:ascii="宋体" w:hAnsi="宋体" w:eastAsia="宋体" w:cs="宋体"/>
      <w:color w:val="FF0000"/>
      <w:sz w:val="20"/>
      <w:szCs w:val="20"/>
      <w:u w:val="none"/>
    </w:rPr>
  </w:style>
  <w:style w:type="character" w:customStyle="1" w:styleId="79">
    <w:name w:val="批注文字 Char"/>
    <w:qFormat/>
    <w:uiPriority w:val="0"/>
    <w:rPr>
      <w:rFonts w:eastAsia="宋体"/>
      <w:kern w:val="2"/>
      <w:sz w:val="21"/>
      <w:szCs w:val="24"/>
      <w:lang w:val="en-US" w:eastAsia="zh-CN" w:bidi="ar-SA"/>
    </w:rPr>
  </w:style>
  <w:style w:type="character" w:customStyle="1" w:styleId="80">
    <w:name w:val="font21"/>
    <w:qFormat/>
    <w:uiPriority w:val="0"/>
    <w:rPr>
      <w:rFonts w:hint="eastAsia" w:ascii="宋体" w:hAnsi="宋体" w:eastAsia="宋体" w:cs="宋体"/>
      <w:color w:val="000000"/>
      <w:sz w:val="20"/>
      <w:szCs w:val="20"/>
      <w:u w:val="none"/>
    </w:rPr>
  </w:style>
  <w:style w:type="character" w:customStyle="1" w:styleId="81">
    <w:name w:val="font91"/>
    <w:qFormat/>
    <w:uiPriority w:val="0"/>
    <w:rPr>
      <w:rFonts w:hint="eastAsia" w:ascii="宋体" w:hAnsi="宋体" w:eastAsia="宋体" w:cs="宋体"/>
      <w:color w:val="000000"/>
      <w:sz w:val="20"/>
      <w:szCs w:val="20"/>
      <w:u w:val="none"/>
    </w:rPr>
  </w:style>
  <w:style w:type="character" w:customStyle="1" w:styleId="82">
    <w:name w:val="font161"/>
    <w:qFormat/>
    <w:uiPriority w:val="0"/>
    <w:rPr>
      <w:b/>
      <w:bCs/>
      <w:sz w:val="32"/>
      <w:szCs w:val="32"/>
    </w:rPr>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文档结构图 Char1"/>
    <w:semiHidden/>
    <w:qFormat/>
    <w:uiPriority w:val="99"/>
    <w:rPr>
      <w:rFonts w:ascii="宋体" w:hAnsi="Times New Roman" w:eastAsia="宋体" w:cs="Times New Roman"/>
      <w:sz w:val="18"/>
      <w:szCs w:val="18"/>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纯文本 Char1"/>
    <w:semiHidden/>
    <w:qFormat/>
    <w:uiPriority w:val="99"/>
    <w:rPr>
      <w:rFonts w:ascii="宋体" w:hAnsi="Courier New" w:eastAsia="宋体" w:cs="Courier New"/>
      <w:szCs w:val="21"/>
    </w:rPr>
  </w:style>
  <w:style w:type="character" w:customStyle="1" w:styleId="87">
    <w:name w:val="正文首行缩进 Char1"/>
    <w:semiHidden/>
    <w:qFormat/>
    <w:uiPriority w:val="99"/>
    <w:rPr>
      <w:rFonts w:ascii="Times New Roman" w:hAnsi="Times New Roman" w:eastAsia="宋体" w:cs="Times New Roman"/>
      <w:szCs w:val="24"/>
    </w:rPr>
  </w:style>
  <w:style w:type="character" w:customStyle="1" w:styleId="88">
    <w:name w:val="批注主题 Char1"/>
    <w:semiHidden/>
    <w:qFormat/>
    <w:uiPriority w:val="99"/>
    <w:rPr>
      <w:rFonts w:ascii="Times New Roman" w:hAnsi="Times New Roman" w:eastAsia="宋体" w:cs="Times New Roman"/>
      <w:b/>
      <w:bCs/>
      <w:szCs w:val="24"/>
    </w:rPr>
  </w:style>
  <w:style w:type="character" w:customStyle="1" w:styleId="89">
    <w:name w:val="页眉 Char1"/>
    <w:semiHidden/>
    <w:qFormat/>
    <w:uiPriority w:val="99"/>
    <w:rPr>
      <w:rFonts w:ascii="Times New Roman" w:hAnsi="Times New Roman" w:eastAsia="宋体" w:cs="Times New Roman"/>
      <w:sz w:val="18"/>
      <w:szCs w:val="18"/>
    </w:rPr>
  </w:style>
  <w:style w:type="paragraph" w:customStyle="1" w:styleId="90">
    <w:name w:val="样式 标题 3 + (中文) 黑体 小四 非加粗 段前: 7.8 磅 段后: 0 磅 行距: 固定值 20 磅"/>
    <w:basedOn w:val="5"/>
    <w:qFormat/>
    <w:uiPriority w:val="0"/>
    <w:pPr>
      <w:spacing w:before="0" w:after="0" w:line="400" w:lineRule="exact"/>
    </w:pPr>
    <w:rPr>
      <w:rFonts w:cs="宋体"/>
      <w:bCs w:val="0"/>
      <w:sz w:val="24"/>
      <w:szCs w:val="20"/>
    </w:rPr>
  </w:style>
  <w:style w:type="paragraph" w:styleId="91">
    <w:name w:val="List Paragraph"/>
    <w:basedOn w:val="1"/>
    <w:qFormat/>
    <w:uiPriority w:val="99"/>
    <w:pPr>
      <w:ind w:firstLine="420" w:firstLineChars="200"/>
    </w:pPr>
  </w:style>
  <w:style w:type="paragraph" w:customStyle="1" w:styleId="92">
    <w:name w:val="表格文字"/>
    <w:basedOn w:val="1"/>
    <w:qFormat/>
    <w:uiPriority w:val="0"/>
    <w:pPr>
      <w:adjustRightInd w:val="0"/>
      <w:spacing w:line="420" w:lineRule="atLeast"/>
      <w:jc w:val="left"/>
      <w:textAlignment w:val="baseline"/>
    </w:pPr>
    <w:rPr>
      <w:kern w:val="0"/>
      <w:szCs w:val="20"/>
    </w:rPr>
  </w:style>
  <w:style w:type="paragraph" w:customStyle="1" w:styleId="93">
    <w:name w:val="Char"/>
    <w:basedOn w:val="1"/>
    <w:qFormat/>
    <w:uiPriority w:val="0"/>
    <w:pPr>
      <w:tabs>
        <w:tab w:val="left" w:pos="360"/>
      </w:tabs>
    </w:pPr>
    <w:rPr>
      <w:sz w:val="24"/>
    </w:rPr>
  </w:style>
  <w:style w:type="paragraph" w:customStyle="1" w:styleId="9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文二"/>
    <w:basedOn w:val="1"/>
    <w:qFormat/>
    <w:uiPriority w:val="0"/>
    <w:pPr>
      <w:jc w:val="left"/>
    </w:pPr>
    <w:rPr>
      <w:rFonts w:ascii="宋体" w:hAnsi="宋体"/>
      <w:szCs w:val="21"/>
    </w:rPr>
  </w:style>
  <w:style w:type="paragraph" w:customStyle="1" w:styleId="97">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Cs w:val="0"/>
      <w:sz w:val="32"/>
      <w:szCs w:val="20"/>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9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0">
    <w:name w:val="样式2"/>
    <w:basedOn w:val="5"/>
    <w:qFormat/>
    <w:uiPriority w:val="0"/>
    <w:rPr>
      <w:i/>
    </w:rPr>
  </w:style>
  <w:style w:type="paragraph" w:customStyle="1" w:styleId="101">
    <w:name w:val="修订1"/>
    <w:qFormat/>
    <w:uiPriority w:val="0"/>
    <w:rPr>
      <w:rFonts w:ascii="Times New Roman" w:hAnsi="Times New Roman" w:eastAsia="宋体" w:cs="Times New Roman"/>
      <w:kern w:val="2"/>
      <w:sz w:val="21"/>
      <w:szCs w:val="24"/>
      <w:lang w:val="en-US" w:eastAsia="zh-CN" w:bidi="ar-SA"/>
    </w:rPr>
  </w:style>
  <w:style w:type="paragraph" w:customStyle="1" w:styleId="102">
    <w:name w:val="1"/>
    <w:basedOn w:val="1"/>
    <w:qFormat/>
    <w:uiPriority w:val="0"/>
  </w:style>
  <w:style w:type="paragraph" w:customStyle="1" w:styleId="103">
    <w:name w:val="样式1"/>
    <w:basedOn w:val="1"/>
    <w:next w:val="6"/>
    <w:qFormat/>
    <w:uiPriority w:val="0"/>
    <w:pPr>
      <w:spacing w:line="360" w:lineRule="auto"/>
      <w:ind w:firstLine="420" w:firstLineChars="200"/>
    </w:pPr>
    <w:rPr>
      <w:rFonts w:ascii="宋体" w:hAnsi="宋体"/>
      <w:szCs w:val="21"/>
    </w:rPr>
  </w:style>
  <w:style w:type="paragraph" w:customStyle="1" w:styleId="104">
    <w:name w:val="发文落款"/>
    <w:basedOn w:val="98"/>
    <w:qFormat/>
    <w:uiPriority w:val="0"/>
    <w:pPr>
      <w:ind w:left="4094" w:right="607" w:firstLine="0"/>
      <w:jc w:val="center"/>
    </w:pPr>
  </w:style>
  <w:style w:type="paragraph" w:customStyle="1" w:styleId="105">
    <w:name w:val="Char1"/>
    <w:basedOn w:val="1"/>
    <w:qFormat/>
    <w:uiPriority w:val="0"/>
    <w:pPr>
      <w:tabs>
        <w:tab w:val="left" w:pos="360"/>
      </w:tabs>
    </w:pPr>
    <w:rPr>
      <w:sz w:val="24"/>
    </w:rPr>
  </w:style>
  <w:style w:type="paragraph" w:customStyle="1" w:styleId="106">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107">
    <w:name w:val="正文 New New"/>
    <w:qFormat/>
    <w:uiPriority w:val="0"/>
    <w:pPr>
      <w:widowControl w:val="0"/>
      <w:jc w:val="both"/>
    </w:pPr>
    <w:rPr>
      <w:rFonts w:ascii="Calibri" w:hAnsi="Calibri" w:eastAsia="Calibri" w:cs="Times New Roman"/>
      <w:kern w:val="2"/>
      <w:sz w:val="30"/>
      <w:szCs w:val="24"/>
      <w:lang w:val="en-US" w:eastAsia="zh-CN" w:bidi="ar-SA"/>
    </w:rPr>
  </w:style>
  <w:style w:type="paragraph" w:customStyle="1" w:styleId="108">
    <w:name w:val="正文4"/>
    <w:qFormat/>
    <w:uiPriority w:val="0"/>
    <w:pPr>
      <w:widowControl w:val="0"/>
      <w:jc w:val="both"/>
    </w:pPr>
    <w:rPr>
      <w:rFonts w:ascii="Calibri" w:hAnsi="Calibri" w:eastAsia="Calibri" w:cs="Times New Roman"/>
      <w:kern w:val="2"/>
      <w:sz w:val="21"/>
      <w:szCs w:val="21"/>
      <w:lang w:val="en-US" w:eastAsia="zh-CN" w:bidi="ar-SA"/>
    </w:rPr>
  </w:style>
  <w:style w:type="paragraph" w:customStyle="1" w:styleId="109">
    <w:name w:val="Other|1"/>
    <w:basedOn w:val="1"/>
    <w:qFormat/>
    <w:uiPriority w:val="0"/>
    <w:pPr>
      <w:spacing w:line="228" w:lineRule="exact"/>
    </w:pPr>
    <w:rPr>
      <w:rFonts w:ascii="宋体" w:hAnsi="宋体" w:cs="宋体"/>
      <w:sz w:val="17"/>
      <w:szCs w:val="17"/>
      <w:lang w:val="zh-TW" w:eastAsia="zh-TW" w:bidi="zh-TW"/>
    </w:rPr>
  </w:style>
  <w:style w:type="character" w:customStyle="1" w:styleId="110">
    <w:name w:val="NormalCharacter"/>
    <w:qFormat/>
    <w:uiPriority w:val="0"/>
  </w:style>
  <w:style w:type="paragraph" w:customStyle="1" w:styleId="111">
    <w:name w:val="表头"/>
    <w:basedOn w:val="1"/>
    <w:qFormat/>
    <w:uiPriority w:val="0"/>
    <w:pPr>
      <w:spacing w:line="360" w:lineRule="auto"/>
      <w:jc w:val="center"/>
    </w:pPr>
    <w:rPr>
      <w:rFonts w:ascii="黑体" w:eastAsia="黑体"/>
      <w:kern w:val="0"/>
      <w:sz w:val="24"/>
      <w:szCs w:val="20"/>
    </w:rPr>
  </w:style>
  <w:style w:type="paragraph" w:customStyle="1" w:styleId="112">
    <w:name w:val="样式 标题 1 + 左侧:  4.44 厘米 首行缩进:  0 厘米"/>
    <w:basedOn w:val="3"/>
    <w:qFormat/>
    <w:uiPriority w:val="0"/>
    <w:pPr>
      <w:ind w:left="2520"/>
    </w:pPr>
    <w:rPr>
      <w:rFonts w:cs="宋体"/>
      <w:szCs w:val="20"/>
    </w:rPr>
  </w:style>
  <w:style w:type="paragraph" w:customStyle="1" w:styleId="113">
    <w:name w:val="章节三"/>
    <w:basedOn w:val="1"/>
    <w:next w:val="1"/>
    <w:qFormat/>
    <w:uiPriority w:val="0"/>
    <w:pPr>
      <w:topLinePunct/>
      <w:adjustRightInd w:val="0"/>
      <w:snapToGrid w:val="0"/>
      <w:spacing w:beforeLines="50" w:afterLines="50"/>
      <w:jc w:val="left"/>
      <w:outlineLvl w:val="2"/>
    </w:pPr>
    <w:rPr>
      <w:rFonts w:ascii="黑体" w:hAnsi="宋体" w:eastAsia="黑体"/>
      <w:b/>
      <w:snapToGrid w:val="0"/>
      <w:spacing w:val="4"/>
      <w:sz w:val="24"/>
    </w:rPr>
  </w:style>
  <w:style w:type="paragraph" w:customStyle="1" w:styleId="114">
    <w:name w:val="文一"/>
    <w:basedOn w:val="1"/>
    <w:qFormat/>
    <w:uiPriority w:val="0"/>
    <w:pPr>
      <w:topLinePunct/>
      <w:adjustRightInd w:val="0"/>
      <w:snapToGrid w:val="0"/>
      <w:spacing w:line="360" w:lineRule="auto"/>
      <w:ind w:firstLine="200" w:firstLineChars="200"/>
    </w:pPr>
    <w:rPr>
      <w:rFonts w:ascii="等线" w:hAnsi="等线" w:eastAsia="等线"/>
      <w:spacing w:val="4"/>
      <w:sz w:val="24"/>
    </w:rPr>
  </w:style>
  <w:style w:type="paragraph" w:customStyle="1" w:styleId="115">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customStyle="1" w:styleId="116">
    <w:name w:val="_Style 8"/>
    <w:basedOn w:val="1"/>
    <w:next w:val="91"/>
    <w:qFormat/>
    <w:uiPriority w:val="1"/>
  </w:style>
  <w:style w:type="paragraph" w:customStyle="1" w:styleId="117">
    <w:name w:val="_Style 130"/>
    <w:basedOn w:val="18"/>
    <w:next w:val="39"/>
    <w:qFormat/>
    <w:uiPriority w:val="0"/>
    <w:pPr>
      <w:ind w:firstLine="420" w:firstLineChars="200"/>
    </w:pPr>
    <w:rPr>
      <w:kern w:val="0"/>
      <w:sz w:val="20"/>
    </w:rPr>
  </w:style>
  <w:style w:type="paragraph" w:customStyle="1" w:styleId="118">
    <w:name w:val="样式 宋体 行距: 1.5 倍行距"/>
    <w:basedOn w:val="1"/>
    <w:qFormat/>
    <w:uiPriority w:val="0"/>
    <w:pPr>
      <w:jc w:val="center"/>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4845</Words>
  <Characters>27620</Characters>
  <Lines>230</Lines>
  <Paragraphs>64</Paragraphs>
  <TotalTime>0</TotalTime>
  <ScaleCrop>false</ScaleCrop>
  <LinksUpToDate>false</LinksUpToDate>
  <CharactersWithSpaces>32401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2024-10-06T16:56:00Z</dcterms:created>
  <dc:creator>HP</dc:creator>
  <cp:lastModifiedBy>D</cp:lastModifiedBy>
  <dcterms:modified xsi:type="dcterms:W3CDTF">2024-10-21T08:14:06Z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1D49E28E41CE4ACF9F6A9223509A45D3</vt:lpwstr>
  </property>
</Properties>
</file>