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4D6A6">
      <w:pPr>
        <w:autoSpaceDE w:val="0"/>
        <w:autoSpaceDN w:val="0"/>
        <w:adjustRightInd w:val="0"/>
        <w:spacing w:before="10" w:line="130" w:lineRule="exact"/>
        <w:jc w:val="left"/>
        <w:rPr>
          <w:rFonts w:hint="eastAsia" w:asciiTheme="minorEastAsia" w:hAnsiTheme="minorEastAsia" w:eastAsiaTheme="minorEastAsia"/>
          <w:kern w:val="0"/>
          <w:sz w:val="13"/>
          <w:szCs w:val="13"/>
        </w:rPr>
      </w:pPr>
    </w:p>
    <w:p w14:paraId="3A5C85AD">
      <w:pPr>
        <w:rPr>
          <w:rFonts w:hint="eastAsia" w:asciiTheme="minorEastAsia" w:hAnsiTheme="minorEastAsia" w:eastAsiaTheme="minorEastAsia"/>
        </w:rPr>
      </w:pPr>
      <w:bookmarkStart w:id="0" w:name="_Hlk85126742"/>
    </w:p>
    <w:p w14:paraId="69AB4566">
      <w:pPr>
        <w:rPr>
          <w:rFonts w:hint="eastAsia" w:asciiTheme="minorEastAsia" w:hAnsiTheme="minorEastAsia" w:eastAsiaTheme="minorEastAsia"/>
        </w:rPr>
      </w:pPr>
    </w:p>
    <w:p w14:paraId="10A61AB2">
      <w:pPr>
        <w:rPr>
          <w:rFonts w:hint="eastAsia" w:asciiTheme="minorEastAsia" w:hAnsiTheme="minorEastAsia" w:eastAsiaTheme="minorEastAsia"/>
        </w:rPr>
      </w:pPr>
    </w:p>
    <w:p w14:paraId="5B5C5299">
      <w:pPr>
        <w:rPr>
          <w:rFonts w:hint="eastAsia" w:asciiTheme="minorEastAsia" w:hAnsiTheme="minorEastAsia" w:eastAsiaTheme="minorEastAsia"/>
        </w:rPr>
      </w:pPr>
    </w:p>
    <w:p w14:paraId="5D8449E6">
      <w:pPr>
        <w:rPr>
          <w:rFonts w:hint="eastAsia" w:asciiTheme="minorEastAsia" w:hAnsiTheme="minorEastAsia" w:eastAsiaTheme="minorEastAsia"/>
        </w:rPr>
      </w:pPr>
    </w:p>
    <w:p w14:paraId="6A70889E">
      <w:pPr>
        <w:autoSpaceDE w:val="0"/>
        <w:autoSpaceDN w:val="0"/>
        <w:adjustRightInd w:val="0"/>
        <w:jc w:val="center"/>
        <w:rPr>
          <w:rFonts w:hint="eastAsia" w:asciiTheme="minorEastAsia" w:hAnsiTheme="minorEastAsia" w:eastAsiaTheme="minorEastAsia"/>
          <w:kern w:val="0"/>
          <w:position w:val="-5"/>
          <w:sz w:val="36"/>
          <w:szCs w:val="36"/>
          <w:lang w:eastAsia="zh-CN"/>
        </w:rPr>
      </w:pPr>
      <w:r>
        <w:rPr>
          <w:rFonts w:hint="eastAsia" w:asciiTheme="minorEastAsia" w:hAnsiTheme="minorEastAsia" w:eastAsiaTheme="minorEastAsia"/>
          <w:b/>
          <w:sz w:val="44"/>
          <w:szCs w:val="44"/>
          <w:lang w:eastAsia="zh-CN"/>
        </w:rPr>
        <w:t>清塘路三期(和瑞路-镜塘路)工程勘察设计</w:t>
      </w:r>
    </w:p>
    <w:p w14:paraId="1083EB22">
      <w:pPr>
        <w:autoSpaceDE w:val="0"/>
        <w:autoSpaceDN w:val="0"/>
        <w:adjustRightInd w:val="0"/>
        <w:spacing w:line="200" w:lineRule="exact"/>
        <w:jc w:val="left"/>
        <w:rPr>
          <w:rFonts w:hint="eastAsia" w:asciiTheme="minorEastAsia" w:hAnsiTheme="minorEastAsia" w:eastAsiaTheme="minorEastAsia"/>
          <w:kern w:val="0"/>
          <w:position w:val="-5"/>
          <w:sz w:val="36"/>
          <w:szCs w:val="36"/>
        </w:rPr>
      </w:pPr>
    </w:p>
    <w:p w14:paraId="6A29605E">
      <w:pPr>
        <w:autoSpaceDE w:val="0"/>
        <w:autoSpaceDN w:val="0"/>
        <w:adjustRightInd w:val="0"/>
        <w:spacing w:line="200" w:lineRule="exact"/>
        <w:jc w:val="left"/>
        <w:rPr>
          <w:rFonts w:hint="eastAsia" w:asciiTheme="minorEastAsia" w:hAnsiTheme="minorEastAsia" w:eastAsiaTheme="minorEastAsia"/>
          <w:kern w:val="0"/>
          <w:position w:val="-5"/>
          <w:sz w:val="36"/>
          <w:szCs w:val="36"/>
        </w:rPr>
      </w:pPr>
    </w:p>
    <w:p w14:paraId="5392D72F">
      <w:pPr>
        <w:jc w:val="center"/>
        <w:rPr>
          <w:rFonts w:hint="eastAsia" w:asciiTheme="minorEastAsia" w:hAnsiTheme="minorEastAsia" w:eastAsiaTheme="minorEastAsia"/>
          <w:sz w:val="24"/>
        </w:rPr>
      </w:pPr>
    </w:p>
    <w:p w14:paraId="7F23AD3C">
      <w:pPr>
        <w:rPr>
          <w:rFonts w:hint="eastAsia" w:asciiTheme="minorEastAsia" w:hAnsiTheme="minorEastAsia" w:eastAsiaTheme="minorEastAsia"/>
        </w:rPr>
      </w:pPr>
    </w:p>
    <w:p w14:paraId="0831EE95">
      <w:pPr>
        <w:rPr>
          <w:rFonts w:hint="eastAsia" w:asciiTheme="minorEastAsia" w:hAnsiTheme="minorEastAsia" w:eastAsiaTheme="minorEastAsia"/>
        </w:rPr>
      </w:pPr>
    </w:p>
    <w:p w14:paraId="2473ADDC">
      <w:pPr>
        <w:rPr>
          <w:rFonts w:hint="eastAsia" w:asciiTheme="minorEastAsia" w:hAnsiTheme="minorEastAsia" w:eastAsiaTheme="minorEastAsia"/>
        </w:rPr>
      </w:pPr>
    </w:p>
    <w:p w14:paraId="1EE1D74C">
      <w:pPr>
        <w:rPr>
          <w:rFonts w:hint="eastAsia" w:asciiTheme="minorEastAsia" w:hAnsiTheme="minorEastAsia" w:eastAsiaTheme="minorEastAsia"/>
        </w:rPr>
      </w:pPr>
    </w:p>
    <w:p w14:paraId="4341A832">
      <w:pPr>
        <w:rPr>
          <w:rFonts w:hint="eastAsia" w:asciiTheme="minorEastAsia" w:hAnsiTheme="minorEastAsia" w:eastAsiaTheme="minorEastAsia"/>
        </w:rPr>
      </w:pPr>
    </w:p>
    <w:p w14:paraId="29A0B87F">
      <w:pPr>
        <w:rPr>
          <w:rFonts w:hint="eastAsia" w:asciiTheme="minorEastAsia" w:hAnsiTheme="minorEastAsia" w:eastAsiaTheme="minorEastAsia"/>
        </w:rPr>
      </w:pPr>
    </w:p>
    <w:p w14:paraId="0105BAA6">
      <w:pPr>
        <w:jc w:val="center"/>
        <w:rPr>
          <w:rFonts w:hint="eastAsia" w:asciiTheme="minorEastAsia" w:hAnsiTheme="minorEastAsia" w:eastAsiaTheme="minorEastAsia"/>
          <w:b/>
          <w:spacing w:val="40"/>
          <w:sz w:val="72"/>
          <w:szCs w:val="72"/>
        </w:rPr>
      </w:pPr>
      <w:r>
        <w:rPr>
          <w:rFonts w:hint="eastAsia" w:asciiTheme="minorEastAsia" w:hAnsiTheme="minorEastAsia" w:eastAsiaTheme="minorEastAsia"/>
          <w:b/>
          <w:spacing w:val="40"/>
          <w:sz w:val="72"/>
          <w:szCs w:val="72"/>
        </w:rPr>
        <w:t>招标公告</w:t>
      </w:r>
    </w:p>
    <w:p w14:paraId="31738F46">
      <w:pPr>
        <w:rPr>
          <w:rFonts w:hint="eastAsia" w:asciiTheme="minorEastAsia" w:hAnsiTheme="minorEastAsia" w:eastAsiaTheme="minorEastAsia"/>
        </w:rPr>
      </w:pPr>
    </w:p>
    <w:p w14:paraId="512D9A08">
      <w:pPr>
        <w:rPr>
          <w:rFonts w:hint="eastAsia" w:asciiTheme="minorEastAsia" w:hAnsiTheme="minorEastAsia" w:eastAsiaTheme="minorEastAsia"/>
        </w:rPr>
      </w:pPr>
    </w:p>
    <w:p w14:paraId="0F087799">
      <w:pPr>
        <w:rPr>
          <w:rFonts w:hint="eastAsia" w:asciiTheme="minorEastAsia" w:hAnsiTheme="minorEastAsia" w:eastAsiaTheme="minorEastAsia"/>
        </w:rPr>
      </w:pPr>
    </w:p>
    <w:p w14:paraId="3560D36C">
      <w:pPr>
        <w:rPr>
          <w:rFonts w:hint="eastAsia" w:asciiTheme="minorEastAsia" w:hAnsiTheme="minorEastAsia" w:eastAsiaTheme="minorEastAsia"/>
        </w:rPr>
      </w:pPr>
    </w:p>
    <w:p w14:paraId="785E9254">
      <w:pPr>
        <w:rPr>
          <w:rFonts w:hint="eastAsia" w:asciiTheme="minorEastAsia" w:hAnsiTheme="minorEastAsia" w:eastAsiaTheme="minorEastAsia"/>
        </w:rPr>
      </w:pPr>
    </w:p>
    <w:p w14:paraId="01931C46">
      <w:pPr>
        <w:rPr>
          <w:rFonts w:hint="eastAsia" w:asciiTheme="minorEastAsia" w:hAnsiTheme="minorEastAsia" w:eastAsiaTheme="minorEastAsia"/>
        </w:rPr>
      </w:pPr>
    </w:p>
    <w:p w14:paraId="7EF7AB6A">
      <w:pPr>
        <w:rPr>
          <w:rFonts w:hint="eastAsia" w:asciiTheme="minorEastAsia" w:hAnsiTheme="minorEastAsia" w:eastAsiaTheme="minorEastAsia"/>
        </w:rPr>
      </w:pPr>
    </w:p>
    <w:p w14:paraId="35FC2F11">
      <w:pPr>
        <w:rPr>
          <w:rFonts w:hint="eastAsia" w:asciiTheme="minorEastAsia" w:hAnsiTheme="minorEastAsia" w:eastAsiaTheme="minorEastAsia"/>
        </w:rPr>
      </w:pPr>
    </w:p>
    <w:p w14:paraId="1296DE00">
      <w:pPr>
        <w:rPr>
          <w:rFonts w:hint="eastAsia" w:asciiTheme="minorEastAsia" w:hAnsiTheme="minorEastAsia" w:eastAsiaTheme="minorEastAsia"/>
        </w:rPr>
      </w:pPr>
    </w:p>
    <w:p w14:paraId="089668EA">
      <w:pPr>
        <w:rPr>
          <w:rFonts w:hint="eastAsia" w:asciiTheme="minorEastAsia" w:hAnsiTheme="minorEastAsia" w:eastAsiaTheme="minorEastAsia"/>
        </w:rPr>
      </w:pPr>
    </w:p>
    <w:p w14:paraId="5C2FC60D">
      <w:pPr>
        <w:rPr>
          <w:rFonts w:hint="eastAsia" w:asciiTheme="minorEastAsia" w:hAnsiTheme="minorEastAsia" w:eastAsiaTheme="minorEastAsia"/>
        </w:rPr>
      </w:pPr>
    </w:p>
    <w:p w14:paraId="04690F0D">
      <w:pPr>
        <w:rPr>
          <w:rFonts w:hint="eastAsia" w:asciiTheme="minorEastAsia" w:hAnsiTheme="minorEastAsia" w:eastAsiaTheme="minorEastAsia"/>
        </w:rPr>
      </w:pPr>
    </w:p>
    <w:p w14:paraId="74270788">
      <w:pPr>
        <w:rPr>
          <w:rFonts w:hint="eastAsia" w:asciiTheme="minorEastAsia" w:hAnsiTheme="minorEastAsia" w:eastAsiaTheme="minorEastAsia"/>
        </w:rPr>
      </w:pPr>
    </w:p>
    <w:p w14:paraId="33471294">
      <w:pPr>
        <w:rPr>
          <w:rFonts w:hint="eastAsia" w:asciiTheme="minorEastAsia" w:hAnsiTheme="minorEastAsia" w:eastAsiaTheme="minorEastAsia"/>
        </w:rPr>
      </w:pPr>
    </w:p>
    <w:p w14:paraId="06AC88D6">
      <w:pPr>
        <w:spacing w:line="360" w:lineRule="auto"/>
        <w:ind w:firstLine="1560" w:firstLineChars="518"/>
        <w:rPr>
          <w:rFonts w:hint="eastAsia" w:cs="宋体" w:asciiTheme="minorEastAsia" w:hAnsiTheme="minorEastAsia" w:eastAsiaTheme="minorEastAsia"/>
          <w:b/>
          <w:sz w:val="30"/>
          <w:szCs w:val="30"/>
        </w:rPr>
      </w:pPr>
      <w:r>
        <w:rPr>
          <w:rFonts w:hint="eastAsia" w:cs="宋体" w:asciiTheme="minorEastAsia" w:hAnsiTheme="minorEastAsia" w:eastAsiaTheme="minorEastAsia"/>
          <w:b/>
          <w:sz w:val="30"/>
          <w:szCs w:val="30"/>
        </w:rPr>
        <w:t>招  标 单 位：</w:t>
      </w:r>
      <w:r>
        <w:rPr>
          <w:rFonts w:hint="eastAsia" w:cs="宋体" w:asciiTheme="minorEastAsia" w:hAnsiTheme="minorEastAsia" w:eastAsiaTheme="minorEastAsia"/>
          <w:b/>
          <w:sz w:val="30"/>
          <w:szCs w:val="30"/>
          <w:u w:val="single"/>
        </w:rPr>
        <w:t>广州空港建设运营集团有限公司</w:t>
      </w:r>
    </w:p>
    <w:p w14:paraId="2323E802">
      <w:pPr>
        <w:spacing w:line="360" w:lineRule="auto"/>
        <w:ind w:firstLine="1560" w:firstLineChars="518"/>
        <w:rPr>
          <w:rFonts w:hint="eastAsia" w:cs="宋体" w:asciiTheme="minorEastAsia" w:hAnsiTheme="minorEastAsia" w:eastAsiaTheme="minorEastAsia"/>
          <w:b/>
          <w:sz w:val="30"/>
          <w:szCs w:val="30"/>
        </w:rPr>
      </w:pPr>
      <w:r>
        <w:rPr>
          <w:rFonts w:hint="eastAsia" w:cs="宋体" w:asciiTheme="minorEastAsia" w:hAnsiTheme="minorEastAsia" w:eastAsiaTheme="minorEastAsia"/>
          <w:b/>
          <w:sz w:val="30"/>
          <w:szCs w:val="30"/>
        </w:rPr>
        <w:t>招标代理单位：</w:t>
      </w:r>
      <w:r>
        <w:rPr>
          <w:rFonts w:hint="eastAsia" w:cs="宋体" w:asciiTheme="minorEastAsia" w:hAnsiTheme="minorEastAsia" w:eastAsiaTheme="minorEastAsia"/>
          <w:b/>
          <w:sz w:val="30"/>
          <w:szCs w:val="30"/>
          <w:u w:val="single"/>
        </w:rPr>
        <w:t>广东省建筑工程监理有限公司</w:t>
      </w:r>
    </w:p>
    <w:p w14:paraId="0B249DCE">
      <w:pPr>
        <w:spacing w:line="360" w:lineRule="auto"/>
        <w:ind w:firstLine="1560" w:firstLineChars="518"/>
        <w:rPr>
          <w:rFonts w:hint="eastAsia" w:cs="宋体" w:asciiTheme="minorEastAsia" w:hAnsiTheme="minorEastAsia" w:eastAsiaTheme="minorEastAsia"/>
          <w:b/>
          <w:sz w:val="30"/>
          <w:szCs w:val="30"/>
          <w:u w:val="single"/>
        </w:rPr>
      </w:pPr>
      <w:r>
        <w:rPr>
          <w:rFonts w:hint="eastAsia" w:cs="宋体" w:asciiTheme="minorEastAsia" w:hAnsiTheme="minorEastAsia" w:eastAsiaTheme="minorEastAsia"/>
          <w:b/>
          <w:sz w:val="30"/>
          <w:szCs w:val="30"/>
        </w:rPr>
        <w:t>日        期：</w:t>
      </w:r>
      <w:r>
        <w:rPr>
          <w:rFonts w:hint="eastAsia" w:cs="宋体" w:asciiTheme="minorEastAsia" w:hAnsiTheme="minorEastAsia" w:eastAsiaTheme="minorEastAsia"/>
          <w:b/>
          <w:sz w:val="30"/>
          <w:szCs w:val="30"/>
          <w:u w:val="single"/>
        </w:rPr>
        <w:t>2024</w:t>
      </w:r>
      <w:r>
        <w:rPr>
          <w:rFonts w:hint="eastAsia" w:cs="宋体" w:asciiTheme="minorEastAsia" w:hAnsiTheme="minorEastAsia" w:eastAsiaTheme="minorEastAsia"/>
          <w:b/>
          <w:sz w:val="30"/>
          <w:szCs w:val="30"/>
        </w:rPr>
        <w:t>年</w:t>
      </w:r>
      <w:r>
        <w:rPr>
          <w:rFonts w:hint="eastAsia" w:cs="宋体" w:asciiTheme="minorEastAsia" w:hAnsiTheme="minorEastAsia" w:eastAsiaTheme="minorEastAsia"/>
          <w:b/>
          <w:sz w:val="30"/>
          <w:szCs w:val="30"/>
          <w:u w:val="single"/>
          <w:lang w:val="en-US" w:eastAsia="zh-CN"/>
        </w:rPr>
        <w:t>10</w:t>
      </w:r>
      <w:r>
        <w:rPr>
          <w:rFonts w:hint="eastAsia" w:cs="宋体" w:asciiTheme="minorEastAsia" w:hAnsiTheme="minorEastAsia" w:eastAsiaTheme="minorEastAsia"/>
          <w:b/>
          <w:sz w:val="30"/>
          <w:szCs w:val="30"/>
        </w:rPr>
        <w:t>月</w:t>
      </w:r>
    </w:p>
    <w:p w14:paraId="467EA861">
      <w:pPr>
        <w:spacing w:line="360" w:lineRule="auto"/>
        <w:jc w:val="center"/>
        <w:rPr>
          <w:rFonts w:hint="eastAsia" w:asciiTheme="minorEastAsia" w:hAnsiTheme="minorEastAsia" w:eastAsiaTheme="minorEastAsia"/>
          <w:b/>
          <w:bCs/>
        </w:rPr>
      </w:pPr>
    </w:p>
    <w:p w14:paraId="03095A20">
      <w:pPr>
        <w:pStyle w:val="9"/>
        <w:rPr>
          <w:rFonts w:hint="eastAsia" w:asciiTheme="minorEastAsia" w:hAnsiTheme="minorEastAsia" w:eastAsiaTheme="minorEastAsia"/>
        </w:rPr>
      </w:pPr>
      <w:r>
        <w:rPr>
          <w:rFonts w:asciiTheme="minorEastAsia" w:hAnsiTheme="minorEastAsia" w:eastAsiaTheme="minorEastAsia"/>
        </w:rPr>
        <w:br w:type="page"/>
      </w:r>
    </w:p>
    <w:bookmarkEnd w:id="0"/>
    <w:p w14:paraId="0670F811">
      <w:pPr>
        <w:autoSpaceDE w:val="0"/>
        <w:autoSpaceDN w:val="0"/>
        <w:adjustRightInd w:val="0"/>
        <w:spacing w:before="12" w:line="360" w:lineRule="auto"/>
        <w:jc w:val="center"/>
        <w:rPr>
          <w:rFonts w:hint="eastAsia" w:asciiTheme="minorEastAsia" w:hAnsiTheme="minorEastAsia" w:eastAsiaTheme="minorEastAsia"/>
          <w:b/>
          <w:kern w:val="0"/>
          <w:position w:val="-5"/>
          <w:sz w:val="28"/>
          <w:szCs w:val="28"/>
        </w:rPr>
      </w:pPr>
      <w:r>
        <w:rPr>
          <w:rFonts w:hint="eastAsia" w:asciiTheme="minorEastAsia" w:hAnsiTheme="minorEastAsia" w:eastAsiaTheme="minorEastAsia"/>
          <w:b/>
          <w:kern w:val="0"/>
          <w:position w:val="-5"/>
          <w:sz w:val="28"/>
          <w:szCs w:val="28"/>
        </w:rPr>
        <w:t>清塘路三期(和瑞路-镜塘路)工程勘察设计</w:t>
      </w:r>
    </w:p>
    <w:p w14:paraId="4E5AA597">
      <w:pPr>
        <w:autoSpaceDE w:val="0"/>
        <w:autoSpaceDN w:val="0"/>
        <w:adjustRightInd w:val="0"/>
        <w:spacing w:before="12" w:line="360" w:lineRule="auto"/>
        <w:jc w:val="center"/>
        <w:rPr>
          <w:rFonts w:hint="eastAsia" w:asciiTheme="minorEastAsia" w:hAnsiTheme="minorEastAsia" w:eastAsiaTheme="minorEastAsia"/>
          <w:b/>
          <w:kern w:val="0"/>
          <w:position w:val="-5"/>
          <w:sz w:val="28"/>
          <w:szCs w:val="28"/>
          <w:u w:val="single"/>
        </w:rPr>
      </w:pPr>
      <w:r>
        <w:rPr>
          <w:rFonts w:hint="eastAsia" w:asciiTheme="minorEastAsia" w:hAnsiTheme="minorEastAsia" w:eastAsiaTheme="minorEastAsia"/>
          <w:b/>
          <w:kern w:val="0"/>
          <w:position w:val="-5"/>
          <w:sz w:val="28"/>
          <w:szCs w:val="28"/>
        </w:rPr>
        <w:t>招标</w:t>
      </w:r>
      <w:r>
        <w:rPr>
          <w:rFonts w:hint="eastAsia" w:asciiTheme="minorEastAsia" w:hAnsiTheme="minorEastAsia" w:eastAsiaTheme="minorEastAsia"/>
          <w:b/>
          <w:spacing w:val="-2"/>
          <w:kern w:val="0"/>
          <w:position w:val="-5"/>
          <w:sz w:val="28"/>
          <w:szCs w:val="28"/>
        </w:rPr>
        <w:t>公</w:t>
      </w:r>
      <w:r>
        <w:rPr>
          <w:rFonts w:hint="eastAsia" w:asciiTheme="minorEastAsia" w:hAnsiTheme="minorEastAsia" w:eastAsiaTheme="minorEastAsia"/>
          <w:b/>
          <w:kern w:val="0"/>
          <w:position w:val="-5"/>
          <w:sz w:val="28"/>
          <w:szCs w:val="28"/>
        </w:rPr>
        <w:t>告</w:t>
      </w:r>
    </w:p>
    <w:p w14:paraId="4EB8105D">
      <w:pPr>
        <w:pStyle w:val="3"/>
        <w:spacing w:before="0" w:after="0" w:line="360" w:lineRule="auto"/>
        <w:rPr>
          <w:rFonts w:hint="eastAsia" w:ascii="宋体" w:hAnsi="宋体" w:cs="宋体"/>
          <w:b/>
          <w:sz w:val="24"/>
          <w:szCs w:val="24"/>
        </w:rPr>
      </w:pPr>
      <w:bookmarkStart w:id="1" w:name="_Toc25072048"/>
      <w:r>
        <w:rPr>
          <w:rFonts w:hint="eastAsia" w:ascii="宋体" w:hAnsi="宋体" w:cs="宋体"/>
          <w:b/>
          <w:spacing w:val="1"/>
          <w:sz w:val="24"/>
          <w:szCs w:val="24"/>
        </w:rPr>
        <w:t>1</w:t>
      </w:r>
      <w:r>
        <w:rPr>
          <w:rFonts w:hint="eastAsia" w:ascii="宋体" w:hAnsi="宋体" w:cs="宋体"/>
          <w:b/>
          <w:sz w:val="24"/>
          <w:szCs w:val="24"/>
        </w:rPr>
        <w:t>.招标条件</w:t>
      </w:r>
      <w:bookmarkEnd w:id="1"/>
    </w:p>
    <w:p w14:paraId="22356489">
      <w:pPr>
        <w:wordWrap w:val="0"/>
        <w:spacing w:line="360" w:lineRule="auto"/>
        <w:ind w:firstLine="480" w:firstLineChars="200"/>
        <w:rPr>
          <w:rFonts w:hint="eastAsia" w:ascii="宋体" w:hAnsi="宋体" w:cs="宋体"/>
          <w:color w:val="auto"/>
          <w:sz w:val="24"/>
          <w:highlight w:val="none"/>
        </w:rPr>
      </w:pPr>
      <w:bookmarkStart w:id="11" w:name="_GoBack"/>
      <w:r>
        <w:rPr>
          <w:rFonts w:hint="eastAsia" w:ascii="宋体" w:hAnsi="宋体" w:cs="宋体"/>
          <w:color w:val="auto"/>
          <w:sz w:val="24"/>
          <w:highlight w:val="none"/>
        </w:rPr>
        <w:t>本招标项目</w:t>
      </w:r>
      <w:r>
        <w:rPr>
          <w:rFonts w:hint="eastAsia" w:ascii="宋体" w:hAnsi="宋体" w:cs="宋体"/>
          <w:color w:val="auto"/>
          <w:sz w:val="24"/>
          <w:highlight w:val="none"/>
          <w:u w:val="single"/>
          <w:lang w:eastAsia="zh-CN"/>
        </w:rPr>
        <w:t>清塘路三期(和瑞路-镜塘路)工程勘察设计</w:t>
      </w:r>
      <w:r>
        <w:rPr>
          <w:rFonts w:hint="eastAsia" w:ascii="宋体" w:hAnsi="宋体" w:cs="宋体"/>
          <w:color w:val="auto"/>
          <w:sz w:val="24"/>
          <w:highlight w:val="none"/>
        </w:rPr>
        <w:t>由</w:t>
      </w:r>
      <w:r>
        <w:rPr>
          <w:rFonts w:hint="eastAsia" w:ascii="宋体" w:hAnsi="宋体" w:cs="宋体"/>
          <w:color w:val="auto"/>
          <w:sz w:val="24"/>
          <w:highlight w:val="none"/>
          <w:u w:val="single"/>
        </w:rPr>
        <w:t>《广州空港经济区政府投资近期实施计划(2024-2026年第一批）》的通知（穗空港委办发〔2024〕5号）</w:t>
      </w:r>
      <w:r>
        <w:rPr>
          <w:rFonts w:hint="eastAsia" w:ascii="宋体" w:hAnsi="宋体" w:cs="宋体"/>
          <w:color w:val="auto"/>
          <w:sz w:val="24"/>
          <w:highlight w:val="none"/>
          <w:u w:val="single"/>
        </w:rPr>
        <w:t>，项目代码：2405-440100-04-01-989877</w:t>
      </w:r>
      <w:r>
        <w:rPr>
          <w:rFonts w:hint="eastAsia" w:ascii="宋体" w:hAnsi="宋体" w:cs="宋体"/>
          <w:color w:val="auto"/>
          <w:sz w:val="24"/>
          <w:highlight w:val="none"/>
        </w:rPr>
        <w:t>批准开展建设，建设资金为</w:t>
      </w:r>
      <w:r>
        <w:rPr>
          <w:rFonts w:hint="eastAsia" w:ascii="宋体" w:hAnsi="宋体" w:cs="宋体"/>
          <w:color w:val="auto"/>
          <w:sz w:val="24"/>
          <w:highlight w:val="none"/>
          <w:u w:val="single"/>
        </w:rPr>
        <w:t xml:space="preserve"> 财政资金 </w:t>
      </w:r>
      <w:r>
        <w:rPr>
          <w:rFonts w:hint="eastAsia" w:ascii="宋体" w:hAnsi="宋体" w:cs="宋体"/>
          <w:color w:val="auto"/>
          <w:sz w:val="24"/>
          <w:highlight w:val="none"/>
        </w:rPr>
        <w:t>，出资比例为</w:t>
      </w:r>
      <w:r>
        <w:rPr>
          <w:rFonts w:hint="eastAsia" w:ascii="宋体" w:hAnsi="宋体" w:cs="宋体"/>
          <w:color w:val="auto"/>
          <w:sz w:val="24"/>
          <w:highlight w:val="none"/>
          <w:u w:val="single"/>
        </w:rPr>
        <w:t>100%</w:t>
      </w:r>
      <w:r>
        <w:rPr>
          <w:rFonts w:hint="eastAsia" w:ascii="宋体" w:hAnsi="宋体" w:cs="宋体"/>
          <w:color w:val="auto"/>
          <w:sz w:val="24"/>
          <w:highlight w:val="none"/>
        </w:rPr>
        <w:t>，招标人为</w:t>
      </w:r>
      <w:r>
        <w:rPr>
          <w:rFonts w:hint="eastAsia" w:ascii="宋体" w:hAnsi="宋体" w:cs="宋体"/>
          <w:color w:val="auto"/>
          <w:sz w:val="24"/>
          <w:highlight w:val="none"/>
          <w:u w:val="single"/>
        </w:rPr>
        <w:t>广州空港建设运营集团有限公司</w:t>
      </w:r>
      <w:r>
        <w:rPr>
          <w:rFonts w:hint="eastAsia" w:ascii="宋体" w:hAnsi="宋体" w:cs="宋体"/>
          <w:color w:val="auto"/>
          <w:sz w:val="24"/>
          <w:highlight w:val="none"/>
        </w:rPr>
        <w:t>。项目已具备招标条件，现对该项目的</w:t>
      </w:r>
      <w:r>
        <w:rPr>
          <w:rFonts w:hint="eastAsia" w:ascii="宋体" w:hAnsi="宋体" w:cs="宋体"/>
          <w:color w:val="auto"/>
          <w:sz w:val="24"/>
          <w:highlight w:val="none"/>
          <w:u w:val="single"/>
        </w:rPr>
        <w:t>勘察设计</w:t>
      </w:r>
      <w:r>
        <w:rPr>
          <w:rFonts w:hint="eastAsia" w:ascii="宋体" w:hAnsi="宋体" w:cs="宋体"/>
          <w:color w:val="auto"/>
          <w:sz w:val="24"/>
          <w:highlight w:val="none"/>
        </w:rPr>
        <w:t>进行公开招标。</w:t>
      </w:r>
    </w:p>
    <w:p w14:paraId="7474F751">
      <w:pPr>
        <w:pStyle w:val="3"/>
        <w:spacing w:before="0" w:after="0" w:line="360" w:lineRule="auto"/>
        <w:rPr>
          <w:rFonts w:hint="eastAsia" w:ascii="宋体" w:hAnsi="宋体" w:cs="宋体"/>
          <w:b/>
          <w:spacing w:val="1"/>
          <w:sz w:val="24"/>
          <w:szCs w:val="24"/>
          <w:highlight w:val="none"/>
        </w:rPr>
      </w:pPr>
      <w:bookmarkStart w:id="2" w:name="_Toc25072049"/>
    </w:p>
    <w:p w14:paraId="0ED5F817">
      <w:pPr>
        <w:pStyle w:val="3"/>
        <w:spacing w:before="0" w:after="0" w:line="360" w:lineRule="auto"/>
        <w:rPr>
          <w:rFonts w:hint="eastAsia" w:ascii="宋体" w:hAnsi="宋体" w:cs="宋体"/>
          <w:b/>
          <w:sz w:val="24"/>
          <w:szCs w:val="24"/>
          <w:highlight w:val="none"/>
        </w:rPr>
      </w:pPr>
      <w:r>
        <w:rPr>
          <w:rFonts w:hint="eastAsia" w:ascii="宋体" w:hAnsi="宋体" w:cs="宋体"/>
          <w:b/>
          <w:spacing w:val="1"/>
          <w:sz w:val="24"/>
          <w:szCs w:val="24"/>
          <w:highlight w:val="none"/>
        </w:rPr>
        <w:t>2</w:t>
      </w:r>
      <w:r>
        <w:rPr>
          <w:rFonts w:hint="eastAsia" w:ascii="宋体" w:hAnsi="宋体" w:cs="宋体"/>
          <w:b/>
          <w:sz w:val="24"/>
          <w:szCs w:val="24"/>
          <w:highlight w:val="none"/>
        </w:rPr>
        <w:t>.项目概况与招标范围</w:t>
      </w:r>
      <w:bookmarkEnd w:id="2"/>
    </w:p>
    <w:p w14:paraId="1F957F48">
      <w:pPr>
        <w:spacing w:line="360" w:lineRule="auto"/>
        <w:ind w:firstLine="480" w:firstLineChars="200"/>
        <w:jc w:val="left"/>
        <w:rPr>
          <w:rFonts w:hint="eastAsia" w:ascii="宋体" w:hAnsi="宋体" w:eastAsia="宋体" w:cs="宋体"/>
          <w:sz w:val="24"/>
          <w:highlight w:val="none"/>
          <w:lang w:eastAsia="zh-CN"/>
        </w:rPr>
      </w:pPr>
      <w:r>
        <w:rPr>
          <w:rFonts w:hint="eastAsia" w:ascii="宋体" w:hAnsi="宋体" w:cs="宋体"/>
          <w:sz w:val="24"/>
          <w:highlight w:val="none"/>
        </w:rPr>
        <w:t>2.1  项目名称：</w:t>
      </w:r>
      <w:r>
        <w:rPr>
          <w:rFonts w:hint="eastAsia" w:ascii="宋体" w:hAnsi="宋体" w:cs="宋体"/>
          <w:sz w:val="24"/>
          <w:highlight w:val="none"/>
          <w:u w:val="single"/>
          <w:lang w:eastAsia="zh-CN"/>
        </w:rPr>
        <w:t>清塘路三期(和瑞路-镜塘路)工程勘察设计</w:t>
      </w:r>
    </w:p>
    <w:p w14:paraId="0AF0B160">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2.2  工程位置：</w:t>
      </w:r>
      <w:r>
        <w:rPr>
          <w:rFonts w:hint="eastAsia" w:ascii="宋体" w:hAnsi="宋体" w:cs="宋体"/>
          <w:kern w:val="0"/>
          <w:sz w:val="24"/>
          <w:highlight w:val="none"/>
          <w:u w:val="single"/>
        </w:rPr>
        <w:t>项目呈南北走向，北起和瑞路，南至镜塘路。</w:t>
      </w:r>
    </w:p>
    <w:p w14:paraId="50E3EE6F">
      <w:pPr>
        <w:spacing w:line="360" w:lineRule="auto"/>
        <w:ind w:firstLine="480" w:firstLineChars="200"/>
        <w:jc w:val="left"/>
        <w:rPr>
          <w:rFonts w:hint="eastAsia" w:ascii="宋体" w:hAnsi="宋体" w:cs="宋体"/>
          <w:kern w:val="0"/>
          <w:sz w:val="24"/>
          <w:highlight w:val="none"/>
          <w:u w:val="single"/>
        </w:rPr>
      </w:pPr>
      <w:r>
        <w:rPr>
          <w:rFonts w:hint="eastAsia" w:ascii="宋体" w:hAnsi="宋体" w:cs="宋体"/>
          <w:sz w:val="24"/>
          <w:highlight w:val="none"/>
        </w:rPr>
        <w:t>2.3  建设规模：</w:t>
      </w:r>
      <w:r>
        <w:rPr>
          <w:rFonts w:hint="eastAsia" w:ascii="宋体" w:hAnsi="宋体" w:cs="宋体"/>
          <w:kern w:val="0"/>
          <w:sz w:val="24"/>
          <w:highlight w:val="none"/>
          <w:u w:val="single"/>
        </w:rPr>
        <w:t>规划为城市主干道，全长约1.026Km，规划红线宽度40m，双向6车道，设计速度50km/h。建设内容包括：道路、给排水、交通（含交通疏解）、照明及附属景观绿化工程等。（具体以项目批复的建设内容为准）</w:t>
      </w:r>
    </w:p>
    <w:p w14:paraId="71E87CCC">
      <w:pPr>
        <w:spacing w:line="360" w:lineRule="auto"/>
        <w:ind w:firstLine="480" w:firstLineChars="200"/>
        <w:jc w:val="left"/>
        <w:rPr>
          <w:rFonts w:hint="eastAsia" w:ascii="宋体" w:hAnsi="宋体" w:cs="宋体"/>
          <w:color w:val="auto"/>
          <w:sz w:val="24"/>
          <w:highlight w:val="none"/>
        </w:rPr>
      </w:pPr>
      <w:r>
        <w:rPr>
          <w:rFonts w:hint="eastAsia" w:ascii="宋体" w:hAnsi="宋体" w:cs="宋体"/>
          <w:kern w:val="0"/>
          <w:sz w:val="24"/>
          <w:highlight w:val="none"/>
          <w:u w:val="single"/>
        </w:rPr>
        <w:t>建</w:t>
      </w:r>
      <w:r>
        <w:rPr>
          <w:rFonts w:hint="eastAsia" w:ascii="宋体" w:hAnsi="宋体" w:cs="宋体"/>
          <w:color w:val="auto"/>
          <w:kern w:val="0"/>
          <w:sz w:val="24"/>
          <w:highlight w:val="none"/>
          <w:u w:val="single"/>
        </w:rPr>
        <w:t>设内容包括：道路工程、给水工程、排水工程、电力管沟工程、照明工程、</w:t>
      </w:r>
      <w:r>
        <w:rPr>
          <w:rFonts w:hint="eastAsia" w:ascii="宋体" w:hAnsi="宋体" w:cs="宋体"/>
          <w:color w:val="auto"/>
          <w:sz w:val="24"/>
          <w:highlight w:val="none"/>
          <w:u w:val="single"/>
        </w:rPr>
        <w:t>交通及交通疏解工程</w:t>
      </w:r>
      <w:r>
        <w:rPr>
          <w:rFonts w:hint="eastAsia" w:ascii="宋体" w:hAnsi="宋体" w:cs="宋体"/>
          <w:color w:val="auto"/>
          <w:kern w:val="0"/>
          <w:sz w:val="24"/>
          <w:highlight w:val="none"/>
          <w:u w:val="single"/>
        </w:rPr>
        <w:t>、通信工程、景观绿化工程等。</w:t>
      </w:r>
    </w:p>
    <w:p w14:paraId="0B8E2EF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2.4  规划用地文件：</w:t>
      </w:r>
      <w:r>
        <w:rPr>
          <w:rFonts w:hint="eastAsia" w:ascii="宋体" w:hAnsi="宋体" w:cs="宋体"/>
          <w:color w:val="auto"/>
          <w:sz w:val="24"/>
          <w:highlight w:val="none"/>
          <w:u w:val="single"/>
        </w:rPr>
        <w:t>/。</w:t>
      </w:r>
    </w:p>
    <w:p w14:paraId="57B8406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2.5  项目批准文件：</w:t>
      </w:r>
      <w:r>
        <w:rPr>
          <w:rFonts w:hint="eastAsia" w:ascii="宋体" w:hAnsi="宋体" w:cs="宋体"/>
          <w:color w:val="auto"/>
          <w:sz w:val="24"/>
          <w:highlight w:val="none"/>
          <w:u w:val="single"/>
        </w:rPr>
        <w:t>/。</w:t>
      </w:r>
    </w:p>
    <w:p w14:paraId="1BFFB74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2.6  资金来源：</w:t>
      </w:r>
      <w:r>
        <w:rPr>
          <w:rFonts w:hint="eastAsia" w:ascii="宋体" w:hAnsi="宋体" w:cs="宋体"/>
          <w:color w:val="auto"/>
          <w:sz w:val="24"/>
          <w:highlight w:val="none"/>
          <w:u w:val="single"/>
        </w:rPr>
        <w:t>财政资金。</w:t>
      </w:r>
    </w:p>
    <w:p w14:paraId="41790C74">
      <w:pPr>
        <w:spacing w:line="360" w:lineRule="auto"/>
        <w:ind w:firstLine="480" w:firstLineChars="200"/>
        <w:jc w:val="left"/>
        <w:rPr>
          <w:rFonts w:hint="eastAsia" w:ascii="宋体" w:hAnsi="宋体" w:cs="宋体"/>
          <w:color w:val="auto"/>
          <w:sz w:val="24"/>
          <w:highlight w:val="none"/>
        </w:rPr>
      </w:pPr>
      <w:r>
        <w:rPr>
          <w:rFonts w:ascii="宋体" w:hAnsi="宋体" w:cs="宋体"/>
          <w:color w:val="auto"/>
          <w:sz w:val="24"/>
          <w:highlight w:val="none"/>
        </w:rPr>
        <w:t xml:space="preserve">2.7  </w:t>
      </w:r>
      <w:r>
        <w:rPr>
          <w:rFonts w:hint="eastAsia" w:ascii="宋体" w:hAnsi="宋体" w:cs="宋体"/>
          <w:color w:val="auto"/>
          <w:sz w:val="24"/>
          <w:highlight w:val="none"/>
        </w:rPr>
        <w:t>投资总额：</w:t>
      </w:r>
      <w:r>
        <w:rPr>
          <w:rFonts w:hint="eastAsia" w:ascii="宋体" w:hAnsi="宋体" w:cs="宋体"/>
          <w:color w:val="auto"/>
          <w:sz w:val="24"/>
          <w:highlight w:val="none"/>
          <w:u w:val="single"/>
          <w:lang w:val="en-US" w:eastAsia="zh-CN"/>
        </w:rPr>
        <w:t xml:space="preserve"> 13956.91</w:t>
      </w:r>
      <w:r>
        <w:rPr>
          <w:rFonts w:hint="eastAsia" w:ascii="宋体" w:hAnsi="宋体" w:cs="宋体"/>
          <w:color w:val="auto"/>
          <w:kern w:val="0"/>
          <w:sz w:val="24"/>
          <w:highlight w:val="none"/>
          <w:u w:val="single"/>
        </w:rPr>
        <w:t>万元</w:t>
      </w:r>
      <w:r>
        <w:rPr>
          <w:rFonts w:hint="eastAsia" w:ascii="宋体" w:hAnsi="宋体" w:cs="宋体"/>
          <w:color w:val="auto"/>
          <w:sz w:val="24"/>
          <w:highlight w:val="none"/>
        </w:rPr>
        <w:t>。</w:t>
      </w:r>
    </w:p>
    <w:p w14:paraId="48361099">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2.8  勘察设计范围：</w:t>
      </w:r>
      <w:r>
        <w:rPr>
          <w:rFonts w:hint="eastAsia" w:ascii="宋体" w:hAnsi="宋体" w:cs="宋体"/>
          <w:color w:val="auto"/>
          <w:sz w:val="24"/>
          <w:highlight w:val="none"/>
          <w:u w:val="single"/>
        </w:rPr>
        <w:t>本项目工程建设范围内的</w:t>
      </w:r>
      <w:r>
        <w:rPr>
          <w:rFonts w:hint="eastAsia" w:ascii="宋体" w:hAnsi="宋体" w:cs="宋体"/>
          <w:color w:val="auto"/>
          <w:kern w:val="0"/>
          <w:sz w:val="24"/>
          <w:highlight w:val="none"/>
          <w:u w:val="single"/>
        </w:rPr>
        <w:t>道路工程、给水工程、排水工程、电力管沟工程、照明工程、</w:t>
      </w:r>
      <w:r>
        <w:rPr>
          <w:rFonts w:hint="eastAsia" w:ascii="宋体" w:hAnsi="宋体" w:cs="宋体"/>
          <w:color w:val="auto"/>
          <w:sz w:val="24"/>
          <w:highlight w:val="none"/>
          <w:u w:val="single"/>
        </w:rPr>
        <w:t>交通及交通疏解工程</w:t>
      </w:r>
      <w:r>
        <w:rPr>
          <w:rFonts w:hint="eastAsia" w:ascii="宋体" w:hAnsi="宋体" w:cs="宋体"/>
          <w:color w:val="auto"/>
          <w:kern w:val="0"/>
          <w:sz w:val="24"/>
          <w:highlight w:val="none"/>
          <w:u w:val="single"/>
        </w:rPr>
        <w:t>、通信</w:t>
      </w:r>
      <w:r>
        <w:rPr>
          <w:rFonts w:hint="eastAsia" w:ascii="宋体" w:hAnsi="宋体" w:cs="宋体"/>
          <w:color w:val="auto"/>
          <w:kern w:val="0"/>
          <w:sz w:val="24"/>
          <w:highlight w:val="none"/>
          <w:u w:val="single"/>
          <w:lang w:val="en-US" w:eastAsia="zh-CN"/>
        </w:rPr>
        <w:t>管道</w:t>
      </w:r>
      <w:r>
        <w:rPr>
          <w:rFonts w:hint="eastAsia" w:ascii="宋体" w:hAnsi="宋体" w:cs="宋体"/>
          <w:color w:val="auto"/>
          <w:kern w:val="0"/>
          <w:sz w:val="24"/>
          <w:highlight w:val="none"/>
          <w:u w:val="single"/>
        </w:rPr>
        <w:t>工程、景观绿化工程</w:t>
      </w:r>
      <w:r>
        <w:rPr>
          <w:rFonts w:hint="eastAsia" w:ascii="宋体" w:hAnsi="宋体" w:cs="宋体"/>
          <w:color w:val="auto"/>
          <w:sz w:val="24"/>
          <w:highlight w:val="none"/>
          <w:u w:val="single"/>
        </w:rPr>
        <w:t>、管线保护和（或）实物补偿类管线迁改等勘察设计（含本项目所涉及的外水外电等配套工程设计）具</w:t>
      </w:r>
      <w:r>
        <w:rPr>
          <w:rFonts w:hint="eastAsia" w:ascii="宋体" w:hAnsi="宋体" w:cs="宋体"/>
          <w:color w:val="auto"/>
          <w:sz w:val="24"/>
          <w:highlight w:val="none"/>
          <w:u w:val="single"/>
        </w:rPr>
        <w:t>体以项目批复的建设内容为准。</w:t>
      </w:r>
    </w:p>
    <w:p w14:paraId="1CA4862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包括但不限于以下内容：</w:t>
      </w:r>
    </w:p>
    <w:p w14:paraId="33132D1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勘察工作范围和内容：</w:t>
      </w:r>
      <w:r>
        <w:rPr>
          <w:rFonts w:hint="eastAsia" w:ascii="宋体" w:hAnsi="宋体" w:cs="宋体"/>
          <w:color w:val="auto"/>
          <w:sz w:val="24"/>
          <w:highlight w:val="none"/>
          <w:u w:val="single"/>
        </w:rPr>
        <w:t>本项目规划红线图范围内所须的所有勘察工作，包括但不限于勘察大纲、岩土工程勘察[含初步勘察、详细勘察及施工阶段勘察超前钻(如有)]、工程物探、地形测绘及工程测量（四等水准精度）并提供移交满足项目测量精度的控制点（不含广州空港经济区管理委员会已委托的报批过程中各行政管理部门相关测绘技术工作）等工作。</w:t>
      </w:r>
    </w:p>
    <w:p w14:paraId="4CB30604">
      <w:pPr>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u w:val="single"/>
        </w:rPr>
        <w:t>注：所有勘察项目（含物探、检测、超前钻）均需报发包人根据现场实际情况确认同意后方可实施。</w:t>
      </w:r>
    </w:p>
    <w:p w14:paraId="7C3B6287">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设计工作范围和内容：</w:t>
      </w:r>
      <w:r>
        <w:rPr>
          <w:rFonts w:hint="eastAsia" w:ascii="宋体" w:hAnsi="宋体" w:cs="宋体"/>
          <w:sz w:val="24"/>
          <w:highlight w:val="none"/>
          <w:u w:val="single"/>
        </w:rPr>
        <w:t>包括但不限于负责项目的设计大纲、联审决策材料编制及相关技术评审、方案设计及修改（排水最大管径为DN</w:t>
      </w:r>
      <w:r>
        <w:rPr>
          <w:rFonts w:hint="eastAsia" w:ascii="宋体" w:hAnsi="宋体" w:cs="宋体"/>
          <w:sz w:val="24"/>
          <w:highlight w:val="none"/>
          <w:u w:val="single"/>
          <w:lang w:val="en-US" w:eastAsia="zh-CN"/>
        </w:rPr>
        <w:t>1800</w:t>
      </w:r>
      <w:r>
        <w:rPr>
          <w:rFonts w:hint="eastAsia" w:ascii="宋体" w:hAnsi="宋体" w:cs="宋体"/>
          <w:sz w:val="24"/>
          <w:highlight w:val="none"/>
          <w:u w:val="single"/>
        </w:rPr>
        <w:t>）、报建图设计和报建通编制、初步设计（含方案深化等）、概算编制、施工图设计、管线保护和（或）实物补偿类管线迁改设计、文物（如有）和树木保护专章编制、技术文件编制、各类相关专题研究、现场服务及竣工图绘制等。</w:t>
      </w:r>
    </w:p>
    <w:p w14:paraId="29CADEFC">
      <w:pPr>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u w:val="single"/>
        </w:rPr>
        <w:t>注：承包人应根据建设行政主管部门或其他相关部门审核通过的文件进行限额设计。</w:t>
      </w:r>
      <w:bookmarkStart w:id="3" w:name="_Hlk8595802"/>
    </w:p>
    <w:bookmarkEnd w:id="3"/>
    <w:p w14:paraId="43114EAD">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2.9 最高投标限价：</w:t>
      </w:r>
    </w:p>
    <w:p w14:paraId="1C808C95">
      <w:pPr>
        <w:spacing w:line="360" w:lineRule="auto"/>
        <w:ind w:firstLine="480" w:firstLineChars="200"/>
        <w:jc w:val="left"/>
        <w:rPr>
          <w:rFonts w:hint="eastAsia" w:ascii="宋体" w:hAnsi="宋体" w:cs="宋体"/>
          <w:kern w:val="0"/>
          <w:sz w:val="24"/>
          <w:highlight w:val="none"/>
          <w:u w:val="single"/>
        </w:rPr>
      </w:pPr>
      <w:r>
        <w:rPr>
          <w:rFonts w:ascii="宋体" w:hAnsi="宋体" w:cs="宋体"/>
          <w:kern w:val="0"/>
          <w:sz w:val="24"/>
          <w:highlight w:val="none"/>
          <w:u w:val="single"/>
        </w:rPr>
        <w:t>本次最高投标限价为</w:t>
      </w:r>
      <w:r>
        <w:rPr>
          <w:rFonts w:hint="eastAsia" w:ascii="宋体" w:hAnsi="宋体" w:cs="宋体"/>
          <w:kern w:val="0"/>
          <w:sz w:val="24"/>
          <w:highlight w:val="none"/>
          <w:u w:val="single"/>
          <w:lang w:val="en-US" w:eastAsia="zh-CN"/>
        </w:rPr>
        <w:t>455.01</w:t>
      </w:r>
      <w:r>
        <w:rPr>
          <w:rFonts w:ascii="宋体" w:hAnsi="宋体" w:cs="宋体"/>
          <w:kern w:val="0"/>
          <w:sz w:val="24"/>
          <w:highlight w:val="none"/>
          <w:u w:val="single"/>
        </w:rPr>
        <w:t>万元，其中：</w:t>
      </w:r>
    </w:p>
    <w:p w14:paraId="29B69B48">
      <w:pPr>
        <w:numPr>
          <w:ilvl w:val="0"/>
          <w:numId w:val="1"/>
        </w:numPr>
        <w:spacing w:line="360" w:lineRule="auto"/>
        <w:ind w:firstLine="480" w:firstLineChars="200"/>
        <w:jc w:val="left"/>
        <w:rPr>
          <w:rFonts w:hint="eastAsia" w:ascii="宋体" w:hAnsi="宋体" w:cs="宋体"/>
          <w:kern w:val="0"/>
          <w:sz w:val="24"/>
          <w:highlight w:val="none"/>
          <w:u w:val="single"/>
        </w:rPr>
      </w:pPr>
      <w:r>
        <w:rPr>
          <w:rFonts w:hint="eastAsia" w:ascii="宋体" w:hAnsi="宋体" w:cs="宋体"/>
          <w:kern w:val="0"/>
          <w:sz w:val="24"/>
          <w:highlight w:val="none"/>
          <w:u w:val="single"/>
        </w:rPr>
        <w:t>勘察费为</w:t>
      </w:r>
      <w:r>
        <w:rPr>
          <w:rFonts w:hint="eastAsia" w:ascii="宋体" w:hAnsi="宋体" w:cs="宋体"/>
          <w:kern w:val="0"/>
          <w:sz w:val="24"/>
          <w:highlight w:val="none"/>
          <w:u w:val="single"/>
          <w:lang w:val="en-US" w:eastAsia="zh-CN"/>
        </w:rPr>
        <w:t>124.70</w:t>
      </w:r>
      <w:r>
        <w:rPr>
          <w:rFonts w:hint="eastAsia" w:ascii="宋体" w:hAnsi="宋体" w:cs="宋体"/>
          <w:kern w:val="0"/>
          <w:sz w:val="24"/>
          <w:highlight w:val="none"/>
          <w:u w:val="single"/>
        </w:rPr>
        <w:t>万元；</w:t>
      </w:r>
    </w:p>
    <w:p w14:paraId="10109F4B">
      <w:pPr>
        <w:spacing w:line="360" w:lineRule="auto"/>
        <w:ind w:firstLine="480" w:firstLineChars="200"/>
        <w:jc w:val="left"/>
        <w:rPr>
          <w:rFonts w:hint="eastAsia" w:ascii="宋体" w:hAnsi="宋体" w:cs="宋体"/>
          <w:kern w:val="0"/>
          <w:sz w:val="24"/>
          <w:highlight w:val="none"/>
          <w:u w:val="single"/>
        </w:rPr>
      </w:pPr>
      <w:r>
        <w:rPr>
          <w:rFonts w:hint="eastAsia" w:ascii="宋体" w:hAnsi="宋体" w:cs="宋体"/>
          <w:kern w:val="0"/>
          <w:sz w:val="24"/>
          <w:highlight w:val="none"/>
          <w:u w:val="single"/>
        </w:rPr>
        <w:t>（2）设计费为</w:t>
      </w:r>
      <w:r>
        <w:rPr>
          <w:rFonts w:hint="eastAsia" w:ascii="宋体" w:hAnsi="宋体" w:cs="宋体"/>
          <w:kern w:val="0"/>
          <w:sz w:val="24"/>
          <w:highlight w:val="none"/>
          <w:u w:val="single"/>
          <w:lang w:val="en-US" w:eastAsia="zh-CN"/>
        </w:rPr>
        <w:t>305.84</w:t>
      </w:r>
      <w:r>
        <w:rPr>
          <w:rFonts w:hint="eastAsia" w:ascii="宋体" w:hAnsi="宋体" w:cs="宋体"/>
          <w:kern w:val="0"/>
          <w:sz w:val="24"/>
          <w:highlight w:val="none"/>
          <w:u w:val="single"/>
        </w:rPr>
        <w:t>万元；</w:t>
      </w:r>
    </w:p>
    <w:p w14:paraId="1A9745AA">
      <w:pPr>
        <w:spacing w:line="360" w:lineRule="auto"/>
        <w:ind w:firstLine="480" w:firstLineChars="200"/>
        <w:jc w:val="left"/>
        <w:rPr>
          <w:rFonts w:hint="eastAsia" w:ascii="宋体" w:hAnsi="宋体" w:cs="宋体"/>
          <w:sz w:val="24"/>
          <w:highlight w:val="none"/>
          <w:u w:val="single"/>
        </w:rPr>
      </w:pPr>
      <w:r>
        <w:rPr>
          <w:rFonts w:hint="eastAsia" w:ascii="宋体" w:hAnsi="宋体" w:cs="宋体"/>
          <w:kern w:val="0"/>
          <w:sz w:val="24"/>
          <w:highlight w:val="none"/>
          <w:u w:val="single"/>
        </w:rPr>
        <w:t>（3）竣工图编制费为</w:t>
      </w:r>
      <w:r>
        <w:rPr>
          <w:rFonts w:hint="eastAsia" w:ascii="宋体" w:hAnsi="宋体" w:cs="宋体"/>
          <w:kern w:val="0"/>
          <w:sz w:val="24"/>
          <w:highlight w:val="none"/>
          <w:u w:val="single"/>
          <w:lang w:val="en-US" w:eastAsia="zh-CN"/>
        </w:rPr>
        <w:t>24.47</w:t>
      </w:r>
      <w:r>
        <w:rPr>
          <w:rFonts w:hint="eastAsia" w:ascii="宋体" w:hAnsi="宋体" w:cs="宋体"/>
          <w:kern w:val="0"/>
          <w:sz w:val="24"/>
          <w:highlight w:val="none"/>
          <w:u w:val="single"/>
        </w:rPr>
        <w:t>万元；</w:t>
      </w:r>
    </w:p>
    <w:p w14:paraId="71373DFB">
      <w:pPr>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u w:val="single"/>
        </w:rPr>
        <w:t>注：①投标报价不参与投标竞争，结算方式按照合同约定的相应条款执行。</w:t>
      </w:r>
    </w:p>
    <w:p w14:paraId="13370368">
      <w:pPr>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u w:val="single"/>
        </w:rPr>
        <w:t>②设计费，参照国家发展计划委员会、建设部发布的《工程勘察设计收费标准》(2002年修订本)下浮20.00%计算。勘察费（含超前钻、测量及物探等）参照国家发展计划委员会、建设部发布的《工程勘察设计收费标准》(2002年修订本)下浮20%，其中岩土工程勘察费综合单价不超过185元/米，根据各方确认的实际完成工程量计算。其中超钻部分不予计量。竣工图编制费按结算设计费的8%进行确定。</w:t>
      </w:r>
    </w:p>
    <w:p w14:paraId="374C343B">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2.10 </w:t>
      </w:r>
      <w:r>
        <w:rPr>
          <w:rFonts w:hint="eastAsia" w:ascii="宋体" w:hAnsi="宋体" w:cs="宋体"/>
          <w:sz w:val="24"/>
          <w:highlight w:val="none"/>
          <w:u w:val="single"/>
        </w:rPr>
        <w:t>设计合理使用年限：按国家相关规范。</w:t>
      </w:r>
    </w:p>
    <w:p w14:paraId="3F10D1E1">
      <w:pPr>
        <w:spacing w:line="360" w:lineRule="auto"/>
        <w:ind w:firstLine="480" w:firstLineChars="200"/>
        <w:jc w:val="left"/>
        <w:rPr>
          <w:rFonts w:hint="eastAsia" w:ascii="宋体" w:hAnsi="宋体" w:cs="宋体"/>
          <w:sz w:val="24"/>
          <w:highlight w:val="none"/>
        </w:rPr>
      </w:pPr>
    </w:p>
    <w:p w14:paraId="04095901">
      <w:pPr>
        <w:pStyle w:val="3"/>
        <w:spacing w:before="0" w:after="0" w:line="360" w:lineRule="auto"/>
        <w:rPr>
          <w:rFonts w:hint="eastAsia" w:ascii="宋体" w:hAnsi="宋体" w:cs="宋体"/>
          <w:b/>
          <w:sz w:val="24"/>
          <w:szCs w:val="24"/>
          <w:highlight w:val="none"/>
        </w:rPr>
      </w:pPr>
      <w:bookmarkStart w:id="4" w:name="_Toc60344354"/>
      <w:r>
        <w:rPr>
          <w:rFonts w:hint="eastAsia" w:ascii="宋体" w:hAnsi="宋体" w:cs="宋体"/>
          <w:b/>
          <w:sz w:val="24"/>
          <w:szCs w:val="24"/>
          <w:highlight w:val="none"/>
        </w:rPr>
        <w:t>3. 投标人资格要求</w:t>
      </w:r>
      <w:bookmarkEnd w:id="4"/>
    </w:p>
    <w:p w14:paraId="3DDD696B">
      <w:pPr>
        <w:autoSpaceDE w:val="0"/>
        <w:autoSpaceDN w:val="0"/>
        <w:adjustRightInd w:val="0"/>
        <w:spacing w:line="360" w:lineRule="auto"/>
        <w:ind w:firstLine="484" w:firstLineChars="202"/>
        <w:jc w:val="left"/>
        <w:rPr>
          <w:rFonts w:hint="eastAsia" w:ascii="宋体" w:hAnsi="宋体" w:cs="宋体"/>
          <w:kern w:val="0"/>
          <w:sz w:val="24"/>
          <w:highlight w:val="none"/>
        </w:rPr>
      </w:pPr>
      <w:r>
        <w:rPr>
          <w:rFonts w:hint="eastAsia" w:ascii="宋体" w:hAnsi="宋体" w:cs="宋体"/>
          <w:kern w:val="0"/>
          <w:sz w:val="24"/>
          <w:highlight w:val="none"/>
        </w:rPr>
        <w:t>3.1 本</w:t>
      </w:r>
      <w:r>
        <w:rPr>
          <w:rFonts w:hint="eastAsia" w:ascii="宋体" w:hAnsi="宋体" w:cs="宋体"/>
          <w:spacing w:val="2"/>
          <w:kern w:val="0"/>
          <w:sz w:val="24"/>
          <w:highlight w:val="none"/>
        </w:rPr>
        <w:t>次</w:t>
      </w:r>
      <w:r>
        <w:rPr>
          <w:rFonts w:hint="eastAsia" w:ascii="宋体" w:hAnsi="宋体" w:cs="宋体"/>
          <w:kern w:val="0"/>
          <w:sz w:val="24"/>
          <w:highlight w:val="none"/>
        </w:rPr>
        <w:t>招标要求</w:t>
      </w:r>
      <w:r>
        <w:rPr>
          <w:rFonts w:hint="eastAsia" w:ascii="宋体" w:hAnsi="宋体" w:cs="宋体"/>
          <w:spacing w:val="2"/>
          <w:kern w:val="0"/>
          <w:sz w:val="24"/>
          <w:highlight w:val="none"/>
        </w:rPr>
        <w:t>投</w:t>
      </w:r>
      <w:r>
        <w:rPr>
          <w:rFonts w:hint="eastAsia" w:ascii="宋体" w:hAnsi="宋体" w:cs="宋体"/>
          <w:kern w:val="0"/>
          <w:sz w:val="24"/>
          <w:highlight w:val="none"/>
        </w:rPr>
        <w:t>标人须同时</w:t>
      </w:r>
      <w:r>
        <w:rPr>
          <w:rFonts w:hint="eastAsia" w:ascii="宋体" w:hAnsi="宋体" w:cs="宋体"/>
          <w:spacing w:val="2"/>
          <w:kern w:val="0"/>
          <w:sz w:val="24"/>
          <w:highlight w:val="none"/>
        </w:rPr>
        <w:t>具</w:t>
      </w:r>
      <w:r>
        <w:rPr>
          <w:rFonts w:hint="eastAsia" w:ascii="宋体" w:hAnsi="宋体" w:cs="宋体"/>
          <w:spacing w:val="1"/>
          <w:kern w:val="0"/>
          <w:sz w:val="24"/>
          <w:highlight w:val="none"/>
        </w:rPr>
        <w:t>备</w:t>
      </w:r>
      <w:r>
        <w:rPr>
          <w:rFonts w:hint="eastAsia" w:ascii="宋体" w:hAnsi="宋体" w:cs="宋体"/>
          <w:sz w:val="24"/>
          <w:highlight w:val="none"/>
          <w:u w:val="single"/>
        </w:rPr>
        <w:t>建设行政主管部门颁发的</w:t>
      </w:r>
      <w:r>
        <w:rPr>
          <w:rFonts w:hint="eastAsia" w:ascii="宋体" w:hAnsi="宋体" w:cs="宋体"/>
          <w:kern w:val="0"/>
          <w:sz w:val="24"/>
          <w:highlight w:val="none"/>
          <w:u w:val="single"/>
        </w:rPr>
        <w:t>以下</w:t>
      </w:r>
      <w:r>
        <w:rPr>
          <w:rFonts w:hint="eastAsia" w:ascii="宋体" w:hAnsi="宋体" w:cs="宋体"/>
          <w:b/>
          <w:bCs/>
          <w:kern w:val="0"/>
          <w:sz w:val="24"/>
          <w:highlight w:val="none"/>
          <w:u w:val="single"/>
        </w:rPr>
        <w:t>（1）、（2）</w:t>
      </w:r>
      <w:r>
        <w:rPr>
          <w:rFonts w:hint="eastAsia" w:ascii="宋体" w:hAnsi="宋体" w:cs="宋体"/>
          <w:kern w:val="0"/>
          <w:sz w:val="24"/>
          <w:highlight w:val="none"/>
          <w:u w:val="single"/>
        </w:rPr>
        <w:t>项</w:t>
      </w:r>
      <w:r>
        <w:rPr>
          <w:rFonts w:hint="eastAsia" w:ascii="宋体" w:hAnsi="宋体" w:cs="宋体"/>
          <w:kern w:val="0"/>
          <w:sz w:val="24"/>
          <w:highlight w:val="none"/>
        </w:rPr>
        <w:t>资质</w:t>
      </w:r>
      <w:r>
        <w:rPr>
          <w:rFonts w:hint="eastAsia" w:ascii="宋体" w:hAnsi="宋体" w:cs="宋体"/>
          <w:spacing w:val="3"/>
          <w:kern w:val="0"/>
          <w:sz w:val="24"/>
          <w:highlight w:val="none"/>
        </w:rPr>
        <w:t>。</w:t>
      </w:r>
      <w:r>
        <w:rPr>
          <w:rFonts w:hint="eastAsia" w:ascii="宋体" w:hAnsi="宋体" w:cs="宋体"/>
          <w:kern w:val="0"/>
          <w:sz w:val="24"/>
          <w:highlight w:val="none"/>
        </w:rPr>
        <w:t>并</w:t>
      </w:r>
      <w:r>
        <w:rPr>
          <w:rFonts w:hint="eastAsia" w:ascii="宋体" w:hAnsi="宋体" w:cs="宋体"/>
          <w:spacing w:val="2"/>
          <w:kern w:val="0"/>
          <w:sz w:val="24"/>
          <w:highlight w:val="none"/>
        </w:rPr>
        <w:t>在</w:t>
      </w:r>
      <w:r>
        <w:rPr>
          <w:rFonts w:hint="eastAsia" w:ascii="宋体" w:hAnsi="宋体" w:cs="宋体"/>
          <w:kern w:val="0"/>
          <w:sz w:val="24"/>
          <w:highlight w:val="none"/>
        </w:rPr>
        <w:t>人员</w:t>
      </w:r>
      <w:r>
        <w:rPr>
          <w:rFonts w:hint="eastAsia" w:ascii="宋体" w:hAnsi="宋体" w:cs="宋体"/>
          <w:spacing w:val="2"/>
          <w:kern w:val="0"/>
          <w:sz w:val="24"/>
          <w:highlight w:val="none"/>
        </w:rPr>
        <w:t>方</w:t>
      </w:r>
      <w:r>
        <w:rPr>
          <w:rFonts w:hint="eastAsia" w:ascii="宋体" w:hAnsi="宋体" w:cs="宋体"/>
          <w:kern w:val="0"/>
          <w:sz w:val="24"/>
          <w:highlight w:val="none"/>
        </w:rPr>
        <w:t>面具有相应</w:t>
      </w:r>
      <w:r>
        <w:rPr>
          <w:rFonts w:hint="eastAsia" w:ascii="宋体" w:hAnsi="宋体" w:cs="宋体"/>
          <w:spacing w:val="-2"/>
          <w:kern w:val="0"/>
          <w:sz w:val="24"/>
          <w:highlight w:val="none"/>
        </w:rPr>
        <w:t>的</w:t>
      </w:r>
      <w:r>
        <w:rPr>
          <w:rFonts w:hint="eastAsia" w:ascii="宋体" w:hAnsi="宋体" w:cs="宋体"/>
          <w:kern w:val="0"/>
          <w:sz w:val="24"/>
          <w:highlight w:val="none"/>
        </w:rPr>
        <w:t>设</w:t>
      </w:r>
      <w:r>
        <w:rPr>
          <w:rFonts w:hint="eastAsia" w:ascii="宋体" w:hAnsi="宋体" w:cs="宋体"/>
          <w:spacing w:val="-2"/>
          <w:kern w:val="0"/>
          <w:sz w:val="24"/>
          <w:highlight w:val="none"/>
        </w:rPr>
        <w:t>计</w:t>
      </w:r>
      <w:r>
        <w:rPr>
          <w:rFonts w:hint="eastAsia" w:ascii="宋体" w:hAnsi="宋体" w:cs="宋体"/>
          <w:kern w:val="0"/>
          <w:sz w:val="24"/>
          <w:highlight w:val="none"/>
        </w:rPr>
        <w:t>能</w:t>
      </w:r>
      <w:r>
        <w:rPr>
          <w:rFonts w:hint="eastAsia" w:ascii="宋体" w:hAnsi="宋体" w:cs="宋体"/>
          <w:spacing w:val="-2"/>
          <w:kern w:val="0"/>
          <w:sz w:val="24"/>
          <w:highlight w:val="none"/>
        </w:rPr>
        <w:t>力</w:t>
      </w:r>
      <w:r>
        <w:rPr>
          <w:rFonts w:hint="eastAsia" w:ascii="宋体" w:hAnsi="宋体" w:cs="宋体"/>
          <w:kern w:val="0"/>
          <w:sz w:val="24"/>
          <w:highlight w:val="none"/>
        </w:rPr>
        <w:t>。</w:t>
      </w:r>
    </w:p>
    <w:p w14:paraId="6D28CF78">
      <w:pPr>
        <w:autoSpaceDE w:val="0"/>
        <w:autoSpaceDN w:val="0"/>
        <w:adjustRightInd w:val="0"/>
        <w:spacing w:line="360" w:lineRule="auto"/>
        <w:ind w:firstLine="484" w:firstLineChars="202"/>
        <w:jc w:val="left"/>
        <w:rPr>
          <w:rFonts w:hint="eastAsia" w:ascii="宋体" w:hAnsi="宋体" w:cs="宋体"/>
          <w:kern w:val="0"/>
          <w:sz w:val="24"/>
          <w:highlight w:val="none"/>
          <w:u w:val="single"/>
        </w:rPr>
      </w:pPr>
      <w:r>
        <w:rPr>
          <w:rFonts w:hint="eastAsia" w:ascii="宋体" w:hAnsi="宋体" w:cs="宋体"/>
          <w:kern w:val="0"/>
          <w:sz w:val="24"/>
          <w:highlight w:val="none"/>
          <w:u w:val="single"/>
        </w:rPr>
        <w:t>（1）工程勘察资质：工程勘察综合类甲级资质，或同时具有工程勘察专业类（岩土工程）甲级资质和工程勘察专业类（工程测量）乙级（或以上）资质，或同时具有工程勘察专业类（岩土工程勘察）甲级资质和工程勘察专业类（工程测量）乙级（或以上）资质。</w:t>
      </w:r>
    </w:p>
    <w:p w14:paraId="5CAC2CD5">
      <w:pPr>
        <w:autoSpaceDE w:val="0"/>
        <w:autoSpaceDN w:val="0"/>
        <w:adjustRightInd w:val="0"/>
        <w:spacing w:line="360" w:lineRule="auto"/>
        <w:ind w:firstLine="484" w:firstLineChars="202"/>
        <w:jc w:val="left"/>
        <w:rPr>
          <w:rFonts w:hint="eastAsia" w:ascii="宋体" w:hAnsi="宋体" w:cs="宋体"/>
          <w:kern w:val="0"/>
          <w:sz w:val="24"/>
          <w:highlight w:val="none"/>
          <w:u w:val="single"/>
        </w:rPr>
      </w:pPr>
      <w:r>
        <w:rPr>
          <w:rFonts w:hint="eastAsia" w:ascii="宋体" w:hAnsi="宋体" w:cs="宋体"/>
          <w:kern w:val="0"/>
          <w:sz w:val="24"/>
          <w:highlight w:val="none"/>
          <w:u w:val="single"/>
        </w:rPr>
        <w:t>（2）工程设计资质：工程设计综合甲级资质，或市政行业工程设计甲级资质，或市政行业工程设计甲级（燃气工程、轨道交通工程除外）资质，或同时具有市政行业（道路工程）专业甲级设计资质和市政行业（排水工程）专业</w:t>
      </w:r>
      <w:r>
        <w:rPr>
          <w:rFonts w:hint="eastAsia" w:ascii="宋体" w:hAnsi="宋体" w:cs="宋体"/>
          <w:kern w:val="0"/>
          <w:sz w:val="24"/>
          <w:highlight w:val="none"/>
          <w:u w:val="single"/>
          <w:lang w:val="en-US" w:eastAsia="zh-CN"/>
        </w:rPr>
        <w:t>甲级设计资质</w:t>
      </w:r>
      <w:r>
        <w:rPr>
          <w:rFonts w:hint="eastAsia" w:ascii="宋体" w:hAnsi="宋体" w:cs="宋体"/>
          <w:kern w:val="0"/>
          <w:sz w:val="24"/>
          <w:highlight w:val="none"/>
          <w:u w:val="single"/>
        </w:rPr>
        <w:t>。</w:t>
      </w:r>
    </w:p>
    <w:p w14:paraId="25DA114C">
      <w:pPr>
        <w:autoSpaceDE w:val="0"/>
        <w:autoSpaceDN w:val="0"/>
        <w:spacing w:line="360" w:lineRule="auto"/>
        <w:ind w:firstLine="480" w:firstLineChars="200"/>
        <w:rPr>
          <w:rFonts w:hint="eastAsia" w:ascii="宋体" w:hAnsi="宋体" w:cs="宋体"/>
          <w:kern w:val="0"/>
          <w:sz w:val="24"/>
          <w:highlight w:val="none"/>
          <w:u w:val="single"/>
        </w:rPr>
      </w:pPr>
      <w:r>
        <w:rPr>
          <w:rFonts w:hint="eastAsia" w:ascii="宋体" w:hAnsi="宋体" w:cs="宋体"/>
          <w:kern w:val="0"/>
          <w:sz w:val="24"/>
          <w:highlight w:val="none"/>
          <w:u w:val="single"/>
        </w:rPr>
        <w:t>注：①国内申请人具体资质要求按照《建设工程勘察设计资质管理规定》（建设部令第160号）、《工程勘察、工程设计资质分级标准补充规定》（建设[2001]178号）、《住房城乡建设部关于印发〈工程勘察资质标准〉的通知》（建市[2013]9号）、《工程设计资质标准》（建市〔2007〕86号）、《建设工程勘察设计资质管理规定实施意见》（建市[2007]202号）填写。要求同时具备2项或以上资质证书的，申请人可以组成联合体投标。</w:t>
      </w:r>
    </w:p>
    <w:p w14:paraId="55B20D7C">
      <w:pPr>
        <w:autoSpaceDE w:val="0"/>
        <w:autoSpaceDN w:val="0"/>
        <w:adjustRightInd w:val="0"/>
        <w:spacing w:line="360" w:lineRule="auto"/>
        <w:ind w:firstLine="484" w:firstLineChars="202"/>
        <w:jc w:val="left"/>
        <w:rPr>
          <w:rFonts w:hint="eastAsia" w:ascii="宋体" w:hAnsi="宋体" w:cs="宋体"/>
          <w:kern w:val="0"/>
          <w:sz w:val="24"/>
          <w:highlight w:val="none"/>
          <w:u w:val="single"/>
        </w:rPr>
      </w:pPr>
      <w:r>
        <w:rPr>
          <w:rFonts w:hint="eastAsia" w:ascii="宋体" w:hAnsi="宋体" w:cs="宋体"/>
          <w:kern w:val="0"/>
          <w:sz w:val="24"/>
          <w:highlight w:val="none"/>
          <w:u w:val="single"/>
        </w:rPr>
        <w:t>②工程勘察、工程设计企业资质证书有效期按《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62F4D74B">
      <w:pPr>
        <w:autoSpaceDE w:val="0"/>
        <w:autoSpaceDN w:val="0"/>
        <w:adjustRightInd w:val="0"/>
        <w:spacing w:line="360" w:lineRule="auto"/>
        <w:ind w:firstLine="484" w:firstLineChars="202"/>
        <w:jc w:val="left"/>
        <w:rPr>
          <w:rFonts w:hint="eastAsia" w:ascii="宋体" w:hAnsi="宋体" w:cs="宋体"/>
          <w:kern w:val="0"/>
          <w:sz w:val="24"/>
          <w:highlight w:val="none"/>
          <w:u w:val="single"/>
        </w:rPr>
      </w:pPr>
      <w:r>
        <w:rPr>
          <w:rFonts w:hint="eastAsia" w:ascii="宋体" w:hAnsi="宋体" w:cs="宋体"/>
          <w:kern w:val="0"/>
          <w:sz w:val="24"/>
          <w:highlight w:val="none"/>
          <w:u w:val="single"/>
        </w:rPr>
        <w:t>③承担设计任务的香港企业参加投标的，可与内地企业组成联合体投标。如与具备勘察资质的企业组成联合体投标，承担设计任务的香港企业须在广东省住房和城乡建设主管部门备案且备案的业务范围应符合本招标项目对工程设计资质的要求。</w:t>
      </w:r>
    </w:p>
    <w:p w14:paraId="38CD9705">
      <w:pPr>
        <w:autoSpaceDE w:val="0"/>
        <w:autoSpaceDN w:val="0"/>
        <w:adjustRightInd w:val="0"/>
        <w:spacing w:line="360" w:lineRule="auto"/>
        <w:ind w:firstLine="484" w:firstLineChars="202"/>
        <w:jc w:val="left"/>
        <w:rPr>
          <w:rFonts w:hint="eastAsia" w:ascii="宋体" w:hAnsi="宋体" w:cs="宋体"/>
          <w:kern w:val="0"/>
          <w:sz w:val="24"/>
          <w:highlight w:val="none"/>
          <w:u w:val="single"/>
        </w:rPr>
      </w:pPr>
      <w:r>
        <w:rPr>
          <w:rFonts w:hint="eastAsia" w:ascii="宋体" w:hAnsi="宋体" w:cs="宋体"/>
          <w:kern w:val="0"/>
          <w:sz w:val="24"/>
          <w:highlight w:val="none"/>
          <w:u w:val="single"/>
        </w:rPr>
        <w:t>承担勘察任务的香港企业参加投标的，可与内地企业组成联合体投标。如与具备设计资质的企业组成联合体投标，承担勘察任务的香港企业须在广东省住房和城乡建设主管部门备案且备案的业务范围应符合本招标项目对工程勘察资质的要求。</w:t>
      </w:r>
    </w:p>
    <w:p w14:paraId="281FCEBF">
      <w:pPr>
        <w:wordWrap w:val="0"/>
        <w:autoSpaceDE w:val="0"/>
        <w:autoSpaceDN w:val="0"/>
        <w:adjustRightInd w:val="0"/>
        <w:spacing w:line="360" w:lineRule="auto"/>
        <w:ind w:firstLine="484" w:firstLineChars="202"/>
        <w:jc w:val="left"/>
        <w:rPr>
          <w:rFonts w:hint="eastAsia" w:ascii="宋体" w:hAnsi="宋体" w:cs="宋体"/>
          <w:kern w:val="0"/>
          <w:sz w:val="24"/>
          <w:highlight w:val="none"/>
          <w:u w:val="single"/>
        </w:rPr>
      </w:pPr>
      <w:r>
        <w:rPr>
          <w:rFonts w:hint="eastAsia" w:ascii="宋体" w:hAnsi="宋体" w:cs="宋体"/>
          <w:kern w:val="0"/>
          <w:sz w:val="24"/>
          <w:highlight w:val="none"/>
          <w:u w:val="single"/>
        </w:rPr>
        <w:t>④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7DCCB811">
      <w:pPr>
        <w:autoSpaceDE w:val="0"/>
        <w:autoSpaceDN w:val="0"/>
        <w:adjustRightInd w:val="0"/>
        <w:spacing w:line="360" w:lineRule="auto"/>
        <w:ind w:firstLine="484" w:firstLineChars="202"/>
        <w:jc w:val="left"/>
        <w:rPr>
          <w:rFonts w:hint="eastAsia" w:ascii="宋体" w:hAnsi="宋体" w:cs="宋体"/>
          <w:kern w:val="0"/>
          <w:sz w:val="24"/>
          <w:highlight w:val="none"/>
          <w:u w:val="single"/>
        </w:rPr>
      </w:pPr>
      <w:r>
        <w:rPr>
          <w:rFonts w:hint="eastAsia" w:ascii="宋体" w:hAnsi="宋体" w:cs="宋体"/>
          <w:kern w:val="0"/>
          <w:sz w:val="24"/>
          <w:highlight w:val="none"/>
          <w:u w:val="single"/>
        </w:rPr>
        <w:t>⑤外国或澳门、台湾的设计企业必须选择一家符合上述条件的企业进行合作设计。香港企业如不组成联合体参加投标，也必须选择一家符合上述条件的企业进行合作设计，并签订合作设计协议。</w:t>
      </w:r>
    </w:p>
    <w:p w14:paraId="145E1184">
      <w:pPr>
        <w:autoSpaceDE w:val="0"/>
        <w:autoSpaceDN w:val="0"/>
        <w:adjustRightInd w:val="0"/>
        <w:spacing w:line="360" w:lineRule="auto"/>
        <w:ind w:firstLine="484" w:firstLineChars="202"/>
        <w:jc w:val="left"/>
        <w:rPr>
          <w:rFonts w:hint="eastAsia" w:ascii="宋体" w:hAnsi="宋体" w:cs="宋体"/>
          <w:kern w:val="0"/>
          <w:sz w:val="24"/>
          <w:highlight w:val="none"/>
          <w:u w:val="single"/>
        </w:rPr>
      </w:pPr>
      <w:r>
        <w:rPr>
          <w:rFonts w:hint="eastAsia" w:ascii="宋体" w:hAnsi="宋体" w:cs="宋体"/>
          <w:sz w:val="24"/>
          <w:highlight w:val="none"/>
        </w:rPr>
        <w:t>（3）投标人委派的项目负责人须具备：</w:t>
      </w:r>
      <w:r>
        <w:rPr>
          <w:rFonts w:hint="eastAsia" w:ascii="宋体" w:hAnsi="宋体" w:cs="宋体"/>
          <w:kern w:val="0"/>
          <w:sz w:val="24"/>
          <w:highlight w:val="none"/>
          <w:u w:val="single"/>
        </w:rPr>
        <w:t>市政道路专业（含道路相关专业）高级或以上工程师，或从事市政道路专业（含道路相关专业）工作10年或以上且具备工程师资格，或在广东省住房和城乡建设主管部门备案的业务范围符合本招标项目对项目负责人要求的香港专业人士。</w:t>
      </w:r>
    </w:p>
    <w:p w14:paraId="2879C719">
      <w:pPr>
        <w:autoSpaceDE w:val="0"/>
        <w:autoSpaceDN w:val="0"/>
        <w:adjustRightInd w:val="0"/>
        <w:spacing w:line="360" w:lineRule="auto"/>
        <w:ind w:firstLine="484" w:firstLineChars="202"/>
        <w:jc w:val="left"/>
        <w:rPr>
          <w:rFonts w:hint="eastAsia" w:ascii="宋体" w:hAnsi="宋体" w:cs="宋体"/>
          <w:sz w:val="24"/>
          <w:highlight w:val="none"/>
          <w:u w:val="single"/>
        </w:rPr>
      </w:pPr>
      <w:r>
        <w:rPr>
          <w:rFonts w:hint="eastAsia" w:ascii="宋体" w:hAnsi="宋体" w:cs="宋体"/>
          <w:sz w:val="24"/>
          <w:highlight w:val="none"/>
          <w:u w:val="single"/>
        </w:rPr>
        <w:t>注：①从事本专业工作年限按招标文件附录2要求提供的资历表为准。</w:t>
      </w:r>
    </w:p>
    <w:p w14:paraId="603D7E31">
      <w:pPr>
        <w:autoSpaceDE w:val="0"/>
        <w:autoSpaceDN w:val="0"/>
        <w:adjustRightInd w:val="0"/>
        <w:spacing w:line="360" w:lineRule="auto"/>
        <w:ind w:firstLine="484" w:firstLineChars="202"/>
        <w:jc w:val="left"/>
        <w:rPr>
          <w:rFonts w:hint="eastAsia" w:ascii="宋体" w:hAnsi="宋体" w:cs="宋体"/>
          <w:kern w:val="0"/>
          <w:sz w:val="24"/>
          <w:highlight w:val="none"/>
          <w:u w:val="single"/>
        </w:rPr>
      </w:pPr>
      <w:r>
        <w:rPr>
          <w:rFonts w:hint="eastAsia" w:ascii="宋体" w:hAnsi="宋体" w:cs="宋体"/>
          <w:kern w:val="0"/>
          <w:sz w:val="24"/>
          <w:highlight w:val="none"/>
          <w:u w:val="single"/>
        </w:rPr>
        <w:t>②香港专业人士的备案业务范围依据《广东省住房和城乡建设厅关于印发香港工程建设咨询企业和专业人士在粤港澳大湾区内地城市开业执业试点管理暂行办法的通知》（粤建规范〔2020〕1号）确定。</w:t>
      </w:r>
    </w:p>
    <w:p w14:paraId="4ECA0CF4">
      <w:pPr>
        <w:spacing w:line="360" w:lineRule="auto"/>
        <w:ind w:firstLine="480" w:firstLineChars="200"/>
        <w:jc w:val="left"/>
        <w:rPr>
          <w:rFonts w:hint="eastAsia" w:ascii="宋体" w:hAnsi="宋体" w:cs="宋体"/>
          <w:kern w:val="0"/>
          <w:sz w:val="24"/>
          <w:highlight w:val="none"/>
          <w:u w:val="single"/>
        </w:rPr>
      </w:pPr>
      <w:r>
        <w:rPr>
          <w:rFonts w:hint="eastAsia" w:ascii="宋体" w:hAnsi="宋体" w:cs="宋体"/>
          <w:sz w:val="24"/>
          <w:highlight w:val="none"/>
        </w:rPr>
        <w:t>（4）投标人委派的勘察专业负责人须具备下列条件之一：</w:t>
      </w:r>
      <w:r>
        <w:rPr>
          <w:rFonts w:hint="eastAsia" w:ascii="宋体" w:hAnsi="宋体" w:cs="宋体"/>
          <w:kern w:val="0"/>
          <w:sz w:val="24"/>
          <w:highlight w:val="none"/>
          <w:u w:val="single"/>
        </w:rPr>
        <w:t>①</w:t>
      </w:r>
      <w:r>
        <w:rPr>
          <w:rFonts w:hint="eastAsia" w:ascii="宋体" w:hAnsi="宋体" w:cs="宋体"/>
          <w:sz w:val="24"/>
          <w:highlight w:val="none"/>
          <w:u w:val="single"/>
        </w:rPr>
        <w:t>注册土木工程师(岩土)资格</w:t>
      </w:r>
      <w:r>
        <w:rPr>
          <w:rFonts w:hint="eastAsia" w:ascii="宋体" w:hAnsi="宋体" w:cs="宋体"/>
          <w:kern w:val="0"/>
          <w:sz w:val="24"/>
          <w:highlight w:val="none"/>
          <w:u w:val="single"/>
        </w:rPr>
        <w:t>，②本专业（含相近专业）高级或以上工程师，③从事本专业（含相近专业）工作10年或以上且具备工程师资格，④在广东省住房和城乡建设主管部门备案的业务范围符合本招标项目对勘察专业负责人要求的香港专业人士。</w:t>
      </w:r>
    </w:p>
    <w:p w14:paraId="0D715373">
      <w:pPr>
        <w:autoSpaceDE w:val="0"/>
        <w:autoSpaceDN w:val="0"/>
        <w:adjustRightInd w:val="0"/>
        <w:spacing w:line="360" w:lineRule="auto"/>
        <w:ind w:firstLine="484" w:firstLineChars="202"/>
        <w:jc w:val="left"/>
        <w:rPr>
          <w:rFonts w:hint="eastAsia" w:ascii="宋体" w:hAnsi="宋体" w:cs="宋体"/>
          <w:sz w:val="24"/>
          <w:highlight w:val="none"/>
          <w:u w:val="single"/>
        </w:rPr>
      </w:pPr>
      <w:r>
        <w:rPr>
          <w:rFonts w:hint="eastAsia" w:ascii="宋体" w:hAnsi="宋体" w:cs="宋体"/>
          <w:sz w:val="24"/>
          <w:highlight w:val="none"/>
          <w:u w:val="single"/>
        </w:rPr>
        <w:t>注：①从事本专业工作年限按招标文件附录2要求提供的资历表为准。</w:t>
      </w:r>
    </w:p>
    <w:p w14:paraId="1C19755E">
      <w:pPr>
        <w:autoSpaceDE w:val="0"/>
        <w:autoSpaceDN w:val="0"/>
        <w:adjustRightInd w:val="0"/>
        <w:spacing w:line="360" w:lineRule="auto"/>
        <w:ind w:firstLine="484" w:firstLineChars="202"/>
        <w:jc w:val="left"/>
        <w:rPr>
          <w:rFonts w:hint="eastAsia" w:ascii="宋体" w:hAnsi="宋体" w:cs="宋体"/>
          <w:sz w:val="24"/>
          <w:highlight w:val="none"/>
          <w:u w:val="single"/>
        </w:rPr>
      </w:pPr>
      <w:r>
        <w:rPr>
          <w:rFonts w:hint="eastAsia" w:ascii="宋体" w:hAnsi="宋体" w:cs="宋体"/>
          <w:sz w:val="24"/>
          <w:highlight w:val="none"/>
          <w:u w:val="single"/>
        </w:rPr>
        <w:t>②香港专业人士的备案业务范围依据《广东省住房和城乡建设厅关于印发香港工程建设咨询企业和专业人士在粤港澳大湾区内地城市开业执业试点管理暂行办法的通知》（粤建规范〔2020〕1号）确定。</w:t>
      </w:r>
    </w:p>
    <w:p w14:paraId="5A2A2D34">
      <w:pPr>
        <w:autoSpaceDE w:val="0"/>
        <w:autoSpaceDN w:val="0"/>
        <w:adjustRightInd w:val="0"/>
        <w:spacing w:line="360" w:lineRule="auto"/>
        <w:ind w:firstLine="479" w:firstLineChars="186"/>
        <w:jc w:val="left"/>
        <w:rPr>
          <w:rFonts w:hint="eastAsia" w:ascii="宋体" w:hAnsi="宋体" w:cs="宋体"/>
          <w:spacing w:val="9"/>
          <w:kern w:val="0"/>
          <w:sz w:val="24"/>
          <w:highlight w:val="none"/>
        </w:rPr>
      </w:pPr>
      <w:r>
        <w:rPr>
          <w:rFonts w:hint="eastAsia" w:ascii="宋体" w:hAnsi="宋体" w:cs="宋体"/>
          <w:spacing w:val="9"/>
          <w:kern w:val="0"/>
          <w:sz w:val="24"/>
          <w:highlight w:val="none"/>
        </w:rPr>
        <w:t>3.2 本次招标</w:t>
      </w:r>
      <w:r>
        <w:rPr>
          <w:rFonts w:hint="eastAsia" w:ascii="宋体" w:hAnsi="宋体" w:cs="宋体"/>
          <w:b/>
          <w:spacing w:val="9"/>
          <w:kern w:val="0"/>
          <w:sz w:val="24"/>
          <w:highlight w:val="none"/>
          <w:u w:val="single"/>
        </w:rPr>
        <w:t>接受</w:t>
      </w:r>
      <w:r>
        <w:rPr>
          <w:rFonts w:hint="eastAsia" w:ascii="宋体" w:hAnsi="宋体" w:cs="宋体"/>
          <w:spacing w:val="9"/>
          <w:kern w:val="0"/>
          <w:sz w:val="24"/>
          <w:highlight w:val="none"/>
        </w:rPr>
        <w:t>联合体投标。联合体投标的，应满足下列要求：</w:t>
      </w:r>
    </w:p>
    <w:p w14:paraId="425677BC">
      <w:pPr>
        <w:autoSpaceDE w:val="0"/>
        <w:autoSpaceDN w:val="0"/>
        <w:adjustRightInd w:val="0"/>
        <w:spacing w:line="360" w:lineRule="auto"/>
        <w:ind w:firstLine="484" w:firstLineChars="202"/>
        <w:jc w:val="left"/>
        <w:rPr>
          <w:rFonts w:hint="eastAsia" w:ascii="宋体" w:hAnsi="宋体" w:cs="宋体"/>
          <w:sz w:val="24"/>
          <w:highlight w:val="none"/>
          <w:u w:val="single"/>
        </w:rPr>
      </w:pPr>
      <w:r>
        <w:rPr>
          <w:rFonts w:hint="eastAsia" w:ascii="宋体" w:hAnsi="宋体" w:cs="宋体"/>
          <w:sz w:val="24"/>
          <w:highlight w:val="none"/>
          <w:u w:val="single"/>
        </w:rPr>
        <w:t>投标人可以组成联合体投标，但只接受最多由</w:t>
      </w:r>
      <w:r>
        <w:rPr>
          <w:rFonts w:ascii="宋体" w:hAnsi="宋体" w:cs="宋体"/>
          <w:sz w:val="24"/>
          <w:highlight w:val="none"/>
          <w:u w:val="single"/>
        </w:rPr>
        <w:t>2</w:t>
      </w:r>
      <w:r>
        <w:rPr>
          <w:rFonts w:hint="eastAsia" w:ascii="宋体" w:hAnsi="宋体" w:cs="宋体"/>
          <w:sz w:val="24"/>
          <w:highlight w:val="none"/>
          <w:u w:val="single"/>
        </w:rPr>
        <w:t>家单位组成的联合体（</w:t>
      </w:r>
      <w:r>
        <w:rPr>
          <w:rFonts w:ascii="宋体" w:hAnsi="宋体" w:cs="宋体"/>
          <w:sz w:val="24"/>
          <w:highlight w:val="none"/>
          <w:u w:val="single"/>
        </w:rPr>
        <w:t>1</w:t>
      </w:r>
      <w:r>
        <w:rPr>
          <w:rFonts w:hint="eastAsia" w:ascii="宋体" w:hAnsi="宋体" w:cs="宋体"/>
          <w:sz w:val="24"/>
          <w:highlight w:val="none"/>
          <w:u w:val="single"/>
        </w:rPr>
        <w:t>家设计资质单位、</w:t>
      </w:r>
      <w:r>
        <w:rPr>
          <w:rFonts w:ascii="宋体" w:hAnsi="宋体" w:cs="宋体"/>
          <w:sz w:val="24"/>
          <w:highlight w:val="none"/>
          <w:u w:val="single"/>
        </w:rPr>
        <w:t>1</w:t>
      </w:r>
      <w:r>
        <w:rPr>
          <w:rFonts w:hint="eastAsia" w:ascii="宋体" w:hAnsi="宋体" w:cs="宋体"/>
          <w:sz w:val="24"/>
          <w:highlight w:val="none"/>
          <w:u w:val="single"/>
        </w:rPr>
        <w:t>家勘察资质单位），并签订联合体共同投标协议（联合体共同投标协议应明确约定各方拟承担的工作和责任。投标登记截止后联合体增减、更换成员的，其投标无效）。联合体由具备相应设计资质且承接设计任务的一方为牵头人。投标人拟任本工程项目负责人应为牵头人正式员工。联合体各方（包括牵头方及联合体成员）不得再单独或与其他单位组成联合体参与本项目投标，出现上述情况者，其投标和与此有关的联合体的投标将被拒绝。</w:t>
      </w:r>
    </w:p>
    <w:p w14:paraId="58B3821D">
      <w:pPr>
        <w:autoSpaceDE w:val="0"/>
        <w:autoSpaceDN w:val="0"/>
        <w:adjustRightInd w:val="0"/>
        <w:spacing w:line="360" w:lineRule="auto"/>
        <w:ind w:firstLine="484" w:firstLineChars="202"/>
        <w:jc w:val="left"/>
        <w:rPr>
          <w:rFonts w:hint="eastAsia" w:ascii="宋体" w:hAnsi="宋体" w:cs="宋体"/>
          <w:kern w:val="0"/>
          <w:sz w:val="24"/>
          <w:highlight w:val="none"/>
        </w:rPr>
      </w:pPr>
      <w:r>
        <w:rPr>
          <w:rFonts w:hint="eastAsia" w:ascii="宋体" w:hAnsi="宋体" w:cs="宋体"/>
          <w:kern w:val="0"/>
          <w:position w:val="-4"/>
          <w:sz w:val="24"/>
          <w:highlight w:val="none"/>
        </w:rPr>
        <w:t>3.3 其他要求</w:t>
      </w:r>
    </w:p>
    <w:p w14:paraId="11E37586">
      <w:pPr>
        <w:spacing w:line="360" w:lineRule="auto"/>
        <w:ind w:firstLine="484" w:firstLineChars="202"/>
        <w:rPr>
          <w:rFonts w:hint="eastAsia" w:ascii="宋体" w:hAnsi="宋体" w:cs="宋体"/>
          <w:sz w:val="24"/>
          <w:highlight w:val="none"/>
          <w:u w:val="single"/>
        </w:rPr>
      </w:pPr>
      <w:r>
        <w:rPr>
          <w:rFonts w:hint="eastAsia" w:ascii="宋体" w:hAnsi="宋体" w:cs="宋体"/>
          <w:sz w:val="24"/>
          <w:highlight w:val="none"/>
          <w:u w:val="single"/>
        </w:rPr>
        <w:t>（1）投标人参加投标的意思表达清楚，投标人代表被授权有效。</w:t>
      </w:r>
    </w:p>
    <w:p w14:paraId="20F2E15A">
      <w:pPr>
        <w:spacing w:line="360" w:lineRule="auto"/>
        <w:ind w:firstLine="484" w:firstLineChars="202"/>
        <w:rPr>
          <w:rFonts w:hint="eastAsia" w:ascii="宋体" w:hAnsi="宋体" w:cs="宋体"/>
          <w:sz w:val="24"/>
          <w:highlight w:val="none"/>
          <w:u w:val="single"/>
        </w:rPr>
      </w:pPr>
      <w:r>
        <w:rPr>
          <w:rFonts w:hint="eastAsia" w:ascii="宋体" w:hAnsi="宋体" w:cs="宋体"/>
          <w:sz w:val="24"/>
          <w:highlight w:val="none"/>
          <w:u w:val="single"/>
        </w:rPr>
        <w:t>（2）投标人具有独立法人资格，持有工商行政管理部门核发的法人营业执照，按国家法律经营。香港企业提供在香港进行商业登记的证明文书。</w:t>
      </w:r>
    </w:p>
    <w:p w14:paraId="24EE97FE">
      <w:pPr>
        <w:spacing w:line="360" w:lineRule="auto"/>
        <w:ind w:firstLine="484" w:firstLineChars="202"/>
        <w:rPr>
          <w:rFonts w:hint="eastAsia" w:ascii="宋体" w:hAnsi="宋体" w:cs="宋体"/>
          <w:sz w:val="24"/>
          <w:highlight w:val="none"/>
          <w:u w:val="single"/>
        </w:rPr>
      </w:pPr>
      <w:r>
        <w:rPr>
          <w:rFonts w:hint="eastAsia" w:ascii="宋体" w:hAnsi="宋体" w:cs="宋体"/>
          <w:sz w:val="24"/>
          <w:highlight w:val="none"/>
          <w:u w:val="single"/>
        </w:rPr>
        <w:t>（3）投标人已按规定格式签名盖章《投标人声明》（详见招标文件第六章投标文件格式要求）。</w:t>
      </w:r>
    </w:p>
    <w:p w14:paraId="103EB97D">
      <w:pPr>
        <w:pStyle w:val="9"/>
        <w:spacing w:line="360" w:lineRule="auto"/>
        <w:rPr>
          <w:highlight w:val="none"/>
        </w:rPr>
      </w:pPr>
      <w:r>
        <w:rPr>
          <w:rFonts w:hint="eastAsia" w:ascii="宋体" w:hAnsi="宋体" w:cs="宋体"/>
          <w:sz w:val="24"/>
          <w:highlight w:val="none"/>
          <w:u w:val="single"/>
        </w:rPr>
        <w:t>（4）未被列入拖欠农民工工资失信联合惩戒对象名单（按广州公共资源交易中心交易系统比对结果进行评审）。</w:t>
      </w:r>
    </w:p>
    <w:p w14:paraId="16E2B609">
      <w:pPr>
        <w:spacing w:line="360" w:lineRule="auto"/>
        <w:rPr>
          <w:rFonts w:hint="eastAsia" w:ascii="宋体" w:hAnsi="宋体" w:cs="宋体"/>
          <w:sz w:val="24"/>
          <w:highlight w:val="none"/>
        </w:rPr>
      </w:pPr>
    </w:p>
    <w:p w14:paraId="5C831B6C">
      <w:pPr>
        <w:pStyle w:val="3"/>
        <w:spacing w:before="0" w:after="0" w:line="360" w:lineRule="auto"/>
        <w:rPr>
          <w:rFonts w:hint="eastAsia" w:ascii="宋体" w:hAnsi="宋体" w:cs="宋体"/>
          <w:b/>
          <w:sz w:val="24"/>
          <w:szCs w:val="24"/>
          <w:highlight w:val="none"/>
        </w:rPr>
      </w:pPr>
      <w:bookmarkStart w:id="5" w:name="_Toc60344355"/>
      <w:r>
        <w:rPr>
          <w:rFonts w:hint="eastAsia" w:ascii="宋体" w:hAnsi="宋体" w:cs="宋体"/>
          <w:b/>
          <w:sz w:val="24"/>
          <w:szCs w:val="24"/>
          <w:highlight w:val="none"/>
        </w:rPr>
        <w:t>4. 技术成果经济补偿</w:t>
      </w:r>
      <w:bookmarkEnd w:id="5"/>
    </w:p>
    <w:p w14:paraId="547D3599">
      <w:pPr>
        <w:autoSpaceDE w:val="0"/>
        <w:autoSpaceDN w:val="0"/>
        <w:adjustRightInd w:val="0"/>
        <w:spacing w:line="360" w:lineRule="auto"/>
        <w:ind w:left="100" w:right="142" w:firstLine="369" w:firstLineChars="154"/>
        <w:jc w:val="left"/>
        <w:rPr>
          <w:rFonts w:hint="eastAsia" w:ascii="宋体" w:hAnsi="宋体" w:cs="宋体"/>
          <w:kern w:val="0"/>
          <w:sz w:val="24"/>
          <w:highlight w:val="none"/>
        </w:rPr>
      </w:pPr>
      <w:r>
        <w:rPr>
          <w:rFonts w:hint="eastAsia" w:ascii="宋体" w:hAnsi="宋体" w:cs="宋体"/>
          <w:kern w:val="0"/>
          <w:sz w:val="24"/>
          <w:highlight w:val="none"/>
        </w:rPr>
        <w:t>本次</w:t>
      </w:r>
      <w:r>
        <w:rPr>
          <w:rFonts w:hint="eastAsia" w:ascii="宋体" w:hAnsi="宋体" w:cs="宋体"/>
          <w:spacing w:val="-2"/>
          <w:kern w:val="0"/>
          <w:sz w:val="24"/>
          <w:highlight w:val="none"/>
        </w:rPr>
        <w:t>招</w:t>
      </w:r>
      <w:r>
        <w:rPr>
          <w:rFonts w:hint="eastAsia" w:ascii="宋体" w:hAnsi="宋体" w:cs="宋体"/>
          <w:kern w:val="0"/>
          <w:sz w:val="24"/>
          <w:highlight w:val="none"/>
        </w:rPr>
        <w:t>标对未中标人投标文件中的技术成果不给予经济补偿。</w:t>
      </w:r>
    </w:p>
    <w:p w14:paraId="140B8D09">
      <w:pPr>
        <w:spacing w:line="360" w:lineRule="auto"/>
        <w:rPr>
          <w:rFonts w:hint="eastAsia" w:ascii="宋体" w:hAnsi="宋体" w:cs="宋体"/>
          <w:sz w:val="24"/>
          <w:highlight w:val="none"/>
        </w:rPr>
      </w:pPr>
    </w:p>
    <w:p w14:paraId="77C20F72">
      <w:pPr>
        <w:pStyle w:val="3"/>
        <w:spacing w:before="0" w:after="0" w:line="360" w:lineRule="auto"/>
        <w:rPr>
          <w:rFonts w:hint="eastAsia" w:ascii="宋体" w:hAnsi="宋体" w:cs="宋体"/>
          <w:b/>
          <w:sz w:val="24"/>
          <w:szCs w:val="24"/>
          <w:highlight w:val="none"/>
        </w:rPr>
      </w:pPr>
      <w:bookmarkStart w:id="6" w:name="_Toc60344356"/>
      <w:r>
        <w:rPr>
          <w:rFonts w:hint="eastAsia" w:ascii="宋体" w:hAnsi="宋体" w:cs="宋体"/>
          <w:b/>
          <w:sz w:val="24"/>
          <w:szCs w:val="24"/>
          <w:highlight w:val="none"/>
        </w:rPr>
        <w:t>5. 发布招标公告、招标文件获取：</w:t>
      </w:r>
      <w:bookmarkEnd w:id="6"/>
    </w:p>
    <w:p w14:paraId="0E9FC886">
      <w:pPr>
        <w:spacing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rPr>
        <w:t>5.1</w:t>
      </w:r>
      <w:r>
        <w:rPr>
          <w:rFonts w:hint="eastAsia" w:ascii="宋体" w:hAnsi="宋体" w:cs="宋体"/>
          <w:sz w:val="24"/>
          <w:highlight w:val="none"/>
        </w:rPr>
        <w:t>发布招标公告时间：</w:t>
      </w:r>
      <w:r>
        <w:rPr>
          <w:rFonts w:hint="eastAsia" w:ascii="宋体" w:hAnsi="宋体" w:cs="宋体"/>
          <w:sz w:val="24"/>
          <w:highlight w:val="none"/>
          <w:u w:val="single"/>
        </w:rPr>
        <w:t>2024</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 xml:space="preserve">    </w:t>
      </w:r>
      <w:r>
        <w:rPr>
          <w:rFonts w:hint="eastAsia" w:ascii="宋体" w:hAnsi="宋体" w:cs="宋体"/>
          <w:sz w:val="24"/>
          <w:highlight w:val="none"/>
        </w:rPr>
        <w:t>时</w:t>
      </w:r>
      <w:r>
        <w:rPr>
          <w:rFonts w:hint="eastAsia" w:ascii="宋体" w:hAnsi="宋体" w:cs="宋体"/>
          <w:sz w:val="24"/>
          <w:highlight w:val="none"/>
          <w:u w:val="single"/>
        </w:rPr>
        <w:t xml:space="preserve">   </w:t>
      </w:r>
      <w:r>
        <w:rPr>
          <w:rFonts w:hint="eastAsia" w:ascii="宋体" w:hAnsi="宋体" w:cs="宋体"/>
          <w:sz w:val="24"/>
          <w:highlight w:val="none"/>
        </w:rPr>
        <w:t>分至</w:t>
      </w:r>
      <w:r>
        <w:rPr>
          <w:rFonts w:hint="eastAsia" w:ascii="宋体" w:hAnsi="宋体" w:cs="宋体"/>
          <w:sz w:val="24"/>
          <w:highlight w:val="none"/>
          <w:u w:val="single"/>
        </w:rPr>
        <w:t>2024</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 xml:space="preserve">   </w:t>
      </w:r>
      <w:r>
        <w:rPr>
          <w:rFonts w:hint="eastAsia" w:ascii="宋体" w:hAnsi="宋体" w:cs="宋体"/>
          <w:sz w:val="24"/>
          <w:highlight w:val="none"/>
        </w:rPr>
        <w:t>时</w:t>
      </w:r>
      <w:r>
        <w:rPr>
          <w:rFonts w:hint="eastAsia" w:ascii="宋体" w:hAnsi="宋体" w:cs="宋体"/>
          <w:sz w:val="24"/>
          <w:highlight w:val="none"/>
          <w:u w:val="single"/>
        </w:rPr>
        <w:t xml:space="preserve">   </w:t>
      </w:r>
      <w:r>
        <w:rPr>
          <w:rFonts w:hint="eastAsia" w:ascii="宋体" w:hAnsi="宋体" w:cs="宋体"/>
          <w:sz w:val="24"/>
          <w:highlight w:val="none"/>
        </w:rPr>
        <w:t>分。</w:t>
      </w:r>
    </w:p>
    <w:p w14:paraId="1043C39E">
      <w:pPr>
        <w:autoSpaceDE w:val="0"/>
        <w:autoSpaceDN w:val="0"/>
        <w:adjustRightInd w:val="0"/>
        <w:spacing w:line="360" w:lineRule="auto"/>
        <w:ind w:firstLine="480" w:firstLineChars="200"/>
        <w:jc w:val="left"/>
        <w:rPr>
          <w:rFonts w:hint="eastAsia" w:ascii="宋体" w:hAnsi="宋体" w:cs="宋体"/>
          <w:strike/>
          <w:kern w:val="0"/>
          <w:sz w:val="24"/>
          <w:highlight w:val="none"/>
        </w:rPr>
      </w:pPr>
      <w:r>
        <w:rPr>
          <w:rFonts w:hint="eastAsia" w:ascii="宋体" w:hAnsi="宋体" w:cs="宋体"/>
          <w:sz w:val="24"/>
          <w:highlight w:val="none"/>
        </w:rPr>
        <w:t>注：发布招标公告的时间为招标公告发出之日起至递交投标文件截止时间止。</w:t>
      </w:r>
    </w:p>
    <w:p w14:paraId="11631FAF">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5.2</w:t>
      </w:r>
      <w:r>
        <w:rPr>
          <w:rFonts w:hint="eastAsia" w:ascii="宋体" w:hAnsi="宋体" w:cs="宋体"/>
          <w:spacing w:val="30"/>
          <w:kern w:val="0"/>
          <w:sz w:val="24"/>
          <w:highlight w:val="none"/>
        </w:rPr>
        <w:t xml:space="preserve"> 凡有意参加投标者，请于</w:t>
      </w:r>
      <w:r>
        <w:rPr>
          <w:rFonts w:hint="eastAsia" w:ascii="宋体" w:hAnsi="宋体" w:cs="宋体"/>
          <w:sz w:val="24"/>
          <w:highlight w:val="none"/>
          <w:u w:val="single"/>
        </w:rPr>
        <w:t>2024</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 xml:space="preserve">   </w:t>
      </w:r>
      <w:r>
        <w:rPr>
          <w:rFonts w:hint="eastAsia" w:ascii="宋体" w:hAnsi="宋体" w:cs="宋体"/>
          <w:sz w:val="24"/>
          <w:highlight w:val="none"/>
        </w:rPr>
        <w:t>时</w:t>
      </w:r>
      <w:r>
        <w:rPr>
          <w:rFonts w:hint="eastAsia" w:ascii="宋体" w:hAnsi="宋体" w:cs="宋体"/>
          <w:sz w:val="24"/>
          <w:highlight w:val="none"/>
          <w:u w:val="single"/>
        </w:rPr>
        <w:t xml:space="preserve">   </w:t>
      </w:r>
      <w:r>
        <w:rPr>
          <w:rFonts w:hint="eastAsia" w:ascii="宋体" w:hAnsi="宋体" w:cs="宋体"/>
          <w:sz w:val="24"/>
          <w:highlight w:val="none"/>
        </w:rPr>
        <w:t>分至</w:t>
      </w:r>
      <w:r>
        <w:rPr>
          <w:rFonts w:hint="eastAsia" w:ascii="宋体" w:hAnsi="宋体" w:cs="宋体"/>
          <w:sz w:val="24"/>
          <w:highlight w:val="none"/>
          <w:u w:val="single"/>
        </w:rPr>
        <w:t>2024</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 xml:space="preserve">   </w:t>
      </w:r>
      <w:r>
        <w:rPr>
          <w:rFonts w:hint="eastAsia" w:ascii="宋体" w:hAnsi="宋体" w:cs="宋体"/>
          <w:sz w:val="24"/>
          <w:highlight w:val="none"/>
        </w:rPr>
        <w:t>时</w:t>
      </w:r>
      <w:r>
        <w:rPr>
          <w:rFonts w:hint="eastAsia" w:ascii="宋体" w:hAnsi="宋体" w:cs="宋体"/>
          <w:sz w:val="24"/>
          <w:highlight w:val="none"/>
          <w:u w:val="single"/>
        </w:rPr>
        <w:t xml:space="preserve">    </w:t>
      </w:r>
      <w:r>
        <w:rPr>
          <w:rFonts w:hint="eastAsia" w:ascii="宋体" w:hAnsi="宋体" w:cs="宋体"/>
          <w:sz w:val="24"/>
          <w:highlight w:val="none"/>
        </w:rPr>
        <w:t>分</w:t>
      </w:r>
      <w:r>
        <w:rPr>
          <w:rFonts w:hint="eastAsia" w:ascii="宋体" w:hAnsi="宋体" w:cs="宋体"/>
          <w:kern w:val="0"/>
          <w:sz w:val="24"/>
          <w:highlight w:val="none"/>
        </w:rPr>
        <w:t>（北京时间，下同），登录</w:t>
      </w:r>
      <w:r>
        <w:rPr>
          <w:rFonts w:hint="eastAsia" w:ascii="宋体" w:hAnsi="宋体" w:cs="宋体"/>
          <w:kern w:val="0"/>
          <w:sz w:val="24"/>
          <w:highlight w:val="none"/>
          <w:u w:val="single"/>
        </w:rPr>
        <w:t>广州公共资源交易中心网站（网址：</w:t>
      </w:r>
      <w:r>
        <w:rPr>
          <w:highlight w:val="none"/>
        </w:rPr>
        <w:fldChar w:fldCharType="begin"/>
      </w:r>
      <w:r>
        <w:rPr>
          <w:highlight w:val="none"/>
        </w:rPr>
        <w:instrText xml:space="preserve"> HYPERLINK "http://www.gzggzy.cn/" </w:instrText>
      </w:r>
      <w:r>
        <w:rPr>
          <w:highlight w:val="none"/>
        </w:rPr>
        <w:fldChar w:fldCharType="separate"/>
      </w:r>
      <w:r>
        <w:rPr>
          <w:rFonts w:hint="eastAsia" w:ascii="宋体" w:hAnsi="宋体" w:cs="宋体"/>
          <w:kern w:val="0"/>
          <w:sz w:val="24"/>
          <w:highlight w:val="none"/>
          <w:u w:val="single"/>
        </w:rPr>
        <w:t>http://www.gzggzy.cn</w:t>
      </w:r>
      <w:r>
        <w:rPr>
          <w:rFonts w:hint="eastAsia" w:ascii="宋体" w:hAnsi="宋体" w:cs="宋体"/>
          <w:kern w:val="0"/>
          <w:sz w:val="24"/>
          <w:highlight w:val="none"/>
          <w:u w:val="single"/>
        </w:rPr>
        <w:fldChar w:fldCharType="end"/>
      </w:r>
      <w:r>
        <w:rPr>
          <w:rFonts w:hint="eastAsia" w:ascii="宋体" w:hAnsi="宋体" w:cs="宋体"/>
          <w:sz w:val="24"/>
          <w:highlight w:val="none"/>
          <w:u w:val="single"/>
        </w:rPr>
        <w:t>）</w:t>
      </w:r>
      <w:r>
        <w:rPr>
          <w:rFonts w:hint="eastAsia" w:ascii="宋体" w:hAnsi="宋体" w:cs="宋体"/>
          <w:kern w:val="0"/>
          <w:sz w:val="24"/>
          <w:highlight w:val="none"/>
        </w:rPr>
        <w:t>下载电子招标文件。</w:t>
      </w:r>
    </w:p>
    <w:p w14:paraId="3243F4A4">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u w:val="single"/>
        </w:rPr>
        <w:t>5.3 资格审查方式：资格后审。</w:t>
      </w:r>
    </w:p>
    <w:p w14:paraId="575373AE">
      <w:pPr>
        <w:spacing w:line="360" w:lineRule="auto"/>
        <w:rPr>
          <w:rFonts w:hint="eastAsia" w:ascii="宋体" w:hAnsi="宋体" w:cs="宋体"/>
          <w:sz w:val="24"/>
          <w:highlight w:val="none"/>
        </w:rPr>
      </w:pPr>
    </w:p>
    <w:p w14:paraId="587EE1B8">
      <w:pPr>
        <w:pStyle w:val="3"/>
        <w:spacing w:before="0" w:after="0" w:line="360" w:lineRule="auto"/>
        <w:rPr>
          <w:rFonts w:hint="eastAsia" w:ascii="宋体" w:hAnsi="宋体" w:cs="宋体"/>
          <w:b/>
          <w:sz w:val="24"/>
          <w:szCs w:val="24"/>
          <w:highlight w:val="none"/>
        </w:rPr>
      </w:pPr>
      <w:bookmarkStart w:id="7" w:name="_Toc60344357"/>
      <w:r>
        <w:rPr>
          <w:rFonts w:hint="eastAsia" w:ascii="宋体" w:hAnsi="宋体" w:cs="宋体"/>
          <w:b/>
          <w:sz w:val="24"/>
          <w:szCs w:val="24"/>
          <w:highlight w:val="none"/>
        </w:rPr>
        <w:t>6. 投标文件的递交、开标时间及办理投标登记手续：</w:t>
      </w:r>
      <w:bookmarkEnd w:id="7"/>
    </w:p>
    <w:p w14:paraId="722FDDDA">
      <w:pPr>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6.1 递交电子投标文件的截止时间（投标截止时间，下同）为</w:t>
      </w:r>
      <w:r>
        <w:rPr>
          <w:rFonts w:hint="eastAsia" w:ascii="宋体" w:hAnsi="宋体" w:cs="宋体"/>
          <w:sz w:val="24"/>
          <w:highlight w:val="none"/>
          <w:u w:val="single"/>
        </w:rPr>
        <w:t>2024</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 xml:space="preserve">   </w:t>
      </w:r>
      <w:r>
        <w:rPr>
          <w:rFonts w:hint="eastAsia" w:ascii="宋体" w:hAnsi="宋体" w:cs="宋体"/>
          <w:sz w:val="24"/>
          <w:highlight w:val="none"/>
        </w:rPr>
        <w:t>时</w:t>
      </w:r>
      <w:r>
        <w:rPr>
          <w:rFonts w:hint="eastAsia" w:ascii="宋体" w:hAnsi="宋体" w:cs="宋体"/>
          <w:sz w:val="24"/>
          <w:highlight w:val="none"/>
          <w:u w:val="single"/>
        </w:rPr>
        <w:t xml:space="preserve">    </w:t>
      </w:r>
      <w:r>
        <w:rPr>
          <w:rFonts w:hint="eastAsia" w:ascii="宋体" w:hAnsi="宋体" w:cs="宋体"/>
          <w:sz w:val="24"/>
          <w:highlight w:val="none"/>
        </w:rPr>
        <w:t>分</w:t>
      </w:r>
      <w:r>
        <w:rPr>
          <w:rFonts w:hint="eastAsia" w:ascii="宋体" w:hAnsi="宋体" w:cs="宋体"/>
          <w:kern w:val="0"/>
          <w:sz w:val="24"/>
          <w:highlight w:val="none"/>
        </w:rPr>
        <w:t>，投标人应在截止时间前通过</w:t>
      </w:r>
      <w:r>
        <w:rPr>
          <w:rFonts w:hint="eastAsia" w:ascii="宋体" w:hAnsi="宋体" w:cs="宋体"/>
          <w:kern w:val="0"/>
          <w:sz w:val="24"/>
          <w:highlight w:val="none"/>
          <w:u w:val="single"/>
        </w:rPr>
        <w:t>广州公共资源交易中心数字交易平台（网址：http://www.gzggzy.cn）</w:t>
      </w:r>
      <w:r>
        <w:rPr>
          <w:rFonts w:hint="eastAsia" w:ascii="宋体" w:hAnsi="宋体" w:cs="宋体"/>
          <w:kern w:val="0"/>
          <w:sz w:val="24"/>
          <w:highlight w:val="none"/>
        </w:rPr>
        <w:t>递交电子投标文件。</w:t>
      </w:r>
    </w:p>
    <w:p w14:paraId="009134A9">
      <w:pPr>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6.2 递交备用投标文件电子光盘的规定：时间为：</w:t>
      </w:r>
      <w:r>
        <w:rPr>
          <w:rFonts w:hint="eastAsia" w:ascii="宋体" w:hAnsi="宋体" w:cs="宋体"/>
          <w:sz w:val="24"/>
          <w:highlight w:val="none"/>
          <w:u w:val="single"/>
        </w:rPr>
        <w:t>2024</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 xml:space="preserve">  </w:t>
      </w:r>
      <w:r>
        <w:rPr>
          <w:rFonts w:hint="eastAsia" w:ascii="宋体" w:hAnsi="宋体" w:cs="宋体"/>
          <w:sz w:val="24"/>
          <w:highlight w:val="none"/>
        </w:rPr>
        <w:t>时</w:t>
      </w:r>
      <w:r>
        <w:rPr>
          <w:rFonts w:hint="eastAsia" w:ascii="宋体" w:hAnsi="宋体" w:cs="宋体"/>
          <w:sz w:val="24"/>
          <w:highlight w:val="none"/>
          <w:u w:val="single"/>
        </w:rPr>
        <w:t xml:space="preserve">   </w:t>
      </w:r>
      <w:r>
        <w:rPr>
          <w:rFonts w:hint="eastAsia" w:ascii="宋体" w:hAnsi="宋体" w:cs="宋体"/>
          <w:sz w:val="24"/>
          <w:highlight w:val="none"/>
        </w:rPr>
        <w:t>分</w:t>
      </w:r>
      <w:r>
        <w:rPr>
          <w:rFonts w:hint="eastAsia" w:ascii="宋体" w:hAnsi="宋体" w:cs="宋体"/>
          <w:kern w:val="0"/>
          <w:sz w:val="24"/>
          <w:highlight w:val="none"/>
        </w:rPr>
        <w:t>至</w:t>
      </w:r>
      <w:r>
        <w:rPr>
          <w:rFonts w:hint="eastAsia" w:ascii="宋体" w:hAnsi="宋体" w:cs="宋体"/>
          <w:sz w:val="24"/>
          <w:highlight w:val="none"/>
          <w:u w:val="single"/>
        </w:rPr>
        <w:t>2024</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 xml:space="preserve">    </w:t>
      </w:r>
      <w:r>
        <w:rPr>
          <w:rFonts w:hint="eastAsia" w:ascii="宋体" w:hAnsi="宋体" w:cs="宋体"/>
          <w:sz w:val="24"/>
          <w:highlight w:val="none"/>
        </w:rPr>
        <w:t>时</w:t>
      </w:r>
      <w:r>
        <w:rPr>
          <w:rFonts w:hint="eastAsia" w:ascii="宋体" w:hAnsi="宋体" w:cs="宋体"/>
          <w:sz w:val="24"/>
          <w:highlight w:val="none"/>
          <w:u w:val="single"/>
        </w:rPr>
        <w:t xml:space="preserve">    </w:t>
      </w:r>
      <w:r>
        <w:rPr>
          <w:rFonts w:hint="eastAsia" w:ascii="宋体" w:hAnsi="宋体" w:cs="宋体"/>
          <w:sz w:val="24"/>
          <w:highlight w:val="none"/>
        </w:rPr>
        <w:t>分</w:t>
      </w:r>
      <w:r>
        <w:rPr>
          <w:rFonts w:hint="eastAsia" w:ascii="宋体" w:hAnsi="宋体" w:cs="宋体"/>
          <w:kern w:val="0"/>
          <w:sz w:val="24"/>
          <w:highlight w:val="none"/>
        </w:rPr>
        <w:t>；地点：广州公共资源交易中心</w:t>
      </w:r>
      <w:r>
        <w:rPr>
          <w:rFonts w:hint="eastAsia" w:ascii="宋体" w:hAnsi="宋体" w:cs="宋体"/>
          <w:kern w:val="0"/>
          <w:sz w:val="24"/>
          <w:highlight w:val="none"/>
          <w:u w:val="single"/>
        </w:rPr>
        <w:t xml:space="preserve">   （天润路333号）</w:t>
      </w:r>
      <w:r>
        <w:rPr>
          <w:rFonts w:hint="eastAsia" w:ascii="宋体" w:hAnsi="宋体" w:cs="宋体"/>
          <w:kern w:val="0"/>
          <w:sz w:val="24"/>
          <w:highlight w:val="none"/>
        </w:rPr>
        <w:t xml:space="preserve"> 。（电子光盘需按规定封装。投标人在将数据刻录到光盘之后，投标前自行检查文件是否可以读取）</w:t>
      </w:r>
    </w:p>
    <w:p w14:paraId="187AA5AE">
      <w:pPr>
        <w:spacing w:line="360" w:lineRule="auto"/>
        <w:ind w:left="239" w:leftChars="114" w:firstLine="240" w:firstLineChars="100"/>
        <w:jc w:val="left"/>
        <w:rPr>
          <w:rFonts w:hint="eastAsia" w:ascii="宋体" w:hAnsi="宋体" w:cs="宋体"/>
          <w:kern w:val="0"/>
          <w:sz w:val="24"/>
          <w:highlight w:val="none"/>
        </w:rPr>
      </w:pPr>
      <w:r>
        <w:rPr>
          <w:rFonts w:hint="eastAsia" w:ascii="宋体" w:hAnsi="宋体" w:cs="宋体"/>
          <w:kern w:val="0"/>
          <w:sz w:val="24"/>
          <w:highlight w:val="none"/>
        </w:rPr>
        <w:t>6.3 电子投标文件解密时间：</w:t>
      </w:r>
      <w:r>
        <w:rPr>
          <w:rFonts w:hint="eastAsia" w:ascii="宋体" w:hAnsi="宋体" w:cs="宋体"/>
          <w:sz w:val="24"/>
          <w:highlight w:val="none"/>
          <w:u w:val="single"/>
        </w:rPr>
        <w:t>2024</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 xml:space="preserve">    </w:t>
      </w:r>
      <w:r>
        <w:rPr>
          <w:rFonts w:hint="eastAsia" w:ascii="宋体" w:hAnsi="宋体" w:cs="宋体"/>
          <w:sz w:val="24"/>
          <w:highlight w:val="none"/>
        </w:rPr>
        <w:t>时</w:t>
      </w:r>
      <w:r>
        <w:rPr>
          <w:rFonts w:hint="eastAsia" w:ascii="宋体" w:hAnsi="宋体" w:cs="宋体"/>
          <w:sz w:val="24"/>
          <w:highlight w:val="none"/>
          <w:u w:val="single"/>
        </w:rPr>
        <w:t xml:space="preserve">    </w:t>
      </w:r>
      <w:r>
        <w:rPr>
          <w:rFonts w:hint="eastAsia" w:ascii="宋体" w:hAnsi="宋体" w:cs="宋体"/>
          <w:sz w:val="24"/>
          <w:highlight w:val="none"/>
        </w:rPr>
        <w:t>分</w:t>
      </w:r>
      <w:r>
        <w:rPr>
          <w:rFonts w:hint="eastAsia" w:ascii="宋体" w:hAnsi="宋体" w:cs="宋体"/>
          <w:kern w:val="0"/>
          <w:sz w:val="24"/>
          <w:highlight w:val="none"/>
        </w:rPr>
        <w:t>至</w:t>
      </w:r>
      <w:r>
        <w:rPr>
          <w:rFonts w:hint="eastAsia" w:ascii="宋体" w:hAnsi="宋体" w:cs="宋体"/>
          <w:sz w:val="24"/>
          <w:highlight w:val="none"/>
          <w:u w:val="single"/>
        </w:rPr>
        <w:t>2024</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 xml:space="preserve">    </w:t>
      </w:r>
      <w:r>
        <w:rPr>
          <w:rFonts w:hint="eastAsia" w:ascii="宋体" w:hAnsi="宋体" w:cs="宋体"/>
          <w:sz w:val="24"/>
          <w:highlight w:val="none"/>
        </w:rPr>
        <w:t>时</w:t>
      </w:r>
      <w:r>
        <w:rPr>
          <w:rFonts w:hint="eastAsia" w:ascii="宋体" w:hAnsi="宋体" w:cs="宋体"/>
          <w:sz w:val="24"/>
          <w:highlight w:val="none"/>
          <w:u w:val="single"/>
        </w:rPr>
        <w:t xml:space="preserve">   </w:t>
      </w:r>
      <w:r>
        <w:rPr>
          <w:rFonts w:hint="eastAsia" w:ascii="宋体" w:hAnsi="宋体" w:cs="宋体"/>
          <w:sz w:val="24"/>
          <w:highlight w:val="none"/>
        </w:rPr>
        <w:t>分</w:t>
      </w:r>
      <w:r>
        <w:rPr>
          <w:rFonts w:hint="eastAsia" w:ascii="宋体" w:hAnsi="宋体" w:cs="宋体"/>
          <w:kern w:val="0"/>
          <w:sz w:val="24"/>
          <w:highlight w:val="none"/>
        </w:rPr>
        <w:t>，投标人应在截止时间前通过交易平台网站对电子投标文件进行投标文件解密。</w:t>
      </w:r>
    </w:p>
    <w:p w14:paraId="4D2E8510">
      <w:pPr>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6.4 开标时间及地点：</w:t>
      </w:r>
      <w:r>
        <w:rPr>
          <w:rFonts w:hint="eastAsia" w:ascii="宋体" w:hAnsi="宋体" w:cs="宋体"/>
          <w:sz w:val="24"/>
          <w:highlight w:val="none"/>
          <w:u w:val="single"/>
        </w:rPr>
        <w:t>2024</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 xml:space="preserve">    </w:t>
      </w:r>
      <w:r>
        <w:rPr>
          <w:rFonts w:hint="eastAsia" w:ascii="宋体" w:hAnsi="宋体" w:cs="宋体"/>
          <w:sz w:val="24"/>
          <w:highlight w:val="none"/>
        </w:rPr>
        <w:t>时</w:t>
      </w:r>
      <w:r>
        <w:rPr>
          <w:rFonts w:hint="eastAsia" w:ascii="宋体" w:hAnsi="宋体" w:cs="宋体"/>
          <w:sz w:val="24"/>
          <w:highlight w:val="none"/>
          <w:u w:val="single"/>
        </w:rPr>
        <w:t xml:space="preserve">    </w:t>
      </w:r>
      <w:r>
        <w:rPr>
          <w:rFonts w:hint="eastAsia" w:ascii="宋体" w:hAnsi="宋体" w:cs="宋体"/>
          <w:sz w:val="24"/>
          <w:highlight w:val="none"/>
        </w:rPr>
        <w:t>分</w:t>
      </w:r>
      <w:r>
        <w:rPr>
          <w:rFonts w:hint="eastAsia" w:ascii="宋体" w:hAnsi="宋体" w:cs="宋体"/>
          <w:kern w:val="0"/>
          <w:sz w:val="24"/>
          <w:highlight w:val="none"/>
        </w:rPr>
        <w:t>；地点：广州公共资源交易中心</w:t>
      </w:r>
      <w:r>
        <w:rPr>
          <w:rFonts w:hint="eastAsia" w:ascii="宋体" w:hAnsi="宋体" w:cs="宋体"/>
          <w:kern w:val="0"/>
          <w:sz w:val="24"/>
          <w:highlight w:val="none"/>
          <w:u w:val="single"/>
        </w:rPr>
        <w:t>第    开标室（天润路333号）</w:t>
      </w:r>
      <w:r>
        <w:rPr>
          <w:rFonts w:hint="eastAsia" w:ascii="宋体" w:hAnsi="宋体" w:cs="宋体"/>
          <w:kern w:val="0"/>
          <w:sz w:val="24"/>
          <w:highlight w:val="none"/>
        </w:rPr>
        <w:t>。</w:t>
      </w:r>
    </w:p>
    <w:p w14:paraId="6FCF85DD">
      <w:pPr>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6.5 递交投标文件截止时间及开标时间是否有变化，请密切留意交易中心网站中的相关信息。递交投标文件截止时间后，投标文件评审时间因故推迟的，相关资审信息仍以原递交投标文件截止时间的信息为准。</w:t>
      </w:r>
    </w:p>
    <w:p w14:paraId="68036DF1">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6.6 逾期送达的投标文件，电子招标投标交易平台将予以拒收。</w:t>
      </w:r>
    </w:p>
    <w:p w14:paraId="3EB4F75B">
      <w:pPr>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u w:val="single"/>
        </w:rPr>
        <w:t>注：投标人通过广州公共资源交易中心数字交易平台递交电子投标文件。投标人应在递交投标文件截止时间前，登录广州公共资源交易中心数字交易平台网站办理网上投标登记手续。按照交易平台关于全流程电子化项目的相关指南进行操作。详见：广州公共资源交易中心网站发布的最新操作指引。</w:t>
      </w:r>
    </w:p>
    <w:p w14:paraId="5713C0AE">
      <w:pPr>
        <w:spacing w:line="360" w:lineRule="auto"/>
        <w:rPr>
          <w:rFonts w:hint="eastAsia" w:ascii="宋体" w:hAnsi="宋体" w:cs="宋体"/>
          <w:sz w:val="24"/>
          <w:highlight w:val="none"/>
        </w:rPr>
      </w:pPr>
    </w:p>
    <w:p w14:paraId="34C00A96">
      <w:pPr>
        <w:pStyle w:val="3"/>
        <w:spacing w:before="0" w:after="0" w:line="360" w:lineRule="auto"/>
        <w:rPr>
          <w:rFonts w:hint="eastAsia" w:ascii="宋体" w:hAnsi="宋体" w:cs="宋体"/>
          <w:b/>
          <w:sz w:val="24"/>
          <w:szCs w:val="24"/>
          <w:highlight w:val="none"/>
        </w:rPr>
      </w:pPr>
      <w:bookmarkStart w:id="8" w:name="_Toc60344358"/>
      <w:r>
        <w:rPr>
          <w:rFonts w:hint="eastAsia" w:ascii="宋体" w:hAnsi="宋体" w:cs="宋体"/>
          <w:b/>
          <w:sz w:val="24"/>
          <w:szCs w:val="24"/>
          <w:highlight w:val="none"/>
        </w:rPr>
        <w:t>7. 发布公告的媒介</w:t>
      </w:r>
      <w:bookmarkEnd w:id="8"/>
    </w:p>
    <w:p w14:paraId="56BA96B3">
      <w:pPr>
        <w:spacing w:line="360" w:lineRule="auto"/>
        <w:ind w:firstLine="484" w:firstLineChars="202"/>
        <w:rPr>
          <w:rFonts w:hint="eastAsia" w:ascii="宋体" w:hAnsi="宋体" w:cs="宋体"/>
          <w:sz w:val="24"/>
          <w:highlight w:val="none"/>
        </w:rPr>
      </w:pPr>
      <w:r>
        <w:rPr>
          <w:rFonts w:hint="eastAsia" w:ascii="宋体" w:hAnsi="宋体" w:cs="宋体"/>
          <w:sz w:val="24"/>
          <w:highlight w:val="none"/>
        </w:rPr>
        <w:t>本次招标公告同时在广州公共资源交易中心网（网址：http://www.gzggzy.cn）、广东省招标投标监管网（网址：http://zbtb.gd.gov.cn）和中国招标投标公共服务平台（网址：http://www.cebpubservice.com/）上发布。本公告的修改、补充，在广州公共资源交易中心网站发布。</w:t>
      </w:r>
    </w:p>
    <w:p w14:paraId="1817D7C0">
      <w:pPr>
        <w:spacing w:line="360" w:lineRule="auto"/>
        <w:rPr>
          <w:rFonts w:hint="eastAsia" w:ascii="宋体" w:hAnsi="宋体" w:cs="宋体"/>
          <w:sz w:val="24"/>
          <w:highlight w:val="none"/>
        </w:rPr>
      </w:pPr>
    </w:p>
    <w:p w14:paraId="2BCF904B">
      <w:pPr>
        <w:pStyle w:val="3"/>
        <w:spacing w:before="0" w:after="0" w:line="360" w:lineRule="auto"/>
        <w:rPr>
          <w:rFonts w:hint="eastAsia" w:ascii="宋体" w:hAnsi="宋体" w:cs="宋体"/>
          <w:b/>
          <w:sz w:val="24"/>
          <w:szCs w:val="24"/>
          <w:highlight w:val="none"/>
        </w:rPr>
      </w:pPr>
      <w:bookmarkStart w:id="9" w:name="_Toc60344359"/>
      <w:r>
        <w:rPr>
          <w:rFonts w:hint="eastAsia" w:ascii="宋体" w:hAnsi="宋体" w:cs="宋体"/>
          <w:b/>
          <w:sz w:val="24"/>
          <w:szCs w:val="24"/>
          <w:highlight w:val="none"/>
        </w:rPr>
        <w:t>8. 其它事项</w:t>
      </w:r>
      <w:bookmarkEnd w:id="9"/>
    </w:p>
    <w:p w14:paraId="5CC8B0DF">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8.1 工期：</w:t>
      </w:r>
    </w:p>
    <w:p w14:paraId="1FCF5045">
      <w:pPr>
        <w:spacing w:line="360" w:lineRule="auto"/>
        <w:ind w:firstLine="321" w:firstLineChars="134"/>
        <w:jc w:val="left"/>
        <w:rPr>
          <w:rFonts w:hint="eastAsia" w:ascii="宋体" w:hAnsi="宋体" w:cs="宋体"/>
          <w:sz w:val="24"/>
          <w:highlight w:val="none"/>
        </w:rPr>
      </w:pPr>
      <w:r>
        <w:rPr>
          <w:rFonts w:hint="eastAsia" w:ascii="宋体" w:hAnsi="宋体" w:cs="宋体"/>
          <w:sz w:val="24"/>
          <w:highlight w:val="none"/>
        </w:rPr>
        <w:t>（1）应在中标通知书发出后5个日历天提交勘察设计大纲（含工期计划），经发包人审核后实施。</w:t>
      </w:r>
    </w:p>
    <w:p w14:paraId="4D7C60C6">
      <w:pPr>
        <w:spacing w:line="360" w:lineRule="auto"/>
        <w:ind w:firstLine="321" w:firstLineChars="134"/>
        <w:jc w:val="left"/>
        <w:rPr>
          <w:rFonts w:hint="eastAsia" w:ascii="宋体" w:hAnsi="宋体" w:cs="宋体"/>
          <w:sz w:val="24"/>
          <w:highlight w:val="none"/>
        </w:rPr>
      </w:pPr>
      <w:r>
        <w:rPr>
          <w:rFonts w:hint="eastAsia" w:ascii="宋体" w:hAnsi="宋体" w:cs="宋体"/>
          <w:sz w:val="24"/>
          <w:highlight w:val="none"/>
        </w:rPr>
        <w:t>（2）设计工期：①应在中标通知书发出后30日历天内完成协同会审方案编制；②</w:t>
      </w:r>
      <w:r>
        <w:rPr>
          <w:rFonts w:hint="eastAsia" w:ascii="宋体" w:hAnsi="宋体"/>
          <w:sz w:val="24"/>
          <w:highlight w:val="none"/>
        </w:rPr>
        <w:t>联审决策通过后7个</w:t>
      </w:r>
      <w:r>
        <w:rPr>
          <w:rFonts w:hint="eastAsia" w:ascii="宋体" w:hAnsi="宋体" w:cs="宋体"/>
          <w:sz w:val="24"/>
          <w:highlight w:val="none"/>
        </w:rPr>
        <w:t>日历天内完成初步设计（含勘察、物探及概算编制等内容）；③</w:t>
      </w:r>
      <w:r>
        <w:rPr>
          <w:rFonts w:hint="eastAsia" w:ascii="宋体" w:hAnsi="宋体"/>
          <w:sz w:val="24"/>
          <w:highlight w:val="none"/>
        </w:rPr>
        <w:t>初步设计及概算审批后14个</w:t>
      </w:r>
      <w:r>
        <w:rPr>
          <w:rFonts w:hint="eastAsia" w:ascii="宋体" w:hAnsi="宋体" w:cs="宋体"/>
          <w:sz w:val="24"/>
          <w:highlight w:val="none"/>
        </w:rPr>
        <w:t>日历天内完成施工图设计，施工图设计文件经审查发现问题后10日历天内完成补充、修改（具体以审核工期为准）。</w:t>
      </w:r>
    </w:p>
    <w:p w14:paraId="796729F3">
      <w:pPr>
        <w:spacing w:line="360" w:lineRule="auto"/>
        <w:ind w:firstLine="321" w:firstLineChars="134"/>
        <w:jc w:val="left"/>
        <w:rPr>
          <w:rFonts w:hint="eastAsia" w:ascii="宋体" w:hAnsi="宋体" w:cs="宋体"/>
          <w:sz w:val="24"/>
          <w:highlight w:val="none"/>
        </w:rPr>
      </w:pPr>
      <w:r>
        <w:rPr>
          <w:rFonts w:hint="eastAsia" w:ascii="宋体" w:hAnsi="宋体" w:cs="宋体"/>
          <w:sz w:val="24"/>
          <w:highlight w:val="none"/>
        </w:rPr>
        <w:t>（3）勘察工期：应在中标通知书发出并具备进场条件之日起计20日历天内完成外业，外业完成后10个日历天提交勘察成果文件（具体以审核工期为准）。</w:t>
      </w:r>
    </w:p>
    <w:p w14:paraId="6CDEBE86">
      <w:pPr>
        <w:spacing w:line="360" w:lineRule="auto"/>
        <w:ind w:firstLine="321" w:firstLineChars="134"/>
        <w:jc w:val="left"/>
        <w:rPr>
          <w:rFonts w:hint="eastAsia" w:ascii="宋体" w:hAnsi="宋体" w:cs="宋体"/>
          <w:sz w:val="24"/>
          <w:highlight w:val="none"/>
        </w:rPr>
      </w:pPr>
      <w:r>
        <w:rPr>
          <w:rFonts w:hint="eastAsia" w:ascii="宋体" w:hAnsi="宋体" w:cs="宋体"/>
          <w:sz w:val="24"/>
          <w:highlight w:val="none"/>
        </w:rPr>
        <w:t>（4）按发包人要求（若因发包人或经发包人同意的原因调整计划，则提交时间作相应调整）。</w:t>
      </w:r>
    </w:p>
    <w:p w14:paraId="460FAEA7">
      <w:pPr>
        <w:spacing w:line="360" w:lineRule="auto"/>
        <w:ind w:firstLine="321" w:firstLineChars="134"/>
        <w:jc w:val="left"/>
        <w:rPr>
          <w:rFonts w:hint="eastAsia" w:ascii="宋体" w:hAnsi="宋体" w:cs="宋体"/>
          <w:sz w:val="24"/>
          <w:highlight w:val="none"/>
        </w:rPr>
      </w:pPr>
      <w:r>
        <w:rPr>
          <w:rFonts w:hint="eastAsia" w:ascii="宋体" w:hAnsi="宋体" w:cs="宋体"/>
          <w:sz w:val="24"/>
          <w:highlight w:val="none"/>
        </w:rPr>
        <w:t>8.2 投标时是否需要提交设计模型：</w:t>
      </w:r>
      <w:r>
        <w:rPr>
          <w:rFonts w:hint="eastAsia" w:ascii="宋体" w:hAnsi="宋体" w:cs="宋体"/>
          <w:b/>
          <w:bCs/>
          <w:sz w:val="24"/>
          <w:highlight w:val="none"/>
          <w:u w:val="single"/>
        </w:rPr>
        <w:t>不需要</w:t>
      </w:r>
      <w:r>
        <w:rPr>
          <w:rFonts w:hint="eastAsia" w:ascii="宋体" w:hAnsi="宋体" w:cs="宋体"/>
          <w:sz w:val="24"/>
          <w:highlight w:val="none"/>
        </w:rPr>
        <w:t>。</w:t>
      </w:r>
    </w:p>
    <w:p w14:paraId="1CB5F2B4">
      <w:pPr>
        <w:spacing w:line="360" w:lineRule="auto"/>
        <w:ind w:firstLine="321" w:firstLineChars="134"/>
        <w:jc w:val="left"/>
        <w:rPr>
          <w:rFonts w:hint="eastAsia" w:ascii="宋体" w:hAnsi="宋体" w:cs="宋体"/>
          <w:sz w:val="24"/>
          <w:highlight w:val="none"/>
        </w:rPr>
      </w:pPr>
      <w:r>
        <w:rPr>
          <w:rFonts w:hint="eastAsia" w:ascii="宋体" w:hAnsi="宋体" w:cs="宋体"/>
          <w:sz w:val="24"/>
          <w:highlight w:val="none"/>
        </w:rPr>
        <w:t>8.3 投标人可通过http://maps.google.com选择satellite（卫星图象）观察本项目的周边环境。</w:t>
      </w:r>
    </w:p>
    <w:p w14:paraId="7A56B670">
      <w:pPr>
        <w:spacing w:line="360" w:lineRule="auto"/>
        <w:ind w:firstLine="321" w:firstLineChars="134"/>
        <w:jc w:val="left"/>
        <w:rPr>
          <w:rFonts w:hint="eastAsia" w:ascii="宋体" w:hAnsi="宋体" w:cs="宋体"/>
          <w:sz w:val="24"/>
          <w:highlight w:val="none"/>
        </w:rPr>
      </w:pPr>
      <w:r>
        <w:rPr>
          <w:rFonts w:hint="eastAsia" w:ascii="宋体" w:hAnsi="宋体" w:cs="宋体"/>
          <w:sz w:val="24"/>
          <w:highlight w:val="none"/>
        </w:rPr>
        <w:t xml:space="preserve">8.4 </w:t>
      </w:r>
      <w:r>
        <w:rPr>
          <w:rFonts w:hint="eastAsia" w:ascii="宋体" w:hAnsi="宋体" w:cs="宋体"/>
          <w:sz w:val="24"/>
          <w:highlight w:val="none"/>
          <w:u w:val="single"/>
        </w:rPr>
        <w:t>潜在投标人或利害关系人对本招标公告及招标文件有异议的，向招标人书面提出</w:t>
      </w:r>
      <w:r>
        <w:rPr>
          <w:rFonts w:hint="eastAsia" w:ascii="宋体" w:hAnsi="宋体" w:cs="宋体"/>
          <w:sz w:val="24"/>
          <w:highlight w:val="none"/>
        </w:rPr>
        <w:t>。</w:t>
      </w:r>
    </w:p>
    <w:p w14:paraId="4E8FDE72">
      <w:pPr>
        <w:spacing w:line="360" w:lineRule="auto"/>
        <w:ind w:firstLine="480" w:firstLineChars="200"/>
        <w:jc w:val="left"/>
        <w:rPr>
          <w:rFonts w:hint="eastAsia" w:ascii="宋体" w:hAnsi="宋体" w:cs="宋体"/>
          <w:bCs/>
          <w:sz w:val="24"/>
          <w:highlight w:val="none"/>
          <w:u w:val="single"/>
        </w:rPr>
      </w:pPr>
      <w:r>
        <w:rPr>
          <w:rFonts w:hint="eastAsia" w:ascii="宋体" w:hAnsi="宋体" w:cs="宋体"/>
          <w:sz w:val="24"/>
          <w:highlight w:val="none"/>
          <w:u w:val="single"/>
        </w:rPr>
        <w:t>异议受理部门：广州空港建设运营集团有限公司</w:t>
      </w:r>
    </w:p>
    <w:p w14:paraId="0174461A">
      <w:pPr>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u w:val="single"/>
        </w:rPr>
        <w:t>电话：</w:t>
      </w:r>
      <w:r>
        <w:rPr>
          <w:rFonts w:hint="eastAsia" w:ascii="宋体" w:hAnsi="宋体" w:cs="宋体"/>
          <w:bCs/>
          <w:sz w:val="24"/>
          <w:highlight w:val="none"/>
          <w:u w:val="single"/>
        </w:rPr>
        <w:t>020-66886656</w:t>
      </w:r>
    </w:p>
    <w:p w14:paraId="7B238DBF">
      <w:pPr>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u w:val="single"/>
        </w:rPr>
        <w:t>地址：广州市清塘路广州空港中心A栋3楼</w:t>
      </w:r>
    </w:p>
    <w:p w14:paraId="47A61269">
      <w:pPr>
        <w:wordWrap w:val="0"/>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u w:val="single"/>
        </w:rPr>
        <w:t>注：</w:t>
      </w:r>
      <w:r>
        <w:rPr>
          <w:rFonts w:hint="eastAsia" w:ascii="宋体" w:hAnsi="宋体"/>
          <w:sz w:val="24"/>
          <w:highlight w:val="none"/>
          <w:u w:val="single"/>
        </w:rPr>
        <w:t>潜在投标人或利害关系人可以通过线下或线上的形式提出异议。线上提出异议的，应通过交易平台提交，招标人也应通过交易平台答复线上提出的异议。具体按照交易平台相关指南进行操作。详见：广州公共资源交易中心网站</w:t>
      </w:r>
      <w:r>
        <w:rPr>
          <w:rFonts w:ascii="宋体" w:hAnsi="宋体"/>
          <w:sz w:val="24"/>
          <w:highlight w:val="none"/>
          <w:u w:val="single"/>
        </w:rPr>
        <w:t>-&gt;</w:t>
      </w:r>
      <w:r>
        <w:rPr>
          <w:rFonts w:hint="eastAsia" w:ascii="宋体" w:hAnsi="宋体"/>
          <w:sz w:val="24"/>
          <w:highlight w:val="none"/>
          <w:u w:val="single"/>
        </w:rPr>
        <w:t>服务指南</w:t>
      </w:r>
      <w:r>
        <w:rPr>
          <w:rFonts w:ascii="宋体" w:hAnsi="宋体"/>
          <w:sz w:val="24"/>
          <w:highlight w:val="none"/>
          <w:u w:val="single"/>
        </w:rPr>
        <w:t>-&gt;</w:t>
      </w:r>
      <w:r>
        <w:rPr>
          <w:rFonts w:hint="eastAsia" w:ascii="宋体" w:hAnsi="宋体"/>
          <w:sz w:val="24"/>
          <w:highlight w:val="none"/>
          <w:u w:val="single"/>
        </w:rPr>
        <w:t>系统帮助</w:t>
      </w:r>
      <w:r>
        <w:rPr>
          <w:rFonts w:ascii="宋体" w:hAnsi="宋体"/>
          <w:sz w:val="24"/>
          <w:highlight w:val="none"/>
          <w:u w:val="single"/>
        </w:rPr>
        <w:t>-&gt;</w:t>
      </w:r>
      <w:r>
        <w:rPr>
          <w:rFonts w:hint="eastAsia" w:ascii="宋体" w:hAnsi="宋体"/>
          <w:sz w:val="24"/>
          <w:highlight w:val="none"/>
          <w:u w:val="single"/>
        </w:rPr>
        <w:t>操作手册</w:t>
      </w:r>
      <w:r>
        <w:rPr>
          <w:rFonts w:ascii="宋体" w:hAnsi="宋体"/>
          <w:sz w:val="24"/>
          <w:highlight w:val="none"/>
          <w:u w:val="single"/>
        </w:rPr>
        <w:t>-&gt;</w:t>
      </w:r>
      <w:r>
        <w:rPr>
          <w:rFonts w:hint="eastAsia" w:ascii="宋体" w:hAnsi="宋体"/>
          <w:sz w:val="24"/>
          <w:highlight w:val="none"/>
          <w:u w:val="single"/>
        </w:rPr>
        <w:t>《发起及受理异议操作指引》（http://www.gzggzy.cn/fwznxtbzczsc/928325.jhtml）。作出答复前，应当暂停招标投标活动。</w:t>
      </w:r>
    </w:p>
    <w:p w14:paraId="34281A78">
      <w:pPr>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rPr>
        <w:t xml:space="preserve">8.5 </w:t>
      </w:r>
      <w:r>
        <w:rPr>
          <w:rFonts w:hint="eastAsia" w:ascii="宋体" w:hAnsi="宋体" w:cs="宋体"/>
          <w:sz w:val="24"/>
          <w:highlight w:val="none"/>
          <w:u w:val="single"/>
        </w:rPr>
        <w:t>特别提示：投标人在本项目招标人的工程项目中存在下列行为的，将被拒绝一年内参与我单位后续工程投标。（注：拒绝投标时限自招标人发出处罚通知之日起计）：</w:t>
      </w:r>
    </w:p>
    <w:p w14:paraId="668CD854">
      <w:pPr>
        <w:spacing w:line="360" w:lineRule="auto"/>
        <w:ind w:firstLine="321" w:firstLineChars="134"/>
        <w:jc w:val="left"/>
        <w:rPr>
          <w:rFonts w:hint="eastAsia" w:ascii="宋体" w:hAnsi="宋体" w:cs="宋体"/>
          <w:sz w:val="24"/>
          <w:highlight w:val="none"/>
        </w:rPr>
      </w:pPr>
      <w:r>
        <w:rPr>
          <w:rFonts w:hint="eastAsia" w:ascii="宋体" w:hAnsi="宋体" w:cs="宋体"/>
          <w:sz w:val="24"/>
          <w:highlight w:val="none"/>
        </w:rPr>
        <w:t>（1）将中标工程转包或者违法分包的;</w:t>
      </w:r>
    </w:p>
    <w:p w14:paraId="444893C1">
      <w:pPr>
        <w:spacing w:line="360" w:lineRule="auto"/>
        <w:ind w:firstLine="321" w:firstLineChars="134"/>
        <w:jc w:val="left"/>
        <w:rPr>
          <w:rFonts w:hint="eastAsia" w:ascii="宋体" w:hAnsi="宋体" w:cs="宋体"/>
          <w:sz w:val="24"/>
          <w:highlight w:val="none"/>
        </w:rPr>
      </w:pPr>
      <w:r>
        <w:rPr>
          <w:rFonts w:hint="eastAsia" w:ascii="宋体" w:hAnsi="宋体" w:cs="宋体"/>
          <w:sz w:val="24"/>
          <w:highlight w:val="none"/>
        </w:rPr>
        <w:t>（2）在中标工程中不执行质量、安全生产相关规定的，造成质量或安全事故的；</w:t>
      </w:r>
    </w:p>
    <w:p w14:paraId="60C9885B">
      <w:pPr>
        <w:spacing w:line="360" w:lineRule="auto"/>
        <w:ind w:firstLine="321" w:firstLineChars="134"/>
        <w:jc w:val="left"/>
        <w:rPr>
          <w:rFonts w:hint="eastAsia" w:ascii="宋体" w:hAnsi="宋体" w:cs="宋体"/>
          <w:sz w:val="24"/>
          <w:highlight w:val="none"/>
        </w:rPr>
      </w:pPr>
      <w:r>
        <w:rPr>
          <w:rFonts w:hint="eastAsia" w:ascii="宋体" w:hAnsi="宋体" w:cs="宋体"/>
          <w:sz w:val="24"/>
          <w:highlight w:val="none"/>
        </w:rPr>
        <w:t>（3）存在围标或串标情形的；</w:t>
      </w:r>
    </w:p>
    <w:p w14:paraId="1BEE9AD4">
      <w:pPr>
        <w:autoSpaceDE w:val="0"/>
        <w:autoSpaceDN w:val="0"/>
        <w:adjustRightInd w:val="0"/>
        <w:spacing w:line="360" w:lineRule="auto"/>
        <w:ind w:firstLine="321" w:firstLineChars="134"/>
        <w:jc w:val="left"/>
        <w:rPr>
          <w:rFonts w:hint="eastAsia" w:ascii="宋体" w:hAnsi="宋体" w:cs="宋体"/>
          <w:sz w:val="24"/>
          <w:highlight w:val="none"/>
          <w:u w:val="single"/>
        </w:rPr>
      </w:pPr>
      <w:r>
        <w:rPr>
          <w:rFonts w:hint="eastAsia" w:ascii="宋体" w:hAnsi="宋体" w:cs="宋体"/>
          <w:sz w:val="24"/>
          <w:highlight w:val="none"/>
          <w:u w:val="single"/>
        </w:rPr>
        <w:t>（4）在投标文件中提供虚假材料的；</w:t>
      </w:r>
    </w:p>
    <w:p w14:paraId="1B276890">
      <w:pPr>
        <w:autoSpaceDE w:val="0"/>
        <w:autoSpaceDN w:val="0"/>
        <w:adjustRightInd w:val="0"/>
        <w:spacing w:line="360" w:lineRule="auto"/>
        <w:ind w:firstLine="321" w:firstLineChars="134"/>
        <w:jc w:val="left"/>
        <w:rPr>
          <w:rFonts w:hint="eastAsia" w:ascii="宋体" w:hAnsi="宋体" w:cs="宋体"/>
          <w:sz w:val="24"/>
          <w:highlight w:val="none"/>
          <w:u w:val="single"/>
        </w:rPr>
      </w:pPr>
      <w:r>
        <w:rPr>
          <w:rFonts w:hint="eastAsia" w:ascii="宋体" w:hAnsi="宋体" w:cs="宋体"/>
          <w:sz w:val="24"/>
          <w:highlight w:val="none"/>
          <w:u w:val="single"/>
        </w:rPr>
        <w:t>（5）存在行贿情形的；</w:t>
      </w:r>
    </w:p>
    <w:p w14:paraId="2921C9E9">
      <w:pPr>
        <w:autoSpaceDE w:val="0"/>
        <w:autoSpaceDN w:val="0"/>
        <w:adjustRightInd w:val="0"/>
        <w:spacing w:line="360" w:lineRule="auto"/>
        <w:ind w:firstLine="321" w:firstLineChars="134"/>
        <w:jc w:val="left"/>
        <w:rPr>
          <w:rFonts w:hint="eastAsia" w:ascii="宋体" w:hAnsi="宋体" w:cs="宋体"/>
          <w:sz w:val="24"/>
          <w:highlight w:val="none"/>
          <w:u w:val="single"/>
        </w:rPr>
      </w:pPr>
      <w:r>
        <w:rPr>
          <w:rFonts w:hint="eastAsia" w:ascii="宋体" w:hAnsi="宋体" w:cs="宋体"/>
          <w:sz w:val="24"/>
          <w:highlight w:val="none"/>
          <w:u w:val="single"/>
        </w:rPr>
        <w:t>（6）拖欠农民工工资的；</w:t>
      </w:r>
    </w:p>
    <w:p w14:paraId="66B7A8A3">
      <w:pPr>
        <w:autoSpaceDE w:val="0"/>
        <w:autoSpaceDN w:val="0"/>
        <w:adjustRightInd w:val="0"/>
        <w:spacing w:line="360" w:lineRule="auto"/>
        <w:ind w:firstLine="321" w:firstLineChars="134"/>
        <w:jc w:val="left"/>
        <w:rPr>
          <w:rFonts w:hint="eastAsia" w:ascii="宋体" w:hAnsi="宋体" w:cs="宋体"/>
          <w:sz w:val="24"/>
          <w:highlight w:val="none"/>
          <w:u w:val="single"/>
        </w:rPr>
      </w:pPr>
      <w:r>
        <w:rPr>
          <w:rFonts w:hint="eastAsia" w:ascii="宋体" w:hAnsi="宋体" w:cs="宋体"/>
          <w:sz w:val="24"/>
          <w:highlight w:val="none"/>
          <w:u w:val="single"/>
        </w:rPr>
        <w:t>（7）未按照国家、省、市有关建筑施工实名制管理和工人工资支付分账管理的规定执行，被行政监管部门处罚的。</w:t>
      </w:r>
    </w:p>
    <w:p w14:paraId="3805F479">
      <w:pPr>
        <w:autoSpaceDE w:val="0"/>
        <w:autoSpaceDN w:val="0"/>
        <w:adjustRightInd w:val="0"/>
        <w:spacing w:line="360" w:lineRule="auto"/>
        <w:ind w:firstLine="321" w:firstLineChars="134"/>
        <w:jc w:val="left"/>
        <w:rPr>
          <w:rFonts w:hint="eastAsia" w:ascii="宋体" w:hAnsi="宋体" w:cs="宋体"/>
          <w:sz w:val="24"/>
          <w:highlight w:val="none"/>
          <w:u w:val="single"/>
        </w:rPr>
      </w:pPr>
      <w:r>
        <w:rPr>
          <w:rFonts w:hint="eastAsia" w:ascii="宋体" w:hAnsi="宋体" w:cs="宋体"/>
          <w:sz w:val="24"/>
          <w:highlight w:val="none"/>
        </w:rPr>
        <w:t>8.6 前期服务机构名称：</w:t>
      </w:r>
      <w:r>
        <w:rPr>
          <w:rFonts w:hint="eastAsia" w:ascii="宋体" w:hAnsi="宋体" w:cs="宋体"/>
          <w:sz w:val="24"/>
          <w:highlight w:val="none"/>
          <w:u w:val="single"/>
          <w:lang w:val="en-US" w:eastAsia="zh-CN"/>
        </w:rPr>
        <w:t>广东省建筑科学研究院集团股份有限公司</w:t>
      </w:r>
      <w:r>
        <w:rPr>
          <w:rFonts w:hint="eastAsia" w:ascii="宋体" w:hAnsi="宋体" w:cs="宋体"/>
          <w:sz w:val="24"/>
          <w:highlight w:val="none"/>
          <w:u w:val="single"/>
        </w:rPr>
        <w:t>（项目建议书编制）。</w:t>
      </w:r>
    </w:p>
    <w:p w14:paraId="1001C580">
      <w:pPr>
        <w:autoSpaceDE w:val="0"/>
        <w:autoSpaceDN w:val="0"/>
        <w:adjustRightInd w:val="0"/>
        <w:spacing w:line="360" w:lineRule="auto"/>
        <w:ind w:firstLine="321" w:firstLineChars="134"/>
        <w:jc w:val="left"/>
        <w:rPr>
          <w:rFonts w:hint="eastAsia" w:ascii="宋体" w:hAnsi="宋体" w:cs="宋体"/>
          <w:sz w:val="24"/>
          <w:highlight w:val="none"/>
        </w:rPr>
      </w:pPr>
      <w:r>
        <w:rPr>
          <w:rFonts w:hint="eastAsia" w:ascii="宋体" w:hAnsi="宋体" w:cs="宋体"/>
          <w:sz w:val="24"/>
          <w:highlight w:val="none"/>
        </w:rPr>
        <w:t>注：如果前期服务机构参加本次投标，应将本公告发布前最终完成的工作成果（含电子文件）在发布招标文件的同时提供给所有投标人参考，否则前期参与的服务机构中标无效。</w:t>
      </w:r>
    </w:p>
    <w:p w14:paraId="1EA08E09">
      <w:pPr>
        <w:spacing w:line="360" w:lineRule="auto"/>
        <w:rPr>
          <w:rFonts w:hint="eastAsia" w:ascii="宋体" w:hAnsi="宋体" w:cs="宋体"/>
          <w:sz w:val="24"/>
          <w:highlight w:val="none"/>
        </w:rPr>
      </w:pPr>
    </w:p>
    <w:p w14:paraId="1C183210">
      <w:pPr>
        <w:pStyle w:val="3"/>
        <w:spacing w:before="0" w:after="0" w:line="360" w:lineRule="auto"/>
        <w:rPr>
          <w:rFonts w:hint="eastAsia" w:ascii="宋体" w:hAnsi="宋体" w:cs="宋体"/>
          <w:b/>
          <w:sz w:val="24"/>
          <w:szCs w:val="24"/>
          <w:highlight w:val="none"/>
        </w:rPr>
      </w:pPr>
      <w:bookmarkStart w:id="10" w:name="_Toc25072056"/>
      <w:r>
        <w:rPr>
          <w:rFonts w:hint="eastAsia" w:ascii="宋体" w:hAnsi="宋体" w:cs="宋体"/>
          <w:b/>
          <w:sz w:val="24"/>
          <w:szCs w:val="24"/>
          <w:highlight w:val="none"/>
        </w:rPr>
        <w:t>9. 联系方式</w:t>
      </w:r>
      <w:bookmarkEnd w:id="10"/>
    </w:p>
    <w:p w14:paraId="00CD90B6">
      <w:pPr>
        <w:spacing w:line="360" w:lineRule="auto"/>
        <w:rPr>
          <w:rFonts w:hint="eastAsia" w:ascii="宋体" w:hAnsi="宋体" w:cs="宋体"/>
          <w:sz w:val="24"/>
          <w:highlight w:val="none"/>
          <w:u w:val="single"/>
        </w:rPr>
      </w:pPr>
      <w:r>
        <w:rPr>
          <w:rFonts w:hint="eastAsia" w:ascii="宋体" w:hAnsi="宋体" w:cs="宋体"/>
          <w:sz w:val="24"/>
          <w:highlight w:val="none"/>
        </w:rPr>
        <w:t>招标人：</w:t>
      </w:r>
      <w:r>
        <w:rPr>
          <w:rFonts w:hint="eastAsia" w:ascii="宋体" w:hAnsi="宋体" w:cs="宋体"/>
          <w:sz w:val="24"/>
          <w:highlight w:val="none"/>
          <w:u w:val="single"/>
        </w:rPr>
        <w:t>广州空港建设运营集团有限公司</w:t>
      </w:r>
    </w:p>
    <w:p w14:paraId="6D66593D">
      <w:pPr>
        <w:spacing w:line="360" w:lineRule="auto"/>
        <w:rPr>
          <w:rFonts w:hint="eastAsia"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广州市清塘路广州空港中心A栋3楼</w:t>
      </w:r>
    </w:p>
    <w:p w14:paraId="32500595">
      <w:pPr>
        <w:spacing w:line="360" w:lineRule="auto"/>
        <w:rPr>
          <w:rFonts w:hint="eastAsia"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single"/>
        </w:rPr>
        <w:t>陈工</w:t>
      </w:r>
    </w:p>
    <w:p w14:paraId="587AEC81">
      <w:pPr>
        <w:spacing w:line="360" w:lineRule="auto"/>
        <w:rPr>
          <w:rFonts w:hint="eastAsia" w:ascii="宋体" w:hAnsi="宋体" w:cs="宋体"/>
          <w:sz w:val="24"/>
          <w:highlight w:val="none"/>
          <w:u w:val="single"/>
        </w:rPr>
      </w:pPr>
      <w:r>
        <w:rPr>
          <w:rFonts w:hint="eastAsia" w:ascii="宋体" w:hAnsi="宋体" w:cs="宋体"/>
          <w:sz w:val="24"/>
          <w:highlight w:val="none"/>
        </w:rPr>
        <w:t>电话：</w:t>
      </w:r>
      <w:r>
        <w:rPr>
          <w:rFonts w:hint="eastAsia" w:ascii="宋体" w:hAnsi="宋体" w:cs="宋体"/>
          <w:bCs/>
          <w:sz w:val="24"/>
          <w:highlight w:val="none"/>
          <w:u w:val="single"/>
        </w:rPr>
        <w:t>020-66886656</w:t>
      </w:r>
    </w:p>
    <w:p w14:paraId="21A472A4">
      <w:pPr>
        <w:spacing w:line="360" w:lineRule="auto"/>
        <w:rPr>
          <w:rFonts w:hint="eastAsia" w:ascii="宋体" w:hAnsi="宋体" w:cs="宋体"/>
          <w:sz w:val="24"/>
          <w:highlight w:val="none"/>
        </w:rPr>
      </w:pPr>
    </w:p>
    <w:p w14:paraId="2B5836EC">
      <w:pPr>
        <w:spacing w:line="360" w:lineRule="auto"/>
        <w:rPr>
          <w:rFonts w:hint="eastAsia" w:ascii="宋体" w:hAnsi="宋体" w:cs="宋体"/>
          <w:sz w:val="24"/>
          <w:highlight w:val="none"/>
        </w:rPr>
      </w:pPr>
      <w:r>
        <w:rPr>
          <w:rFonts w:hint="eastAsia" w:ascii="宋体" w:hAnsi="宋体" w:cs="宋体"/>
          <w:sz w:val="24"/>
          <w:highlight w:val="none"/>
        </w:rPr>
        <w:t>招标代理机构：</w:t>
      </w:r>
      <w:r>
        <w:rPr>
          <w:rFonts w:hint="eastAsia" w:ascii="宋体" w:hAnsi="宋体" w:cs="宋体"/>
          <w:sz w:val="24"/>
          <w:highlight w:val="none"/>
          <w:u w:val="single"/>
        </w:rPr>
        <w:t>广东省建筑工程监理有限公司</w:t>
      </w:r>
    </w:p>
    <w:p w14:paraId="6294BAFC">
      <w:pPr>
        <w:spacing w:line="360" w:lineRule="auto"/>
        <w:rPr>
          <w:rFonts w:hint="eastAsia"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广州市荔湾区流花路85号</w:t>
      </w:r>
    </w:p>
    <w:p w14:paraId="7726789B">
      <w:pPr>
        <w:spacing w:line="360" w:lineRule="auto"/>
        <w:rPr>
          <w:rFonts w:hint="eastAsia"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single"/>
        </w:rPr>
        <w:t>肖工</w:t>
      </w:r>
    </w:p>
    <w:p w14:paraId="6417F7DD">
      <w:pPr>
        <w:spacing w:line="360" w:lineRule="auto"/>
        <w:rPr>
          <w:rFonts w:hint="eastAsia" w:ascii="宋体" w:hAnsi="宋体" w:cs="宋体"/>
          <w:sz w:val="24"/>
          <w:highlight w:val="none"/>
        </w:rPr>
      </w:pPr>
      <w:r>
        <w:rPr>
          <w:rFonts w:hint="eastAsia" w:ascii="宋体" w:hAnsi="宋体" w:cs="宋体"/>
          <w:sz w:val="24"/>
          <w:highlight w:val="none"/>
        </w:rPr>
        <w:t>电话：</w:t>
      </w:r>
      <w:r>
        <w:rPr>
          <w:rFonts w:hint="eastAsia" w:ascii="宋体" w:hAnsi="宋体" w:cs="宋体"/>
          <w:sz w:val="24"/>
          <w:highlight w:val="none"/>
          <w:u w:val="single"/>
        </w:rPr>
        <w:t xml:space="preserve">020-86673560 </w:t>
      </w:r>
    </w:p>
    <w:p w14:paraId="15445B27">
      <w:pPr>
        <w:autoSpaceDE w:val="0"/>
        <w:autoSpaceDN w:val="0"/>
        <w:adjustRightInd w:val="0"/>
        <w:spacing w:line="360" w:lineRule="auto"/>
        <w:ind w:right="71"/>
        <w:rPr>
          <w:rFonts w:hint="eastAsia" w:ascii="宋体" w:hAnsi="宋体" w:cs="宋体"/>
          <w:kern w:val="0"/>
          <w:sz w:val="24"/>
          <w:highlight w:val="none"/>
        </w:rPr>
      </w:pPr>
    </w:p>
    <w:p w14:paraId="7D743674">
      <w:pPr>
        <w:spacing w:line="360" w:lineRule="auto"/>
        <w:rPr>
          <w:rFonts w:hint="eastAsia" w:ascii="宋体" w:hAnsi="宋体" w:cs="宋体"/>
          <w:sz w:val="24"/>
          <w:highlight w:val="none"/>
          <w:u w:val="single"/>
        </w:rPr>
      </w:pPr>
      <w:r>
        <w:rPr>
          <w:rFonts w:hint="eastAsia" w:ascii="宋体" w:hAnsi="宋体" w:cs="宋体"/>
          <w:sz w:val="24"/>
          <w:highlight w:val="none"/>
        </w:rPr>
        <w:t>招标监督机构：</w:t>
      </w:r>
      <w:r>
        <w:rPr>
          <w:rFonts w:hint="eastAsia" w:ascii="宋体" w:hAnsi="宋体" w:cs="宋体"/>
          <w:sz w:val="24"/>
          <w:highlight w:val="none"/>
          <w:u w:val="single"/>
        </w:rPr>
        <w:t>广州空港经济区管理委员会国土规划和建设局</w:t>
      </w:r>
    </w:p>
    <w:p w14:paraId="2081C005">
      <w:pPr>
        <w:spacing w:line="360" w:lineRule="auto"/>
        <w:rPr>
          <w:rFonts w:hint="eastAsia"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广州市白云区空港南六路机场西南商务区B栋</w:t>
      </w:r>
    </w:p>
    <w:p w14:paraId="49D3A1BB">
      <w:pPr>
        <w:spacing w:line="360" w:lineRule="auto"/>
        <w:rPr>
          <w:rFonts w:hint="eastAsia" w:ascii="宋体" w:hAnsi="宋体" w:cs="宋体"/>
          <w:sz w:val="24"/>
          <w:highlight w:val="none"/>
          <w:u w:val="single"/>
        </w:rPr>
      </w:pPr>
      <w:r>
        <w:rPr>
          <w:rFonts w:hint="eastAsia" w:ascii="宋体" w:hAnsi="宋体" w:cs="宋体"/>
          <w:sz w:val="24"/>
          <w:highlight w:val="none"/>
        </w:rPr>
        <w:t>电话：</w:t>
      </w:r>
      <w:r>
        <w:rPr>
          <w:rFonts w:hint="eastAsia" w:ascii="宋体" w:hAnsi="宋体" w:cs="宋体"/>
          <w:sz w:val="24"/>
          <w:highlight w:val="none"/>
          <w:u w:val="single"/>
        </w:rPr>
        <w:t>020-36069209</w:t>
      </w:r>
    </w:p>
    <w:p w14:paraId="1D26C81A">
      <w:pPr>
        <w:rPr>
          <w:rFonts w:hint="eastAsia" w:asciiTheme="minorEastAsia" w:hAnsiTheme="minorEastAsia" w:eastAsiaTheme="minorEastAsia"/>
          <w:highlight w:val="none"/>
        </w:rPr>
      </w:pPr>
    </w:p>
    <w:bookmarkEnd w:id="11"/>
    <w:sectPr>
      <w:footerReference r:id="rId3" w:type="default"/>
      <w:pgSz w:w="11906" w:h="16838"/>
      <w:pgMar w:top="1440" w:right="17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8A854">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14:paraId="5CD534D7">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9sZGvRAAAAAgEAAA8AAAAAAAAAAQAgAAAAIgAAAGRycy9kb3ducmV2LnhtbFBLAQIUABQAAAAI&#10;AIdO4kAD09VxLQIAAFIEAAAOAAAAAAAAAAEAIAAAACABAABkcnMvZTJvRG9jLnhtbFBLBQYAAAAA&#10;BgAGAFkBAAC/BQAAAAA=&#10;">
              <v:fill on="f" focussize="0,0"/>
              <v:stroke on="f" weight="0.5pt"/>
              <v:imagedata o:title=""/>
              <o:lock v:ext="edit" aspectratio="f"/>
              <v:textbox inset="0mm,0mm,0mm,0mm" style="mso-fit-shape-to-text:t;">
                <w:txbxContent>
                  <w:p w14:paraId="5CD534D7">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074F17"/>
    <w:multiLevelType w:val="singleLevel"/>
    <w:tmpl w:val="F8074F1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iMTgxZjExZTg3YWMxNmVhZTg3MDc0NDdlYWQwNGQifQ=="/>
  </w:docVars>
  <w:rsids>
    <w:rsidRoot w:val="00C41173"/>
    <w:rsid w:val="0000094C"/>
    <w:rsid w:val="00003C87"/>
    <w:rsid w:val="00036A37"/>
    <w:rsid w:val="0005562B"/>
    <w:rsid w:val="00055687"/>
    <w:rsid w:val="00067FA2"/>
    <w:rsid w:val="000746F2"/>
    <w:rsid w:val="0009571D"/>
    <w:rsid w:val="00097954"/>
    <w:rsid w:val="000C11D3"/>
    <w:rsid w:val="000F7749"/>
    <w:rsid w:val="0011253E"/>
    <w:rsid w:val="00151BE4"/>
    <w:rsid w:val="00176275"/>
    <w:rsid w:val="001B3966"/>
    <w:rsid w:val="001B3CCB"/>
    <w:rsid w:val="001F2656"/>
    <w:rsid w:val="002154A4"/>
    <w:rsid w:val="00225A29"/>
    <w:rsid w:val="00235EDC"/>
    <w:rsid w:val="00244FDC"/>
    <w:rsid w:val="0027603D"/>
    <w:rsid w:val="00293BB5"/>
    <w:rsid w:val="002A575D"/>
    <w:rsid w:val="002A71A3"/>
    <w:rsid w:val="002D281E"/>
    <w:rsid w:val="00307A1D"/>
    <w:rsid w:val="0031027A"/>
    <w:rsid w:val="00312048"/>
    <w:rsid w:val="003154EF"/>
    <w:rsid w:val="00360177"/>
    <w:rsid w:val="003A0C86"/>
    <w:rsid w:val="003F43CA"/>
    <w:rsid w:val="003F5B69"/>
    <w:rsid w:val="00415A56"/>
    <w:rsid w:val="00447B11"/>
    <w:rsid w:val="00470DEB"/>
    <w:rsid w:val="00485DD1"/>
    <w:rsid w:val="004C50D2"/>
    <w:rsid w:val="004D0E15"/>
    <w:rsid w:val="004D5071"/>
    <w:rsid w:val="004E3519"/>
    <w:rsid w:val="004E7FEE"/>
    <w:rsid w:val="004F3414"/>
    <w:rsid w:val="005536EB"/>
    <w:rsid w:val="00564FB8"/>
    <w:rsid w:val="005D79B9"/>
    <w:rsid w:val="005E3F22"/>
    <w:rsid w:val="005F021A"/>
    <w:rsid w:val="005F42CB"/>
    <w:rsid w:val="006020D0"/>
    <w:rsid w:val="006724CC"/>
    <w:rsid w:val="00686A14"/>
    <w:rsid w:val="00693820"/>
    <w:rsid w:val="006959FE"/>
    <w:rsid w:val="00697746"/>
    <w:rsid w:val="006A5437"/>
    <w:rsid w:val="006B0198"/>
    <w:rsid w:val="006C053E"/>
    <w:rsid w:val="006D7951"/>
    <w:rsid w:val="00742196"/>
    <w:rsid w:val="007702E7"/>
    <w:rsid w:val="00776545"/>
    <w:rsid w:val="007A7F28"/>
    <w:rsid w:val="007C2DD7"/>
    <w:rsid w:val="007D53E1"/>
    <w:rsid w:val="008041A8"/>
    <w:rsid w:val="008178BA"/>
    <w:rsid w:val="00897002"/>
    <w:rsid w:val="008C0762"/>
    <w:rsid w:val="008E14D5"/>
    <w:rsid w:val="00916340"/>
    <w:rsid w:val="00936178"/>
    <w:rsid w:val="00941D8E"/>
    <w:rsid w:val="00970812"/>
    <w:rsid w:val="009C2184"/>
    <w:rsid w:val="009C6268"/>
    <w:rsid w:val="009D136D"/>
    <w:rsid w:val="009E437C"/>
    <w:rsid w:val="009F70D0"/>
    <w:rsid w:val="00A634D9"/>
    <w:rsid w:val="00AF0041"/>
    <w:rsid w:val="00AF552D"/>
    <w:rsid w:val="00AF7920"/>
    <w:rsid w:val="00B01974"/>
    <w:rsid w:val="00B2680D"/>
    <w:rsid w:val="00B4513A"/>
    <w:rsid w:val="00B51E64"/>
    <w:rsid w:val="00B52D2F"/>
    <w:rsid w:val="00B608FA"/>
    <w:rsid w:val="00B62684"/>
    <w:rsid w:val="00B7127F"/>
    <w:rsid w:val="00B92F4F"/>
    <w:rsid w:val="00BE1720"/>
    <w:rsid w:val="00BE4EC7"/>
    <w:rsid w:val="00C05390"/>
    <w:rsid w:val="00C21E02"/>
    <w:rsid w:val="00C41173"/>
    <w:rsid w:val="00C8048F"/>
    <w:rsid w:val="00CC2C16"/>
    <w:rsid w:val="00CC3C4D"/>
    <w:rsid w:val="00CC59DF"/>
    <w:rsid w:val="00D40CFE"/>
    <w:rsid w:val="00D90165"/>
    <w:rsid w:val="00DA3F2C"/>
    <w:rsid w:val="00DB7556"/>
    <w:rsid w:val="00DC1F88"/>
    <w:rsid w:val="00DD1AA3"/>
    <w:rsid w:val="00E15264"/>
    <w:rsid w:val="00E53775"/>
    <w:rsid w:val="00E54600"/>
    <w:rsid w:val="00E76D7E"/>
    <w:rsid w:val="00EA464F"/>
    <w:rsid w:val="00EE53A4"/>
    <w:rsid w:val="00F503A0"/>
    <w:rsid w:val="00F85504"/>
    <w:rsid w:val="00FA6A33"/>
    <w:rsid w:val="00FA6FF5"/>
    <w:rsid w:val="00FA7DCC"/>
    <w:rsid w:val="00FB18AB"/>
    <w:rsid w:val="00FB6496"/>
    <w:rsid w:val="00FD455E"/>
    <w:rsid w:val="01CE4AF6"/>
    <w:rsid w:val="023773B6"/>
    <w:rsid w:val="02CF5583"/>
    <w:rsid w:val="036B7036"/>
    <w:rsid w:val="03F02362"/>
    <w:rsid w:val="04123083"/>
    <w:rsid w:val="04771566"/>
    <w:rsid w:val="04771BB6"/>
    <w:rsid w:val="04953B5E"/>
    <w:rsid w:val="05A86320"/>
    <w:rsid w:val="05B3338A"/>
    <w:rsid w:val="06304C93"/>
    <w:rsid w:val="06361212"/>
    <w:rsid w:val="06A8626C"/>
    <w:rsid w:val="09267C87"/>
    <w:rsid w:val="099033E8"/>
    <w:rsid w:val="0AAA5F22"/>
    <w:rsid w:val="0B4E1717"/>
    <w:rsid w:val="0B7A250D"/>
    <w:rsid w:val="0B955093"/>
    <w:rsid w:val="0CE43AC5"/>
    <w:rsid w:val="0D861C45"/>
    <w:rsid w:val="0DA767E5"/>
    <w:rsid w:val="0E99690D"/>
    <w:rsid w:val="0F584607"/>
    <w:rsid w:val="0FB10147"/>
    <w:rsid w:val="0FB6788B"/>
    <w:rsid w:val="0FC94A21"/>
    <w:rsid w:val="11F027AC"/>
    <w:rsid w:val="12E74C90"/>
    <w:rsid w:val="14143C49"/>
    <w:rsid w:val="15B17473"/>
    <w:rsid w:val="16A91EF8"/>
    <w:rsid w:val="16B20DAC"/>
    <w:rsid w:val="17885F58"/>
    <w:rsid w:val="17B8504A"/>
    <w:rsid w:val="19384A45"/>
    <w:rsid w:val="19F64130"/>
    <w:rsid w:val="1AE522E9"/>
    <w:rsid w:val="1AE61020"/>
    <w:rsid w:val="1BBB0703"/>
    <w:rsid w:val="1BFC4D8D"/>
    <w:rsid w:val="1C204BAB"/>
    <w:rsid w:val="1D0A6B25"/>
    <w:rsid w:val="1E2C58E8"/>
    <w:rsid w:val="1F6E2791"/>
    <w:rsid w:val="20B20D75"/>
    <w:rsid w:val="22814DBA"/>
    <w:rsid w:val="229E2B2D"/>
    <w:rsid w:val="23812D59"/>
    <w:rsid w:val="23FA3D93"/>
    <w:rsid w:val="24E718B7"/>
    <w:rsid w:val="24FD1D8D"/>
    <w:rsid w:val="25123355"/>
    <w:rsid w:val="26832765"/>
    <w:rsid w:val="282270CF"/>
    <w:rsid w:val="28AC43FC"/>
    <w:rsid w:val="28D20CF3"/>
    <w:rsid w:val="2A817CBE"/>
    <w:rsid w:val="2B522029"/>
    <w:rsid w:val="2BD2547C"/>
    <w:rsid w:val="2CDC63B6"/>
    <w:rsid w:val="2D5024D6"/>
    <w:rsid w:val="2D5440E7"/>
    <w:rsid w:val="2DB36276"/>
    <w:rsid w:val="2E0F3A8B"/>
    <w:rsid w:val="2E922FFF"/>
    <w:rsid w:val="32AF03BC"/>
    <w:rsid w:val="32FC238E"/>
    <w:rsid w:val="33042719"/>
    <w:rsid w:val="33C66273"/>
    <w:rsid w:val="34670FD0"/>
    <w:rsid w:val="351E5C29"/>
    <w:rsid w:val="35A80D45"/>
    <w:rsid w:val="362178F7"/>
    <w:rsid w:val="36AF73FD"/>
    <w:rsid w:val="380164A1"/>
    <w:rsid w:val="38182977"/>
    <w:rsid w:val="388771B3"/>
    <w:rsid w:val="39BC3B6C"/>
    <w:rsid w:val="3B776A25"/>
    <w:rsid w:val="3C110A75"/>
    <w:rsid w:val="3CDE3DFA"/>
    <w:rsid w:val="3CE92A2E"/>
    <w:rsid w:val="3D4F35C7"/>
    <w:rsid w:val="3E6D4087"/>
    <w:rsid w:val="3FDD157B"/>
    <w:rsid w:val="4124330E"/>
    <w:rsid w:val="420A205A"/>
    <w:rsid w:val="423B78D8"/>
    <w:rsid w:val="435A08E7"/>
    <w:rsid w:val="442D5EE2"/>
    <w:rsid w:val="44625310"/>
    <w:rsid w:val="45A22D76"/>
    <w:rsid w:val="45F601C2"/>
    <w:rsid w:val="477167B2"/>
    <w:rsid w:val="47E900AF"/>
    <w:rsid w:val="47F0404A"/>
    <w:rsid w:val="481C6CFD"/>
    <w:rsid w:val="4863355E"/>
    <w:rsid w:val="487F1D13"/>
    <w:rsid w:val="4A10625A"/>
    <w:rsid w:val="4AC62A9D"/>
    <w:rsid w:val="4BD87565"/>
    <w:rsid w:val="4C1E06B7"/>
    <w:rsid w:val="4C6E4F70"/>
    <w:rsid w:val="4D3D62E0"/>
    <w:rsid w:val="4D9E2C94"/>
    <w:rsid w:val="4DBD30B2"/>
    <w:rsid w:val="51C42A08"/>
    <w:rsid w:val="52A1357E"/>
    <w:rsid w:val="54EF7C03"/>
    <w:rsid w:val="575C12D8"/>
    <w:rsid w:val="58AB6E2E"/>
    <w:rsid w:val="591C41D0"/>
    <w:rsid w:val="5A3C0BB7"/>
    <w:rsid w:val="5AFE1DDF"/>
    <w:rsid w:val="5BD3351C"/>
    <w:rsid w:val="5C713062"/>
    <w:rsid w:val="5C912659"/>
    <w:rsid w:val="5EC272D5"/>
    <w:rsid w:val="5EE702A1"/>
    <w:rsid w:val="5EFC2E4A"/>
    <w:rsid w:val="607D557B"/>
    <w:rsid w:val="62D6280C"/>
    <w:rsid w:val="63617942"/>
    <w:rsid w:val="640359B6"/>
    <w:rsid w:val="672F060A"/>
    <w:rsid w:val="67566CC6"/>
    <w:rsid w:val="67A97143"/>
    <w:rsid w:val="681A3FD0"/>
    <w:rsid w:val="689E69AF"/>
    <w:rsid w:val="68A90158"/>
    <w:rsid w:val="6A3749C6"/>
    <w:rsid w:val="6AD32296"/>
    <w:rsid w:val="6CB276D6"/>
    <w:rsid w:val="6CC12562"/>
    <w:rsid w:val="6CC17684"/>
    <w:rsid w:val="6DEA7FA1"/>
    <w:rsid w:val="6E414D68"/>
    <w:rsid w:val="6FAF4187"/>
    <w:rsid w:val="70080151"/>
    <w:rsid w:val="701E6253"/>
    <w:rsid w:val="71AC5180"/>
    <w:rsid w:val="72495F65"/>
    <w:rsid w:val="732950C8"/>
    <w:rsid w:val="734637E0"/>
    <w:rsid w:val="736B748E"/>
    <w:rsid w:val="74433DCB"/>
    <w:rsid w:val="74DB3A99"/>
    <w:rsid w:val="76567DC0"/>
    <w:rsid w:val="766308F1"/>
    <w:rsid w:val="774D67A3"/>
    <w:rsid w:val="77B74577"/>
    <w:rsid w:val="77EE3338"/>
    <w:rsid w:val="7876306A"/>
    <w:rsid w:val="7A4F284A"/>
    <w:rsid w:val="7A570902"/>
    <w:rsid w:val="7A6510DB"/>
    <w:rsid w:val="7A90289B"/>
    <w:rsid w:val="7B7610C0"/>
    <w:rsid w:val="7C050F3D"/>
    <w:rsid w:val="7C3945CD"/>
    <w:rsid w:val="7E5E733A"/>
    <w:rsid w:val="7E7B6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tabs>
        <w:tab w:val="left" w:pos="360"/>
        <w:tab w:val="left" w:pos="576"/>
      </w:tabs>
      <w:spacing w:before="260"/>
      <w:ind w:left="576" w:hanging="576"/>
      <w:jc w:val="left"/>
      <w:outlineLvl w:val="1"/>
    </w:pPr>
    <w:rPr>
      <w:rFonts w:ascii="宋体" w:hAnsi="Arial"/>
      <w:kern w:val="0"/>
      <w:sz w:val="32"/>
      <w:szCs w:val="32"/>
    </w:rPr>
  </w:style>
  <w:style w:type="paragraph" w:styleId="3">
    <w:name w:val="heading 3"/>
    <w:basedOn w:val="1"/>
    <w:next w:val="1"/>
    <w:link w:val="18"/>
    <w:autoRedefine/>
    <w:qFormat/>
    <w:uiPriority w:val="0"/>
    <w:pPr>
      <w:keepNext/>
      <w:keepLines/>
      <w:spacing w:before="260" w:after="260" w:line="416" w:lineRule="auto"/>
      <w:outlineLvl w:val="2"/>
    </w:pPr>
    <w:rPr>
      <w:bCs/>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autoRedefine/>
    <w:semiHidden/>
    <w:unhideWhenUsed/>
    <w:qFormat/>
    <w:uiPriority w:val="99"/>
    <w:pPr>
      <w:jc w:val="left"/>
    </w:pPr>
  </w:style>
  <w:style w:type="paragraph" w:styleId="5">
    <w:name w:val="Body Text"/>
    <w:basedOn w:val="1"/>
    <w:next w:val="1"/>
    <w:autoRedefine/>
    <w:qFormat/>
    <w:uiPriority w:val="0"/>
    <w:pPr>
      <w:spacing w:after="120"/>
    </w:pPr>
  </w:style>
  <w:style w:type="paragraph" w:styleId="6">
    <w:name w:val="Balloon Text"/>
    <w:basedOn w:val="1"/>
    <w:link w:val="19"/>
    <w:autoRedefine/>
    <w:semiHidden/>
    <w:unhideWhenUsed/>
    <w:qFormat/>
    <w:uiPriority w:val="99"/>
    <w:rPr>
      <w:sz w:val="18"/>
      <w:szCs w:val="18"/>
    </w:rPr>
  </w:style>
  <w:style w:type="paragraph" w:styleId="7">
    <w:name w:val="footer"/>
    <w:basedOn w:val="1"/>
    <w:link w:val="1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2"/>
    <w:basedOn w:val="1"/>
    <w:next w:val="1"/>
    <w:autoRedefine/>
    <w:unhideWhenUsed/>
    <w:qFormat/>
    <w:uiPriority w:val="39"/>
    <w:pPr>
      <w:ind w:left="420" w:leftChars="200"/>
    </w:pPr>
  </w:style>
  <w:style w:type="paragraph" w:styleId="10">
    <w:name w:val="annotation subject"/>
    <w:basedOn w:val="4"/>
    <w:next w:val="4"/>
    <w:link w:val="21"/>
    <w:autoRedefine/>
    <w:semiHidden/>
    <w:unhideWhenUsed/>
    <w:qFormat/>
    <w:uiPriority w:val="99"/>
    <w:rPr>
      <w:b/>
      <w:bCs/>
    </w:rPr>
  </w:style>
  <w:style w:type="character" w:styleId="13">
    <w:name w:val="page number"/>
    <w:basedOn w:val="12"/>
    <w:autoRedefine/>
    <w:qFormat/>
    <w:uiPriority w:val="0"/>
  </w:style>
  <w:style w:type="character" w:styleId="14">
    <w:name w:val="Hyperlink"/>
    <w:basedOn w:val="12"/>
    <w:autoRedefine/>
    <w:qFormat/>
    <w:uiPriority w:val="0"/>
    <w:rPr>
      <w:color w:val="0000FF" w:themeColor="hyperlink"/>
      <w:u w:val="single"/>
      <w14:textFill>
        <w14:solidFill>
          <w14:schemeClr w14:val="hlink"/>
        </w14:solidFill>
      </w14:textFill>
    </w:rPr>
  </w:style>
  <w:style w:type="character" w:styleId="15">
    <w:name w:val="annotation reference"/>
    <w:basedOn w:val="12"/>
    <w:autoRedefine/>
    <w:semiHidden/>
    <w:unhideWhenUsed/>
    <w:qFormat/>
    <w:uiPriority w:val="99"/>
    <w:rPr>
      <w:sz w:val="21"/>
      <w:szCs w:val="21"/>
    </w:rPr>
  </w:style>
  <w:style w:type="character" w:customStyle="1" w:styleId="16">
    <w:name w:val="页眉 字符"/>
    <w:basedOn w:val="12"/>
    <w:link w:val="8"/>
    <w:autoRedefine/>
    <w:qFormat/>
    <w:uiPriority w:val="99"/>
    <w:rPr>
      <w:sz w:val="18"/>
      <w:szCs w:val="18"/>
    </w:rPr>
  </w:style>
  <w:style w:type="character" w:customStyle="1" w:styleId="17">
    <w:name w:val="页脚 字符"/>
    <w:basedOn w:val="12"/>
    <w:link w:val="7"/>
    <w:autoRedefine/>
    <w:qFormat/>
    <w:uiPriority w:val="99"/>
    <w:rPr>
      <w:sz w:val="18"/>
      <w:szCs w:val="18"/>
    </w:rPr>
  </w:style>
  <w:style w:type="character" w:customStyle="1" w:styleId="18">
    <w:name w:val="标题 3 字符"/>
    <w:basedOn w:val="12"/>
    <w:link w:val="3"/>
    <w:autoRedefine/>
    <w:qFormat/>
    <w:uiPriority w:val="0"/>
    <w:rPr>
      <w:rFonts w:ascii="Times New Roman" w:hAnsi="Times New Roman" w:eastAsia="宋体" w:cs="Times New Roman"/>
      <w:bCs/>
      <w:szCs w:val="32"/>
    </w:rPr>
  </w:style>
  <w:style w:type="character" w:customStyle="1" w:styleId="19">
    <w:name w:val="批注框文本 字符"/>
    <w:basedOn w:val="12"/>
    <w:link w:val="6"/>
    <w:autoRedefine/>
    <w:semiHidden/>
    <w:qFormat/>
    <w:uiPriority w:val="99"/>
    <w:rPr>
      <w:rFonts w:ascii="Times New Roman" w:hAnsi="Times New Roman" w:eastAsia="宋体" w:cs="Times New Roman"/>
      <w:sz w:val="18"/>
      <w:szCs w:val="18"/>
    </w:rPr>
  </w:style>
  <w:style w:type="character" w:customStyle="1" w:styleId="20">
    <w:name w:val="批注文字 字符"/>
    <w:basedOn w:val="12"/>
    <w:link w:val="4"/>
    <w:autoRedefine/>
    <w:semiHidden/>
    <w:qFormat/>
    <w:uiPriority w:val="99"/>
    <w:rPr>
      <w:rFonts w:ascii="Times New Roman" w:hAnsi="Times New Roman" w:eastAsia="宋体" w:cs="Times New Roman"/>
      <w:szCs w:val="24"/>
    </w:rPr>
  </w:style>
  <w:style w:type="character" w:customStyle="1" w:styleId="21">
    <w:name w:val="批注主题 字符"/>
    <w:basedOn w:val="20"/>
    <w:link w:val="10"/>
    <w:autoRedefine/>
    <w:semiHidden/>
    <w:qFormat/>
    <w:uiPriority w:val="99"/>
    <w:rPr>
      <w:rFonts w:ascii="Times New Roman" w:hAnsi="Times New Roman" w:eastAsia="宋体" w:cs="Times New Roman"/>
      <w:b/>
      <w:bCs/>
      <w:szCs w:val="24"/>
    </w:rPr>
  </w:style>
  <w:style w:type="paragraph" w:customStyle="1" w:styleId="22">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9</Pages>
  <Words>5323</Words>
  <Characters>5883</Characters>
  <Lines>46</Lines>
  <Paragraphs>13</Paragraphs>
  <TotalTime>74</TotalTime>
  <ScaleCrop>false</ScaleCrop>
  <LinksUpToDate>false</LinksUpToDate>
  <CharactersWithSpaces>6082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2024-08-22T02:27:00Z</dcterms:created>
  <dc:creator>广州建筑工程监理有限公司</dc:creator>
  <cp:lastModifiedBy>Katherine Ng</cp:lastModifiedBy>
  <dcterms:modified xsi:type="dcterms:W3CDTF">2024-10-21T07:01:02Z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C17A7126DDEF4F27A33DBCABF04869D5</vt:lpwstr>
  </property>
</Properties>
</file>