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EA435">
      <w:pPr>
        <w:widowControl/>
        <w:ind w:firstLine="1100" w:firstLineChars="249"/>
        <w:jc w:val="left"/>
        <w:rPr>
          <w:rFonts w:hint="eastAsia" w:ascii="宋体" w:hAnsi="宋体" w:eastAsia="宋体" w:cs="宋体"/>
          <w:b/>
          <w:color w:val="auto"/>
          <w:sz w:val="44"/>
          <w:szCs w:val="44"/>
          <w:highlight w:val="none"/>
          <w:u w:val="single"/>
        </w:rPr>
      </w:pPr>
    </w:p>
    <w:p w14:paraId="6836DE01">
      <w:pPr>
        <w:widowControl/>
        <w:ind w:firstLine="1100" w:firstLineChars="249"/>
        <w:jc w:val="left"/>
        <w:rPr>
          <w:rFonts w:hint="eastAsia" w:ascii="宋体" w:hAnsi="宋体" w:eastAsia="宋体" w:cs="宋体"/>
          <w:b/>
          <w:color w:val="auto"/>
          <w:sz w:val="44"/>
          <w:szCs w:val="44"/>
          <w:highlight w:val="none"/>
          <w:u w:val="single"/>
        </w:rPr>
      </w:pPr>
    </w:p>
    <w:p w14:paraId="6C268FE3">
      <w:pPr>
        <w:widowControl/>
        <w:jc w:val="center"/>
        <w:rPr>
          <w:rFonts w:hint="eastAsia" w:ascii="宋体" w:hAnsi="宋体" w:eastAsia="宋体" w:cs="宋体"/>
          <w:b/>
          <w:color w:val="auto"/>
          <w:sz w:val="36"/>
          <w:szCs w:val="36"/>
          <w:highlight w:val="none"/>
          <w:lang w:eastAsia="zh-CN"/>
        </w:rPr>
      </w:pPr>
      <w:r>
        <w:rPr>
          <w:rFonts w:hint="eastAsia" w:ascii="宋体" w:hAnsi="宋体" w:cs="宋体"/>
          <w:b/>
          <w:color w:val="auto"/>
          <w:sz w:val="36"/>
          <w:szCs w:val="36"/>
          <w:highlight w:val="none"/>
          <w:lang w:eastAsia="zh-CN"/>
        </w:rPr>
        <w:t>广州净水公司2024年干化车间蒸汽锅炉及冷凝水回收系统改造项目</w:t>
      </w:r>
    </w:p>
    <w:p w14:paraId="4DEBEC8B">
      <w:pPr>
        <w:widowControl/>
        <w:jc w:val="center"/>
        <w:rPr>
          <w:rFonts w:hint="eastAsia" w:ascii="宋体" w:hAnsi="宋体" w:eastAsia="宋体" w:cs="宋体"/>
          <w:b/>
          <w:color w:val="auto"/>
          <w:sz w:val="44"/>
          <w:szCs w:val="44"/>
          <w:highlight w:val="none"/>
        </w:rPr>
      </w:pPr>
    </w:p>
    <w:p w14:paraId="1B2B165F">
      <w:pPr>
        <w:widowControl/>
        <w:jc w:val="left"/>
        <w:rPr>
          <w:rFonts w:hint="eastAsia" w:ascii="宋体" w:hAnsi="宋体" w:eastAsia="宋体" w:cs="宋体"/>
          <w:b/>
          <w:color w:val="auto"/>
          <w:sz w:val="44"/>
          <w:szCs w:val="44"/>
          <w:highlight w:val="none"/>
        </w:rPr>
      </w:pPr>
    </w:p>
    <w:p w14:paraId="13834EDB">
      <w:pPr>
        <w:widowControl/>
        <w:jc w:val="left"/>
        <w:rPr>
          <w:rFonts w:hint="eastAsia" w:ascii="宋体" w:hAnsi="宋体" w:eastAsia="宋体" w:cs="宋体"/>
          <w:b/>
          <w:color w:val="auto"/>
          <w:sz w:val="44"/>
          <w:szCs w:val="44"/>
          <w:highlight w:val="none"/>
        </w:rPr>
      </w:pPr>
    </w:p>
    <w:p w14:paraId="3E9ED4EB">
      <w:pPr>
        <w:widowControl/>
        <w:jc w:val="left"/>
        <w:rPr>
          <w:rFonts w:hint="eastAsia" w:ascii="宋体" w:hAnsi="宋体" w:eastAsia="宋体" w:cs="宋体"/>
          <w:b/>
          <w:color w:val="auto"/>
          <w:sz w:val="44"/>
          <w:szCs w:val="44"/>
          <w:highlight w:val="none"/>
        </w:rPr>
      </w:pPr>
    </w:p>
    <w:p w14:paraId="0FC9C1C1">
      <w:pPr>
        <w:widowControl/>
        <w:jc w:val="left"/>
        <w:rPr>
          <w:rFonts w:hint="eastAsia" w:ascii="宋体" w:hAnsi="宋体" w:eastAsia="宋体" w:cs="宋体"/>
          <w:b/>
          <w:color w:val="auto"/>
          <w:sz w:val="44"/>
          <w:szCs w:val="44"/>
          <w:highlight w:val="none"/>
        </w:rPr>
      </w:pPr>
    </w:p>
    <w:p w14:paraId="3927F047">
      <w:pPr>
        <w:spacing w:line="360" w:lineRule="auto"/>
        <w:jc w:val="center"/>
        <w:rPr>
          <w:rFonts w:hint="eastAsia" w:ascii="宋体" w:hAnsi="宋体" w:eastAsia="宋体" w:cs="宋体"/>
          <w:b/>
          <w:bCs/>
          <w:color w:val="auto"/>
          <w:spacing w:val="26"/>
          <w:sz w:val="110"/>
          <w:szCs w:val="110"/>
          <w:highlight w:val="none"/>
        </w:rPr>
      </w:pPr>
      <w:r>
        <w:rPr>
          <w:rFonts w:hint="eastAsia" w:ascii="宋体" w:hAnsi="宋体" w:eastAsia="宋体" w:cs="宋体"/>
          <w:b/>
          <w:bCs/>
          <w:color w:val="auto"/>
          <w:spacing w:val="26"/>
          <w:sz w:val="110"/>
          <w:szCs w:val="110"/>
          <w:highlight w:val="none"/>
        </w:rPr>
        <w:t>招标文件</w:t>
      </w:r>
    </w:p>
    <w:p w14:paraId="1D964900">
      <w:pPr>
        <w:widowControl/>
        <w:jc w:val="left"/>
        <w:rPr>
          <w:rFonts w:hint="eastAsia" w:ascii="宋体" w:hAnsi="宋体" w:eastAsia="宋体" w:cs="宋体"/>
          <w:color w:val="auto"/>
          <w:sz w:val="24"/>
          <w:szCs w:val="24"/>
          <w:highlight w:val="none"/>
        </w:rPr>
      </w:pPr>
    </w:p>
    <w:p w14:paraId="54E8F18F">
      <w:pPr>
        <w:widowControl/>
        <w:jc w:val="left"/>
        <w:rPr>
          <w:rFonts w:hint="eastAsia" w:ascii="宋体" w:hAnsi="宋体" w:eastAsia="宋体" w:cs="宋体"/>
          <w:color w:val="auto"/>
          <w:sz w:val="24"/>
          <w:szCs w:val="24"/>
          <w:highlight w:val="none"/>
        </w:rPr>
      </w:pPr>
    </w:p>
    <w:p w14:paraId="05638EEE">
      <w:pPr>
        <w:widowControl/>
        <w:jc w:val="left"/>
        <w:rPr>
          <w:rFonts w:hint="eastAsia" w:ascii="宋体" w:hAnsi="宋体" w:eastAsia="宋体" w:cs="宋体"/>
          <w:color w:val="auto"/>
          <w:sz w:val="24"/>
          <w:szCs w:val="24"/>
          <w:highlight w:val="none"/>
        </w:rPr>
      </w:pPr>
    </w:p>
    <w:p w14:paraId="681DE78E">
      <w:pPr>
        <w:widowControl/>
        <w:jc w:val="left"/>
        <w:rPr>
          <w:rFonts w:hint="eastAsia" w:ascii="宋体" w:hAnsi="宋体" w:eastAsia="宋体" w:cs="宋体"/>
          <w:color w:val="auto"/>
          <w:sz w:val="24"/>
          <w:szCs w:val="24"/>
          <w:highlight w:val="none"/>
        </w:rPr>
      </w:pPr>
    </w:p>
    <w:p w14:paraId="57A6CEF3">
      <w:pPr>
        <w:widowControl/>
        <w:jc w:val="left"/>
        <w:rPr>
          <w:rFonts w:hint="eastAsia" w:ascii="宋体" w:hAnsi="宋体" w:eastAsia="宋体" w:cs="宋体"/>
          <w:color w:val="auto"/>
          <w:sz w:val="24"/>
          <w:szCs w:val="24"/>
          <w:highlight w:val="none"/>
        </w:rPr>
      </w:pPr>
    </w:p>
    <w:p w14:paraId="17701D5A">
      <w:pPr>
        <w:widowControl/>
        <w:jc w:val="left"/>
        <w:rPr>
          <w:rFonts w:hint="eastAsia" w:ascii="宋体" w:hAnsi="宋体" w:eastAsia="宋体" w:cs="宋体"/>
          <w:color w:val="auto"/>
          <w:sz w:val="24"/>
          <w:szCs w:val="24"/>
          <w:highlight w:val="none"/>
        </w:rPr>
      </w:pPr>
    </w:p>
    <w:p w14:paraId="008CACDB">
      <w:pPr>
        <w:widowControl/>
        <w:jc w:val="left"/>
        <w:rPr>
          <w:rFonts w:hint="eastAsia" w:ascii="宋体" w:hAnsi="宋体" w:eastAsia="宋体" w:cs="宋体"/>
          <w:color w:val="auto"/>
          <w:sz w:val="24"/>
          <w:szCs w:val="24"/>
          <w:highlight w:val="none"/>
        </w:rPr>
      </w:pPr>
    </w:p>
    <w:p w14:paraId="5358658E">
      <w:pPr>
        <w:widowControl/>
        <w:jc w:val="left"/>
        <w:rPr>
          <w:rFonts w:hint="eastAsia" w:ascii="宋体" w:hAnsi="宋体" w:eastAsia="宋体" w:cs="宋体"/>
          <w:color w:val="auto"/>
          <w:sz w:val="24"/>
          <w:szCs w:val="24"/>
          <w:highlight w:val="none"/>
        </w:rPr>
      </w:pPr>
    </w:p>
    <w:p w14:paraId="66D1124B">
      <w:pPr>
        <w:widowControl/>
        <w:jc w:val="left"/>
        <w:rPr>
          <w:rFonts w:hint="eastAsia" w:ascii="宋体" w:hAnsi="宋体" w:eastAsia="宋体" w:cs="宋体"/>
          <w:color w:val="auto"/>
          <w:sz w:val="24"/>
          <w:szCs w:val="24"/>
          <w:highlight w:val="none"/>
        </w:rPr>
      </w:pPr>
    </w:p>
    <w:p w14:paraId="54D0DE95">
      <w:pPr>
        <w:widowControl/>
        <w:jc w:val="left"/>
        <w:rPr>
          <w:rFonts w:hint="eastAsia" w:ascii="宋体" w:hAnsi="宋体" w:eastAsia="宋体" w:cs="宋体"/>
          <w:color w:val="auto"/>
          <w:sz w:val="24"/>
          <w:szCs w:val="24"/>
          <w:highlight w:val="none"/>
        </w:rPr>
      </w:pPr>
    </w:p>
    <w:p w14:paraId="47A2985F">
      <w:pPr>
        <w:widowControl/>
        <w:spacing w:line="360" w:lineRule="auto"/>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招 标 人：广州市净水有限公司（盖单位章）</w:t>
      </w:r>
    </w:p>
    <w:p w14:paraId="4D49329B">
      <w:pPr>
        <w:widowControl/>
        <w:spacing w:line="360" w:lineRule="auto"/>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招标代理：广东粤能工程管理有限公司（盖单位章）</w:t>
      </w:r>
    </w:p>
    <w:p w14:paraId="21F74D70">
      <w:pPr>
        <w:widowControl/>
        <w:spacing w:line="360" w:lineRule="auto"/>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日    期：2024年 </w:t>
      </w:r>
      <w:r>
        <w:rPr>
          <w:rFonts w:hint="eastAsia" w:ascii="宋体" w:hAnsi="宋体" w:cs="宋体"/>
          <w:color w:val="auto"/>
          <w:sz w:val="30"/>
          <w:szCs w:val="30"/>
          <w:highlight w:val="none"/>
          <w:lang w:val="en-US" w:eastAsia="zh-CN"/>
        </w:rPr>
        <w:t>10</w:t>
      </w:r>
      <w:r>
        <w:rPr>
          <w:rFonts w:hint="eastAsia" w:ascii="宋体" w:hAnsi="宋体" w:eastAsia="宋体" w:cs="宋体"/>
          <w:color w:val="auto"/>
          <w:sz w:val="30"/>
          <w:szCs w:val="30"/>
          <w:highlight w:val="none"/>
        </w:rPr>
        <w:t xml:space="preserve"> 月</w:t>
      </w:r>
    </w:p>
    <w:p w14:paraId="7760BF4D">
      <w:pPr>
        <w:pStyle w:val="73"/>
        <w:pageBreakBefore/>
        <w:jc w:val="center"/>
        <w:rPr>
          <w:rFonts w:hint="eastAsia" w:ascii="宋体" w:hAnsi="宋体" w:eastAsia="宋体" w:cs="宋体"/>
          <w:color w:val="auto"/>
          <w:highlight w:val="none"/>
        </w:rPr>
      </w:pPr>
      <w:r>
        <w:rPr>
          <w:rFonts w:hint="eastAsia" w:ascii="宋体" w:hAnsi="宋体" w:eastAsia="宋体" w:cs="宋体"/>
          <w:color w:val="auto"/>
          <w:highlight w:val="none"/>
          <w:lang w:val="zh-CN"/>
        </w:rPr>
        <w:t>目  录</w:t>
      </w:r>
    </w:p>
    <w:p w14:paraId="2B8228A4">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TOC \o "1-3" \h \z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_Toc21179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第一章 招标公告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_Toc21179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11AF68F">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_Toc21612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第二章 投标须知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_Toc21612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1A37686">
      <w:pPr>
        <w:pStyle w:val="33"/>
        <w:spacing w:line="360" w:lineRule="auto"/>
        <w:ind w:firstLine="600" w:firstLineChars="30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_Toc25856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一、投标人须知前附表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_Toc25856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CD13AC1">
      <w:pPr>
        <w:pStyle w:val="33"/>
        <w:spacing w:line="360" w:lineRule="auto"/>
        <w:ind w:firstLine="600" w:firstLineChars="30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_Toc30777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二、投标须知修改表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_Toc30777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C7C680C">
      <w:pPr>
        <w:pStyle w:val="33"/>
        <w:spacing w:line="360" w:lineRule="auto"/>
        <w:ind w:firstLine="600" w:firstLineChars="30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_Toc7645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三、投标须知通用条款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731CB7D">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_Toc10703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第三章 评标及定标办法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_Toc10703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406DB9">
      <w:pPr>
        <w:pStyle w:val="33"/>
        <w:spacing w:line="360" w:lineRule="auto"/>
        <w:ind w:firstLine="600" w:firstLineChars="30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_Toc20296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一、评标及定标办法修改表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_Toc20296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14658D1">
      <w:pPr>
        <w:pStyle w:val="33"/>
        <w:spacing w:line="360" w:lineRule="auto"/>
        <w:ind w:firstLine="600" w:firstLineChars="30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二、评标及定标办法通用条款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_Toc31614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A5895D6">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_Toc11927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第四章 合同条款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_Toc11927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1F7934A">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_Toc15707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第五章 工程量清单（综合单价承包）</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_Toc15707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59C9A52">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_Toc3873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第六章 图纸（招标图纸）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_Toc3873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BED1722">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_Toc2125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第七章 技术标准和要求（合同技术条款）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_Toc2125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45FFBF4">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_Toc2691 </w:instrText>
      </w:r>
      <w:r>
        <w:rPr>
          <w:rFonts w:hint="eastAsia" w:ascii="宋体" w:hAnsi="宋体" w:eastAsia="宋体" w:cs="宋体"/>
          <w:color w:val="auto"/>
          <w:highlight w:val="none"/>
        </w:rPr>
        <w:fldChar w:fldCharType="separate"/>
      </w:r>
      <w:r>
        <w:rPr>
          <w:rFonts w:hint="default"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default" w:ascii="宋体" w:hAnsi="宋体" w:eastAsia="宋体" w:cs="宋体"/>
          <w:color w:val="auto"/>
          <w:highlight w:val="none"/>
        </w:rPr>
        <w:t xml:space="preserve">章 </w:t>
      </w:r>
      <w:r>
        <w:rPr>
          <w:rFonts w:hint="eastAsia" w:ascii="宋体" w:hAnsi="宋体" w:eastAsia="宋体" w:cs="宋体"/>
          <w:color w:val="auto"/>
          <w:highlight w:val="none"/>
          <w:lang w:val="en-US" w:eastAsia="zh-CN"/>
        </w:rPr>
        <w:t>投标文件格式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1C82CC7">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_Toc30144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第九章 否决性条款汇总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_Toc30144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71DD7A">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_Toc24697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第十章 最高投标限价（招标控制价）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_Toc24697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A63071D">
      <w:pPr>
        <w:pStyle w:val="33"/>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56F7BA92">
      <w:pPr>
        <w:rPr>
          <w:rFonts w:hint="eastAsia" w:ascii="宋体" w:hAnsi="宋体" w:eastAsia="宋体" w:cs="宋体"/>
          <w:color w:val="auto"/>
          <w:highlight w:val="none"/>
        </w:rPr>
      </w:pPr>
    </w:p>
    <w:p w14:paraId="17B65E11">
      <w:pPr>
        <w:pStyle w:val="4"/>
        <w:rPr>
          <w:rFonts w:hint="eastAsia" w:ascii="宋体" w:hAnsi="宋体" w:eastAsia="宋体" w:cs="宋体"/>
          <w:color w:val="auto"/>
          <w:highlight w:val="none"/>
        </w:rPr>
        <w:sectPr>
          <w:headerReference r:id="rId5" w:type="default"/>
          <w:pgSz w:w="11906" w:h="16838"/>
          <w:pgMar w:top="1440" w:right="1797" w:bottom="1440" w:left="1797" w:header="851" w:footer="992" w:gutter="0"/>
          <w:cols w:space="720" w:num="1"/>
          <w:docGrid w:linePitch="312" w:charSpace="0"/>
        </w:sectPr>
      </w:pPr>
      <w:bookmarkStart w:id="0" w:name="_Toc17450710"/>
      <w:bookmarkEnd w:id="0"/>
      <w:bookmarkStart w:id="1" w:name="_Toc17450792"/>
      <w:bookmarkEnd w:id="1"/>
      <w:bookmarkStart w:id="2" w:name="_Toc17451090"/>
      <w:bookmarkEnd w:id="2"/>
      <w:bookmarkStart w:id="3" w:name="_Toc17451195"/>
      <w:bookmarkEnd w:id="3"/>
      <w:bookmarkStart w:id="4" w:name="_Toc17556865"/>
      <w:bookmarkEnd w:id="4"/>
      <w:bookmarkStart w:id="5" w:name="_Toc17451092"/>
      <w:bookmarkEnd w:id="5"/>
      <w:bookmarkStart w:id="6" w:name="_Toc17450711"/>
      <w:bookmarkEnd w:id="6"/>
      <w:bookmarkStart w:id="7" w:name="_Toc17451196"/>
      <w:bookmarkEnd w:id="7"/>
      <w:bookmarkStart w:id="8" w:name="_Toc17556774"/>
      <w:bookmarkEnd w:id="8"/>
      <w:bookmarkStart w:id="9" w:name="_Toc17450712"/>
      <w:bookmarkEnd w:id="9"/>
      <w:bookmarkStart w:id="10" w:name="_Toc17556866"/>
      <w:bookmarkEnd w:id="10"/>
      <w:bookmarkStart w:id="11" w:name="_Toc17451091"/>
      <w:bookmarkEnd w:id="11"/>
      <w:bookmarkStart w:id="12" w:name="_Toc17556867"/>
      <w:bookmarkEnd w:id="12"/>
      <w:bookmarkStart w:id="13" w:name="_Toc17451194"/>
      <w:bookmarkEnd w:id="13"/>
      <w:bookmarkStart w:id="14" w:name="_Toc17450791"/>
      <w:bookmarkEnd w:id="14"/>
      <w:bookmarkStart w:id="15" w:name="_Toc17450790"/>
      <w:bookmarkEnd w:id="15"/>
      <w:bookmarkStart w:id="16" w:name="_Toc17452661"/>
      <w:bookmarkStart w:id="17" w:name="_Toc17451575"/>
      <w:bookmarkStart w:id="18" w:name="_Toc17451098"/>
      <w:bookmarkStart w:id="19" w:name="_Toc17454919"/>
      <w:bookmarkStart w:id="20" w:name="_Toc17451620"/>
      <w:bookmarkStart w:id="21" w:name="_Toc17556873"/>
      <w:bookmarkStart w:id="22" w:name="_Toc17454868"/>
    </w:p>
    <w:p w14:paraId="2D750A9B">
      <w:pPr>
        <w:pStyle w:val="4"/>
        <w:rPr>
          <w:rFonts w:hint="eastAsia" w:ascii="宋体" w:hAnsi="宋体" w:eastAsia="宋体" w:cs="宋体"/>
          <w:color w:val="auto"/>
          <w:highlight w:val="none"/>
        </w:rPr>
      </w:pPr>
      <w:bookmarkStart w:id="23" w:name="_Toc21179"/>
      <w:r>
        <w:rPr>
          <w:rFonts w:hint="eastAsia" w:ascii="宋体" w:hAnsi="宋体" w:eastAsia="宋体" w:cs="宋体"/>
          <w:color w:val="auto"/>
          <w:highlight w:val="none"/>
        </w:rPr>
        <w:t>第一章 招标公告</w:t>
      </w:r>
      <w:bookmarkEnd w:id="16"/>
      <w:bookmarkEnd w:id="17"/>
      <w:bookmarkEnd w:id="18"/>
      <w:bookmarkEnd w:id="19"/>
      <w:bookmarkEnd w:id="20"/>
      <w:bookmarkEnd w:id="21"/>
      <w:bookmarkEnd w:id="22"/>
      <w:bookmarkEnd w:id="23"/>
    </w:p>
    <w:p w14:paraId="4D8E8339">
      <w:pPr>
        <w:pStyle w:val="18"/>
        <w:spacing w:line="360" w:lineRule="auto"/>
        <w:jc w:val="center"/>
        <w:rPr>
          <w:rFonts w:hint="eastAsia" w:ascii="宋体" w:hAnsi="宋体" w:eastAsia="宋体" w:cs="宋体"/>
          <w:b/>
          <w:color w:val="auto"/>
          <w:sz w:val="32"/>
          <w:szCs w:val="32"/>
          <w:highlight w:val="none"/>
          <w:u w:val="none"/>
        </w:rPr>
      </w:pPr>
    </w:p>
    <w:p w14:paraId="45996F9F">
      <w:pPr>
        <w:jc w:val="center"/>
        <w:rPr>
          <w:rFonts w:hint="eastAsia" w:ascii="宋体" w:hAnsi="宋体" w:eastAsia="宋体" w:cs="宋体"/>
          <w:b/>
          <w:color w:val="auto"/>
          <w:kern w:val="0"/>
          <w:sz w:val="32"/>
          <w:szCs w:val="32"/>
          <w:highlight w:val="none"/>
        </w:rPr>
      </w:pPr>
      <w:r>
        <w:rPr>
          <w:rFonts w:hint="eastAsia" w:ascii="宋体" w:hAnsi="宋体" w:cs="宋体"/>
          <w:b/>
          <w:color w:val="auto"/>
          <w:kern w:val="0"/>
          <w:sz w:val="32"/>
          <w:szCs w:val="32"/>
          <w:highlight w:val="none"/>
          <w:u w:val="single"/>
          <w:lang w:eastAsia="zh-CN"/>
        </w:rPr>
        <w:t>广州净水公司2024年干化车间蒸汽锅炉及冷凝水回收系统改造项目</w:t>
      </w:r>
      <w:r>
        <w:rPr>
          <w:rFonts w:hint="eastAsia" w:ascii="宋体" w:hAnsi="宋体" w:eastAsia="宋体" w:cs="宋体"/>
          <w:b/>
          <w:color w:val="auto"/>
          <w:kern w:val="0"/>
          <w:sz w:val="32"/>
          <w:szCs w:val="32"/>
          <w:highlight w:val="none"/>
        </w:rPr>
        <w:t>招标公告</w:t>
      </w:r>
    </w:p>
    <w:p w14:paraId="37024916">
      <w:pPr>
        <w:adjustRightInd w:val="0"/>
        <w:spacing w:line="360" w:lineRule="auto"/>
        <w:ind w:firstLine="482" w:firstLineChars="200"/>
        <w:rPr>
          <w:rFonts w:hint="eastAsia" w:ascii="宋体" w:hAnsi="宋体" w:eastAsia="宋体" w:cs="宋体"/>
          <w:b/>
          <w:color w:val="auto"/>
          <w:sz w:val="24"/>
          <w:szCs w:val="24"/>
          <w:highlight w:val="none"/>
        </w:rPr>
      </w:pPr>
      <w:bookmarkStart w:id="24" w:name="_Toc21787626"/>
      <w:r>
        <w:rPr>
          <w:rFonts w:hint="eastAsia" w:ascii="宋体" w:hAnsi="宋体" w:eastAsia="宋体" w:cs="宋体"/>
          <w:b/>
          <w:color w:val="auto"/>
          <w:sz w:val="24"/>
          <w:szCs w:val="24"/>
          <w:highlight w:val="none"/>
        </w:rPr>
        <w:t>1.招标条件</w:t>
      </w:r>
      <w:bookmarkEnd w:id="24"/>
      <w:r>
        <w:rPr>
          <w:rFonts w:hint="eastAsia" w:ascii="宋体" w:hAnsi="宋体" w:eastAsia="宋体" w:cs="宋体"/>
          <w:b/>
          <w:color w:val="auto"/>
          <w:sz w:val="24"/>
          <w:szCs w:val="24"/>
          <w:highlight w:val="none"/>
        </w:rPr>
        <w:t xml:space="preserve"> </w:t>
      </w:r>
    </w:p>
    <w:p w14:paraId="27E12504">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本招标项目</w:t>
      </w:r>
      <w:r>
        <w:rPr>
          <w:rFonts w:hint="eastAsia" w:ascii="宋体" w:hAnsi="宋体" w:cs="宋体"/>
          <w:color w:val="auto"/>
          <w:sz w:val="24"/>
          <w:szCs w:val="24"/>
          <w:highlight w:val="none"/>
          <w:u w:val="single"/>
          <w:lang w:eastAsia="zh-CN"/>
        </w:rPr>
        <w:t>广州净水公司2024年干化车间蒸汽锅炉及冷凝水回收系统改造项目</w:t>
      </w:r>
      <w:r>
        <w:rPr>
          <w:rFonts w:hint="eastAsia" w:ascii="宋体" w:hAnsi="宋体" w:eastAsia="宋体" w:cs="宋体"/>
          <w:color w:val="auto"/>
          <w:sz w:val="24"/>
          <w:szCs w:val="24"/>
          <w:highlight w:val="none"/>
        </w:rPr>
        <w:t>的项目业主为</w:t>
      </w:r>
      <w:r>
        <w:rPr>
          <w:rFonts w:hint="eastAsia" w:ascii="宋体" w:hAnsi="宋体" w:eastAsia="宋体" w:cs="宋体"/>
          <w:color w:val="auto"/>
          <w:sz w:val="24"/>
          <w:szCs w:val="24"/>
          <w:highlight w:val="none"/>
          <w:u w:val="single"/>
        </w:rPr>
        <w:t>广州市净水有限公司</w:t>
      </w:r>
      <w:r>
        <w:rPr>
          <w:rFonts w:hint="eastAsia" w:ascii="宋体" w:hAnsi="宋体" w:eastAsia="宋体" w:cs="宋体"/>
          <w:color w:val="auto"/>
          <w:sz w:val="24"/>
          <w:szCs w:val="24"/>
          <w:highlight w:val="none"/>
        </w:rPr>
        <w:t>，建设资金来自企业</w:t>
      </w:r>
      <w:r>
        <w:rPr>
          <w:rFonts w:hint="eastAsia" w:ascii="宋体" w:hAnsi="宋体" w:eastAsia="宋体" w:cs="宋体"/>
          <w:color w:val="auto"/>
          <w:sz w:val="24"/>
          <w:szCs w:val="24"/>
          <w:highlight w:val="none"/>
          <w:u w:val="single"/>
        </w:rPr>
        <w:t>自筹资金</w:t>
      </w:r>
      <w:r>
        <w:rPr>
          <w:rFonts w:hint="eastAsia" w:ascii="宋体" w:hAnsi="宋体" w:eastAsia="宋体" w:cs="宋体"/>
          <w:color w:val="auto"/>
          <w:sz w:val="24"/>
          <w:szCs w:val="24"/>
          <w:highlight w:val="none"/>
        </w:rPr>
        <w:t>，项目出资比例为</w:t>
      </w:r>
      <w:r>
        <w:rPr>
          <w:rFonts w:hint="eastAsia" w:ascii="宋体" w:hAnsi="宋体" w:eastAsia="宋体" w:cs="宋体"/>
          <w:color w:val="auto"/>
          <w:sz w:val="24"/>
          <w:szCs w:val="24"/>
          <w:highlight w:val="none"/>
          <w:u w:val="single"/>
        </w:rPr>
        <w:t>100%</w:t>
      </w:r>
      <w:r>
        <w:rPr>
          <w:rFonts w:hint="eastAsia" w:ascii="宋体" w:hAnsi="宋体" w:eastAsia="宋体" w:cs="宋体"/>
          <w:color w:val="auto"/>
          <w:sz w:val="24"/>
          <w:szCs w:val="24"/>
          <w:highlight w:val="none"/>
        </w:rPr>
        <w:t>,招标人为</w:t>
      </w:r>
      <w:r>
        <w:rPr>
          <w:rFonts w:hint="eastAsia" w:ascii="宋体" w:hAnsi="宋体" w:eastAsia="宋体" w:cs="宋体"/>
          <w:color w:val="auto"/>
          <w:sz w:val="24"/>
          <w:szCs w:val="24"/>
          <w:highlight w:val="none"/>
          <w:u w:val="single"/>
        </w:rPr>
        <w:t>广州市净水有限公司</w:t>
      </w:r>
      <w:r>
        <w:rPr>
          <w:rFonts w:hint="eastAsia" w:ascii="宋体" w:hAnsi="宋体" w:eastAsia="宋体" w:cs="宋体"/>
          <w:color w:val="auto"/>
          <w:sz w:val="24"/>
          <w:szCs w:val="24"/>
          <w:highlight w:val="none"/>
        </w:rPr>
        <w:t>。项目已具备招标条件，现对该项目进行公开招标。</w:t>
      </w:r>
    </w:p>
    <w:p w14:paraId="609CF1A4">
      <w:pPr>
        <w:adjustRightInd w:val="0"/>
        <w:spacing w:line="360" w:lineRule="auto"/>
        <w:ind w:firstLine="482" w:firstLineChars="200"/>
        <w:rPr>
          <w:rFonts w:hint="eastAsia" w:ascii="宋体" w:hAnsi="宋体" w:eastAsia="宋体" w:cs="宋体"/>
          <w:b/>
          <w:color w:val="auto"/>
          <w:sz w:val="24"/>
          <w:szCs w:val="24"/>
          <w:highlight w:val="none"/>
        </w:rPr>
      </w:pPr>
      <w:bookmarkStart w:id="25" w:name="_Toc21787627"/>
    </w:p>
    <w:p w14:paraId="3E77E0AE">
      <w:pPr>
        <w:adjustRightIn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2.项目概况与招标范围</w:t>
      </w:r>
      <w:bookmarkEnd w:id="25"/>
    </w:p>
    <w:p w14:paraId="7F0140D2">
      <w:pPr>
        <w:adjustRightIn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2.1项目名称：</w:t>
      </w:r>
      <w:r>
        <w:rPr>
          <w:rFonts w:hint="eastAsia" w:ascii="宋体" w:hAnsi="宋体" w:cs="宋体"/>
          <w:color w:val="auto"/>
          <w:sz w:val="24"/>
          <w:szCs w:val="24"/>
          <w:highlight w:val="none"/>
          <w:lang w:eastAsia="zh-CN"/>
        </w:rPr>
        <w:t>广州净水公司2024年干化车间蒸汽锅炉及冷凝水回收系统改造项目</w:t>
      </w:r>
    </w:p>
    <w:p w14:paraId="36F9FCF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2.2建设地点：广州市。</w:t>
      </w:r>
    </w:p>
    <w:p w14:paraId="707148E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2.3项目规模：本项目为</w:t>
      </w:r>
      <w:r>
        <w:rPr>
          <w:rFonts w:hint="eastAsia" w:ascii="宋体" w:hAnsi="宋体" w:cs="宋体"/>
          <w:color w:val="auto"/>
          <w:sz w:val="24"/>
          <w:szCs w:val="24"/>
          <w:highlight w:val="none"/>
          <w:lang w:eastAsia="zh-CN"/>
        </w:rPr>
        <w:t>广州净水公司2024年干化车间蒸汽锅炉及冷凝水回收系统改造项目</w:t>
      </w:r>
      <w:r>
        <w:rPr>
          <w:rFonts w:hint="eastAsia" w:ascii="宋体" w:hAnsi="宋体" w:eastAsia="宋体" w:cs="宋体"/>
          <w:color w:val="auto"/>
          <w:sz w:val="24"/>
          <w:szCs w:val="24"/>
          <w:highlight w:val="none"/>
        </w:rPr>
        <w:t>，具体详见项目需求书。</w:t>
      </w:r>
    </w:p>
    <w:p w14:paraId="3396DC87">
      <w:pPr>
        <w:adjustRightIn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2.4本次最高投标限价（招标控制价）：</w:t>
      </w:r>
      <w:r>
        <w:rPr>
          <w:rFonts w:hint="eastAsia" w:ascii="宋体" w:hAnsi="宋体" w:cs="宋体"/>
          <w:color w:val="auto"/>
          <w:sz w:val="24"/>
          <w:szCs w:val="24"/>
          <w:highlight w:val="none"/>
          <w:u w:val="single"/>
          <w:lang w:val="en-US" w:eastAsia="zh-CN"/>
        </w:rPr>
        <w:t xml:space="preserve"> 8609697.34 </w:t>
      </w:r>
      <w:r>
        <w:rPr>
          <w:rFonts w:hint="eastAsia" w:ascii="宋体" w:hAnsi="宋体" w:eastAsia="宋体" w:cs="宋体"/>
          <w:color w:val="auto"/>
          <w:sz w:val="24"/>
          <w:szCs w:val="24"/>
          <w:highlight w:val="none"/>
          <w:u w:val="single"/>
        </w:rPr>
        <w:t>元。（具体详见最高投标限价公布函）（本项目实行双限价，即投标人的投标总报价高于最高投标限价或投标人综合单价报价高于综合单价最高投标限价，则其投标将被拒绝（具体详见最高投标限价公布函）</w:t>
      </w:r>
    </w:p>
    <w:tbl>
      <w:tblPr>
        <w:tblStyle w:val="40"/>
        <w:tblpPr w:leftFromText="180" w:rightFromText="180" w:vertAnchor="text" w:horzAnchor="page" w:tblpX="2216" w:tblpY="46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291"/>
        <w:gridCol w:w="4634"/>
        <w:gridCol w:w="1883"/>
      </w:tblGrid>
      <w:tr w14:paraId="3FF3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noWrap w:val="0"/>
            <w:vAlign w:val="center"/>
          </w:tcPr>
          <w:p w14:paraId="3B717516">
            <w:pPr>
              <w:keepNext w:val="0"/>
              <w:keepLines w:val="0"/>
              <w:widowControl w:val="0"/>
              <w:suppressLineNumbers w:val="0"/>
              <w:autoSpaceDE w:val="0"/>
              <w:autoSpaceDN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序号</w:t>
            </w:r>
          </w:p>
        </w:tc>
        <w:tc>
          <w:tcPr>
            <w:tcW w:w="757" w:type="pct"/>
            <w:noWrap w:val="0"/>
            <w:vAlign w:val="center"/>
          </w:tcPr>
          <w:p w14:paraId="0C58BCC6">
            <w:pPr>
              <w:keepNext w:val="0"/>
              <w:keepLines w:val="0"/>
              <w:widowControl w:val="0"/>
              <w:suppressLineNumbers w:val="0"/>
              <w:autoSpaceDE w:val="0"/>
              <w:autoSpaceDN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分公司</w:t>
            </w:r>
          </w:p>
        </w:tc>
        <w:tc>
          <w:tcPr>
            <w:tcW w:w="2717" w:type="pct"/>
            <w:noWrap w:val="0"/>
            <w:vAlign w:val="center"/>
          </w:tcPr>
          <w:p w14:paraId="3E293097">
            <w:pPr>
              <w:keepNext w:val="0"/>
              <w:keepLines w:val="0"/>
              <w:widowControl w:val="0"/>
              <w:suppressLineNumbers w:val="0"/>
              <w:autoSpaceDE w:val="0"/>
              <w:autoSpaceDN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项目名称</w:t>
            </w:r>
          </w:p>
        </w:tc>
        <w:tc>
          <w:tcPr>
            <w:tcW w:w="1104" w:type="pct"/>
            <w:noWrap w:val="0"/>
            <w:vAlign w:val="center"/>
          </w:tcPr>
          <w:p w14:paraId="777443EA">
            <w:pPr>
              <w:keepNext w:val="0"/>
              <w:keepLines w:val="0"/>
              <w:widowControl w:val="0"/>
              <w:suppressLineNumbers w:val="0"/>
              <w:autoSpaceDE w:val="0"/>
              <w:autoSpaceDN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工期</w:t>
            </w:r>
          </w:p>
        </w:tc>
      </w:tr>
      <w:tr w14:paraId="19AE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noWrap w:val="0"/>
            <w:vAlign w:val="center"/>
          </w:tcPr>
          <w:p w14:paraId="4C8395E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ascii="Times New Roman" w:hAnsi="Times New Roman" w:eastAsia="宋体" w:cs="Times New Roman"/>
                <w:color w:val="auto"/>
                <w:kern w:val="2"/>
                <w:sz w:val="21"/>
                <w:szCs w:val="22"/>
                <w:highlight w:val="none"/>
                <w:lang w:bidi="ar"/>
              </w:rPr>
              <w:t>1</w:t>
            </w:r>
          </w:p>
        </w:tc>
        <w:tc>
          <w:tcPr>
            <w:tcW w:w="757" w:type="pct"/>
            <w:noWrap w:val="0"/>
            <w:vAlign w:val="center"/>
          </w:tcPr>
          <w:p w14:paraId="007337E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ascii="Times New Roman" w:hAnsi="Times New Roman" w:eastAsia="宋体" w:cs="Times New Roman"/>
                <w:color w:val="auto"/>
                <w:sz w:val="21"/>
                <w:szCs w:val="22"/>
                <w:highlight w:val="none"/>
                <w:lang w:val="en-US" w:eastAsia="zh-CN"/>
              </w:rPr>
              <w:t>沥滘</w:t>
            </w:r>
            <w:r>
              <w:rPr>
                <w:rFonts w:hint="eastAsia" w:ascii="Times New Roman" w:hAnsi="Times New Roman" w:eastAsia="宋体" w:cs="Times New Roman"/>
                <w:color w:val="auto"/>
                <w:kern w:val="2"/>
                <w:sz w:val="21"/>
                <w:szCs w:val="22"/>
                <w:highlight w:val="none"/>
                <w:lang w:bidi="ar"/>
              </w:rPr>
              <w:t>分公司</w:t>
            </w:r>
          </w:p>
        </w:tc>
        <w:tc>
          <w:tcPr>
            <w:tcW w:w="2717" w:type="pct"/>
            <w:noWrap w:val="0"/>
            <w:vAlign w:val="center"/>
          </w:tcPr>
          <w:p w14:paraId="43F1ABF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color w:val="auto"/>
                <w:highlight w:val="none"/>
              </w:rPr>
              <w:t>沥滘分公司2024年三期干化车间蒸汽锅炉及冷凝水回收系统改造项目</w:t>
            </w:r>
          </w:p>
        </w:tc>
        <w:tc>
          <w:tcPr>
            <w:tcW w:w="1104" w:type="pct"/>
            <w:noWrap w:val="0"/>
            <w:vAlign w:val="center"/>
          </w:tcPr>
          <w:p w14:paraId="226F199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lang w:val="en-US" w:eastAsia="zh-CN"/>
              </w:rPr>
            </w:pPr>
            <w:r>
              <w:rPr>
                <w:rFonts w:hint="eastAsia"/>
                <w:color w:val="auto"/>
                <w:highlight w:val="none"/>
              </w:rPr>
              <w:t>270天</w:t>
            </w:r>
          </w:p>
        </w:tc>
      </w:tr>
      <w:tr w14:paraId="5237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noWrap w:val="0"/>
            <w:vAlign w:val="center"/>
          </w:tcPr>
          <w:p w14:paraId="236FCA1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lang w:eastAsia="zh-CN"/>
              </w:rPr>
            </w:pPr>
            <w:r>
              <w:rPr>
                <w:rFonts w:hint="eastAsia" w:ascii="Times New Roman" w:hAnsi="Times New Roman" w:eastAsia="宋体" w:cs="Times New Roman"/>
                <w:color w:val="auto"/>
                <w:kern w:val="2"/>
                <w:sz w:val="21"/>
                <w:szCs w:val="22"/>
                <w:highlight w:val="none"/>
                <w:lang w:val="en-US" w:eastAsia="zh-CN" w:bidi="ar"/>
              </w:rPr>
              <w:t>2</w:t>
            </w:r>
          </w:p>
        </w:tc>
        <w:tc>
          <w:tcPr>
            <w:tcW w:w="757" w:type="pct"/>
            <w:noWrap w:val="0"/>
            <w:vAlign w:val="center"/>
          </w:tcPr>
          <w:p w14:paraId="51E6881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ascii="Times New Roman" w:hAnsi="Times New Roman" w:eastAsia="宋体" w:cs="Times New Roman"/>
                <w:color w:val="auto"/>
                <w:sz w:val="21"/>
                <w:szCs w:val="22"/>
                <w:highlight w:val="none"/>
                <w:lang w:val="en-US" w:eastAsia="zh-CN"/>
              </w:rPr>
              <w:t>西朗二期</w:t>
            </w:r>
            <w:r>
              <w:rPr>
                <w:rFonts w:hint="eastAsia" w:ascii="Times New Roman" w:hAnsi="Times New Roman" w:eastAsia="宋体" w:cs="Times New Roman"/>
                <w:color w:val="auto"/>
                <w:kern w:val="2"/>
                <w:sz w:val="21"/>
                <w:szCs w:val="22"/>
                <w:highlight w:val="none"/>
                <w:lang w:bidi="ar"/>
              </w:rPr>
              <w:t>分公司</w:t>
            </w:r>
          </w:p>
        </w:tc>
        <w:tc>
          <w:tcPr>
            <w:tcW w:w="2717" w:type="pct"/>
            <w:noWrap w:val="0"/>
            <w:vAlign w:val="center"/>
          </w:tcPr>
          <w:p w14:paraId="545793D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color w:val="auto"/>
                <w:highlight w:val="none"/>
              </w:rPr>
              <w:t>西朗二期分公司2024年二期干化车间蒸汽锅炉及冷凝水回收系统改造项目</w:t>
            </w:r>
          </w:p>
        </w:tc>
        <w:tc>
          <w:tcPr>
            <w:tcW w:w="1104" w:type="pct"/>
            <w:noWrap w:val="0"/>
            <w:vAlign w:val="center"/>
          </w:tcPr>
          <w:p w14:paraId="4511FF6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lang w:val="en-US" w:eastAsia="zh-CN"/>
              </w:rPr>
            </w:pPr>
            <w:r>
              <w:rPr>
                <w:rFonts w:hint="eastAsia"/>
                <w:color w:val="auto"/>
                <w:highlight w:val="none"/>
              </w:rPr>
              <w:t>270天</w:t>
            </w:r>
          </w:p>
        </w:tc>
      </w:tr>
      <w:tr w14:paraId="373C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noWrap w:val="0"/>
            <w:vAlign w:val="center"/>
          </w:tcPr>
          <w:p w14:paraId="73F4463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lang w:eastAsia="zh-CN"/>
              </w:rPr>
            </w:pPr>
            <w:r>
              <w:rPr>
                <w:rFonts w:hint="eastAsia" w:ascii="Times New Roman" w:hAnsi="Times New Roman" w:eastAsia="宋体" w:cs="Times New Roman"/>
                <w:color w:val="auto"/>
                <w:kern w:val="2"/>
                <w:sz w:val="21"/>
                <w:szCs w:val="22"/>
                <w:highlight w:val="none"/>
                <w:lang w:val="en-US" w:eastAsia="zh-CN" w:bidi="ar"/>
              </w:rPr>
              <w:t>3</w:t>
            </w:r>
          </w:p>
        </w:tc>
        <w:tc>
          <w:tcPr>
            <w:tcW w:w="757" w:type="pct"/>
            <w:noWrap w:val="0"/>
            <w:vAlign w:val="center"/>
          </w:tcPr>
          <w:p w14:paraId="48E69FF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ascii="Times New Roman" w:hAnsi="Times New Roman" w:eastAsia="宋体" w:cs="Times New Roman"/>
                <w:color w:val="auto"/>
                <w:sz w:val="21"/>
                <w:szCs w:val="22"/>
                <w:highlight w:val="none"/>
                <w:lang w:val="en-US" w:eastAsia="zh-CN"/>
              </w:rPr>
              <w:t>大沙地</w:t>
            </w:r>
            <w:r>
              <w:rPr>
                <w:rFonts w:hint="eastAsia" w:ascii="Times New Roman" w:hAnsi="Times New Roman" w:eastAsia="宋体" w:cs="Times New Roman"/>
                <w:color w:val="auto"/>
                <w:kern w:val="2"/>
                <w:sz w:val="21"/>
                <w:szCs w:val="22"/>
                <w:highlight w:val="none"/>
                <w:lang w:bidi="ar"/>
              </w:rPr>
              <w:t>分公司</w:t>
            </w:r>
          </w:p>
        </w:tc>
        <w:tc>
          <w:tcPr>
            <w:tcW w:w="2717" w:type="pct"/>
            <w:noWrap w:val="0"/>
            <w:vAlign w:val="center"/>
          </w:tcPr>
          <w:p w14:paraId="4BD4A8B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ascii="Times New Roman" w:hAnsi="Times New Roman" w:eastAsia="宋体" w:cs="Times New Roman"/>
                <w:color w:val="auto"/>
                <w:sz w:val="21"/>
                <w:szCs w:val="22"/>
                <w:highlight w:val="none"/>
                <w:lang w:val="en-US" w:eastAsia="zh-CN"/>
              </w:rPr>
              <w:t>大沙地分公司2024年二期干化车间蒸汽锅炉及冷凝水回收系统改造项目</w:t>
            </w:r>
          </w:p>
        </w:tc>
        <w:tc>
          <w:tcPr>
            <w:tcW w:w="1104" w:type="pct"/>
            <w:noWrap w:val="0"/>
            <w:vAlign w:val="center"/>
          </w:tcPr>
          <w:p w14:paraId="469210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lang w:val="en-US" w:eastAsia="zh-CN"/>
              </w:rPr>
            </w:pPr>
            <w:r>
              <w:rPr>
                <w:rFonts w:hint="eastAsia"/>
                <w:color w:val="auto"/>
                <w:highlight w:val="none"/>
              </w:rPr>
              <w:t>270天</w:t>
            </w:r>
          </w:p>
        </w:tc>
      </w:tr>
      <w:tr w14:paraId="015C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noWrap w:val="0"/>
            <w:vAlign w:val="center"/>
          </w:tcPr>
          <w:p w14:paraId="7184EEB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lang w:eastAsia="zh-CN"/>
              </w:rPr>
            </w:pPr>
            <w:r>
              <w:rPr>
                <w:rFonts w:hint="eastAsia" w:ascii="Times New Roman" w:hAnsi="Times New Roman" w:eastAsia="宋体" w:cs="Times New Roman"/>
                <w:color w:val="auto"/>
                <w:kern w:val="2"/>
                <w:sz w:val="21"/>
                <w:szCs w:val="22"/>
                <w:highlight w:val="none"/>
                <w:lang w:val="en-US" w:eastAsia="zh-CN" w:bidi="ar"/>
              </w:rPr>
              <w:t>4</w:t>
            </w:r>
          </w:p>
        </w:tc>
        <w:tc>
          <w:tcPr>
            <w:tcW w:w="757" w:type="pct"/>
            <w:noWrap w:val="0"/>
            <w:vAlign w:val="center"/>
          </w:tcPr>
          <w:p w14:paraId="52DE792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ascii="Times New Roman" w:hAnsi="Times New Roman" w:eastAsia="宋体" w:cs="Times New Roman"/>
                <w:color w:val="auto"/>
                <w:sz w:val="21"/>
                <w:szCs w:val="22"/>
                <w:highlight w:val="none"/>
                <w:lang w:val="en-US" w:eastAsia="zh-CN"/>
              </w:rPr>
              <w:t>健康城</w:t>
            </w:r>
            <w:r>
              <w:rPr>
                <w:rFonts w:hint="eastAsia" w:ascii="Times New Roman" w:hAnsi="Times New Roman" w:eastAsia="宋体" w:cs="Times New Roman"/>
                <w:color w:val="auto"/>
                <w:kern w:val="2"/>
                <w:sz w:val="21"/>
                <w:szCs w:val="22"/>
                <w:highlight w:val="none"/>
                <w:lang w:bidi="ar"/>
              </w:rPr>
              <w:t>分公司</w:t>
            </w:r>
          </w:p>
        </w:tc>
        <w:tc>
          <w:tcPr>
            <w:tcW w:w="2717" w:type="pct"/>
            <w:noWrap w:val="0"/>
            <w:vAlign w:val="center"/>
          </w:tcPr>
          <w:p w14:paraId="54AAB63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rPr>
            </w:pPr>
            <w:r>
              <w:rPr>
                <w:rFonts w:hint="eastAsia" w:ascii="Times New Roman" w:hAnsi="Times New Roman" w:eastAsia="宋体" w:cs="Times New Roman"/>
                <w:color w:val="auto"/>
                <w:sz w:val="21"/>
                <w:szCs w:val="22"/>
                <w:highlight w:val="none"/>
                <w:lang w:val="en-US" w:eastAsia="zh-CN"/>
              </w:rPr>
              <w:t>健康城分公司2024年干化车间蒸汽锅炉及冷凝水回收系统改造项目</w:t>
            </w:r>
          </w:p>
        </w:tc>
        <w:tc>
          <w:tcPr>
            <w:tcW w:w="1104" w:type="pct"/>
            <w:noWrap w:val="0"/>
            <w:vAlign w:val="center"/>
          </w:tcPr>
          <w:p w14:paraId="1717349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2"/>
                <w:highlight w:val="none"/>
                <w:lang w:val="en-US" w:eastAsia="zh-CN"/>
              </w:rPr>
            </w:pPr>
            <w:r>
              <w:rPr>
                <w:rFonts w:hint="eastAsia" w:ascii="Times New Roman" w:hAnsi="Times New Roman" w:eastAsia="宋体" w:cs="Times New Roman"/>
                <w:color w:val="auto"/>
                <w:sz w:val="21"/>
                <w:szCs w:val="22"/>
                <w:highlight w:val="none"/>
                <w:lang w:val="en-US" w:eastAsia="zh-CN"/>
              </w:rPr>
              <w:t>120天</w:t>
            </w:r>
          </w:p>
        </w:tc>
      </w:tr>
    </w:tbl>
    <w:p w14:paraId="6CC752E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备注：工期包含施工以及试运行（按各项目验收要求）以及竣工验收。</w:t>
      </w:r>
    </w:p>
    <w:p w14:paraId="0CD46132">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2.5计划货（工）期：</w:t>
      </w:r>
    </w:p>
    <w:p w14:paraId="3935B809">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（详见《项目需求书》）。</w:t>
      </w:r>
    </w:p>
    <w:p w14:paraId="146267BF">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2.6招标内容：</w:t>
      </w:r>
      <w:r>
        <w:rPr>
          <w:rFonts w:hint="eastAsia" w:ascii="宋体" w:hAnsi="宋体" w:eastAsia="宋体" w:cs="宋体"/>
          <w:color w:val="auto"/>
          <w:sz w:val="24"/>
          <w:szCs w:val="24"/>
          <w:highlight w:val="none"/>
          <w:u w:val="single"/>
        </w:rPr>
        <w:t>（具体内容以工程量清单及有关资料为准）</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173"/>
      </w:tblGrid>
      <w:tr w14:paraId="701E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BBAE233">
            <w:pPr>
              <w:keepNext w:val="0"/>
              <w:keepLines w:val="0"/>
              <w:suppressLineNumbers w:val="0"/>
              <w:adjustRightInd w:val="0"/>
              <w:spacing w:before="120" w:beforeLines="50" w:beforeAutospacing="0" w:after="120" w:afterLines="5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项目一</w:t>
            </w:r>
          </w:p>
        </w:tc>
        <w:tc>
          <w:tcPr>
            <w:tcW w:w="7173" w:type="dxa"/>
            <w:vAlign w:val="center"/>
          </w:tcPr>
          <w:p w14:paraId="1F73DE59">
            <w:pPr>
              <w:keepNext w:val="0"/>
              <w:keepLines w:val="0"/>
              <w:suppressLineNumbers w:val="0"/>
              <w:adjustRightInd w:val="0"/>
              <w:spacing w:before="120" w:beforeLines="50" w:beforeAutospacing="0" w:after="120" w:afterLines="5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沥滘分公司2024年三期干化车间蒸汽锅炉及冷凝水回收系统改造项目</w:t>
            </w:r>
          </w:p>
        </w:tc>
      </w:tr>
      <w:tr w14:paraId="262C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FBDBB37">
            <w:pPr>
              <w:keepNext w:val="0"/>
              <w:keepLines w:val="0"/>
              <w:suppressLineNumbers w:val="0"/>
              <w:adjustRightInd w:val="0"/>
              <w:spacing w:before="120" w:beforeLines="50" w:beforeAutospacing="0" w:after="120" w:afterLines="5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项目二</w:t>
            </w:r>
          </w:p>
        </w:tc>
        <w:tc>
          <w:tcPr>
            <w:tcW w:w="7173" w:type="dxa"/>
            <w:vAlign w:val="center"/>
          </w:tcPr>
          <w:p w14:paraId="536A20BD">
            <w:pPr>
              <w:keepNext w:val="0"/>
              <w:keepLines w:val="0"/>
              <w:suppressLineNumbers w:val="0"/>
              <w:adjustRightInd w:val="0"/>
              <w:spacing w:before="120" w:beforeLines="50" w:beforeAutospacing="0" w:after="120" w:afterLines="5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西朗二期分公司2024年二期干化车间蒸汽锅炉及冷凝水回收系统改造项目</w:t>
            </w:r>
          </w:p>
        </w:tc>
      </w:tr>
      <w:tr w14:paraId="1FD6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C985A2C">
            <w:pPr>
              <w:keepNext w:val="0"/>
              <w:keepLines w:val="0"/>
              <w:suppressLineNumbers w:val="0"/>
              <w:adjustRightInd w:val="0"/>
              <w:spacing w:before="120" w:beforeLines="50" w:beforeAutospacing="0" w:after="120" w:afterLines="5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项目三</w:t>
            </w:r>
          </w:p>
        </w:tc>
        <w:tc>
          <w:tcPr>
            <w:tcW w:w="7173" w:type="dxa"/>
            <w:vAlign w:val="center"/>
          </w:tcPr>
          <w:p w14:paraId="2EE4CF8B">
            <w:pPr>
              <w:keepNext w:val="0"/>
              <w:keepLines w:val="0"/>
              <w:suppressLineNumbers w:val="0"/>
              <w:adjustRightInd w:val="0"/>
              <w:spacing w:before="120" w:beforeLines="50" w:beforeAutospacing="0" w:after="120" w:afterLines="50" w:afterAutospacing="0"/>
              <w:ind w:left="0" w:right="0"/>
              <w:jc w:val="center"/>
              <w:rPr>
                <w:rFonts w:hint="default" w:ascii="宋体" w:hAnsi="宋体" w:eastAsia="宋体" w:cs="宋体"/>
                <w:color w:val="auto"/>
                <w:szCs w:val="21"/>
                <w:highlight w:val="none"/>
              </w:rPr>
            </w:pPr>
            <w:r>
              <w:rPr>
                <w:rFonts w:hint="eastAsia" w:ascii="宋体" w:hAnsi="宋体" w:cs="宋体"/>
                <w:color w:val="auto"/>
                <w:szCs w:val="21"/>
                <w:highlight w:val="none"/>
                <w:lang w:val="en-US" w:eastAsia="zh-CN"/>
              </w:rPr>
              <w:t>大</w:t>
            </w:r>
            <w:r>
              <w:rPr>
                <w:rFonts w:hint="eastAsia" w:ascii="宋体" w:hAnsi="宋体" w:eastAsia="宋体" w:cs="宋体"/>
                <w:color w:val="auto"/>
                <w:szCs w:val="21"/>
                <w:highlight w:val="none"/>
              </w:rPr>
              <w:t>沙地分公司2024年二期干化车间蒸汽锅炉及冷凝水回收系统改造项目</w:t>
            </w:r>
          </w:p>
        </w:tc>
      </w:tr>
      <w:tr w14:paraId="1FD8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F874995">
            <w:pPr>
              <w:keepNext w:val="0"/>
              <w:keepLines w:val="0"/>
              <w:suppressLineNumbers w:val="0"/>
              <w:adjustRightInd w:val="0"/>
              <w:spacing w:before="120" w:beforeLines="50" w:beforeAutospacing="0" w:after="120" w:afterLines="5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项目四</w:t>
            </w:r>
          </w:p>
        </w:tc>
        <w:tc>
          <w:tcPr>
            <w:tcW w:w="7173" w:type="dxa"/>
            <w:vAlign w:val="center"/>
          </w:tcPr>
          <w:p w14:paraId="46906E0F">
            <w:pPr>
              <w:keepNext w:val="0"/>
              <w:keepLines w:val="0"/>
              <w:suppressLineNumbers w:val="0"/>
              <w:adjustRightInd w:val="0"/>
              <w:spacing w:before="120" w:beforeLines="50" w:beforeAutospacing="0" w:after="120" w:afterLines="5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健康城分公司2024年干化车间蒸汽锅炉及冷凝水回收系统改造项目</w:t>
            </w:r>
          </w:p>
        </w:tc>
      </w:tr>
    </w:tbl>
    <w:p w14:paraId="6BE3BC7A">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（以下分别简称“项目一、项目二、项目三、项目四”）各项目具体内容详见项目需求书、图纸和工程量清单。</w:t>
      </w:r>
    </w:p>
    <w:p w14:paraId="7DD51D33">
      <w:pPr>
        <w:adjustRightIn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2.7标段划分：</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个标段。具体内容划分见《项目需求书》。</w:t>
      </w:r>
    </w:p>
    <w:p w14:paraId="4C060FF5">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2.8承包方式：</w:t>
      </w:r>
      <w:r>
        <w:rPr>
          <w:rFonts w:hint="eastAsia" w:ascii="宋体" w:hAnsi="宋体" w:eastAsia="宋体" w:cs="宋体"/>
          <w:color w:val="auto"/>
          <w:sz w:val="24"/>
          <w:szCs w:val="24"/>
          <w:highlight w:val="none"/>
          <w:u w:val="single"/>
        </w:rPr>
        <w:t>包工、包料、包工期、包质量、包安全、包文明施工。综合单价包干、项目措施费按时结算</w:t>
      </w:r>
    </w:p>
    <w:p w14:paraId="46A62F35">
      <w:pPr>
        <w:adjustRightInd w:val="0"/>
        <w:spacing w:line="360" w:lineRule="auto"/>
        <w:ind w:firstLine="482" w:firstLineChars="200"/>
        <w:rPr>
          <w:rFonts w:hint="eastAsia" w:ascii="宋体" w:hAnsi="宋体" w:eastAsia="宋体" w:cs="宋体"/>
          <w:b/>
          <w:color w:val="auto"/>
          <w:sz w:val="24"/>
          <w:szCs w:val="24"/>
          <w:highlight w:val="none"/>
        </w:rPr>
      </w:pPr>
      <w:bookmarkStart w:id="26" w:name="_Toc21787628"/>
    </w:p>
    <w:p w14:paraId="39D5F5B1">
      <w:pPr>
        <w:adjustRightIn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3.投标人资格要求</w:t>
      </w:r>
      <w:bookmarkEnd w:id="26"/>
    </w:p>
    <w:p w14:paraId="61DD52C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3.1投标人应具备承担本工程施工的资质条件、能力和信誉。</w:t>
      </w:r>
    </w:p>
    <w:p w14:paraId="4F3C33A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3.1.1本次招标要求申请人具有独立法人资格，需提供在有效期内的营业执照。</w:t>
      </w:r>
    </w:p>
    <w:p w14:paraId="3512304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投标人具有承接本工程所需的在有效期内的机电工程总承包三级（或以上）资质，且须取得市场监督管理部门批准的《中华人民共和国特种设备生产许可证》（承压类特种设备安装、修理、改造【工业管道安装GC2（或以上）】）或《中华人民共和国特种设备安装改造维修许可证》【（压力管道）GC2（或以上）】，许可证在有效期内，许可证信息并在国家市场监督管理总局政务服务平台全国特种设备公示信息查询平台（https://cnse.samr.gov.cn/info-pub/pub）上可查。</w:t>
      </w:r>
    </w:p>
    <w:p w14:paraId="2E1B8BF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3.1.3安全生产许可证：投标人需具有有效的建设行政主管部门颁发的安全生产许可证。</w:t>
      </w:r>
    </w:p>
    <w:p w14:paraId="336A5851">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3.1.4项目负责人资格：具有</w:t>
      </w:r>
      <w:r>
        <w:rPr>
          <w:rFonts w:hint="eastAsia" w:ascii="宋体" w:hAnsi="宋体" w:eastAsia="宋体" w:cs="宋体"/>
          <w:color w:val="auto"/>
          <w:sz w:val="24"/>
          <w:szCs w:val="24"/>
          <w:highlight w:val="none"/>
          <w:u w:val="single"/>
        </w:rPr>
        <w:t>机电工程</w:t>
      </w:r>
      <w:r>
        <w:rPr>
          <w:rFonts w:hint="eastAsia" w:ascii="宋体" w:hAnsi="宋体" w:eastAsia="宋体" w:cs="宋体"/>
          <w:color w:val="auto"/>
          <w:sz w:val="24"/>
          <w:szCs w:val="24"/>
          <w:highlight w:val="none"/>
        </w:rPr>
        <w:t>专业二级或以上级别的注册建造师，为投标申请人本企业信息登记中的在册人员。同时具有在有效期内的建设行政主管部门颁发的安全生产考核合格证书（B类）或建筑施工企业项目负责人安全生产考核合格证书。</w:t>
      </w:r>
    </w:p>
    <w:p w14:paraId="75FD4DBC">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①根据《住房和城乡建设部办公厅关于全面实行一级建造师电子注册证书的通知》（建办市〔2021〕40号），自2022年1月1日起，一级建造师统一使用电子证书，纸质证书作废。广东、北京、福建、四川等地二级建造师已实行电子证书，电子证书下载、签字等具体操作流程可查阅相关文件。根据规定二级建造师纸质证书未作废的，资格审查时不得以投标人未提供电子证书为由，认定投标人资格审查不通过。若投标人提供的注册建造师电子证书超过使用有效期、未在个人签名处手写签名或手写签名与签名图像笔迹存在差异的，资格审查时应通过“全国建筑市场监管公共服务平台”或各省规定的查询渠道查询持证人注册建造师注册信息，注册信息与投标文件所附电子证书一致的，上述情形不影响投标人通过资格审查。评标结束后，若该投标人为中标候选人的，投标人应在招标人规定的时限内提交符合要求的电子证书打印件和持证人出具的知情承诺。投标人未按时提交或提交资料不符合上述要求的，视为放弃中标资格。</w:t>
      </w:r>
    </w:p>
    <w:p w14:paraId="529E1F3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根据广东省住建厅《关于明确二级建造师注册执业有关问题的通知》（粤建市函[2023]469号），二级建造师应在考试取得执业资格的省、自治区、直辖市申请注册，二级注册建造师可随注册企业在全国范围内执业。</w:t>
      </w:r>
    </w:p>
    <w:p w14:paraId="38B9044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③项目负责人在任职期间不得担任专职安全员，项目专职安全员在任职期间也不得担任项目负责人，项目负责人和安全员不为同一人。</w:t>
      </w:r>
    </w:p>
    <w:p w14:paraId="601015CD">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资质内容按照建市[2014]159号文颁布的新版《建筑业企业资质标准》中对应的资质类别及等级的承包工程范围和《住房城乡建设部关于建筑业企业资质管理有关问题的通知》（建市[2015]154号）、《住房城乡建设部关于简化建筑业企业资质标准部分指标的通知》(建市[2016]226号)、《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住房城乡建设部建筑市场监管司关于建设工程企业资质延续有关事项的通知》（建司局函市〔2023〕116号）、《广东省住房和城乡建设厅关于建设工程企业资质延续有关事项的通知》（粤建许函〔2023〕820号）等相关规定。根据上述文件的要求，投标人需办理企业资质有效期延续的，应当按照相关规定及时办理。招标内容含有设计要求，且设计要求仅为深化设计的，在投标人的资质设置要求中，不允许设置设计资质。</w:t>
      </w:r>
      <w:r>
        <w:rPr>
          <w:rFonts w:hint="eastAsia" w:ascii="宋体" w:hAnsi="宋体" w:eastAsia="宋体" w:cs="宋体"/>
          <w:b/>
          <w:bCs/>
          <w:color w:val="auto"/>
          <w:sz w:val="24"/>
          <w:szCs w:val="24"/>
          <w:highlight w:val="none"/>
        </w:rPr>
        <w:t>招标期间如行政主管部门对建设工程企业资质有效期发布新规定的，按新规定相应调整执行。</w:t>
      </w:r>
    </w:p>
    <w:p w14:paraId="571EA80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w:t>
      </w:r>
      <w:r>
        <w:rPr>
          <w:rFonts w:hint="eastAsia" w:ascii="宋体" w:hAnsi="宋体" w:eastAsia="宋体" w:cs="宋体"/>
          <w:color w:val="auto"/>
          <w:sz w:val="24"/>
          <w:szCs w:val="24"/>
          <w:highlight w:val="none"/>
          <w:u w:val="single"/>
        </w:rPr>
        <w:t>投标人拟派的项目负责人应未被广州公共资源交易中心锁定，投标人办理网上投标登记时，拟派项目负责人将被锁定。若在评标时发现该项目负责人已被其他项目锁定，则投标人将不可被推荐为中标候选人。</w:t>
      </w:r>
      <w:r>
        <w:rPr>
          <w:rFonts w:hint="eastAsia" w:ascii="宋体" w:hAnsi="宋体" w:eastAsia="宋体" w:cs="宋体"/>
          <w:color w:val="auto"/>
          <w:sz w:val="24"/>
          <w:szCs w:val="24"/>
          <w:highlight w:val="none"/>
        </w:rPr>
        <w:t>项目负责人的解锁和更换按《广州市水务工程建设项目负责人更换与解锁办事指引》办理。</w:t>
      </w:r>
    </w:p>
    <w:p w14:paraId="0BC4C52C">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3.1.5技术负责人资格要求：须持有机电</w:t>
      </w:r>
      <w:r>
        <w:rPr>
          <w:rFonts w:hint="eastAsia" w:ascii="宋体" w:hAnsi="宋体" w:cs="宋体"/>
          <w:color w:val="auto"/>
          <w:sz w:val="24"/>
          <w:szCs w:val="24"/>
          <w:highlight w:val="none"/>
          <w:lang w:val="en-US" w:eastAsia="zh-CN"/>
        </w:rPr>
        <w:t>类相关专业</w:t>
      </w:r>
      <w:r>
        <w:rPr>
          <w:rFonts w:hint="eastAsia" w:ascii="宋体" w:hAnsi="宋体" w:eastAsia="宋体" w:cs="宋体"/>
          <w:color w:val="auto"/>
          <w:sz w:val="24"/>
          <w:szCs w:val="24"/>
          <w:highlight w:val="none"/>
        </w:rPr>
        <w:t>中级（或以上）工程师职称证书，技术负责人和项目负责人不得为同一人。</w:t>
      </w:r>
    </w:p>
    <w:p w14:paraId="528AFA7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注：技术职称证书</w:t>
      </w:r>
      <w:r>
        <w:rPr>
          <w:rFonts w:hint="eastAsia" w:ascii="宋体" w:hAnsi="宋体" w:eastAsia="宋体" w:cs="宋体"/>
          <w:color w:val="auto"/>
          <w:sz w:val="24"/>
          <w:szCs w:val="24"/>
          <w:highlight w:val="none"/>
        </w:rPr>
        <w:t>应提供由人社部门核发的职称证书，若职称证书不是由人社部门核发，则应提供核发机构（或该机构职称评审委员会）获得人社部门授权或核准备案证明其具有职称评审权的证明文件扫描件，或该人员在人社部门职称管理系统登记的获得该职称的信息记录网页或截图打印件。</w:t>
      </w:r>
    </w:p>
    <w:p w14:paraId="07C3067F">
      <w:pPr>
        <w:adjustRightIn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3.1.6专职安全员资格要求：须持有在有效期内的建设行政主管部门颁发的安全生产考核合格证（C类）或建筑施工企业专职安全生产管理人员安全生产考核合格证书（C3），专职安全员和项目负责人不得为同一人；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注：</w:t>
      </w:r>
      <w:r>
        <w:rPr>
          <w:rFonts w:ascii="宋体" w:hAnsi="宋体" w:eastAsia="宋体" w:cs="宋体"/>
          <w:color w:val="auto"/>
          <w:sz w:val="24"/>
          <w:szCs w:val="24"/>
          <w:highlight w:val="none"/>
        </w:rPr>
        <w:t>配备至少2个专职安全员(投标时至少明确一人，其余人员可在签订合同前提供)。</w:t>
      </w:r>
    </w:p>
    <w:p w14:paraId="513A64C0">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3.1.7类似项目业绩要求：无。</w:t>
      </w:r>
    </w:p>
    <w:p w14:paraId="79FFE98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3.1.8提交社保文件的要求：投标申请人须保证授权的委托代理人及主要组成人员（项目负责人、技术负责人、专职安全员）均为本单位的正式职工，必须具有离投标截止时间最近三个月</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2024年7月-9月）</w:t>
      </w:r>
      <w:r>
        <w:rPr>
          <w:rFonts w:hint="eastAsia" w:ascii="宋体" w:hAnsi="宋体" w:eastAsia="宋体" w:cs="宋体"/>
          <w:color w:val="auto"/>
          <w:sz w:val="24"/>
          <w:szCs w:val="24"/>
          <w:highlight w:val="none"/>
        </w:rPr>
        <w:t>在本单位交纳的社保证明文件（以加盖社会保险基金管理中心印章的《投保单》或《社会保险参保人员证明》资料为准）。</w:t>
      </w:r>
    </w:p>
    <w:p w14:paraId="000908D0">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3.1.9投标人不得存在下列情形之一（投标人按招标文件规定格式提供《投标人声明》，除非另有要求，不需要在投标文件中提供证明材料）：</w:t>
      </w:r>
    </w:p>
    <w:p w14:paraId="1F3D919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（1）为招标人不具有独立法人资格的附属机构（单位）；</w:t>
      </w:r>
    </w:p>
    <w:p w14:paraId="1C19ADB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（2）为本标段前期准备提供设计或咨询服务或者与本项目设计人或提供咨询服务的机构存在附属关系的；；</w:t>
      </w:r>
    </w:p>
    <w:p w14:paraId="750DE5A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（3）为本标段监理人或者与本项目监理人存在隶属关系或者其他利害关系；</w:t>
      </w:r>
    </w:p>
    <w:p w14:paraId="48C92BDA">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（4）为本标段的代建人；</w:t>
      </w:r>
    </w:p>
    <w:p w14:paraId="6362CE7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（5）为本标段提供招标代理服务的； </w:t>
      </w:r>
    </w:p>
    <w:p w14:paraId="05EFC3EA">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（6）与本标段的监理人或代建人或招标代理机构同为一个法定代表人的；</w:t>
      </w:r>
    </w:p>
    <w:p w14:paraId="7EA2F54D">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（7）与本标段的监理人或代建人或招标代理机构相互控股或参股的；</w:t>
      </w:r>
    </w:p>
    <w:p w14:paraId="1D0A840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（8）与本标段的监理人或代建人或招标代理机构相互任职或工作的；</w:t>
      </w:r>
    </w:p>
    <w:p w14:paraId="56B0BA70">
      <w:pPr>
        <w:pStyle w:val="63"/>
        <w:adjustRightInd w:val="0"/>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（9）与本标段的检测机构有隶属关系或者其他利害关系；</w:t>
      </w:r>
    </w:p>
    <w:p w14:paraId="5015C889">
      <w:pPr>
        <w:pStyle w:val="63"/>
        <w:adjustRightIn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（10）与招标人存在利害关系且可能影响招标公正性；</w:t>
      </w:r>
    </w:p>
    <w:p w14:paraId="14F3112F">
      <w:pPr>
        <w:pStyle w:val="66"/>
        <w:adjustRightInd w:val="0"/>
        <w:spacing w:before="0" w:after="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（11）被责令停产停业、暂扣或者吊销许可证、暂扣或者吊销执照的；</w:t>
      </w:r>
      <w:r>
        <w:rPr>
          <w:rFonts w:hint="eastAsia" w:ascii="宋体" w:hAnsi="宋体" w:eastAsia="宋体" w:cs="宋体"/>
          <w:b/>
          <w:color w:val="auto"/>
          <w:highlight w:val="none"/>
        </w:rPr>
        <w:t>（</w:t>
      </w:r>
      <w:r>
        <w:rPr>
          <w:rFonts w:hint="eastAsia" w:ascii="宋体" w:hAnsi="宋体" w:eastAsia="宋体" w:cs="宋体"/>
          <w:b/>
          <w:color w:val="auto"/>
          <w:highlight w:val="none"/>
          <w:lang w:val="zh-CN"/>
        </w:rPr>
        <w:t>本项事实应当以根据《中华人民共和国行政处罚法》依法作出并已经生效的行政处罚决定为认定依据</w:t>
      </w:r>
      <w:r>
        <w:rPr>
          <w:rFonts w:hint="eastAsia" w:ascii="宋体" w:hAnsi="宋体" w:eastAsia="宋体" w:cs="宋体"/>
          <w:b/>
          <w:color w:val="auto"/>
          <w:highlight w:val="none"/>
        </w:rPr>
        <w:t>）</w:t>
      </w:r>
      <w:r>
        <w:rPr>
          <w:rFonts w:hint="eastAsia" w:ascii="宋体" w:hAnsi="宋体" w:eastAsia="宋体" w:cs="宋体"/>
          <w:b/>
          <w:color w:val="auto"/>
          <w:highlight w:val="none"/>
          <w:lang w:val="zh-CN"/>
        </w:rPr>
        <w:t>；</w:t>
      </w:r>
    </w:p>
    <w:p w14:paraId="3DE4F26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（12）被暂停或取消投标资格的；</w:t>
      </w: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lang w:val="zh-CN"/>
        </w:rPr>
        <w:t xml:space="preserve">本项事实应当以根据《中华人民共和国行政处罚法》依法作出并已经生效的行政处罚决定为认定依据。行政处罚决定中已经明确的暂停或取消投标资格的区域范围不包含本标段建设地点的，不受该项规定限制） </w:t>
      </w:r>
    </w:p>
    <w:p w14:paraId="6DBD5B7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（13）财产被接管或冻结的；</w:t>
      </w:r>
    </w:p>
    <w:p w14:paraId="667D7F9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（14）单位负责人为同一人或者存在控股、管理关系的不同单位，同时参加本招标项目投标。</w:t>
      </w:r>
    </w:p>
    <w:p w14:paraId="5FFA1E1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（15）投标人、投标人主要负责人及拟投入人员在招标投标、合同履行、安全事故方面因违反有关法律、法规规定受到相关行政管理部门的行政处罚，被取消投标资格的。</w:t>
      </w:r>
    </w:p>
    <w:p w14:paraId="7D0283DF">
      <w:pPr>
        <w:pStyle w:val="39"/>
        <w:adjustRightInd w:val="0"/>
        <w:spacing w:after="0" w:line="360" w:lineRule="auto"/>
        <w:ind w:left="0" w:lef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（16）进入清算程序，或被宣布破产，或其他丧失履约能力的情形；</w:t>
      </w:r>
    </w:p>
    <w:p w14:paraId="1210BF12">
      <w:pPr>
        <w:pStyle w:val="39"/>
        <w:adjustRightInd w:val="0"/>
        <w:spacing w:after="0" w:line="360" w:lineRule="auto"/>
        <w:ind w:left="0" w:leftChars="0" w:firstLine="4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（17）</w:t>
      </w:r>
      <w:r>
        <w:rPr>
          <w:rFonts w:hint="eastAsia" w:ascii="宋体" w:hAnsi="宋体" w:eastAsia="宋体" w:cs="宋体"/>
          <w:color w:val="auto"/>
          <w:sz w:val="24"/>
          <w:szCs w:val="24"/>
          <w:highlight w:val="none"/>
        </w:rPr>
        <w:t>在最近三年内有严重违约或重大工程质量问题的；</w:t>
      </w:r>
      <w:r>
        <w:rPr>
          <w:rFonts w:hint="eastAsia" w:ascii="宋体" w:hAnsi="宋体" w:eastAsia="宋体" w:cs="宋体"/>
          <w:b/>
          <w:color w:val="auto"/>
          <w:kern w:val="0"/>
          <w:sz w:val="24"/>
          <w:szCs w:val="24"/>
          <w:highlight w:val="none"/>
        </w:rPr>
        <w:t>（</w:t>
      </w:r>
      <w:r>
        <w:rPr>
          <w:rFonts w:hint="eastAsia" w:ascii="宋体" w:hAnsi="宋体" w:eastAsia="宋体" w:cs="宋体"/>
          <w:b/>
          <w:color w:val="auto"/>
          <w:kern w:val="0"/>
          <w:sz w:val="24"/>
          <w:szCs w:val="24"/>
          <w:highlight w:val="none"/>
          <w:lang w:val="zh-CN"/>
        </w:rPr>
        <w:t>“严重违约”事实应当以</w:t>
      </w:r>
      <w:r>
        <w:rPr>
          <w:rFonts w:hint="eastAsia" w:ascii="宋体" w:hAnsi="宋体" w:eastAsia="宋体" w:cs="宋体"/>
          <w:b/>
          <w:color w:val="auto"/>
          <w:kern w:val="0"/>
          <w:sz w:val="24"/>
          <w:szCs w:val="24"/>
          <w:highlight w:val="none"/>
        </w:rPr>
        <w:t>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0AAED1C8">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（18）被“信用广州”网站纳入失信联合惩戒名单（失信黑名单）。</w:t>
      </w:r>
    </w:p>
    <w:p w14:paraId="322153A2">
      <w:pPr>
        <w:pStyle w:val="63"/>
        <w:adjustRightInd w:val="0"/>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（19）在近三年内投标人或其法定代表人、拟委派的项目负责人有行贿犯罪行为的；</w:t>
      </w:r>
    </w:p>
    <w:p w14:paraId="66BAF8AA">
      <w:pPr>
        <w:pStyle w:val="63"/>
        <w:adjustRightInd w:val="0"/>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（20）法律法规规定的其他情形。</w:t>
      </w:r>
    </w:p>
    <w:p w14:paraId="39E63D6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3.2本次招标</w:t>
      </w:r>
      <w:r>
        <w:rPr>
          <w:rFonts w:hint="eastAsia" w:ascii="宋体" w:hAnsi="宋体" w:eastAsia="宋体" w:cs="宋体"/>
          <w:color w:val="auto"/>
          <w:sz w:val="24"/>
          <w:szCs w:val="24"/>
          <w:highlight w:val="none"/>
          <w:u w:val="single"/>
        </w:rPr>
        <w:t>不接受</w:t>
      </w:r>
      <w:r>
        <w:rPr>
          <w:rFonts w:hint="eastAsia" w:ascii="宋体" w:hAnsi="宋体" w:eastAsia="宋体" w:cs="宋体"/>
          <w:color w:val="auto"/>
          <w:sz w:val="24"/>
          <w:szCs w:val="24"/>
          <w:highlight w:val="none"/>
        </w:rPr>
        <w:t>联合体投标。</w:t>
      </w:r>
    </w:p>
    <w:p w14:paraId="6F49EB1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3.3本次招标要求投标人已在广州交易集团有限公司（广州公共资源交易中心）办理信息登记等相关投标登记手续。</w:t>
      </w:r>
    </w:p>
    <w:p w14:paraId="16457A8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u w:val="single"/>
        </w:rPr>
        <w:t>投标人已按招标文件规定格式签署盖章的《投标人声明》，该声明必须由法定代表人或其委托代理人、项目负责人、技术负责人签字或签章及加盖单位电子印章，否则不予通过资格审查。</w:t>
      </w:r>
    </w:p>
    <w:p w14:paraId="264B1299">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3.5投标申请人须在投标文件中按招标文件要求提交签署盖章的《投标人廉洁承诺书》。</w:t>
      </w:r>
    </w:p>
    <w:p w14:paraId="4ACF056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3.6本次招标实行资格后审,资格审查不合格的投标人投标文件将按无效投标处理被否决。</w:t>
      </w:r>
    </w:p>
    <w:p w14:paraId="06511C5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注：未在招标公告第3条单列的资审合格条件，不作为资审不合格的依据。</w:t>
      </w:r>
    </w:p>
    <w:p w14:paraId="454B2933">
      <w:pPr>
        <w:adjustRightInd w:val="0"/>
        <w:spacing w:line="360" w:lineRule="auto"/>
        <w:ind w:firstLine="482" w:firstLineChars="200"/>
        <w:rPr>
          <w:rFonts w:hint="eastAsia" w:ascii="宋体" w:hAnsi="宋体" w:eastAsia="宋体" w:cs="宋体"/>
          <w:b/>
          <w:color w:val="auto"/>
          <w:sz w:val="24"/>
          <w:szCs w:val="24"/>
          <w:highlight w:val="none"/>
        </w:rPr>
      </w:pPr>
      <w:bookmarkStart w:id="27" w:name="_Toc21787629"/>
    </w:p>
    <w:bookmarkEnd w:id="27"/>
    <w:p w14:paraId="0134633E">
      <w:pPr>
        <w:adjustRightInd w:val="0"/>
        <w:spacing w:line="360" w:lineRule="auto"/>
        <w:ind w:firstLine="482" w:firstLineChars="200"/>
        <w:rPr>
          <w:rFonts w:hint="eastAsia" w:ascii="宋体" w:hAnsi="宋体" w:eastAsia="宋体" w:cs="宋体"/>
          <w:b/>
          <w:color w:val="auto"/>
          <w:sz w:val="24"/>
          <w:szCs w:val="24"/>
          <w:highlight w:val="none"/>
        </w:rPr>
      </w:pPr>
      <w:bookmarkStart w:id="28" w:name="_Toc221949931"/>
      <w:r>
        <w:rPr>
          <w:rFonts w:hint="eastAsia" w:ascii="宋体" w:hAnsi="宋体" w:eastAsia="宋体" w:cs="宋体"/>
          <w:b/>
          <w:color w:val="auto"/>
          <w:sz w:val="24"/>
          <w:szCs w:val="24"/>
          <w:highlight w:val="none"/>
        </w:rPr>
        <w:t>4. 招标公告和招标文件的获取</w:t>
      </w:r>
    </w:p>
    <w:p w14:paraId="5BB5F32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4.1招标公告发布时间</w:t>
      </w:r>
    </w:p>
    <w:p w14:paraId="7D39939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w:t>
      </w:r>
      <w:r>
        <w:rPr>
          <w:rFonts w:hint="eastAsia" w:ascii="宋体" w:hAnsi="宋体" w:eastAsia="宋体" w:cs="宋体"/>
          <w:color w:val="auto"/>
          <w:sz w:val="24"/>
          <w:szCs w:val="24"/>
          <w:highlight w:val="none"/>
          <w:u w:val="single"/>
        </w:rPr>
        <w:t xml:space="preserve">2024年 </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月 </w:t>
      </w:r>
      <w:r>
        <w:rPr>
          <w:rFonts w:hint="eastAsia" w:ascii="宋体" w:hAnsi="宋体" w:cs="宋体"/>
          <w:color w:val="auto"/>
          <w:sz w:val="24"/>
          <w:szCs w:val="24"/>
          <w:highlight w:val="none"/>
          <w:u w:val="single"/>
          <w:lang w:val="en-US" w:eastAsia="zh-CN"/>
        </w:rPr>
        <w:t>22</w:t>
      </w:r>
      <w:r>
        <w:rPr>
          <w:rFonts w:hint="eastAsia" w:ascii="宋体" w:hAnsi="宋体" w:eastAsia="宋体" w:cs="宋体"/>
          <w:color w:val="auto"/>
          <w:sz w:val="24"/>
          <w:szCs w:val="24"/>
          <w:highlight w:val="none"/>
          <w:u w:val="single"/>
        </w:rPr>
        <w:t xml:space="preserve"> 日至2024年 </w:t>
      </w:r>
      <w:r>
        <w:rPr>
          <w:rFonts w:hint="eastAsia" w:ascii="宋体" w:hAnsi="宋体"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 xml:space="preserve"> 月 </w:t>
      </w:r>
      <w:r>
        <w:rPr>
          <w:rFonts w:hint="eastAsia" w:ascii="宋体" w:hAnsi="宋体"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 xml:space="preserve"> 日</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时</w:t>
      </w:r>
      <w:r>
        <w:rPr>
          <w:rFonts w:hint="eastAsia" w:ascii="宋体" w:hAnsi="宋体"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rPr>
        <w:t>（注：发布招标公告的时间为招标公告发出之日起至投标截止时间止）。</w:t>
      </w:r>
    </w:p>
    <w:p w14:paraId="57B454A0">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4.2招标文件获取方式</w:t>
      </w:r>
    </w:p>
    <w:p w14:paraId="30EA91B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本项目招标文件随招标公告一并在广州交易集团有限公司（广州公共资源交易中心）网站发布，由投标人自行下载。</w:t>
      </w:r>
    </w:p>
    <w:bookmarkEnd w:id="28"/>
    <w:p w14:paraId="6D635790">
      <w:pPr>
        <w:widowControl/>
        <w:shd w:val="clear" w:color="auto" w:fill="FFFFFF"/>
        <w:adjustRightInd w:val="0"/>
        <w:snapToGrid w:val="0"/>
        <w:spacing w:line="360" w:lineRule="auto"/>
        <w:ind w:firstLine="480" w:firstLineChars="200"/>
        <w:rPr>
          <w:rFonts w:hint="eastAsia" w:ascii="宋体" w:hAnsi="宋体" w:eastAsia="宋体" w:cs="宋体"/>
          <w:color w:val="auto"/>
          <w:sz w:val="24"/>
          <w:szCs w:val="24"/>
          <w:highlight w:val="none"/>
        </w:rPr>
      </w:pPr>
      <w:bookmarkStart w:id="29" w:name="_Toc221949933"/>
      <w:r>
        <w:rPr>
          <w:rFonts w:hint="eastAsia" w:ascii="宋体" w:hAnsi="宋体" w:eastAsia="宋体" w:cs="宋体"/>
          <w:color w:val="auto"/>
          <w:sz w:val="24"/>
          <w:szCs w:val="24"/>
          <w:highlight w:val="none"/>
        </w:rPr>
        <w:t>4.3如招标人需发布补充公告的，以最后发布的补充公告的时间起计算编制投标文件时间，并需在招标答疑中明确说明。</w:t>
      </w:r>
      <w:bookmarkEnd w:id="29"/>
    </w:p>
    <w:p w14:paraId="0E4DC611">
      <w:pPr>
        <w:adjustRightInd w:val="0"/>
        <w:spacing w:line="360" w:lineRule="auto"/>
        <w:ind w:firstLine="482" w:firstLineChars="200"/>
        <w:rPr>
          <w:rFonts w:hint="eastAsia" w:ascii="宋体" w:hAnsi="宋体" w:eastAsia="宋体" w:cs="宋体"/>
          <w:b/>
          <w:color w:val="auto"/>
          <w:sz w:val="24"/>
          <w:szCs w:val="24"/>
          <w:highlight w:val="none"/>
        </w:rPr>
      </w:pPr>
      <w:bookmarkStart w:id="30" w:name="_Toc21787630"/>
    </w:p>
    <w:p w14:paraId="393F645A">
      <w:pPr>
        <w:adjustRightIn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5.投标文件的递交</w:t>
      </w:r>
      <w:bookmarkEnd w:id="30"/>
    </w:p>
    <w:p w14:paraId="1BCC9657">
      <w:pPr>
        <w:adjustRightInd w:val="0"/>
        <w:spacing w:line="360" w:lineRule="auto"/>
        <w:ind w:firstLine="482" w:firstLineChars="200"/>
        <w:jc w:val="left"/>
        <w:rPr>
          <w:rFonts w:hint="eastAsia" w:ascii="宋体" w:hAnsi="宋体" w:eastAsia="宋体" w:cs="宋体"/>
          <w:b/>
          <w:color w:val="auto"/>
          <w:sz w:val="24"/>
          <w:szCs w:val="24"/>
          <w:highlight w:val="none"/>
          <w:u w:val="single"/>
        </w:rPr>
      </w:pPr>
      <w:r>
        <w:rPr>
          <w:rFonts w:hint="eastAsia" w:ascii="宋体" w:hAnsi="宋体" w:eastAsia="宋体" w:cs="宋体"/>
          <w:b/>
          <w:bCs/>
          <w:color w:val="auto"/>
          <w:sz w:val="24"/>
          <w:szCs w:val="24"/>
          <w:highlight w:val="none"/>
          <w:u w:val="single"/>
        </w:rPr>
        <w:t>5.1本项目采用电子投标，</w:t>
      </w:r>
      <w:r>
        <w:rPr>
          <w:rFonts w:hint="eastAsia" w:ascii="宋体" w:hAnsi="宋体" w:eastAsia="宋体" w:cs="宋体"/>
          <w:bCs/>
          <w:color w:val="auto"/>
          <w:sz w:val="24"/>
          <w:szCs w:val="24"/>
          <w:highlight w:val="none"/>
        </w:rPr>
        <w:t>投标文件递交的截止时间（投标截止时间，下同）为</w:t>
      </w:r>
      <w:r>
        <w:rPr>
          <w:rFonts w:hint="eastAsia" w:ascii="宋体" w:hAnsi="宋体" w:eastAsia="宋体" w:cs="宋体"/>
          <w:bCs/>
          <w:color w:val="auto"/>
          <w:sz w:val="24"/>
          <w:szCs w:val="24"/>
          <w:highlight w:val="none"/>
          <w:u w:val="single"/>
        </w:rPr>
        <w:t xml:space="preserve">2024年 </w:t>
      </w:r>
      <w:r>
        <w:rPr>
          <w:rFonts w:hint="eastAsia" w:ascii="宋体" w:hAnsi="宋体" w:cs="宋体"/>
          <w:bCs/>
          <w:color w:val="auto"/>
          <w:sz w:val="24"/>
          <w:szCs w:val="24"/>
          <w:highlight w:val="none"/>
          <w:u w:val="single"/>
          <w:lang w:val="en-US" w:eastAsia="zh-CN"/>
        </w:rPr>
        <w:t>11</w:t>
      </w:r>
      <w:r>
        <w:rPr>
          <w:rFonts w:hint="eastAsia" w:ascii="宋体" w:hAnsi="宋体" w:eastAsia="宋体" w:cs="宋体"/>
          <w:bCs/>
          <w:color w:val="auto"/>
          <w:sz w:val="24"/>
          <w:szCs w:val="24"/>
          <w:highlight w:val="none"/>
          <w:u w:val="single"/>
        </w:rPr>
        <w:t xml:space="preserve"> 月 </w:t>
      </w:r>
      <w:r>
        <w:rPr>
          <w:rFonts w:hint="eastAsia" w:ascii="宋体" w:hAnsi="宋体" w:cs="宋体"/>
          <w:bCs/>
          <w:color w:val="auto"/>
          <w:sz w:val="24"/>
          <w:szCs w:val="24"/>
          <w:highlight w:val="none"/>
          <w:u w:val="single"/>
          <w:lang w:val="en-US" w:eastAsia="zh-CN"/>
        </w:rPr>
        <w:t>11</w:t>
      </w:r>
      <w:r>
        <w:rPr>
          <w:rFonts w:hint="eastAsia" w:ascii="宋体" w:hAnsi="宋体" w:eastAsia="宋体" w:cs="宋体"/>
          <w:bCs/>
          <w:color w:val="auto"/>
          <w:sz w:val="24"/>
          <w:szCs w:val="24"/>
          <w:highlight w:val="none"/>
          <w:u w:val="single"/>
        </w:rPr>
        <w:t xml:space="preserve"> 日</w:t>
      </w:r>
      <w:r>
        <w:rPr>
          <w:rFonts w:hint="eastAsia" w:ascii="宋体" w:hAnsi="宋体" w:cs="宋体"/>
          <w:bCs/>
          <w:color w:val="auto"/>
          <w:sz w:val="24"/>
          <w:szCs w:val="24"/>
          <w:highlight w:val="none"/>
          <w:u w:val="single"/>
          <w:lang w:val="en-US" w:eastAsia="zh-CN"/>
        </w:rPr>
        <w:t>10</w:t>
      </w:r>
      <w:r>
        <w:rPr>
          <w:rFonts w:hint="eastAsia" w:ascii="宋体" w:hAnsi="宋体" w:eastAsia="宋体" w:cs="宋体"/>
          <w:bCs/>
          <w:color w:val="auto"/>
          <w:sz w:val="24"/>
          <w:szCs w:val="24"/>
          <w:highlight w:val="none"/>
          <w:u w:val="single"/>
        </w:rPr>
        <w:t>时</w:t>
      </w:r>
      <w:r>
        <w:rPr>
          <w:rFonts w:hint="eastAsia" w:ascii="宋体" w:hAnsi="宋体" w:cs="宋体"/>
          <w:bCs/>
          <w:color w:val="auto"/>
          <w:sz w:val="24"/>
          <w:szCs w:val="24"/>
          <w:highlight w:val="none"/>
          <w:u w:val="single"/>
          <w:lang w:val="en-US" w:eastAsia="zh-CN"/>
        </w:rPr>
        <w:t>00</w:t>
      </w:r>
      <w:r>
        <w:rPr>
          <w:rFonts w:hint="eastAsia" w:ascii="宋体" w:hAnsi="宋体" w:eastAsia="宋体" w:cs="宋体"/>
          <w:bCs/>
          <w:color w:val="auto"/>
          <w:sz w:val="24"/>
          <w:szCs w:val="24"/>
          <w:highlight w:val="none"/>
          <w:u w:val="single"/>
        </w:rPr>
        <w:t>分</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具体递交要求以招标文件为准。有关电子投标的帮助文件可自行在广州交易集团有限公司（广州公共资源交易中心）网站相关栏目下载。</w:t>
      </w:r>
    </w:p>
    <w:p w14:paraId="2E277225">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5.2开标开始时间和地点：</w:t>
      </w:r>
      <w:r>
        <w:rPr>
          <w:rFonts w:hint="eastAsia" w:ascii="宋体" w:hAnsi="宋体" w:eastAsia="宋体" w:cs="宋体"/>
          <w:bCs/>
          <w:color w:val="auto"/>
          <w:sz w:val="24"/>
          <w:szCs w:val="24"/>
          <w:highlight w:val="none"/>
          <w:u w:val="single"/>
        </w:rPr>
        <w:t xml:space="preserve">2024年 </w:t>
      </w:r>
      <w:r>
        <w:rPr>
          <w:rFonts w:hint="eastAsia" w:ascii="宋体" w:hAnsi="宋体" w:cs="宋体"/>
          <w:bCs/>
          <w:color w:val="auto"/>
          <w:sz w:val="24"/>
          <w:szCs w:val="24"/>
          <w:highlight w:val="none"/>
          <w:u w:val="single"/>
          <w:lang w:val="en-US" w:eastAsia="zh-CN"/>
        </w:rPr>
        <w:t>11</w:t>
      </w:r>
      <w:r>
        <w:rPr>
          <w:rFonts w:hint="eastAsia" w:ascii="宋体" w:hAnsi="宋体" w:eastAsia="宋体" w:cs="宋体"/>
          <w:bCs/>
          <w:color w:val="auto"/>
          <w:sz w:val="24"/>
          <w:szCs w:val="24"/>
          <w:highlight w:val="none"/>
          <w:u w:val="single"/>
        </w:rPr>
        <w:t xml:space="preserve"> 月 </w:t>
      </w:r>
      <w:r>
        <w:rPr>
          <w:rFonts w:hint="eastAsia" w:ascii="宋体" w:hAnsi="宋体" w:cs="宋体"/>
          <w:bCs/>
          <w:color w:val="auto"/>
          <w:sz w:val="24"/>
          <w:szCs w:val="24"/>
          <w:highlight w:val="none"/>
          <w:u w:val="single"/>
          <w:lang w:val="en-US" w:eastAsia="zh-CN"/>
        </w:rPr>
        <w:t>11</w:t>
      </w:r>
      <w:r>
        <w:rPr>
          <w:rFonts w:hint="eastAsia" w:ascii="宋体" w:hAnsi="宋体" w:eastAsia="宋体" w:cs="宋体"/>
          <w:bCs/>
          <w:color w:val="auto"/>
          <w:sz w:val="24"/>
          <w:szCs w:val="24"/>
          <w:highlight w:val="none"/>
          <w:u w:val="single"/>
        </w:rPr>
        <w:t xml:space="preserve"> 日</w:t>
      </w:r>
      <w:r>
        <w:rPr>
          <w:rFonts w:hint="eastAsia" w:ascii="宋体" w:hAnsi="宋体" w:cs="宋体"/>
          <w:bCs/>
          <w:color w:val="auto"/>
          <w:sz w:val="24"/>
          <w:szCs w:val="24"/>
          <w:highlight w:val="none"/>
          <w:u w:val="single"/>
          <w:lang w:val="en-US" w:eastAsia="zh-CN"/>
        </w:rPr>
        <w:t>10</w:t>
      </w:r>
      <w:r>
        <w:rPr>
          <w:rFonts w:hint="eastAsia" w:ascii="宋体" w:hAnsi="宋体" w:eastAsia="宋体" w:cs="宋体"/>
          <w:bCs/>
          <w:color w:val="auto"/>
          <w:sz w:val="24"/>
          <w:szCs w:val="24"/>
          <w:highlight w:val="none"/>
          <w:u w:val="single"/>
        </w:rPr>
        <w:t>时</w:t>
      </w:r>
      <w:r>
        <w:rPr>
          <w:rFonts w:hint="eastAsia" w:ascii="宋体" w:hAnsi="宋体" w:cs="宋体"/>
          <w:bCs/>
          <w:color w:val="auto"/>
          <w:sz w:val="24"/>
          <w:szCs w:val="24"/>
          <w:highlight w:val="none"/>
          <w:u w:val="single"/>
          <w:lang w:val="en-US" w:eastAsia="zh-CN"/>
        </w:rPr>
        <w:t>00</w:t>
      </w:r>
      <w:r>
        <w:rPr>
          <w:rFonts w:hint="eastAsia" w:ascii="宋体" w:hAnsi="宋体" w:eastAsia="宋体" w:cs="宋体"/>
          <w:bCs/>
          <w:color w:val="auto"/>
          <w:sz w:val="24"/>
          <w:szCs w:val="24"/>
          <w:highlight w:val="none"/>
          <w:u w:val="single"/>
        </w:rPr>
        <w:t>分</w:t>
      </w:r>
      <w:r>
        <w:rPr>
          <w:rFonts w:hint="eastAsia" w:ascii="宋体" w:hAnsi="宋体" w:eastAsia="宋体" w:cs="宋体"/>
          <w:color w:val="auto"/>
          <w:sz w:val="24"/>
          <w:szCs w:val="24"/>
          <w:highlight w:val="none"/>
          <w:u w:val="single"/>
        </w:rPr>
        <w:t>在广州交易集团有限公司（广州公共资源交易中心）。</w:t>
      </w:r>
      <w:r>
        <w:rPr>
          <w:rFonts w:hint="eastAsia" w:ascii="宋体" w:hAnsi="宋体" w:eastAsia="宋体" w:cs="宋体"/>
          <w:color w:val="auto"/>
          <w:sz w:val="24"/>
          <w:szCs w:val="24"/>
          <w:highlight w:val="none"/>
        </w:rPr>
        <w:t>(注：开标开始时间为投标人解密投标文件的结束时间之后，解密时间以招标文件规定为准。)</w:t>
      </w:r>
      <w:r>
        <w:rPr>
          <w:rFonts w:hint="eastAsia" w:ascii="宋体" w:hAnsi="宋体" w:eastAsia="宋体" w:cs="宋体"/>
          <w:color w:val="auto"/>
          <w:highlight w:val="none"/>
        </w:rPr>
        <w:t xml:space="preserve"> </w:t>
      </w:r>
      <w:r>
        <w:rPr>
          <w:rFonts w:hint="eastAsia" w:ascii="宋体" w:hAnsi="宋体" w:eastAsia="宋体" w:cs="宋体"/>
          <w:color w:val="auto"/>
          <w:sz w:val="24"/>
          <w:szCs w:val="24"/>
          <w:highlight w:val="none"/>
          <w:u w:val="single"/>
        </w:rPr>
        <w:t>投标人也可选择参加在线开标，具体按照交易平台相关指南进行操作。详见：广州交易集团有限公司（广州公共资源交易中心）网站。</w:t>
      </w:r>
    </w:p>
    <w:p w14:paraId="5D2F03D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5.3投标截止时间与开标开始时间是否有变化，请密切留意招标答疑中的相关信息。递交投标文件截止时间后，开标开始时间因故推迟的，相关评标信息仍以原递交投标文件截止时间的信息为准。</w:t>
      </w:r>
    </w:p>
    <w:p w14:paraId="7407DA90">
      <w:pPr>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5.4逾期送达的或者未送达指定地点的投标文件，招标人不予受理。</w:t>
      </w:r>
    </w:p>
    <w:p w14:paraId="30A8158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5.5投标人在递交投标文件前，应按广州交易集团有限公司（广州公共资源交易中心）要求办理进场和投标登记手续，否则后果自负。</w:t>
      </w:r>
    </w:p>
    <w:p w14:paraId="7C8EAF2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5.6工程量清单报价表应使用符合广东省标准《建设工程政府投资项目造价数据标准（DBJ/T15-145-2018）》及后续版本的有关规定。</w:t>
      </w:r>
    </w:p>
    <w:p w14:paraId="39FD723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5.7投标人应自行检查广州交易集团有限公司（广州公共资源交易中心）信息登记中的企业基础信息扫描件（包括企业资质证书、企业营业执照、企业安全生产许可证、项目负责人相关证书、安全员安全生产考核合格证等），评标委员会对上述资料的审查将以递交投标文件截止时间在广州交易集团有限公司（广州公共资源交易中心）信息登记的信息为依据。投标人应及时维护其在广州交易集团有限公司（广州公共资源交易中心）信息登记的信息，确保各项信息在有效期内。如因投标单位资料缺失导致资格审查不通过，责任由投标单位自行承担。</w:t>
      </w:r>
    </w:p>
    <w:p w14:paraId="51389792">
      <w:pPr>
        <w:adjustRightInd w:val="0"/>
        <w:spacing w:line="360" w:lineRule="auto"/>
        <w:ind w:firstLine="482" w:firstLineChars="200"/>
        <w:rPr>
          <w:rFonts w:hint="eastAsia" w:ascii="宋体" w:hAnsi="宋体" w:eastAsia="宋体" w:cs="宋体"/>
          <w:b/>
          <w:color w:val="auto"/>
          <w:sz w:val="24"/>
          <w:szCs w:val="24"/>
          <w:highlight w:val="none"/>
        </w:rPr>
      </w:pPr>
    </w:p>
    <w:p w14:paraId="53204981">
      <w:pPr>
        <w:adjustRightIn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6.办理投标登记手续</w:t>
      </w:r>
    </w:p>
    <w:p w14:paraId="23530E6A">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投标人应在投标截止时间前，登录广州交易集团有限公司（广州公共资源交易中心）网站办理网上投标登记手续。</w:t>
      </w:r>
    </w:p>
    <w:p w14:paraId="30448FF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6.1投标人应遵循以下程序完成网上投标登记手续：</w:t>
      </w:r>
    </w:p>
    <w:p w14:paraId="0C04729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（1）登录广州交易集团有限公司（广州公共资源交易中心）网站投标人服务专区完成的相关信息录入。</w:t>
      </w:r>
    </w:p>
    <w:p w14:paraId="1171112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核对并确认投标信息无误后，上传带有电子签章的加密投标文件。在投标截止时间前，投标人可以替换投标文件。投标文件须于投标截止时间前完整上传并保存到交易中心的电子评标系统。如果投标文件于投标截止时间未能上传完毕，该投标文件将视为无效投标文件。</w:t>
      </w:r>
    </w:p>
    <w:p w14:paraId="008B1314">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项目负责人的使用状态按投标文件提交截止时间，以在广州交易集团有限公司（广州公共资源交易中心）信息登记的为准。如出现拟报项目负责人不能被使用而造成投标信息无法录入广州交易集团有限公司（广州公共资源交易中心）交易服务系统的，其投标文件将视为无效投标文件。</w:t>
      </w:r>
    </w:p>
    <w:p w14:paraId="1C7CBBC1">
      <w:pPr>
        <w:adjustRightInd w:val="0"/>
        <w:spacing w:line="360" w:lineRule="auto"/>
        <w:ind w:firstLine="482" w:firstLineChars="200"/>
        <w:rPr>
          <w:rFonts w:hint="eastAsia" w:ascii="宋体" w:hAnsi="宋体" w:eastAsia="宋体" w:cs="宋体"/>
          <w:b/>
          <w:color w:val="auto"/>
          <w:sz w:val="24"/>
          <w:szCs w:val="24"/>
          <w:highlight w:val="none"/>
        </w:rPr>
      </w:pPr>
    </w:p>
    <w:p w14:paraId="0FE449EC">
      <w:pPr>
        <w:adjustRightIn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7.异议和投诉处理</w:t>
      </w:r>
    </w:p>
    <w:p w14:paraId="351E2A98">
      <w:pPr>
        <w:widowControl/>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潜在投标人或利害关系人对本招标公告及招标文件中任何违法及不公平内容有异议的，可以书面提出异议。如潜在投标人或其他利害关系人对招标人答复仍持有异议的，可按相关规定进行投诉。</w:t>
      </w:r>
    </w:p>
    <w:p w14:paraId="1425CC5B">
      <w:pPr>
        <w:widowControl/>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异议受理部门：广州市净水有限公司</w:t>
      </w:r>
    </w:p>
    <w:p w14:paraId="20693476">
      <w:pPr>
        <w:widowControl/>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电话：020-62315524</w:t>
      </w:r>
    </w:p>
    <w:p w14:paraId="10E65EAD">
      <w:pPr>
        <w:widowControl/>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地址：广州市临江大道501号。</w:t>
      </w:r>
    </w:p>
    <w:p w14:paraId="210216A8">
      <w:pPr>
        <w:widowControl/>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投诉受理部门：广州市净水有限公司</w:t>
      </w:r>
    </w:p>
    <w:p w14:paraId="22C41836">
      <w:pPr>
        <w:widowControl/>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电话：020-38890467</w:t>
      </w:r>
    </w:p>
    <w:p w14:paraId="2EA23C0E">
      <w:pPr>
        <w:adjustRightInd w:val="0"/>
        <w:spacing w:line="360" w:lineRule="auto"/>
        <w:ind w:firstLine="482" w:firstLineChars="200"/>
        <w:rPr>
          <w:rFonts w:hint="eastAsia" w:ascii="宋体" w:hAnsi="宋体" w:eastAsia="宋体" w:cs="宋体"/>
          <w:b/>
          <w:color w:val="auto"/>
          <w:sz w:val="24"/>
          <w:szCs w:val="24"/>
          <w:highlight w:val="none"/>
        </w:rPr>
      </w:pPr>
    </w:p>
    <w:p w14:paraId="17E79265">
      <w:pPr>
        <w:adjustRightIn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8.发布公告的媒介</w:t>
      </w:r>
    </w:p>
    <w:p w14:paraId="33ED1623">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8.1招标公告发布时间：从</w:t>
      </w:r>
      <w:r>
        <w:rPr>
          <w:rFonts w:hint="eastAsia" w:ascii="宋体" w:hAnsi="宋体" w:eastAsia="宋体" w:cs="宋体"/>
          <w:color w:val="auto"/>
          <w:sz w:val="24"/>
          <w:szCs w:val="24"/>
          <w:highlight w:val="none"/>
          <w:u w:val="single"/>
        </w:rPr>
        <w:t xml:space="preserve">2024年 </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月 </w:t>
      </w:r>
      <w:r>
        <w:rPr>
          <w:rFonts w:hint="eastAsia" w:ascii="宋体" w:hAnsi="宋体" w:cs="宋体"/>
          <w:color w:val="auto"/>
          <w:sz w:val="24"/>
          <w:szCs w:val="24"/>
          <w:highlight w:val="none"/>
          <w:u w:val="single"/>
          <w:lang w:val="en-US" w:eastAsia="zh-CN"/>
        </w:rPr>
        <w:t>22</w:t>
      </w:r>
      <w:r>
        <w:rPr>
          <w:rFonts w:hint="eastAsia" w:ascii="宋体" w:hAnsi="宋体" w:eastAsia="宋体" w:cs="宋体"/>
          <w:color w:val="auto"/>
          <w:sz w:val="24"/>
          <w:szCs w:val="24"/>
          <w:highlight w:val="none"/>
          <w:u w:val="single"/>
        </w:rPr>
        <w:t xml:space="preserve"> 日至2024年 </w:t>
      </w:r>
      <w:r>
        <w:rPr>
          <w:rFonts w:hint="eastAsia" w:ascii="宋体" w:hAnsi="宋体"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 xml:space="preserve"> 月 </w:t>
      </w:r>
      <w:r>
        <w:rPr>
          <w:rFonts w:hint="eastAsia" w:ascii="宋体" w:hAnsi="宋体"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 xml:space="preserve"> 日 </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时 </w:t>
      </w:r>
      <w:r>
        <w:rPr>
          <w:rFonts w:hint="eastAsia" w:ascii="宋体" w:hAnsi="宋体"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 xml:space="preserve"> 分。</w:t>
      </w:r>
    </w:p>
    <w:p w14:paraId="3D43D9F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注：发布招标公告的时间为招标公告发出之日起至投标截止时间止。</w:t>
      </w:r>
    </w:p>
    <w:p w14:paraId="71AB9531">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本次招标公告同时在广州交易集团有限公司（广州公共资源交易中心）网站（网址：http://www.gzggzy.cn）、中国招投标服务平台（http://www.cebpubservice.com/）、广州国企阳光采购信息发布平台网站（http://ygcg.gzggzy.cn/）发布。有关本公告的修改、补充以广州交易集团有限公司（广州公共资源交易中心）网站发布为准。</w:t>
      </w:r>
    </w:p>
    <w:p w14:paraId="27F25ACB">
      <w:pPr>
        <w:adjustRightInd w:val="0"/>
        <w:spacing w:line="360" w:lineRule="auto"/>
        <w:ind w:firstLine="482" w:firstLineChars="200"/>
        <w:rPr>
          <w:rFonts w:hint="eastAsia" w:ascii="宋体" w:hAnsi="宋体" w:eastAsia="宋体" w:cs="宋体"/>
          <w:b/>
          <w:color w:val="auto"/>
          <w:sz w:val="24"/>
          <w:szCs w:val="24"/>
          <w:highlight w:val="none"/>
          <w:u w:val="single"/>
        </w:rPr>
      </w:pPr>
      <w:bookmarkStart w:id="31" w:name="_Toc21787636"/>
    </w:p>
    <w:p w14:paraId="00A1C60A">
      <w:pPr>
        <w:adjustRightInd w:val="0"/>
        <w:spacing w:line="360" w:lineRule="auto"/>
        <w:ind w:firstLine="482" w:firstLineChars="20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9.联系方式</w:t>
      </w:r>
      <w:bookmarkEnd w:id="31"/>
    </w:p>
    <w:p w14:paraId="4A9F8213">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招 标 人：</w:t>
      </w:r>
      <w:r>
        <w:rPr>
          <w:rFonts w:hint="eastAsia" w:ascii="宋体" w:hAnsi="宋体" w:eastAsia="宋体" w:cs="宋体"/>
          <w:color w:val="auto"/>
          <w:sz w:val="24"/>
          <w:szCs w:val="24"/>
          <w:highlight w:val="none"/>
          <w:u w:val="single"/>
        </w:rPr>
        <w:t>广州市净水有限公司</w:t>
      </w:r>
    </w:p>
    <w:p w14:paraId="1227F87E">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广州市天河区临江大道501号</w:t>
      </w:r>
    </w:p>
    <w:p w14:paraId="58A135AE">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邮    编：</w:t>
      </w:r>
      <w:r>
        <w:rPr>
          <w:rFonts w:hint="eastAsia" w:ascii="宋体" w:hAnsi="宋体" w:eastAsia="宋体" w:cs="宋体"/>
          <w:color w:val="auto"/>
          <w:sz w:val="24"/>
          <w:szCs w:val="24"/>
          <w:highlight w:val="none"/>
          <w:u w:val="single"/>
        </w:rPr>
        <w:t>510655</w:t>
      </w:r>
    </w:p>
    <w:p w14:paraId="4728CC4D">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u w:val="single"/>
        </w:rPr>
        <w:t>颜工</w:t>
      </w:r>
    </w:p>
    <w:p w14:paraId="776A6F1E">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020-62315524</w:t>
      </w:r>
    </w:p>
    <w:p w14:paraId="65E1EBB7">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     </w:t>
      </w:r>
    </w:p>
    <w:p w14:paraId="2186BCC1">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rPr>
        <w:t xml:space="preserve">     /     </w:t>
      </w:r>
    </w:p>
    <w:p w14:paraId="619C5E1B">
      <w:pPr>
        <w:adjustRightInd w:val="0"/>
        <w:spacing w:line="360" w:lineRule="auto"/>
        <w:ind w:firstLine="480" w:firstLineChars="200"/>
        <w:rPr>
          <w:rFonts w:hint="eastAsia" w:ascii="宋体" w:hAnsi="宋体" w:eastAsia="宋体" w:cs="宋体"/>
          <w:color w:val="auto"/>
          <w:sz w:val="24"/>
          <w:szCs w:val="24"/>
          <w:highlight w:val="none"/>
          <w:u w:val="single"/>
        </w:rPr>
      </w:pPr>
    </w:p>
    <w:p w14:paraId="21AD300C">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招标代理机构：</w:t>
      </w:r>
      <w:r>
        <w:rPr>
          <w:rFonts w:hint="eastAsia" w:ascii="宋体" w:hAnsi="宋体" w:eastAsia="宋体" w:cs="宋体"/>
          <w:color w:val="auto"/>
          <w:sz w:val="24"/>
          <w:szCs w:val="24"/>
          <w:highlight w:val="none"/>
          <w:u w:val="single"/>
        </w:rPr>
        <w:t>广东粤能工程管理有限公司</w:t>
      </w:r>
    </w:p>
    <w:p w14:paraId="05049FD4">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天河区华观路明旭街1号万科智慧商业广场B1-2栋12楼</w:t>
      </w:r>
    </w:p>
    <w:p w14:paraId="5F096CAF">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邮    编：</w:t>
      </w:r>
      <w:r>
        <w:rPr>
          <w:rFonts w:hint="eastAsia" w:ascii="宋体" w:hAnsi="宋体" w:eastAsia="宋体" w:cs="宋体"/>
          <w:color w:val="auto"/>
          <w:sz w:val="24"/>
          <w:szCs w:val="24"/>
          <w:highlight w:val="none"/>
          <w:u w:val="single"/>
        </w:rPr>
        <w:t>510640</w:t>
      </w:r>
    </w:p>
    <w:p w14:paraId="76FA7BF9">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u w:val="single"/>
        </w:rPr>
        <w:t>梁工、赖工</w:t>
      </w:r>
    </w:p>
    <w:p w14:paraId="6BF66EA8">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020-38730932-8011</w:t>
      </w:r>
    </w:p>
    <w:p w14:paraId="6CC4E19B">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     </w:t>
      </w:r>
    </w:p>
    <w:p w14:paraId="08CEDA56">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rPr>
        <w:t xml:space="preserve">     /     </w:t>
      </w:r>
    </w:p>
    <w:p w14:paraId="30A8B604">
      <w:pPr>
        <w:adjustRightInd w:val="0"/>
        <w:spacing w:line="360" w:lineRule="auto"/>
        <w:ind w:firstLine="480" w:firstLineChars="200"/>
        <w:rPr>
          <w:rFonts w:hint="eastAsia" w:ascii="宋体" w:hAnsi="宋体" w:eastAsia="宋体" w:cs="宋体"/>
          <w:color w:val="auto"/>
          <w:sz w:val="24"/>
          <w:szCs w:val="24"/>
          <w:highlight w:val="none"/>
          <w:u w:val="single"/>
        </w:rPr>
      </w:pPr>
    </w:p>
    <w:p w14:paraId="64590E8A">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招标监督机构：</w:t>
      </w:r>
      <w:r>
        <w:rPr>
          <w:rFonts w:hint="eastAsia" w:ascii="宋体" w:hAnsi="宋体" w:eastAsia="宋体" w:cs="宋体"/>
          <w:color w:val="auto"/>
          <w:sz w:val="24"/>
          <w:szCs w:val="24"/>
          <w:highlight w:val="none"/>
          <w:u w:val="single"/>
        </w:rPr>
        <w:t>广州市净水有限公司</w:t>
      </w:r>
    </w:p>
    <w:p w14:paraId="5B99BEC3">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监督电话：</w:t>
      </w:r>
      <w:r>
        <w:rPr>
          <w:rFonts w:hint="eastAsia" w:ascii="宋体" w:hAnsi="宋体" w:eastAsia="宋体" w:cs="宋体"/>
          <w:color w:val="auto"/>
          <w:sz w:val="24"/>
          <w:szCs w:val="24"/>
          <w:highlight w:val="none"/>
          <w:u w:val="single"/>
        </w:rPr>
        <w:t>020-38890467</w:t>
      </w:r>
    </w:p>
    <w:p w14:paraId="3C001A18">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广州市天河区临江大道501号</w:t>
      </w:r>
    </w:p>
    <w:p w14:paraId="37718FA0">
      <w:pPr>
        <w:adjustRightInd w:val="0"/>
        <w:spacing w:line="360" w:lineRule="auto"/>
        <w:ind w:firstLine="480" w:firstLineChars="200"/>
        <w:rPr>
          <w:rFonts w:hint="eastAsia" w:ascii="宋体" w:hAnsi="宋体" w:eastAsia="宋体" w:cs="宋体"/>
          <w:color w:val="auto"/>
          <w:sz w:val="24"/>
          <w:szCs w:val="24"/>
          <w:highlight w:val="none"/>
        </w:rPr>
      </w:pPr>
    </w:p>
    <w:p w14:paraId="521608DF">
      <w:pPr>
        <w:adjustRightInd w:val="0"/>
        <w:spacing w:line="360" w:lineRule="auto"/>
        <w:ind w:firstLine="480" w:firstLineChars="2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2024年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r>
        <w:rPr>
          <w:rFonts w:hint="eastAsia" w:ascii="宋体" w:hAnsi="宋体" w:eastAsia="宋体" w:cs="宋体"/>
          <w:color w:val="auto"/>
          <w:sz w:val="24"/>
          <w:szCs w:val="24"/>
          <w:highlight w:val="none"/>
        </w:rPr>
        <w:br w:type="page"/>
      </w:r>
    </w:p>
    <w:p w14:paraId="6E2A0017">
      <w:pPr>
        <w:widowControl/>
        <w:jc w:val="left"/>
        <w:rPr>
          <w:rFonts w:hint="eastAsia" w:ascii="宋体" w:hAnsi="宋体" w:eastAsia="宋体" w:cs="宋体"/>
          <w:color w:val="auto"/>
          <w:sz w:val="24"/>
          <w:szCs w:val="24"/>
          <w:highlight w:val="none"/>
        </w:rPr>
      </w:pPr>
    </w:p>
    <w:p w14:paraId="3E926234">
      <w:pPr>
        <w:pStyle w:val="4"/>
        <w:rPr>
          <w:rFonts w:hint="eastAsia" w:ascii="宋体" w:hAnsi="宋体" w:eastAsia="宋体" w:cs="宋体"/>
          <w:color w:val="auto"/>
          <w:highlight w:val="none"/>
        </w:rPr>
      </w:pPr>
      <w:bookmarkStart w:id="32" w:name="_Toc17454869"/>
      <w:bookmarkStart w:id="33" w:name="_Toc17556874"/>
      <w:bookmarkStart w:id="34" w:name="_Toc17452662"/>
      <w:bookmarkStart w:id="35" w:name="_Toc17451621"/>
      <w:bookmarkStart w:id="36" w:name="_Toc17454920"/>
      <w:bookmarkStart w:id="37" w:name="_Toc17451576"/>
      <w:bookmarkStart w:id="38" w:name="_Toc17451099"/>
      <w:bookmarkStart w:id="39" w:name="_Toc21612"/>
      <w:bookmarkStart w:id="40" w:name="_Toc221950008"/>
      <w:r>
        <w:rPr>
          <w:rFonts w:hint="eastAsia" w:ascii="宋体" w:hAnsi="宋体" w:eastAsia="宋体" w:cs="宋体"/>
          <w:color w:val="auto"/>
          <w:highlight w:val="none"/>
        </w:rPr>
        <w:t>第二章 投标须知</w:t>
      </w:r>
      <w:bookmarkEnd w:id="32"/>
      <w:bookmarkEnd w:id="33"/>
      <w:bookmarkEnd w:id="34"/>
      <w:bookmarkEnd w:id="35"/>
      <w:bookmarkEnd w:id="36"/>
      <w:bookmarkEnd w:id="37"/>
      <w:bookmarkEnd w:id="38"/>
      <w:bookmarkEnd w:id="39"/>
    </w:p>
    <w:p w14:paraId="230459CB">
      <w:pPr>
        <w:spacing w:line="360" w:lineRule="auto"/>
        <w:jc w:val="center"/>
        <w:outlineLvl w:val="2"/>
        <w:rPr>
          <w:rFonts w:hint="eastAsia" w:ascii="宋体" w:hAnsi="宋体" w:eastAsia="宋体" w:cs="宋体"/>
          <w:color w:val="auto"/>
          <w:sz w:val="28"/>
          <w:szCs w:val="27"/>
          <w:highlight w:val="none"/>
        </w:rPr>
      </w:pPr>
      <w:bookmarkStart w:id="41" w:name="_Toc17454921"/>
      <w:bookmarkStart w:id="42" w:name="_Toc17451622"/>
      <w:bookmarkStart w:id="43" w:name="_Toc17454870"/>
      <w:bookmarkStart w:id="44" w:name="_Toc17451100"/>
      <w:bookmarkStart w:id="45" w:name="_Toc17451577"/>
      <w:bookmarkStart w:id="46" w:name="_Toc17556930"/>
      <w:bookmarkStart w:id="47" w:name="_Toc17452663"/>
      <w:bookmarkStart w:id="48" w:name="_Toc25856"/>
      <w:bookmarkStart w:id="49" w:name="_Toc17556875"/>
      <w:r>
        <w:rPr>
          <w:rFonts w:hint="eastAsia" w:ascii="宋体" w:hAnsi="宋体" w:eastAsia="宋体" w:cs="宋体"/>
          <w:color w:val="auto"/>
          <w:sz w:val="28"/>
          <w:szCs w:val="27"/>
          <w:highlight w:val="none"/>
        </w:rPr>
        <w:t>一、投标人须知前附表</w:t>
      </w:r>
      <w:bookmarkEnd w:id="40"/>
      <w:bookmarkEnd w:id="41"/>
      <w:bookmarkEnd w:id="42"/>
      <w:bookmarkEnd w:id="43"/>
      <w:bookmarkEnd w:id="44"/>
      <w:bookmarkEnd w:id="45"/>
      <w:bookmarkEnd w:id="46"/>
      <w:bookmarkEnd w:id="47"/>
      <w:bookmarkEnd w:id="48"/>
      <w:bookmarkEnd w:id="49"/>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2192"/>
        <w:gridCol w:w="5038"/>
      </w:tblGrid>
      <w:tr w14:paraId="1563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61" w:type="pct"/>
            <w:vAlign w:val="center"/>
          </w:tcPr>
          <w:p w14:paraId="2CD8C573">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bookmarkStart w:id="50" w:name="_Toc221950009"/>
            <w:r>
              <w:rPr>
                <w:rFonts w:hint="eastAsia" w:ascii="宋体" w:hAnsi="宋体" w:eastAsia="宋体" w:cs="宋体"/>
                <w:b/>
                <w:color w:val="auto"/>
                <w:szCs w:val="21"/>
                <w:highlight w:val="none"/>
              </w:rPr>
              <w:t>条款号</w:t>
            </w:r>
            <w:bookmarkEnd w:id="50"/>
          </w:p>
        </w:tc>
        <w:tc>
          <w:tcPr>
            <w:tcW w:w="1285" w:type="pct"/>
            <w:vAlign w:val="center"/>
          </w:tcPr>
          <w:p w14:paraId="168DDD42">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bookmarkStart w:id="51" w:name="_Toc221950010"/>
            <w:r>
              <w:rPr>
                <w:rFonts w:hint="eastAsia" w:ascii="宋体" w:hAnsi="宋体" w:eastAsia="宋体" w:cs="宋体"/>
                <w:b/>
                <w:color w:val="auto"/>
                <w:szCs w:val="21"/>
                <w:highlight w:val="none"/>
              </w:rPr>
              <w:t>条款名称</w:t>
            </w:r>
            <w:bookmarkEnd w:id="51"/>
          </w:p>
        </w:tc>
        <w:tc>
          <w:tcPr>
            <w:tcW w:w="2954" w:type="pct"/>
            <w:vAlign w:val="center"/>
          </w:tcPr>
          <w:p w14:paraId="5AC9403C">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bookmarkStart w:id="52" w:name="_Toc221950011"/>
            <w:r>
              <w:rPr>
                <w:rFonts w:hint="eastAsia" w:ascii="宋体" w:hAnsi="宋体" w:eastAsia="宋体" w:cs="宋体"/>
                <w:b/>
                <w:color w:val="auto"/>
                <w:szCs w:val="21"/>
                <w:highlight w:val="none"/>
              </w:rPr>
              <w:t>编列内容</w:t>
            </w:r>
            <w:bookmarkEnd w:id="52"/>
          </w:p>
        </w:tc>
      </w:tr>
      <w:tr w14:paraId="5513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1" w:type="pct"/>
            <w:vAlign w:val="center"/>
          </w:tcPr>
          <w:p w14:paraId="6261E078">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3" w:name="_Toc221950012"/>
            <w:r>
              <w:rPr>
                <w:rFonts w:hint="eastAsia" w:ascii="宋体" w:hAnsi="宋体" w:eastAsia="宋体" w:cs="宋体"/>
                <w:color w:val="auto"/>
                <w:szCs w:val="21"/>
                <w:highlight w:val="none"/>
              </w:rPr>
              <w:t>1.1.2</w:t>
            </w:r>
            <w:bookmarkEnd w:id="53"/>
          </w:p>
        </w:tc>
        <w:tc>
          <w:tcPr>
            <w:tcW w:w="1285" w:type="pct"/>
            <w:vAlign w:val="center"/>
          </w:tcPr>
          <w:p w14:paraId="051EC240">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54" w:name="_Toc221950013"/>
            <w:r>
              <w:rPr>
                <w:rFonts w:hint="eastAsia" w:ascii="宋体" w:hAnsi="宋体" w:eastAsia="宋体" w:cs="宋体"/>
                <w:color w:val="auto"/>
                <w:szCs w:val="21"/>
                <w:highlight w:val="none"/>
              </w:rPr>
              <w:t>招标人</w:t>
            </w:r>
            <w:bookmarkEnd w:id="54"/>
            <w:r>
              <w:rPr>
                <w:rFonts w:hint="eastAsia" w:ascii="宋体" w:hAnsi="宋体" w:eastAsia="宋体" w:cs="宋体"/>
                <w:color w:val="auto"/>
                <w:szCs w:val="21"/>
                <w:highlight w:val="none"/>
              </w:rPr>
              <w:t xml:space="preserve"> </w:t>
            </w:r>
          </w:p>
        </w:tc>
        <w:tc>
          <w:tcPr>
            <w:tcW w:w="2954" w:type="pct"/>
            <w:vAlign w:val="center"/>
          </w:tcPr>
          <w:p w14:paraId="47163E42">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名称：广州市净水有限公司</w:t>
            </w:r>
          </w:p>
          <w:p w14:paraId="553FF17A">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地址：广州市天河区临江大道501号</w:t>
            </w:r>
          </w:p>
          <w:p w14:paraId="09A8E47E">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联系人：颜工</w:t>
            </w:r>
          </w:p>
          <w:p w14:paraId="7971DAD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电话：020-62315524</w:t>
            </w:r>
          </w:p>
        </w:tc>
      </w:tr>
      <w:tr w14:paraId="7994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61" w:type="pct"/>
            <w:vAlign w:val="center"/>
          </w:tcPr>
          <w:p w14:paraId="0FFAD38A">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5" w:name="_Toc221950014"/>
            <w:r>
              <w:rPr>
                <w:rFonts w:hint="eastAsia" w:ascii="宋体" w:hAnsi="宋体" w:eastAsia="宋体" w:cs="宋体"/>
                <w:color w:val="auto"/>
                <w:szCs w:val="21"/>
                <w:highlight w:val="none"/>
              </w:rPr>
              <w:t>1.1.3</w:t>
            </w:r>
            <w:bookmarkEnd w:id="55"/>
          </w:p>
        </w:tc>
        <w:tc>
          <w:tcPr>
            <w:tcW w:w="1285" w:type="pct"/>
            <w:vAlign w:val="center"/>
          </w:tcPr>
          <w:p w14:paraId="64129912">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56" w:name="_Toc221950015"/>
            <w:r>
              <w:rPr>
                <w:rFonts w:hint="eastAsia" w:ascii="宋体" w:hAnsi="宋体" w:eastAsia="宋体" w:cs="宋体"/>
                <w:color w:val="auto"/>
                <w:szCs w:val="21"/>
                <w:highlight w:val="none"/>
              </w:rPr>
              <w:t>招标代理机构</w:t>
            </w:r>
            <w:bookmarkEnd w:id="56"/>
            <w:r>
              <w:rPr>
                <w:rFonts w:hint="eastAsia" w:ascii="宋体" w:hAnsi="宋体" w:eastAsia="宋体" w:cs="宋体"/>
                <w:color w:val="auto"/>
                <w:szCs w:val="21"/>
                <w:highlight w:val="none"/>
              </w:rPr>
              <w:t xml:space="preserve"> </w:t>
            </w:r>
          </w:p>
        </w:tc>
        <w:tc>
          <w:tcPr>
            <w:tcW w:w="2954" w:type="pct"/>
            <w:vAlign w:val="center"/>
          </w:tcPr>
          <w:p w14:paraId="3A36609D">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名称：广东粤能工程管理有限公司</w:t>
            </w:r>
          </w:p>
          <w:p w14:paraId="77E300E2">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地址：广州市天河区华观路明旭街1号万科智慧商业广场B1-2栋12楼</w:t>
            </w:r>
          </w:p>
          <w:p w14:paraId="5FEB577A">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联系人：梁工、赖工</w:t>
            </w:r>
          </w:p>
          <w:p w14:paraId="0653090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电话：020-38730932-8011</w:t>
            </w:r>
          </w:p>
        </w:tc>
      </w:tr>
      <w:tr w14:paraId="7FF5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61" w:type="pct"/>
            <w:vAlign w:val="center"/>
          </w:tcPr>
          <w:p w14:paraId="52160CFC">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7" w:name="_Toc221950016"/>
            <w:r>
              <w:rPr>
                <w:rFonts w:hint="eastAsia" w:ascii="宋体" w:hAnsi="宋体" w:eastAsia="宋体" w:cs="宋体"/>
                <w:color w:val="auto"/>
                <w:szCs w:val="21"/>
                <w:highlight w:val="none"/>
              </w:rPr>
              <w:t>1.1.4</w:t>
            </w:r>
            <w:bookmarkEnd w:id="57"/>
          </w:p>
        </w:tc>
        <w:tc>
          <w:tcPr>
            <w:tcW w:w="1285" w:type="pct"/>
            <w:vAlign w:val="center"/>
          </w:tcPr>
          <w:p w14:paraId="3B539FCF">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58" w:name="_Toc221950017"/>
            <w:r>
              <w:rPr>
                <w:rFonts w:hint="eastAsia" w:ascii="宋体" w:hAnsi="宋体" w:eastAsia="宋体" w:cs="宋体"/>
                <w:color w:val="auto"/>
                <w:szCs w:val="21"/>
                <w:highlight w:val="none"/>
              </w:rPr>
              <w:t>项目名称</w:t>
            </w:r>
            <w:bookmarkEnd w:id="58"/>
          </w:p>
        </w:tc>
        <w:tc>
          <w:tcPr>
            <w:tcW w:w="2954" w:type="pct"/>
            <w:vAlign w:val="center"/>
          </w:tcPr>
          <w:p w14:paraId="258EB8B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广州净水公司2024年干化车间蒸汽锅炉及冷凝水回收系统改造项目</w:t>
            </w:r>
          </w:p>
        </w:tc>
      </w:tr>
      <w:tr w14:paraId="71A5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1" w:type="pct"/>
            <w:vAlign w:val="center"/>
          </w:tcPr>
          <w:p w14:paraId="1CF70961">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9" w:name="_Toc221950018"/>
            <w:r>
              <w:rPr>
                <w:rFonts w:hint="eastAsia" w:ascii="宋体" w:hAnsi="宋体" w:eastAsia="宋体" w:cs="宋体"/>
                <w:color w:val="auto"/>
                <w:szCs w:val="21"/>
                <w:highlight w:val="none"/>
              </w:rPr>
              <w:t>1.1.5</w:t>
            </w:r>
            <w:bookmarkEnd w:id="59"/>
          </w:p>
        </w:tc>
        <w:tc>
          <w:tcPr>
            <w:tcW w:w="1285" w:type="pct"/>
            <w:vAlign w:val="center"/>
          </w:tcPr>
          <w:p w14:paraId="4E2F825B">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60" w:name="_Toc221950019"/>
            <w:r>
              <w:rPr>
                <w:rFonts w:hint="eastAsia" w:ascii="宋体" w:hAnsi="宋体" w:eastAsia="宋体" w:cs="宋体"/>
                <w:color w:val="auto"/>
                <w:szCs w:val="21"/>
                <w:highlight w:val="none"/>
              </w:rPr>
              <w:t>建设地点</w:t>
            </w:r>
            <w:bookmarkEnd w:id="60"/>
          </w:p>
        </w:tc>
        <w:tc>
          <w:tcPr>
            <w:tcW w:w="2954" w:type="pct"/>
            <w:vAlign w:val="center"/>
          </w:tcPr>
          <w:p w14:paraId="4B35012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详见招标公告。</w:t>
            </w:r>
          </w:p>
        </w:tc>
      </w:tr>
      <w:tr w14:paraId="5DB8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3B091A2F">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61" w:name="_Toc221950030"/>
            <w:r>
              <w:rPr>
                <w:rFonts w:hint="eastAsia" w:ascii="宋体" w:hAnsi="宋体" w:eastAsia="宋体" w:cs="宋体"/>
                <w:color w:val="auto"/>
                <w:szCs w:val="21"/>
                <w:highlight w:val="none"/>
              </w:rPr>
              <w:t>1.2.1</w:t>
            </w:r>
            <w:bookmarkEnd w:id="61"/>
          </w:p>
        </w:tc>
        <w:tc>
          <w:tcPr>
            <w:tcW w:w="1285" w:type="pct"/>
            <w:vAlign w:val="center"/>
          </w:tcPr>
          <w:p w14:paraId="1F1EFE82">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62" w:name="_Toc221950031"/>
            <w:r>
              <w:rPr>
                <w:rFonts w:hint="eastAsia" w:ascii="宋体" w:hAnsi="宋体" w:eastAsia="宋体" w:cs="宋体"/>
                <w:color w:val="auto"/>
                <w:szCs w:val="21"/>
                <w:highlight w:val="none"/>
              </w:rPr>
              <w:t>资金来源</w:t>
            </w:r>
            <w:bookmarkEnd w:id="62"/>
            <w:r>
              <w:rPr>
                <w:rFonts w:hint="eastAsia" w:ascii="宋体" w:hAnsi="宋体" w:eastAsia="宋体" w:cs="宋体"/>
                <w:color w:val="auto"/>
                <w:szCs w:val="21"/>
                <w:highlight w:val="none"/>
              </w:rPr>
              <w:t>及比例</w:t>
            </w:r>
          </w:p>
        </w:tc>
        <w:tc>
          <w:tcPr>
            <w:tcW w:w="2954" w:type="pct"/>
            <w:vAlign w:val="center"/>
          </w:tcPr>
          <w:p w14:paraId="5DBC3F6D">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详见招标公告。</w:t>
            </w:r>
          </w:p>
        </w:tc>
      </w:tr>
      <w:tr w14:paraId="76BA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68F91200">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63" w:name="_Toc221950036"/>
            <w:r>
              <w:rPr>
                <w:rFonts w:hint="eastAsia" w:ascii="宋体" w:hAnsi="宋体" w:eastAsia="宋体" w:cs="宋体"/>
                <w:color w:val="auto"/>
                <w:szCs w:val="21"/>
                <w:highlight w:val="none"/>
              </w:rPr>
              <w:t>1.3.1</w:t>
            </w:r>
            <w:bookmarkEnd w:id="63"/>
          </w:p>
        </w:tc>
        <w:tc>
          <w:tcPr>
            <w:tcW w:w="1285" w:type="pct"/>
            <w:vAlign w:val="center"/>
          </w:tcPr>
          <w:p w14:paraId="751195CC">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64" w:name="_Toc221950037"/>
            <w:r>
              <w:rPr>
                <w:rFonts w:hint="eastAsia" w:ascii="宋体" w:hAnsi="宋体" w:eastAsia="宋体" w:cs="宋体"/>
                <w:color w:val="auto"/>
                <w:szCs w:val="21"/>
                <w:highlight w:val="none"/>
              </w:rPr>
              <w:t>招标范围</w:t>
            </w:r>
            <w:bookmarkEnd w:id="64"/>
          </w:p>
        </w:tc>
        <w:tc>
          <w:tcPr>
            <w:tcW w:w="2954" w:type="pct"/>
            <w:vAlign w:val="center"/>
          </w:tcPr>
          <w:p w14:paraId="399FEAB9">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详见招标公告。</w:t>
            </w:r>
          </w:p>
        </w:tc>
      </w:tr>
      <w:tr w14:paraId="36C3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09B87345">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65" w:name="_Toc221950038"/>
            <w:r>
              <w:rPr>
                <w:rFonts w:hint="eastAsia" w:ascii="宋体" w:hAnsi="宋体" w:eastAsia="宋体" w:cs="宋体"/>
                <w:color w:val="auto"/>
                <w:szCs w:val="21"/>
                <w:highlight w:val="none"/>
              </w:rPr>
              <w:t>1.3.2</w:t>
            </w:r>
            <w:bookmarkEnd w:id="65"/>
          </w:p>
        </w:tc>
        <w:tc>
          <w:tcPr>
            <w:tcW w:w="1285" w:type="pct"/>
            <w:vAlign w:val="center"/>
          </w:tcPr>
          <w:p w14:paraId="3642902A">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66" w:name="_Toc221950039"/>
            <w:r>
              <w:rPr>
                <w:rFonts w:hint="eastAsia" w:ascii="宋体" w:hAnsi="宋体" w:eastAsia="宋体" w:cs="宋体"/>
                <w:color w:val="auto"/>
                <w:szCs w:val="21"/>
                <w:highlight w:val="none"/>
              </w:rPr>
              <w:t>计划货（工）期</w:t>
            </w:r>
            <w:bookmarkEnd w:id="66"/>
          </w:p>
        </w:tc>
        <w:tc>
          <w:tcPr>
            <w:tcW w:w="2954" w:type="pct"/>
            <w:vAlign w:val="center"/>
          </w:tcPr>
          <w:p w14:paraId="10F14CD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详见招标公告。</w:t>
            </w:r>
          </w:p>
        </w:tc>
      </w:tr>
      <w:tr w14:paraId="7841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0EB891A8">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67" w:name="_Toc221950043"/>
            <w:r>
              <w:rPr>
                <w:rFonts w:hint="eastAsia" w:ascii="宋体" w:hAnsi="宋体" w:eastAsia="宋体" w:cs="宋体"/>
                <w:color w:val="auto"/>
                <w:szCs w:val="21"/>
                <w:highlight w:val="none"/>
              </w:rPr>
              <w:t>1.3.3</w:t>
            </w:r>
            <w:bookmarkEnd w:id="67"/>
          </w:p>
        </w:tc>
        <w:tc>
          <w:tcPr>
            <w:tcW w:w="1285" w:type="pct"/>
            <w:vAlign w:val="center"/>
          </w:tcPr>
          <w:p w14:paraId="1BBC0F75">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68" w:name="_Toc221950044"/>
            <w:r>
              <w:rPr>
                <w:rFonts w:hint="eastAsia" w:ascii="宋体" w:hAnsi="宋体" w:eastAsia="宋体" w:cs="宋体"/>
                <w:color w:val="auto"/>
                <w:szCs w:val="21"/>
                <w:highlight w:val="none"/>
              </w:rPr>
              <w:t>质量要求</w:t>
            </w:r>
            <w:bookmarkEnd w:id="68"/>
          </w:p>
        </w:tc>
        <w:tc>
          <w:tcPr>
            <w:tcW w:w="2954" w:type="pct"/>
            <w:vAlign w:val="center"/>
          </w:tcPr>
          <w:p w14:paraId="0C0B87B9">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符合《第七章技术标准和要求》的质量要求</w:t>
            </w:r>
          </w:p>
        </w:tc>
      </w:tr>
      <w:tr w14:paraId="71FB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748E5B86">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1.3.4</w:t>
            </w:r>
          </w:p>
        </w:tc>
        <w:tc>
          <w:tcPr>
            <w:tcW w:w="1285" w:type="pct"/>
            <w:vAlign w:val="center"/>
          </w:tcPr>
          <w:p w14:paraId="566F7A1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承包方式</w:t>
            </w:r>
          </w:p>
        </w:tc>
        <w:tc>
          <w:tcPr>
            <w:tcW w:w="2954" w:type="pct"/>
            <w:vAlign w:val="center"/>
          </w:tcPr>
          <w:p w14:paraId="1F2293DF">
            <w:pPr>
              <w:pStyle w:val="16"/>
              <w:keepNext w:val="0"/>
              <w:keepLines w:val="0"/>
              <w:suppressLineNumbers w:val="0"/>
              <w:topLinePunct/>
              <w:adjustRightInd w:val="0"/>
              <w:snapToGrid w:val="0"/>
              <w:spacing w:before="50" w:beforeAutospacing="0" w:after="0" w:afterAutospacing="0" w:line="360" w:lineRule="auto"/>
              <w:ind w:left="0" w:right="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□固定总价</w:t>
            </w:r>
          </w:p>
          <w:p w14:paraId="37223E73">
            <w:pPr>
              <w:pStyle w:val="16"/>
              <w:keepNext w:val="0"/>
              <w:keepLines w:val="0"/>
              <w:suppressLineNumbers w:val="0"/>
              <w:topLinePunct/>
              <w:adjustRightInd w:val="0"/>
              <w:snapToGrid w:val="0"/>
              <w:spacing w:before="50" w:beforeAutospacing="0" w:after="0" w:afterAutospacing="0" w:line="360" w:lineRule="auto"/>
              <w:ind w:left="0" w:right="0"/>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highlight w:val="none"/>
              </w:rPr>
              <w:t>综合单价</w:t>
            </w:r>
          </w:p>
          <w:p w14:paraId="019F661F">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r>
              <w:rPr>
                <w:rFonts w:hint="eastAsia" w:ascii="宋体" w:hAnsi="宋体" w:eastAsia="宋体" w:cs="宋体"/>
                <w:color w:val="auto"/>
                <w:szCs w:val="21"/>
                <w:highlight w:val="none"/>
                <w:u w:val="single"/>
              </w:rPr>
              <w:t>包工、包料、包工期、包质量、包安全、包文明施工。综合单价包干、项目措施费按时结算</w:t>
            </w:r>
          </w:p>
        </w:tc>
      </w:tr>
      <w:tr w14:paraId="37C3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61" w:type="pct"/>
            <w:vAlign w:val="center"/>
          </w:tcPr>
          <w:p w14:paraId="137476F6">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69" w:name="_Toc221950045"/>
            <w:r>
              <w:rPr>
                <w:rFonts w:hint="eastAsia" w:ascii="宋体" w:hAnsi="宋体" w:eastAsia="宋体" w:cs="宋体"/>
                <w:color w:val="auto"/>
                <w:szCs w:val="21"/>
                <w:highlight w:val="none"/>
              </w:rPr>
              <w:t>1.4.1</w:t>
            </w:r>
            <w:bookmarkEnd w:id="69"/>
          </w:p>
        </w:tc>
        <w:tc>
          <w:tcPr>
            <w:tcW w:w="1285" w:type="pct"/>
            <w:vAlign w:val="center"/>
          </w:tcPr>
          <w:p w14:paraId="44583FCE">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70" w:name="_Toc221950046"/>
            <w:r>
              <w:rPr>
                <w:rFonts w:hint="eastAsia" w:ascii="宋体" w:hAnsi="宋体" w:eastAsia="宋体" w:cs="宋体"/>
                <w:color w:val="auto"/>
                <w:szCs w:val="21"/>
                <w:highlight w:val="none"/>
              </w:rPr>
              <w:t>投标人资质条件、能力、信誉</w:t>
            </w:r>
            <w:bookmarkEnd w:id="70"/>
            <w:r>
              <w:rPr>
                <w:rFonts w:hint="eastAsia" w:ascii="宋体" w:hAnsi="宋体" w:eastAsia="宋体" w:cs="宋体"/>
                <w:color w:val="auto"/>
                <w:szCs w:val="21"/>
                <w:highlight w:val="none"/>
              </w:rPr>
              <w:t>（须同招标公告一致）</w:t>
            </w:r>
          </w:p>
        </w:tc>
        <w:tc>
          <w:tcPr>
            <w:tcW w:w="2954" w:type="pct"/>
            <w:vAlign w:val="center"/>
          </w:tcPr>
          <w:p w14:paraId="665E3C93">
            <w:pPr>
              <w:pStyle w:val="10"/>
              <w:suppressLineNumbers w:val="0"/>
              <w:adjustRightInd w:val="0"/>
              <w:snapToGrid w:val="0"/>
              <w:spacing w:before="50" w:beforeAutospacing="0" w:after="0" w:afterAutospacing="0" w:line="360" w:lineRule="auto"/>
              <w:ind w:left="0" w:right="0"/>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详见招标公告</w:t>
            </w:r>
          </w:p>
        </w:tc>
      </w:tr>
      <w:tr w14:paraId="50CB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61" w:type="pct"/>
            <w:vAlign w:val="center"/>
          </w:tcPr>
          <w:p w14:paraId="1722EF21">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w:t>
            </w:r>
          </w:p>
        </w:tc>
        <w:tc>
          <w:tcPr>
            <w:tcW w:w="1285" w:type="pct"/>
            <w:vAlign w:val="center"/>
          </w:tcPr>
          <w:p w14:paraId="1258D710">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是否接受联合体投标</w:t>
            </w:r>
          </w:p>
        </w:tc>
        <w:tc>
          <w:tcPr>
            <w:tcW w:w="2954" w:type="pct"/>
            <w:vAlign w:val="center"/>
          </w:tcPr>
          <w:p w14:paraId="21480F2A">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■不接受</w:t>
            </w:r>
          </w:p>
          <w:p w14:paraId="4B3EE7C6">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□接受，应满足下列要求：_________________</w:t>
            </w:r>
          </w:p>
        </w:tc>
      </w:tr>
      <w:tr w14:paraId="3AF7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61" w:type="pct"/>
            <w:vAlign w:val="center"/>
          </w:tcPr>
          <w:p w14:paraId="0DA819C3">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1285" w:type="pct"/>
            <w:vAlign w:val="center"/>
          </w:tcPr>
          <w:p w14:paraId="01F641B1">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资格审查方式</w:t>
            </w:r>
          </w:p>
        </w:tc>
        <w:tc>
          <w:tcPr>
            <w:tcW w:w="2954" w:type="pct"/>
            <w:vAlign w:val="center"/>
          </w:tcPr>
          <w:p w14:paraId="2DB9E4E9">
            <w:pPr>
              <w:pStyle w:val="16"/>
              <w:keepNext w:val="0"/>
              <w:keepLines w:val="0"/>
              <w:suppressLineNumbers w:val="0"/>
              <w:topLinePunct/>
              <w:adjustRightInd w:val="0"/>
              <w:snapToGrid w:val="0"/>
              <w:spacing w:before="120" w:beforeLines="50" w:beforeAutospacing="0" w:after="0" w:afterAutospacing="0" w:line="360" w:lineRule="auto"/>
              <w:ind w:left="0" w:right="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电子化资格后审</w:t>
            </w:r>
          </w:p>
        </w:tc>
      </w:tr>
      <w:tr w14:paraId="36A0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61" w:type="pct"/>
            <w:vAlign w:val="center"/>
          </w:tcPr>
          <w:p w14:paraId="6E8129F8">
            <w:pPr>
              <w:keepNext w:val="0"/>
              <w:keepLines w:val="0"/>
              <w:suppressLineNumbers w:val="0"/>
              <w:adjustRightInd w:val="0"/>
              <w:snapToGrid w:val="0"/>
              <w:spacing w:before="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w:t>
            </w:r>
          </w:p>
        </w:tc>
        <w:tc>
          <w:tcPr>
            <w:tcW w:w="1285" w:type="pct"/>
            <w:vAlign w:val="center"/>
          </w:tcPr>
          <w:p w14:paraId="7A149C49">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2954" w:type="pct"/>
            <w:vAlign w:val="center"/>
          </w:tcPr>
          <w:p w14:paraId="1DA01237">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招标人不集中组织，由投标人自行踏勘；</w:t>
            </w:r>
          </w:p>
          <w:p w14:paraId="4837A93A">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w:t>
            </w:r>
            <w:r>
              <w:rPr>
                <w:rFonts w:hint="eastAsia" w:ascii="宋体" w:hAnsi="宋体" w:eastAsia="宋体" w:cs="宋体"/>
                <w:color w:val="auto"/>
                <w:szCs w:val="21"/>
                <w:highlight w:val="none"/>
                <w:u w:val="single"/>
              </w:rPr>
              <w:t>自公告发布之日起具备现场踏勘条件；</w:t>
            </w:r>
          </w:p>
          <w:p w14:paraId="5EF714F2">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现场详细地点：</w:t>
            </w:r>
            <w:r>
              <w:rPr>
                <w:rFonts w:hint="eastAsia" w:ascii="宋体" w:hAnsi="宋体" w:eastAsia="宋体" w:cs="宋体"/>
                <w:color w:val="auto"/>
                <w:szCs w:val="21"/>
                <w:highlight w:val="none"/>
                <w:u w:val="single"/>
              </w:rPr>
              <w:t>沥滘分公司</w:t>
            </w:r>
            <w:r>
              <w:rPr>
                <w:rFonts w:hint="eastAsia"/>
                <w:color w:val="auto"/>
                <w:highlight w:val="none"/>
                <w:u w:val="single"/>
                <w:lang w:eastAsia="zh-CN"/>
              </w:rPr>
              <w:t>、西朗二期分公司、大沙地分公司、健康城分公司</w:t>
            </w:r>
            <w:r>
              <w:rPr>
                <w:rFonts w:hint="eastAsia" w:ascii="宋体" w:hAnsi="宋体" w:eastAsia="宋体" w:cs="宋体"/>
                <w:color w:val="auto"/>
                <w:highlight w:val="none"/>
                <w:u w:val="single"/>
              </w:rPr>
              <w:t>。</w:t>
            </w:r>
          </w:p>
        </w:tc>
      </w:tr>
      <w:tr w14:paraId="24E5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1" w:type="pct"/>
            <w:vAlign w:val="center"/>
          </w:tcPr>
          <w:p w14:paraId="51F03430">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w:t>
            </w:r>
          </w:p>
        </w:tc>
        <w:tc>
          <w:tcPr>
            <w:tcW w:w="1285" w:type="pct"/>
            <w:vAlign w:val="center"/>
          </w:tcPr>
          <w:p w14:paraId="200842ED">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w:t>
            </w:r>
          </w:p>
        </w:tc>
        <w:tc>
          <w:tcPr>
            <w:tcW w:w="2954" w:type="pct"/>
            <w:vAlign w:val="center"/>
          </w:tcPr>
          <w:p w14:paraId="3943EA2D">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偏离允许幅度及其处理方法：</w:t>
            </w:r>
            <w:r>
              <w:rPr>
                <w:rFonts w:hint="eastAsia" w:ascii="宋体" w:hAnsi="宋体" w:eastAsia="宋体" w:cs="宋体"/>
                <w:color w:val="auto"/>
                <w:szCs w:val="21"/>
                <w:highlight w:val="none"/>
                <w:u w:val="single"/>
                <w:lang w:val="en-US" w:eastAsia="zh-CN"/>
              </w:rPr>
              <w:t>详见需求书</w:t>
            </w:r>
            <w:r>
              <w:rPr>
                <w:rFonts w:hint="eastAsia" w:ascii="宋体" w:hAnsi="宋体" w:eastAsia="宋体" w:cs="宋体"/>
                <w:color w:val="auto"/>
                <w:szCs w:val="21"/>
                <w:highlight w:val="none"/>
                <w:u w:val="single"/>
              </w:rPr>
              <w:t>。</w:t>
            </w:r>
          </w:p>
        </w:tc>
      </w:tr>
      <w:tr w14:paraId="150D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61" w:type="pct"/>
            <w:vAlign w:val="center"/>
          </w:tcPr>
          <w:p w14:paraId="61D2DB6F">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1285" w:type="pct"/>
            <w:vAlign w:val="center"/>
          </w:tcPr>
          <w:p w14:paraId="756B99E1">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2954" w:type="pct"/>
            <w:vAlign w:val="center"/>
          </w:tcPr>
          <w:p w14:paraId="0B5B84C0">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1、方式：网上答疑；</w:t>
            </w:r>
          </w:p>
          <w:p w14:paraId="09986DE5">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2、投标人质疑期限：在投标截止日期前</w:t>
            </w:r>
            <w:r>
              <w:rPr>
                <w:rFonts w:hint="eastAsia" w:ascii="宋体" w:hAnsi="宋体" w:eastAsia="宋体" w:cs="宋体"/>
                <w:color w:val="auto"/>
                <w:szCs w:val="21"/>
                <w:highlight w:val="none"/>
                <w:u w:val="single"/>
              </w:rPr>
              <w:t xml:space="preserve"> 15 </w:t>
            </w:r>
            <w:r>
              <w:rPr>
                <w:rFonts w:hint="eastAsia" w:ascii="宋体" w:hAnsi="宋体" w:eastAsia="宋体" w:cs="宋体"/>
                <w:color w:val="auto"/>
                <w:szCs w:val="21"/>
                <w:highlight w:val="none"/>
              </w:rPr>
              <w:t>日；</w:t>
            </w:r>
          </w:p>
          <w:p w14:paraId="2F05A0F1">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3、招标人答疑期限：在投标截止日期前</w:t>
            </w:r>
            <w:r>
              <w:rPr>
                <w:rFonts w:hint="eastAsia" w:ascii="宋体" w:hAnsi="宋体" w:eastAsia="宋体" w:cs="宋体"/>
                <w:color w:val="auto"/>
                <w:szCs w:val="21"/>
                <w:highlight w:val="none"/>
                <w:u w:val="single"/>
              </w:rPr>
              <w:t xml:space="preserve"> 7 </w:t>
            </w:r>
            <w:r>
              <w:rPr>
                <w:rFonts w:hint="eastAsia" w:ascii="宋体" w:hAnsi="宋体" w:eastAsia="宋体" w:cs="宋体"/>
                <w:color w:val="auto"/>
                <w:szCs w:val="21"/>
                <w:highlight w:val="none"/>
              </w:rPr>
              <w:t>日。</w:t>
            </w:r>
          </w:p>
          <w:p w14:paraId="5492B78F">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4、进入到提问区域的密码为：</w:t>
            </w:r>
            <w:r>
              <w:rPr>
                <w:rFonts w:hint="eastAsia" w:ascii="宋体" w:hAnsi="宋体" w:eastAsia="宋体" w:cs="宋体"/>
                <w:color w:val="auto"/>
                <w:szCs w:val="21"/>
                <w:highlight w:val="none"/>
                <w:u w:val="single"/>
              </w:rPr>
              <w:t>无密码，自行登录系统进行提问；</w:t>
            </w:r>
          </w:p>
          <w:p w14:paraId="3E18359F">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5、网上答疑的相关事项详见招标文件2.2款；</w:t>
            </w:r>
          </w:p>
          <w:p w14:paraId="509C8CEA">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6、答疑纪要在广州交易集团有限公司（广州公共资源交易中心）网站的</w:t>
            </w:r>
            <w:r>
              <w:rPr>
                <w:rFonts w:hint="eastAsia" w:ascii="宋体" w:hAnsi="宋体" w:eastAsia="宋体" w:cs="宋体"/>
                <w:color w:val="auto"/>
                <w:szCs w:val="21"/>
                <w:highlight w:val="none"/>
                <w:u w:val="single"/>
              </w:rPr>
              <w:t>“建设工程-项目查询（日程安排、答疑纪要）”</w:t>
            </w:r>
            <w:r>
              <w:rPr>
                <w:rFonts w:hint="eastAsia" w:ascii="宋体" w:hAnsi="宋体" w:eastAsia="宋体" w:cs="宋体"/>
                <w:color w:val="auto"/>
                <w:szCs w:val="21"/>
                <w:highlight w:val="none"/>
              </w:rPr>
              <w:t>专区发布。答疑纪要一经在广州交易集团有限公司（广州公共资源交易中心）交易平台发布，视作已发放给所有投标人。</w:t>
            </w:r>
          </w:p>
        </w:tc>
      </w:tr>
      <w:tr w14:paraId="0E02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61" w:type="pct"/>
            <w:vAlign w:val="center"/>
          </w:tcPr>
          <w:p w14:paraId="2E08B766">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2.3</w:t>
            </w:r>
          </w:p>
        </w:tc>
        <w:tc>
          <w:tcPr>
            <w:tcW w:w="1285" w:type="pct"/>
            <w:vAlign w:val="center"/>
          </w:tcPr>
          <w:p w14:paraId="7B32A87E">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招标文件澄清和修改</w:t>
            </w:r>
          </w:p>
        </w:tc>
        <w:tc>
          <w:tcPr>
            <w:tcW w:w="2954" w:type="pct"/>
            <w:vAlign w:val="center"/>
          </w:tcPr>
          <w:p w14:paraId="381881C1">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招标文件的修改期限：在投标截止日期前</w:t>
            </w:r>
            <w:r>
              <w:rPr>
                <w:rFonts w:hint="eastAsia" w:ascii="宋体" w:hAnsi="宋体" w:eastAsia="宋体" w:cs="宋体"/>
                <w:color w:val="auto"/>
                <w:szCs w:val="21"/>
                <w:highlight w:val="none"/>
                <w:u w:val="single"/>
              </w:rPr>
              <w:t xml:space="preserve"> 15 </w:t>
            </w:r>
            <w:r>
              <w:rPr>
                <w:rFonts w:hint="eastAsia" w:ascii="宋体" w:hAnsi="宋体" w:eastAsia="宋体" w:cs="宋体"/>
                <w:color w:val="auto"/>
                <w:szCs w:val="21"/>
                <w:highlight w:val="none"/>
              </w:rPr>
              <w:t>日；</w:t>
            </w:r>
          </w:p>
        </w:tc>
      </w:tr>
      <w:tr w14:paraId="10C8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1" w:type="pct"/>
            <w:vAlign w:val="center"/>
          </w:tcPr>
          <w:p w14:paraId="6C22C4E0">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1285" w:type="pct"/>
            <w:vAlign w:val="center"/>
          </w:tcPr>
          <w:p w14:paraId="6585A2A8">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投标文件的组成</w:t>
            </w:r>
          </w:p>
        </w:tc>
        <w:tc>
          <w:tcPr>
            <w:tcW w:w="2954" w:type="pct"/>
            <w:vAlign w:val="center"/>
          </w:tcPr>
          <w:p w14:paraId="24FAB484">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采用综合评估法一：投标文件由资格审查文件、商务文件和技术文件组成。</w:t>
            </w:r>
          </w:p>
        </w:tc>
      </w:tr>
      <w:tr w14:paraId="13D7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61" w:type="pct"/>
            <w:vAlign w:val="center"/>
          </w:tcPr>
          <w:p w14:paraId="6644220F">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3.2.3</w:t>
            </w:r>
          </w:p>
        </w:tc>
        <w:tc>
          <w:tcPr>
            <w:tcW w:w="1285" w:type="pct"/>
            <w:vAlign w:val="center"/>
          </w:tcPr>
          <w:p w14:paraId="78B43CF2">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最高投标限价</w:t>
            </w:r>
          </w:p>
        </w:tc>
        <w:tc>
          <w:tcPr>
            <w:tcW w:w="2954" w:type="pct"/>
            <w:vAlign w:val="center"/>
          </w:tcPr>
          <w:p w14:paraId="29B69F8E">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szCs w:val="21"/>
                <w:highlight w:val="none"/>
              </w:rPr>
              <w:t>本工程最高投标限价为：</w:t>
            </w:r>
            <w:r>
              <w:rPr>
                <w:rFonts w:hint="eastAsia" w:ascii="宋体" w:hAnsi="宋体" w:cs="宋体"/>
                <w:color w:val="auto"/>
                <w:szCs w:val="21"/>
                <w:highlight w:val="none"/>
                <w:u w:val="single"/>
                <w:lang w:val="en-US" w:eastAsia="zh-CN"/>
              </w:rPr>
              <w:t xml:space="preserve"> 8609697.34</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highlight w:val="none"/>
                <w:u w:val="single"/>
              </w:rPr>
              <w:t>元</w:t>
            </w:r>
            <w:r>
              <w:rPr>
                <w:rFonts w:hint="eastAsia" w:ascii="宋体" w:hAnsi="宋体" w:eastAsia="宋体" w:cs="宋体"/>
                <w:color w:val="auto"/>
                <w:highlight w:val="none"/>
              </w:rPr>
              <w:t>。</w:t>
            </w:r>
          </w:p>
          <w:p w14:paraId="1FA74FC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本工程投标总价应包含绿色施工安全防护措施费、暂列金额等非竞争性费用。本工程非竞争性费用总额为：</w:t>
            </w:r>
            <w:r>
              <w:rPr>
                <w:rFonts w:hint="eastAsia" w:ascii="宋体" w:hAnsi="宋体" w:cs="宋体"/>
                <w:color w:val="auto"/>
                <w:szCs w:val="21"/>
                <w:highlight w:val="none"/>
                <w:u w:val="single"/>
                <w:lang w:val="en-US" w:eastAsia="zh-CN"/>
              </w:rPr>
              <w:t xml:space="preserve"> 446347.67 </w:t>
            </w:r>
            <w:r>
              <w:rPr>
                <w:rFonts w:hint="eastAsia" w:ascii="宋体" w:hAnsi="宋体" w:eastAsia="宋体" w:cs="宋体"/>
                <w:color w:val="auto"/>
                <w:szCs w:val="21"/>
                <w:highlight w:val="none"/>
              </w:rPr>
              <w:t>元，其中绿色施工安全防护措施费：</w:t>
            </w:r>
            <w:r>
              <w:rPr>
                <w:rFonts w:hint="eastAsia" w:ascii="宋体" w:hAnsi="宋体" w:cs="宋体"/>
                <w:color w:val="auto"/>
                <w:szCs w:val="21"/>
                <w:highlight w:val="none"/>
                <w:u w:val="single"/>
                <w:lang w:val="en-US" w:eastAsia="zh-CN"/>
              </w:rPr>
              <w:t xml:space="preserve"> 75244.74  </w:t>
            </w:r>
            <w:r>
              <w:rPr>
                <w:rFonts w:hint="eastAsia" w:ascii="宋体" w:hAnsi="宋体" w:eastAsia="宋体" w:cs="宋体"/>
                <w:color w:val="auto"/>
                <w:szCs w:val="21"/>
                <w:highlight w:val="none"/>
              </w:rPr>
              <w:t>元，暂列金额为：</w:t>
            </w:r>
            <w:r>
              <w:rPr>
                <w:rFonts w:hint="eastAsia" w:ascii="宋体" w:hAnsi="宋体" w:cs="宋体"/>
                <w:color w:val="auto"/>
                <w:szCs w:val="21"/>
                <w:highlight w:val="none"/>
                <w:u w:val="single"/>
                <w:lang w:val="en-US" w:eastAsia="zh-CN"/>
              </w:rPr>
              <w:t xml:space="preserve"> 371102.93 </w:t>
            </w:r>
            <w:r>
              <w:rPr>
                <w:rFonts w:hint="eastAsia" w:ascii="宋体" w:hAnsi="宋体" w:eastAsia="宋体" w:cs="宋体"/>
                <w:color w:val="auto"/>
                <w:szCs w:val="21"/>
                <w:highlight w:val="none"/>
              </w:rPr>
              <w:t>元，其他详见招标控制价公布函。</w:t>
            </w:r>
            <w:r>
              <w:rPr>
                <w:rFonts w:hint="eastAsia" w:ascii="宋体" w:hAnsi="宋体" w:eastAsia="宋体" w:cs="宋体"/>
                <w:b/>
                <w:color w:val="auto"/>
                <w:szCs w:val="21"/>
                <w:highlight w:val="none"/>
                <w:u w:val="single"/>
              </w:rPr>
              <w:t>投标人的投标总报价高于最高投标限价或投标人综合单价报价高于综合单价最高投标限价，则其投标将被拒绝（具体详见最高投标限价公布函）。非竞争性费用不按招标人给定金额填报的，投标报价无效。</w:t>
            </w:r>
          </w:p>
        </w:tc>
      </w:tr>
      <w:tr w14:paraId="2BB1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61" w:type="pct"/>
            <w:vAlign w:val="center"/>
          </w:tcPr>
          <w:p w14:paraId="1EF3E051">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3.2.4</w:t>
            </w:r>
          </w:p>
        </w:tc>
        <w:tc>
          <w:tcPr>
            <w:tcW w:w="1285" w:type="pct"/>
            <w:vAlign w:val="center"/>
          </w:tcPr>
          <w:p w14:paraId="78F4598A">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成本警示价</w:t>
            </w:r>
          </w:p>
        </w:tc>
        <w:tc>
          <w:tcPr>
            <w:tcW w:w="2954" w:type="pct"/>
            <w:vAlign w:val="center"/>
          </w:tcPr>
          <w:p w14:paraId="010C6325">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szCs w:val="21"/>
                <w:highlight w:val="none"/>
              </w:rPr>
              <w:t>成本警示价为：</w:t>
            </w:r>
            <w:r>
              <w:rPr>
                <w:rFonts w:hint="eastAsia" w:ascii="宋体" w:hAnsi="宋体" w:cs="宋体"/>
                <w:color w:val="auto"/>
                <w:szCs w:val="21"/>
                <w:highlight w:val="none"/>
                <w:u w:val="single"/>
                <w:lang w:val="en-US" w:eastAsia="zh-CN"/>
              </w:rPr>
              <w:t xml:space="preserve"> 7263127.04 </w:t>
            </w:r>
            <w:r>
              <w:rPr>
                <w:rFonts w:hint="eastAsia" w:ascii="宋体" w:hAnsi="宋体" w:eastAsia="宋体" w:cs="宋体"/>
                <w:color w:val="auto"/>
                <w:szCs w:val="21"/>
                <w:highlight w:val="none"/>
                <w:u w:val="single"/>
              </w:rPr>
              <w:t>元。</w:t>
            </w:r>
          </w:p>
          <w:p w14:paraId="4A80F9E2">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（按照最高投标限价的</w:t>
            </w:r>
            <w:r>
              <w:rPr>
                <w:rFonts w:hint="eastAsia" w:ascii="宋体" w:hAnsi="宋体" w:cs="宋体"/>
                <w:color w:val="auto"/>
                <w:szCs w:val="21"/>
                <w:highlight w:val="none"/>
                <w:u w:val="single"/>
                <w:lang w:val="en-US" w:eastAsia="zh-CN"/>
              </w:rPr>
              <w:t xml:space="preserve"> 84.36 </w:t>
            </w:r>
            <w:r>
              <w:rPr>
                <w:rFonts w:hint="eastAsia" w:ascii="宋体" w:hAnsi="宋体" w:eastAsia="宋体" w:cs="宋体"/>
                <w:color w:val="auto"/>
                <w:szCs w:val="21"/>
                <w:highlight w:val="none"/>
                <w:u w:val="single"/>
                <w:lang w:val="en-US" w:eastAsia="zh-CN"/>
              </w:rPr>
              <w:t>%</w:t>
            </w:r>
            <w:r>
              <w:rPr>
                <w:rFonts w:hint="eastAsia" w:ascii="宋体" w:hAnsi="宋体" w:eastAsia="宋体" w:cs="宋体"/>
                <w:color w:val="auto"/>
                <w:szCs w:val="21"/>
                <w:highlight w:val="none"/>
                <w:u w:val="single"/>
              </w:rPr>
              <w:t>设置为成本警示价）</w:t>
            </w:r>
          </w:p>
        </w:tc>
      </w:tr>
      <w:tr w14:paraId="69E5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61" w:type="pct"/>
            <w:vAlign w:val="center"/>
          </w:tcPr>
          <w:p w14:paraId="67818401">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71" w:name="_Toc221950062"/>
            <w:r>
              <w:rPr>
                <w:rFonts w:hint="eastAsia" w:ascii="宋体" w:hAnsi="宋体" w:eastAsia="宋体" w:cs="宋体"/>
                <w:color w:val="auto"/>
                <w:szCs w:val="21"/>
                <w:highlight w:val="none"/>
              </w:rPr>
              <w:t>3.3.1</w:t>
            </w:r>
            <w:bookmarkEnd w:id="71"/>
          </w:p>
        </w:tc>
        <w:tc>
          <w:tcPr>
            <w:tcW w:w="1285" w:type="pct"/>
            <w:vAlign w:val="center"/>
          </w:tcPr>
          <w:p w14:paraId="7B515C99">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2954" w:type="pct"/>
            <w:vAlign w:val="center"/>
          </w:tcPr>
          <w:p w14:paraId="049E83EA">
            <w:pPr>
              <w:pStyle w:val="16"/>
              <w:keepNext w:val="0"/>
              <w:keepLines w:val="0"/>
              <w:suppressLineNumbers w:val="0"/>
              <w:topLinePunct/>
              <w:adjustRightInd w:val="0"/>
              <w:snapToGrid w:val="0"/>
              <w:spacing w:before="120" w:beforeLines="50" w:beforeAutospacing="0" w:after="0" w:afterAutospacing="0" w:line="360" w:lineRule="auto"/>
              <w:ind w:left="0" w:right="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90日历天（从投标截止之日计起）</w:t>
            </w:r>
          </w:p>
        </w:tc>
      </w:tr>
      <w:tr w14:paraId="72BD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4B039C28">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72" w:name="_Toc221950064"/>
            <w:r>
              <w:rPr>
                <w:rFonts w:hint="eastAsia" w:ascii="宋体" w:hAnsi="宋体" w:eastAsia="宋体" w:cs="宋体"/>
                <w:color w:val="auto"/>
                <w:szCs w:val="21"/>
                <w:highlight w:val="none"/>
              </w:rPr>
              <w:t>3.4</w:t>
            </w:r>
            <w:bookmarkEnd w:id="72"/>
          </w:p>
        </w:tc>
        <w:tc>
          <w:tcPr>
            <w:tcW w:w="1285" w:type="pct"/>
            <w:vAlign w:val="center"/>
          </w:tcPr>
          <w:p w14:paraId="56197D70">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73" w:name="_Toc221950065"/>
            <w:r>
              <w:rPr>
                <w:rFonts w:hint="eastAsia" w:ascii="宋体" w:hAnsi="宋体" w:eastAsia="宋体" w:cs="宋体"/>
                <w:color w:val="auto"/>
                <w:szCs w:val="21"/>
                <w:highlight w:val="none"/>
              </w:rPr>
              <w:t>投标保证金</w:t>
            </w:r>
            <w:bookmarkEnd w:id="73"/>
          </w:p>
        </w:tc>
        <w:tc>
          <w:tcPr>
            <w:tcW w:w="2954" w:type="pct"/>
            <w:vAlign w:val="center"/>
          </w:tcPr>
          <w:p w14:paraId="26F588E7">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是否要求投标人递交投标保证金：</w:t>
            </w:r>
          </w:p>
          <w:p w14:paraId="631E9A12">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■要求，可按以下方式递交：</w:t>
            </w:r>
          </w:p>
          <w:p w14:paraId="0F3F0AAE">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投标保证金：</w:t>
            </w:r>
            <w:r>
              <w:rPr>
                <w:rFonts w:hint="eastAsia" w:ascii="宋体" w:hAnsi="宋体" w:cs="宋体"/>
                <w:color w:val="auto"/>
                <w:szCs w:val="21"/>
                <w:highlight w:val="none"/>
                <w:u w:val="single"/>
                <w:lang w:val="en-US" w:eastAsia="zh-CN"/>
              </w:rPr>
              <w:t xml:space="preserve"> 10 </w:t>
            </w:r>
            <w:r>
              <w:rPr>
                <w:rFonts w:hint="eastAsia" w:ascii="宋体" w:hAnsi="宋体" w:eastAsia="宋体" w:cs="宋体"/>
                <w:color w:val="auto"/>
                <w:szCs w:val="21"/>
                <w:highlight w:val="none"/>
                <w:u w:val="single"/>
              </w:rPr>
              <w:t>万元人民币。</w:t>
            </w:r>
          </w:p>
          <w:p w14:paraId="1D88F4C7">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1、缴纳时间：在投标截止前。</w:t>
            </w:r>
          </w:p>
          <w:p w14:paraId="2EC2EA13">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2、投标保证金有效期：与投标有效期一致。</w:t>
            </w:r>
          </w:p>
          <w:p w14:paraId="0A36BEA2">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3、投标保证金的形式：投标保证金可采用现金、支票、转账、投标保证保险、投标保函（银行或专业担保公司出具）等形式，须在递交投标文件截止时间前完成缴纳。</w:t>
            </w:r>
          </w:p>
          <w:p w14:paraId="3268EF28">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4、递交方式：</w:t>
            </w:r>
          </w:p>
          <w:p w14:paraId="66344C1F">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如采用现金或者转账或者支票形式提交的由广州交易集团有限公司（广州公共资源交易中心）代收。缴纳情况以开标时广州交易集团有限公司（广州公共资源交易中心）网站查询为准。具体操作流程详见广州交易集团有限公司（广州公共资源交易中心）最新的投标保证金缴纳操作指引或自行咨询交易中心。</w:t>
            </w:r>
          </w:p>
          <w:p w14:paraId="22E7F4BC">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采用投标保证保险、投标保函（银行或专业担保公司出具）形式提交投标保证金的，投标保证保险、投标保函（银行或专业担保公司出具）须开具给招标人（保险受益人须为招标人）。开标前可不提交纸质原件，但投标人应在投标文件中提交投标保证保险、投标保函（银行或专业担保公司出具）的扫描件并加盖投标人电子印章，完成评标后，由中标候选人在中标候选人公示前向招标代理单位提交纸质原件并在网上公示。如投标人选择在开标前提交纸质原件的，可在递交投标文件备用光盘的同时单独密封递交至开标室。</w:t>
            </w:r>
          </w:p>
          <w:p w14:paraId="61E833D4">
            <w:pPr>
              <w:keepNext w:val="0"/>
              <w:keepLines w:val="0"/>
              <w:suppressLineNumbers w:val="0"/>
              <w:adjustRightInd w:val="0"/>
              <w:snapToGrid w:val="0"/>
              <w:spacing w:before="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采用电子保函形式递交投标保证金，按广州交易集团有限公司（广州公共资源交易中心）发布的《广州交易集团有限公司（广州公共资源交易中心）关于开通电子保函服务功能的通知》（详见：http://ggzy.gz.gov.cn/zxgg/822128.jhtml）和《广州交易集团有限公司（广州公共资源交易中心）关于进一步完善电子保函服务功能的通知》（详见：http://ggzy.gz.gov.cn/jtgg/842436.jhtml）操作。到账情况以开标时广州交易集团有限公司（广州公共资源交易中心）数据库查询信息为准。</w:t>
            </w:r>
          </w:p>
          <w:p w14:paraId="3A638FD0">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□不要求</w:t>
            </w:r>
          </w:p>
        </w:tc>
      </w:tr>
      <w:tr w14:paraId="5CC6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61" w:type="pct"/>
            <w:vAlign w:val="center"/>
          </w:tcPr>
          <w:p w14:paraId="26A60FC2">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3.6.3</w:t>
            </w:r>
          </w:p>
        </w:tc>
        <w:tc>
          <w:tcPr>
            <w:tcW w:w="1285" w:type="pct"/>
            <w:vAlign w:val="center"/>
          </w:tcPr>
          <w:p w14:paraId="358BC90A">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签字或盖章要求</w:t>
            </w:r>
          </w:p>
        </w:tc>
        <w:tc>
          <w:tcPr>
            <w:tcW w:w="2954" w:type="pct"/>
            <w:vAlign w:val="center"/>
          </w:tcPr>
          <w:p w14:paraId="6F3A80E1">
            <w:pPr>
              <w:pStyle w:val="16"/>
              <w:keepNext w:val="0"/>
              <w:keepLines w:val="0"/>
              <w:suppressLineNumbers w:val="0"/>
              <w:topLinePunct/>
              <w:adjustRightInd w:val="0"/>
              <w:snapToGrid w:val="0"/>
              <w:spacing w:before="120" w:beforeLines="50" w:beforeAutospacing="0" w:after="0" w:afterAutospacing="0" w:line="360"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投标文件格式规定盖单位章的页面必须盖单位章，规定法定代表人或授权委托人、项目负责人和技术负责人签字的页面必须签字。签字必须由本人在规定页面手写签名</w:t>
            </w:r>
            <w:r>
              <w:rPr>
                <w:rFonts w:hint="eastAsia" w:ascii="宋体" w:hAnsi="宋体" w:eastAsia="宋体" w:cs="宋体"/>
                <w:color w:val="auto"/>
                <w:sz w:val="21"/>
                <w:szCs w:val="21"/>
                <w:highlight w:val="none"/>
              </w:rPr>
              <w:t>或签章</w:t>
            </w:r>
            <w:r>
              <w:rPr>
                <w:rFonts w:hint="eastAsia" w:ascii="宋体" w:hAnsi="宋体" w:eastAsia="宋体" w:cs="宋体"/>
                <w:color w:val="auto"/>
                <w:kern w:val="2"/>
                <w:sz w:val="21"/>
                <w:szCs w:val="21"/>
                <w:highlight w:val="none"/>
              </w:rPr>
              <w:t>后扫描上传。</w:t>
            </w:r>
          </w:p>
        </w:tc>
      </w:tr>
      <w:tr w14:paraId="78B1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7DDB6CAB">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4.1.1</w:t>
            </w:r>
          </w:p>
        </w:tc>
        <w:tc>
          <w:tcPr>
            <w:tcW w:w="1285" w:type="pct"/>
            <w:vAlign w:val="center"/>
          </w:tcPr>
          <w:p w14:paraId="591597CE">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投标文件份数</w:t>
            </w:r>
          </w:p>
        </w:tc>
        <w:tc>
          <w:tcPr>
            <w:tcW w:w="2954" w:type="pct"/>
            <w:vAlign w:val="center"/>
          </w:tcPr>
          <w:p w14:paraId="0F8AAFE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投标文件为含电子签章的加密电子投标文件1套。</w:t>
            </w:r>
          </w:p>
          <w:p w14:paraId="7ADEAC15">
            <w:pPr>
              <w:pStyle w:val="39"/>
              <w:keepNext w:val="0"/>
              <w:keepLines w:val="0"/>
              <w:suppressLineNumbers w:val="0"/>
              <w:adjustRightInd w:val="0"/>
              <w:snapToGrid w:val="0"/>
              <w:spacing w:before="50" w:beforeAutospacing="0" w:after="0" w:afterAutospacing="0" w:line="360" w:lineRule="auto"/>
              <w:ind w:left="0" w:leftChars="0" w:right="0" w:firstLine="0" w:firstLineChars="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中标人中标后须提供：①与电子投标文件一致的纸质版一正一副；②电子投标文件（PDF格式）两份（光盘或U盘）。</w:t>
            </w:r>
          </w:p>
        </w:tc>
      </w:tr>
      <w:tr w14:paraId="70D9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31C7CE61">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74" w:name="_Toc221950069"/>
            <w:r>
              <w:rPr>
                <w:rFonts w:hint="eastAsia" w:ascii="宋体" w:hAnsi="宋体" w:eastAsia="宋体" w:cs="宋体"/>
                <w:color w:val="auto"/>
                <w:szCs w:val="21"/>
                <w:highlight w:val="none"/>
              </w:rPr>
              <w:t>4.2.</w:t>
            </w:r>
            <w:bookmarkEnd w:id="74"/>
            <w:r>
              <w:rPr>
                <w:rFonts w:hint="eastAsia" w:ascii="宋体" w:hAnsi="宋体" w:eastAsia="宋体" w:cs="宋体"/>
                <w:color w:val="auto"/>
                <w:szCs w:val="21"/>
                <w:highlight w:val="none"/>
              </w:rPr>
              <w:t>1</w:t>
            </w:r>
          </w:p>
        </w:tc>
        <w:tc>
          <w:tcPr>
            <w:tcW w:w="1285" w:type="pct"/>
            <w:vAlign w:val="center"/>
          </w:tcPr>
          <w:p w14:paraId="378F9231">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投标文件的递交时间和地点</w:t>
            </w:r>
          </w:p>
        </w:tc>
        <w:tc>
          <w:tcPr>
            <w:tcW w:w="2954" w:type="pct"/>
            <w:vAlign w:val="center"/>
          </w:tcPr>
          <w:p w14:paraId="1A3A3A3E">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1、递交方式：网上递交投标文件</w:t>
            </w:r>
          </w:p>
          <w:p w14:paraId="2FA6B12F">
            <w:pPr>
              <w:keepNext w:val="0"/>
              <w:keepLines w:val="0"/>
              <w:suppressLineNumbers w:val="0"/>
              <w:adjustRightInd w:val="0"/>
              <w:snapToGrid w:val="0"/>
              <w:spacing w:before="120" w:beforeLines="50" w:beforeAutospacing="0" w:after="0" w:afterAutospacing="0" w:line="360" w:lineRule="auto"/>
              <w:ind w:left="210" w:right="0" w:hanging="210" w:hanging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2、文件的递交截止时间：</w:t>
            </w:r>
            <w:bookmarkStart w:id="75" w:name="OLE_LINK1"/>
            <w:r>
              <w:rPr>
                <w:rFonts w:hint="eastAsia" w:ascii="宋体" w:hAnsi="宋体" w:eastAsia="宋体" w:cs="宋体"/>
                <w:color w:val="auto"/>
                <w:szCs w:val="21"/>
                <w:highlight w:val="none"/>
              </w:rPr>
              <w:t>2024年</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rPr>
              <w:t>日</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时</w:t>
            </w:r>
            <w:r>
              <w:rPr>
                <w:rFonts w:hint="eastAsia" w:ascii="宋体" w:hAnsi="宋体" w:cs="宋体"/>
                <w:color w:val="auto"/>
                <w:szCs w:val="21"/>
                <w:highlight w:val="none"/>
                <w:lang w:val="en-US" w:eastAsia="zh-CN"/>
              </w:rPr>
              <w:t>00</w:t>
            </w:r>
            <w:r>
              <w:rPr>
                <w:rFonts w:hint="eastAsia" w:ascii="宋体" w:hAnsi="宋体" w:eastAsia="宋体" w:cs="宋体"/>
                <w:color w:val="auto"/>
                <w:szCs w:val="21"/>
                <w:highlight w:val="none"/>
              </w:rPr>
              <w:t>分</w:t>
            </w:r>
            <w:bookmarkEnd w:id="75"/>
            <w:r>
              <w:rPr>
                <w:rFonts w:hint="eastAsia" w:ascii="宋体" w:hAnsi="宋体" w:eastAsia="宋体" w:cs="宋体"/>
                <w:color w:val="auto"/>
                <w:szCs w:val="21"/>
                <w:highlight w:val="none"/>
              </w:rPr>
              <w:t>。</w:t>
            </w:r>
          </w:p>
          <w:p w14:paraId="6CFA3DF2">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3、上述时间是否有改变，请密切留意招标答疑纪要的相关信息。</w:t>
            </w:r>
          </w:p>
        </w:tc>
      </w:tr>
      <w:tr w14:paraId="593C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61" w:type="pct"/>
            <w:vAlign w:val="center"/>
          </w:tcPr>
          <w:p w14:paraId="43686516">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4.7</w:t>
            </w:r>
          </w:p>
        </w:tc>
        <w:tc>
          <w:tcPr>
            <w:tcW w:w="1285" w:type="pct"/>
            <w:vAlign w:val="center"/>
          </w:tcPr>
          <w:p w14:paraId="4520FD17">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投标文件的解密</w:t>
            </w:r>
          </w:p>
        </w:tc>
        <w:tc>
          <w:tcPr>
            <w:tcW w:w="2954" w:type="pct"/>
            <w:vAlign w:val="center"/>
          </w:tcPr>
          <w:p w14:paraId="4E9B045F">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在投标截止时间后</w:t>
            </w:r>
            <w:r>
              <w:rPr>
                <w:rFonts w:hint="eastAsia" w:ascii="宋体" w:hAnsi="宋体" w:eastAsia="宋体" w:cs="宋体"/>
                <w:b/>
                <w:color w:val="auto"/>
                <w:szCs w:val="21"/>
                <w:highlight w:val="none"/>
                <w:u w:val="single"/>
              </w:rPr>
              <w:t xml:space="preserve"> 60 </w:t>
            </w:r>
            <w:r>
              <w:rPr>
                <w:rFonts w:hint="eastAsia" w:ascii="宋体" w:hAnsi="宋体" w:eastAsia="宋体" w:cs="宋体"/>
                <w:b/>
                <w:color w:val="auto"/>
                <w:szCs w:val="21"/>
                <w:highlight w:val="none"/>
              </w:rPr>
              <w:t>分钟内为投标人投标文件解密时间</w:t>
            </w:r>
            <w:r>
              <w:rPr>
                <w:rFonts w:hint="eastAsia" w:ascii="宋体" w:hAnsi="宋体" w:eastAsia="宋体" w:cs="宋体"/>
                <w:color w:val="auto"/>
                <w:szCs w:val="21"/>
                <w:highlight w:val="none"/>
              </w:rPr>
              <w:t>，投标人通过广州公共资源交易平台对已递交的电子投标文件进行解密。</w:t>
            </w:r>
          </w:p>
        </w:tc>
      </w:tr>
      <w:tr w14:paraId="059D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761" w:type="pct"/>
            <w:vAlign w:val="center"/>
          </w:tcPr>
          <w:p w14:paraId="4BF662F3">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76" w:name="_Toc221950071"/>
            <w:r>
              <w:rPr>
                <w:rFonts w:hint="eastAsia" w:ascii="宋体" w:hAnsi="宋体" w:eastAsia="宋体" w:cs="宋体"/>
                <w:color w:val="auto"/>
                <w:szCs w:val="21"/>
                <w:highlight w:val="none"/>
              </w:rPr>
              <w:t>5.1</w:t>
            </w:r>
            <w:bookmarkEnd w:id="76"/>
          </w:p>
        </w:tc>
        <w:tc>
          <w:tcPr>
            <w:tcW w:w="1285" w:type="pct"/>
            <w:vAlign w:val="center"/>
          </w:tcPr>
          <w:p w14:paraId="1EF2A17F">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77" w:name="_Toc221950072"/>
            <w:r>
              <w:rPr>
                <w:rFonts w:hint="eastAsia" w:ascii="宋体" w:hAnsi="宋体" w:eastAsia="宋体" w:cs="宋体"/>
                <w:color w:val="auto"/>
                <w:szCs w:val="21"/>
                <w:highlight w:val="none"/>
              </w:rPr>
              <w:t>开标时间和地点</w:t>
            </w:r>
            <w:bookmarkEnd w:id="77"/>
          </w:p>
        </w:tc>
        <w:tc>
          <w:tcPr>
            <w:tcW w:w="2954" w:type="pct"/>
            <w:vAlign w:val="center"/>
          </w:tcPr>
          <w:p w14:paraId="673A36B8">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1、开标开始时间：2024年</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rPr>
              <w:t>日</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时</w:t>
            </w:r>
            <w:r>
              <w:rPr>
                <w:rFonts w:hint="eastAsia" w:ascii="宋体" w:hAnsi="宋体" w:cs="宋体"/>
                <w:color w:val="auto"/>
                <w:szCs w:val="21"/>
                <w:highlight w:val="none"/>
                <w:lang w:val="en-US" w:eastAsia="zh-CN"/>
              </w:rPr>
              <w:t>00</w:t>
            </w:r>
            <w:r>
              <w:rPr>
                <w:rFonts w:hint="eastAsia" w:ascii="宋体" w:hAnsi="宋体" w:eastAsia="宋体" w:cs="宋体"/>
                <w:color w:val="auto"/>
                <w:szCs w:val="21"/>
                <w:highlight w:val="none"/>
              </w:rPr>
              <w:t>分</w:t>
            </w:r>
          </w:p>
          <w:p w14:paraId="466C7842">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2、地点：广州交易集团有限公司（广州公共资源交易中心）指定开标室。投标人也可选择参加在线开标，具体按照交易平台相关指南进行操作。</w:t>
            </w:r>
          </w:p>
          <w:p w14:paraId="09243236">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3、上述时间及地点是否有改变，请密切留意招标答疑纪要的相关信息。</w:t>
            </w:r>
          </w:p>
        </w:tc>
      </w:tr>
      <w:tr w14:paraId="70D9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61" w:type="pct"/>
            <w:vAlign w:val="center"/>
          </w:tcPr>
          <w:p w14:paraId="0941EE67">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1285" w:type="pct"/>
            <w:vAlign w:val="center"/>
          </w:tcPr>
          <w:p w14:paraId="22A0BC81">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开标评标办法</w:t>
            </w:r>
          </w:p>
        </w:tc>
        <w:tc>
          <w:tcPr>
            <w:tcW w:w="2954" w:type="pct"/>
            <w:vAlign w:val="center"/>
          </w:tcPr>
          <w:p w14:paraId="063C63E3">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■综合评估法一</w:t>
            </w:r>
          </w:p>
          <w:p w14:paraId="249C283B">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□综合评估法二（以前叫：平均值法（一））</w:t>
            </w:r>
          </w:p>
          <w:p w14:paraId="1C814D8B">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□综合评估法三（以前叫：平均值法（二））</w:t>
            </w:r>
          </w:p>
          <w:p w14:paraId="71FC763C">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□经评审的最低投标价法</w:t>
            </w:r>
          </w:p>
        </w:tc>
      </w:tr>
      <w:tr w14:paraId="1C3D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61" w:type="pct"/>
            <w:vAlign w:val="center"/>
          </w:tcPr>
          <w:p w14:paraId="400582E4">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78" w:name="_Toc221950075"/>
            <w:r>
              <w:rPr>
                <w:rFonts w:hint="eastAsia" w:ascii="宋体" w:hAnsi="宋体" w:eastAsia="宋体" w:cs="宋体"/>
                <w:color w:val="auto"/>
                <w:szCs w:val="21"/>
                <w:highlight w:val="none"/>
              </w:rPr>
              <w:t>6.1.1</w:t>
            </w:r>
            <w:bookmarkEnd w:id="78"/>
          </w:p>
        </w:tc>
        <w:tc>
          <w:tcPr>
            <w:tcW w:w="1285" w:type="pct"/>
            <w:vAlign w:val="center"/>
          </w:tcPr>
          <w:p w14:paraId="0B42E8B8">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79" w:name="_Toc221950076"/>
            <w:r>
              <w:rPr>
                <w:rFonts w:hint="eastAsia" w:ascii="宋体" w:hAnsi="宋体" w:eastAsia="宋体" w:cs="宋体"/>
                <w:color w:val="auto"/>
                <w:szCs w:val="21"/>
                <w:highlight w:val="none"/>
              </w:rPr>
              <w:t>评标委员会的组建</w:t>
            </w:r>
            <w:bookmarkEnd w:id="79"/>
          </w:p>
        </w:tc>
        <w:tc>
          <w:tcPr>
            <w:tcW w:w="2954" w:type="pct"/>
            <w:vAlign w:val="center"/>
          </w:tcPr>
          <w:p w14:paraId="76657625">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评标委员会构成： </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rPr>
              <w:t>人，其中招标人代表</w:t>
            </w:r>
            <w:r>
              <w:rPr>
                <w:rFonts w:hint="eastAsia" w:ascii="宋体" w:hAnsi="宋体" w:eastAsia="宋体" w:cs="宋体"/>
                <w:color w:val="auto"/>
                <w:szCs w:val="21"/>
                <w:highlight w:val="none"/>
                <w:u w:val="single"/>
              </w:rPr>
              <w:t xml:space="preserve"> 0 </w:t>
            </w:r>
            <w:r>
              <w:rPr>
                <w:rFonts w:hint="eastAsia" w:ascii="宋体" w:hAnsi="宋体" w:eastAsia="宋体" w:cs="宋体"/>
                <w:color w:val="auto"/>
                <w:szCs w:val="21"/>
                <w:highlight w:val="none"/>
              </w:rPr>
              <w:t>人，专家</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rPr>
              <w:t>人；评标专家确定方式：</w:t>
            </w:r>
            <w:r>
              <w:rPr>
                <w:rFonts w:hint="eastAsia" w:ascii="宋体" w:hAnsi="宋体" w:eastAsia="宋体" w:cs="宋体"/>
                <w:color w:val="auto"/>
                <w:szCs w:val="21"/>
                <w:highlight w:val="none"/>
                <w:u w:val="single"/>
              </w:rPr>
              <w:t>从广东省综合评标评审专家库随机抽取</w:t>
            </w:r>
            <w:r>
              <w:rPr>
                <w:rFonts w:hint="eastAsia" w:ascii="宋体" w:hAnsi="宋体" w:eastAsia="宋体" w:cs="宋体"/>
                <w:color w:val="auto"/>
                <w:szCs w:val="21"/>
                <w:highlight w:val="none"/>
              </w:rPr>
              <w:t>。</w:t>
            </w:r>
          </w:p>
        </w:tc>
      </w:tr>
      <w:tr w14:paraId="0511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761" w:type="pct"/>
            <w:vAlign w:val="center"/>
          </w:tcPr>
          <w:p w14:paraId="3DD173C8">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7.2.1</w:t>
            </w:r>
          </w:p>
        </w:tc>
        <w:tc>
          <w:tcPr>
            <w:tcW w:w="1285" w:type="pct"/>
            <w:vAlign w:val="center"/>
          </w:tcPr>
          <w:p w14:paraId="7D67ABF2">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中标候选人公示媒介</w:t>
            </w:r>
          </w:p>
        </w:tc>
        <w:tc>
          <w:tcPr>
            <w:tcW w:w="2954" w:type="pct"/>
            <w:vAlign w:val="center"/>
          </w:tcPr>
          <w:p w14:paraId="33B5CFE3">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shd w:val="clear" w:color="auto" w:fill="FFFFFF"/>
              </w:rPr>
              <w:t>广州交易集团有限公司（广州公共资源交易中心）网站（网址：http://www.gzggzy.cn）、中国招投标服务平台（http://www.cebpubservice.com/）、广州国企阳光采购信息发布平台网站（http://ygcg.gzggzy.cn/）</w:t>
            </w:r>
          </w:p>
        </w:tc>
      </w:tr>
      <w:tr w14:paraId="6E00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61" w:type="pct"/>
            <w:vAlign w:val="center"/>
          </w:tcPr>
          <w:p w14:paraId="350A2DDD">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80" w:name="_Toc221950079"/>
            <w:r>
              <w:rPr>
                <w:rFonts w:hint="eastAsia" w:ascii="宋体" w:hAnsi="宋体" w:eastAsia="宋体" w:cs="宋体"/>
                <w:color w:val="auto"/>
                <w:szCs w:val="21"/>
                <w:highlight w:val="none"/>
              </w:rPr>
              <w:t>7.4.1</w:t>
            </w:r>
            <w:bookmarkEnd w:id="80"/>
          </w:p>
        </w:tc>
        <w:tc>
          <w:tcPr>
            <w:tcW w:w="1285" w:type="pct"/>
            <w:vAlign w:val="center"/>
          </w:tcPr>
          <w:p w14:paraId="0FF2C9B7">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bookmarkStart w:id="81" w:name="_Toc221950080"/>
            <w:r>
              <w:rPr>
                <w:rFonts w:hint="eastAsia" w:ascii="宋体" w:hAnsi="宋体" w:eastAsia="宋体" w:cs="宋体"/>
                <w:color w:val="auto"/>
                <w:szCs w:val="21"/>
                <w:highlight w:val="none"/>
              </w:rPr>
              <w:t>履约担保</w:t>
            </w:r>
            <w:bookmarkEnd w:id="81"/>
          </w:p>
        </w:tc>
        <w:tc>
          <w:tcPr>
            <w:tcW w:w="2954" w:type="pct"/>
            <w:vAlign w:val="center"/>
          </w:tcPr>
          <w:p w14:paraId="7CC44071">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履约保证金为中标价款的10%。</w:t>
            </w:r>
          </w:p>
        </w:tc>
      </w:tr>
      <w:tr w14:paraId="6503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1" w:type="pct"/>
            <w:vAlign w:val="center"/>
          </w:tcPr>
          <w:p w14:paraId="604E559C">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1285" w:type="pct"/>
            <w:vAlign w:val="center"/>
          </w:tcPr>
          <w:p w14:paraId="5F3FFF79">
            <w:pPr>
              <w:keepNext w:val="0"/>
              <w:keepLines w:val="0"/>
              <w:suppressLineNumbers w:val="0"/>
              <w:adjustRightInd w:val="0"/>
              <w:snapToGri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需要补充的其他内容</w:t>
            </w:r>
          </w:p>
        </w:tc>
        <w:tc>
          <w:tcPr>
            <w:tcW w:w="2954" w:type="pct"/>
            <w:vAlign w:val="center"/>
          </w:tcPr>
          <w:p w14:paraId="708F8D81">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77F8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61" w:type="pct"/>
            <w:vAlign w:val="center"/>
          </w:tcPr>
          <w:p w14:paraId="1F56952C">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w:t>
            </w:r>
          </w:p>
        </w:tc>
        <w:tc>
          <w:tcPr>
            <w:tcW w:w="1285" w:type="pct"/>
            <w:vAlign w:val="center"/>
          </w:tcPr>
          <w:p w14:paraId="6737E042">
            <w:pPr>
              <w:keepNext w:val="0"/>
              <w:keepLines w:val="0"/>
              <w:suppressLineNumbers w:val="0"/>
              <w:spacing w:before="0" w:beforeAutospacing="0" w:after="0" w:afterAutospacing="0" w:line="320" w:lineRule="exact"/>
              <w:ind w:left="0" w:right="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电子招标投标</w:t>
            </w:r>
          </w:p>
        </w:tc>
        <w:tc>
          <w:tcPr>
            <w:tcW w:w="2954" w:type="pct"/>
            <w:vAlign w:val="center"/>
          </w:tcPr>
          <w:p w14:paraId="123979AE">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□否</w:t>
            </w:r>
          </w:p>
          <w:p w14:paraId="737FC5A9">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w:t>
            </w:r>
          </w:p>
        </w:tc>
      </w:tr>
      <w:tr w14:paraId="6921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761" w:type="pct"/>
            <w:vAlign w:val="center"/>
          </w:tcPr>
          <w:p w14:paraId="7B2454E0">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10.2</w:t>
            </w:r>
          </w:p>
        </w:tc>
        <w:tc>
          <w:tcPr>
            <w:tcW w:w="1285" w:type="pct"/>
            <w:vAlign w:val="center"/>
          </w:tcPr>
          <w:p w14:paraId="2AAB8C24">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电子招标投标解密失败及突发情况的补救</w:t>
            </w:r>
          </w:p>
        </w:tc>
        <w:tc>
          <w:tcPr>
            <w:tcW w:w="2954" w:type="pct"/>
            <w:vAlign w:val="center"/>
          </w:tcPr>
          <w:p w14:paraId="751021F5">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1.按照交易平台关于全流程电子化项目的相关指南进行操作。详见：【专业工程】新数字交易平台操作指引（含交易系统、文件编制工具、开评标系统等）。</w:t>
            </w:r>
          </w:p>
          <w:p w14:paraId="79E44483">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2.提交投标文件光盘备用</w:t>
            </w:r>
          </w:p>
          <w:p w14:paraId="2B8EEFD0">
            <w:pPr>
              <w:keepNext w:val="0"/>
              <w:keepLines w:val="0"/>
              <w:widowControl/>
              <w:suppressLineNumbers w:val="0"/>
              <w:adjustRightInd w:val="0"/>
              <w:snapToGrid w:val="0"/>
              <w:spacing w:before="120" w:beforeLines="50" w:beforeAutospacing="0" w:after="0" w:afterAutospacing="0" w:line="360" w:lineRule="auto"/>
              <w:ind w:left="-2" w:right="0" w:firstLine="2"/>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投标人可制作非加密的电子投标文件（共1个光盘），在投标须知前附表第5.1项规定的时间、地点提交备用。刻录好的投标文件光盘分别密封在不透明的密封袋并作标记。</w:t>
            </w:r>
          </w:p>
          <w:p w14:paraId="445C89EF">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b/>
                <w:color w:val="auto"/>
                <w:szCs w:val="21"/>
                <w:highlight w:val="none"/>
                <w:u w:val="single"/>
              </w:rPr>
            </w:pPr>
            <w:r>
              <w:rPr>
                <w:rFonts w:hint="eastAsia" w:ascii="宋体" w:hAnsi="宋体" w:eastAsia="宋体" w:cs="宋体"/>
                <w:color w:val="auto"/>
                <w:szCs w:val="21"/>
                <w:highlight w:val="none"/>
                <w:u w:val="single"/>
              </w:rPr>
              <w:t>电子投标文件应在密封袋上写明（1）招标人名称；（2）“[项目名称][投标文件光盘]”字样；</w:t>
            </w:r>
            <w:r>
              <w:rPr>
                <w:rFonts w:hint="eastAsia" w:ascii="宋体" w:hAnsi="宋体" w:eastAsia="宋体" w:cs="宋体"/>
                <w:b/>
                <w:color w:val="auto"/>
                <w:szCs w:val="21"/>
                <w:highlight w:val="none"/>
                <w:u w:val="single"/>
              </w:rPr>
              <w:t>（3）并在封口处加盖投标人公章。</w:t>
            </w:r>
          </w:p>
          <w:p w14:paraId="1136F617">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递交的投标文件光盘不得加密。光盘无法读取或导入的，则视为未提交备用投标文件光盘。如果投标人没有按规定通过交易平台网上递交电子投标文件的，不再读取提交的光盘。投标人也可不提交备用光盘。递交投标文件光盘备用时需提供法定人代表人证明书及授权委托书。</w:t>
            </w:r>
          </w:p>
          <w:p w14:paraId="304B3DCE">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3.补救方案</w:t>
            </w:r>
          </w:p>
          <w:p w14:paraId="67992340">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（1）投标文件解密失败的补救方案：</w:t>
            </w:r>
          </w:p>
          <w:p w14:paraId="537E39EA">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58F80475">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（2）评标时突发情况的补救方案</w:t>
            </w:r>
          </w:p>
          <w:p w14:paraId="5A6A3112">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若遇不可抗力发生（指网络瘫痪、服务器损坏、交易系统故障短期无法恢复等因素），由评标委员会开启投标人递交的全部投标文件光盘，并按光盘内容进行评审。</w:t>
            </w:r>
          </w:p>
          <w:p w14:paraId="782C482F">
            <w:pPr>
              <w:keepNext w:val="0"/>
              <w:keepLines w:val="0"/>
              <w:suppressLineNumbers w:val="0"/>
              <w:adjustRightInd w:val="0"/>
              <w:snapToGrid w:val="0"/>
              <w:spacing w:before="120" w:beforeLines="50" w:beforeAutospacing="0" w:after="0" w:afterAutospacing="0" w:line="360" w:lineRule="auto"/>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（3）除发生上述情况外，开标评标均以投标人通过交易平台网上递交的电子投标文件为准。</w:t>
            </w:r>
          </w:p>
        </w:tc>
      </w:tr>
      <w:tr w14:paraId="1989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761" w:type="pct"/>
            <w:vAlign w:val="center"/>
          </w:tcPr>
          <w:p w14:paraId="0F58C601">
            <w:pPr>
              <w:keepNext w:val="0"/>
              <w:keepLines w:val="0"/>
              <w:suppressLineNumbers w:val="0"/>
              <w:adjustRightInd w:val="0"/>
              <w:snapToGri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w:t>
            </w:r>
          </w:p>
        </w:tc>
        <w:tc>
          <w:tcPr>
            <w:tcW w:w="1285" w:type="pct"/>
            <w:vAlign w:val="center"/>
          </w:tcPr>
          <w:p w14:paraId="20C4997E">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2954" w:type="pct"/>
            <w:vAlign w:val="center"/>
          </w:tcPr>
          <w:p w14:paraId="1D872F3E">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pacing w:val="4"/>
                <w:szCs w:val="21"/>
                <w:highlight w:val="none"/>
              </w:rPr>
            </w:pPr>
            <w:r>
              <w:rPr>
                <w:rFonts w:hint="eastAsia" w:ascii="宋体" w:hAnsi="宋体" w:eastAsia="宋体" w:cs="宋体"/>
                <w:color w:val="auto"/>
                <w:spacing w:val="4"/>
                <w:szCs w:val="21"/>
                <w:highlight w:val="none"/>
              </w:rPr>
              <w:t>1.招标人或评标委员会在任何时候发现投标人有违反以下约定的，招标人或评标委员会有权将该投标人的投标作废标处理，并有权取消其投标资格并没收投标保证金。已中标签订合同的，终止合同，除没收履约保证金外，还需支付合同总额20%的违约金。</w:t>
            </w:r>
          </w:p>
          <w:p w14:paraId="5A73B6D2">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pacing w:val="4"/>
                <w:szCs w:val="21"/>
                <w:highlight w:val="none"/>
              </w:rPr>
            </w:pPr>
            <w:r>
              <w:rPr>
                <w:rFonts w:hint="eastAsia" w:ascii="宋体" w:hAnsi="宋体" w:eastAsia="宋体" w:cs="宋体"/>
                <w:color w:val="auto"/>
                <w:spacing w:val="4"/>
                <w:szCs w:val="21"/>
                <w:highlight w:val="none"/>
              </w:rPr>
              <w:t>（1）中标通知书发放前或在签订合同前或在签订合同后的任何时候，招标人有权到投标人现场进行考察，对投标人投标文件描述内容的真实性进行查实，如发现实际情况与投标文件不符，投标人在招标过程有弄虚作假行为、虚报资料情况的，将被取消中标资格，且不退还投标保证金；如果已经签订合同的，将被解除合同。</w:t>
            </w:r>
          </w:p>
          <w:p w14:paraId="4D994AE6">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pacing w:val="4"/>
                <w:szCs w:val="21"/>
                <w:highlight w:val="none"/>
              </w:rPr>
            </w:pPr>
            <w:r>
              <w:rPr>
                <w:rFonts w:hint="eastAsia" w:ascii="宋体" w:hAnsi="宋体" w:eastAsia="宋体" w:cs="宋体"/>
                <w:color w:val="auto"/>
                <w:spacing w:val="4"/>
                <w:szCs w:val="21"/>
                <w:highlight w:val="none"/>
              </w:rPr>
              <w:t>（2）招标文件合同条款和发包要求的其他情况。</w:t>
            </w:r>
          </w:p>
          <w:p w14:paraId="474BFC81">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特别提醒：招标人或招标代理有权要求投标人于本项目评标结束后至中标通知书发放前在接到通知的三日内提供相关证明材料的原件（包括投标文件中的相关证明材料等）进行核查。如该投标人不能按要求提供原件或提供的某些原件经招标人、招标代理机构共同核查后确认与原件不一致，则招标人有权取消其投标资格或中标候选人资格，被取消投标资格或中标候选人资格的，其保证金不予退还。如第一中标候选人被取消中标候选人资格，则招标人有权按中标候选人的顺序依次确定其他中标候选人为中标人，或重新招标。在此情况下，招标人不予退还该投标人的投标保证金。</w:t>
            </w:r>
          </w:p>
          <w:p w14:paraId="042C2280">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3.交易服务费：</w:t>
            </w:r>
          </w:p>
          <w:p w14:paraId="4F8262BB">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本项目的公共资源交易服务费由中标人根据相关规定向广州交易集团有限公司（广州公共资源交易中心）缴纳，交易中心向中标人开具增值税发票。</w:t>
            </w:r>
          </w:p>
          <w:p w14:paraId="63FD07EC">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4.招标代理服务费：</w:t>
            </w:r>
          </w:p>
          <w:p w14:paraId="0076644B">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招标人根据与招标代理签订的招标代理合同，由招标人支付。</w:t>
            </w:r>
          </w:p>
          <w:p w14:paraId="5267F54B">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5. 特别提醒：投标文件应按编排要求编制。如因不按编排要求编制而所引起系无法检索、读取相关信息时，其后果将由投标人自行承担。 </w:t>
            </w:r>
          </w:p>
          <w:p w14:paraId="4F086B4D">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eastAsia="宋体" w:cs="宋体"/>
                <w:b/>
                <w:bCs/>
                <w:color w:val="auto"/>
                <w:szCs w:val="21"/>
                <w:highlight w:val="none"/>
                <w:lang w:bidi="ar"/>
              </w:rPr>
            </w:pPr>
            <w:r>
              <w:rPr>
                <w:rFonts w:hint="eastAsia" w:ascii="宋体" w:hAnsi="宋体" w:eastAsia="宋体" w:cs="宋体"/>
                <w:b/>
                <w:bCs/>
                <w:color w:val="auto"/>
                <w:szCs w:val="21"/>
                <w:highlight w:val="none"/>
              </w:rPr>
              <w:t>6.本项目</w:t>
            </w:r>
            <w:r>
              <w:rPr>
                <w:rFonts w:hint="eastAsia" w:ascii="宋体" w:hAnsi="宋体" w:eastAsia="宋体" w:cs="宋体"/>
                <w:b/>
                <w:bCs/>
                <w:color w:val="auto"/>
                <w:szCs w:val="21"/>
                <w:highlight w:val="none"/>
                <w:lang w:bidi="ar"/>
              </w:rPr>
              <w:t>不允许挂靠、转包或分包，一旦发现将取消投标申请人的投标资格，在投标阶段将没收其投标保证金。</w:t>
            </w:r>
          </w:p>
        </w:tc>
      </w:tr>
    </w:tbl>
    <w:p w14:paraId="57D5806D">
      <w:pPr>
        <w:pStyle w:val="18"/>
        <w:spacing w:line="360" w:lineRule="auto"/>
        <w:rPr>
          <w:rFonts w:hint="eastAsia" w:ascii="宋体" w:hAnsi="宋体" w:eastAsia="宋体" w:cs="宋体"/>
          <w:b/>
          <w:color w:val="auto"/>
          <w:sz w:val="24"/>
          <w:highlight w:val="none"/>
        </w:rPr>
      </w:pPr>
    </w:p>
    <w:p w14:paraId="44DA3A63">
      <w:pPr>
        <w:widowControl/>
        <w:jc w:val="left"/>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highlight w:val="none"/>
        </w:rPr>
        <w:br w:type="page"/>
      </w:r>
    </w:p>
    <w:p w14:paraId="579CC84E">
      <w:pPr>
        <w:spacing w:line="360" w:lineRule="auto"/>
        <w:jc w:val="center"/>
        <w:outlineLvl w:val="2"/>
        <w:rPr>
          <w:rFonts w:hint="eastAsia" w:ascii="宋体" w:hAnsi="宋体" w:eastAsia="宋体" w:cs="宋体"/>
          <w:color w:val="auto"/>
          <w:sz w:val="28"/>
          <w:szCs w:val="27"/>
          <w:highlight w:val="none"/>
        </w:rPr>
      </w:pPr>
      <w:bookmarkStart w:id="82" w:name="_Toc17451101"/>
      <w:bookmarkStart w:id="83" w:name="_Toc17452664"/>
      <w:bookmarkStart w:id="84" w:name="_Toc262229161"/>
      <w:bookmarkStart w:id="85" w:name="_Toc17451623"/>
      <w:bookmarkStart w:id="86" w:name="_Toc17556876"/>
      <w:bookmarkStart w:id="87" w:name="_Toc30777"/>
      <w:bookmarkStart w:id="88" w:name="_Toc17454922"/>
      <w:bookmarkStart w:id="89" w:name="_Toc17451578"/>
      <w:bookmarkStart w:id="90" w:name="_Toc17454871"/>
      <w:bookmarkStart w:id="91" w:name="_Toc17556931"/>
      <w:r>
        <w:rPr>
          <w:rFonts w:hint="eastAsia" w:ascii="宋体" w:hAnsi="宋体" w:eastAsia="宋体" w:cs="宋体"/>
          <w:color w:val="auto"/>
          <w:sz w:val="28"/>
          <w:szCs w:val="27"/>
          <w:highlight w:val="none"/>
        </w:rPr>
        <w:t>二、投标须知修改表</w:t>
      </w:r>
      <w:bookmarkEnd w:id="82"/>
      <w:bookmarkEnd w:id="83"/>
      <w:bookmarkEnd w:id="84"/>
      <w:bookmarkEnd w:id="85"/>
      <w:bookmarkEnd w:id="86"/>
      <w:bookmarkEnd w:id="87"/>
      <w:bookmarkEnd w:id="88"/>
      <w:bookmarkEnd w:id="89"/>
      <w:bookmarkEnd w:id="90"/>
      <w:bookmarkEnd w:id="91"/>
    </w:p>
    <w:p w14:paraId="11AE3D11">
      <w:pPr>
        <w:pStyle w:val="38"/>
        <w:adjustRightIn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u w:val="single"/>
        </w:rPr>
        <w:t>本项目属于本企业自主监管非依法必须招标项目，仅参照招标文件范本（SWZB2019-01试行版）编制。</w:t>
      </w:r>
      <w:r>
        <w:rPr>
          <w:rFonts w:hint="eastAsia" w:ascii="宋体" w:hAnsi="宋体" w:eastAsia="宋体" w:cs="宋体"/>
          <w:b/>
          <w:color w:val="auto"/>
          <w:sz w:val="24"/>
          <w:szCs w:val="24"/>
          <w:highlight w:val="none"/>
        </w:rPr>
        <w:t>本投标须知使用SWZB2019-01试行版招标文件范本的投标须知通用条款，与该通用条款不同之处，均在本表中列明，并以现文为准，原文不再有效。</w:t>
      </w:r>
    </w:p>
    <w:p w14:paraId="759BC6DB">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条款号：1.4               修改类型：修改</w:t>
      </w:r>
    </w:p>
    <w:p w14:paraId="1B5218D4">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原文：1.4.1 投标人应具备承担本项目施工的资质条件、能力和信誉。</w:t>
      </w:r>
    </w:p>
    <w:p w14:paraId="2AAFD40A">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（1）资质条件：见投标人须知前附表； </w:t>
      </w:r>
    </w:p>
    <w:p w14:paraId="1D5F8529">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（2）项目负责人资格：见投标人须知前附表；</w:t>
      </w:r>
    </w:p>
    <w:p w14:paraId="5D07A393">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（3）其他要求：</w:t>
      </w:r>
    </w:p>
    <w:p w14:paraId="5502A3D8">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投标人必须具备独立法人资格，具有有效的安全生产许可证。</w:t>
      </w:r>
    </w:p>
    <w:p w14:paraId="0D36E428">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项目负责人持有有效的安全培训考核合格证（B类）。安全培训考核合格证的颁发部门见投标人须知前附表。</w:t>
      </w:r>
    </w:p>
    <w:p w14:paraId="7A1D0CA2">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专职安全员具有有效的安全培训考核合格证（C证）。安全培训考核合格证的颁发部门见投标人须知前附表。</w:t>
      </w:r>
    </w:p>
    <w:p w14:paraId="0F947512">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d）业绩要求：根据工程规模和特点设置。</w:t>
      </w:r>
    </w:p>
    <w:p w14:paraId="16BAFFA7">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e)其他要求详见投标人须知前附表。</w:t>
      </w:r>
    </w:p>
    <w:p w14:paraId="5117FCA5">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本招标项目是否接受联合体投标以招标公告为准。</w:t>
      </w:r>
    </w:p>
    <w:p w14:paraId="5B63EDF8">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投标人不得存在下列情形之一：</w:t>
      </w:r>
    </w:p>
    <w:p w14:paraId="43431969">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（1）为招标人不具有独立法人资格的附属机构（单位）；</w:t>
      </w:r>
    </w:p>
    <w:p w14:paraId="2D6E27B8">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（2）为本次招标项目前期准备提供设计或咨询服务的；</w:t>
      </w:r>
    </w:p>
    <w:p w14:paraId="0EA74541">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（3）为本次招标项目的监理人；</w:t>
      </w:r>
    </w:p>
    <w:p w14:paraId="0133F3DC">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（4）为本次招标项目的代建人；</w:t>
      </w:r>
    </w:p>
    <w:p w14:paraId="5A80C984">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（5）为本次招标项目提供招标代理服务的； </w:t>
      </w:r>
    </w:p>
    <w:p w14:paraId="7977AB1D">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（6）与本次招标项目的监理人或代建人或招标代理机构同为一个法定代表人的；</w:t>
      </w:r>
    </w:p>
    <w:p w14:paraId="02320B25">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（7）与本次招标项目的监理人或代建人或招标代理机构相互控股或参股的；</w:t>
      </w:r>
    </w:p>
    <w:p w14:paraId="45C9C8F4">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（8）与本次招标项目的监理人或代建人或招标代理机构相互任职或工作的；</w:t>
      </w:r>
    </w:p>
    <w:p w14:paraId="0D8E4100">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（9）被责令停业的；</w:t>
      </w:r>
    </w:p>
    <w:p w14:paraId="6306288C">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（10）被暂停或取消投标资格的；</w:t>
      </w:r>
    </w:p>
    <w:p w14:paraId="3C69E720">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（11）财产被接管或冻结的；</w:t>
      </w:r>
    </w:p>
    <w:p w14:paraId="51CBF20A">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（12）单位负责人为同一人或者存在控股、管理关系的不同单位，同时参加本招标项目投标。</w:t>
      </w:r>
    </w:p>
    <w:p w14:paraId="0B282946">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（13）投标人、投标人主要负责人及拟投入人员在招标投标、合同履行、安全事故方面因违反有关法律、法规规定受到相关行政管理部门的行政处罚，被取消投标资格的。</w:t>
      </w:r>
    </w:p>
    <w:p w14:paraId="01354E1C">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w:t>
      </w:r>
      <w:r>
        <w:rPr>
          <w:rFonts w:hint="eastAsia" w:ascii="宋体" w:hAnsi="宋体" w:eastAsia="宋体" w:cs="宋体"/>
          <w:color w:val="auto"/>
          <w:sz w:val="24"/>
          <w:szCs w:val="24"/>
          <w:highlight w:val="none"/>
          <w:u w:val="single"/>
        </w:rPr>
        <w:t>详见招标公告第3点。</w:t>
      </w:r>
    </w:p>
    <w:p w14:paraId="1B110D2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条款号：2.1.1             修改类型：修改</w:t>
      </w:r>
    </w:p>
    <w:p w14:paraId="64F426F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原文：2.1.1本招标文件包括下列文件，以及所有按本须知第7条发出的澄清或修改和按本须知第8条发出的招标答疑会会议纪要：</w:t>
      </w:r>
    </w:p>
    <w:p w14:paraId="46346D5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（1）招标公告（或投标邀请书）；</w:t>
      </w:r>
    </w:p>
    <w:p w14:paraId="2B585691">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（2）投标人须知；</w:t>
      </w:r>
    </w:p>
    <w:p w14:paraId="6AC9C116">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（3）评标办法；</w:t>
      </w:r>
    </w:p>
    <w:p w14:paraId="2F14D56D">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（4）合同条款及格式；</w:t>
      </w:r>
    </w:p>
    <w:p w14:paraId="219EEA2C">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（5）工程量清单（采用综合评估法三的，应为与最高投标限价相对应的已标价工程量清单）； </w:t>
      </w:r>
    </w:p>
    <w:p w14:paraId="2109AFFA">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（6）图纸； </w:t>
      </w:r>
    </w:p>
    <w:p w14:paraId="294F8C1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（7）技术标准和要求； </w:t>
      </w:r>
    </w:p>
    <w:p w14:paraId="53075C6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（8）投标文件格式；</w:t>
      </w:r>
    </w:p>
    <w:p w14:paraId="2367D77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（9）否决性条款汇总.</w:t>
      </w:r>
    </w:p>
    <w:p w14:paraId="47B33CFC">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（10）最高投标限价（招标控制价）。</w:t>
      </w:r>
    </w:p>
    <w:p w14:paraId="6669CD4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（11）投标人须知前附表规定的其他材料。</w:t>
      </w:r>
    </w:p>
    <w:p w14:paraId="7CA2CBC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w:t>
      </w:r>
    </w:p>
    <w:p w14:paraId="6023A29C">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2.1.1本招标文件包括下列文件，以及所有按本须知第</w:t>
      </w:r>
      <w:r>
        <w:rPr>
          <w:rFonts w:hint="eastAsia" w:ascii="宋体" w:hAnsi="宋体" w:eastAsia="宋体" w:cs="宋体"/>
          <w:color w:val="auto"/>
          <w:sz w:val="24"/>
          <w:szCs w:val="24"/>
          <w:highlight w:val="none"/>
          <w:u w:val="single"/>
        </w:rPr>
        <w:t>2.3</w:t>
      </w:r>
      <w:r>
        <w:rPr>
          <w:rFonts w:hint="eastAsia" w:ascii="宋体" w:hAnsi="宋体" w:eastAsia="宋体" w:cs="宋体"/>
          <w:color w:val="auto"/>
          <w:sz w:val="24"/>
          <w:szCs w:val="24"/>
          <w:highlight w:val="none"/>
        </w:rPr>
        <w:t>条发出的澄清或修改和按本须知第</w:t>
      </w:r>
      <w:r>
        <w:rPr>
          <w:rFonts w:hint="eastAsia" w:ascii="宋体" w:hAnsi="宋体" w:eastAsia="宋体" w:cs="宋体"/>
          <w:color w:val="auto"/>
          <w:sz w:val="24"/>
          <w:szCs w:val="24"/>
          <w:highlight w:val="none"/>
          <w:u w:val="single"/>
        </w:rPr>
        <w:t>2.2</w:t>
      </w:r>
      <w:r>
        <w:rPr>
          <w:rFonts w:hint="eastAsia" w:ascii="宋体" w:hAnsi="宋体" w:eastAsia="宋体" w:cs="宋体"/>
          <w:color w:val="auto"/>
          <w:sz w:val="24"/>
          <w:szCs w:val="24"/>
          <w:highlight w:val="none"/>
        </w:rPr>
        <w:t>条发出的招标答疑会会议纪要：</w:t>
      </w:r>
    </w:p>
    <w:p w14:paraId="3A766CA6">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w:t>
      </w:r>
    </w:p>
    <w:p w14:paraId="62070D9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（2）投标人须知；</w:t>
      </w:r>
    </w:p>
    <w:p w14:paraId="3CF2574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（3）评标办法；</w:t>
      </w:r>
    </w:p>
    <w:p w14:paraId="6D294DC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（4）合同条款及格式；</w:t>
      </w:r>
    </w:p>
    <w:p w14:paraId="7A29F1DA">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（5）工程量清单；</w:t>
      </w:r>
    </w:p>
    <w:p w14:paraId="0948220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（6）图纸； </w:t>
      </w:r>
    </w:p>
    <w:p w14:paraId="0AA4B0A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（7）技术标准和要求； </w:t>
      </w:r>
    </w:p>
    <w:p w14:paraId="0997BB6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（8）投标文件格式；</w:t>
      </w:r>
    </w:p>
    <w:p w14:paraId="15F692A1">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（9）否决性条款汇总.</w:t>
      </w:r>
    </w:p>
    <w:p w14:paraId="1D8CCE6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（10）最高投标限价（招标控制价）。</w:t>
      </w:r>
    </w:p>
    <w:p w14:paraId="67585BFC">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（11）投标人须知前附表规定的其他材料。</w:t>
      </w:r>
    </w:p>
    <w:p w14:paraId="776A86C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条款号：2.2.1             修改类型：修改</w:t>
      </w:r>
    </w:p>
    <w:p w14:paraId="23CA65D5">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原文：2.2.1 招标答疑采用网上答疑方式进行。投标人若对招标文件（包括招标图纸、清单、招标控制价）有疑问的，可在规定的时间内通过广州公共资源交易中心网站凭密码进入提问区域将问题提交给招标人或招标代理人，提交问题时一律不得署名。</w:t>
      </w:r>
    </w:p>
    <w:p w14:paraId="03A6DCC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网上答疑的操作指南为：登陆广州公共资源交易中心网站→进入“项目招标答疑”专区→通过项目编号或名称找到所需的项目→在上述的答疑时间内点击“提问” →输入密码（密码为：＿ ）进入到提问区域→无记名或匿名提出问题以及查看所有的问题。</w:t>
      </w:r>
    </w:p>
    <w:p w14:paraId="5F00A50E">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现文：2.2.1 招标答疑采用网上答疑方式进行。投标人若对招标文件（包括招标图纸、清单、</w:t>
      </w:r>
      <w:r>
        <w:rPr>
          <w:rFonts w:hint="eastAsia" w:ascii="宋体" w:hAnsi="宋体" w:eastAsia="宋体" w:cs="宋体"/>
          <w:color w:val="auto"/>
          <w:sz w:val="24"/>
          <w:szCs w:val="24"/>
          <w:highlight w:val="none"/>
          <w:u w:val="single"/>
        </w:rPr>
        <w:t>最高投标限价）</w:t>
      </w:r>
      <w:r>
        <w:rPr>
          <w:rFonts w:hint="eastAsia" w:ascii="宋体" w:hAnsi="宋体" w:eastAsia="宋体" w:cs="宋体"/>
          <w:color w:val="auto"/>
          <w:sz w:val="24"/>
          <w:szCs w:val="24"/>
          <w:highlight w:val="none"/>
        </w:rPr>
        <w:t>有疑问的，可在规定的时间内通过广州交易集团有限公司（广州公共资源交易中心）进入提问区域将问题提交给招标人或招标代理人，提交问题时一律不得署名。</w:t>
      </w:r>
    </w:p>
    <w:p w14:paraId="1FF67C60">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网上答疑的操作指南为：登陆广州交易集团有限公司（广州公共资源交易中心）网站→进入“我是投标人”→进入“新建设工程交易平台”→进入“我的投标”→进入“招标答疑提问”→通过项目编号或名称找到所需的项目→在上述的答疑时间内点击“答疑提问”进入到提问区域→无记名或匿名提出问题。</w:t>
      </w:r>
    </w:p>
    <w:p w14:paraId="7727836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条款号：2.2.2             修改类型：修改</w:t>
      </w:r>
    </w:p>
    <w:p w14:paraId="39F40D6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原文：投标人应在投标截止时间前15日停止质疑。招标人应在投标截止时间7日前解答投标人对招标文件提出的疑问，形成答疑纪要，在交易中心网站“招标答疑”专区发布。</w:t>
      </w:r>
    </w:p>
    <w:p w14:paraId="527F2805">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现文：招标人应在投标截止时间15日前停止质疑。招标人应在投标截止时间7日前解答投标人对招标文件提出的疑问，形成答疑纪要，</w:t>
      </w:r>
      <w:r>
        <w:rPr>
          <w:rFonts w:hint="eastAsia" w:ascii="宋体" w:hAnsi="宋体" w:eastAsia="宋体" w:cs="宋体"/>
          <w:color w:val="auto"/>
          <w:sz w:val="24"/>
          <w:szCs w:val="24"/>
          <w:highlight w:val="none"/>
          <w:u w:val="single"/>
        </w:rPr>
        <w:t>在广州交易集团有限公司（广州公共资源交易中心）网站发布。投标人可直接从交易中心网站“项目查询（日程安排、答疑纪要）”专区进入，下载项目的答疑纪要；也可以登录交易中心数字交易平台“我是投标人（供应商）”-&gt;“我的投标项目”-&gt;“答疑纪要”。</w:t>
      </w:r>
    </w:p>
    <w:p w14:paraId="6067C94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条款号：3.1.1            修改类型：修改</w:t>
      </w:r>
      <w:r>
        <w:rPr>
          <w:rFonts w:hint="eastAsia" w:ascii="宋体" w:hAnsi="宋体" w:eastAsia="宋体" w:cs="宋体"/>
          <w:color w:val="auto"/>
          <w:sz w:val="24"/>
          <w:szCs w:val="24"/>
          <w:highlight w:val="none"/>
        </w:rPr>
        <w:tab/>
      </w:r>
    </w:p>
    <w:p w14:paraId="1348587D">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原文：3.1.1投标文件应包括下列内容：</w:t>
      </w:r>
    </w:p>
    <w:p w14:paraId="5174307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（1）投标函及投标函附录；</w:t>
      </w:r>
    </w:p>
    <w:p w14:paraId="38DC620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（2）法定代表人身份证明或附有法定代表人身份证明的授权委托书；</w:t>
      </w:r>
    </w:p>
    <w:p w14:paraId="3CF49FF8">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（3）联合体协议书（非联合体不提交）；</w:t>
      </w:r>
    </w:p>
    <w:p w14:paraId="1B9247A8">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（4）投标保证金（投标保函原件单独提交，投标文件中为原件复印件）；</w:t>
      </w:r>
    </w:p>
    <w:p w14:paraId="1990950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（5）已标价工程量清单（采用综合评估法三的，不用提交）；</w:t>
      </w:r>
    </w:p>
    <w:p w14:paraId="64F0D67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（6）施工组织设计（不要求技术标的可不编制，提交施工组织设计要点）； </w:t>
      </w:r>
    </w:p>
    <w:p w14:paraId="61D963D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（7）项目管理机构；</w:t>
      </w:r>
    </w:p>
    <w:p w14:paraId="16BFCAB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（8）资格审查资料；</w:t>
      </w:r>
    </w:p>
    <w:p w14:paraId="591E64BD">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（9）其他应提交的材料。</w:t>
      </w:r>
    </w:p>
    <w:p w14:paraId="06490A7D">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现文：3.1.1投标文件应包括下列内容：</w:t>
      </w:r>
    </w:p>
    <w:p w14:paraId="23D272A8">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（1）投标函及投标函附录；</w:t>
      </w:r>
    </w:p>
    <w:p w14:paraId="02FC2BE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（2）法定代表人身份证明或附有法定代表人身份证明的授权委托书；</w:t>
      </w:r>
    </w:p>
    <w:p w14:paraId="5A7C82E0">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（3）投标保证金递交证明；</w:t>
      </w:r>
    </w:p>
    <w:p w14:paraId="64F53B31">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（4）已标价工程量清单；</w:t>
      </w:r>
    </w:p>
    <w:p w14:paraId="5A962A48">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（5）施工组织设计（本项目要求编制技术标，需要提交详细施工组织设计）； </w:t>
      </w:r>
    </w:p>
    <w:p w14:paraId="0891A5D4">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（6）技术部分资料；</w:t>
      </w:r>
    </w:p>
    <w:p w14:paraId="4E167DCC">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（7）商务部分资料；</w:t>
      </w:r>
    </w:p>
    <w:p w14:paraId="2628F991">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（8）项目管理机构；</w:t>
      </w:r>
    </w:p>
    <w:p w14:paraId="3C6433AD">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（9）资格审查资料；</w:t>
      </w:r>
    </w:p>
    <w:p w14:paraId="4C8FD11C">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（10）其他应提交的材料。</w:t>
      </w:r>
    </w:p>
    <w:p w14:paraId="2D2DF3A0">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 3.2.1           修改类型：修改</w:t>
      </w:r>
    </w:p>
    <w:p w14:paraId="2F5B236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原文：3.2.1 投标人应按第五章“工程量清单”的要求填写相应表格。（此条不适用于综合评估法三）</w:t>
      </w:r>
    </w:p>
    <w:p w14:paraId="0D2D6ECC">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现文：3.2.1 投标人应按第五章“工程量清单”的要求填写相应表格。</w:t>
      </w:r>
    </w:p>
    <w:p w14:paraId="1C724A7C">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 3.2.2           修改类型：修改</w:t>
      </w:r>
    </w:p>
    <w:p w14:paraId="38AC9E76">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投标人在投标截止时间前修改投标函中的投标报价总额，应同时修改“已标价工程量清单”中的相应报价，投标报价总额为各分项金额之和。此修改须符合本章第4.3款的有关要求。（此条不适用于综合评估法三）</w:t>
      </w:r>
    </w:p>
    <w:p w14:paraId="4EC5B172">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3.2.2采用综合评估法三的，投标人在投标截止时间前修改投标函中的投标报价总额，并根据评标办法列明的方法重新计算投标报价下浮率。此修改须符合本章第4.3款的有关要求。</w:t>
      </w:r>
    </w:p>
    <w:p w14:paraId="4D8CCC11">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w:t>
      </w:r>
      <w:r>
        <w:rPr>
          <w:rFonts w:hint="eastAsia" w:ascii="宋体" w:hAnsi="宋体" w:eastAsia="宋体" w:cs="宋体"/>
          <w:color w:val="auto"/>
          <w:sz w:val="24"/>
          <w:szCs w:val="24"/>
          <w:highlight w:val="none"/>
          <w:u w:val="single"/>
        </w:rPr>
        <w:t>投标人在投标截止时间前修改投标函中的投标报价总额，应同时修改“已标价工程量清单”中的相应报价，投标报价总额为各分项金额之和。此修改须符合本章第4.3款的有关要求。</w:t>
      </w:r>
    </w:p>
    <w:p w14:paraId="25465E76">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条款号：3.4.1                  修改类型：修改</w:t>
      </w:r>
    </w:p>
    <w:p w14:paraId="38B3F29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投标人应按投标须知前附表规定的金额和时间递交投标保证金。投标保证金以现金或者支票形式提交的，必须由投标人的银行基本账户转出。投标人如采用投标保函或投标保证保险的形式递交的，须在投标截止单独密封递交至开标室。联合体投标的，其投标担保可以由牵头人递交，并应符合投标人须知前附表的规定。</w:t>
      </w:r>
    </w:p>
    <w:p w14:paraId="6D09BC72">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现文：投标人应按投标须知前附表规定的金额和时间递交投标保证金。投标保证金以现金或者支票形式提交的，必须由投标人的银行基本账户转出。</w:t>
      </w:r>
      <w:r>
        <w:rPr>
          <w:rFonts w:hint="eastAsia" w:ascii="宋体" w:hAnsi="宋体" w:eastAsia="宋体" w:cs="宋体"/>
          <w:color w:val="auto"/>
          <w:sz w:val="24"/>
          <w:szCs w:val="24"/>
          <w:highlight w:val="none"/>
          <w:u w:val="single"/>
        </w:rPr>
        <w:t>投标人如采用银行保函、保证保险、担保保函的形式递交的，应符合投标人须知前附表的规定。</w:t>
      </w:r>
    </w:p>
    <w:p w14:paraId="24212F7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条款号：3.4.2          修改类型：修改</w:t>
      </w:r>
    </w:p>
    <w:p w14:paraId="39590791">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原文：3.4.2投标保证金采用银行投标保函或投标保证保险的形式。投标人在递交投标文件的同时，应按投标人须知前附表规定的金额、担保形式和第</w:t>
      </w:r>
      <w:r>
        <w:rPr>
          <w:rFonts w:hint="eastAsia" w:ascii="宋体" w:hAnsi="宋体" w:cs="宋体"/>
          <w:color w:val="auto"/>
          <w:sz w:val="24"/>
          <w:szCs w:val="24"/>
          <w:highlight w:val="none"/>
          <w:lang w:val="en-US" w:eastAsia="zh-CN"/>
        </w:rPr>
        <w:t>八</w:t>
      </w:r>
      <w:r>
        <w:rPr>
          <w:rFonts w:hint="eastAsia" w:ascii="宋体" w:hAnsi="宋体" w:eastAsia="宋体" w:cs="宋体"/>
          <w:color w:val="auto"/>
          <w:sz w:val="24"/>
          <w:szCs w:val="24"/>
          <w:highlight w:val="none"/>
        </w:rPr>
        <w:t>章“投标文件格式”规定的投标保证金格式（或银行规定的格式或保险公司规定的格式）递交投标保证金，并作为其投标文件的组成部分。联合体投标的，其投标保证金由牵头人递交，并应符合投标人须知前附表的规定。</w:t>
      </w:r>
    </w:p>
    <w:p w14:paraId="6DBD1EF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3.4.2投标保证金委托广州交易集团有限公司（广州公共资源交易中心）代收的形式，收取办法如下：</w:t>
      </w:r>
    </w:p>
    <w:p w14:paraId="51ACD6E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（1）招标人委托广州交易集团有限公司（广州公共资源交易中心）具体实施保证金的收取和退还工作</w:t>
      </w:r>
    </w:p>
    <w:p w14:paraId="169619D8">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（2）所有投标保证金必须由投标单位的银行基本账户转出。</w:t>
      </w:r>
    </w:p>
    <w:p w14:paraId="16EA6D9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（3）投标保证金的缴纳情况以广州交易集团有限公司（广州公共资源交易中心）数据库记录的信息为准。</w:t>
      </w:r>
    </w:p>
    <w:p w14:paraId="4FDDE9A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（4）缴费的操作详见广州交易集团有限公司（广州公共资源交易中心）公布的《投标人基本账户保证金操作指引》。</w:t>
      </w:r>
    </w:p>
    <w:p w14:paraId="1C4B4D3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3.4.2招标人收取的，由招标人在前附表中明确具体要求。</w:t>
      </w:r>
    </w:p>
    <w:p w14:paraId="2ACE966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现文：3.4.2投标保证金采用银行投标保函或投标保证保险的形式。投标人在递交投标文件的同时，应按投标人须知前附表规定的金额、担保形式和第</w:t>
      </w:r>
      <w:r>
        <w:rPr>
          <w:rFonts w:hint="eastAsia" w:ascii="宋体" w:hAnsi="宋体" w:cs="宋体"/>
          <w:color w:val="auto"/>
          <w:sz w:val="24"/>
          <w:szCs w:val="24"/>
          <w:highlight w:val="none"/>
          <w:lang w:val="en-US" w:eastAsia="zh-CN"/>
        </w:rPr>
        <w:t>八</w:t>
      </w:r>
      <w:r>
        <w:rPr>
          <w:rFonts w:hint="eastAsia" w:ascii="宋体" w:hAnsi="宋体" w:eastAsia="宋体" w:cs="宋体"/>
          <w:color w:val="auto"/>
          <w:sz w:val="24"/>
          <w:szCs w:val="24"/>
          <w:highlight w:val="none"/>
        </w:rPr>
        <w:t>章“投标文件格式”规定的投标保证金格式（或银行规定的格式或保险公司规定的格式）递交投标保证金，并作为其投标文件的组成部分。联合体投标的，其投标保证金由牵头人递交，并应符合投标人须知前附表的规定。</w:t>
      </w:r>
    </w:p>
    <w:p w14:paraId="420B9AF6">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3.4.2投标保证金委托广州交易集团有限公司（广州公共资源交易中心）平台代收的形式，收取办法如下：</w:t>
      </w:r>
    </w:p>
    <w:p w14:paraId="18455A5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（1）招标人委托广州交易集团有限公司（广州公共资源交易中心）平台具体实施保证金的收取和退还工作。</w:t>
      </w:r>
    </w:p>
    <w:p w14:paraId="24C30AA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（2）所有投标保证金必须由投标单位的银行基本账户转出。</w:t>
      </w:r>
    </w:p>
    <w:p w14:paraId="22B20020">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（3）投标保证金的缴纳情况以广州交易集团有限公司（广州公共资源交易中心）平台数据库记录的信息为准。</w:t>
      </w:r>
    </w:p>
    <w:p w14:paraId="37E6802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（4）缴费的操作详见广州交易集团有限公司（广州公共资源交易中心）平台公布的</w:t>
      </w:r>
      <w:r>
        <w:rPr>
          <w:rFonts w:hint="eastAsia" w:ascii="宋体" w:hAnsi="宋体" w:eastAsia="宋体" w:cs="宋体"/>
          <w:color w:val="auto"/>
          <w:sz w:val="24"/>
          <w:szCs w:val="24"/>
          <w:highlight w:val="none"/>
          <w:u w:val="single"/>
        </w:rPr>
        <w:t>《关于投标项目保证金操作指引的说明》</w:t>
      </w:r>
      <w:r>
        <w:rPr>
          <w:rFonts w:hint="eastAsia" w:ascii="宋体" w:hAnsi="宋体" w:eastAsia="宋体" w:cs="宋体"/>
          <w:color w:val="auto"/>
          <w:sz w:val="24"/>
          <w:szCs w:val="24"/>
          <w:highlight w:val="none"/>
        </w:rPr>
        <w:t>。</w:t>
      </w:r>
    </w:p>
    <w:p w14:paraId="108B4167">
      <w:pPr>
        <w:adjustRightInd w:val="0"/>
        <w:spacing w:line="360" w:lineRule="auto"/>
        <w:ind w:firstLine="480" w:firstLineChars="200"/>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3.4.2招标人收取的，由招标人在前附表中明确具体要求。</w:t>
      </w:r>
    </w:p>
    <w:p w14:paraId="5F54DB24">
      <w:pPr>
        <w:pBdr>
          <w:top w:val="single" w:color="auto" w:sz="4" w:space="0"/>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条款号：3.5               修改类型：修改</w:t>
      </w:r>
    </w:p>
    <w:p w14:paraId="49D047F2">
      <w:pPr>
        <w:pStyle w:val="38"/>
        <w:adjustRightIn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原文：3.5 资格审查资料</w:t>
      </w:r>
    </w:p>
    <w:p w14:paraId="42144B0E">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 “投标人基本情况表”应附投标人营业执照副本、资质证书副本和安全生产许可证等材料的复印件。</w:t>
      </w:r>
    </w:p>
    <w:p w14:paraId="4F42AD15">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3.5.2 项目负责人建造师证和安全培训考核合格证（B证）复印件。</w:t>
      </w:r>
    </w:p>
    <w:p w14:paraId="7E0ACC33">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3.5.3专职安全员安全培训考核合格证（C证）复印件。</w:t>
      </w:r>
    </w:p>
    <w:p w14:paraId="057F39BA">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3.5.4 “近年完成的类似项目情况表”应附中标通知书、合同协议书以及合同工程完工证书（或工程竣工证书副本）的复印件。每张表格只填写一个项目，并标明序号。</w:t>
      </w:r>
    </w:p>
    <w:p w14:paraId="6E0B17C0">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3.5.6 投标人须知前附表规定接受联合体投标的，本章第3.5.1项至第3.5.5项规定的表格和资料应包括联合体各方相关情况。</w:t>
      </w:r>
    </w:p>
    <w:p w14:paraId="4F6DEA7B">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3.5.7资审要求的其他材料。</w:t>
      </w:r>
    </w:p>
    <w:p w14:paraId="4006FDEE">
      <w:pPr>
        <w:pStyle w:val="38"/>
        <w:adjustRightInd w:val="0"/>
        <w:spacing w:line="360" w:lineRule="auto"/>
        <w:ind w:firstLine="480" w:firstLineChars="200"/>
        <w:rPr>
          <w:rFonts w:hint="eastAsia" w:ascii="宋体" w:hAnsi="宋体" w:eastAsia="宋体" w:cs="宋体"/>
          <w:i/>
          <w:color w:val="auto"/>
          <w:sz w:val="24"/>
          <w:szCs w:val="24"/>
          <w:highlight w:val="none"/>
        </w:rPr>
      </w:pPr>
      <w:r>
        <w:rPr>
          <w:rFonts w:hint="eastAsia" w:ascii="宋体" w:hAnsi="宋体" w:eastAsia="宋体" w:cs="宋体"/>
          <w:i/>
          <w:color w:val="auto"/>
          <w:sz w:val="24"/>
          <w:szCs w:val="24"/>
          <w:highlight w:val="none"/>
        </w:rPr>
        <w:t>（说明：3.5.4 ~ 3.5.6为可选项。若资格条件里没有业绩等方面的要求，可不做要求）</w:t>
      </w:r>
    </w:p>
    <w:p w14:paraId="198E3027">
      <w:pPr>
        <w:pStyle w:val="38"/>
        <w:adjustRightIn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
          <w:bCs/>
          <w:color w:val="auto"/>
          <w:sz w:val="24"/>
          <w:szCs w:val="24"/>
          <w:highlight w:val="none"/>
        </w:rPr>
        <w:t>3.5 资格审查资料</w:t>
      </w:r>
    </w:p>
    <w:p w14:paraId="1ADDE99D">
      <w:pPr>
        <w:pStyle w:val="38"/>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 “投标人基本情况表”应附投标人营业执照副本、资质证书副本和安全生产许可证等材料的扫描件。</w:t>
      </w:r>
    </w:p>
    <w:p w14:paraId="10B580DB">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3.5.2 </w:t>
      </w:r>
      <w:r>
        <w:rPr>
          <w:rFonts w:hint="eastAsia" w:ascii="宋体" w:hAnsi="宋体" w:eastAsia="宋体" w:cs="宋体"/>
          <w:color w:val="auto"/>
          <w:sz w:val="24"/>
          <w:szCs w:val="24"/>
          <w:highlight w:val="none"/>
          <w:u w:val="single"/>
        </w:rPr>
        <w:t>项目负责人证件和安全生产考核合格证（B类）清晰扫描件或建筑施工企业项目负责人安全生产考核合格证书清晰扫描件。</w:t>
      </w:r>
    </w:p>
    <w:p w14:paraId="20DFEC44">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3.5.3技术负责人机电类相关专业中级（或以上）工程师职称证书清晰扫描件。</w:t>
      </w:r>
    </w:p>
    <w:p w14:paraId="2B9C4B2B">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3.5.4专职安全员安全生产考核合格证（C证）清晰扫描件或建筑施工企业专职安全生产管理人员安全生产考核合格证书（C3）清晰扫描件。</w:t>
      </w:r>
    </w:p>
    <w:p w14:paraId="0BBBFD35">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3.5.5提交社保文件的要求：投标申请人须保证授权的委托代理人及项目部主要组成人员（项目负责人、技术负责人、专职安全员）均为本单位的正式职工，必须具有离投标截止时间最近三个月（2024年7月-9月）在本单位交纳的社保证明文件（以加盖社会保险基金管理中心印章的《投保单》或《社会保险参保人员证明》资料为准）。</w:t>
      </w:r>
    </w:p>
    <w:p w14:paraId="70237869">
      <w:pPr>
        <w:pStyle w:val="38"/>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3.5.6资审要求的其他材料。</w:t>
      </w:r>
    </w:p>
    <w:p w14:paraId="505C29A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条款号：3.6.4             修改类型：修改</w:t>
      </w:r>
    </w:p>
    <w:p w14:paraId="0334ED8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w:t>
      </w:r>
      <w:r>
        <w:rPr>
          <w:rFonts w:hint="eastAsia" w:ascii="宋体" w:hAnsi="宋体" w:eastAsia="宋体" w:cs="宋体"/>
          <w:bCs/>
          <w:color w:val="auto"/>
          <w:sz w:val="24"/>
          <w:szCs w:val="24"/>
          <w:highlight w:val="none"/>
        </w:rPr>
        <w:t>除工程量清单报价表相关的内容、</w:t>
      </w:r>
      <w:r>
        <w:rPr>
          <w:rFonts w:hint="eastAsia" w:ascii="宋体" w:hAnsi="宋体" w:eastAsia="宋体" w:cs="宋体"/>
          <w:color w:val="auto"/>
          <w:sz w:val="24"/>
          <w:szCs w:val="24"/>
          <w:highlight w:val="none"/>
        </w:rPr>
        <w:t>《投标函附录》</w:t>
      </w:r>
      <w:r>
        <w:rPr>
          <w:rFonts w:hint="eastAsia" w:ascii="宋体" w:hAnsi="宋体" w:eastAsia="宋体" w:cs="宋体"/>
          <w:bCs/>
          <w:color w:val="auto"/>
          <w:sz w:val="24"/>
          <w:szCs w:val="24"/>
          <w:highlight w:val="none"/>
        </w:rPr>
        <w:t>外，投标文件的其他内容均以电子文件（纸质原件的扫描件）编制，其格式要求详见第八章投标文件格式说明。</w:t>
      </w:r>
    </w:p>
    <w:p w14:paraId="1C97F528">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现文：除工程量清单报价表相关的内容、</w:t>
      </w:r>
      <w:r>
        <w:rPr>
          <w:rFonts w:hint="eastAsia" w:ascii="宋体" w:hAnsi="宋体" w:eastAsia="宋体" w:cs="宋体"/>
          <w:color w:val="auto"/>
          <w:sz w:val="24"/>
          <w:szCs w:val="24"/>
          <w:highlight w:val="none"/>
          <w:u w:val="single"/>
        </w:rPr>
        <w:t>《投标函》及《投标函附录》外</w:t>
      </w:r>
      <w:r>
        <w:rPr>
          <w:rFonts w:hint="eastAsia" w:ascii="宋体" w:hAnsi="宋体" w:eastAsia="宋体" w:cs="宋体"/>
          <w:color w:val="auto"/>
          <w:sz w:val="24"/>
          <w:szCs w:val="24"/>
          <w:highlight w:val="none"/>
        </w:rPr>
        <w:t>，投标文件的其他内容均以电子文件（纸质原件的扫描件）编制，其格式要求详见第八章投标文件格式说明。</w:t>
      </w:r>
    </w:p>
    <w:p w14:paraId="3C1E31DE">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条款号：4.2.1             修改类型：修改</w:t>
      </w:r>
    </w:p>
    <w:p w14:paraId="6BB28C2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原文：4.2.1投标人代表应按投标须知前附表所规定的时间和地点向招标人递交投标文件。</w:t>
      </w:r>
    </w:p>
    <w:p w14:paraId="6A4EF02A">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现文：4.2.1投标人代表应按投标须知前附表所规定的</w:t>
      </w:r>
      <w:r>
        <w:rPr>
          <w:rFonts w:hint="eastAsia" w:ascii="宋体" w:hAnsi="宋体" w:eastAsia="宋体" w:cs="宋体"/>
          <w:b/>
          <w:color w:val="auto"/>
          <w:sz w:val="24"/>
          <w:szCs w:val="24"/>
          <w:highlight w:val="none"/>
        </w:rPr>
        <w:t>时间和</w:t>
      </w:r>
      <w:r>
        <w:rPr>
          <w:rFonts w:hint="eastAsia" w:ascii="宋体" w:hAnsi="宋体" w:eastAsia="宋体" w:cs="宋体"/>
          <w:b/>
          <w:color w:val="auto"/>
          <w:sz w:val="24"/>
          <w:szCs w:val="24"/>
          <w:highlight w:val="none"/>
          <w:u w:val="single"/>
        </w:rPr>
        <w:t>交易平台</w:t>
      </w:r>
      <w:r>
        <w:rPr>
          <w:rFonts w:hint="eastAsia" w:ascii="宋体" w:hAnsi="宋体" w:eastAsia="宋体" w:cs="宋体"/>
          <w:color w:val="auto"/>
          <w:sz w:val="24"/>
          <w:szCs w:val="24"/>
          <w:highlight w:val="none"/>
        </w:rPr>
        <w:t>向招标人递交</w:t>
      </w:r>
      <w:r>
        <w:rPr>
          <w:rFonts w:hint="eastAsia" w:ascii="宋体" w:hAnsi="宋体" w:eastAsia="宋体" w:cs="宋体"/>
          <w:b/>
          <w:color w:val="auto"/>
          <w:sz w:val="24"/>
          <w:szCs w:val="24"/>
          <w:highlight w:val="none"/>
          <w:u w:val="single"/>
        </w:rPr>
        <w:t>电子</w:t>
      </w:r>
      <w:r>
        <w:rPr>
          <w:rFonts w:hint="eastAsia" w:ascii="宋体" w:hAnsi="宋体" w:eastAsia="宋体" w:cs="宋体"/>
          <w:b/>
          <w:color w:val="auto"/>
          <w:sz w:val="24"/>
          <w:szCs w:val="24"/>
          <w:highlight w:val="none"/>
        </w:rPr>
        <w:t>投标文件</w:t>
      </w:r>
      <w:r>
        <w:rPr>
          <w:rFonts w:hint="eastAsia" w:ascii="宋体" w:hAnsi="宋体" w:eastAsia="宋体" w:cs="宋体"/>
          <w:color w:val="auto"/>
          <w:sz w:val="24"/>
          <w:szCs w:val="24"/>
          <w:highlight w:val="none"/>
        </w:rPr>
        <w:t>。</w:t>
      </w:r>
    </w:p>
    <w:p w14:paraId="094AD032">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条款号：4.2.3             修改类型：修改</w:t>
      </w:r>
    </w:p>
    <w:p w14:paraId="08F10C1C">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原文：若出现以下情况，招标人将拒绝接收投标文件：</w:t>
      </w:r>
    </w:p>
    <w:p w14:paraId="19707E8F">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（1）电子投标文件未在投标截止时间前完整上传并保存在广州公共资源交易中心电子评标系统且取得回执的； </w:t>
      </w:r>
    </w:p>
    <w:p w14:paraId="388F2660">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（2）投标文件未按招标文件要求进行电子签章，并进行加密的；</w:t>
      </w:r>
    </w:p>
    <w:p w14:paraId="168F4D5B">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（3）电子投标文件中投标人电子签章不完整的；</w:t>
      </w:r>
    </w:p>
    <w:p w14:paraId="1D57BBE3">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（4）电子投标文件损坏或格式不正确的；</w:t>
      </w:r>
    </w:p>
    <w:p w14:paraId="1B9D98FB">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（5）电子投标文件未加密的。</w:t>
      </w:r>
    </w:p>
    <w:p w14:paraId="11BB2D16">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现文：若出现以下情况，招标人将拒绝接收投标文件：</w:t>
      </w:r>
    </w:p>
    <w:p w14:paraId="75A613EF">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（1）电子投标文件未在投标截止时间前完整上传并保存在广州交易集团有限公司（广州公共资源交易中心）电子评标系统且取得回执的； </w:t>
      </w:r>
    </w:p>
    <w:p w14:paraId="69A68D21">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（2）投标文件未按招标文件要求进行电子签章，并进行加密的；</w:t>
      </w:r>
    </w:p>
    <w:p w14:paraId="4638C034">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条款号：4.3.3             修改类型：修改</w:t>
      </w:r>
    </w:p>
    <w:p w14:paraId="42C44614">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原文：4.3.3 到投标截止时间止，招标人收到的投标文件少于3家的，招标人将依法重新组织招标。（当N个标段同时招标且不允许兼中时，若有效投标人不足N+2家，则重新组织招标）。</w:t>
      </w:r>
    </w:p>
    <w:p w14:paraId="517541C9">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现文：4.3.3 到投标截止时间止，招标人收到的投标文件少于3家的，招标人将依法重新组织招标。</w:t>
      </w:r>
    </w:p>
    <w:p w14:paraId="03AA2BC8">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条款号：5.2.1 </w:t>
      </w:r>
      <w:r>
        <w:rPr>
          <w:rFonts w:hint="eastAsia" w:ascii="宋体" w:hAnsi="宋体" w:eastAsia="宋体" w:cs="宋体"/>
          <w:bCs/>
          <w:color w:val="auto"/>
          <w:sz w:val="24"/>
          <w:szCs w:val="24"/>
          <w:highlight w:val="none"/>
        </w:rPr>
        <w:t xml:space="preserve">             </w:t>
      </w:r>
      <w:r>
        <w:rPr>
          <w:rFonts w:hint="eastAsia" w:ascii="宋体" w:hAnsi="宋体" w:eastAsia="宋体" w:cs="宋体"/>
          <w:color w:val="auto"/>
          <w:sz w:val="24"/>
          <w:szCs w:val="24"/>
          <w:highlight w:val="none"/>
        </w:rPr>
        <w:t>修改类型：修改</w:t>
      </w:r>
    </w:p>
    <w:p w14:paraId="2E362486">
      <w:pPr>
        <w:adjustRightIn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招标人按投标须知前附表第4.2.1项所规定的时间和地点公开开标，并邀请所有投标人参加，不参加视为认可唱标结果。</w:t>
      </w:r>
    </w:p>
    <w:p w14:paraId="17F21EEA">
      <w:pPr>
        <w:pBdr>
          <w:bottom w:val="single" w:color="auto" w:sz="4" w:space="1"/>
        </w:pBdr>
        <w:tabs>
          <w:tab w:val="left" w:pos="105"/>
        </w:tabs>
        <w:adjustRightInd w:val="0"/>
        <w:spacing w:line="360" w:lineRule="auto"/>
        <w:ind w:firstLine="482" w:firstLineChars="200"/>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招标人按投标须知前附表第4.2.1项所规定的时间和地点公开开标，并邀请所有投标人参加，不参加视为认可唱标结果。</w:t>
      </w:r>
      <w:r>
        <w:rPr>
          <w:rFonts w:hint="eastAsia" w:ascii="宋体" w:hAnsi="宋体" w:eastAsia="宋体" w:cs="宋体"/>
          <w:color w:val="auto"/>
          <w:sz w:val="24"/>
          <w:szCs w:val="24"/>
          <w:highlight w:val="none"/>
          <w:u w:val="single"/>
        </w:rPr>
        <w:t>开标方式采用电子开标和现场开标两种模式，投标人可选择在开标室参与开标或准时在线参加开标。参加在线开标的投标人登录交易平台实时查看开标、唱标情况。交易平台生成开标记录并向社会公众公布。</w:t>
      </w:r>
    </w:p>
    <w:p w14:paraId="7B060C4A">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条款号：5.2.3              修改类型：修改</w:t>
      </w:r>
    </w:p>
    <w:p w14:paraId="423EF2B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原文：5.2.3 招标人在招标文件要求的递交投标文件截止时间前收到的投标文件，在开标前未完成投标人解密的，其视为投标人放弃投标。</w:t>
      </w:r>
    </w:p>
    <w:p w14:paraId="1A82F8EE">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现文：5.2.3 招标人在招标文件要求的递交投标文件截止时间前收到的投标文件，在</w:t>
      </w:r>
      <w:r>
        <w:rPr>
          <w:rFonts w:hint="eastAsia" w:ascii="宋体" w:hAnsi="宋体" w:eastAsia="宋体" w:cs="宋体"/>
          <w:color w:val="auto"/>
          <w:sz w:val="24"/>
          <w:szCs w:val="24"/>
          <w:highlight w:val="none"/>
          <w:u w:val="single"/>
        </w:rPr>
        <w:t>规定的时间内</w:t>
      </w:r>
      <w:r>
        <w:rPr>
          <w:rFonts w:hint="eastAsia" w:ascii="宋体" w:hAnsi="宋体" w:eastAsia="宋体" w:cs="宋体"/>
          <w:color w:val="auto"/>
          <w:sz w:val="24"/>
          <w:szCs w:val="24"/>
          <w:highlight w:val="none"/>
        </w:rPr>
        <w:t>未完成投标人解密的，其视为投标人放弃投标。</w:t>
      </w:r>
    </w:p>
    <w:p w14:paraId="6C910002">
      <w:pP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条款号：5.3.1              修改类型：修改</w:t>
      </w:r>
    </w:p>
    <w:p w14:paraId="21D6ADF4">
      <w:pPr>
        <w:pBdr>
          <w:bottom w:val="single" w:color="auto" w:sz="4" w:space="1"/>
        </w:pBd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原文：投标人对开标有异议的，应当在开标现场提出，招标人当场作出答复，并制作记录。</w:t>
      </w:r>
    </w:p>
    <w:p w14:paraId="464E33FA">
      <w:pPr>
        <w:pBdr>
          <w:bottom w:val="single" w:color="auto" w:sz="4" w:space="1"/>
        </w:pBd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现文</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参加现场开标的投标人对开标有异议的，</w:t>
      </w:r>
      <w:r>
        <w:rPr>
          <w:rFonts w:hint="eastAsia" w:ascii="宋体" w:hAnsi="宋体" w:eastAsia="宋体" w:cs="宋体"/>
          <w:color w:val="auto"/>
          <w:sz w:val="24"/>
          <w:szCs w:val="24"/>
          <w:highlight w:val="none"/>
        </w:rPr>
        <w:t>应当在开标现场提出，招标人当场作出答复，并制作记录。</w:t>
      </w:r>
    </w:p>
    <w:p w14:paraId="07FF7B1F">
      <w:pP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条款号：5.3.4 </w:t>
      </w:r>
      <w:r>
        <w:rPr>
          <w:rFonts w:hint="eastAsia" w:ascii="宋体" w:hAnsi="宋体" w:eastAsia="宋体" w:cs="宋体"/>
          <w:bCs/>
          <w:color w:val="auto"/>
          <w:sz w:val="24"/>
          <w:szCs w:val="24"/>
          <w:highlight w:val="none"/>
        </w:rPr>
        <w:t xml:space="preserve">             </w:t>
      </w:r>
      <w:r>
        <w:rPr>
          <w:rFonts w:hint="eastAsia" w:ascii="宋体" w:hAnsi="宋体" w:eastAsia="宋体" w:cs="宋体"/>
          <w:color w:val="auto"/>
          <w:sz w:val="24"/>
          <w:szCs w:val="24"/>
          <w:highlight w:val="none"/>
        </w:rPr>
        <w:t>修改类型：增加</w:t>
      </w:r>
    </w:p>
    <w:p w14:paraId="1A5BD62E">
      <w:pPr>
        <w:pBdr>
          <w:bottom w:val="single" w:color="auto" w:sz="4" w:space="1"/>
        </w:pBd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w:t>
      </w:r>
      <w:r>
        <w:rPr>
          <w:rFonts w:hint="eastAsia" w:ascii="宋体" w:hAnsi="宋体" w:eastAsia="宋体" w:cs="宋体"/>
          <w:color w:val="auto"/>
          <w:sz w:val="24"/>
          <w:szCs w:val="24"/>
          <w:highlight w:val="none"/>
          <w:u w:val="single"/>
        </w:rPr>
        <w:t>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379257B6">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条款号：5.4                修改类型：修改</w:t>
      </w:r>
    </w:p>
    <w:p w14:paraId="788F526C">
      <w:pPr>
        <w:tabs>
          <w:tab w:val="left" w:pos="105"/>
        </w:tabs>
        <w:adjustRightIn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原文：</w:t>
      </w:r>
      <w:r>
        <w:rPr>
          <w:rFonts w:hint="eastAsia" w:ascii="宋体" w:hAnsi="宋体" w:eastAsia="宋体" w:cs="宋体"/>
          <w:b/>
          <w:color w:val="auto"/>
          <w:sz w:val="24"/>
          <w:szCs w:val="24"/>
          <w:highlight w:val="none"/>
        </w:rPr>
        <w:t>5.4开标时，出现下列情形之一的，不参与资格审查和评标：</w:t>
      </w:r>
    </w:p>
    <w:p w14:paraId="6529520D">
      <w:pP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5.4.1未成功递交投标文件的；</w:t>
      </w:r>
    </w:p>
    <w:p w14:paraId="4A617B76">
      <w:pP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5.4.2因投标人原因造成投标文件未解密的；</w:t>
      </w:r>
    </w:p>
    <w:p w14:paraId="32D9900F">
      <w:pP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5.4.3未按招标文件要求提供投标保证金的；</w:t>
      </w:r>
    </w:p>
    <w:p w14:paraId="15E65FE7">
      <w:pP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5.4.4两个（含两个）以上的投标人加密打包投标文件电脑机器码一致的；</w:t>
      </w:r>
    </w:p>
    <w:p w14:paraId="4BF94143">
      <w:pPr>
        <w:tabs>
          <w:tab w:val="left" w:pos="105"/>
        </w:tabs>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5.4.5项目负责人和安全员为同一人的；</w:t>
      </w:r>
    </w:p>
    <w:p w14:paraId="53B0DC70">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5.4.6投标文件中的投标人、项目负责人、安全员与投标登记时的信息不一致的。</w:t>
      </w:r>
    </w:p>
    <w:p w14:paraId="33A30B5D">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现文：5.4开标时，出现下列情形之一的，不参与资格审查和评标：</w:t>
      </w:r>
    </w:p>
    <w:p w14:paraId="1AAC3D99">
      <w:pPr>
        <w:pBdr>
          <w:bottom w:val="single" w:color="auto" w:sz="6"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5.4.1因投标人原因造成电子投标文件未解密或逾期解密的；</w:t>
      </w:r>
    </w:p>
    <w:p w14:paraId="47EC4E1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条款号：6.1.1</w:t>
      </w:r>
      <w:r>
        <w:rPr>
          <w:rFonts w:hint="eastAsia" w:ascii="宋体" w:hAnsi="宋体" w:eastAsia="宋体" w:cs="宋体"/>
          <w:bCs/>
          <w:color w:val="auto"/>
          <w:sz w:val="24"/>
          <w:szCs w:val="24"/>
          <w:highlight w:val="none"/>
        </w:rPr>
        <w:t xml:space="preserve">              </w:t>
      </w:r>
      <w:r>
        <w:rPr>
          <w:rFonts w:hint="eastAsia" w:ascii="宋体" w:hAnsi="宋体" w:eastAsia="宋体" w:cs="宋体"/>
          <w:color w:val="auto"/>
          <w:sz w:val="24"/>
          <w:szCs w:val="24"/>
          <w:highlight w:val="none"/>
        </w:rPr>
        <w:t>修改类型：修改</w:t>
      </w:r>
    </w:p>
    <w:p w14:paraId="7BE93B05">
      <w:pPr>
        <w:adjustRightIn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评标由招标人依法组建的评标委员会负责。评标委员会由有关技术、经济等方面的专家和招标人代表组成，专家从交易中心符合规定的评标专家库中抽取。评标委员会成员人数以及技术、经济等方面专家的确定方式见投标人须知前附表。</w:t>
      </w:r>
    </w:p>
    <w:p w14:paraId="3C86C57C">
      <w:pPr>
        <w:adjustRightIn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评标由招标人依法组建的评标委员会负责。评标委员会由有关技术、经济等方面的专家，专家从交易中心符合规定的评标专家库中抽取。评标委员会成员人数以及技术、经济等方面专家的确定方式见投标人须知前附表。</w:t>
      </w:r>
    </w:p>
    <w:p w14:paraId="364B9073">
      <w:pPr>
        <w:pBdr>
          <w:top w:val="single" w:color="auto" w:sz="4" w:space="1"/>
        </w:pBdr>
        <w:adjustRightIn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条款号：7.1.2           修改类型：增加</w:t>
      </w:r>
    </w:p>
    <w:p w14:paraId="66512FE0">
      <w:pPr>
        <w:adjustRightInd w:val="0"/>
        <w:spacing w:line="360" w:lineRule="auto"/>
        <w:ind w:firstLine="566" w:firstLineChars="236"/>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现文：</w:t>
      </w:r>
      <w:r>
        <w:rPr>
          <w:rFonts w:hint="eastAsia" w:ascii="宋体" w:hAnsi="宋体" w:eastAsia="宋体" w:cs="宋体"/>
          <w:color w:val="auto"/>
          <w:sz w:val="24"/>
          <w:highlight w:val="none"/>
          <w:u w:val="single"/>
        </w:rPr>
        <w:t>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5109AA11">
      <w:pPr>
        <w:pBdr>
          <w:top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条款号：7.2.2             修改类型：修改</w:t>
      </w:r>
    </w:p>
    <w:p w14:paraId="7BA31A2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原文：中标候选人公示时，招标人将同时公示中标候选人的投标文件商务部分文件的所有内容（包括人员、业绩、奖项等资料）</w:t>
      </w:r>
    </w:p>
    <w:p w14:paraId="3C1B45A7">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现文：</w:t>
      </w:r>
      <w:r>
        <w:rPr>
          <w:rFonts w:hint="eastAsia" w:ascii="宋体" w:hAnsi="宋体" w:eastAsia="宋体" w:cs="宋体"/>
          <w:color w:val="auto"/>
          <w:sz w:val="24"/>
          <w:szCs w:val="24"/>
          <w:highlight w:val="none"/>
          <w:u w:val="single"/>
        </w:rPr>
        <w:t>在产生中标候选人后，招标人将按相关要求在广州交易集团有限公司（广州公共资源交易中心）、中国招标投标公共服务平台网站、广州国企阳光采购信息发布平台网站公开。</w:t>
      </w:r>
    </w:p>
    <w:p w14:paraId="3EEB0A7B">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条款号：7.4.1             修改类型：修改</w:t>
      </w:r>
    </w:p>
    <w:p w14:paraId="436DC131">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文：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178B7369">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w:t>
      </w:r>
      <w:r>
        <w:rPr>
          <w:rFonts w:hint="eastAsia" w:ascii="宋体" w:hAnsi="宋体" w:eastAsia="宋体" w:cs="宋体"/>
          <w:color w:val="auto"/>
          <w:sz w:val="24"/>
          <w:szCs w:val="24"/>
          <w:highlight w:val="none"/>
          <w:u w:val="single"/>
        </w:rPr>
        <w:t>在合同签订后10日内，</w:t>
      </w:r>
      <w:r>
        <w:rPr>
          <w:rFonts w:hint="eastAsia" w:ascii="宋体" w:hAnsi="宋体" w:eastAsia="宋体" w:cs="宋体"/>
          <w:color w:val="auto"/>
          <w:sz w:val="24"/>
          <w:szCs w:val="24"/>
          <w:highlight w:val="none"/>
        </w:rPr>
        <w:t>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38A948E0">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条款号：9.5                                  修改类型：增加</w:t>
      </w:r>
    </w:p>
    <w:p w14:paraId="65A79F1F">
      <w:pPr>
        <w:adjustRightIn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0E13899F">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6A622490">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252734E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条款号：附件二                    修改类型：删除</w:t>
      </w:r>
    </w:p>
    <w:p w14:paraId="267A7E8E">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现文：问题澄清通知</w:t>
      </w:r>
    </w:p>
    <w:p w14:paraId="6639B3B0">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条款号：附件三                    修改类型：删除</w:t>
      </w:r>
    </w:p>
    <w:p w14:paraId="475F2111">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现文：问题的澄清</w:t>
      </w:r>
    </w:p>
    <w:p w14:paraId="4F0D2191">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条款号：附件四                    修改类型：删除</w:t>
      </w:r>
    </w:p>
    <w:p w14:paraId="77133DE2">
      <w:pPr>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现文：中标通知书</w:t>
      </w:r>
    </w:p>
    <w:p w14:paraId="2B620164">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注：以上修改，仅限于本范本中有可供选择条款的情形。</w:t>
      </w:r>
    </w:p>
    <w:p w14:paraId="1A593DB2">
      <w:pPr>
        <w:adjustRightInd w:val="0"/>
        <w:spacing w:line="360" w:lineRule="auto"/>
        <w:ind w:firstLine="200"/>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rPr>
        <w:t>（以下无正文）</w:t>
      </w:r>
    </w:p>
    <w:p w14:paraId="73142229">
      <w:pPr>
        <w:widowControl/>
        <w:jc w:val="left"/>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highlight w:val="none"/>
        </w:rPr>
        <w:br w:type="page"/>
      </w:r>
    </w:p>
    <w:p w14:paraId="0490FD40">
      <w:pPr>
        <w:spacing w:line="360" w:lineRule="auto"/>
        <w:jc w:val="center"/>
        <w:outlineLvl w:val="2"/>
        <w:rPr>
          <w:rFonts w:hint="eastAsia" w:ascii="宋体" w:hAnsi="宋体" w:eastAsia="宋体" w:cs="宋体"/>
          <w:color w:val="auto"/>
          <w:sz w:val="28"/>
          <w:szCs w:val="27"/>
          <w:highlight w:val="none"/>
        </w:rPr>
      </w:pPr>
      <w:bookmarkStart w:id="92" w:name="_Toc17452665"/>
      <w:bookmarkStart w:id="93" w:name="_Toc17454872"/>
      <w:bookmarkStart w:id="94" w:name="_Toc17451102"/>
      <w:bookmarkStart w:id="95" w:name="_Toc17556932"/>
      <w:bookmarkStart w:id="96" w:name="_Toc17556877"/>
      <w:bookmarkStart w:id="97" w:name="_Toc17451579"/>
      <w:bookmarkStart w:id="98" w:name="_Toc17451624"/>
      <w:bookmarkStart w:id="99" w:name="_Toc17454923"/>
      <w:bookmarkStart w:id="100" w:name="_Toc7645"/>
      <w:r>
        <w:rPr>
          <w:rFonts w:hint="eastAsia" w:ascii="宋体" w:hAnsi="宋体" w:eastAsia="宋体" w:cs="宋体"/>
          <w:color w:val="auto"/>
          <w:sz w:val="28"/>
          <w:szCs w:val="27"/>
          <w:highlight w:val="none"/>
        </w:rPr>
        <w:t>三、投标须知通用条款</w:t>
      </w:r>
      <w:bookmarkEnd w:id="92"/>
      <w:bookmarkEnd w:id="93"/>
      <w:bookmarkEnd w:id="94"/>
      <w:bookmarkEnd w:id="95"/>
      <w:bookmarkEnd w:id="96"/>
      <w:bookmarkEnd w:id="97"/>
      <w:bookmarkEnd w:id="98"/>
      <w:bookmarkEnd w:id="99"/>
      <w:bookmarkEnd w:id="100"/>
    </w:p>
    <w:p w14:paraId="6C5D9E8C">
      <w:pPr>
        <w:jc w:val="center"/>
        <w:outlineLvl w:val="3"/>
        <w:rPr>
          <w:rFonts w:hint="eastAsia" w:ascii="宋体" w:hAnsi="宋体" w:eastAsia="宋体" w:cs="宋体"/>
          <w:b/>
          <w:color w:val="auto"/>
          <w:sz w:val="30"/>
          <w:szCs w:val="30"/>
          <w:highlight w:val="none"/>
        </w:rPr>
      </w:pPr>
      <w:bookmarkStart w:id="101" w:name="_Toc262229163"/>
      <w:bookmarkStart w:id="102" w:name="_Toc101777612"/>
      <w:bookmarkStart w:id="103" w:name="_Toc85505512"/>
      <w:r>
        <w:rPr>
          <w:rFonts w:hint="eastAsia" w:ascii="宋体" w:hAnsi="宋体" w:eastAsia="宋体" w:cs="宋体"/>
          <w:b/>
          <w:color w:val="auto"/>
          <w:sz w:val="30"/>
          <w:szCs w:val="30"/>
          <w:highlight w:val="none"/>
        </w:rPr>
        <w:t>（一）总则</w:t>
      </w:r>
      <w:bookmarkEnd w:id="101"/>
      <w:bookmarkEnd w:id="102"/>
      <w:bookmarkEnd w:id="103"/>
    </w:p>
    <w:p w14:paraId="1DA1C889">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1.1 项目概况</w:t>
      </w:r>
    </w:p>
    <w:p w14:paraId="10035C37">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1.1.1根据《中华人民共和国招标投标法》等有关法律、法规和规章的规定，本招标项目已具备招标条件，现对本标段施工进行招标。</w:t>
      </w:r>
    </w:p>
    <w:p w14:paraId="18D34330">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1.1.2 本招标项目招标人：见投标人须知前附表。</w:t>
      </w:r>
    </w:p>
    <w:p w14:paraId="65768403">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1.1.3 本标段招标代理机构：见投标人须知前附表。</w:t>
      </w:r>
    </w:p>
    <w:p w14:paraId="372F7574">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1.1.4 本招标项目名称：见投标人须知前附表。</w:t>
      </w:r>
    </w:p>
    <w:p w14:paraId="38659756">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1.1.5 本标段建设地点：见投标人须知前附表。</w:t>
      </w:r>
    </w:p>
    <w:p w14:paraId="739A8531">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 资金来源和落实情况</w:t>
      </w:r>
    </w:p>
    <w:p w14:paraId="06A34C1D">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1.2.1 本招标项目的资金来源及出资比例：见投标人须知前附表。</w:t>
      </w:r>
    </w:p>
    <w:p w14:paraId="47200B63">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 招标范围、计划工期和质量要求</w:t>
      </w:r>
    </w:p>
    <w:p w14:paraId="07A73855">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1.3.1 本次招标范围：见投标人须知前附表。</w:t>
      </w:r>
    </w:p>
    <w:p w14:paraId="5ECBF1DD">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1.3.2 本标段的计划工期：见投标人须知前附表。</w:t>
      </w:r>
    </w:p>
    <w:p w14:paraId="31146E05">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1.3.3 本标段的质量要求：见投标人须知前附表。</w:t>
      </w:r>
    </w:p>
    <w:p w14:paraId="616F27B4">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1.3.4 本招标项目的承包方式：见投标人须知前附表。</w:t>
      </w:r>
    </w:p>
    <w:p w14:paraId="0D81B689">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 投标人资格要求</w:t>
      </w:r>
    </w:p>
    <w:p w14:paraId="489178B6">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u w:val="single"/>
        </w:rPr>
        <w:t>详见招标公告第3点。</w:t>
      </w:r>
    </w:p>
    <w:p w14:paraId="1A788FFE">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 费用承担</w:t>
      </w:r>
    </w:p>
    <w:p w14:paraId="12C71068">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投标人准备和参加投标活动发生的费用自理。</w:t>
      </w:r>
    </w:p>
    <w:p w14:paraId="3D058447">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1.6 保密</w:t>
      </w:r>
    </w:p>
    <w:p w14:paraId="004502CC">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参与招标投标活动的各方应对招标文件和投标文件中的商业和技术等秘密保密，违者应对由此造成的后果承担法律责任。 </w:t>
      </w:r>
    </w:p>
    <w:p w14:paraId="606C0EB9">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1.7 语言文字</w:t>
      </w:r>
    </w:p>
    <w:p w14:paraId="0BE219FC">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除专用术语外，与招标投标有关的语言均使用中文。必要时专用术语应附有中文注释。</w:t>
      </w:r>
    </w:p>
    <w:p w14:paraId="09F73240">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 计量单位</w:t>
      </w:r>
    </w:p>
    <w:p w14:paraId="1749C02B">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所有计量均采用中华人民共和国法定计量单位。</w:t>
      </w:r>
    </w:p>
    <w:p w14:paraId="214D92F5">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 踏勘现场</w:t>
      </w:r>
    </w:p>
    <w:p w14:paraId="4DA4072D">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1.9.1 投标人按投标人须知前附表规定的时间、地点自行踏勘项目现场。 </w:t>
      </w:r>
    </w:p>
    <w:p w14:paraId="669F8DEE">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1.9.2 投标人踏勘现场发生的费用自理。</w:t>
      </w:r>
    </w:p>
    <w:p w14:paraId="22FD6347">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1.9.3 除招标人的原因外，投标人自行负责在踏勘现场中所发生的人员伤亡和财产损失。</w:t>
      </w:r>
    </w:p>
    <w:p w14:paraId="079529A5">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1.9.4 招标人在踏勘现场中了解的工程场地和相关的周边环境情况，供投标人在编制投标文件时参考，招标人不对投标人据此作出的判断和决策负责。</w:t>
      </w:r>
    </w:p>
    <w:p w14:paraId="384DD35E">
      <w:pPr>
        <w:tabs>
          <w:tab w:val="left" w:pos="105"/>
        </w:tabs>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1.10 投标预备会</w:t>
      </w:r>
    </w:p>
    <w:p w14:paraId="04EFC3A6">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1.10.1招标人不召开投标预备会，投标人提出的澄清问题通过交易中心网站提交。网上答疑的相关事项详见招标文件2.2款。</w:t>
      </w:r>
    </w:p>
    <w:p w14:paraId="1C03A1D6">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1.10.2 投标人应在投标人须知前附表规定的时间前，在交易中心网站上提出须澄清的问题。</w:t>
      </w:r>
    </w:p>
    <w:p w14:paraId="092BD8E3">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1.11 偏离</w:t>
      </w:r>
    </w:p>
    <w:p w14:paraId="29ABA378">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投标人须知前附表允许投标文件偏离招标文件某些要求的，偏离应当符合招标文件规定的偏离范围和幅度。</w:t>
      </w:r>
    </w:p>
    <w:p w14:paraId="36E45C24">
      <w:pPr>
        <w:jc w:val="center"/>
        <w:outlineLvl w:val="3"/>
        <w:rPr>
          <w:rFonts w:hint="eastAsia" w:ascii="宋体" w:hAnsi="宋体" w:eastAsia="宋体" w:cs="宋体"/>
          <w:b/>
          <w:color w:val="auto"/>
          <w:sz w:val="30"/>
          <w:szCs w:val="30"/>
          <w:highlight w:val="none"/>
        </w:rPr>
      </w:pPr>
      <w:bookmarkStart w:id="104" w:name="_Toc262229164"/>
      <w:r>
        <w:rPr>
          <w:rFonts w:hint="eastAsia" w:ascii="宋体" w:hAnsi="宋体" w:eastAsia="宋体" w:cs="宋体"/>
          <w:b/>
          <w:color w:val="auto"/>
          <w:sz w:val="30"/>
          <w:szCs w:val="30"/>
          <w:highlight w:val="none"/>
        </w:rPr>
        <w:t>（二）招标文件</w:t>
      </w:r>
      <w:bookmarkEnd w:id="104"/>
    </w:p>
    <w:p w14:paraId="2EFB7B4E">
      <w:pPr>
        <w:tabs>
          <w:tab w:val="left" w:pos="105"/>
        </w:tabs>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 招标文件的组成</w:t>
      </w:r>
    </w:p>
    <w:p w14:paraId="0CCB69C2">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2.1.1</w:t>
      </w:r>
      <w:r>
        <w:rPr>
          <w:rFonts w:hint="eastAsia" w:ascii="宋体" w:hAnsi="宋体" w:eastAsia="宋体" w:cs="宋体"/>
          <w:color w:val="auto"/>
          <w:sz w:val="24"/>
          <w:highlight w:val="none"/>
        </w:rPr>
        <w:t>本招标文件包括下列文件，以及所有按本须知第</w:t>
      </w:r>
      <w:r>
        <w:rPr>
          <w:rFonts w:hint="eastAsia" w:ascii="宋体" w:hAnsi="宋体" w:eastAsia="宋体" w:cs="宋体"/>
          <w:color w:val="auto"/>
          <w:sz w:val="24"/>
          <w:highlight w:val="none"/>
          <w:u w:val="single"/>
        </w:rPr>
        <w:t>2.3</w:t>
      </w:r>
      <w:r>
        <w:rPr>
          <w:rFonts w:hint="eastAsia" w:ascii="宋体" w:hAnsi="宋体" w:eastAsia="宋体" w:cs="宋体"/>
          <w:color w:val="auto"/>
          <w:sz w:val="24"/>
          <w:highlight w:val="none"/>
        </w:rPr>
        <w:t>条发出的澄清或修改和按本须知第</w:t>
      </w:r>
      <w:r>
        <w:rPr>
          <w:rFonts w:hint="eastAsia" w:ascii="宋体" w:hAnsi="宋体" w:eastAsia="宋体" w:cs="宋体"/>
          <w:color w:val="auto"/>
          <w:sz w:val="24"/>
          <w:highlight w:val="none"/>
          <w:u w:val="single"/>
        </w:rPr>
        <w:t>2.2</w:t>
      </w:r>
      <w:r>
        <w:rPr>
          <w:rFonts w:hint="eastAsia" w:ascii="宋体" w:hAnsi="宋体" w:eastAsia="宋体" w:cs="宋体"/>
          <w:color w:val="auto"/>
          <w:sz w:val="24"/>
          <w:highlight w:val="none"/>
        </w:rPr>
        <w:t>条发出的招标答疑会会议纪要：</w:t>
      </w:r>
    </w:p>
    <w:p w14:paraId="1E9748C5">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（1）招标公告（或投标邀请书）；</w:t>
      </w:r>
    </w:p>
    <w:p w14:paraId="77BFAF8A">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（2）投标人须知；</w:t>
      </w:r>
    </w:p>
    <w:p w14:paraId="341D7A17">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（3）评标办法；</w:t>
      </w:r>
    </w:p>
    <w:p w14:paraId="5825341F">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（4）合同条款及格式；</w:t>
      </w:r>
    </w:p>
    <w:p w14:paraId="7B692F70">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u w:val="single"/>
        </w:rPr>
        <w:t>（5）工程量清单；</w:t>
      </w:r>
    </w:p>
    <w:p w14:paraId="74B4503B">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（6）图纸； </w:t>
      </w:r>
    </w:p>
    <w:p w14:paraId="587D5C06">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（7）技术标准和要求； </w:t>
      </w:r>
    </w:p>
    <w:p w14:paraId="598FE0A4">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（8）投标文件格式；</w:t>
      </w:r>
    </w:p>
    <w:p w14:paraId="695CA8EC">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（9）否决性条款汇总.</w:t>
      </w:r>
    </w:p>
    <w:p w14:paraId="7B4469D0">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（10）最高投标限价（招标控制价）。</w:t>
      </w:r>
    </w:p>
    <w:p w14:paraId="667601A3">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rPr>
        <w:t>（11）投标人须知前附表规定的其他材料。</w:t>
      </w:r>
    </w:p>
    <w:p w14:paraId="5B8CC100">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2.1.2根据本章第1.10款、第2.2款和第2.3款对招标文件所作的澄清、修改，构成招标文件的组成部分。</w:t>
      </w:r>
    </w:p>
    <w:p w14:paraId="7208561B">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2.1.3招标人（或委托招标代理机构）使用广东省内依法设立的电子认证服务机构签发的电子签章认证证书对电子形式的招标文件进行</w:t>
      </w:r>
      <w:r>
        <w:rPr>
          <w:rFonts w:hint="eastAsia" w:ascii="宋体" w:hAnsi="宋体" w:eastAsia="宋体" w:cs="宋体"/>
          <w:bCs/>
          <w:strike/>
          <w:color w:val="auto"/>
          <w:sz w:val="24"/>
          <w:highlight w:val="none"/>
        </w:rPr>
        <w:t>电子签名及</w:t>
      </w:r>
      <w:r>
        <w:rPr>
          <w:rFonts w:hint="eastAsia" w:ascii="宋体" w:hAnsi="宋体" w:eastAsia="宋体" w:cs="宋体"/>
          <w:bCs/>
          <w:color w:val="auto"/>
          <w:sz w:val="24"/>
          <w:highlight w:val="none"/>
        </w:rPr>
        <w:t>电子签章。该电子签章对招标人手写签名或者盖章同等的法律效力。</w:t>
      </w:r>
    </w:p>
    <w:p w14:paraId="074CA4D0">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2.1.4投标人获取电子招标文件后，应仔细检查电子招标文件的合法有效性。合法有效的电子招标文件应具有招标人（或招标代理机构）的电子签章。</w:t>
      </w:r>
    </w:p>
    <w:p w14:paraId="480B728F">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2.1.5招标人应在招标文件中明确投标文件主要内容编制的格式要求。</w:t>
      </w:r>
    </w:p>
    <w:p w14:paraId="101D4482">
      <w:pPr>
        <w:widowControl/>
        <w:snapToGrid w:val="0"/>
        <w:spacing w:line="360" w:lineRule="auto"/>
        <w:ind w:firstLine="482" w:firstLineChars="200"/>
        <w:jc w:val="left"/>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2.2招标答疑</w:t>
      </w:r>
    </w:p>
    <w:p w14:paraId="61829338">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1"/>
          <w:highlight w:val="none"/>
        </w:rPr>
        <w:t>2.2.1</w:t>
      </w:r>
      <w:r>
        <w:rPr>
          <w:rFonts w:hint="eastAsia" w:ascii="宋体" w:hAnsi="宋体" w:eastAsia="宋体" w:cs="宋体"/>
          <w:color w:val="auto"/>
          <w:sz w:val="24"/>
          <w:highlight w:val="none"/>
        </w:rPr>
        <w:t xml:space="preserve"> 招标答疑采用网上答疑方式进行。投标人若对招标文件（包括招标图纸、清单、</w:t>
      </w:r>
      <w:r>
        <w:rPr>
          <w:rFonts w:hint="eastAsia" w:ascii="宋体" w:hAnsi="宋体" w:eastAsia="宋体" w:cs="宋体"/>
          <w:color w:val="auto"/>
          <w:sz w:val="24"/>
          <w:highlight w:val="none"/>
          <w:u w:val="single"/>
        </w:rPr>
        <w:t>最高投标限价</w:t>
      </w:r>
      <w:r>
        <w:rPr>
          <w:rFonts w:hint="eastAsia" w:ascii="宋体" w:hAnsi="宋体" w:eastAsia="宋体" w:cs="宋体"/>
          <w:color w:val="auto"/>
          <w:sz w:val="24"/>
          <w:highlight w:val="none"/>
        </w:rPr>
        <w:t>）有疑问的，可在规定的时间内通过</w:t>
      </w:r>
      <w:r>
        <w:rPr>
          <w:rFonts w:hint="eastAsia" w:ascii="宋体" w:hAnsi="宋体" w:eastAsia="宋体" w:cs="宋体"/>
          <w:color w:val="auto"/>
          <w:sz w:val="24"/>
          <w:szCs w:val="24"/>
          <w:highlight w:val="none"/>
        </w:rPr>
        <w:t>广州交易集团有限公司（广州公共资源交易中心）网站</w:t>
      </w:r>
      <w:r>
        <w:rPr>
          <w:rFonts w:hint="eastAsia" w:ascii="宋体" w:hAnsi="宋体" w:eastAsia="宋体" w:cs="宋体"/>
          <w:color w:val="auto"/>
          <w:sz w:val="24"/>
          <w:highlight w:val="none"/>
        </w:rPr>
        <w:t>凭密码进入提问区域将问题提交给招标人或招标代理人，提交问题时一律不得署名。</w:t>
      </w:r>
    </w:p>
    <w:p w14:paraId="301709F2">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网上答疑的操作指南为：登陆广州交易集团有限公司（广州公共资源交易中心）网站→进入“我是投标人”→进入“新建设工程交易平台”→进入“我的投标”→进入“招标答疑提问”→通过项目编号或名称找到所需的项目→在上述的答疑时间内点击“答疑提问”进入到提问区域→无记名或匿名提出问题。</w:t>
      </w:r>
    </w:p>
    <w:p w14:paraId="054B3AB2">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2.2.2投标人应在投标截止时间</w:t>
      </w:r>
      <w:r>
        <w:rPr>
          <w:rFonts w:hint="eastAsia" w:ascii="宋体" w:hAnsi="宋体" w:eastAsia="宋体" w:cs="宋体"/>
          <w:color w:val="auto"/>
          <w:sz w:val="24"/>
          <w:highlight w:val="none"/>
          <w:u w:val="single"/>
        </w:rPr>
        <w:t>15日前</w:t>
      </w:r>
      <w:r>
        <w:rPr>
          <w:rFonts w:hint="eastAsia" w:ascii="宋体" w:hAnsi="宋体" w:eastAsia="宋体" w:cs="宋体"/>
          <w:color w:val="auto"/>
          <w:sz w:val="24"/>
          <w:highlight w:val="none"/>
        </w:rPr>
        <w:t>停止质疑。招标人应在投标截止时间7日前解答投标人对招标文件提出的疑问，形成答疑纪要，</w:t>
      </w:r>
      <w:r>
        <w:rPr>
          <w:rFonts w:hint="eastAsia" w:ascii="宋体" w:hAnsi="宋体" w:eastAsia="宋体" w:cs="宋体"/>
          <w:color w:val="auto"/>
          <w:sz w:val="24"/>
          <w:highlight w:val="none"/>
          <w:u w:val="single"/>
        </w:rPr>
        <w:t>在广州交易集团有限公司（广州公共资源交易中心）网站发布。投标人可直接从交易中心网站“项目查询（日程安排、答疑纪要）”专区进入，下载项目的答疑纪要；也可以登录交易中心数字交易平台“我是投标人（供应商）”-&gt;“我的投标项目”-&gt;“答疑纪要”。</w:t>
      </w:r>
    </w:p>
    <w:p w14:paraId="0246515E">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2.2.3</w:t>
      </w:r>
      <w:r>
        <w:rPr>
          <w:rFonts w:hint="eastAsia" w:ascii="宋体" w:hAnsi="宋体" w:eastAsia="宋体" w:cs="宋体"/>
          <w:color w:val="auto"/>
          <w:sz w:val="24"/>
          <w:highlight w:val="none"/>
        </w:rPr>
        <w:t>招标答疑纪要一经在广州交易集团有限公司（广州公共资源交易中心）网站发布，视作已发放给所有投标人。</w:t>
      </w:r>
    </w:p>
    <w:p w14:paraId="0E75EBED">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2.2.4招标答疑纪要为招标文件的一部分。</w:t>
      </w:r>
      <w:r>
        <w:rPr>
          <w:rFonts w:hint="eastAsia" w:ascii="宋体" w:hAnsi="宋体" w:eastAsia="宋体" w:cs="宋体"/>
          <w:color w:val="auto"/>
          <w:sz w:val="24"/>
          <w:szCs w:val="24"/>
          <w:highlight w:val="none"/>
        </w:rPr>
        <w:t>投标人可在广州交易集团有限公司（广州公共资源交易中心）网站浏览、下载招标答疑纪要。</w:t>
      </w:r>
    </w:p>
    <w:p w14:paraId="4B86B456">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2.2.5若招标答疑纪要与招标文件有矛盾时，以</w:t>
      </w:r>
      <w:r>
        <w:rPr>
          <w:rFonts w:hint="eastAsia" w:ascii="宋体" w:hAnsi="宋体" w:eastAsia="宋体" w:cs="宋体"/>
          <w:color w:val="auto"/>
          <w:sz w:val="24"/>
          <w:szCs w:val="24"/>
          <w:highlight w:val="none"/>
        </w:rPr>
        <w:t>广州交易集团有限公司（广州公共资源交易中心）网站</w:t>
      </w:r>
      <w:r>
        <w:rPr>
          <w:rFonts w:hint="eastAsia" w:ascii="宋体" w:hAnsi="宋体" w:eastAsia="宋体" w:cs="宋体"/>
          <w:color w:val="auto"/>
          <w:sz w:val="24"/>
          <w:highlight w:val="none"/>
        </w:rPr>
        <w:t>最后发布的答疑纪要为准。</w:t>
      </w:r>
    </w:p>
    <w:p w14:paraId="776935AE">
      <w:pPr>
        <w:tabs>
          <w:tab w:val="left" w:pos="105"/>
        </w:tabs>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2.3</w:t>
      </w:r>
      <w:r>
        <w:rPr>
          <w:rFonts w:hint="eastAsia" w:ascii="宋体" w:hAnsi="宋体" w:eastAsia="宋体" w:cs="宋体"/>
          <w:b/>
          <w:color w:val="auto"/>
          <w:sz w:val="24"/>
          <w:szCs w:val="24"/>
          <w:highlight w:val="none"/>
        </w:rPr>
        <w:t>招标文件的澄清与修改</w:t>
      </w:r>
    </w:p>
    <w:p w14:paraId="40C29E99">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2.3.1 在投标须知前附表规定的时间前，招标人可以书面形式修改招标文件，并通过广州交易集团有限公司（广州公共资源交易中心）网站发布。如果修改招标文件的时间距投标截止时间不足投标须知前附表规定的时间，并且修改内容影响投标文件编制的，相应延长投标截止时间。</w:t>
      </w:r>
    </w:p>
    <w:p w14:paraId="4FD3C065">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2.3.2投标人应及时通过广州交易集团有限公司（广州公共资源交易中心）网站浏览、下载招标文件修改。</w:t>
      </w:r>
    </w:p>
    <w:p w14:paraId="65030639">
      <w:pPr>
        <w:pStyle w:val="38"/>
        <w:spacing w:before="50" w:after="5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2.3.3招标文件的澄清或修改在广州交易集团有限公司（广州公共资源交易中心）网站发布。招标文件的澄清或修改一经在广州交易集团有限公司（广州公共资源交易中心）网站发布，视作已发放给所有投标人。</w:t>
      </w:r>
    </w:p>
    <w:p w14:paraId="4C001236">
      <w:pPr>
        <w:pStyle w:val="38"/>
        <w:spacing w:before="50" w:after="5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2.3.4招标文件的澄清、修改作为招标文件的组成部分，具有约束作用。</w:t>
      </w:r>
    </w:p>
    <w:p w14:paraId="7E6619D1">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color w:val="auto"/>
          <w:sz w:val="24"/>
          <w:highlight w:val="none"/>
        </w:rPr>
        <w:t>2.3.5招标文件的澄清、修改均以广州交易集团有限公司（广州公共资源交易中心）网站</w:t>
      </w:r>
      <w:r>
        <w:rPr>
          <w:rFonts w:hint="eastAsia" w:ascii="宋体" w:hAnsi="宋体" w:eastAsia="宋体" w:cs="宋体"/>
          <w:color w:val="auto"/>
          <w:sz w:val="24"/>
          <w:szCs w:val="24"/>
          <w:highlight w:val="none"/>
        </w:rPr>
        <w:t>发布</w:t>
      </w:r>
      <w:r>
        <w:rPr>
          <w:rFonts w:hint="eastAsia" w:ascii="宋体" w:hAnsi="宋体" w:eastAsia="宋体" w:cs="宋体"/>
          <w:color w:val="auto"/>
          <w:sz w:val="24"/>
          <w:highlight w:val="none"/>
        </w:rPr>
        <w:t>的内容为准。当招标文件的澄清、修改在同一内容的表述不一致时，以广州交易集团有限公司（广州公共资源交易中心）网站最后发布的内容为准。</w:t>
      </w:r>
    </w:p>
    <w:p w14:paraId="192F8962">
      <w:pPr>
        <w:jc w:val="center"/>
        <w:outlineLvl w:val="3"/>
        <w:rPr>
          <w:rFonts w:hint="eastAsia" w:ascii="宋体" w:hAnsi="宋体" w:eastAsia="宋体" w:cs="宋体"/>
          <w:b/>
          <w:color w:val="auto"/>
          <w:sz w:val="30"/>
          <w:szCs w:val="30"/>
          <w:highlight w:val="none"/>
        </w:rPr>
      </w:pPr>
      <w:bookmarkStart w:id="105" w:name="_Toc101777614"/>
      <w:bookmarkStart w:id="106" w:name="_Toc262229165"/>
      <w:r>
        <w:rPr>
          <w:rFonts w:hint="eastAsia" w:ascii="宋体" w:hAnsi="宋体" w:eastAsia="宋体" w:cs="宋体"/>
          <w:b/>
          <w:color w:val="auto"/>
          <w:sz w:val="30"/>
          <w:szCs w:val="30"/>
          <w:highlight w:val="none"/>
        </w:rPr>
        <w:t>（三）投标文件的编制</w:t>
      </w:r>
      <w:bookmarkEnd w:id="105"/>
      <w:bookmarkEnd w:id="106"/>
    </w:p>
    <w:p w14:paraId="0467FF57">
      <w:pPr>
        <w:pStyle w:val="38"/>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投标文件的组成</w:t>
      </w:r>
    </w:p>
    <w:p w14:paraId="314D2A69">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3.1.1投标文件应包括下列内容：</w:t>
      </w:r>
    </w:p>
    <w:p w14:paraId="5C84C7E6">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（1）投标函及投标函附录；</w:t>
      </w:r>
    </w:p>
    <w:p w14:paraId="28F1DCDF">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（2）法定代表人身份证明</w:t>
      </w:r>
      <w:r>
        <w:rPr>
          <w:rFonts w:hint="eastAsia" w:ascii="宋体" w:hAnsi="宋体" w:eastAsia="宋体" w:cs="宋体"/>
          <w:color w:val="auto"/>
          <w:sz w:val="24"/>
          <w:highlight w:val="none"/>
          <w:u w:val="single"/>
        </w:rPr>
        <w:t>及</w:t>
      </w:r>
      <w:r>
        <w:rPr>
          <w:rFonts w:hint="eastAsia" w:ascii="宋体" w:hAnsi="宋体" w:eastAsia="宋体" w:cs="宋体"/>
          <w:color w:val="auto"/>
          <w:sz w:val="24"/>
          <w:highlight w:val="none"/>
        </w:rPr>
        <w:t>附有法定代表人身份证明的授权委托书；</w:t>
      </w:r>
    </w:p>
    <w:p w14:paraId="49EADDB4">
      <w:pPr>
        <w:pStyle w:val="38"/>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（3）投标保证金递交证明；</w:t>
      </w:r>
    </w:p>
    <w:p w14:paraId="28086256">
      <w:pPr>
        <w:pStyle w:val="38"/>
        <w:spacing w:line="360" w:lineRule="auto"/>
        <w:ind w:firstLine="480" w:firstLineChars="200"/>
        <w:rPr>
          <w:rFonts w:hint="eastAsia" w:ascii="宋体" w:hAnsi="宋体" w:eastAsia="宋体" w:cs="宋体"/>
          <w:strike/>
          <w:color w:val="auto"/>
          <w:sz w:val="24"/>
          <w:highlight w:val="none"/>
          <w:u w:val="single"/>
        </w:rPr>
      </w:pPr>
      <w:r>
        <w:rPr>
          <w:rFonts w:hint="eastAsia" w:ascii="宋体" w:hAnsi="宋体" w:eastAsia="宋体" w:cs="宋体"/>
          <w:color w:val="auto"/>
          <w:sz w:val="24"/>
          <w:highlight w:val="none"/>
          <w:u w:val="single"/>
        </w:rPr>
        <w:t>（4）已标价工程量清单；</w:t>
      </w:r>
    </w:p>
    <w:p w14:paraId="68BA4B41">
      <w:pPr>
        <w:pStyle w:val="38"/>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（5）施工组织设计（本项目要求编制技术标，需要提交详细施工组织设计）；</w:t>
      </w:r>
    </w:p>
    <w:p w14:paraId="76C5E9E1">
      <w:pPr>
        <w:pStyle w:val="38"/>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（6）技术部分资料；</w:t>
      </w:r>
    </w:p>
    <w:p w14:paraId="17BD25B8">
      <w:pPr>
        <w:pStyle w:val="38"/>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（7）商务部分资料；</w:t>
      </w:r>
    </w:p>
    <w:p w14:paraId="51294A97">
      <w:pPr>
        <w:pStyle w:val="38"/>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（8）项目管理机构；</w:t>
      </w:r>
    </w:p>
    <w:p w14:paraId="7A3405CD">
      <w:pPr>
        <w:pStyle w:val="38"/>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（9）资格审查资料；</w:t>
      </w:r>
    </w:p>
    <w:p w14:paraId="184F9DD6">
      <w:pPr>
        <w:pStyle w:val="38"/>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（10）其他应提交的材料。</w:t>
      </w:r>
    </w:p>
    <w:p w14:paraId="7A1D81F4">
      <w:pPr>
        <w:pStyle w:val="38"/>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 投标报价</w:t>
      </w:r>
    </w:p>
    <w:p w14:paraId="6EB6F4BC">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 投标人应按第五章“工程量清单”的要求填写相应表格。</w:t>
      </w:r>
      <w:r>
        <w:rPr>
          <w:rFonts w:hint="eastAsia" w:ascii="宋体" w:hAnsi="宋体" w:eastAsia="宋体" w:cs="宋体"/>
          <w:strike/>
          <w:color w:val="auto"/>
          <w:sz w:val="24"/>
          <w:highlight w:val="none"/>
        </w:rPr>
        <w:t>（此条不适用于综合评估法三）</w:t>
      </w:r>
    </w:p>
    <w:p w14:paraId="3FAD28CD">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投标人在投标截止时间前修改投标函中的投标报价总额，应同时修改“已标价工程量清单”中的相应报价，投标报价总额为各分项金额之和。此修改须符合本章第4.3款的有关要求。</w:t>
      </w:r>
      <w:r>
        <w:rPr>
          <w:rFonts w:hint="eastAsia" w:ascii="宋体" w:hAnsi="宋体" w:eastAsia="宋体" w:cs="宋体"/>
          <w:strike/>
          <w:color w:val="auto"/>
          <w:sz w:val="24"/>
          <w:highlight w:val="none"/>
        </w:rPr>
        <w:t>（此条不适用于综合评估法三）</w:t>
      </w:r>
    </w:p>
    <w:p w14:paraId="7D1689AB">
      <w:pPr>
        <w:pStyle w:val="38"/>
        <w:spacing w:line="360" w:lineRule="auto"/>
        <w:ind w:firstLine="480" w:firstLineChars="200"/>
        <w:rPr>
          <w:rFonts w:hint="eastAsia" w:ascii="宋体" w:hAnsi="宋体" w:eastAsia="宋体" w:cs="宋体"/>
          <w:strike/>
          <w:color w:val="auto"/>
          <w:sz w:val="24"/>
          <w:highlight w:val="none"/>
        </w:rPr>
      </w:pPr>
      <w:r>
        <w:rPr>
          <w:rFonts w:hint="eastAsia" w:ascii="宋体" w:hAnsi="宋体" w:eastAsia="宋体" w:cs="宋体"/>
          <w:strike/>
          <w:color w:val="auto"/>
          <w:sz w:val="24"/>
          <w:highlight w:val="none"/>
        </w:rPr>
        <w:t>3.2.2采用综合评估法三的，投标人在投标截止时间前修改投标函中的投标报价总额，并根据评标办法列明的方法重新计算投标报价下浮率。此修改须符合本章第4.3款的有关要求。</w:t>
      </w:r>
    </w:p>
    <w:p w14:paraId="59E235DE">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3.2.3投标人的投标报价不得超过最高投标限价，最高投标限价见投标人须知前附表。</w:t>
      </w:r>
    </w:p>
    <w:p w14:paraId="430F50A5">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成本警示价见投标人须知前附表。对低于该成本警示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示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24E4FD24">
      <w:pPr>
        <w:pStyle w:val="38"/>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 投标有效期</w:t>
      </w:r>
    </w:p>
    <w:p w14:paraId="338F0079">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3.3.1除投标人须知前附表另有规定外，投标有效期为90天。</w:t>
      </w:r>
    </w:p>
    <w:p w14:paraId="76D380AE">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3.3.2在投标有效期内，投标人撤销或修改其投标文件的，应承担招标文件和法律规定的责任。</w:t>
      </w:r>
    </w:p>
    <w:p w14:paraId="1E32747E">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7F536737">
      <w:pPr>
        <w:pStyle w:val="38"/>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 投标保证金</w:t>
      </w:r>
    </w:p>
    <w:p w14:paraId="36BDB862">
      <w:pPr>
        <w:pStyle w:val="38"/>
        <w:spacing w:line="360" w:lineRule="auto"/>
        <w:ind w:firstLine="480" w:firstLineChars="200"/>
        <w:rPr>
          <w:rFonts w:hint="eastAsia" w:ascii="宋体" w:hAnsi="宋体" w:eastAsia="宋体" w:cs="宋体"/>
          <w:b/>
          <w:bCs/>
          <w:color w:val="auto"/>
          <w:sz w:val="24"/>
          <w:highlight w:val="none"/>
          <w:u w:val="single"/>
        </w:rPr>
      </w:pPr>
      <w:r>
        <w:rPr>
          <w:rFonts w:hint="eastAsia" w:ascii="宋体" w:hAnsi="宋体" w:eastAsia="宋体" w:cs="宋体"/>
          <w:color w:val="auto"/>
          <w:sz w:val="24"/>
          <w:highlight w:val="none"/>
        </w:rPr>
        <w:t>3.4.1投标人应按投标须知前附表规定的金额和时间递交投标保证金。投标保证金以现金或者支票形式提交的，必须由投标人的银行基本账户转出。</w:t>
      </w:r>
      <w:r>
        <w:rPr>
          <w:rFonts w:hint="eastAsia" w:ascii="宋体" w:hAnsi="宋体" w:eastAsia="宋体" w:cs="宋体"/>
          <w:color w:val="auto"/>
          <w:sz w:val="24"/>
          <w:highlight w:val="none"/>
          <w:u w:val="single"/>
        </w:rPr>
        <w:t>投标人如采用银行保函、保证保险、担保保函的形式递交的，应符合投标人须知前附表的规定。</w:t>
      </w:r>
    </w:p>
    <w:p w14:paraId="3FE5A502">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投标保证金采用银行投标保函或投标保证保险的形式。投标人在递交投标文件的同时，应按投标人须知前附表规定的金额、担保形式和第八章“投标文件格式”规定的投标保证金格式（或银行规定的格式或保险公司规定的格式）递交投标保证金，并作为其投标文件的组成部分。联合体投标的，其投标保证金由牵头人递交，并应符合投标人须知前附表的规定。</w:t>
      </w:r>
    </w:p>
    <w:p w14:paraId="08487442">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3.4.2投标保证金委托广州交易集团有限公司（广州公共资源交易中心）代收的形式，收取办法如下：</w:t>
      </w:r>
    </w:p>
    <w:p w14:paraId="0C11FE1E">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（1）招标人委托广州交易集团有限公司（广州公共资源交易中心）具体实施保证金的收取和退还工作</w:t>
      </w:r>
    </w:p>
    <w:p w14:paraId="46F938E3">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（2）所有投标保证金必须由投标单位的银行基本账户转出。</w:t>
      </w:r>
    </w:p>
    <w:p w14:paraId="4D6F13F1">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（3）投标保证金的缴纳情况以广州交易集团有限公司（广州公共资源交易中心）数据库记录的信息为准。</w:t>
      </w:r>
    </w:p>
    <w:p w14:paraId="5E540570">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（4）缴费的操作详见广州交易集团有限公司（广州公共资源交易中心）公布的</w:t>
      </w:r>
      <w:r>
        <w:rPr>
          <w:rFonts w:hint="eastAsia" w:ascii="宋体" w:hAnsi="宋体" w:eastAsia="宋体" w:cs="宋体"/>
          <w:color w:val="auto"/>
          <w:sz w:val="24"/>
          <w:highlight w:val="none"/>
          <w:u w:val="single"/>
        </w:rPr>
        <w:t>《关于投标项目保证金操作指引的说明》</w:t>
      </w:r>
      <w:r>
        <w:rPr>
          <w:rFonts w:hint="eastAsia" w:ascii="宋体" w:hAnsi="宋体" w:eastAsia="宋体" w:cs="宋体"/>
          <w:color w:val="auto"/>
          <w:sz w:val="24"/>
          <w:highlight w:val="none"/>
        </w:rPr>
        <w:t>。</w:t>
      </w:r>
    </w:p>
    <w:p w14:paraId="1BDFF112">
      <w:pPr>
        <w:pStyle w:val="38"/>
        <w:spacing w:line="360" w:lineRule="auto"/>
        <w:ind w:firstLine="480" w:firstLineChars="200"/>
        <w:rPr>
          <w:rFonts w:hint="eastAsia" w:ascii="宋体" w:hAnsi="宋体" w:eastAsia="宋体" w:cs="宋体"/>
          <w:strike/>
          <w:color w:val="auto"/>
          <w:sz w:val="24"/>
          <w:highlight w:val="none"/>
        </w:rPr>
      </w:pPr>
      <w:r>
        <w:rPr>
          <w:rFonts w:hint="eastAsia" w:ascii="宋体" w:hAnsi="宋体" w:eastAsia="宋体" w:cs="宋体"/>
          <w:strike/>
          <w:color w:val="auto"/>
          <w:sz w:val="24"/>
          <w:highlight w:val="none"/>
        </w:rPr>
        <w:t>3.4.2招标人收取的，由招标人在前附表中明确具体要求。</w:t>
      </w:r>
    </w:p>
    <w:p w14:paraId="1D5C63CE">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3.4.3要求提交投标保证金的,投标人不按本章第3.4.1项要求提交投标保证金的，评标委员会将否决其投标。</w:t>
      </w:r>
    </w:p>
    <w:p w14:paraId="164BFA4A">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3.4.4 招标人与中标人签订合同后5个工作日内，向未中标的投标人和中标人退还投标保证金。</w:t>
      </w:r>
    </w:p>
    <w:p w14:paraId="1799366A">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3.4.5 有下列情形之一的，投标保证金将不予退还： </w:t>
      </w:r>
    </w:p>
    <w:p w14:paraId="70E39A14">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（1）投标人在规定的投标有效期内撤销或修改其投标文件；</w:t>
      </w:r>
    </w:p>
    <w:p w14:paraId="74EAB120">
      <w:pPr>
        <w:pStyle w:val="38"/>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（2）中标人在收到中标通知书后，无正当理由拒签合同协议书或未按招标文件规定提交履约担保。</w:t>
      </w:r>
    </w:p>
    <w:p w14:paraId="7D414179">
      <w:pPr>
        <w:pStyle w:val="38"/>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资格审查资料</w:t>
      </w:r>
    </w:p>
    <w:p w14:paraId="65774E86">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3.5.1 “投标人基本情况表”应附投标人营业执照副本、资质证书副本和安全生产许可证等材料的扫描件。</w:t>
      </w:r>
    </w:p>
    <w:p w14:paraId="1D84B1EC">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3.5.2 项目负责人证件和安全生产考核合格证（B类）清晰扫描件或建筑施工企业项目负责人安全生产考核合格证书清晰扫描件。</w:t>
      </w:r>
    </w:p>
    <w:p w14:paraId="19E8CB77">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3.5.3技术负责人机电类相关专业中级（或以上）工程师职称证书清晰扫描件。</w:t>
      </w:r>
    </w:p>
    <w:p w14:paraId="559A9145">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3.5.4专职安全员安全生产考核合格证（C证）清晰扫描件或建筑施工企业专职安全生产管理人员安全生产考核合格证书（C3）清晰扫描件。</w:t>
      </w:r>
    </w:p>
    <w:p w14:paraId="699B37DE">
      <w:pPr>
        <w:pStyle w:val="38"/>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3.5.5提交社保文件的要求：投标申请人须保证授权的委托代理人及项目部主要组成人员（项目负责人、技术负责人、专职安全员）均为本单位的正式职工，必须具有离投标截止时间最近</w:t>
      </w:r>
      <w:r>
        <w:rPr>
          <w:rFonts w:hint="eastAsia" w:ascii="宋体" w:hAnsi="宋体" w:eastAsia="宋体" w:cs="宋体"/>
          <w:color w:val="auto"/>
          <w:sz w:val="24"/>
          <w:szCs w:val="24"/>
          <w:highlight w:val="none"/>
          <w:u w:val="single"/>
          <w:lang w:val="en-US" w:eastAsia="zh-CN"/>
        </w:rPr>
        <w:t>三</w:t>
      </w:r>
      <w:r>
        <w:rPr>
          <w:rFonts w:hint="eastAsia" w:ascii="宋体" w:hAnsi="宋体" w:eastAsia="宋体" w:cs="宋体"/>
          <w:color w:val="auto"/>
          <w:sz w:val="24"/>
          <w:szCs w:val="24"/>
          <w:highlight w:val="none"/>
          <w:u w:val="single"/>
        </w:rPr>
        <w:t>个月（2024年7月-9月）在本单位交纳的社保证明文件（以加盖社会保险基金管理中心印章的《投保单》或《社会保险参保人员证明》资料为准）。</w:t>
      </w:r>
    </w:p>
    <w:p w14:paraId="7EC10377">
      <w:pPr>
        <w:pStyle w:val="38"/>
        <w:pBdr>
          <w:bottom w:val="single" w:color="auto" w:sz="4" w:space="1"/>
        </w:pBd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3.5.5资审要求的其他材料。</w:t>
      </w:r>
    </w:p>
    <w:p w14:paraId="69A0CD88">
      <w:pPr>
        <w:pStyle w:val="38"/>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3.6 投标文件的编制</w:t>
      </w:r>
    </w:p>
    <w:p w14:paraId="348D1E23">
      <w:pPr>
        <w:pStyle w:val="38"/>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3.6.1投标人应使用符合《广东省工程造价文件数据交换标准（电子评标部分） 交易中心实施细则》的计价软件制作工程量清单报价表和单价分析表（如本招标文件要求单价分析表）。</w:t>
      </w:r>
    </w:p>
    <w:p w14:paraId="347000DC">
      <w:pPr>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3.6.2投标人应使用广州市水务工程（给排水专业）的投标文件管理软件进行投标文件的合成、</w:t>
      </w:r>
      <w:r>
        <w:rPr>
          <w:rFonts w:hint="eastAsia" w:ascii="宋体" w:hAnsi="宋体" w:eastAsia="宋体" w:cs="宋体"/>
          <w:strike/>
          <w:color w:val="auto"/>
          <w:sz w:val="24"/>
          <w:szCs w:val="24"/>
          <w:highlight w:val="none"/>
        </w:rPr>
        <w:t>电子签名、</w:t>
      </w:r>
      <w:r>
        <w:rPr>
          <w:rFonts w:hint="eastAsia" w:ascii="宋体" w:hAnsi="宋体" w:eastAsia="宋体" w:cs="宋体"/>
          <w:color w:val="auto"/>
          <w:sz w:val="24"/>
          <w:szCs w:val="24"/>
          <w:highlight w:val="none"/>
        </w:rPr>
        <w:t>电子签章及加密打包工作，所有电子投标文件不能进行压缩处理。电子投标文件统一采用网络上传的形式，投标人需登录交易中心网站投标人服务区在投标截止时间前完整上传至交易中心的电子评标系统。</w:t>
      </w:r>
    </w:p>
    <w:p w14:paraId="49D3C64E">
      <w:pPr>
        <w:pStyle w:val="38"/>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3.6.3</w:t>
      </w:r>
      <w:r>
        <w:rPr>
          <w:rFonts w:hint="eastAsia" w:ascii="宋体" w:hAnsi="宋体" w:eastAsia="宋体" w:cs="宋体"/>
          <w:bCs/>
          <w:color w:val="auto"/>
          <w:sz w:val="24"/>
          <w:szCs w:val="24"/>
          <w:highlight w:val="none"/>
        </w:rPr>
        <w:t>投标人应使用依法设立的电子认证服务提供者签发的电子</w:t>
      </w:r>
      <w:r>
        <w:rPr>
          <w:rFonts w:hint="eastAsia" w:ascii="宋体" w:hAnsi="宋体" w:eastAsia="宋体" w:cs="宋体"/>
          <w:color w:val="auto"/>
          <w:sz w:val="24"/>
          <w:szCs w:val="24"/>
          <w:highlight w:val="none"/>
        </w:rPr>
        <w:t>签章</w:t>
      </w:r>
      <w:r>
        <w:rPr>
          <w:rFonts w:hint="eastAsia" w:ascii="宋体" w:hAnsi="宋体" w:eastAsia="宋体" w:cs="宋体"/>
          <w:bCs/>
          <w:color w:val="auto"/>
          <w:sz w:val="24"/>
          <w:szCs w:val="24"/>
          <w:highlight w:val="none"/>
        </w:rPr>
        <w:t>认证证书对电子投标文件进行</w:t>
      </w:r>
      <w:r>
        <w:rPr>
          <w:rFonts w:hint="eastAsia" w:ascii="宋体" w:hAnsi="宋体" w:eastAsia="宋体" w:cs="宋体"/>
          <w:color w:val="auto"/>
          <w:sz w:val="24"/>
          <w:szCs w:val="24"/>
          <w:highlight w:val="none"/>
        </w:rPr>
        <w:t>电子签章</w:t>
      </w:r>
      <w:r>
        <w:rPr>
          <w:rFonts w:hint="eastAsia" w:ascii="宋体" w:hAnsi="宋体" w:eastAsia="宋体" w:cs="宋体"/>
          <w:bCs/>
          <w:color w:val="auto"/>
          <w:sz w:val="24"/>
          <w:szCs w:val="24"/>
          <w:highlight w:val="none"/>
        </w:rPr>
        <w:t>。该</w:t>
      </w:r>
      <w:r>
        <w:rPr>
          <w:rFonts w:hint="eastAsia" w:ascii="宋体" w:hAnsi="宋体" w:eastAsia="宋体" w:cs="宋体"/>
          <w:color w:val="auto"/>
          <w:sz w:val="24"/>
          <w:szCs w:val="24"/>
          <w:highlight w:val="none"/>
        </w:rPr>
        <w:t>电子签章</w:t>
      </w:r>
      <w:r>
        <w:rPr>
          <w:rFonts w:hint="eastAsia" w:ascii="宋体" w:hAnsi="宋体" w:eastAsia="宋体" w:cs="宋体"/>
          <w:bCs/>
          <w:color w:val="auto"/>
          <w:sz w:val="24"/>
          <w:szCs w:val="24"/>
          <w:highlight w:val="none"/>
        </w:rPr>
        <w:t>与盖单位章具有同等的法律效力。</w:t>
      </w:r>
    </w:p>
    <w:p w14:paraId="79AC6101">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3.6.4</w:t>
      </w:r>
      <w:r>
        <w:rPr>
          <w:rFonts w:hint="eastAsia" w:ascii="宋体" w:hAnsi="宋体" w:eastAsia="宋体" w:cs="宋体"/>
          <w:bCs/>
          <w:color w:val="auto"/>
          <w:sz w:val="24"/>
          <w:szCs w:val="24"/>
          <w:highlight w:val="none"/>
        </w:rPr>
        <w:t>除工程量清单报价表相关的内容、</w:t>
      </w:r>
      <w:r>
        <w:rPr>
          <w:rFonts w:hint="eastAsia" w:ascii="宋体" w:hAnsi="宋体" w:eastAsia="宋体" w:cs="宋体"/>
          <w:color w:val="auto"/>
          <w:sz w:val="24"/>
          <w:szCs w:val="24"/>
          <w:highlight w:val="none"/>
          <w:u w:val="single"/>
        </w:rPr>
        <w:t>《投标函》及《投标函附录》</w:t>
      </w:r>
      <w:r>
        <w:rPr>
          <w:rFonts w:hint="eastAsia" w:ascii="宋体" w:hAnsi="宋体" w:eastAsia="宋体" w:cs="宋体"/>
          <w:bCs/>
          <w:color w:val="auto"/>
          <w:sz w:val="24"/>
          <w:szCs w:val="24"/>
          <w:highlight w:val="none"/>
        </w:rPr>
        <w:t>外，投标文件的其他内容均以电子文件（纸质原件的扫描件）编制，其格式要求详见第八章投标文件格式说明。</w:t>
      </w:r>
    </w:p>
    <w:p w14:paraId="025EAE25">
      <w:pPr>
        <w:pStyle w:val="38"/>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3.6.5</w:t>
      </w:r>
      <w:r>
        <w:rPr>
          <w:rFonts w:hint="eastAsia" w:ascii="宋体" w:hAnsi="宋体" w:eastAsia="宋体" w:cs="宋体"/>
          <w:bCs/>
          <w:color w:val="auto"/>
          <w:sz w:val="24"/>
          <w:szCs w:val="24"/>
          <w:highlight w:val="none"/>
        </w:rPr>
        <w:t>投标文件应按上述的编排要求编制。如因不按上述编排要求编制而所引起系统无法检索、读取相关信息时，其后果将由投标人自行承担。</w:t>
      </w:r>
    </w:p>
    <w:p w14:paraId="2BE6C56A">
      <w:pPr>
        <w:pStyle w:val="38"/>
        <w:spacing w:line="360" w:lineRule="auto"/>
        <w:ind w:firstLine="482" w:firstLineChars="200"/>
        <w:rPr>
          <w:rFonts w:hint="eastAsia" w:ascii="宋体" w:hAnsi="宋体" w:eastAsia="宋体" w:cs="宋体"/>
          <w:b/>
          <w:i/>
          <w:color w:val="auto"/>
          <w:sz w:val="24"/>
          <w:szCs w:val="24"/>
          <w:highlight w:val="none"/>
          <w:u w:val="single"/>
        </w:rPr>
      </w:pPr>
      <w:r>
        <w:rPr>
          <w:rFonts w:hint="eastAsia" w:ascii="宋体" w:hAnsi="宋体" w:eastAsia="宋体" w:cs="宋体"/>
          <w:b/>
          <w:i/>
          <w:color w:val="auto"/>
          <w:sz w:val="24"/>
          <w:szCs w:val="24"/>
          <w:highlight w:val="none"/>
          <w:u w:val="single"/>
        </w:rPr>
        <w:t>（本项目投标文件按交易中心给排水项目的投标文件制作工具编制）</w:t>
      </w:r>
    </w:p>
    <w:p w14:paraId="341BC8C1">
      <w:pPr>
        <w:pStyle w:val="38"/>
        <w:spacing w:line="360" w:lineRule="auto"/>
        <w:ind w:firstLine="482" w:firstLineChars="200"/>
        <w:rPr>
          <w:rFonts w:hint="eastAsia" w:ascii="宋体" w:hAnsi="宋体" w:eastAsia="宋体" w:cs="宋体"/>
          <w:b/>
          <w:bCs/>
          <w:color w:val="auto"/>
          <w:sz w:val="24"/>
          <w:highlight w:val="none"/>
        </w:rPr>
      </w:pPr>
    </w:p>
    <w:p w14:paraId="58DB74D4">
      <w:pPr>
        <w:jc w:val="center"/>
        <w:outlineLvl w:val="3"/>
        <w:rPr>
          <w:rFonts w:hint="eastAsia" w:ascii="宋体" w:hAnsi="宋体" w:eastAsia="宋体" w:cs="宋体"/>
          <w:b/>
          <w:color w:val="auto"/>
          <w:sz w:val="30"/>
          <w:szCs w:val="30"/>
          <w:highlight w:val="none"/>
        </w:rPr>
      </w:pPr>
      <w:bookmarkStart w:id="107" w:name="_Toc101777615"/>
      <w:bookmarkStart w:id="108" w:name="_Toc262229166"/>
      <w:r>
        <w:rPr>
          <w:rFonts w:hint="eastAsia" w:ascii="宋体" w:hAnsi="宋体" w:eastAsia="宋体" w:cs="宋体"/>
          <w:b/>
          <w:color w:val="auto"/>
          <w:sz w:val="30"/>
          <w:szCs w:val="30"/>
          <w:highlight w:val="none"/>
        </w:rPr>
        <w:t>（四）投标文件的递交</w:t>
      </w:r>
      <w:bookmarkEnd w:id="107"/>
      <w:bookmarkEnd w:id="108"/>
    </w:p>
    <w:p w14:paraId="2497E220">
      <w:pPr>
        <w:pStyle w:val="38"/>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4.1 </w:t>
      </w:r>
      <w:r>
        <w:rPr>
          <w:rFonts w:hint="eastAsia" w:ascii="宋体" w:hAnsi="宋体" w:eastAsia="宋体" w:cs="宋体"/>
          <w:b/>
          <w:color w:val="auto"/>
          <w:sz w:val="24"/>
          <w:szCs w:val="24"/>
          <w:highlight w:val="none"/>
        </w:rPr>
        <w:t>投标文件的包封、密封和标志</w:t>
      </w:r>
    </w:p>
    <w:p w14:paraId="54924DE4">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4.1.1投标文件的密封要求：投标人应使用</w:t>
      </w:r>
      <w:r>
        <w:rPr>
          <w:rFonts w:hint="eastAsia" w:ascii="宋体" w:hAnsi="宋体" w:eastAsia="宋体" w:cs="宋体"/>
          <w:color w:val="auto"/>
          <w:sz w:val="24"/>
          <w:szCs w:val="24"/>
          <w:highlight w:val="none"/>
        </w:rPr>
        <w:t>广州市水务工程（给排水专业）的投标文件管理软件</w:t>
      </w:r>
      <w:r>
        <w:rPr>
          <w:rFonts w:hint="eastAsia" w:ascii="宋体" w:hAnsi="宋体" w:eastAsia="宋体" w:cs="宋体"/>
          <w:color w:val="auto"/>
          <w:sz w:val="24"/>
          <w:szCs w:val="21"/>
          <w:highlight w:val="none"/>
        </w:rPr>
        <w:t>提供的软件制作电子投标文件并进行电子签章及加密打包。不得修改所生成电子投标文件的文件格式。</w:t>
      </w:r>
    </w:p>
    <w:p w14:paraId="73B6DCC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1"/>
          <w:highlight w:val="none"/>
        </w:rPr>
        <w:t>4.1.2投标文件的电子签章要求： 电子投标文件必须包含完整的投标人电子签章</w:t>
      </w:r>
    </w:p>
    <w:p w14:paraId="1DFE3A2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4.2 投标文件的递交和接收</w:t>
      </w:r>
    </w:p>
    <w:p w14:paraId="3E0ACEC0">
      <w:pPr>
        <w:spacing w:line="360" w:lineRule="auto"/>
        <w:ind w:firstLine="523" w:firstLineChars="2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4.2.1投标人代表应按投标须知前附表所规定的</w:t>
      </w:r>
      <w:r>
        <w:rPr>
          <w:rFonts w:hint="eastAsia" w:ascii="宋体" w:hAnsi="宋体" w:eastAsia="宋体" w:cs="宋体"/>
          <w:b/>
          <w:color w:val="auto"/>
          <w:sz w:val="24"/>
          <w:szCs w:val="24"/>
          <w:highlight w:val="none"/>
        </w:rPr>
        <w:t>时间和</w:t>
      </w:r>
      <w:r>
        <w:rPr>
          <w:rFonts w:hint="eastAsia" w:ascii="宋体" w:hAnsi="宋体" w:eastAsia="宋体" w:cs="宋体"/>
          <w:b/>
          <w:color w:val="auto"/>
          <w:sz w:val="24"/>
          <w:szCs w:val="24"/>
          <w:highlight w:val="none"/>
          <w:u w:val="single"/>
        </w:rPr>
        <w:t>交易平台</w:t>
      </w:r>
      <w:r>
        <w:rPr>
          <w:rFonts w:hint="eastAsia" w:ascii="宋体" w:hAnsi="宋体" w:eastAsia="宋体" w:cs="宋体"/>
          <w:color w:val="auto"/>
          <w:sz w:val="24"/>
          <w:szCs w:val="24"/>
          <w:highlight w:val="none"/>
        </w:rPr>
        <w:t>向招标人递交</w:t>
      </w:r>
      <w:r>
        <w:rPr>
          <w:rFonts w:hint="eastAsia" w:ascii="宋体" w:hAnsi="宋体" w:eastAsia="宋体" w:cs="宋体"/>
          <w:b/>
          <w:color w:val="auto"/>
          <w:sz w:val="24"/>
          <w:szCs w:val="24"/>
          <w:highlight w:val="none"/>
          <w:u w:val="single"/>
        </w:rPr>
        <w:t>电子</w:t>
      </w:r>
      <w:r>
        <w:rPr>
          <w:rFonts w:hint="eastAsia" w:ascii="宋体" w:hAnsi="宋体" w:eastAsia="宋体" w:cs="宋体"/>
          <w:b/>
          <w:color w:val="auto"/>
          <w:sz w:val="24"/>
          <w:szCs w:val="24"/>
          <w:highlight w:val="none"/>
        </w:rPr>
        <w:t>投标文件</w:t>
      </w:r>
      <w:r>
        <w:rPr>
          <w:rFonts w:hint="eastAsia" w:ascii="宋体" w:hAnsi="宋体" w:eastAsia="宋体" w:cs="宋体"/>
          <w:color w:val="auto"/>
          <w:sz w:val="24"/>
          <w:szCs w:val="24"/>
          <w:highlight w:val="none"/>
        </w:rPr>
        <w:t>。</w:t>
      </w:r>
    </w:p>
    <w:p w14:paraId="7FD27600">
      <w:pPr>
        <w:spacing w:line="360" w:lineRule="auto"/>
        <w:ind w:firstLine="523" w:firstLineChars="2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4.2.2投标人应凭以下资料递交投标文件：</w:t>
      </w:r>
    </w:p>
    <w:p w14:paraId="128F9E08">
      <w:pPr>
        <w:spacing w:line="360" w:lineRule="auto"/>
        <w:ind w:firstLine="523" w:firstLineChars="2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（1）使用制作该投标文件的投标人电子签章认证证书；</w:t>
      </w:r>
    </w:p>
    <w:p w14:paraId="3BE882E6">
      <w:pPr>
        <w:spacing w:line="360" w:lineRule="auto"/>
        <w:ind w:firstLine="523" w:firstLineChars="2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（2）投标人应使用制作该投标文件的电子签章认证证书递交投标文件。</w:t>
      </w:r>
    </w:p>
    <w:p w14:paraId="5E814E46">
      <w:pPr>
        <w:spacing w:line="360" w:lineRule="auto"/>
        <w:ind w:firstLine="523" w:firstLineChars="2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r>
        <w:rPr>
          <w:rFonts w:hint="eastAsia" w:ascii="宋体" w:hAnsi="宋体" w:eastAsia="宋体" w:cs="宋体"/>
          <w:color w:val="auto"/>
          <w:sz w:val="24"/>
          <w:highlight w:val="none"/>
        </w:rPr>
        <w:t>.3</w:t>
      </w:r>
      <w:r>
        <w:rPr>
          <w:rFonts w:hint="eastAsia" w:ascii="宋体" w:hAnsi="宋体" w:eastAsia="宋体" w:cs="宋体"/>
          <w:color w:val="auto"/>
          <w:sz w:val="24"/>
          <w:szCs w:val="24"/>
          <w:highlight w:val="none"/>
        </w:rPr>
        <w:t>若出现以下情况，招标人将拒绝接收投标文件：</w:t>
      </w:r>
    </w:p>
    <w:p w14:paraId="496E114D">
      <w:pPr>
        <w:spacing w:line="360" w:lineRule="auto"/>
        <w:ind w:firstLine="523" w:firstLineChars="2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（1）电子投标文件未在投标截止时间前完整上传并保存在广州交易集团有限公司（广州公共资源交易中心）电子评标系统且取得回执的； </w:t>
      </w:r>
    </w:p>
    <w:p w14:paraId="03629760">
      <w:pPr>
        <w:spacing w:line="360" w:lineRule="auto"/>
        <w:ind w:firstLine="523" w:firstLineChars="2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（2）投标文件未按招标文件要求进行电子签章，并进行加密的；</w:t>
      </w:r>
    </w:p>
    <w:p w14:paraId="2AF79925">
      <w:pPr>
        <w:spacing w:line="360" w:lineRule="auto"/>
        <w:ind w:firstLine="523" w:firstLineChars="218"/>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（3）电子投标文件中投标人电子签章不完整的；</w:t>
      </w:r>
    </w:p>
    <w:p w14:paraId="1A062325">
      <w:pPr>
        <w:spacing w:line="360" w:lineRule="auto"/>
        <w:ind w:firstLine="523" w:firstLineChars="218"/>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（4）电子投标文件损坏或格式不正确的；</w:t>
      </w:r>
    </w:p>
    <w:p w14:paraId="68553648">
      <w:pPr>
        <w:spacing w:line="360" w:lineRule="auto"/>
        <w:ind w:firstLine="523" w:firstLineChars="218"/>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（5）电子投标文件未加密的。</w:t>
      </w:r>
    </w:p>
    <w:p w14:paraId="17314A2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r>
        <w:rPr>
          <w:rFonts w:hint="eastAsia" w:ascii="宋体" w:hAnsi="宋体" w:eastAsia="宋体" w:cs="宋体"/>
          <w:color w:val="auto"/>
          <w:sz w:val="24"/>
          <w:highlight w:val="none"/>
        </w:rPr>
        <w:t xml:space="preserve">.4 </w:t>
      </w:r>
      <w:r>
        <w:rPr>
          <w:rFonts w:hint="eastAsia" w:ascii="宋体" w:hAnsi="宋体" w:eastAsia="宋体" w:cs="宋体"/>
          <w:color w:val="auto"/>
          <w:sz w:val="24"/>
          <w:szCs w:val="24"/>
          <w:highlight w:val="none"/>
        </w:rPr>
        <w:t>投标截止前，招标人拒绝接收符合条件的投标文件，投标人可向招标监督机构投诉。</w:t>
      </w:r>
    </w:p>
    <w:p w14:paraId="74D3F566">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szCs w:val="24"/>
          <w:highlight w:val="none"/>
        </w:rPr>
        <w:t xml:space="preserve">4.3 </w:t>
      </w:r>
      <w:r>
        <w:rPr>
          <w:rFonts w:hint="eastAsia" w:ascii="宋体" w:hAnsi="宋体" w:eastAsia="宋体" w:cs="宋体"/>
          <w:b/>
          <w:bCs/>
          <w:color w:val="auto"/>
          <w:sz w:val="24"/>
          <w:highlight w:val="none"/>
        </w:rPr>
        <w:t>投标文件递交的截止时间</w:t>
      </w:r>
    </w:p>
    <w:p w14:paraId="4638FC26">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szCs w:val="24"/>
          <w:highlight w:val="none"/>
        </w:rPr>
        <w:t>4.3</w:t>
      </w:r>
      <w:r>
        <w:rPr>
          <w:rFonts w:hint="eastAsia" w:ascii="宋体" w:hAnsi="宋体" w:eastAsia="宋体" w:cs="宋体"/>
          <w:color w:val="auto"/>
          <w:sz w:val="24"/>
          <w:highlight w:val="none"/>
        </w:rPr>
        <w:t>.1投标人应在4.2.1所述的时间前递交投标文件。截止时间以广州交易集团有限公司（广州公共资源交易中心）电子评标系统服务器从中国科学院国家授时中心取得的北京时间为准。</w:t>
      </w:r>
    </w:p>
    <w:p w14:paraId="27AF3A5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4.3</w:t>
      </w:r>
      <w:r>
        <w:rPr>
          <w:rFonts w:hint="eastAsia" w:ascii="宋体" w:hAnsi="宋体" w:eastAsia="宋体" w:cs="宋体"/>
          <w:color w:val="auto"/>
          <w:sz w:val="24"/>
          <w:highlight w:val="none"/>
        </w:rPr>
        <w:t>.2招标人可按本须知第2.4条规定以招标文件修改的方式，酌情延长递交投标文件的截止时间。在此情况下，投标人的所有权利和义务以及投标人受制约的截止时间，均以延长后新的投标截止时间为准。</w:t>
      </w:r>
    </w:p>
    <w:p w14:paraId="505F550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4.3</w:t>
      </w:r>
      <w:r>
        <w:rPr>
          <w:rFonts w:hint="eastAsia" w:ascii="宋体" w:hAnsi="宋体" w:eastAsia="宋体" w:cs="宋体"/>
          <w:color w:val="auto"/>
          <w:sz w:val="24"/>
          <w:highlight w:val="none"/>
        </w:rPr>
        <w:t>.3 到投标截止时间止，招标人收到的投标文件少于</w:t>
      </w:r>
      <w:r>
        <w:rPr>
          <w:rFonts w:hint="eastAsia" w:ascii="宋体" w:hAnsi="宋体" w:eastAsia="宋体" w:cs="宋体"/>
          <w:bCs/>
          <w:color w:val="auto"/>
          <w:sz w:val="24"/>
          <w:highlight w:val="none"/>
        </w:rPr>
        <w:t>3家</w:t>
      </w:r>
      <w:r>
        <w:rPr>
          <w:rFonts w:hint="eastAsia" w:ascii="宋体" w:hAnsi="宋体" w:eastAsia="宋体" w:cs="宋体"/>
          <w:color w:val="auto"/>
          <w:sz w:val="24"/>
          <w:highlight w:val="none"/>
        </w:rPr>
        <w:t>的，招标人将依法重新组织招标。</w:t>
      </w:r>
    </w:p>
    <w:p w14:paraId="45D9633A">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szCs w:val="24"/>
          <w:highlight w:val="none"/>
        </w:rPr>
        <w:t>4.4</w:t>
      </w:r>
      <w:r>
        <w:rPr>
          <w:rFonts w:hint="eastAsia" w:ascii="宋体" w:hAnsi="宋体" w:eastAsia="宋体" w:cs="宋体"/>
          <w:b/>
          <w:bCs/>
          <w:color w:val="auto"/>
          <w:sz w:val="24"/>
          <w:highlight w:val="none"/>
        </w:rPr>
        <w:t xml:space="preserve"> 迟交的投标文件</w:t>
      </w:r>
    </w:p>
    <w:p w14:paraId="5587D83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4.4</w:t>
      </w:r>
      <w:r>
        <w:rPr>
          <w:rFonts w:hint="eastAsia" w:ascii="宋体" w:hAnsi="宋体" w:eastAsia="宋体" w:cs="宋体"/>
          <w:color w:val="auto"/>
          <w:sz w:val="24"/>
          <w:highlight w:val="none"/>
        </w:rPr>
        <w:t>.1投标截止时间到达后，电子评标系统将不允许投标人上传投标文件。</w:t>
      </w:r>
    </w:p>
    <w:p w14:paraId="4F70D170">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szCs w:val="24"/>
          <w:highlight w:val="none"/>
        </w:rPr>
        <w:t>4.5</w:t>
      </w:r>
      <w:r>
        <w:rPr>
          <w:rFonts w:hint="eastAsia" w:ascii="宋体" w:hAnsi="宋体" w:eastAsia="宋体" w:cs="宋体"/>
          <w:b/>
          <w:bCs/>
          <w:color w:val="auto"/>
          <w:sz w:val="24"/>
          <w:highlight w:val="none"/>
        </w:rPr>
        <w:t xml:space="preserve"> 投标文件的补充、修改与撤回</w:t>
      </w:r>
    </w:p>
    <w:p w14:paraId="68FB3EC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4.5</w:t>
      </w:r>
      <w:r>
        <w:rPr>
          <w:rFonts w:hint="eastAsia" w:ascii="宋体" w:hAnsi="宋体" w:eastAsia="宋体" w:cs="宋体"/>
          <w:color w:val="auto"/>
          <w:sz w:val="24"/>
          <w:highlight w:val="none"/>
        </w:rPr>
        <w:t>.1 投标人在递交投标文件以后，在规定的投标截止时间之前，可以撤回或替换已递交的投标文件。</w:t>
      </w:r>
    </w:p>
    <w:p w14:paraId="0025FC7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4.5</w:t>
      </w:r>
      <w:r>
        <w:rPr>
          <w:rFonts w:hint="eastAsia" w:ascii="宋体" w:hAnsi="宋体" w:eastAsia="宋体" w:cs="宋体"/>
          <w:color w:val="auto"/>
          <w:sz w:val="24"/>
          <w:highlight w:val="none"/>
        </w:rPr>
        <w:t>.3 在投标截止时间之后，投标人不得补充、修改和更换投标文件。</w:t>
      </w:r>
    </w:p>
    <w:p w14:paraId="461EF22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4.5</w:t>
      </w:r>
      <w:r>
        <w:rPr>
          <w:rFonts w:hint="eastAsia" w:ascii="宋体" w:hAnsi="宋体" w:eastAsia="宋体" w:cs="宋体"/>
          <w:color w:val="auto"/>
          <w:sz w:val="24"/>
          <w:highlight w:val="none"/>
        </w:rPr>
        <w:t>.4在投标截止后，投标人在投标文件格式中规定的有效期终止日前，投标人不能撤回投标文件，否则其投标保证金将被没收，且招标人有权就其撤回行为报告政府主管部门载入不良信用记录。</w:t>
      </w:r>
    </w:p>
    <w:p w14:paraId="0E7344F6">
      <w:pPr>
        <w:snapToGrid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rPr>
        <w:t>4.6</w:t>
      </w:r>
      <w:r>
        <w:rPr>
          <w:rFonts w:hint="eastAsia" w:ascii="宋体" w:hAnsi="宋体" w:eastAsia="宋体" w:cs="宋体"/>
          <w:b/>
          <w:color w:val="auto"/>
          <w:sz w:val="24"/>
          <w:highlight w:val="none"/>
        </w:rPr>
        <w:t xml:space="preserve"> 投标信息录入</w:t>
      </w:r>
    </w:p>
    <w:p w14:paraId="355CF62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4.6</w:t>
      </w:r>
      <w:r>
        <w:rPr>
          <w:rFonts w:hint="eastAsia" w:ascii="宋体" w:hAnsi="宋体" w:eastAsia="宋体" w:cs="宋体"/>
          <w:color w:val="auto"/>
          <w:sz w:val="24"/>
          <w:highlight w:val="none"/>
        </w:rPr>
        <w:t>.1 投标人应在上传电子投标文件前将广州交易集团有限公司（广州公共资源交易中心）交易服务系统要求的相关信息在广州交易集团有限公司（广州公共资源交易中心）交易服务系统中录入完毕。</w:t>
      </w:r>
    </w:p>
    <w:p w14:paraId="7CCE6131">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rPr>
        <w:t>4.7</w:t>
      </w:r>
      <w:r>
        <w:rPr>
          <w:rFonts w:hint="eastAsia" w:ascii="宋体" w:hAnsi="宋体" w:eastAsia="宋体" w:cs="宋体"/>
          <w:b/>
          <w:color w:val="auto"/>
          <w:sz w:val="24"/>
          <w:highlight w:val="none"/>
        </w:rPr>
        <w:t xml:space="preserve"> 投标文件的解密</w:t>
      </w:r>
    </w:p>
    <w:p w14:paraId="39BCCD4D">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4.7.1投标人须对在投标须知前附表规定的时间内完成电子投标文件解密。超过时间未解密的投标文件将作为放弃投标处理。</w:t>
      </w:r>
    </w:p>
    <w:p w14:paraId="0B887109">
      <w:pPr>
        <w:jc w:val="center"/>
        <w:outlineLvl w:val="3"/>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（五）开标</w:t>
      </w:r>
    </w:p>
    <w:p w14:paraId="648E4983">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5.1 开标时间和地点</w:t>
      </w:r>
    </w:p>
    <w:p w14:paraId="381500CA">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投标人在本章第4.2.1款规定的投标截止时间（开标时间）和投标人须知前附表规定的地点公开开标，并邀请所有投标人的法定代表人或其委托代理人准时参加。</w:t>
      </w:r>
    </w:p>
    <w:p w14:paraId="20BD8658">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5.2 开标程序</w:t>
      </w:r>
    </w:p>
    <w:p w14:paraId="48C5DA46">
      <w:pPr>
        <w:tabs>
          <w:tab w:val="left" w:pos="105"/>
        </w:tabs>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5.2.1 招标人按投标须知前附表第4.2.1项所规定的时间和地点公开开标，并邀请所有投标人参加，不参加视为认可唱标结果。</w:t>
      </w:r>
      <w:r>
        <w:rPr>
          <w:rFonts w:hint="eastAsia" w:ascii="宋体" w:hAnsi="宋体" w:eastAsia="宋体" w:cs="宋体"/>
          <w:color w:val="auto"/>
          <w:sz w:val="24"/>
          <w:szCs w:val="24"/>
          <w:highlight w:val="none"/>
          <w:u w:val="single"/>
        </w:rPr>
        <w:t>开标方式采用电子开标和现场开标两种模式，投标人可选择在开标室参与开标或准时在线参加开标。参加在线开标的投标人登录交易平台实时查看开标、唱标情况。交易平台生成开标记录并向社会公众公布。</w:t>
      </w:r>
    </w:p>
    <w:p w14:paraId="154A13F9">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5.2.2唱标前公开摇取评标基准价下浮率（下浮率取值范围在</w:t>
      </w:r>
      <w:r>
        <w:rPr>
          <w:rFonts w:hint="eastAsia" w:ascii="宋体" w:hAnsi="宋体" w:eastAsia="宋体" w:cs="宋体"/>
          <w:color w:val="auto"/>
          <w:sz w:val="24"/>
          <w:szCs w:val="24"/>
          <w:highlight w:val="none"/>
          <w:u w:val="none"/>
        </w:rPr>
        <w:t>2%~5%</w:t>
      </w:r>
      <w:r>
        <w:rPr>
          <w:rFonts w:hint="eastAsia" w:ascii="宋体" w:hAnsi="宋体" w:eastAsia="宋体" w:cs="宋体"/>
          <w:color w:val="auto"/>
          <w:sz w:val="24"/>
          <w:szCs w:val="24"/>
          <w:highlight w:val="none"/>
        </w:rPr>
        <w:t>，按0.5%设定级差）</w:t>
      </w:r>
      <w:r>
        <w:rPr>
          <w:rFonts w:hint="eastAsia" w:ascii="宋体" w:hAnsi="宋体" w:eastAsia="宋体" w:cs="宋体"/>
          <w:strike/>
          <w:color w:val="auto"/>
          <w:sz w:val="24"/>
          <w:szCs w:val="24"/>
          <w:highlight w:val="none"/>
        </w:rPr>
        <w:t>（经评审的最低投标价法不需要摇评标基准价下浮率）</w:t>
      </w:r>
      <w:r>
        <w:rPr>
          <w:rFonts w:hint="eastAsia" w:ascii="宋体" w:hAnsi="宋体" w:eastAsia="宋体" w:cs="宋体"/>
          <w:color w:val="auto"/>
          <w:sz w:val="24"/>
          <w:szCs w:val="24"/>
          <w:highlight w:val="none"/>
        </w:rPr>
        <w:t>。</w:t>
      </w:r>
    </w:p>
    <w:p w14:paraId="0F5A5DBF">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5.2.3 招标人在招标文件要求的递交投标文件截止时间前收到的投标文件，在</w:t>
      </w:r>
      <w:r>
        <w:rPr>
          <w:rFonts w:hint="eastAsia" w:ascii="宋体" w:hAnsi="宋体" w:eastAsia="宋体" w:cs="宋体"/>
          <w:color w:val="auto"/>
          <w:sz w:val="24"/>
          <w:szCs w:val="24"/>
          <w:highlight w:val="none"/>
          <w:u w:val="single"/>
        </w:rPr>
        <w:t>规定的时间内</w:t>
      </w:r>
      <w:r>
        <w:rPr>
          <w:rFonts w:hint="eastAsia" w:ascii="宋体" w:hAnsi="宋体" w:eastAsia="宋体" w:cs="宋体"/>
          <w:color w:val="auto"/>
          <w:sz w:val="24"/>
          <w:szCs w:val="24"/>
          <w:highlight w:val="none"/>
        </w:rPr>
        <w:t>未完成投标人解密的，其视为投标人放弃投标。</w:t>
      </w:r>
    </w:p>
    <w:p w14:paraId="3FD7FF0E">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5.2.4 招标人在开标开始时间后，使用制作该招标文件的机构业务数字证书对所有投标人电子投标文件进行招标人解密。</w:t>
      </w:r>
    </w:p>
    <w:p w14:paraId="40E1FEE0">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5.2.5招标人完成解密后按开标记录表规定的内容进行唱标。</w:t>
      </w:r>
    </w:p>
    <w:p w14:paraId="609B8F07">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5.2.6唱标结束，参与开标的招标人、招标代理、投标人及有关人员对开标记录表进行签字确认。</w:t>
      </w:r>
    </w:p>
    <w:p w14:paraId="3CBCAF6C">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5.2.7投标人没有按要求提供投标保证金的，其投标无效，不参与排序和资格审查。</w:t>
      </w:r>
    </w:p>
    <w:p w14:paraId="1B5EF833">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5.3 开标异议</w:t>
      </w:r>
    </w:p>
    <w:p w14:paraId="79A199B0">
      <w:pPr>
        <w:pStyle w:val="34"/>
        <w:shd w:val="clear" w:color="auto" w:fill="FFFFFF"/>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5.3.1</w:t>
      </w:r>
      <w:r>
        <w:rPr>
          <w:rFonts w:hint="eastAsia" w:ascii="宋体" w:hAnsi="宋体" w:eastAsia="宋体" w:cs="宋体"/>
          <w:color w:val="auto"/>
          <w:highlight w:val="none"/>
          <w:u w:val="single"/>
        </w:rPr>
        <w:t>参加现场开标的投标人对开标有异议的，</w:t>
      </w:r>
      <w:r>
        <w:rPr>
          <w:rFonts w:hint="eastAsia" w:ascii="宋体" w:hAnsi="宋体" w:eastAsia="宋体" w:cs="宋体"/>
          <w:color w:val="auto"/>
          <w:highlight w:val="none"/>
        </w:rPr>
        <w:t>应当在开标现场提出，招标人当场作出答复，并制作记录。</w:t>
      </w:r>
    </w:p>
    <w:p w14:paraId="6EE37CB3">
      <w:pPr>
        <w:pStyle w:val="34"/>
        <w:shd w:val="clear" w:color="auto" w:fill="FFFFFF"/>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5.3.2对开标的异议，招标人应当当场作出答复并予以书面记录，异议成立的，招标人应当及时采取纠正措施，或者提交评标委员会评审确认；异议不成立的，招标人应当当场给予解释说明。</w:t>
      </w:r>
    </w:p>
    <w:p w14:paraId="2F4C94F1">
      <w:pPr>
        <w:pStyle w:val="34"/>
        <w:shd w:val="clear" w:color="auto" w:fill="FFFFFF"/>
        <w:spacing w:before="0" w:beforeAutospacing="0" w:after="0" w:afterAutospacing="0" w:line="360" w:lineRule="auto"/>
        <w:ind w:firstLine="480" w:firstLineChars="200"/>
        <w:rPr>
          <w:rFonts w:hint="eastAsia" w:ascii="宋体" w:hAnsi="宋体" w:eastAsia="宋体" w:cs="宋体"/>
          <w:color w:val="auto"/>
          <w:sz w:val="32"/>
          <w:szCs w:val="32"/>
          <w:highlight w:val="none"/>
        </w:rPr>
      </w:pPr>
      <w:r>
        <w:rPr>
          <w:rFonts w:hint="eastAsia" w:ascii="宋体" w:hAnsi="宋体" w:eastAsia="宋体" w:cs="宋体"/>
          <w:color w:val="auto"/>
          <w:highlight w:val="none"/>
        </w:rPr>
        <w:t>5.3.3招标人应当按照同一异议提起人一份记录的方式，对异议事项的处理应逐条进行书面记录，并由异议提起人、招标人签名确认。书面记录含义应清晰而明确，包括但不限于纠正的措施、解释说明的内容、相关依据等</w:t>
      </w:r>
      <w:r>
        <w:rPr>
          <w:rFonts w:hint="eastAsia" w:ascii="宋体" w:hAnsi="宋体" w:eastAsia="宋体" w:cs="宋体"/>
          <w:color w:val="auto"/>
          <w:sz w:val="32"/>
          <w:szCs w:val="32"/>
          <w:highlight w:val="none"/>
        </w:rPr>
        <w:t>。</w:t>
      </w:r>
    </w:p>
    <w:p w14:paraId="2391EDB9">
      <w:pPr>
        <w:pStyle w:val="34"/>
        <w:shd w:val="clear" w:color="auto" w:fill="FFFFFF"/>
        <w:spacing w:before="0" w:beforeAutospacing="0" w:after="0" w:afterAutospacing="0" w:line="360" w:lineRule="auto"/>
        <w:ind w:firstLine="4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u w:val="single"/>
        </w:rPr>
        <w:t>5.3.4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069725DA">
      <w:pPr>
        <w:tabs>
          <w:tab w:val="left" w:pos="105"/>
        </w:tabs>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5.4开标时，出现下列情形之一的，不参与资格审查和评标：</w:t>
      </w:r>
    </w:p>
    <w:p w14:paraId="36E20888">
      <w:pPr>
        <w:tabs>
          <w:tab w:val="left" w:pos="105"/>
        </w:tabs>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5.4.1因投标人原因造成电子投标文件未解密或逾期解密的；</w:t>
      </w:r>
    </w:p>
    <w:p w14:paraId="63005D74">
      <w:pPr>
        <w:tabs>
          <w:tab w:val="left" w:pos="105"/>
        </w:tabs>
        <w:spacing w:line="360" w:lineRule="auto"/>
        <w:ind w:firstLine="480" w:firstLineChars="200"/>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5.4.1未成功递交投标文件的；</w:t>
      </w:r>
    </w:p>
    <w:p w14:paraId="32DF8A3F">
      <w:pPr>
        <w:tabs>
          <w:tab w:val="left" w:pos="105"/>
        </w:tabs>
        <w:spacing w:line="360" w:lineRule="auto"/>
        <w:ind w:firstLine="480" w:firstLineChars="200"/>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5.4.2因投标人原因造成投标文件未解密的；</w:t>
      </w:r>
    </w:p>
    <w:p w14:paraId="6CA11328">
      <w:pPr>
        <w:tabs>
          <w:tab w:val="left" w:pos="105"/>
        </w:tabs>
        <w:spacing w:line="360" w:lineRule="auto"/>
        <w:ind w:firstLine="480" w:firstLineChars="200"/>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5.4.3未按招标文件要求提供投标保证金的；</w:t>
      </w:r>
    </w:p>
    <w:p w14:paraId="6C606AC9">
      <w:pPr>
        <w:tabs>
          <w:tab w:val="left" w:pos="105"/>
        </w:tabs>
        <w:spacing w:line="360" w:lineRule="auto"/>
        <w:ind w:firstLine="480" w:firstLineChars="200"/>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5.4.4两个（含两个）以上的投标人加密打包投标文件电脑机器码一致的；</w:t>
      </w:r>
    </w:p>
    <w:p w14:paraId="7D6E7F1D">
      <w:pPr>
        <w:tabs>
          <w:tab w:val="left" w:pos="105"/>
        </w:tabs>
        <w:spacing w:line="360" w:lineRule="auto"/>
        <w:ind w:firstLine="480" w:firstLineChars="200"/>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5.4.5项目负责人和安全员为同一人的；</w:t>
      </w:r>
    </w:p>
    <w:p w14:paraId="78A265C9">
      <w:pPr>
        <w:tabs>
          <w:tab w:val="left" w:pos="10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trike/>
          <w:color w:val="auto"/>
          <w:sz w:val="24"/>
          <w:szCs w:val="24"/>
          <w:highlight w:val="none"/>
        </w:rPr>
        <w:t>5.4.6投标文件中的投标人、项目负责人、安全员与投标登记时的信息不一致的。</w:t>
      </w:r>
    </w:p>
    <w:p w14:paraId="66847F2E">
      <w:pPr>
        <w:jc w:val="center"/>
        <w:outlineLvl w:val="3"/>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（六）评标</w:t>
      </w:r>
    </w:p>
    <w:p w14:paraId="615ED07A">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6.1 评标委员会</w:t>
      </w:r>
    </w:p>
    <w:p w14:paraId="2E11361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6.1.1 评标由招标人依法组建的评标委员会负责。评标委员会由有关技术、经济等方面的专家</w:t>
      </w:r>
      <w:r>
        <w:rPr>
          <w:rFonts w:hint="eastAsia" w:ascii="宋体" w:hAnsi="宋体" w:eastAsia="宋体" w:cs="宋体"/>
          <w:strike/>
          <w:color w:val="auto"/>
          <w:sz w:val="24"/>
          <w:highlight w:val="none"/>
        </w:rPr>
        <w:t>和招标人代表</w:t>
      </w:r>
      <w:r>
        <w:rPr>
          <w:rFonts w:hint="eastAsia" w:ascii="宋体" w:hAnsi="宋体" w:eastAsia="宋体" w:cs="宋体"/>
          <w:color w:val="auto"/>
          <w:sz w:val="24"/>
          <w:highlight w:val="none"/>
        </w:rPr>
        <w:t>组成，专家从交易中心符合规定的评标专家库中抽取。评标委员会成员人数以及技术、经济等方面专家的确定方式见投标人须知前附表。</w:t>
      </w:r>
    </w:p>
    <w:p w14:paraId="729350F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6.1.2 评标委员会成员有下列情形之一的，应当回避：</w:t>
      </w:r>
    </w:p>
    <w:p w14:paraId="52ABFE9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（1）招标人或投标人的主要负责人的近亲属；</w:t>
      </w:r>
    </w:p>
    <w:p w14:paraId="702A18B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（2）项目主管部门或者</w:t>
      </w:r>
      <w:r>
        <w:rPr>
          <w:rFonts w:hint="eastAsia" w:ascii="宋体" w:hAnsi="宋体" w:eastAsia="宋体" w:cs="宋体"/>
          <w:strike/>
          <w:color w:val="auto"/>
          <w:sz w:val="24"/>
          <w:highlight w:val="none"/>
        </w:rPr>
        <w:t>行政</w:t>
      </w:r>
      <w:r>
        <w:rPr>
          <w:rFonts w:hint="eastAsia" w:ascii="宋体" w:hAnsi="宋体" w:eastAsia="宋体" w:cs="宋体"/>
          <w:color w:val="auto"/>
          <w:sz w:val="24"/>
          <w:highlight w:val="none"/>
        </w:rPr>
        <w:t>监督部门的人员；</w:t>
      </w:r>
    </w:p>
    <w:p w14:paraId="46AA9D5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（3）与投标人有经济利益关系，可能影响对投标公正评审的；</w:t>
      </w:r>
    </w:p>
    <w:p w14:paraId="1E094F0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（4）曾因在招标、评标以及其他与招标投标有关活动中从事违法行为而受过行政处罚或刑事处罚的。</w:t>
      </w:r>
    </w:p>
    <w:p w14:paraId="4E87624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（5）与投标人有其他利害关系。</w:t>
      </w:r>
    </w:p>
    <w:p w14:paraId="1CA949C1">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6.2 评标原则</w:t>
      </w:r>
      <w:r>
        <w:rPr>
          <w:rFonts w:hint="eastAsia" w:ascii="宋体" w:hAnsi="宋体" w:eastAsia="宋体" w:cs="宋体"/>
          <w:b/>
          <w:color w:val="auto"/>
          <w:sz w:val="24"/>
          <w:highlight w:val="none"/>
        </w:rPr>
        <w:tab/>
      </w:r>
    </w:p>
    <w:p w14:paraId="091473B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评标活动遵循公平、公正、科学和择优的原则。</w:t>
      </w:r>
    </w:p>
    <w:p w14:paraId="21AB7259">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6.3 评标</w:t>
      </w:r>
    </w:p>
    <w:p w14:paraId="44FDCDA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评标委员会按照第三章“评标办法”规定的方法、评审因素、标准和程序对投标文件进行评审。第三章“评标办法”没有规定的方法、评审因素和标准，不作为评标依据。</w:t>
      </w:r>
    </w:p>
    <w:p w14:paraId="5AB0F7DF">
      <w:pPr>
        <w:jc w:val="center"/>
        <w:outlineLvl w:val="3"/>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（七）合同授予</w:t>
      </w:r>
    </w:p>
    <w:p w14:paraId="7CFA2767">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7.1 定标方式</w:t>
      </w:r>
    </w:p>
    <w:p w14:paraId="54696D5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7.1.1招标人根据评标委员会推荐的中标候选人确定中标人，评标委员会推荐中标候选人的人数为3个。</w:t>
      </w:r>
    </w:p>
    <w:p w14:paraId="1ADFAF36">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7.1.2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6065FED6">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7.2 中标候选人公示</w:t>
      </w:r>
    </w:p>
    <w:p w14:paraId="7EFB4E05">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7.2.1招标人在《投标人须知前附表》规定的媒介公示中标候选人，公示期为三天，最后一天应为工作日。</w:t>
      </w:r>
    </w:p>
    <w:p w14:paraId="6C98EFC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7.2.2</w:t>
      </w:r>
      <w:r>
        <w:rPr>
          <w:rFonts w:hint="eastAsia" w:ascii="宋体" w:hAnsi="宋体" w:eastAsia="宋体" w:cs="宋体"/>
          <w:color w:val="auto"/>
          <w:sz w:val="24"/>
          <w:szCs w:val="24"/>
          <w:highlight w:val="none"/>
          <w:u w:val="single"/>
        </w:rPr>
        <w:t>在产生中标候选人后，招标人将按相关要求在广州交易集团有限公司（广州公共资源交易中心）、中国招标投标公共服务平台网站、广州国企阳光采购信息发布平台网站公开。</w:t>
      </w:r>
    </w:p>
    <w:p w14:paraId="04EDE05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7.2.3重新评标的，评标信息（含业绩、奖项等）仍以投标截止时投标人的信息为准。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C8D6D1C">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7.3 中标通知</w:t>
      </w:r>
    </w:p>
    <w:p w14:paraId="4B3C74E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在法规规定的时间内，招标人以书面形式向中标人发出中标通知书。在</w:t>
      </w:r>
      <w:r>
        <w:rPr>
          <w:rFonts w:hint="eastAsia" w:ascii="宋体" w:hAnsi="宋体" w:eastAsia="宋体" w:cs="宋体"/>
          <w:color w:val="auto"/>
          <w:sz w:val="24"/>
          <w:szCs w:val="24"/>
          <w:highlight w:val="none"/>
        </w:rPr>
        <w:t>广州公共资源交易网</w:t>
      </w:r>
      <w:r>
        <w:rPr>
          <w:rFonts w:hint="eastAsia" w:ascii="宋体" w:hAnsi="宋体" w:eastAsia="宋体" w:cs="宋体"/>
          <w:color w:val="auto"/>
          <w:sz w:val="24"/>
          <w:highlight w:val="none"/>
        </w:rPr>
        <w:t>发布中标信息，视同将中标结果通知未中标的投标人。</w:t>
      </w:r>
    </w:p>
    <w:p w14:paraId="1B5103DB">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7.4 履约担保</w:t>
      </w:r>
    </w:p>
    <w:p w14:paraId="38B691F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7.4.1</w:t>
      </w:r>
      <w:r>
        <w:rPr>
          <w:rFonts w:hint="eastAsia" w:ascii="宋体" w:hAnsi="宋体" w:eastAsia="宋体" w:cs="宋体"/>
          <w:color w:val="auto"/>
          <w:sz w:val="24"/>
          <w:highlight w:val="none"/>
          <w:u w:val="single"/>
        </w:rPr>
        <w:t>在合同签订后10日内，</w:t>
      </w:r>
      <w:r>
        <w:rPr>
          <w:rFonts w:hint="eastAsia" w:ascii="宋体" w:hAnsi="宋体" w:eastAsia="宋体" w:cs="宋体"/>
          <w:color w:val="auto"/>
          <w:sz w:val="24"/>
          <w:highlight w:val="none"/>
        </w:rPr>
        <w:t>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55FCC26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7.4.2 中标人不能按本章第7.4.1项要求提交履约担保的，视为放弃中标，其投标保证金不予退还，给招标人造成的损失超过投标保证金数额的，中标人还应当对超过部分予以赔偿。</w:t>
      </w:r>
    </w:p>
    <w:p w14:paraId="2C019FE3">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7.5 签订合同</w:t>
      </w:r>
    </w:p>
    <w:p w14:paraId="590FBA9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7.5.1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14:paraId="7574592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7.5.2 发出中标通知书后，招标人无正当理由拒签合同的，招标人向中标人退还投标保证金；给中标人造成损失的，还应当赔偿损失。</w:t>
      </w:r>
    </w:p>
    <w:p w14:paraId="135E96D7">
      <w:pPr>
        <w:jc w:val="center"/>
        <w:outlineLvl w:val="3"/>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（八）重新招标</w:t>
      </w:r>
    </w:p>
    <w:p w14:paraId="1A1AC36C">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 重新招标</w:t>
      </w:r>
    </w:p>
    <w:p w14:paraId="42BE625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有下列情形之一的，招标人将重新招标；</w:t>
      </w:r>
    </w:p>
    <w:p w14:paraId="52919B1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（1）投标截止时间止，投标人少于3个的；</w:t>
      </w:r>
    </w:p>
    <w:p w14:paraId="68B4CA7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（2）经评标委员会评审后否决所有投标的；</w:t>
      </w:r>
    </w:p>
    <w:p w14:paraId="53617D0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（3）资审合格的投标人少于3家或经评审有效标少于3家的；</w:t>
      </w:r>
    </w:p>
    <w:p w14:paraId="46D2DA7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（4）同意延长投标有效期的投标人少于3个的；</w:t>
      </w:r>
    </w:p>
    <w:p w14:paraId="40FAFD0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（5）中标候选人均未与招标人签订合同的。</w:t>
      </w:r>
    </w:p>
    <w:p w14:paraId="1C574D6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（6）当N个标段同时招标且不允许兼中时，若有效投标人不足（N+1）家，则重新组织招标。</w:t>
      </w:r>
    </w:p>
    <w:p w14:paraId="4E2F8985">
      <w:pPr>
        <w:jc w:val="center"/>
        <w:outlineLvl w:val="3"/>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（九）纪律和监督</w:t>
      </w:r>
    </w:p>
    <w:p w14:paraId="26D67B58">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9.1对招标人的纪律要求</w:t>
      </w:r>
    </w:p>
    <w:p w14:paraId="1AB73FA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招标人不得泄漏招标投标活动中应当保密的情况和资料，不得与投标人串通损害国家利益、社会公共利益或者他人合法权益。</w:t>
      </w:r>
    </w:p>
    <w:p w14:paraId="520A96FA">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9.2 对投标人的纪律要求</w:t>
      </w:r>
    </w:p>
    <w:p w14:paraId="2DECED7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560629D">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9.3 对评标委员会成员的纪律要求</w:t>
      </w:r>
    </w:p>
    <w:p w14:paraId="0A5AD41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169B49C">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9.4 对与评标活动有关的工作人员的纪律要求</w:t>
      </w:r>
    </w:p>
    <w:p w14:paraId="6CDC3E8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27B50CC9">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9.5 投诉</w:t>
      </w:r>
    </w:p>
    <w:p w14:paraId="3F63BC1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和其他利害关系人认为本次招标活动违反法律、法规和规章规定的，有权向投标人须知前附表规定的监督部门投诉。就招标文件、开标、评标结果进行投诉的，投标人和其他利害关系人应当先向招标人提出异议。</w:t>
      </w:r>
    </w:p>
    <w:p w14:paraId="6421EE70">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5508E63A">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0DF5B600">
      <w:pPr>
        <w:adjustRightInd w:val="0"/>
        <w:spacing w:line="360" w:lineRule="auto"/>
        <w:ind w:firstLine="480" w:firstLineChars="200"/>
        <w:rPr>
          <w:rFonts w:hint="eastAsia" w:ascii="宋体" w:hAnsi="宋体" w:eastAsia="宋体" w:cs="宋体"/>
          <w:color w:val="auto"/>
          <w:highlight w:val="none"/>
          <w:u w:val="single"/>
        </w:rPr>
      </w:pPr>
      <w:r>
        <w:rPr>
          <w:rFonts w:hint="eastAsia" w:ascii="宋体" w:hAnsi="宋体" w:eastAsia="宋体" w:cs="宋体"/>
          <w:color w:val="auto"/>
          <w:sz w:val="24"/>
          <w:szCs w:val="24"/>
          <w:highlight w:val="none"/>
          <w:u w:val="singl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082387A2">
      <w:pPr>
        <w:jc w:val="center"/>
        <w:outlineLvl w:val="3"/>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（十）需要补充的其他内容</w:t>
      </w:r>
    </w:p>
    <w:p w14:paraId="040E95EF">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需要补充的其他内容：</w:t>
      </w:r>
    </w:p>
    <w:p w14:paraId="5F19EF55">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10.1电子招标投标：□否，■是。</w:t>
      </w:r>
    </w:p>
    <w:p w14:paraId="307F87D0">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10.2电子招标投标解密失败及突发情况的补救：</w:t>
      </w:r>
    </w:p>
    <w:p w14:paraId="400A9CC4">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1.按照交易平台关于全流程电子化项目的相关指南进行操作。详见：【专业工程】新数字交易平台操作指引（含交易系统、文件编制工具、开评标系统等）。</w:t>
      </w:r>
    </w:p>
    <w:p w14:paraId="0C16E4B4">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2.提交投标文件光盘备用</w:t>
      </w:r>
    </w:p>
    <w:p w14:paraId="7C2AF08A">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投标人可制作非加密的电子投标文件（共1个光盘），在投标须知前附表第5.1项规定的时间、地点提交备用。刻录好的投标文件光盘分别密封在不透明的密封袋并作标记。</w:t>
      </w:r>
    </w:p>
    <w:p w14:paraId="2A4B7FC4">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电子投标文件应在密封袋上写明（1）招标人名称；（2）“[项目名称][投标文件光盘]”字样；（3）并在封口处加盖投标人公章。</w:t>
      </w:r>
    </w:p>
    <w:p w14:paraId="69DBA74C">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递交的投标文件光盘不得加密。光盘无法读取或导入的，则视为未提交备用投标文件光盘。如果投标人没有按规定通过交易平台网上递交电子投标文件的，不再读取提交的光盘。投标人也可不提交备用光盘。递交投标文件光盘备用时需提供法定人代表人证明书及授权委托书。</w:t>
      </w:r>
    </w:p>
    <w:p w14:paraId="6420AF7D">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3.补救方案</w:t>
      </w:r>
    </w:p>
    <w:p w14:paraId="0D90E9CC">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（1）投标文件解密失败的补救方案：</w:t>
      </w:r>
    </w:p>
    <w:p w14:paraId="5C2CA8F1">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1F0E6E6B">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（2）评标时突发情况的补救方案</w:t>
      </w:r>
    </w:p>
    <w:p w14:paraId="39F153B8">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若遇不可抗力发生（指网络瘫痪、服务器损坏、交易系统故障短期无法恢复等因素），由评标委员会开启投标人递交的全部投标文件光盘，并按光盘内容进行评审。</w:t>
      </w:r>
    </w:p>
    <w:p w14:paraId="6E5F7BB3">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（3）除发生上述情况外，开标评标均以投标人通过交易平台网上递交的电子投标文件为准。</w:t>
      </w:r>
    </w:p>
    <w:p w14:paraId="3E5B7779">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10.3其他：</w:t>
      </w:r>
    </w:p>
    <w:p w14:paraId="3D7583EF">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招标人或评标委员会在任何时候发现投标人有违反以下约定的，招标人或评标委员会有权将该投标人的投标作废标处理，并有权取消其投标资格并没收投标保证金。已中标签订合同的，终止合同，除没收履约保证金外，还需支付合同总额20%的违约金。</w:t>
      </w:r>
    </w:p>
    <w:p w14:paraId="3B26C5E9">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中标通知书发放前或在签订合同前或在签订合同后的任何时候，招标人有权到投标人现场进行考察，对投标人投标文件描述内容的真实性进行查实，如发现实际情况与投标文件不符，投标人在招标过程有弄虚作假行为、虚报资料情况的，将被取消中标资格，且不退还投标保证金；如果已经签订合同的，将被解除合同。</w:t>
      </w:r>
    </w:p>
    <w:p w14:paraId="185925B9">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（2）招标文件合同条款和发包要求的其他情况。</w:t>
      </w:r>
    </w:p>
    <w:p w14:paraId="3935659E">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特别提醒：招标人或招标代理有权要求投标人于本项目评标结束后至中标通知书发放前在接到通知的三日内提供相关证明材料的原件（包括投标文件中的相关证明材料等）进行核查。如该投标人不能按要求提供原件或提供的某些原件经招标人、招标代理机构共同核查后确认与原件不一致，则招标人有权取消其投标资格或中标候选人资格，被取消投标资格或中标候选人资格的，其保证金不予退还。如第一中标候选人被取消中标候选人资格，则招标人有权按中标候选人的顺序依次确定其他中标候选人为中标人，或重新招标。在此情况下，招标人不予退还该投标人的投标保证金。</w:t>
      </w:r>
    </w:p>
    <w:p w14:paraId="5D6BD230">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3.交易服务费：</w:t>
      </w:r>
    </w:p>
    <w:p w14:paraId="07D0E109">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本项目的公共资源交易服务费由中标人根据相关规定向广州交易集团有限公司（广州公共资源交易中心）缴纳，交易中心向中标人开具增值税发票。</w:t>
      </w:r>
    </w:p>
    <w:p w14:paraId="292C09FE">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4.招标代理服务费：</w:t>
      </w:r>
    </w:p>
    <w:p w14:paraId="124DC9A4">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招标人根据与招标代理签订的招标代理合同，由招标人支付。</w:t>
      </w:r>
    </w:p>
    <w:p w14:paraId="7AE8BCF0">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5.特别提醒：投标文件应按编排要求编制。如因不按编排要求编制而所引起系无法检索、读取相关信息时，其后果将由投标人自行承担。 </w:t>
      </w:r>
    </w:p>
    <w:p w14:paraId="7CB5A4CA">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6.本项目不允许挂靠、转包或分包，一旦发现将取消投标申请人的投标资格，在投标阶段将没收其投标保证金。</w:t>
      </w:r>
    </w:p>
    <w:p w14:paraId="4C7BB4AE">
      <w:pPr>
        <w:widowControl/>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175152BC">
      <w:pPr>
        <w:spacing w:line="360" w:lineRule="auto"/>
        <w:jc w:val="left"/>
        <w:outlineLvl w:val="2"/>
        <w:rPr>
          <w:rFonts w:hint="eastAsia" w:ascii="宋体" w:hAnsi="宋体" w:eastAsia="宋体" w:cs="宋体"/>
          <w:color w:val="auto"/>
          <w:sz w:val="28"/>
          <w:szCs w:val="27"/>
          <w:highlight w:val="none"/>
        </w:rPr>
      </w:pPr>
      <w:bookmarkStart w:id="109" w:name="_Toc17526"/>
      <w:bookmarkStart w:id="110" w:name="_Toc152042358"/>
      <w:bookmarkStart w:id="111" w:name="_Toc17556878"/>
      <w:bookmarkStart w:id="112" w:name="_Toc144974548"/>
      <w:bookmarkStart w:id="113" w:name="_Toc17556933"/>
      <w:bookmarkStart w:id="114" w:name="_Toc17452666"/>
      <w:bookmarkStart w:id="115" w:name="_Toc179632599"/>
      <w:bookmarkStart w:id="116" w:name="_Toc17454924"/>
      <w:bookmarkStart w:id="117" w:name="_Toc332641306"/>
      <w:bookmarkStart w:id="118" w:name="_Toc247085739"/>
      <w:bookmarkStart w:id="119" w:name="_Toc17451580"/>
      <w:bookmarkStart w:id="120" w:name="_Toc17451103"/>
      <w:bookmarkStart w:id="121" w:name="_Toc17454873"/>
      <w:bookmarkStart w:id="122" w:name="_Toc152045581"/>
      <w:bookmarkStart w:id="123" w:name="_Toc17451625"/>
      <w:r>
        <w:rPr>
          <w:rFonts w:hint="eastAsia" w:ascii="宋体" w:hAnsi="宋体" w:eastAsia="宋体" w:cs="宋体"/>
          <w:color w:val="auto"/>
          <w:sz w:val="28"/>
          <w:szCs w:val="27"/>
          <w:highlight w:val="none"/>
        </w:rPr>
        <w:t>附件一：开标记录表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8730D54">
      <w:pPr>
        <w:spacing w:line="4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（项目名称）开标记录表</w:t>
      </w:r>
    </w:p>
    <w:p w14:paraId="47FC8158">
      <w:pPr>
        <w:spacing w:line="50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评标参考价下浮率：                开标时间：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Cs w:val="21"/>
          <w:highlight w:val="none"/>
        </w:rPr>
        <w:t>分</w:t>
      </w:r>
    </w:p>
    <w:tbl>
      <w:tblPr>
        <w:tblStyle w:val="40"/>
        <w:tblW w:w="5216" w:type="pct"/>
        <w:jc w:val="center"/>
        <w:tblLayout w:type="autofit"/>
        <w:tblCellMar>
          <w:top w:w="0" w:type="dxa"/>
          <w:left w:w="108" w:type="dxa"/>
          <w:bottom w:w="0" w:type="dxa"/>
          <w:right w:w="108" w:type="dxa"/>
        </w:tblCellMar>
      </w:tblPr>
      <w:tblGrid>
        <w:gridCol w:w="444"/>
        <w:gridCol w:w="962"/>
        <w:gridCol w:w="582"/>
        <w:gridCol w:w="829"/>
        <w:gridCol w:w="849"/>
        <w:gridCol w:w="521"/>
        <w:gridCol w:w="846"/>
        <w:gridCol w:w="426"/>
        <w:gridCol w:w="427"/>
        <w:gridCol w:w="426"/>
        <w:gridCol w:w="427"/>
        <w:gridCol w:w="882"/>
        <w:gridCol w:w="706"/>
        <w:gridCol w:w="569"/>
      </w:tblGrid>
      <w:tr w14:paraId="481B88E2">
        <w:tblPrEx>
          <w:tblCellMar>
            <w:top w:w="0" w:type="dxa"/>
            <w:left w:w="108" w:type="dxa"/>
            <w:bottom w:w="0" w:type="dxa"/>
            <w:right w:w="108" w:type="dxa"/>
          </w:tblCellMar>
        </w:tblPrEx>
        <w:trPr>
          <w:trHeight w:val="1273" w:hRule="atLeast"/>
          <w:jc w:val="center"/>
        </w:trPr>
        <w:tc>
          <w:tcPr>
            <w:tcW w:w="250" w:type="pct"/>
            <w:vMerge w:val="restart"/>
            <w:tcBorders>
              <w:top w:val="single" w:color="auto" w:sz="4" w:space="0"/>
              <w:left w:val="single" w:color="auto" w:sz="4" w:space="0"/>
              <w:right w:val="single" w:color="auto" w:sz="4" w:space="0"/>
            </w:tcBorders>
            <w:vAlign w:val="center"/>
          </w:tcPr>
          <w:p w14:paraId="55F4D965">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41" w:type="pct"/>
            <w:vMerge w:val="restart"/>
            <w:tcBorders>
              <w:top w:val="single" w:color="auto" w:sz="4" w:space="0"/>
              <w:left w:val="single" w:color="auto" w:sz="4" w:space="0"/>
              <w:right w:val="single" w:color="auto" w:sz="4" w:space="0"/>
            </w:tcBorders>
            <w:vAlign w:val="center"/>
          </w:tcPr>
          <w:p w14:paraId="18C06944">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p>
        </w:tc>
        <w:tc>
          <w:tcPr>
            <w:tcW w:w="327" w:type="pct"/>
            <w:vMerge w:val="restart"/>
            <w:tcBorders>
              <w:top w:val="single" w:color="auto" w:sz="4" w:space="0"/>
              <w:left w:val="single" w:color="auto" w:sz="4" w:space="0"/>
              <w:right w:val="single" w:color="auto" w:sz="4" w:space="0"/>
            </w:tcBorders>
            <w:vAlign w:val="center"/>
          </w:tcPr>
          <w:p w14:paraId="08389C1D">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解密情况</w:t>
            </w:r>
          </w:p>
        </w:tc>
        <w:tc>
          <w:tcPr>
            <w:tcW w:w="466" w:type="pct"/>
            <w:vMerge w:val="restart"/>
            <w:tcBorders>
              <w:top w:val="single" w:color="auto" w:sz="4" w:space="0"/>
              <w:left w:val="single" w:color="auto" w:sz="4" w:space="0"/>
              <w:right w:val="single" w:color="auto" w:sz="4" w:space="0"/>
            </w:tcBorders>
            <w:vAlign w:val="center"/>
          </w:tcPr>
          <w:p w14:paraId="0D298F98">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w:t>
            </w:r>
          </w:p>
        </w:tc>
        <w:tc>
          <w:tcPr>
            <w:tcW w:w="477" w:type="pct"/>
            <w:vMerge w:val="restart"/>
            <w:tcBorders>
              <w:top w:val="single" w:color="auto" w:sz="4" w:space="0"/>
              <w:left w:val="single" w:color="auto" w:sz="4" w:space="0"/>
              <w:right w:val="single" w:color="auto" w:sz="4" w:space="0"/>
            </w:tcBorders>
            <w:vAlign w:val="center"/>
          </w:tcPr>
          <w:p w14:paraId="3A74988E">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投标报价（元）</w:t>
            </w:r>
          </w:p>
        </w:tc>
        <w:tc>
          <w:tcPr>
            <w:tcW w:w="293" w:type="pct"/>
            <w:vMerge w:val="restart"/>
            <w:tcBorders>
              <w:top w:val="single" w:color="auto" w:sz="4" w:space="0"/>
              <w:left w:val="single" w:color="auto" w:sz="4" w:space="0"/>
              <w:right w:val="single" w:color="auto" w:sz="4" w:space="0"/>
            </w:tcBorders>
            <w:vAlign w:val="center"/>
          </w:tcPr>
          <w:p w14:paraId="390BA5E5">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质量标准</w:t>
            </w:r>
          </w:p>
        </w:tc>
        <w:tc>
          <w:tcPr>
            <w:tcW w:w="475" w:type="pct"/>
            <w:vMerge w:val="restart"/>
            <w:tcBorders>
              <w:top w:val="single" w:color="auto" w:sz="4" w:space="0"/>
              <w:left w:val="single" w:color="auto" w:sz="4" w:space="0"/>
              <w:right w:val="single" w:color="auto" w:sz="4" w:space="0"/>
            </w:tcBorders>
            <w:vAlign w:val="center"/>
          </w:tcPr>
          <w:p w14:paraId="64D7BAD6">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工期（天）</w:t>
            </w:r>
          </w:p>
        </w:tc>
        <w:tc>
          <w:tcPr>
            <w:tcW w:w="479" w:type="pct"/>
            <w:gridSpan w:val="2"/>
            <w:tcBorders>
              <w:top w:val="single" w:color="auto" w:sz="4" w:space="0"/>
              <w:left w:val="single" w:color="auto" w:sz="4" w:space="0"/>
              <w:bottom w:val="single" w:color="auto" w:sz="4" w:space="0"/>
              <w:right w:val="single" w:color="auto" w:sz="4" w:space="0"/>
            </w:tcBorders>
            <w:vAlign w:val="center"/>
          </w:tcPr>
          <w:p w14:paraId="070D6048">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w:t>
            </w:r>
          </w:p>
        </w:tc>
        <w:tc>
          <w:tcPr>
            <w:tcW w:w="479" w:type="pct"/>
            <w:gridSpan w:val="2"/>
            <w:tcBorders>
              <w:top w:val="single" w:color="auto" w:sz="4" w:space="0"/>
              <w:left w:val="single" w:color="auto" w:sz="4" w:space="0"/>
              <w:bottom w:val="single" w:color="auto" w:sz="4" w:space="0"/>
              <w:right w:val="single" w:color="auto" w:sz="4" w:space="0"/>
            </w:tcBorders>
            <w:vAlign w:val="center"/>
          </w:tcPr>
          <w:p w14:paraId="34808711">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专职安全员</w:t>
            </w:r>
          </w:p>
        </w:tc>
        <w:tc>
          <w:tcPr>
            <w:tcW w:w="496" w:type="pct"/>
            <w:vMerge w:val="restart"/>
            <w:tcBorders>
              <w:top w:val="single" w:color="auto" w:sz="4" w:space="0"/>
              <w:left w:val="single" w:color="auto" w:sz="4" w:space="0"/>
              <w:right w:val="single" w:color="auto" w:sz="4" w:space="0"/>
            </w:tcBorders>
            <w:vAlign w:val="center"/>
          </w:tcPr>
          <w:p w14:paraId="2E0C0B10">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投标须知5.4的条款</w:t>
            </w:r>
          </w:p>
        </w:tc>
        <w:tc>
          <w:tcPr>
            <w:tcW w:w="397" w:type="pct"/>
            <w:vMerge w:val="restart"/>
            <w:tcBorders>
              <w:top w:val="single" w:color="auto" w:sz="4" w:space="0"/>
              <w:left w:val="single" w:color="auto" w:sz="4" w:space="0"/>
              <w:right w:val="single" w:color="auto" w:sz="4" w:space="0"/>
            </w:tcBorders>
            <w:vAlign w:val="center"/>
          </w:tcPr>
          <w:p w14:paraId="162FAEBA">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签名</w:t>
            </w:r>
          </w:p>
        </w:tc>
        <w:tc>
          <w:tcPr>
            <w:tcW w:w="319" w:type="pct"/>
            <w:vMerge w:val="restart"/>
            <w:tcBorders>
              <w:top w:val="single" w:color="auto" w:sz="4" w:space="0"/>
              <w:left w:val="single" w:color="auto" w:sz="4" w:space="0"/>
              <w:right w:val="single" w:color="auto" w:sz="4" w:space="0"/>
            </w:tcBorders>
            <w:vAlign w:val="center"/>
          </w:tcPr>
          <w:p w14:paraId="64F716CF">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6C108B22">
        <w:tblPrEx>
          <w:tblCellMar>
            <w:top w:w="0" w:type="dxa"/>
            <w:left w:w="108" w:type="dxa"/>
            <w:bottom w:w="0" w:type="dxa"/>
            <w:right w:w="108" w:type="dxa"/>
          </w:tblCellMar>
        </w:tblPrEx>
        <w:trPr>
          <w:trHeight w:val="1233" w:hRule="atLeast"/>
          <w:jc w:val="center"/>
        </w:trPr>
        <w:tc>
          <w:tcPr>
            <w:tcW w:w="250" w:type="pct"/>
            <w:vMerge w:val="continue"/>
            <w:tcBorders>
              <w:left w:val="single" w:color="auto" w:sz="4" w:space="0"/>
              <w:bottom w:val="single" w:color="auto" w:sz="4" w:space="0"/>
              <w:right w:val="single" w:color="auto" w:sz="4" w:space="0"/>
            </w:tcBorders>
            <w:vAlign w:val="center"/>
          </w:tcPr>
          <w:p w14:paraId="56EB5D28">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541" w:type="pct"/>
            <w:vMerge w:val="continue"/>
            <w:tcBorders>
              <w:left w:val="single" w:color="auto" w:sz="4" w:space="0"/>
              <w:bottom w:val="single" w:color="auto" w:sz="4" w:space="0"/>
              <w:right w:val="single" w:color="auto" w:sz="4" w:space="0"/>
            </w:tcBorders>
            <w:vAlign w:val="center"/>
          </w:tcPr>
          <w:p w14:paraId="78C8CBD4">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327" w:type="pct"/>
            <w:vMerge w:val="continue"/>
            <w:tcBorders>
              <w:left w:val="single" w:color="auto" w:sz="4" w:space="0"/>
              <w:bottom w:val="single" w:color="auto" w:sz="4" w:space="0"/>
              <w:right w:val="single" w:color="auto" w:sz="4" w:space="0"/>
            </w:tcBorders>
            <w:vAlign w:val="center"/>
          </w:tcPr>
          <w:p w14:paraId="57B02D43">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466" w:type="pct"/>
            <w:vMerge w:val="continue"/>
            <w:tcBorders>
              <w:left w:val="single" w:color="auto" w:sz="4" w:space="0"/>
              <w:bottom w:val="single" w:color="auto" w:sz="4" w:space="0"/>
              <w:right w:val="single" w:color="auto" w:sz="4" w:space="0"/>
            </w:tcBorders>
            <w:vAlign w:val="center"/>
          </w:tcPr>
          <w:p w14:paraId="36E38142">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477" w:type="pct"/>
            <w:vMerge w:val="continue"/>
            <w:tcBorders>
              <w:left w:val="single" w:color="auto" w:sz="4" w:space="0"/>
              <w:bottom w:val="single" w:color="auto" w:sz="4" w:space="0"/>
              <w:right w:val="single" w:color="auto" w:sz="4" w:space="0"/>
            </w:tcBorders>
            <w:vAlign w:val="center"/>
          </w:tcPr>
          <w:p w14:paraId="1C8FDB1E">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293" w:type="pct"/>
            <w:vMerge w:val="continue"/>
            <w:tcBorders>
              <w:left w:val="single" w:color="auto" w:sz="4" w:space="0"/>
              <w:bottom w:val="single" w:color="auto" w:sz="4" w:space="0"/>
              <w:right w:val="single" w:color="auto" w:sz="4" w:space="0"/>
            </w:tcBorders>
            <w:vAlign w:val="center"/>
          </w:tcPr>
          <w:p w14:paraId="65750A5B">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475" w:type="pct"/>
            <w:vMerge w:val="continue"/>
            <w:tcBorders>
              <w:left w:val="single" w:color="auto" w:sz="4" w:space="0"/>
              <w:bottom w:val="single" w:color="auto" w:sz="4" w:space="0"/>
              <w:right w:val="single" w:color="auto" w:sz="4" w:space="0"/>
            </w:tcBorders>
            <w:vAlign w:val="center"/>
          </w:tcPr>
          <w:p w14:paraId="55645FE3">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vAlign w:val="center"/>
          </w:tcPr>
          <w:p w14:paraId="05EF7827">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登记时</w:t>
            </w:r>
          </w:p>
        </w:tc>
        <w:tc>
          <w:tcPr>
            <w:tcW w:w="240" w:type="pct"/>
            <w:tcBorders>
              <w:top w:val="single" w:color="auto" w:sz="4" w:space="0"/>
              <w:left w:val="single" w:color="auto" w:sz="4" w:space="0"/>
              <w:bottom w:val="single" w:color="auto" w:sz="4" w:space="0"/>
              <w:right w:val="single" w:color="auto" w:sz="4" w:space="0"/>
            </w:tcBorders>
            <w:vAlign w:val="center"/>
          </w:tcPr>
          <w:p w14:paraId="531CC8B4">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w:t>
            </w:r>
          </w:p>
        </w:tc>
        <w:tc>
          <w:tcPr>
            <w:tcW w:w="239" w:type="pct"/>
            <w:tcBorders>
              <w:top w:val="single" w:color="auto" w:sz="4" w:space="0"/>
              <w:left w:val="single" w:color="auto" w:sz="4" w:space="0"/>
              <w:bottom w:val="single" w:color="auto" w:sz="4" w:space="0"/>
              <w:right w:val="single" w:color="auto" w:sz="4" w:space="0"/>
            </w:tcBorders>
            <w:vAlign w:val="center"/>
          </w:tcPr>
          <w:p w14:paraId="49CB39A5">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登记时</w:t>
            </w:r>
          </w:p>
        </w:tc>
        <w:tc>
          <w:tcPr>
            <w:tcW w:w="240" w:type="pct"/>
            <w:tcBorders>
              <w:top w:val="single" w:color="auto" w:sz="4" w:space="0"/>
              <w:left w:val="single" w:color="auto" w:sz="4" w:space="0"/>
              <w:bottom w:val="single" w:color="auto" w:sz="4" w:space="0"/>
              <w:right w:val="single" w:color="auto" w:sz="4" w:space="0"/>
            </w:tcBorders>
            <w:vAlign w:val="center"/>
          </w:tcPr>
          <w:p w14:paraId="5A218DF1">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w:t>
            </w:r>
          </w:p>
        </w:tc>
        <w:tc>
          <w:tcPr>
            <w:tcW w:w="496" w:type="pct"/>
            <w:vMerge w:val="continue"/>
            <w:tcBorders>
              <w:left w:val="single" w:color="auto" w:sz="4" w:space="0"/>
              <w:bottom w:val="single" w:color="auto" w:sz="4" w:space="0"/>
              <w:right w:val="single" w:color="auto" w:sz="4" w:space="0"/>
            </w:tcBorders>
            <w:vAlign w:val="center"/>
          </w:tcPr>
          <w:p w14:paraId="1597B9A1">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397" w:type="pct"/>
            <w:vMerge w:val="continue"/>
            <w:tcBorders>
              <w:left w:val="single" w:color="auto" w:sz="4" w:space="0"/>
              <w:bottom w:val="single" w:color="auto" w:sz="4" w:space="0"/>
              <w:right w:val="single" w:color="auto" w:sz="4" w:space="0"/>
            </w:tcBorders>
            <w:vAlign w:val="center"/>
          </w:tcPr>
          <w:p w14:paraId="7F7B65BB">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c>
          <w:tcPr>
            <w:tcW w:w="319" w:type="pct"/>
            <w:vMerge w:val="continue"/>
            <w:tcBorders>
              <w:left w:val="single" w:color="auto" w:sz="4" w:space="0"/>
              <w:bottom w:val="single" w:color="auto" w:sz="4" w:space="0"/>
              <w:right w:val="single" w:color="auto" w:sz="4" w:space="0"/>
            </w:tcBorders>
            <w:vAlign w:val="center"/>
          </w:tcPr>
          <w:p w14:paraId="6594DF4A">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highlight w:val="none"/>
              </w:rPr>
            </w:pPr>
          </w:p>
        </w:tc>
      </w:tr>
      <w:tr w14:paraId="02C21EE0">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52AB9B9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1F6D33F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4875EFC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021D8E3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62B5C201">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72410FA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1FC4E6C1">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1E1F1F9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78C0D7CA">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3518FF2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48ED5EC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5F92DDB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348E23F1">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4D7107D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5676B08A">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7197A90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69EA654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70CB605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2A69CFA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012BD37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5B66C21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0321D971">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11BA5A0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59404C2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5FB0DCC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4779410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6BBCB8D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2465BCE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11C620A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75CBBF9A">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77DC6E0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0206BCD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72C539F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4FD08FC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3EBECE51">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568425F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1218F58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16AB1E2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4F8BE810">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0696E0F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2D62BA4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3D64A6C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1F69C56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5B86E74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1FF5D368">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253AE77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0BD371A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67F3649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64BAC02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28C8F49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785DCDF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2704CE5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291B5B6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2FBC1BF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3214503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2E969D2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254CF76A">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5B4C0ED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3E3BE5B0">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3566E219">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65AD55A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542CB99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702E3BF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051E16C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32CE7ACA">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0C2E84B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6A1B467A">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33EE974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0E8787F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504209D8">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19355F3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765ADAE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5D6B109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68CCF0C0">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3DBCDF74">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008FFD3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3B1B224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3F2D142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38C15E3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6C71C2A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5F60476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1F72EC0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151DB57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115F699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794EF59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5083106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78AE07D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3BA38D0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5674441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7241E763">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35916E3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238B735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0BB94698">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1EEE8E7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2EAEE9C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2EED335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0CDEC00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1F03132A">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3D1E7DB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3426A9D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4FAE212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0AF3A2C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57A513EB">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7431B97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11D26396">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4009FE4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0B44821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6836D63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3F511181">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6C7AAE0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4EC9D9F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7CD91F1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699C517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53ED862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7E263B8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3E13D02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0665F11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0ED2C410">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2165DF8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1D8FE450">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06E24A5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21DB8878">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2A5283B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765D2B5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3C34A56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04E709C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3DD3A869">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1488B78F">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1369186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5953084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7F3F291D">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23DD78D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57B9F00A">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07894DE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1D8EE579">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41D0D1A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257002C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0ECB6770">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2768AE7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53A5CBF8">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43F2F4C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44FBBDE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1C099A1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59AF8E4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3B83209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544E0E2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19BF0241">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6A71CDF8">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495153C8">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0CEC7932">
        <w:tblPrEx>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tcPr>
          <w:p w14:paraId="1AAD87D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tcPr>
          <w:p w14:paraId="52F281C3">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27" w:type="pct"/>
            <w:tcBorders>
              <w:top w:val="single" w:color="auto" w:sz="4" w:space="0"/>
              <w:left w:val="single" w:color="auto" w:sz="4" w:space="0"/>
              <w:bottom w:val="single" w:color="auto" w:sz="4" w:space="0"/>
              <w:right w:val="single" w:color="auto" w:sz="4" w:space="0"/>
            </w:tcBorders>
          </w:tcPr>
          <w:p w14:paraId="5B6116F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66" w:type="pct"/>
            <w:tcBorders>
              <w:top w:val="single" w:color="auto" w:sz="4" w:space="0"/>
              <w:left w:val="single" w:color="auto" w:sz="4" w:space="0"/>
              <w:bottom w:val="single" w:color="auto" w:sz="4" w:space="0"/>
              <w:right w:val="single" w:color="auto" w:sz="4" w:space="0"/>
            </w:tcBorders>
          </w:tcPr>
          <w:p w14:paraId="2F4D71A8">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7" w:type="pct"/>
            <w:tcBorders>
              <w:top w:val="single" w:color="auto" w:sz="4" w:space="0"/>
              <w:left w:val="single" w:color="auto" w:sz="4" w:space="0"/>
              <w:bottom w:val="single" w:color="auto" w:sz="4" w:space="0"/>
              <w:right w:val="single" w:color="auto" w:sz="4" w:space="0"/>
            </w:tcBorders>
          </w:tcPr>
          <w:p w14:paraId="1E165DF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93" w:type="pct"/>
            <w:tcBorders>
              <w:top w:val="single" w:color="auto" w:sz="4" w:space="0"/>
              <w:left w:val="single" w:color="auto" w:sz="4" w:space="0"/>
              <w:bottom w:val="single" w:color="auto" w:sz="4" w:space="0"/>
              <w:right w:val="single" w:color="auto" w:sz="4" w:space="0"/>
            </w:tcBorders>
          </w:tcPr>
          <w:p w14:paraId="39335D25">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75" w:type="pct"/>
            <w:tcBorders>
              <w:top w:val="single" w:color="auto" w:sz="4" w:space="0"/>
              <w:left w:val="single" w:color="auto" w:sz="4" w:space="0"/>
              <w:bottom w:val="single" w:color="auto" w:sz="4" w:space="0"/>
              <w:right w:val="single" w:color="auto" w:sz="4" w:space="0"/>
            </w:tcBorders>
          </w:tcPr>
          <w:p w14:paraId="002D6048">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255DE20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3510B90A">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39" w:type="pct"/>
            <w:tcBorders>
              <w:top w:val="single" w:color="auto" w:sz="4" w:space="0"/>
              <w:left w:val="single" w:color="auto" w:sz="4" w:space="0"/>
              <w:bottom w:val="single" w:color="auto" w:sz="4" w:space="0"/>
              <w:right w:val="single" w:color="auto" w:sz="4" w:space="0"/>
            </w:tcBorders>
          </w:tcPr>
          <w:p w14:paraId="79339DF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tcPr>
          <w:p w14:paraId="2CD2078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496" w:type="pct"/>
            <w:tcBorders>
              <w:top w:val="single" w:color="auto" w:sz="4" w:space="0"/>
              <w:left w:val="single" w:color="auto" w:sz="4" w:space="0"/>
              <w:bottom w:val="single" w:color="auto" w:sz="4" w:space="0"/>
              <w:right w:val="single" w:color="auto" w:sz="4" w:space="0"/>
            </w:tcBorders>
          </w:tcPr>
          <w:p w14:paraId="45373716">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97" w:type="pct"/>
            <w:tcBorders>
              <w:top w:val="single" w:color="auto" w:sz="4" w:space="0"/>
              <w:left w:val="single" w:color="auto" w:sz="4" w:space="0"/>
              <w:bottom w:val="single" w:color="auto" w:sz="4" w:space="0"/>
              <w:right w:val="single" w:color="auto" w:sz="4" w:space="0"/>
            </w:tcBorders>
          </w:tcPr>
          <w:p w14:paraId="5D4369A7">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c>
          <w:tcPr>
            <w:tcW w:w="319" w:type="pct"/>
            <w:tcBorders>
              <w:top w:val="single" w:color="auto" w:sz="4" w:space="0"/>
              <w:left w:val="single" w:color="auto" w:sz="4" w:space="0"/>
              <w:bottom w:val="single" w:color="auto" w:sz="4" w:space="0"/>
              <w:right w:val="single" w:color="auto" w:sz="4" w:space="0"/>
            </w:tcBorders>
          </w:tcPr>
          <w:p w14:paraId="03E4EF0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r w14:paraId="6D4713F0">
        <w:tblPrEx>
          <w:tblCellMar>
            <w:top w:w="0" w:type="dxa"/>
            <w:left w:w="108" w:type="dxa"/>
            <w:bottom w:w="0" w:type="dxa"/>
            <w:right w:w="108" w:type="dxa"/>
          </w:tblCellMar>
        </w:tblPrEx>
        <w:trPr>
          <w:jc w:val="center"/>
        </w:trPr>
        <w:tc>
          <w:tcPr>
            <w:tcW w:w="2060" w:type="pct"/>
            <w:gridSpan w:val="5"/>
            <w:tcBorders>
              <w:top w:val="single" w:color="auto" w:sz="4" w:space="0"/>
              <w:left w:val="single" w:color="auto" w:sz="4" w:space="0"/>
              <w:bottom w:val="single" w:color="auto" w:sz="4" w:space="0"/>
              <w:right w:val="single" w:color="auto" w:sz="4" w:space="0"/>
            </w:tcBorders>
            <w:vAlign w:val="center"/>
          </w:tcPr>
          <w:p w14:paraId="2551BB29">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招标人编制最高投标限价（单位：元）</w:t>
            </w:r>
          </w:p>
        </w:tc>
        <w:tc>
          <w:tcPr>
            <w:tcW w:w="2940" w:type="pct"/>
            <w:gridSpan w:val="9"/>
            <w:tcBorders>
              <w:top w:val="single" w:color="auto" w:sz="4" w:space="0"/>
              <w:left w:val="single" w:color="auto" w:sz="4" w:space="0"/>
              <w:bottom w:val="single" w:color="auto" w:sz="4" w:space="0"/>
              <w:right w:val="single" w:color="auto" w:sz="4" w:space="0"/>
            </w:tcBorders>
          </w:tcPr>
          <w:p w14:paraId="1DAD24C2">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Cs w:val="21"/>
                <w:highlight w:val="none"/>
              </w:rPr>
            </w:pPr>
          </w:p>
        </w:tc>
      </w:tr>
    </w:tbl>
    <w:p w14:paraId="78AACEE8">
      <w:pPr>
        <w:spacing w:line="440" w:lineRule="exact"/>
        <w:rPr>
          <w:rFonts w:hint="eastAsia" w:ascii="宋体" w:hAnsi="宋体" w:eastAsia="宋体" w:cs="宋体"/>
          <w:color w:val="auto"/>
          <w:highlight w:val="none"/>
        </w:rPr>
      </w:pPr>
    </w:p>
    <w:p w14:paraId="326EFCC4">
      <w:pPr>
        <w:spacing w:line="44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招标人代表：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记录人：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监标人：</w:t>
      </w:r>
      <w:r>
        <w:rPr>
          <w:rFonts w:hint="eastAsia" w:ascii="宋体" w:hAnsi="宋体" w:eastAsia="宋体" w:cs="宋体"/>
          <w:color w:val="auto"/>
          <w:highlight w:val="none"/>
          <w:u w:val="single"/>
        </w:rPr>
        <w:t xml:space="preserve">                 </w:t>
      </w:r>
    </w:p>
    <w:p w14:paraId="7FFA805E">
      <w:pPr>
        <w:spacing w:line="440" w:lineRule="exact"/>
        <w:jc w:val="righ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月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274B997F">
      <w:pPr>
        <w:spacing w:line="360" w:lineRule="auto"/>
        <w:jc w:val="center"/>
        <w:rPr>
          <w:rFonts w:hint="eastAsia" w:ascii="宋体" w:hAnsi="宋体" w:eastAsia="宋体" w:cs="宋体"/>
          <w:b/>
          <w:color w:val="auto"/>
          <w:sz w:val="32"/>
          <w:szCs w:val="32"/>
          <w:highlight w:val="none"/>
        </w:rPr>
      </w:pPr>
    </w:p>
    <w:p w14:paraId="7BD99037">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抽取评标基准价的下浮率记录表</w:t>
      </w:r>
    </w:p>
    <w:p w14:paraId="1BCD8B32">
      <w:pPr>
        <w:tabs>
          <w:tab w:val="left" w:pos="720"/>
        </w:tabs>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14:paraId="0B8152CC">
      <w:pPr>
        <w:tabs>
          <w:tab w:val="left" w:pos="720"/>
        </w:tabs>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开标地点：</w:t>
      </w:r>
    </w:p>
    <w:tbl>
      <w:tblPr>
        <w:tblStyle w:val="4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9"/>
        <w:gridCol w:w="1535"/>
        <w:gridCol w:w="1620"/>
        <w:gridCol w:w="4264"/>
      </w:tblGrid>
      <w:tr w14:paraId="57659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vAlign w:val="center"/>
          </w:tcPr>
          <w:p w14:paraId="5A782FC2">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球号</w:t>
            </w:r>
          </w:p>
        </w:tc>
        <w:tc>
          <w:tcPr>
            <w:tcW w:w="900" w:type="pct"/>
            <w:vAlign w:val="center"/>
          </w:tcPr>
          <w:p w14:paraId="1595B116">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代表下浮率（%）</w:t>
            </w:r>
          </w:p>
        </w:tc>
        <w:tc>
          <w:tcPr>
            <w:tcW w:w="950" w:type="pct"/>
            <w:vAlign w:val="center"/>
          </w:tcPr>
          <w:p w14:paraId="0DCDA43C">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摇出球号</w:t>
            </w:r>
          </w:p>
        </w:tc>
        <w:tc>
          <w:tcPr>
            <w:tcW w:w="2500" w:type="pct"/>
            <w:vAlign w:val="center"/>
          </w:tcPr>
          <w:p w14:paraId="42E93AC2">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随机抽取的评标基准价的下浮率</w:t>
            </w:r>
          </w:p>
        </w:tc>
      </w:tr>
      <w:tr w14:paraId="61CE3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14:paraId="413F332E">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0" w:type="pct"/>
          </w:tcPr>
          <w:p w14:paraId="4BC9D426">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50" w:type="pct"/>
            <w:vMerge w:val="restart"/>
          </w:tcPr>
          <w:p w14:paraId="7606AEB4">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500" w:type="pct"/>
            <w:vMerge w:val="restart"/>
          </w:tcPr>
          <w:p w14:paraId="32835F75">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r>
      <w:tr w14:paraId="2CC4B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14:paraId="40B16E25">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0" w:type="pct"/>
          </w:tcPr>
          <w:p w14:paraId="75581B03">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950" w:type="pct"/>
            <w:vMerge w:val="continue"/>
          </w:tcPr>
          <w:p w14:paraId="075C60D6">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500" w:type="pct"/>
            <w:vMerge w:val="continue"/>
          </w:tcPr>
          <w:p w14:paraId="75D31D29">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r>
      <w:tr w14:paraId="07FE0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14:paraId="545A352B">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0" w:type="pct"/>
          </w:tcPr>
          <w:p w14:paraId="55340299">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950" w:type="pct"/>
            <w:vMerge w:val="continue"/>
          </w:tcPr>
          <w:p w14:paraId="41328D5C">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500" w:type="pct"/>
            <w:vMerge w:val="continue"/>
          </w:tcPr>
          <w:p w14:paraId="5DEEBC80">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r>
      <w:tr w14:paraId="387A6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14:paraId="2D611070">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0" w:type="pct"/>
          </w:tcPr>
          <w:p w14:paraId="6D7B5AF7">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3.5</w:t>
            </w:r>
          </w:p>
        </w:tc>
        <w:tc>
          <w:tcPr>
            <w:tcW w:w="950" w:type="pct"/>
            <w:vMerge w:val="continue"/>
          </w:tcPr>
          <w:p w14:paraId="762A6155">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500" w:type="pct"/>
            <w:vMerge w:val="continue"/>
          </w:tcPr>
          <w:p w14:paraId="2D9D85B9">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r>
      <w:tr w14:paraId="1252C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14:paraId="198152E5">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0" w:type="pct"/>
          </w:tcPr>
          <w:p w14:paraId="6DE893CB">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950" w:type="pct"/>
            <w:vMerge w:val="continue"/>
          </w:tcPr>
          <w:p w14:paraId="17EEAE87">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500" w:type="pct"/>
            <w:vMerge w:val="continue"/>
          </w:tcPr>
          <w:p w14:paraId="21CE06E4">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r>
      <w:tr w14:paraId="50051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14:paraId="61A20739">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0" w:type="pct"/>
          </w:tcPr>
          <w:p w14:paraId="478170A2">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4.5</w:t>
            </w:r>
          </w:p>
        </w:tc>
        <w:tc>
          <w:tcPr>
            <w:tcW w:w="950" w:type="pct"/>
            <w:vMerge w:val="continue"/>
          </w:tcPr>
          <w:p w14:paraId="2516C820">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500" w:type="pct"/>
            <w:vMerge w:val="continue"/>
          </w:tcPr>
          <w:p w14:paraId="3290C432">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r>
      <w:tr w14:paraId="17DF8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14:paraId="53F89BC0">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0" w:type="pct"/>
          </w:tcPr>
          <w:p w14:paraId="259DDD60">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950" w:type="pct"/>
            <w:vMerge w:val="continue"/>
          </w:tcPr>
          <w:p w14:paraId="24FF36D4">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500" w:type="pct"/>
            <w:vMerge w:val="continue"/>
          </w:tcPr>
          <w:p w14:paraId="60EDBBDE">
            <w:pPr>
              <w:keepNext w:val="0"/>
              <w:keepLines w:val="0"/>
              <w:suppressLineNumbers w:val="0"/>
              <w:tabs>
                <w:tab w:val="left" w:pos="720"/>
              </w:tabs>
              <w:snapToGrid w:val="0"/>
              <w:spacing w:before="0" w:beforeAutospacing="0" w:after="0" w:afterAutospacing="0"/>
              <w:ind w:left="0" w:right="0"/>
              <w:jc w:val="center"/>
              <w:rPr>
                <w:rFonts w:hint="eastAsia" w:ascii="宋体" w:hAnsi="宋体" w:eastAsia="宋体" w:cs="宋体"/>
                <w:color w:val="auto"/>
                <w:sz w:val="24"/>
                <w:highlight w:val="none"/>
              </w:rPr>
            </w:pPr>
          </w:p>
        </w:tc>
      </w:tr>
    </w:tbl>
    <w:p w14:paraId="1FF8948D">
      <w:pPr>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注：1、计算评标基准价的下浮率从2%、2.5%、3%、3.5%、4%、4.5%、5%中随机抽取</w:t>
      </w:r>
    </w:p>
    <w:p w14:paraId="4827CD75">
      <w:pPr>
        <w:spacing w:line="440" w:lineRule="exac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 xml:space="preserve">    2、球号根据交易中心提供号球填写，如提供的球为1、2、3、4、5、6、7，则按从小到大的顺序对应填写2、2.5、2、2.5、4、4.5、5；如提供的球号2、2.5、2、2.5、4、4.5、5，则对应填写2、2.5、2、2.5、4、4.5、5。</w:t>
      </w:r>
    </w:p>
    <w:p w14:paraId="4CDE4D15">
      <w:pPr>
        <w:spacing w:line="440" w:lineRule="exact"/>
        <w:rPr>
          <w:rFonts w:hint="eastAsia" w:ascii="宋体" w:hAnsi="宋体" w:eastAsia="宋体" w:cs="宋体"/>
          <w:color w:val="auto"/>
          <w:szCs w:val="21"/>
          <w:highlight w:val="none"/>
        </w:rPr>
      </w:pPr>
    </w:p>
    <w:p w14:paraId="5D7D82E9">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监标人：             </w:t>
      </w:r>
    </w:p>
    <w:p w14:paraId="6914AFA2">
      <w:pPr>
        <w:spacing w:line="440" w:lineRule="exact"/>
        <w:rPr>
          <w:rFonts w:hint="eastAsia" w:ascii="宋体" w:hAnsi="宋体" w:eastAsia="宋体" w:cs="宋体"/>
          <w:color w:val="auto"/>
          <w:szCs w:val="21"/>
          <w:highlight w:val="none"/>
        </w:rPr>
      </w:pPr>
    </w:p>
    <w:p w14:paraId="067862BF">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招标代理记录人：              </w:t>
      </w:r>
    </w:p>
    <w:p w14:paraId="46D649C2">
      <w:pPr>
        <w:spacing w:line="440" w:lineRule="exact"/>
        <w:rPr>
          <w:rFonts w:hint="eastAsia" w:ascii="宋体" w:hAnsi="宋体" w:eastAsia="宋体" w:cs="宋体"/>
          <w:color w:val="auto"/>
          <w:szCs w:val="21"/>
          <w:highlight w:val="none"/>
        </w:rPr>
      </w:pPr>
    </w:p>
    <w:p w14:paraId="7E57932E">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招标代理唱标人:               </w:t>
      </w:r>
    </w:p>
    <w:p w14:paraId="3FAA2821">
      <w:pPr>
        <w:spacing w:line="440" w:lineRule="exact"/>
        <w:rPr>
          <w:rFonts w:hint="eastAsia" w:ascii="宋体" w:hAnsi="宋体" w:eastAsia="宋体" w:cs="宋体"/>
          <w:color w:val="auto"/>
          <w:szCs w:val="21"/>
          <w:highlight w:val="none"/>
        </w:rPr>
      </w:pPr>
    </w:p>
    <w:p w14:paraId="29773459">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见证人:              </w:t>
      </w:r>
    </w:p>
    <w:p w14:paraId="3B007385">
      <w:pPr>
        <w:spacing w:line="440" w:lineRule="exact"/>
        <w:rPr>
          <w:rFonts w:hint="eastAsia" w:ascii="宋体" w:hAnsi="宋体" w:eastAsia="宋体" w:cs="宋体"/>
          <w:color w:val="auto"/>
          <w:szCs w:val="21"/>
          <w:highlight w:val="none"/>
        </w:rPr>
      </w:pPr>
    </w:p>
    <w:p w14:paraId="63EF10F2">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日期:     年  月  日</w:t>
      </w:r>
      <w:bookmarkStart w:id="124" w:name="_Toc155150492"/>
      <w:bookmarkStart w:id="125" w:name="_Toc262229168"/>
      <w:r>
        <w:rPr>
          <w:rFonts w:hint="eastAsia" w:ascii="宋体" w:hAnsi="宋体" w:eastAsia="宋体" w:cs="宋体"/>
          <w:color w:val="auto"/>
          <w:sz w:val="32"/>
          <w:szCs w:val="27"/>
          <w:highlight w:val="none"/>
        </w:rPr>
        <w:br w:type="page"/>
      </w:r>
    </w:p>
    <w:p w14:paraId="4F64BB17">
      <w:pPr>
        <w:pStyle w:val="4"/>
        <w:rPr>
          <w:rFonts w:hint="eastAsia" w:ascii="宋体" w:hAnsi="宋体" w:eastAsia="宋体" w:cs="宋体"/>
          <w:color w:val="auto"/>
          <w:highlight w:val="none"/>
        </w:rPr>
      </w:pPr>
      <w:bookmarkStart w:id="126" w:name="_Toc17451584"/>
      <w:bookmarkStart w:id="127" w:name="_Toc10703"/>
      <w:bookmarkStart w:id="128" w:name="_Toc17454877"/>
      <w:bookmarkStart w:id="129" w:name="_Toc17451629"/>
      <w:bookmarkStart w:id="130" w:name="_Toc17556882"/>
      <w:bookmarkStart w:id="131" w:name="_Toc17454928"/>
      <w:bookmarkStart w:id="132" w:name="_Toc17451107"/>
      <w:bookmarkStart w:id="133" w:name="_Toc17452670"/>
      <w:r>
        <w:rPr>
          <w:rFonts w:hint="eastAsia" w:ascii="宋体" w:hAnsi="宋体" w:eastAsia="宋体" w:cs="宋体"/>
          <w:color w:val="auto"/>
          <w:highlight w:val="none"/>
        </w:rPr>
        <w:t>第三章 评标及定标办法</w:t>
      </w:r>
      <w:bookmarkEnd w:id="124"/>
      <w:bookmarkEnd w:id="125"/>
      <w:bookmarkEnd w:id="126"/>
      <w:bookmarkEnd w:id="127"/>
      <w:bookmarkEnd w:id="128"/>
      <w:bookmarkEnd w:id="129"/>
      <w:bookmarkEnd w:id="130"/>
      <w:bookmarkEnd w:id="131"/>
      <w:bookmarkEnd w:id="132"/>
      <w:bookmarkEnd w:id="133"/>
    </w:p>
    <w:p w14:paraId="0A8BDC97">
      <w:pPr>
        <w:spacing w:line="360" w:lineRule="auto"/>
        <w:jc w:val="center"/>
        <w:outlineLvl w:val="2"/>
        <w:rPr>
          <w:rFonts w:hint="eastAsia" w:ascii="宋体" w:hAnsi="宋体" w:eastAsia="宋体" w:cs="宋体"/>
          <w:color w:val="auto"/>
          <w:sz w:val="28"/>
          <w:szCs w:val="27"/>
          <w:highlight w:val="none"/>
        </w:rPr>
      </w:pPr>
      <w:bookmarkStart w:id="134" w:name="_Toc17451585"/>
      <w:bookmarkStart w:id="135" w:name="_Toc17454878"/>
      <w:bookmarkStart w:id="136" w:name="_Toc17452671"/>
      <w:bookmarkStart w:id="137" w:name="_Toc17454929"/>
      <w:bookmarkStart w:id="138" w:name="_Toc262229169"/>
      <w:bookmarkStart w:id="139" w:name="_Toc17451630"/>
      <w:bookmarkStart w:id="140" w:name="_Toc155150493"/>
      <w:bookmarkStart w:id="141" w:name="_Toc17451108"/>
      <w:bookmarkStart w:id="142" w:name="_Toc17556938"/>
      <w:bookmarkStart w:id="143" w:name="_Toc17556883"/>
      <w:bookmarkStart w:id="144" w:name="_Toc20296"/>
      <w:r>
        <w:rPr>
          <w:rFonts w:hint="eastAsia" w:ascii="宋体" w:hAnsi="宋体" w:eastAsia="宋体" w:cs="宋体"/>
          <w:color w:val="auto"/>
          <w:sz w:val="28"/>
          <w:szCs w:val="27"/>
          <w:highlight w:val="none"/>
        </w:rPr>
        <w:t>一、评标及定标办法修改表</w:t>
      </w:r>
      <w:bookmarkEnd w:id="134"/>
      <w:bookmarkEnd w:id="135"/>
      <w:bookmarkEnd w:id="136"/>
      <w:bookmarkEnd w:id="137"/>
      <w:bookmarkEnd w:id="138"/>
      <w:bookmarkEnd w:id="139"/>
      <w:bookmarkEnd w:id="140"/>
      <w:bookmarkEnd w:id="141"/>
      <w:bookmarkEnd w:id="142"/>
      <w:bookmarkEnd w:id="143"/>
      <w:bookmarkEnd w:id="144"/>
    </w:p>
    <w:p w14:paraId="2A7AC5B1">
      <w:pPr>
        <w:pStyle w:val="38"/>
        <w:spacing w:line="360" w:lineRule="auto"/>
        <w:rPr>
          <w:rFonts w:hint="eastAsia" w:ascii="宋体" w:hAnsi="宋体" w:eastAsia="宋体" w:cs="宋体"/>
          <w:b/>
          <w:color w:val="auto"/>
          <w:sz w:val="24"/>
          <w:szCs w:val="21"/>
          <w:highlight w:val="none"/>
        </w:rPr>
      </w:pPr>
      <w:r>
        <w:rPr>
          <w:rFonts w:hint="eastAsia" w:ascii="宋体" w:hAnsi="宋体" w:eastAsia="宋体" w:cs="宋体"/>
          <w:b/>
          <w:color w:val="auto"/>
          <w:sz w:val="24"/>
          <w:highlight w:val="none"/>
        </w:rPr>
        <w:t>本修改表是对评标及定标办法</w:t>
      </w:r>
      <w:r>
        <w:rPr>
          <w:rFonts w:hint="eastAsia" w:ascii="宋体" w:hAnsi="宋体" w:eastAsia="宋体" w:cs="宋体"/>
          <w:b/>
          <w:color w:val="auto"/>
          <w:sz w:val="24"/>
          <w:szCs w:val="21"/>
          <w:highlight w:val="none"/>
        </w:rPr>
        <w:t>通用条款的修改，与该通用条款不同之处，均在本表中列明，并以现文为准，原文不再有效。</w:t>
      </w:r>
    </w:p>
    <w:p w14:paraId="1D3AAB5B">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条款号：方法二：方法三：方法四：         修改类型：删除</w:t>
      </w:r>
    </w:p>
    <w:p w14:paraId="59661C93">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原文：方法二：综合评估法二（需要编制技术文件）</w:t>
      </w:r>
    </w:p>
    <w:p w14:paraId="21FE16FC">
      <w:pPr>
        <w:spacing w:line="360" w:lineRule="auto"/>
        <w:ind w:firstLine="1200" w:firstLineChars="5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方法三：综合评估法三（不需要编制技术文件）</w:t>
      </w:r>
    </w:p>
    <w:p w14:paraId="2C070114">
      <w:pPr>
        <w:pBdr>
          <w:bottom w:val="single" w:color="auto" w:sz="4" w:space="1"/>
        </w:pBdr>
        <w:spacing w:line="360" w:lineRule="auto"/>
        <w:ind w:firstLine="1200" w:firstLineChars="5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方法四：经评审的最低投标价法</w:t>
      </w:r>
    </w:p>
    <w:p w14:paraId="533440E5">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条款号：评标办法前附表2.1.1             修改类型：删除</w:t>
      </w:r>
    </w:p>
    <w:p w14:paraId="00391471">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原文：类似项目业绩：符合第二章“投标人须知”第1.4.1项规定</w:t>
      </w:r>
    </w:p>
    <w:p w14:paraId="59894F4D">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条款号：评标办法前附表2.1.1             修改类型：修改</w:t>
      </w:r>
    </w:p>
    <w:p w14:paraId="3487D2CF">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原文：联合体投标人：符合第二章“投标人须知”第1.4.2项规定</w:t>
      </w:r>
    </w:p>
    <w:p w14:paraId="50A1B2AF">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现文：联合体投标人：本项目不接受联合体投标</w:t>
      </w:r>
    </w:p>
    <w:p w14:paraId="2911831C">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条款号：评标办法前附表2.1.1             修改类型：增加</w:t>
      </w:r>
    </w:p>
    <w:p w14:paraId="27B54C09">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现文：</w:t>
      </w:r>
      <w:r>
        <w:rPr>
          <w:rFonts w:hint="eastAsia" w:ascii="宋体" w:hAnsi="宋体" w:eastAsia="宋体" w:cs="宋体"/>
          <w:color w:val="auto"/>
          <w:sz w:val="24"/>
          <w:szCs w:val="21"/>
          <w:highlight w:val="none"/>
          <w:u w:val="single"/>
        </w:rPr>
        <w:t>投标登记时的信息：投标文件中的投标人、项目负责人、专职安全员与企业库、投标登记时的信息一致</w:t>
      </w:r>
    </w:p>
    <w:p w14:paraId="52236EF7">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条款号：评标办法前附表2.1.1             修改类型：增加</w:t>
      </w:r>
    </w:p>
    <w:p w14:paraId="23723299">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现文：</w:t>
      </w:r>
      <w:r>
        <w:rPr>
          <w:rFonts w:hint="eastAsia" w:ascii="宋体" w:hAnsi="宋体" w:eastAsia="宋体" w:cs="宋体"/>
          <w:color w:val="auto"/>
          <w:sz w:val="24"/>
          <w:szCs w:val="21"/>
          <w:highlight w:val="none"/>
          <w:u w:val="single"/>
        </w:rPr>
        <w:t>《投标人廉洁承诺书》、《投标人声明》：按招标文件要求提交签署盖章的《投标人廉洁承诺书》、《投标人声明》。</w:t>
      </w:r>
    </w:p>
    <w:p w14:paraId="0F5EDC26">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条款号：评标办法前附表2.1.2             修改类型：删除</w:t>
      </w:r>
    </w:p>
    <w:p w14:paraId="608ADBFB">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原文：联合体投标人：提交联合体协议书，并明确联合体牵头人（如有）</w:t>
      </w:r>
    </w:p>
    <w:p w14:paraId="739D95B0">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条款号：评标办法前附表2.1.2             修改类型：增加</w:t>
      </w:r>
    </w:p>
    <w:p w14:paraId="4D592848">
      <w:pPr>
        <w:pBdr>
          <w:bottom w:val="single" w:color="auto" w:sz="4"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现文：</w:t>
      </w:r>
      <w:r>
        <w:rPr>
          <w:rFonts w:hint="eastAsia" w:ascii="宋体" w:hAnsi="宋体" w:eastAsia="宋体" w:cs="宋体"/>
          <w:color w:val="auto"/>
          <w:sz w:val="24"/>
          <w:szCs w:val="21"/>
          <w:highlight w:val="none"/>
          <w:u w:val="single"/>
        </w:rPr>
        <w:t>投标文件机器码：投标人与本项目其他投标人打包投标文件电脑机器特征码不一致（以广州公共交易平台评标系统的检索信息为准）。</w:t>
      </w:r>
    </w:p>
    <w:p w14:paraId="7ADA8FB3">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条款号：评标办法前附表2.1.2             修改类型：增加</w:t>
      </w:r>
    </w:p>
    <w:p w14:paraId="4E952A58">
      <w:pPr>
        <w:pBdr>
          <w:bottom w:val="single" w:color="auto" w:sz="4"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现文：</w:t>
      </w:r>
      <w:r>
        <w:rPr>
          <w:rFonts w:hint="eastAsia" w:ascii="宋体" w:hAnsi="宋体" w:eastAsia="宋体" w:cs="宋体"/>
          <w:color w:val="auto"/>
          <w:sz w:val="24"/>
          <w:szCs w:val="21"/>
          <w:highlight w:val="none"/>
          <w:u w:val="single"/>
        </w:rPr>
        <w:t>工程项清单编制码：投标人与本项目其他投标人的投标文件工程量清单编制机器硬件信息不一致（以交易平台评标系统的检索信息为准）。</w:t>
      </w:r>
    </w:p>
    <w:p w14:paraId="69FF8DF8">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w:t>
      </w:r>
      <w:r>
        <w:rPr>
          <w:rFonts w:hint="eastAsia" w:ascii="宋体" w:hAnsi="宋体" w:eastAsia="宋体" w:cs="宋体"/>
          <w:color w:val="auto"/>
          <w:sz w:val="24"/>
          <w:highlight w:val="none"/>
        </w:rPr>
        <w:t>2.2.3 评标基准价计算：方式二</w:t>
      </w:r>
      <w:r>
        <w:rPr>
          <w:rFonts w:hint="eastAsia" w:ascii="宋体" w:hAnsi="宋体" w:eastAsia="宋体" w:cs="宋体"/>
          <w:color w:val="auto"/>
          <w:sz w:val="24"/>
          <w:szCs w:val="21"/>
          <w:highlight w:val="none"/>
        </w:rPr>
        <w:t xml:space="preserve">      修改类型：删除</w:t>
      </w:r>
    </w:p>
    <w:p w14:paraId="0FB7D6A6">
      <w:pPr>
        <w:pBdr>
          <w:bottom w:val="single" w:color="auto" w:sz="4"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原文：方式二：以有效投标报价的算术平均值按随机抽取的评标基准价下浮率（2～5%，0.5一个级别）下浮作为评标基准价。</w:t>
      </w:r>
    </w:p>
    <w:p w14:paraId="2D54D4C8">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条款号：1                           修改类型：修改</w:t>
      </w:r>
    </w:p>
    <w:p w14:paraId="7C4C4B7E">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14:paraId="326F1445">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现文：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商务得分高的优先；商务得分也相等，以技术得分高的优先；如果技术得分也相等，则由评委以投票方式进行表决，确定相等得分的中标候选人的排序。</w:t>
      </w:r>
    </w:p>
    <w:p w14:paraId="0FBF4741">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w:t>
      </w:r>
      <w:r>
        <w:rPr>
          <w:rFonts w:hint="eastAsia" w:ascii="宋体" w:hAnsi="宋体" w:eastAsia="宋体" w:cs="宋体"/>
          <w:color w:val="auto"/>
          <w:sz w:val="24"/>
          <w:highlight w:val="none"/>
        </w:rPr>
        <w:t>2.2.2 评标基准价计算：方式二</w:t>
      </w:r>
      <w:r>
        <w:rPr>
          <w:rFonts w:hint="eastAsia" w:ascii="宋体" w:hAnsi="宋体" w:eastAsia="宋体" w:cs="宋体"/>
          <w:color w:val="auto"/>
          <w:sz w:val="24"/>
          <w:szCs w:val="21"/>
          <w:highlight w:val="none"/>
        </w:rPr>
        <w:t xml:space="preserve">      修改类型：修改</w:t>
      </w:r>
    </w:p>
    <w:p w14:paraId="4336BB39">
      <w:pPr>
        <w:pBdr>
          <w:bottom w:val="single" w:color="auto" w:sz="4"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通过初步评审且不高于最高投标限价的投标报价为有效投标报价，高于最高投标限价的投标报价无效。投标报价不得低于成本价，否则投标报价为无效投标报价。非竞争性费用须与招标人发布的金额一致，不一致的投标报价无效。评标时，评标委员会发现投标人的报价明显低于其他投标报价，或者低于成本警示价的报价，使得其投标报价可能低于其成本的，应当要求该投标人作出书面说明并提供相应的证明材料。投标人不能合理说明或者不能提供相应证明材料的，由评标委员会认定该投标人以低于成本报价竞标，评标委员会应当否决其投标。</w:t>
      </w:r>
    </w:p>
    <w:p w14:paraId="5E8B0AAF">
      <w:pPr>
        <w:pBdr>
          <w:bottom w:val="single" w:color="auto" w:sz="4"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现文：通过初步评审且不高于最高投标限价的投标报价为有效投标报价，高于最高投标限价的投标报价无效</w:t>
      </w:r>
      <w:r>
        <w:rPr>
          <w:rFonts w:hint="eastAsia" w:ascii="宋体" w:hAnsi="宋体" w:eastAsia="宋体" w:cs="宋体"/>
          <w:color w:val="auto"/>
          <w:sz w:val="24"/>
          <w:szCs w:val="21"/>
          <w:highlight w:val="none"/>
          <w:u w:val="single"/>
        </w:rPr>
        <w:t>（指的是投标总限价及综合单价限价，下同）</w:t>
      </w:r>
      <w:r>
        <w:rPr>
          <w:rFonts w:hint="eastAsia" w:ascii="宋体" w:hAnsi="宋体" w:eastAsia="宋体" w:cs="宋体"/>
          <w:color w:val="auto"/>
          <w:sz w:val="24"/>
          <w:szCs w:val="21"/>
          <w:highlight w:val="none"/>
        </w:rPr>
        <w:t>。投标报价不得低于成本价，否则投标报价为无效投标报价。非竞争性费用须与招标人发布的金额一致，不一致的投标报价无效。评标时，评标委员会发现投标人的报价明显低于其他投标报价，或者低于成本警示价的报价，使得其投标报价可能低于其成本的，应当要求该投标人作出书面说明并提供相应的证明材料。投标人不能合理说明或者不能提供相应证明材料的，由评标委员会认定该投标人以低于成本报价竞标，评标委员会应当否决其投标。</w:t>
      </w:r>
    </w:p>
    <w:p w14:paraId="0C8150DF">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条款号：3.1.2                             修改类型：修改</w:t>
      </w:r>
    </w:p>
    <w:p w14:paraId="58C4EC60">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原文：投标人有以下情形之一的，评标委员会应当否决其投标。：</w:t>
      </w:r>
    </w:p>
    <w:p w14:paraId="00FA1E7E">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（1）第二章“投标人须知”第1.4.3项规定的任何一种情形的；</w:t>
      </w:r>
    </w:p>
    <w:p w14:paraId="0A65C3D6">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（2）串通投标或弄虚作假或有其他违法行为的；</w:t>
      </w:r>
    </w:p>
    <w:p w14:paraId="7907C4A6">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（3）不按评标委员会要求澄清、说明或补正的。</w:t>
      </w:r>
    </w:p>
    <w:p w14:paraId="419CDC72">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现文：投标人有以下情形之一的，评标委员会应当否决其投标：</w:t>
      </w:r>
    </w:p>
    <w:p w14:paraId="069BC608">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（1）第二章“投标人须知”第1.4.3项规定的任何一种情形的；</w:t>
      </w:r>
    </w:p>
    <w:p w14:paraId="4511049A">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（2）串通投标或弄虚作假或有其他违法行为的；</w:t>
      </w:r>
    </w:p>
    <w:p w14:paraId="623932E5">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（3）不按评标委员会要求澄清、说明或补正的；</w:t>
      </w:r>
    </w:p>
    <w:p w14:paraId="664914E6">
      <w:pPr>
        <w:spacing w:line="360" w:lineRule="auto"/>
        <w:ind w:firstLine="480" w:firstLineChars="200"/>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u w:val="single"/>
        </w:rPr>
        <w:t>（4）投标文件不符合招标文件评标办法中形式评审标准、资格评审标准、响应性评审标准的要求；</w:t>
      </w:r>
    </w:p>
    <w:p w14:paraId="6FD87FD0">
      <w:pPr>
        <w:spacing w:line="360" w:lineRule="auto"/>
        <w:ind w:firstLine="480" w:firstLineChars="200"/>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u w:val="single"/>
        </w:rPr>
        <w:t>（5）项目负责人和安全员为同一人的；</w:t>
      </w:r>
    </w:p>
    <w:p w14:paraId="7EB8B3B0">
      <w:pPr>
        <w:spacing w:line="360" w:lineRule="auto"/>
        <w:ind w:firstLine="480" w:firstLineChars="200"/>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u w:val="single"/>
        </w:rPr>
        <w:t>（6）投标文件中的投标人、项目负责人、专职安全员与投标登记时的信息不一致的；</w:t>
      </w:r>
    </w:p>
    <w:p w14:paraId="4733DCD7">
      <w:pPr>
        <w:spacing w:line="360" w:lineRule="auto"/>
        <w:ind w:firstLine="480" w:firstLineChars="200"/>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u w:val="single"/>
        </w:rPr>
        <w:t>（7）投标人的报价明显低于其他投标报价，或者低于成本警示价的报价，投标人不能合理说明或者不能提供相应证明材料的；</w:t>
      </w:r>
    </w:p>
    <w:p w14:paraId="56A7F66E">
      <w:pPr>
        <w:pBdr>
          <w:bottom w:val="single" w:color="auto" w:sz="4" w:space="1"/>
        </w:pBdr>
        <w:spacing w:line="360" w:lineRule="auto"/>
        <w:ind w:firstLine="480" w:firstLineChars="200"/>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u w:val="single"/>
        </w:rPr>
        <w:t>（8）不对评标委员会修正后的价格进行书面确认。</w:t>
      </w:r>
    </w:p>
    <w:p w14:paraId="5D42314C">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条款号：3.2.3                           修改类型：修改</w:t>
      </w:r>
    </w:p>
    <w:p w14:paraId="1111A4A7">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原文：3.2.3 投标人的得分为技术部分得分、商务部分得分、投标报价得分和诚信得分之和。评标委员会应按照得分从高至低的顺序，确定得分前三名的投标人为第一中标候选人、第二中标候选人和第三中标候选人。当中标候选人得分相同时，按投标报价由低至高的顺序确定排名；当得分和投标报价均相同时，</w:t>
      </w:r>
      <w:r>
        <w:rPr>
          <w:rFonts w:hint="eastAsia" w:ascii="宋体" w:hAnsi="宋体" w:eastAsia="宋体" w:cs="宋体"/>
          <w:color w:val="auto"/>
          <w:sz w:val="24"/>
          <w:highlight w:val="none"/>
        </w:rPr>
        <w:t>按“1.评标办法”条款执行。</w:t>
      </w:r>
      <w:r>
        <w:rPr>
          <w:rFonts w:hint="eastAsia" w:ascii="宋体" w:hAnsi="宋体" w:eastAsia="宋体" w:cs="宋体"/>
          <w:color w:val="auto"/>
          <w:sz w:val="24"/>
          <w:szCs w:val="21"/>
          <w:highlight w:val="none"/>
        </w:rPr>
        <w:t>计分采用满分制，得分计算方法：评标总得分=技术部分得分（A）×得分权重+商务部分得分（B）×得分权重+投标报价得分(C) ×得分权重+诚信评价分（D）×得分权重。</w:t>
      </w:r>
    </w:p>
    <w:p w14:paraId="32AD1A34">
      <w:pPr>
        <w:pBdr>
          <w:bottom w:val="single" w:color="auto" w:sz="4" w:space="1"/>
        </w:pBdr>
        <w:spacing w:line="360" w:lineRule="auto"/>
        <w:ind w:firstLine="480" w:firstLineChars="200"/>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rPr>
        <w:t>现文：3.2.3 投标人的得分为技术部分得分、商务部分得分和投标报价得分之和。评标委员会应按照得分从高至低的顺序，确定得分前三名的投标人为第一中标候选人、第二中标候选人和第三中标候选人。</w:t>
      </w:r>
      <w:r>
        <w:rPr>
          <w:rFonts w:hint="eastAsia" w:ascii="宋体" w:hAnsi="宋体" w:eastAsia="宋体" w:cs="宋体"/>
          <w:color w:val="auto"/>
          <w:sz w:val="24"/>
          <w:szCs w:val="21"/>
          <w:highlight w:val="none"/>
          <w:u w:val="single"/>
        </w:rPr>
        <w:t>当中标候选人得分相同时，按投标报价由低至高的顺序确定排名；当得分和投标报价均相同时，按“1.评标办法”条款执行。计分采用满分制，得分计算方法：评标总得分=技术部分得分（A）+商务部分得分（B）+投标报价得分(C)×得分权重。</w:t>
      </w:r>
    </w:p>
    <w:p w14:paraId="5C74A681">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条款号：4.诚信评价分                    修改类型：删除</w:t>
      </w:r>
    </w:p>
    <w:p w14:paraId="20A6D780">
      <w:pPr>
        <w:pBdr>
          <w:bottom w:val="single" w:color="auto" w:sz="4"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4.1投标人诚信评价分取自本项目招标公告第1天所在季度的上一季度广州市水务工程企业信息库及诚信中心网站http://121.8.226.19/gzswcx/index.jsp）中的“诚信排名&gt;&gt;施工—给排水”中“诚信综合评价”分，未入库企业或在广州市水务工程企业信息库及诚信中心网中尚无诚信排名“施工－给排水”得分的投标人，其诚信评价分按40分计算。</w:t>
      </w:r>
    </w:p>
    <w:p w14:paraId="339B6529">
      <w:pPr>
        <w:pBdr>
          <w:bottom w:val="single" w:color="auto" w:sz="4"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4.2两个或者两个以上水务建设市场主体组成联合体投标时，按联合体中诚信评价得分低的市场主体作为联合体的诚信评价得分。</w:t>
      </w:r>
    </w:p>
    <w:p w14:paraId="7F0DE9E8">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条款号：平均值法评标基准价计算表（适用于直接选取）修改类型：删除</w:t>
      </w:r>
    </w:p>
    <w:p w14:paraId="63F78A17">
      <w:pPr>
        <w:pBdr>
          <w:bottom w:val="single" w:color="auto" w:sz="6" w:space="1"/>
        </w:pBd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原文：平均值法评标基准价计算表（适用于直接选取）</w:t>
      </w:r>
    </w:p>
    <w:p w14:paraId="5C4855F8">
      <w:pPr>
        <w:spacing w:line="360" w:lineRule="auto"/>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注：以上修改，仅限于本范本中有可供选择条款的情形。</w:t>
      </w:r>
    </w:p>
    <w:p w14:paraId="4F781A1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1"/>
          <w:highlight w:val="none"/>
        </w:rPr>
        <w:t>（以下无正文）</w:t>
      </w:r>
      <w:r>
        <w:rPr>
          <w:rFonts w:hint="eastAsia" w:ascii="宋体" w:hAnsi="宋体" w:eastAsia="宋体" w:cs="宋体"/>
          <w:color w:val="auto"/>
          <w:sz w:val="24"/>
          <w:highlight w:val="none"/>
        </w:rPr>
        <w:br w:type="page"/>
      </w:r>
    </w:p>
    <w:p w14:paraId="28F6C2CB">
      <w:pPr>
        <w:spacing w:line="360" w:lineRule="auto"/>
        <w:jc w:val="center"/>
        <w:outlineLvl w:val="2"/>
        <w:rPr>
          <w:rFonts w:hint="eastAsia" w:ascii="宋体" w:hAnsi="宋体" w:eastAsia="宋体" w:cs="宋体"/>
          <w:color w:val="auto"/>
          <w:sz w:val="28"/>
          <w:szCs w:val="27"/>
          <w:highlight w:val="none"/>
        </w:rPr>
      </w:pPr>
      <w:bookmarkStart w:id="145" w:name="_Toc17451631"/>
      <w:bookmarkStart w:id="146" w:name="_Toc17556939"/>
      <w:bookmarkStart w:id="147" w:name="_Toc17451586"/>
      <w:bookmarkStart w:id="148" w:name="_Toc17556884"/>
      <w:bookmarkStart w:id="149" w:name="_Toc17454930"/>
      <w:bookmarkStart w:id="150" w:name="_Toc17452672"/>
      <w:bookmarkStart w:id="151" w:name="_Toc31614"/>
      <w:bookmarkStart w:id="152" w:name="_Toc17451109"/>
      <w:bookmarkStart w:id="153" w:name="_Toc17454879"/>
      <w:r>
        <w:rPr>
          <w:rFonts w:hint="eastAsia" w:ascii="宋体" w:hAnsi="宋体" w:eastAsia="宋体" w:cs="宋体"/>
          <w:color w:val="auto"/>
          <w:sz w:val="28"/>
          <w:szCs w:val="27"/>
          <w:highlight w:val="none"/>
        </w:rPr>
        <w:t>二、评标及定标办法通用条款</w:t>
      </w:r>
      <w:bookmarkEnd w:id="145"/>
      <w:bookmarkEnd w:id="146"/>
      <w:bookmarkEnd w:id="147"/>
      <w:bookmarkEnd w:id="148"/>
      <w:bookmarkEnd w:id="149"/>
      <w:bookmarkEnd w:id="150"/>
      <w:bookmarkEnd w:id="151"/>
      <w:bookmarkEnd w:id="152"/>
      <w:bookmarkEnd w:id="153"/>
    </w:p>
    <w:p w14:paraId="6BD0DA30">
      <w:pPr>
        <w:spacing w:line="360" w:lineRule="auto"/>
        <w:jc w:val="center"/>
        <w:outlineLvl w:val="2"/>
        <w:rPr>
          <w:rFonts w:hint="eastAsia" w:ascii="宋体" w:hAnsi="宋体" w:eastAsia="宋体" w:cs="宋体"/>
          <w:color w:val="auto"/>
          <w:sz w:val="28"/>
          <w:szCs w:val="27"/>
          <w:highlight w:val="none"/>
        </w:rPr>
      </w:pPr>
      <w:bookmarkStart w:id="154" w:name="_Toc17556941"/>
      <w:bookmarkStart w:id="155" w:name="_Toc17556886"/>
      <w:bookmarkStart w:id="156" w:name="_Toc17451588"/>
      <w:bookmarkStart w:id="157" w:name="_Toc17454881"/>
      <w:bookmarkStart w:id="158" w:name="_Toc17451633"/>
      <w:bookmarkStart w:id="159" w:name="_Toc2414"/>
      <w:bookmarkStart w:id="160" w:name="_Toc17452674"/>
      <w:bookmarkStart w:id="161" w:name="_Toc17451111"/>
      <w:bookmarkStart w:id="162" w:name="_Toc17454932"/>
      <w:bookmarkStart w:id="163" w:name="_Toc17556940"/>
      <w:bookmarkStart w:id="164" w:name="_Toc17454880"/>
      <w:bookmarkStart w:id="165" w:name="_Toc17451110"/>
      <w:bookmarkStart w:id="166" w:name="_Toc17452673"/>
      <w:bookmarkStart w:id="167" w:name="_Toc17454931"/>
      <w:bookmarkStart w:id="168" w:name="_Toc17556885"/>
      <w:bookmarkStart w:id="169" w:name="_Toc17451632"/>
      <w:bookmarkStart w:id="170" w:name="_Toc17451587"/>
      <w:r>
        <w:rPr>
          <w:rFonts w:hint="eastAsia" w:ascii="宋体" w:hAnsi="宋体" w:eastAsia="宋体" w:cs="宋体"/>
          <w:color w:val="auto"/>
          <w:sz w:val="28"/>
          <w:szCs w:val="27"/>
          <w:highlight w:val="none"/>
        </w:rPr>
        <w:t>方法一：综合评估法一</w:t>
      </w:r>
      <w:bookmarkEnd w:id="154"/>
      <w:bookmarkEnd w:id="155"/>
      <w:bookmarkEnd w:id="156"/>
      <w:bookmarkEnd w:id="157"/>
      <w:bookmarkEnd w:id="158"/>
      <w:bookmarkEnd w:id="159"/>
      <w:bookmarkEnd w:id="160"/>
      <w:bookmarkEnd w:id="161"/>
      <w:bookmarkEnd w:id="162"/>
    </w:p>
    <w:p w14:paraId="01DB20E1">
      <w:pPr>
        <w:spacing w:line="360" w:lineRule="auto"/>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评标办法前附表</w:t>
      </w:r>
    </w:p>
    <w:tbl>
      <w:tblPr>
        <w:tblStyle w:val="40"/>
        <w:tblW w:w="829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9"/>
        <w:gridCol w:w="63"/>
        <w:gridCol w:w="942"/>
        <w:gridCol w:w="1747"/>
        <w:gridCol w:w="4663"/>
      </w:tblGrid>
      <w:tr w14:paraId="6656A7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84" w:type="dxa"/>
            <w:gridSpan w:val="3"/>
            <w:tcBorders>
              <w:top w:val="single" w:color="auto" w:sz="4" w:space="0"/>
              <w:bottom w:val="single" w:color="auto" w:sz="4" w:space="0"/>
              <w:right w:val="single" w:color="auto" w:sz="4" w:space="0"/>
            </w:tcBorders>
            <w:vAlign w:val="center"/>
          </w:tcPr>
          <w:p w14:paraId="6D7EBD2E">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1747" w:type="dxa"/>
            <w:tcBorders>
              <w:top w:val="single" w:color="auto" w:sz="4" w:space="0"/>
              <w:left w:val="single" w:color="auto" w:sz="4" w:space="0"/>
              <w:bottom w:val="single" w:color="auto" w:sz="4" w:space="0"/>
              <w:right w:val="single" w:color="auto" w:sz="4" w:space="0"/>
            </w:tcBorders>
            <w:vAlign w:val="center"/>
          </w:tcPr>
          <w:p w14:paraId="1BC42F52">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评审因素</w:t>
            </w:r>
          </w:p>
        </w:tc>
        <w:tc>
          <w:tcPr>
            <w:tcW w:w="4663" w:type="dxa"/>
            <w:tcBorders>
              <w:top w:val="single" w:color="auto" w:sz="4" w:space="0"/>
              <w:left w:val="single" w:color="auto" w:sz="4" w:space="0"/>
              <w:bottom w:val="single" w:color="auto" w:sz="4" w:space="0"/>
            </w:tcBorders>
            <w:vAlign w:val="center"/>
          </w:tcPr>
          <w:p w14:paraId="46C264A9">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评审标准</w:t>
            </w:r>
          </w:p>
        </w:tc>
      </w:tr>
      <w:tr w14:paraId="2ECE0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restart"/>
            <w:tcBorders>
              <w:top w:val="single" w:color="auto" w:sz="4" w:space="0"/>
              <w:right w:val="single" w:color="auto" w:sz="4" w:space="0"/>
            </w:tcBorders>
            <w:vAlign w:val="center"/>
          </w:tcPr>
          <w:p w14:paraId="42E53EE6">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w:t>
            </w:r>
          </w:p>
        </w:tc>
        <w:tc>
          <w:tcPr>
            <w:tcW w:w="1005" w:type="dxa"/>
            <w:gridSpan w:val="2"/>
            <w:vMerge w:val="restart"/>
            <w:tcBorders>
              <w:top w:val="single" w:color="auto" w:sz="4" w:space="0"/>
              <w:right w:val="single" w:color="auto" w:sz="4" w:space="0"/>
            </w:tcBorders>
            <w:vAlign w:val="center"/>
          </w:tcPr>
          <w:p w14:paraId="3C199AC5">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资格评审标准（营业执照、安全生产许可证、资质等级、项目负责人资格、安全员等信息取自交易中心信息库，其他在投标文件中提交）</w:t>
            </w:r>
          </w:p>
        </w:tc>
        <w:tc>
          <w:tcPr>
            <w:tcW w:w="1747" w:type="dxa"/>
            <w:tcBorders>
              <w:top w:val="single" w:color="auto" w:sz="4" w:space="0"/>
              <w:left w:val="single" w:color="auto" w:sz="4" w:space="0"/>
              <w:bottom w:val="single" w:color="auto" w:sz="4" w:space="0"/>
              <w:right w:val="single" w:color="auto" w:sz="4" w:space="0"/>
            </w:tcBorders>
            <w:vAlign w:val="center"/>
          </w:tcPr>
          <w:p w14:paraId="32C6DBEB">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营业执照</w:t>
            </w:r>
          </w:p>
        </w:tc>
        <w:tc>
          <w:tcPr>
            <w:tcW w:w="4663" w:type="dxa"/>
            <w:tcBorders>
              <w:top w:val="single" w:color="auto" w:sz="4" w:space="0"/>
              <w:left w:val="single" w:color="auto" w:sz="4" w:space="0"/>
              <w:bottom w:val="single" w:color="auto" w:sz="4" w:space="0"/>
            </w:tcBorders>
          </w:tcPr>
          <w:p w14:paraId="348DD1E6">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具备有效的营业执照。</w:t>
            </w:r>
          </w:p>
        </w:tc>
      </w:tr>
      <w:tr w14:paraId="397E26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right w:val="single" w:color="auto" w:sz="4" w:space="0"/>
            </w:tcBorders>
            <w:vAlign w:val="center"/>
          </w:tcPr>
          <w:p w14:paraId="016B6EC0">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2C4A3E39">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20E50985">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安全生产许可证</w:t>
            </w:r>
          </w:p>
        </w:tc>
        <w:tc>
          <w:tcPr>
            <w:tcW w:w="4663" w:type="dxa"/>
            <w:tcBorders>
              <w:top w:val="single" w:color="auto" w:sz="4" w:space="0"/>
              <w:left w:val="single" w:color="auto" w:sz="4" w:space="0"/>
              <w:bottom w:val="single" w:color="auto" w:sz="4" w:space="0"/>
            </w:tcBorders>
          </w:tcPr>
          <w:p w14:paraId="25D9A3F6">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具有有效的建设行政主管部门颁发的安全生产许可证</w:t>
            </w:r>
          </w:p>
        </w:tc>
      </w:tr>
      <w:tr w14:paraId="20519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right w:val="single" w:color="auto" w:sz="4" w:space="0"/>
            </w:tcBorders>
            <w:vAlign w:val="center"/>
          </w:tcPr>
          <w:p w14:paraId="652498AD">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45CAF0C1">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2A880961">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资质等级</w:t>
            </w:r>
          </w:p>
        </w:tc>
        <w:tc>
          <w:tcPr>
            <w:tcW w:w="4663" w:type="dxa"/>
            <w:tcBorders>
              <w:top w:val="single" w:color="auto" w:sz="4" w:space="0"/>
              <w:left w:val="single" w:color="auto" w:sz="4" w:space="0"/>
              <w:bottom w:val="single" w:color="auto" w:sz="4" w:space="0"/>
            </w:tcBorders>
          </w:tcPr>
          <w:p w14:paraId="156C850F">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符合第二章“投标人须知”第1.4.1项规定</w:t>
            </w:r>
          </w:p>
        </w:tc>
      </w:tr>
      <w:tr w14:paraId="4E455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right w:val="single" w:color="auto" w:sz="4" w:space="0"/>
            </w:tcBorders>
            <w:vAlign w:val="center"/>
          </w:tcPr>
          <w:p w14:paraId="3A0E234B">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25A63322">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2ADA6CB5">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项目负责人资格</w:t>
            </w:r>
          </w:p>
        </w:tc>
        <w:tc>
          <w:tcPr>
            <w:tcW w:w="4663" w:type="dxa"/>
            <w:tcBorders>
              <w:top w:val="single" w:color="auto" w:sz="4" w:space="0"/>
              <w:left w:val="single" w:color="auto" w:sz="4" w:space="0"/>
              <w:bottom w:val="single" w:color="auto" w:sz="4" w:space="0"/>
            </w:tcBorders>
          </w:tcPr>
          <w:p w14:paraId="6A9B6828">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符合第二章“投标人须知”第1.4.1项规定，且未被广州交易集团有限公司（广州公共资源交易中心）锁定</w:t>
            </w:r>
          </w:p>
        </w:tc>
      </w:tr>
      <w:tr w14:paraId="3923C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right w:val="single" w:color="auto" w:sz="4" w:space="0"/>
            </w:tcBorders>
            <w:vAlign w:val="center"/>
          </w:tcPr>
          <w:p w14:paraId="63E35990">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0A1D39E8">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23EE8502">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技术负责人资格</w:t>
            </w:r>
          </w:p>
        </w:tc>
        <w:tc>
          <w:tcPr>
            <w:tcW w:w="4663" w:type="dxa"/>
            <w:tcBorders>
              <w:top w:val="single" w:color="auto" w:sz="4" w:space="0"/>
              <w:left w:val="single" w:color="auto" w:sz="4" w:space="0"/>
              <w:bottom w:val="single" w:color="auto" w:sz="4" w:space="0"/>
            </w:tcBorders>
          </w:tcPr>
          <w:p w14:paraId="4FC17E3F">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highlight w:val="none"/>
              </w:rPr>
              <w:t>符合第二章“投标人须知”第1.4.1项规定</w:t>
            </w:r>
          </w:p>
        </w:tc>
      </w:tr>
      <w:tr w14:paraId="0982F5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30" w:hRule="atLeast"/>
          <w:jc w:val="center"/>
        </w:trPr>
        <w:tc>
          <w:tcPr>
            <w:tcW w:w="879" w:type="dxa"/>
            <w:vMerge w:val="continue"/>
            <w:tcBorders>
              <w:right w:val="single" w:color="auto" w:sz="4" w:space="0"/>
            </w:tcBorders>
            <w:vAlign w:val="center"/>
          </w:tcPr>
          <w:p w14:paraId="7E8B5B05">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6660FC1D">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6FA095B8">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安全生产考核合格证</w:t>
            </w:r>
          </w:p>
        </w:tc>
        <w:tc>
          <w:tcPr>
            <w:tcW w:w="4663" w:type="dxa"/>
            <w:tcBorders>
              <w:top w:val="single" w:color="auto" w:sz="4" w:space="0"/>
              <w:left w:val="single" w:color="auto" w:sz="4" w:space="0"/>
              <w:bottom w:val="single" w:color="auto" w:sz="4" w:space="0"/>
            </w:tcBorders>
          </w:tcPr>
          <w:p w14:paraId="2FF9CCFA">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项目负责人及专职安全员具备有效的符合符合第二章“投标人须知”第1.4.1项规定的行政主管部门颁发的安全生产考核合格证。</w:t>
            </w:r>
          </w:p>
        </w:tc>
      </w:tr>
      <w:tr w14:paraId="0A739A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879" w:type="dxa"/>
            <w:vMerge w:val="continue"/>
            <w:tcBorders>
              <w:right w:val="single" w:color="auto" w:sz="4" w:space="0"/>
            </w:tcBorders>
            <w:vAlign w:val="center"/>
          </w:tcPr>
          <w:p w14:paraId="7658327D">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4B760ABC">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61E447D5">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社保要求</w:t>
            </w:r>
          </w:p>
        </w:tc>
        <w:tc>
          <w:tcPr>
            <w:tcW w:w="4663" w:type="dxa"/>
            <w:tcBorders>
              <w:top w:val="single" w:color="auto" w:sz="4" w:space="0"/>
              <w:left w:val="single" w:color="auto" w:sz="4" w:space="0"/>
              <w:bottom w:val="single" w:color="auto" w:sz="4" w:space="0"/>
            </w:tcBorders>
          </w:tcPr>
          <w:p w14:paraId="22A6D537">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符合第二章“投标人须知”第1.4.1项规定</w:t>
            </w:r>
          </w:p>
        </w:tc>
      </w:tr>
      <w:tr w14:paraId="27D7C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1" w:hRule="atLeast"/>
          <w:jc w:val="center"/>
        </w:trPr>
        <w:tc>
          <w:tcPr>
            <w:tcW w:w="879" w:type="dxa"/>
            <w:vMerge w:val="continue"/>
            <w:tcBorders>
              <w:right w:val="single" w:color="auto" w:sz="4" w:space="0"/>
            </w:tcBorders>
            <w:vAlign w:val="center"/>
          </w:tcPr>
          <w:p w14:paraId="3562C484">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4A4D7B9E">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1A35C271">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类似项目业绩</w:t>
            </w:r>
          </w:p>
        </w:tc>
        <w:tc>
          <w:tcPr>
            <w:tcW w:w="4663" w:type="dxa"/>
            <w:tcBorders>
              <w:top w:val="single" w:color="auto" w:sz="4" w:space="0"/>
              <w:left w:val="single" w:color="auto" w:sz="4" w:space="0"/>
              <w:bottom w:val="single" w:color="auto" w:sz="4" w:space="0"/>
            </w:tcBorders>
          </w:tcPr>
          <w:p w14:paraId="27408C46">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符合第二章“投标人须知”第1.4.1项规定</w:t>
            </w:r>
          </w:p>
        </w:tc>
      </w:tr>
      <w:tr w14:paraId="4C5F1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879" w:type="dxa"/>
            <w:vMerge w:val="continue"/>
            <w:tcBorders>
              <w:right w:val="single" w:color="auto" w:sz="4" w:space="0"/>
            </w:tcBorders>
            <w:vAlign w:val="center"/>
          </w:tcPr>
          <w:p w14:paraId="5B72A763">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1CA69506">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right w:val="single" w:color="auto" w:sz="4" w:space="0"/>
            </w:tcBorders>
            <w:vAlign w:val="center"/>
          </w:tcPr>
          <w:p w14:paraId="6963AEA8">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联合体投标人</w:t>
            </w:r>
          </w:p>
        </w:tc>
        <w:tc>
          <w:tcPr>
            <w:tcW w:w="4663" w:type="dxa"/>
            <w:tcBorders>
              <w:top w:val="single" w:color="auto" w:sz="4" w:space="0"/>
              <w:left w:val="single" w:color="auto" w:sz="4" w:space="0"/>
            </w:tcBorders>
          </w:tcPr>
          <w:p w14:paraId="26661E02">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本项目不接受联合体投标</w:t>
            </w:r>
          </w:p>
        </w:tc>
      </w:tr>
      <w:tr w14:paraId="59DB4C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right w:val="single" w:color="auto" w:sz="4" w:space="0"/>
            </w:tcBorders>
            <w:vAlign w:val="center"/>
          </w:tcPr>
          <w:p w14:paraId="58C9849D">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16C8C5F5">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6BA963DE">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项目负责人、技术负责人签字</w:t>
            </w:r>
          </w:p>
        </w:tc>
        <w:tc>
          <w:tcPr>
            <w:tcW w:w="4663" w:type="dxa"/>
            <w:tcBorders>
              <w:top w:val="single" w:color="auto" w:sz="4" w:space="0"/>
              <w:left w:val="single" w:color="auto" w:sz="4" w:space="0"/>
              <w:bottom w:val="single" w:color="auto" w:sz="4" w:space="0"/>
            </w:tcBorders>
            <w:vAlign w:val="center"/>
          </w:tcPr>
          <w:p w14:paraId="2FF6DCEC">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投标人声明有项目负责人、技术负责人手写签名或签章。</w:t>
            </w:r>
          </w:p>
        </w:tc>
      </w:tr>
      <w:tr w14:paraId="7FAEF1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right w:val="single" w:color="auto" w:sz="4" w:space="0"/>
            </w:tcBorders>
            <w:vAlign w:val="center"/>
          </w:tcPr>
          <w:p w14:paraId="73FD61C0">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063A4A48">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1D37ED24">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投标登记时的信息</w:t>
            </w:r>
          </w:p>
        </w:tc>
        <w:tc>
          <w:tcPr>
            <w:tcW w:w="4663" w:type="dxa"/>
            <w:tcBorders>
              <w:top w:val="single" w:color="auto" w:sz="4" w:space="0"/>
              <w:left w:val="single" w:color="auto" w:sz="4" w:space="0"/>
              <w:bottom w:val="single" w:color="auto" w:sz="4" w:space="0"/>
            </w:tcBorders>
            <w:vAlign w:val="center"/>
          </w:tcPr>
          <w:p w14:paraId="38DD5BA6">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投标文件中的投标人、项目负责人、专职安全员与企业库、投标登记时的信息一致。</w:t>
            </w:r>
          </w:p>
        </w:tc>
      </w:tr>
      <w:tr w14:paraId="39813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879" w:type="dxa"/>
            <w:vMerge w:val="continue"/>
            <w:tcBorders>
              <w:right w:val="single" w:color="auto" w:sz="4" w:space="0"/>
            </w:tcBorders>
            <w:vAlign w:val="center"/>
          </w:tcPr>
          <w:p w14:paraId="5FFA07BD">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260AA60C">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right w:val="single" w:color="auto" w:sz="4" w:space="0"/>
            </w:tcBorders>
            <w:vAlign w:val="center"/>
          </w:tcPr>
          <w:p w14:paraId="3B07A523">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《投标人廉洁承诺书》、《投标人声明》</w:t>
            </w:r>
          </w:p>
        </w:tc>
        <w:tc>
          <w:tcPr>
            <w:tcW w:w="4663" w:type="dxa"/>
            <w:tcBorders>
              <w:top w:val="single" w:color="auto" w:sz="4" w:space="0"/>
              <w:left w:val="single" w:color="auto" w:sz="4" w:space="0"/>
            </w:tcBorders>
            <w:vAlign w:val="center"/>
          </w:tcPr>
          <w:p w14:paraId="26D6C085">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按招标文件要求提交签署盖章的《投标人廉洁承诺书》、《投标人声明》。</w:t>
            </w:r>
          </w:p>
        </w:tc>
      </w:tr>
      <w:tr w14:paraId="225F4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restart"/>
            <w:tcBorders>
              <w:top w:val="single" w:color="auto" w:sz="4" w:space="0"/>
              <w:bottom w:val="single" w:color="auto" w:sz="4" w:space="0"/>
              <w:right w:val="single" w:color="auto" w:sz="4" w:space="0"/>
            </w:tcBorders>
            <w:vAlign w:val="center"/>
          </w:tcPr>
          <w:p w14:paraId="0F6920FA">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w:t>
            </w:r>
          </w:p>
        </w:tc>
        <w:tc>
          <w:tcPr>
            <w:tcW w:w="1005" w:type="dxa"/>
            <w:gridSpan w:val="2"/>
            <w:vMerge w:val="restart"/>
            <w:tcBorders>
              <w:top w:val="single" w:color="auto" w:sz="4" w:space="0"/>
              <w:bottom w:val="single" w:color="auto" w:sz="4" w:space="0"/>
              <w:right w:val="single" w:color="auto" w:sz="4" w:space="0"/>
            </w:tcBorders>
            <w:vAlign w:val="center"/>
          </w:tcPr>
          <w:p w14:paraId="084220A4">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形式评审标准</w:t>
            </w:r>
          </w:p>
        </w:tc>
        <w:tc>
          <w:tcPr>
            <w:tcW w:w="1747" w:type="dxa"/>
            <w:tcBorders>
              <w:top w:val="single" w:color="auto" w:sz="4" w:space="0"/>
              <w:left w:val="single" w:color="auto" w:sz="4" w:space="0"/>
              <w:bottom w:val="single" w:color="auto" w:sz="4" w:space="0"/>
              <w:right w:val="single" w:color="auto" w:sz="4" w:space="0"/>
            </w:tcBorders>
            <w:vAlign w:val="center"/>
          </w:tcPr>
          <w:p w14:paraId="16A65408">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strike/>
                <w:color w:val="auto"/>
                <w:szCs w:val="21"/>
                <w:highlight w:val="none"/>
              </w:rPr>
            </w:pPr>
            <w:r>
              <w:rPr>
                <w:rFonts w:hint="eastAsia" w:ascii="宋体" w:hAnsi="宋体" w:eastAsia="宋体" w:cs="宋体"/>
                <w:color w:val="auto"/>
                <w:szCs w:val="21"/>
                <w:highlight w:val="none"/>
              </w:rPr>
              <w:t>投标文件格式</w:t>
            </w:r>
          </w:p>
        </w:tc>
        <w:tc>
          <w:tcPr>
            <w:tcW w:w="4663" w:type="dxa"/>
            <w:tcBorders>
              <w:top w:val="single" w:color="auto" w:sz="4" w:space="0"/>
              <w:left w:val="single" w:color="auto" w:sz="4" w:space="0"/>
              <w:bottom w:val="single" w:color="auto" w:sz="4" w:space="0"/>
            </w:tcBorders>
            <w:vAlign w:val="center"/>
          </w:tcPr>
          <w:p w14:paraId="6A44D22A">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strike/>
                <w:color w:val="auto"/>
                <w:szCs w:val="21"/>
                <w:highlight w:val="none"/>
              </w:rPr>
            </w:pPr>
            <w:r>
              <w:rPr>
                <w:rFonts w:hint="eastAsia" w:ascii="宋体" w:hAnsi="宋体" w:eastAsia="宋体" w:cs="宋体"/>
                <w:color w:val="auto"/>
                <w:szCs w:val="21"/>
                <w:highlight w:val="none"/>
              </w:rPr>
              <w:t>符合第八章“投标文件格式”的要求。</w:t>
            </w:r>
          </w:p>
        </w:tc>
      </w:tr>
      <w:tr w14:paraId="55CA14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top w:val="single" w:color="auto" w:sz="4" w:space="0"/>
              <w:bottom w:val="single" w:color="auto" w:sz="4" w:space="0"/>
              <w:right w:val="single" w:color="auto" w:sz="4" w:space="0"/>
            </w:tcBorders>
            <w:vAlign w:val="center"/>
          </w:tcPr>
          <w:p w14:paraId="191F156C">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top w:val="single" w:color="auto" w:sz="4" w:space="0"/>
              <w:bottom w:val="single" w:color="auto" w:sz="4" w:space="0"/>
              <w:right w:val="single" w:color="auto" w:sz="4" w:space="0"/>
            </w:tcBorders>
            <w:vAlign w:val="center"/>
          </w:tcPr>
          <w:p w14:paraId="64B9F6C9">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tcPr>
          <w:p w14:paraId="29DE2E06">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投标函盖章</w:t>
            </w:r>
          </w:p>
        </w:tc>
        <w:tc>
          <w:tcPr>
            <w:tcW w:w="4663" w:type="dxa"/>
            <w:tcBorders>
              <w:top w:val="single" w:color="auto" w:sz="4" w:space="0"/>
              <w:left w:val="single" w:color="auto" w:sz="4" w:space="0"/>
              <w:bottom w:val="single" w:color="auto" w:sz="4" w:space="0"/>
            </w:tcBorders>
          </w:tcPr>
          <w:p w14:paraId="5BB50955">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要求盖章的，有加盖单位章。</w:t>
            </w:r>
          </w:p>
        </w:tc>
      </w:tr>
      <w:tr w14:paraId="40E012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top w:val="single" w:color="auto" w:sz="4" w:space="0"/>
              <w:bottom w:val="single" w:color="auto" w:sz="4" w:space="0"/>
              <w:right w:val="single" w:color="auto" w:sz="4" w:space="0"/>
            </w:tcBorders>
            <w:vAlign w:val="center"/>
          </w:tcPr>
          <w:p w14:paraId="4508C52B">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top w:val="single" w:color="auto" w:sz="4" w:space="0"/>
              <w:bottom w:val="single" w:color="auto" w:sz="4" w:space="0"/>
              <w:right w:val="single" w:color="auto" w:sz="4" w:space="0"/>
            </w:tcBorders>
            <w:vAlign w:val="center"/>
          </w:tcPr>
          <w:p w14:paraId="0CEB125A">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tcPr>
          <w:p w14:paraId="5816900C">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联合体申请人</w:t>
            </w:r>
          </w:p>
        </w:tc>
        <w:tc>
          <w:tcPr>
            <w:tcW w:w="4663" w:type="dxa"/>
            <w:tcBorders>
              <w:top w:val="single" w:color="auto" w:sz="4" w:space="0"/>
              <w:left w:val="single" w:color="auto" w:sz="4" w:space="0"/>
              <w:bottom w:val="single" w:color="auto" w:sz="4" w:space="0"/>
            </w:tcBorders>
          </w:tcPr>
          <w:p w14:paraId="054132F1">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提交联合体协议书，并明确联合体牵头人（如有）</w:t>
            </w:r>
          </w:p>
        </w:tc>
      </w:tr>
      <w:tr w14:paraId="7B16C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top w:val="single" w:color="auto" w:sz="4" w:space="0"/>
              <w:bottom w:val="single" w:color="auto" w:sz="4" w:space="0"/>
              <w:right w:val="single" w:color="auto" w:sz="4" w:space="0"/>
            </w:tcBorders>
            <w:vAlign w:val="center"/>
          </w:tcPr>
          <w:p w14:paraId="5F549C77">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top w:val="single" w:color="auto" w:sz="4" w:space="0"/>
              <w:bottom w:val="single" w:color="auto" w:sz="4" w:space="0"/>
              <w:right w:val="single" w:color="auto" w:sz="4" w:space="0"/>
            </w:tcBorders>
            <w:vAlign w:val="center"/>
          </w:tcPr>
          <w:p w14:paraId="7C1B33BE">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7CDFE728">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投标文件机器码</w:t>
            </w:r>
          </w:p>
        </w:tc>
        <w:tc>
          <w:tcPr>
            <w:tcW w:w="4663" w:type="dxa"/>
            <w:tcBorders>
              <w:top w:val="single" w:color="auto" w:sz="4" w:space="0"/>
              <w:left w:val="single" w:color="auto" w:sz="4" w:space="0"/>
              <w:bottom w:val="single" w:color="auto" w:sz="4" w:space="0"/>
            </w:tcBorders>
            <w:vAlign w:val="center"/>
          </w:tcPr>
          <w:p w14:paraId="52E76BED">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投标人与本项目其他投标人打包投标文件电脑机器特征码不一致（以广州公共交易平台评标系统的检索信息为准）</w:t>
            </w:r>
          </w:p>
        </w:tc>
      </w:tr>
      <w:tr w14:paraId="1CBBF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top w:val="single" w:color="auto" w:sz="4" w:space="0"/>
              <w:bottom w:val="single" w:color="auto" w:sz="4" w:space="0"/>
              <w:right w:val="single" w:color="auto" w:sz="4" w:space="0"/>
            </w:tcBorders>
            <w:vAlign w:val="center"/>
          </w:tcPr>
          <w:p w14:paraId="5714BE4E">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top w:val="single" w:color="auto" w:sz="4" w:space="0"/>
              <w:bottom w:val="single" w:color="auto" w:sz="4" w:space="0"/>
              <w:right w:val="single" w:color="auto" w:sz="4" w:space="0"/>
            </w:tcBorders>
            <w:vAlign w:val="center"/>
          </w:tcPr>
          <w:p w14:paraId="2D03BED6">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6E968485">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工程量清单编制码</w:t>
            </w:r>
          </w:p>
        </w:tc>
        <w:tc>
          <w:tcPr>
            <w:tcW w:w="4663" w:type="dxa"/>
            <w:tcBorders>
              <w:top w:val="single" w:color="auto" w:sz="4" w:space="0"/>
              <w:left w:val="single" w:color="auto" w:sz="4" w:space="0"/>
              <w:bottom w:val="single" w:color="auto" w:sz="4" w:space="0"/>
            </w:tcBorders>
            <w:vAlign w:val="center"/>
          </w:tcPr>
          <w:p w14:paraId="1C509CE2">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投标人与本项目其他投标人的投标文件工程量清单编制机器硬件信息不一致（以交易平台评标系统的检索信息为准）</w:t>
            </w:r>
          </w:p>
        </w:tc>
      </w:tr>
      <w:tr w14:paraId="59FBED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79" w:type="dxa"/>
            <w:vMerge w:val="continue"/>
            <w:tcBorders>
              <w:top w:val="nil"/>
              <w:bottom w:val="single" w:color="auto" w:sz="4" w:space="0"/>
              <w:right w:val="single" w:color="auto" w:sz="4" w:space="0"/>
            </w:tcBorders>
            <w:vAlign w:val="center"/>
          </w:tcPr>
          <w:p w14:paraId="68046599">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top w:val="nil"/>
              <w:bottom w:val="single" w:color="auto" w:sz="4" w:space="0"/>
              <w:right w:val="single" w:color="auto" w:sz="4" w:space="0"/>
            </w:tcBorders>
            <w:vAlign w:val="center"/>
          </w:tcPr>
          <w:p w14:paraId="5FBD1D4C">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p>
        </w:tc>
        <w:tc>
          <w:tcPr>
            <w:tcW w:w="1747" w:type="dxa"/>
            <w:tcBorders>
              <w:top w:val="single" w:color="auto" w:sz="4" w:space="0"/>
              <w:left w:val="single" w:color="auto" w:sz="4" w:space="0"/>
              <w:right w:val="single" w:color="auto" w:sz="4" w:space="0"/>
            </w:tcBorders>
            <w:vAlign w:val="center"/>
          </w:tcPr>
          <w:p w14:paraId="300A8DAC">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报价唯一</w:t>
            </w:r>
          </w:p>
        </w:tc>
        <w:tc>
          <w:tcPr>
            <w:tcW w:w="4663" w:type="dxa"/>
            <w:tcBorders>
              <w:top w:val="single" w:color="auto" w:sz="4" w:space="0"/>
              <w:left w:val="single" w:color="auto" w:sz="4" w:space="0"/>
            </w:tcBorders>
          </w:tcPr>
          <w:p w14:paraId="62876E37">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只能有一个有效报价（有效报价是指符合第三章“评标办法”2.2.2规定的有效投标报价）</w:t>
            </w:r>
          </w:p>
        </w:tc>
      </w:tr>
      <w:tr w14:paraId="70D58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restart"/>
            <w:tcBorders>
              <w:top w:val="single" w:color="auto" w:sz="4" w:space="0"/>
              <w:right w:val="single" w:color="auto" w:sz="4" w:space="0"/>
            </w:tcBorders>
            <w:vAlign w:val="center"/>
          </w:tcPr>
          <w:p w14:paraId="221C29A7">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w:t>
            </w:r>
          </w:p>
        </w:tc>
        <w:tc>
          <w:tcPr>
            <w:tcW w:w="1005" w:type="dxa"/>
            <w:gridSpan w:val="2"/>
            <w:vMerge w:val="restart"/>
            <w:tcBorders>
              <w:top w:val="single" w:color="auto" w:sz="4" w:space="0"/>
              <w:right w:val="single" w:color="auto" w:sz="4" w:space="0"/>
            </w:tcBorders>
            <w:vAlign w:val="center"/>
          </w:tcPr>
          <w:p w14:paraId="08C23E98">
            <w:pPr>
              <w:keepNext w:val="0"/>
              <w:keepLines w:val="0"/>
              <w:suppressLineNumbers w:val="0"/>
              <w:adjustRightInd w:val="0"/>
              <w:spacing w:before="120" w:beforeLines="5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响应性评审标准</w:t>
            </w:r>
          </w:p>
        </w:tc>
        <w:tc>
          <w:tcPr>
            <w:tcW w:w="1747" w:type="dxa"/>
            <w:tcBorders>
              <w:top w:val="single" w:color="auto" w:sz="4" w:space="0"/>
              <w:left w:val="single" w:color="auto" w:sz="4" w:space="0"/>
              <w:bottom w:val="single" w:color="auto" w:sz="4" w:space="0"/>
              <w:right w:val="single" w:color="auto" w:sz="4" w:space="0"/>
            </w:tcBorders>
            <w:vAlign w:val="center"/>
          </w:tcPr>
          <w:p w14:paraId="023B1083">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w:t>
            </w:r>
          </w:p>
        </w:tc>
        <w:tc>
          <w:tcPr>
            <w:tcW w:w="4663" w:type="dxa"/>
            <w:tcBorders>
              <w:top w:val="single" w:color="auto" w:sz="4" w:space="0"/>
              <w:left w:val="single" w:color="auto" w:sz="4" w:space="0"/>
              <w:bottom w:val="single" w:color="auto" w:sz="4" w:space="0"/>
            </w:tcBorders>
            <w:vAlign w:val="center"/>
          </w:tcPr>
          <w:p w14:paraId="0E0B3E41">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符合第二章“投标人须知”第3.2.3项规定</w:t>
            </w:r>
          </w:p>
        </w:tc>
      </w:tr>
      <w:tr w14:paraId="2F7EAF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9" w:type="dxa"/>
            <w:vMerge w:val="continue"/>
            <w:tcBorders>
              <w:right w:val="single" w:color="auto" w:sz="4" w:space="0"/>
            </w:tcBorders>
            <w:vAlign w:val="center"/>
          </w:tcPr>
          <w:p w14:paraId="65D289AF">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7ECD6FB3">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56ED4DF8">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计划工期</w:t>
            </w:r>
          </w:p>
        </w:tc>
        <w:tc>
          <w:tcPr>
            <w:tcW w:w="4663" w:type="dxa"/>
            <w:tcBorders>
              <w:top w:val="single" w:color="auto" w:sz="4" w:space="0"/>
              <w:left w:val="single" w:color="auto" w:sz="4" w:space="0"/>
              <w:bottom w:val="single" w:color="auto" w:sz="4" w:space="0"/>
            </w:tcBorders>
            <w:vAlign w:val="center"/>
          </w:tcPr>
          <w:p w14:paraId="12423774">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符合第二章“投标人须知”第1.3.2项规定</w:t>
            </w:r>
          </w:p>
        </w:tc>
      </w:tr>
      <w:tr w14:paraId="45AB2E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879" w:type="dxa"/>
            <w:vMerge w:val="continue"/>
            <w:tcBorders>
              <w:right w:val="single" w:color="auto" w:sz="4" w:space="0"/>
            </w:tcBorders>
            <w:vAlign w:val="center"/>
          </w:tcPr>
          <w:p w14:paraId="5B3FEA48">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0B49DE44">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right w:val="single" w:color="auto" w:sz="4" w:space="0"/>
            </w:tcBorders>
            <w:vAlign w:val="center"/>
          </w:tcPr>
          <w:p w14:paraId="7DB768C3">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w:t>
            </w:r>
          </w:p>
        </w:tc>
        <w:tc>
          <w:tcPr>
            <w:tcW w:w="4663" w:type="dxa"/>
            <w:tcBorders>
              <w:top w:val="single" w:color="auto" w:sz="4" w:space="0"/>
              <w:left w:val="single" w:color="auto" w:sz="4" w:space="0"/>
            </w:tcBorders>
            <w:vAlign w:val="center"/>
          </w:tcPr>
          <w:p w14:paraId="2E2C2407">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符合第二章“投标人须知”第1.3.3项规定</w:t>
            </w:r>
          </w:p>
        </w:tc>
      </w:tr>
      <w:tr w14:paraId="5F175E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879" w:type="dxa"/>
            <w:vMerge w:val="continue"/>
            <w:tcBorders>
              <w:right w:val="single" w:color="auto" w:sz="4" w:space="0"/>
            </w:tcBorders>
            <w:vAlign w:val="center"/>
          </w:tcPr>
          <w:p w14:paraId="54D90B98">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69C5C7D3">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right w:val="single" w:color="auto" w:sz="4" w:space="0"/>
            </w:tcBorders>
            <w:vAlign w:val="center"/>
          </w:tcPr>
          <w:p w14:paraId="0D21E50D">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w:t>
            </w:r>
          </w:p>
        </w:tc>
        <w:tc>
          <w:tcPr>
            <w:tcW w:w="4663" w:type="dxa"/>
            <w:tcBorders>
              <w:top w:val="single" w:color="auto" w:sz="4" w:space="0"/>
              <w:left w:val="single" w:color="auto" w:sz="4" w:space="0"/>
            </w:tcBorders>
            <w:vAlign w:val="center"/>
          </w:tcPr>
          <w:p w14:paraId="07FBE179">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符合第二章“投标人须知”第3.4.1项规定</w:t>
            </w:r>
          </w:p>
        </w:tc>
      </w:tr>
      <w:tr w14:paraId="579F5E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right w:val="single" w:color="auto" w:sz="4" w:space="0"/>
            </w:tcBorders>
            <w:vAlign w:val="center"/>
          </w:tcPr>
          <w:p w14:paraId="5FEBF177">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74301285">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340D8BFA">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已标价工程量清单</w:t>
            </w:r>
          </w:p>
        </w:tc>
        <w:tc>
          <w:tcPr>
            <w:tcW w:w="4663" w:type="dxa"/>
            <w:tcBorders>
              <w:top w:val="single" w:color="auto" w:sz="4" w:space="0"/>
              <w:left w:val="single" w:color="auto" w:sz="4" w:space="0"/>
              <w:bottom w:val="single" w:color="auto" w:sz="4" w:space="0"/>
            </w:tcBorders>
            <w:vAlign w:val="center"/>
          </w:tcPr>
          <w:p w14:paraId="2097557B">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符合第五章“工程量清单”给出的范围及数量</w:t>
            </w:r>
          </w:p>
        </w:tc>
      </w:tr>
      <w:tr w14:paraId="79F57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9" w:type="dxa"/>
            <w:vMerge w:val="continue"/>
            <w:tcBorders>
              <w:right w:val="single" w:color="auto" w:sz="4" w:space="0"/>
            </w:tcBorders>
            <w:vAlign w:val="center"/>
          </w:tcPr>
          <w:p w14:paraId="4BB3EE86">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05" w:type="dxa"/>
            <w:gridSpan w:val="2"/>
            <w:vMerge w:val="continue"/>
            <w:tcBorders>
              <w:right w:val="single" w:color="auto" w:sz="4" w:space="0"/>
            </w:tcBorders>
            <w:vAlign w:val="center"/>
          </w:tcPr>
          <w:p w14:paraId="41BEA97F">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3CEB7122">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技术标准和要求</w:t>
            </w:r>
          </w:p>
        </w:tc>
        <w:tc>
          <w:tcPr>
            <w:tcW w:w="4663" w:type="dxa"/>
            <w:tcBorders>
              <w:top w:val="single" w:color="auto" w:sz="4" w:space="0"/>
              <w:left w:val="single" w:color="auto" w:sz="4" w:space="0"/>
              <w:bottom w:val="single" w:color="auto" w:sz="4" w:space="0"/>
            </w:tcBorders>
            <w:vAlign w:val="center"/>
          </w:tcPr>
          <w:p w14:paraId="227B311E">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符合第七章“技术标准和要求”规定（以《技术需求书偏差声明函》为准）</w:t>
            </w:r>
          </w:p>
        </w:tc>
      </w:tr>
      <w:tr w14:paraId="65E994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84" w:type="dxa"/>
            <w:gridSpan w:val="3"/>
            <w:tcBorders>
              <w:top w:val="single" w:color="auto" w:sz="4" w:space="0"/>
              <w:bottom w:val="single" w:color="auto" w:sz="4" w:space="0"/>
              <w:right w:val="single" w:color="auto" w:sz="4" w:space="0"/>
            </w:tcBorders>
            <w:vAlign w:val="center"/>
          </w:tcPr>
          <w:p w14:paraId="45FBCC39">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1747" w:type="dxa"/>
            <w:tcBorders>
              <w:top w:val="single" w:color="auto" w:sz="4" w:space="0"/>
              <w:left w:val="single" w:color="auto" w:sz="4" w:space="0"/>
              <w:bottom w:val="single" w:color="auto" w:sz="4" w:space="0"/>
              <w:right w:val="single" w:color="auto" w:sz="4" w:space="0"/>
            </w:tcBorders>
            <w:vAlign w:val="center"/>
          </w:tcPr>
          <w:p w14:paraId="3D512473">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4663" w:type="dxa"/>
            <w:tcBorders>
              <w:top w:val="single" w:color="auto" w:sz="4" w:space="0"/>
              <w:left w:val="single" w:color="auto" w:sz="4" w:space="0"/>
              <w:bottom w:val="single" w:color="auto" w:sz="4" w:space="0"/>
            </w:tcBorders>
            <w:vAlign w:val="center"/>
          </w:tcPr>
          <w:p w14:paraId="559F98E3">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编列内容</w:t>
            </w:r>
          </w:p>
        </w:tc>
      </w:tr>
      <w:tr w14:paraId="486AD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84" w:type="dxa"/>
            <w:gridSpan w:val="3"/>
            <w:tcBorders>
              <w:top w:val="single" w:color="auto" w:sz="4" w:space="0"/>
              <w:bottom w:val="single" w:color="auto" w:sz="4" w:space="0"/>
              <w:right w:val="single" w:color="auto" w:sz="4" w:space="0"/>
            </w:tcBorders>
            <w:vAlign w:val="center"/>
          </w:tcPr>
          <w:p w14:paraId="33E1851A">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2.2.1</w:t>
            </w:r>
          </w:p>
        </w:tc>
        <w:tc>
          <w:tcPr>
            <w:tcW w:w="1747" w:type="dxa"/>
            <w:tcBorders>
              <w:top w:val="single" w:color="auto" w:sz="4" w:space="0"/>
              <w:left w:val="single" w:color="auto" w:sz="4" w:space="0"/>
              <w:bottom w:val="single" w:color="auto" w:sz="4" w:space="0"/>
              <w:right w:val="single" w:color="auto" w:sz="4" w:space="0"/>
            </w:tcBorders>
            <w:vAlign w:val="center"/>
          </w:tcPr>
          <w:p w14:paraId="795DDDB6">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分值构成</w:t>
            </w:r>
          </w:p>
          <w:p w14:paraId="5C8C240B">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(总分100分)</w:t>
            </w:r>
          </w:p>
        </w:tc>
        <w:tc>
          <w:tcPr>
            <w:tcW w:w="4663" w:type="dxa"/>
            <w:tcBorders>
              <w:top w:val="single" w:color="auto" w:sz="4" w:space="0"/>
              <w:left w:val="single" w:color="auto" w:sz="4" w:space="0"/>
              <w:bottom w:val="single" w:color="auto" w:sz="4" w:space="0"/>
            </w:tcBorders>
            <w:vAlign w:val="center"/>
          </w:tcPr>
          <w:p w14:paraId="4959B68B">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r>
              <w:rPr>
                <w:rFonts w:hint="eastAsia" w:ascii="宋体" w:hAnsi="宋体" w:eastAsia="宋体" w:cs="宋体"/>
                <w:color w:val="auto"/>
                <w:szCs w:val="21"/>
                <w:highlight w:val="none"/>
                <w:u w:val="single"/>
              </w:rPr>
              <w:t>15分</w:t>
            </w:r>
          </w:p>
          <w:p w14:paraId="56B46D88">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技术部分：</w:t>
            </w:r>
            <w:r>
              <w:rPr>
                <w:rFonts w:hint="eastAsia" w:ascii="宋体" w:hAnsi="宋体" w:eastAsia="宋体" w:cs="宋体"/>
                <w:color w:val="auto"/>
                <w:szCs w:val="21"/>
                <w:highlight w:val="none"/>
                <w:u w:val="single"/>
              </w:rPr>
              <w:t>5分</w:t>
            </w:r>
          </w:p>
          <w:p w14:paraId="16B3104C">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投标报价：</w:t>
            </w:r>
            <w:r>
              <w:rPr>
                <w:rFonts w:hint="eastAsia" w:ascii="宋体" w:hAnsi="宋体" w:eastAsia="宋体" w:cs="宋体"/>
                <w:color w:val="auto"/>
                <w:szCs w:val="21"/>
                <w:highlight w:val="none"/>
                <w:u w:val="single"/>
              </w:rPr>
              <w:t>100分*80%（得分权重）</w:t>
            </w:r>
          </w:p>
        </w:tc>
      </w:tr>
      <w:tr w14:paraId="16BAC0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84" w:type="dxa"/>
            <w:gridSpan w:val="3"/>
            <w:tcBorders>
              <w:top w:val="single" w:color="auto" w:sz="4" w:space="0"/>
              <w:bottom w:val="single" w:color="auto" w:sz="4" w:space="0"/>
              <w:right w:val="single" w:color="auto" w:sz="4" w:space="0"/>
            </w:tcBorders>
            <w:vAlign w:val="center"/>
          </w:tcPr>
          <w:p w14:paraId="76CAAFAD">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1747" w:type="dxa"/>
            <w:tcBorders>
              <w:top w:val="single" w:color="auto" w:sz="4" w:space="0"/>
              <w:left w:val="single" w:color="auto" w:sz="4" w:space="0"/>
              <w:bottom w:val="single" w:color="auto" w:sz="4" w:space="0"/>
              <w:right w:val="single" w:color="auto" w:sz="4" w:space="0"/>
            </w:tcBorders>
            <w:vAlign w:val="center"/>
          </w:tcPr>
          <w:p w14:paraId="2F3F688F">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评分因素</w:t>
            </w:r>
          </w:p>
        </w:tc>
        <w:tc>
          <w:tcPr>
            <w:tcW w:w="4663" w:type="dxa"/>
            <w:tcBorders>
              <w:top w:val="single" w:color="auto" w:sz="4" w:space="0"/>
              <w:left w:val="single" w:color="auto" w:sz="4" w:space="0"/>
              <w:bottom w:val="single" w:color="auto" w:sz="4" w:space="0"/>
            </w:tcBorders>
            <w:vAlign w:val="center"/>
          </w:tcPr>
          <w:p w14:paraId="1BD6B97C">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评审标准</w:t>
            </w:r>
          </w:p>
        </w:tc>
      </w:tr>
      <w:tr w14:paraId="641C5E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1" w:hRule="atLeast"/>
          <w:jc w:val="center"/>
        </w:trPr>
        <w:tc>
          <w:tcPr>
            <w:tcW w:w="942" w:type="dxa"/>
            <w:gridSpan w:val="2"/>
            <w:vMerge w:val="restart"/>
            <w:tcBorders>
              <w:top w:val="single" w:color="auto" w:sz="4" w:space="0"/>
              <w:right w:val="single" w:color="auto" w:sz="4" w:space="0"/>
            </w:tcBorders>
            <w:vAlign w:val="center"/>
          </w:tcPr>
          <w:p w14:paraId="59AEC0FA">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2.2.5（1）</w:t>
            </w:r>
          </w:p>
        </w:tc>
        <w:tc>
          <w:tcPr>
            <w:tcW w:w="942" w:type="dxa"/>
            <w:vMerge w:val="restart"/>
            <w:tcBorders>
              <w:top w:val="single" w:color="auto" w:sz="4" w:space="0"/>
              <w:right w:val="single" w:color="auto" w:sz="4" w:space="0"/>
            </w:tcBorders>
            <w:vAlign w:val="center"/>
          </w:tcPr>
          <w:p w14:paraId="7C96060C">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技术部分（5分）（A）</w:t>
            </w:r>
          </w:p>
        </w:tc>
        <w:tc>
          <w:tcPr>
            <w:tcW w:w="1747" w:type="dxa"/>
            <w:tcBorders>
              <w:top w:val="single" w:color="auto" w:sz="4" w:space="0"/>
              <w:left w:val="single" w:color="auto" w:sz="4" w:space="0"/>
              <w:right w:val="single" w:color="auto" w:sz="4" w:space="0"/>
            </w:tcBorders>
            <w:vAlign w:val="center"/>
          </w:tcPr>
          <w:p w14:paraId="3B4952FA">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工程建设进度计划与措施（1分）</w:t>
            </w:r>
          </w:p>
        </w:tc>
        <w:tc>
          <w:tcPr>
            <w:tcW w:w="4663" w:type="dxa"/>
            <w:tcBorders>
              <w:top w:val="single" w:color="auto" w:sz="4" w:space="0"/>
              <w:left w:val="single" w:color="auto" w:sz="4" w:space="0"/>
            </w:tcBorders>
            <w:vAlign w:val="center"/>
          </w:tcPr>
          <w:p w14:paraId="391B309B">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优:有工期管理目标、施工总进度计划横道图、进度计划保障措施，得1分;</w:t>
            </w:r>
          </w:p>
          <w:p w14:paraId="51E561DA">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良:有施工总进度计划横道图、进度计划保障措施，得0.8分；</w:t>
            </w:r>
          </w:p>
          <w:p w14:paraId="60421672">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中:仅有进度计划保障措施，得0.6分；</w:t>
            </w:r>
          </w:p>
          <w:p w14:paraId="3E0B3FD7">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left"/>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差:不满足前述要求、不提供相关资料的，不得分。</w:t>
            </w:r>
          </w:p>
        </w:tc>
      </w:tr>
      <w:tr w14:paraId="3E4EC1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vMerge w:val="continue"/>
            <w:tcBorders>
              <w:right w:val="single" w:color="auto" w:sz="4" w:space="0"/>
            </w:tcBorders>
            <w:vAlign w:val="center"/>
          </w:tcPr>
          <w:p w14:paraId="20E5A163">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42" w:type="dxa"/>
            <w:vMerge w:val="continue"/>
            <w:tcBorders>
              <w:right w:val="single" w:color="auto" w:sz="4" w:space="0"/>
            </w:tcBorders>
            <w:vAlign w:val="center"/>
          </w:tcPr>
          <w:p w14:paraId="2EC332CE">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1099B033">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安全管理体系与措施（1分）</w:t>
            </w:r>
          </w:p>
        </w:tc>
        <w:tc>
          <w:tcPr>
            <w:tcW w:w="4663" w:type="dxa"/>
            <w:tcBorders>
              <w:top w:val="single" w:color="auto" w:sz="4" w:space="0"/>
              <w:left w:val="single" w:color="auto" w:sz="4" w:space="0"/>
              <w:bottom w:val="single" w:color="auto" w:sz="4" w:space="0"/>
            </w:tcBorders>
            <w:vAlign w:val="center"/>
          </w:tcPr>
          <w:p w14:paraId="1D6E9A3A">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优:有安全文明施工目标、安全文明施工管理体系、安全文明施工保证措施，承诺不发生等级安全事故，得 1分；</w:t>
            </w:r>
          </w:p>
          <w:p w14:paraId="24100C9B">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良:有安全文明施工目标、安全文明施工保证措施，承诺不发生等级安全事故，得0.8分；</w:t>
            </w:r>
          </w:p>
          <w:p w14:paraId="34A33BB6">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中:有安全文明施工目标、承诺不发生等级安全事故，得0.6分；</w:t>
            </w:r>
          </w:p>
          <w:p w14:paraId="5586CDDF">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left"/>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差:不满足前述要求、不提供相关资料的，不得分。</w:t>
            </w:r>
          </w:p>
        </w:tc>
      </w:tr>
      <w:tr w14:paraId="613B4E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vMerge w:val="continue"/>
            <w:tcBorders>
              <w:right w:val="single" w:color="auto" w:sz="4" w:space="0"/>
            </w:tcBorders>
            <w:vAlign w:val="center"/>
          </w:tcPr>
          <w:p w14:paraId="7E620E34">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42" w:type="dxa"/>
            <w:vMerge w:val="continue"/>
            <w:tcBorders>
              <w:right w:val="single" w:color="auto" w:sz="4" w:space="0"/>
            </w:tcBorders>
            <w:vAlign w:val="center"/>
          </w:tcPr>
          <w:p w14:paraId="6B5BF225">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0610BDFC">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质量管理体系与措施（1分）</w:t>
            </w:r>
          </w:p>
        </w:tc>
        <w:tc>
          <w:tcPr>
            <w:tcW w:w="4663" w:type="dxa"/>
            <w:tcBorders>
              <w:top w:val="single" w:color="auto" w:sz="4" w:space="0"/>
              <w:left w:val="single" w:color="auto" w:sz="4" w:space="0"/>
              <w:bottom w:val="single" w:color="auto" w:sz="4" w:space="0"/>
            </w:tcBorders>
            <w:vAlign w:val="center"/>
          </w:tcPr>
          <w:p w14:paraId="60A73BAE">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优:有质量管理目标、质量管理体系、质量保证措施，得1分；</w:t>
            </w:r>
          </w:p>
          <w:p w14:paraId="26F1FAA3">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良:有质量管理目标、质量保证措施，得0.8分；</w:t>
            </w:r>
          </w:p>
          <w:p w14:paraId="53A25B45">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中:有质量管理目标、质量管理体系，得0.6分；</w:t>
            </w:r>
          </w:p>
          <w:p w14:paraId="618E4D1B">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left"/>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差:不满足前述要求、不提供相关资料的，不得分。</w:t>
            </w:r>
          </w:p>
        </w:tc>
      </w:tr>
      <w:tr w14:paraId="241061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vMerge w:val="continue"/>
            <w:tcBorders>
              <w:right w:val="single" w:color="auto" w:sz="4" w:space="0"/>
            </w:tcBorders>
            <w:vAlign w:val="center"/>
          </w:tcPr>
          <w:p w14:paraId="1755265C">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42" w:type="dxa"/>
            <w:vMerge w:val="continue"/>
            <w:tcBorders>
              <w:right w:val="single" w:color="auto" w:sz="4" w:space="0"/>
            </w:tcBorders>
            <w:vAlign w:val="center"/>
          </w:tcPr>
          <w:p w14:paraId="4F33FB30">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7269F8D3">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环境保护管理体系与措施（1分）</w:t>
            </w:r>
          </w:p>
        </w:tc>
        <w:tc>
          <w:tcPr>
            <w:tcW w:w="4663" w:type="dxa"/>
            <w:tcBorders>
              <w:top w:val="single" w:color="auto" w:sz="4" w:space="0"/>
              <w:left w:val="single" w:color="auto" w:sz="4" w:space="0"/>
              <w:bottom w:val="single" w:color="auto" w:sz="4" w:space="0"/>
            </w:tcBorders>
            <w:vAlign w:val="center"/>
          </w:tcPr>
          <w:p w14:paraId="7728A293">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优:有文明施工与环境保护措施、环境保护管理体系、工程文明施工目标的，得1分。</w:t>
            </w:r>
          </w:p>
          <w:p w14:paraId="03C007A5">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良:有文明施工与环境保护措施、工程文明施工目标的，得0.8分。</w:t>
            </w:r>
          </w:p>
          <w:p w14:paraId="30694E86">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中:有文明施工与环境保护措施的，得0.6分</w:t>
            </w:r>
          </w:p>
          <w:p w14:paraId="352D6321">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left"/>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差:不满足前述要求、不提供相关资料的，不得分。</w:t>
            </w:r>
          </w:p>
        </w:tc>
      </w:tr>
      <w:tr w14:paraId="0D00E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vMerge w:val="continue"/>
            <w:tcBorders>
              <w:bottom w:val="single" w:color="auto" w:sz="4" w:space="0"/>
              <w:right w:val="single" w:color="auto" w:sz="4" w:space="0"/>
            </w:tcBorders>
            <w:vAlign w:val="center"/>
          </w:tcPr>
          <w:p w14:paraId="2435239C">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42" w:type="dxa"/>
            <w:vMerge w:val="continue"/>
            <w:tcBorders>
              <w:right w:val="single" w:color="auto" w:sz="4" w:space="0"/>
            </w:tcBorders>
            <w:vAlign w:val="center"/>
          </w:tcPr>
          <w:p w14:paraId="021DC391">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177BCE51">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劳动力投入(1分)</w:t>
            </w:r>
          </w:p>
        </w:tc>
        <w:tc>
          <w:tcPr>
            <w:tcW w:w="4663" w:type="dxa"/>
            <w:tcBorders>
              <w:top w:val="single" w:color="auto" w:sz="4" w:space="0"/>
              <w:left w:val="single" w:color="auto" w:sz="4" w:space="0"/>
              <w:bottom w:val="single" w:color="auto" w:sz="4" w:space="0"/>
            </w:tcBorders>
            <w:vAlign w:val="center"/>
          </w:tcPr>
          <w:p w14:paraId="39A4906F">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优:有提供劳动力投入保证措施，劳动力数量优于招文要求的，得1分；</w:t>
            </w:r>
          </w:p>
          <w:p w14:paraId="0F0E8318">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良:有提供劳动力投入保证措施，劳动力数量符合招标要求的，得0.8分；</w:t>
            </w:r>
          </w:p>
          <w:p w14:paraId="5ACDAFDE">
            <w:pPr>
              <w:keepNext w:val="0"/>
              <w:keepLines w:val="0"/>
              <w:widowControl/>
              <w:suppressLineNumbers w:val="0"/>
              <w:adjustRightInd w:val="0"/>
              <w:spacing w:before="120" w:beforeLines="50" w:beforeAutospacing="0" w:after="0" w:afterLines="-2147483648" w:afterAutospacing="0" w:line="360" w:lineRule="auto"/>
              <w:ind w:left="0" w:right="0"/>
              <w:jc w:val="left"/>
              <w:rPr>
                <w:rFonts w:hint="eastAsia"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lang w:val="en-US" w:eastAsia="zh-CN" w:bidi="ar"/>
              </w:rPr>
              <w:t>中:没有提供劳动力投入保证措施，劳动力数量符合招标要求的，得0.6分；</w:t>
            </w:r>
          </w:p>
          <w:p w14:paraId="3E448D09">
            <w:pPr>
              <w:keepNext w:val="0"/>
              <w:keepLines w:val="0"/>
              <w:widowControl/>
              <w:suppressLineNumbers w:val="0"/>
              <w:adjustRightInd w:val="0"/>
              <w:spacing w:before="120" w:beforeLines="50" w:beforeAutospacing="0" w:after="0" w:afterLines="-2147483648" w:afterAutospacing="0" w:line="360" w:lineRule="auto"/>
              <w:ind w:left="0" w:leftChars="0" w:right="0" w:rightChars="0"/>
              <w:jc w:val="left"/>
              <w:rPr>
                <w:rFonts w:hint="eastAsia" w:ascii="宋体" w:hAnsi="宋体" w:eastAsia="宋体" w:cs="宋体"/>
                <w:color w:val="auto"/>
                <w:highlight w:val="none"/>
              </w:rPr>
            </w:pPr>
            <w:r>
              <w:rPr>
                <w:rFonts w:hint="eastAsia" w:ascii="宋体" w:hAnsi="宋体" w:eastAsia="宋体" w:cs="宋体"/>
                <w:color w:val="auto"/>
                <w:kern w:val="2"/>
                <w:sz w:val="21"/>
                <w:szCs w:val="22"/>
                <w:highlight w:val="none"/>
                <w:lang w:val="en-US" w:eastAsia="zh-CN" w:bidi="ar"/>
              </w:rPr>
              <w:t>差:不满足前述要求、不提供相关资料的，不得分。</w:t>
            </w:r>
          </w:p>
        </w:tc>
      </w:tr>
      <w:tr w14:paraId="74A51D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vMerge w:val="restart"/>
            <w:tcBorders>
              <w:top w:val="single" w:color="auto" w:sz="4" w:space="0"/>
              <w:bottom w:val="single" w:color="auto" w:sz="4" w:space="0"/>
              <w:right w:val="single" w:color="auto" w:sz="4" w:space="0"/>
            </w:tcBorders>
            <w:vAlign w:val="center"/>
          </w:tcPr>
          <w:p w14:paraId="71E0CE41">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2.2.5（2）</w:t>
            </w:r>
          </w:p>
        </w:tc>
        <w:tc>
          <w:tcPr>
            <w:tcW w:w="942" w:type="dxa"/>
            <w:vMerge w:val="restart"/>
            <w:tcBorders>
              <w:top w:val="single" w:color="auto" w:sz="4" w:space="0"/>
              <w:bottom w:val="single" w:color="auto" w:sz="4" w:space="0"/>
              <w:right w:val="single" w:color="auto" w:sz="4" w:space="0"/>
            </w:tcBorders>
            <w:vAlign w:val="center"/>
          </w:tcPr>
          <w:p w14:paraId="4A708F62">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商务部分（15分）（B）</w:t>
            </w:r>
          </w:p>
        </w:tc>
        <w:tc>
          <w:tcPr>
            <w:tcW w:w="1747" w:type="dxa"/>
            <w:tcBorders>
              <w:top w:val="single" w:color="auto" w:sz="4" w:space="0"/>
              <w:left w:val="single" w:color="auto" w:sz="4" w:space="0"/>
              <w:bottom w:val="single" w:color="auto" w:sz="4" w:space="0"/>
              <w:right w:val="single" w:color="auto" w:sz="4" w:space="0"/>
            </w:tcBorders>
            <w:vAlign w:val="center"/>
          </w:tcPr>
          <w:p w14:paraId="6E91FEC0">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项目管理团队主要人员（7分）</w:t>
            </w:r>
          </w:p>
        </w:tc>
        <w:tc>
          <w:tcPr>
            <w:tcW w:w="4663" w:type="dxa"/>
            <w:tcBorders>
              <w:top w:val="single" w:color="auto" w:sz="4" w:space="0"/>
              <w:left w:val="single" w:color="auto" w:sz="4" w:space="0"/>
              <w:bottom w:val="single" w:color="auto" w:sz="4" w:space="0"/>
            </w:tcBorders>
            <w:vAlign w:val="center"/>
          </w:tcPr>
          <w:p w14:paraId="0C6739BA">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1.拟投入的技术负责人（1名）：</w:t>
            </w:r>
          </w:p>
          <w:p w14:paraId="49D98809">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取得机电类相关专业高级工程师或以上职称，得0.5分。</w:t>
            </w:r>
          </w:p>
          <w:p w14:paraId="52418A95">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注：①须提交相应专业职称证书、身份证等扫描件和提供投标截止时间前三个月（时间为：2024年7月-9月）在投标单位参保的社保证明，否则不得分</w:t>
            </w:r>
          </w:p>
          <w:p w14:paraId="6CD62EE2">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②投标人应提供由人社部门核发的职称证书，若职称证书不是由人社部门核发，则应提供核发机构（或该机构职称评审委员会）获得人社部门授权或核准备案证明其具有职称评审权的证明文件扫描件，或该人员在人社部门职称管理系统登记的获得该职称的信息记录网页或截图打印件。</w:t>
            </w:r>
          </w:p>
          <w:p w14:paraId="4812A5FE">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③技术负责人不得兼任其余岗位。</w:t>
            </w:r>
          </w:p>
          <w:p w14:paraId="44AB3561">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2.拟投入的安全负责人（1名）（与专职安全员不为同一人）：</w:t>
            </w:r>
          </w:p>
          <w:p w14:paraId="0B1B2444">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①具备注册安全工程师（建筑施工安全类）执业资格和有效期内的安全生产考核合格证，得1分。</w:t>
            </w:r>
          </w:p>
          <w:p w14:paraId="3EDEF3C4">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②具备安全工程专业高级工程师或以上职称，得1分。</w:t>
            </w:r>
          </w:p>
          <w:p w14:paraId="49A27BD8">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本项最高得2分。</w:t>
            </w:r>
          </w:p>
          <w:p w14:paraId="7F9889B4">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注：①须提交相应专业职称证书、注册证书、身份证等扫描件（加盖单位电子印章）和提供投标截止时间前三个月（时间为：2024年7月-9月）在投标单位参保的社保证明，否则不得分。②职称证按最高级别证书评审，注册安全工程师需提供“注册安全工程师查询系统（https://zwfw.mem.gov.cn/zwthlw/pages/hlwmh/yyfw/zcaqgcscx/index.html）”网页信息截图。③投标人应提供由人社部门核发的职称证书，若职称证书不是由人社部门核发，则应提供核发机构（或该机构职称评审委员会）获得人社部门授权或核准备案证明其具有职称评审权的证明文件扫描件，或该人员在人社部门职称管理系统登记的获得该职称的信息记录网页或截图打印件。④安全负责人不得兼任。</w:t>
            </w:r>
          </w:p>
          <w:p w14:paraId="164952E2">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3.拟投入的质量负责人（1名）</w:t>
            </w:r>
          </w:p>
          <w:p w14:paraId="3C4EF117">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①具备质量工程专业高级工程师或以上技术职称，得0.5分；</w:t>
            </w:r>
          </w:p>
          <w:p w14:paraId="6FDC35BB">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注：①须提交相应专业职称证书、身份证等扫描件和提供投标截止时间前三个月（时间为：2024年7月-9月）在投标单位参保的社保证明，否则不得分②投标人应提供由人社部门核发的职称证书，若职称证书不是由人社部门核发，则应提供核发机构（或该机构职称评审委员会）获得人社部门授权或核准备案证明其具有职称评审权的证明文件扫描件，或该人员在人社部门职称管理系统登记的获得该职称的信息记录网页或截图打印件。③质量负责人不得兼任其余岗位。</w:t>
            </w:r>
          </w:p>
          <w:p w14:paraId="044593E9">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4.拟投入的造价负责人（1名）</w:t>
            </w:r>
          </w:p>
          <w:p w14:paraId="73C83B49">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①具备一级注册造价工程师资格且在有效期内的，得0.5分；</w:t>
            </w:r>
          </w:p>
          <w:p w14:paraId="2D8B8CF8">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②</w:t>
            </w:r>
            <w:r>
              <w:rPr>
                <w:rFonts w:hint="eastAsia" w:asciiTheme="minorEastAsia" w:hAnsiTheme="minorEastAsia" w:eastAsiaTheme="minorEastAsia" w:cstheme="minorEastAsia"/>
                <w:b/>
                <w:bCs/>
                <w:color w:val="auto"/>
                <w:kern w:val="2"/>
                <w:sz w:val="21"/>
                <w:szCs w:val="21"/>
                <w:highlight w:val="none"/>
                <w:lang w:val="en-US" w:eastAsia="zh-CN" w:bidi="ar"/>
              </w:rPr>
              <w:t>具备工程造价类专业高级工程师或以上技术职称，得0.5分；</w:t>
            </w:r>
          </w:p>
          <w:p w14:paraId="387F2F55">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本项最高得1分。</w:t>
            </w:r>
          </w:p>
          <w:p w14:paraId="090BCD84">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注：①须提交相应专业职称证、注册证书、身份证等扫描件（加盖单位电子印章）和提供投标截止时间前三个月（时间为：2024年 7月-9月）在投标单位参保的社保证明，职称证按最高级别证书评审。②投标人应提供由人社部门核发的职称证书，若职称证书不是由人社部门核发，则应提供核发机构（或该机构职称评审委员会）获得人社部门授权或核准备案证明其具有职称评审权的证明文件扫描件，或该人员在人社部门职称管理系统登记的获得该职称的信息记录网页或截图打印件。③注册造价工程师需提供“全国建筑市场监管公共服务平台”网页信息截图。原注册造价工程师自动划分为一级注册造价工程师，详见住房和城乡建设部关于修改《工程造价咨询企业管理办法》《注册造价工程师管理办法》的决定（中华人民共和国住房和城乡建设部令第50号）。④注册造价工程师注册信息查询网站查询结果网上截图，且执业状态栏显示“正常”的才计分（查询请登录http://zaojiasys.jianshe99.com/cecaopsys/queryAndSearch/view.do?op=queryMemberUserInit#），不提供不得分 ⑤造价负责人不得兼任其余岗位。</w:t>
            </w:r>
          </w:p>
          <w:p w14:paraId="4BE76DE8">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5.其他团队人员：</w:t>
            </w:r>
          </w:p>
          <w:p w14:paraId="7F7F0545">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除项目负责人、技术负责人、安全负责人、</w:t>
            </w:r>
            <w:r>
              <w:rPr>
                <w:rFonts w:hint="eastAsia" w:asciiTheme="minorEastAsia" w:hAnsiTheme="minorEastAsia" w:eastAsiaTheme="minorEastAsia" w:cstheme="minorEastAsia"/>
                <w:b/>
                <w:bCs/>
                <w:color w:val="auto"/>
                <w:kern w:val="2"/>
                <w:sz w:val="21"/>
                <w:szCs w:val="21"/>
                <w:highlight w:val="none"/>
                <w:lang w:val="en-US" w:eastAsia="zh-CN" w:bidi="ar"/>
              </w:rPr>
              <w:t>质量负责人、造价负责人、</w:t>
            </w:r>
            <w:r>
              <w:rPr>
                <w:rFonts w:hint="eastAsia" w:asciiTheme="minorEastAsia" w:hAnsiTheme="minorEastAsia" w:eastAsiaTheme="minorEastAsia" w:cstheme="minorEastAsia"/>
                <w:color w:val="auto"/>
                <w:kern w:val="2"/>
                <w:sz w:val="21"/>
                <w:szCs w:val="21"/>
                <w:highlight w:val="none"/>
                <w:lang w:val="en-US" w:eastAsia="zh-CN" w:bidi="ar"/>
              </w:rPr>
              <w:t>专职安全员外，拟投入本项目的人员配置完善合理，其中包含如下人员：</w:t>
            </w:r>
          </w:p>
          <w:p w14:paraId="72009B6F">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（1）给排水类专业高级工程师或以上技术职称人员1名，工程造价类中级工程师或以上技术职称人员1名，建筑机电设备安装中级工程师或以上技术职称人员1名，</w:t>
            </w:r>
            <w:r>
              <w:rPr>
                <w:rFonts w:hint="eastAsia" w:asciiTheme="minorEastAsia" w:hAnsiTheme="minorEastAsia" w:eastAsiaTheme="minorEastAsia" w:cstheme="minorEastAsia"/>
                <w:color w:val="auto"/>
                <w:spacing w:val="0"/>
                <w:kern w:val="2"/>
                <w:sz w:val="21"/>
                <w:szCs w:val="21"/>
                <w:highlight w:val="none"/>
                <w:lang w:val="en-US" w:eastAsia="zh-CN" w:bidi="ar"/>
              </w:rPr>
              <w:t>机械类专业中级工程师或以上技术职称人员1人，</w:t>
            </w:r>
            <w:r>
              <w:rPr>
                <w:rFonts w:hint="eastAsia" w:asciiTheme="minorEastAsia" w:hAnsiTheme="minorEastAsia" w:eastAsiaTheme="minorEastAsia" w:cstheme="minorEastAsia"/>
                <w:color w:val="auto"/>
                <w:kern w:val="2"/>
                <w:sz w:val="21"/>
                <w:szCs w:val="21"/>
                <w:highlight w:val="none"/>
                <w:lang w:val="en-US" w:eastAsia="zh-CN" w:bidi="ar"/>
              </w:rPr>
              <w:t>低压电工2名（特种作业证），设备安装施工员、设备安装质量员、资料员、标准员、材料员各1名，人员达到以上标准的，得3分；</w:t>
            </w:r>
          </w:p>
          <w:p w14:paraId="63EF2E9E">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给排水类专业高级工程师或以上技术职称人员1名，建筑机电设备安装中级工程师或以上技术职称人员1名，低压电工1名（特种作业证），设备安装施工员、设备安装质量员、资料员、标准员、材料员各1名，人员达到以上标准的，得1分；不满足上述情况的，不得分。投入人员满足最高标准配置的，按最高档次得分。</w:t>
            </w:r>
          </w:p>
          <w:p w14:paraId="067598D0">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不满足上述情况的，不得分。投入人员满足最高标准配置的，按最高档次得分。</w:t>
            </w:r>
          </w:p>
          <w:p w14:paraId="217E87E0">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注：①上述人员的职称类工程师须提交相应专业职称证书、身份证等扫描件。②投标人应提供由人社部门核发的职称证书，若职称证书不是由人社部门核发，则应提供核发机构（或该机构职称评审委员会）获得人社部门授权或核准备案证明其具有职称评审权的证明文件扫描件，或该人员在人社部门职称管理系统登记的获得该职称的信息记录网页或截图打印件。③设备安装施工员、设备安装质量员、材料员、标准员、资料员均须具备有效的“住房城乡建设行业机构信息全国联网查询截图”查询网址:http://rcgz,mohurd,gov.cn。低压电工（特种作业证）须为建设厅颁发的建筑电工证或应急管理局（原安监局）颁发的特种作业操作证</w:t>
            </w:r>
          </w:p>
          <w:p w14:paraId="50EBE2E6">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④以上所有团队人员提供投标截止时间前三个月（时间为：2024 年7月-9月）在投标单位参保的社保证明，上述人员不得兼任。</w:t>
            </w:r>
          </w:p>
          <w:p w14:paraId="75043153">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⑤上述资料未提供不得分。</w:t>
            </w:r>
          </w:p>
          <w:p w14:paraId="20E55A42">
            <w:pPr>
              <w:keepNext w:val="0"/>
              <w:keepLines w:val="0"/>
              <w:suppressLineNumbers w:val="0"/>
              <w:adjustRightInd/>
              <w:spacing w:before="0" w:beforeLines="-2147483648" w:beforeAutospacing="0" w:after="0" w:afterAutospacing="0" w:line="240" w:lineRule="auto"/>
              <w:ind w:left="0" w:right="0"/>
              <w:rPr>
                <w:rFonts w:hint="default"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bidi="ar"/>
              </w:rPr>
              <w:t>上述项目管理团队除技术负责人以外，其余不得由《项目管理架构人员最低配置承诺书》中的拟派人员兼任。</w:t>
            </w:r>
          </w:p>
        </w:tc>
      </w:tr>
      <w:tr w14:paraId="00D847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vMerge w:val="continue"/>
            <w:tcBorders>
              <w:right w:val="single" w:color="auto" w:sz="4" w:space="0"/>
            </w:tcBorders>
            <w:vAlign w:val="center"/>
          </w:tcPr>
          <w:p w14:paraId="3E00BAE5">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42" w:type="dxa"/>
            <w:vMerge w:val="continue"/>
            <w:tcBorders>
              <w:right w:val="single" w:color="auto" w:sz="4" w:space="0"/>
            </w:tcBorders>
            <w:vAlign w:val="center"/>
          </w:tcPr>
          <w:p w14:paraId="41BA246B">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73E88451">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投标人的业绩、类似工程经历（1分）</w:t>
            </w:r>
          </w:p>
        </w:tc>
        <w:tc>
          <w:tcPr>
            <w:tcW w:w="4663" w:type="dxa"/>
            <w:tcBorders>
              <w:top w:val="single" w:color="auto" w:sz="4" w:space="0"/>
              <w:left w:val="single" w:color="auto" w:sz="4" w:space="0"/>
              <w:bottom w:val="single" w:color="auto" w:sz="4" w:space="0"/>
            </w:tcBorders>
            <w:vAlign w:val="center"/>
          </w:tcPr>
          <w:p w14:paraId="172AF130">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投标人2021年1月1日至今完成过质量合格的金额大于或等于</w:t>
            </w:r>
            <w:r>
              <w:rPr>
                <w:rFonts w:hint="eastAsia" w:ascii="宋体" w:hAnsi="宋体" w:cs="宋体"/>
                <w:color w:val="auto"/>
                <w:highlight w:val="none"/>
                <w:lang w:val="en-US" w:eastAsia="zh-CN"/>
              </w:rPr>
              <w:t>5</w:t>
            </w:r>
            <w:r>
              <w:rPr>
                <w:rFonts w:hint="eastAsia" w:ascii="宋体" w:hAnsi="宋体" w:eastAsia="宋体" w:cs="宋体"/>
                <w:color w:val="auto"/>
                <w:highlight w:val="none"/>
              </w:rPr>
              <w:t>00万元的机电类工程，每提供一个得0.5分，最高得1分。</w:t>
            </w:r>
          </w:p>
          <w:p w14:paraId="6A754186">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注：时间以竣工验收证明材料日期为准，金额以合同签订为准。业绩证明材料需同时提供：中标通知书原件扫描件（如为非公开招标项目或免招标项目，须提供视同为中标通知书的相关资料，如发包通知书等）、合同原件扫描件、竣工验收证明材料原件扫描件等。</w:t>
            </w:r>
          </w:p>
        </w:tc>
      </w:tr>
      <w:tr w14:paraId="71735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vMerge w:val="continue"/>
            <w:tcBorders>
              <w:top w:val="single" w:color="auto" w:sz="4" w:space="0"/>
              <w:bottom w:val="single" w:color="auto" w:sz="4" w:space="0"/>
              <w:right w:val="single" w:color="auto" w:sz="4" w:space="0"/>
            </w:tcBorders>
            <w:vAlign w:val="center"/>
          </w:tcPr>
          <w:p w14:paraId="1CDBDC6D">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42" w:type="dxa"/>
            <w:vMerge w:val="continue"/>
            <w:tcBorders>
              <w:top w:val="single" w:color="auto" w:sz="4" w:space="0"/>
              <w:bottom w:val="single" w:color="auto" w:sz="4" w:space="0"/>
              <w:right w:val="single" w:color="auto" w:sz="4" w:space="0"/>
            </w:tcBorders>
            <w:vAlign w:val="center"/>
          </w:tcPr>
          <w:p w14:paraId="1736825E">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18F4AD7A">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工程项目获奖情况（2分）</w:t>
            </w:r>
          </w:p>
        </w:tc>
        <w:tc>
          <w:tcPr>
            <w:tcW w:w="4663" w:type="dxa"/>
            <w:tcBorders>
              <w:top w:val="single" w:color="auto" w:sz="4" w:space="0"/>
              <w:left w:val="single" w:color="auto" w:sz="4" w:space="0"/>
              <w:bottom w:val="single" w:color="auto" w:sz="4" w:space="0"/>
            </w:tcBorders>
            <w:vAlign w:val="center"/>
          </w:tcPr>
          <w:p w14:paraId="41E8D102">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投标人自2021年1月1日至今承建或参建的工程项目：</w:t>
            </w:r>
          </w:p>
          <w:p w14:paraId="19E69F0D">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1、获得国家级工程质量奖项的，每项得0.5分；</w:t>
            </w:r>
          </w:p>
          <w:p w14:paraId="510C2A19">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2、获得省级工程质量奖项的，每项得0.3分；</w:t>
            </w:r>
          </w:p>
          <w:p w14:paraId="6C121BB3">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3、获得市级工程质量奖项的，每项得0.1分；</w:t>
            </w:r>
          </w:p>
          <w:p w14:paraId="0F8D741D">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本项最高得2分。不符合上述条件或未提供相关证明材料的不得分。</w:t>
            </w:r>
          </w:p>
          <w:p w14:paraId="79A3295F">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注:需提交奖项证书原件清晰扫描件，奖项须为质量奖项，时间以发证时间为准。同一项目按最高级别奖项只计一次得分。奖项可为承建单位或参建单位。其中国家级奖项包括但不限于：中国建设工程鲁班奖、国家优质工程（金质奖）、国家优质工程奖、中国土木工程詹天佑奖。省级奖项包括但不限于：省级行政主管部门或相关行业协会颁发的质量工程奖项。市级奖项包括但不限于：市级行政主管部门或相关行业协会颁发的质量工程奖项。如颁奖单位为协会的，还须提供该协会在“中国社会组织政务服务平台”有登记的网页查询截图（网址：https://chinanpo.mca.gov.cn/），证明其有登记备案，否则不得分。不符合上述条件或未提供上述资料的不计分。</w:t>
            </w:r>
          </w:p>
        </w:tc>
      </w:tr>
      <w:tr w14:paraId="200D0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vMerge w:val="continue"/>
            <w:tcBorders>
              <w:top w:val="single" w:color="auto" w:sz="4" w:space="0"/>
              <w:bottom w:val="single" w:color="auto" w:sz="4" w:space="0"/>
              <w:right w:val="single" w:color="auto" w:sz="4" w:space="0"/>
            </w:tcBorders>
            <w:vAlign w:val="center"/>
          </w:tcPr>
          <w:p w14:paraId="1A75DA0B">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42" w:type="dxa"/>
            <w:vMerge w:val="continue"/>
            <w:tcBorders>
              <w:top w:val="single" w:color="auto" w:sz="4" w:space="0"/>
              <w:bottom w:val="single" w:color="auto" w:sz="4" w:space="0"/>
              <w:right w:val="single" w:color="auto" w:sz="4" w:space="0"/>
            </w:tcBorders>
            <w:vAlign w:val="center"/>
          </w:tcPr>
          <w:p w14:paraId="35452AE5">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747" w:type="dxa"/>
            <w:tcBorders>
              <w:top w:val="single" w:color="auto" w:sz="4" w:space="0"/>
              <w:left w:val="single" w:color="auto" w:sz="4" w:space="0"/>
              <w:bottom w:val="single" w:color="auto" w:sz="4" w:space="0"/>
              <w:right w:val="single" w:color="auto" w:sz="4" w:space="0"/>
            </w:tcBorders>
            <w:vAlign w:val="center"/>
          </w:tcPr>
          <w:p w14:paraId="08FA1680">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企业资信（5分）</w:t>
            </w:r>
          </w:p>
        </w:tc>
        <w:tc>
          <w:tcPr>
            <w:tcW w:w="4663" w:type="dxa"/>
            <w:tcBorders>
              <w:top w:val="single" w:color="auto" w:sz="4" w:space="0"/>
              <w:left w:val="single" w:color="auto" w:sz="4" w:space="0"/>
              <w:bottom w:val="single" w:color="auto" w:sz="4" w:space="0"/>
            </w:tcBorders>
            <w:vAlign w:val="center"/>
          </w:tcPr>
          <w:p w14:paraId="3D3B82EE">
            <w:pPr>
              <w:keepNext w:val="0"/>
              <w:keepLines w:val="0"/>
              <w:pageBreakBefore w:val="0"/>
              <w:widowControl w:val="0"/>
              <w:suppressLineNumbers w:val="0"/>
              <w:kinsoku/>
              <w:wordWrap w:val="0"/>
              <w:overflowPunct/>
              <w:topLinePunct w:val="0"/>
              <w:autoSpaceDE/>
              <w:autoSpaceDN/>
              <w:bidi w:val="0"/>
              <w:adjustRightInd w:val="0"/>
              <w:snapToGrid/>
              <w:spacing w:before="120" w:beforeLines="50" w:beforeAutospacing="0" w:after="0" w:afterAutospacing="0" w:line="360" w:lineRule="auto"/>
              <w:ind w:left="0" w:right="0"/>
              <w:textAlignment w:val="auto"/>
              <w:rPr>
                <w:rFonts w:hint="default"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投标人具有施工现场易发事故防治标准体系认证证书（符合JGJ/T 429-2018及CRCESS1001-2021标准）、企业信用评价认证证书（符合GB/T 23794标准）、建筑工程绿色施工认证证书（符合GB/T 50640-2010标准）、诚信管理体系认证证书（符合GB/T 31950标准）、测量管理体系认证证书（符合GB/T 19022-2003/IS0 10012:2003标准）、企业应急管理规范认证证书（符合GB/T 37228-2018、CRCESS1001-2021标准）且在有效期内的，同时具有以上六个体系认证得5分；同时具有以上五个体系认证得3分；同时具有以上四个体系认证得1分。本项最多得5分，其它不得分。</w:t>
            </w:r>
          </w:p>
          <w:p w14:paraId="783C228A">
            <w:pPr>
              <w:keepNext w:val="0"/>
              <w:keepLines w:val="0"/>
              <w:pageBreakBefore w:val="0"/>
              <w:widowControl w:val="0"/>
              <w:suppressLineNumbers w:val="0"/>
              <w:kinsoku/>
              <w:wordWrap w:val="0"/>
              <w:overflowPunct/>
              <w:topLinePunct w:val="0"/>
              <w:autoSpaceDE/>
              <w:autoSpaceDN/>
              <w:bidi w:val="0"/>
              <w:adjustRightInd w:val="0"/>
              <w:snapToGrid/>
              <w:spacing w:before="120" w:beforeLines="50" w:beforeAutospacing="0" w:after="0" w:afterAutospacing="0" w:line="360" w:lineRule="auto"/>
              <w:ind w:left="0" w:right="0"/>
              <w:textAlignment w:val="auto"/>
              <w:rPr>
                <w:rFonts w:hint="default"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需提供有效期内的体系认证证书原件扫描件及全国认证认可信息公共服务平台网站查询清晰截图（http://cx.cnca.cn/CertECloud/index/index/page），如网上无法查询或与公开信息不一致的，须提供发证机构出具的证明文件。不符合上述条件或未提供上述资料的不得分。</w:t>
            </w:r>
          </w:p>
        </w:tc>
      </w:tr>
      <w:tr w14:paraId="0B41A4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gridSpan w:val="2"/>
            <w:tcBorders>
              <w:top w:val="single" w:color="auto" w:sz="4" w:space="0"/>
              <w:bottom w:val="single" w:color="auto" w:sz="4" w:space="0"/>
              <w:right w:val="single" w:color="auto" w:sz="4" w:space="0"/>
            </w:tcBorders>
            <w:vAlign w:val="center"/>
          </w:tcPr>
          <w:p w14:paraId="040E6DAE">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2.2.5（3）</w:t>
            </w:r>
          </w:p>
        </w:tc>
        <w:tc>
          <w:tcPr>
            <w:tcW w:w="942" w:type="dxa"/>
            <w:tcBorders>
              <w:top w:val="single" w:color="auto" w:sz="4" w:space="0"/>
              <w:bottom w:val="single" w:color="auto" w:sz="4" w:space="0"/>
              <w:right w:val="single" w:color="auto" w:sz="4" w:space="0"/>
            </w:tcBorders>
            <w:vAlign w:val="center"/>
          </w:tcPr>
          <w:p w14:paraId="2AB0277B">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投标报价的得分计算</w:t>
            </w:r>
          </w:p>
        </w:tc>
        <w:tc>
          <w:tcPr>
            <w:tcW w:w="1747" w:type="dxa"/>
            <w:tcBorders>
              <w:top w:val="single" w:color="auto" w:sz="4" w:space="0"/>
              <w:left w:val="single" w:color="auto" w:sz="4" w:space="0"/>
              <w:bottom w:val="single" w:color="auto" w:sz="4" w:space="0"/>
            </w:tcBorders>
            <w:vAlign w:val="center"/>
          </w:tcPr>
          <w:p w14:paraId="0EC75535">
            <w:pPr>
              <w:keepNext w:val="0"/>
              <w:keepLines w:val="0"/>
              <w:suppressLineNumbers w:val="0"/>
              <w:adjustRightInd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投标报价得分100分（权重80%）</w:t>
            </w:r>
          </w:p>
        </w:tc>
        <w:tc>
          <w:tcPr>
            <w:tcW w:w="4663" w:type="dxa"/>
            <w:tcBorders>
              <w:top w:val="single" w:color="auto" w:sz="4" w:space="0"/>
              <w:left w:val="single" w:color="auto" w:sz="4" w:space="0"/>
              <w:bottom w:val="single" w:color="auto" w:sz="4" w:space="0"/>
            </w:tcBorders>
            <w:vAlign w:val="center"/>
          </w:tcPr>
          <w:p w14:paraId="24F75185">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评标基准价的确定方式：以全部或随机抽取的有效投标报价的算术平均值按随机抽取的评标基准价下浮率（2～5%，0.5一个级别）下浮作为评标基准价。详见2.2.3评标基准价计算。</w:t>
            </w:r>
          </w:p>
          <w:p w14:paraId="471A30D3">
            <w:pPr>
              <w:keepNext w:val="0"/>
              <w:keepLines w:val="0"/>
              <w:suppressLineNumbers w:val="0"/>
              <w:adjustRightInd w:val="0"/>
              <w:spacing w:before="120" w:beforeLines="5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投标报价等于评标基准价的得100分，投标报价比评标基准价每高 1%扣0.5分，每低 1%扣 0.3分，扣至0分为止。投标报价偏差率= (投标报价-评标基准价)/评标基准价*100%。</w:t>
            </w:r>
          </w:p>
        </w:tc>
      </w:tr>
    </w:tbl>
    <w:p w14:paraId="736C7306">
      <w:pPr>
        <w:spacing w:line="360" w:lineRule="auto"/>
        <w:rPr>
          <w:rFonts w:hint="eastAsia" w:ascii="宋体" w:hAnsi="宋体" w:eastAsia="宋体" w:cs="宋体"/>
          <w:color w:val="auto"/>
          <w:sz w:val="24"/>
          <w:highlight w:val="none"/>
        </w:rPr>
      </w:pPr>
    </w:p>
    <w:p w14:paraId="5CAB7A91">
      <w:pPr>
        <w:pStyle w:val="38"/>
        <w:adjustRightIn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1. 评标方法</w:t>
      </w:r>
    </w:p>
    <w:p w14:paraId="30404D9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w:t>
      </w:r>
      <w:r>
        <w:rPr>
          <w:rFonts w:hint="eastAsia" w:ascii="宋体" w:hAnsi="宋体" w:eastAsia="宋体" w:cs="宋体"/>
          <w:color w:val="auto"/>
          <w:sz w:val="24"/>
          <w:highlight w:val="none"/>
          <w:u w:val="single"/>
        </w:rPr>
        <w:t>以商务得分高的优先；商务得分也相等，以技术得分高的优先；如果技术得分也相等，则由评委以投票方式进行表诀，确定相等得分的中标候选人的排序。</w:t>
      </w:r>
    </w:p>
    <w:p w14:paraId="007A4A42">
      <w:pPr>
        <w:pStyle w:val="38"/>
        <w:adjustRightIn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评审标准</w:t>
      </w:r>
    </w:p>
    <w:p w14:paraId="12AA3E4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初步评审标准</w:t>
      </w:r>
    </w:p>
    <w:p w14:paraId="097AEA8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资格评审标准：见评标办法前附表。</w:t>
      </w:r>
    </w:p>
    <w:p w14:paraId="248BA1A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形式评审标准：见评标办法前附表。</w:t>
      </w:r>
    </w:p>
    <w:p w14:paraId="7DFF787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响应性评审标准：见评标办法前附表。</w:t>
      </w:r>
    </w:p>
    <w:p w14:paraId="276416D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分值构成与评分标准</w:t>
      </w:r>
    </w:p>
    <w:p w14:paraId="5429CC3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 分值构成</w:t>
      </w:r>
    </w:p>
    <w:p w14:paraId="6D2C812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（1）技术部分：见评标办法前附表；</w:t>
      </w:r>
    </w:p>
    <w:p w14:paraId="24A65FC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（2）商务部分：见评标办法前附表；</w:t>
      </w:r>
    </w:p>
    <w:p w14:paraId="3018DCC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（3）投标报价：见评标办法前附表；</w:t>
      </w:r>
    </w:p>
    <w:p w14:paraId="1C2346DE">
      <w:pPr>
        <w:spacing w:line="360" w:lineRule="auto"/>
        <w:ind w:firstLine="480" w:firstLineChars="200"/>
        <w:rPr>
          <w:rFonts w:hint="eastAsia" w:ascii="宋体" w:hAnsi="宋体" w:eastAsia="宋体" w:cs="宋体"/>
          <w:strike/>
          <w:color w:val="auto"/>
          <w:sz w:val="24"/>
          <w:highlight w:val="none"/>
        </w:rPr>
      </w:pPr>
      <w:r>
        <w:rPr>
          <w:rFonts w:hint="eastAsia" w:ascii="宋体" w:hAnsi="宋体" w:eastAsia="宋体" w:cs="宋体"/>
          <w:strike/>
          <w:color w:val="auto"/>
          <w:sz w:val="24"/>
          <w:highlight w:val="none"/>
        </w:rPr>
        <w:t>（4）诚信得分：见评标办法前附表；</w:t>
      </w:r>
    </w:p>
    <w:p w14:paraId="3C103BA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 有效投标报价</w:t>
      </w:r>
    </w:p>
    <w:p w14:paraId="056ABE7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通过初步评审且不高于最高投标限价的投标报价为有效投标报价，高于最高投标限价的投标报价无效</w:t>
      </w:r>
      <w:r>
        <w:rPr>
          <w:rFonts w:hint="eastAsia" w:ascii="宋体" w:hAnsi="宋体" w:eastAsia="宋体" w:cs="宋体"/>
          <w:color w:val="auto"/>
          <w:sz w:val="24"/>
          <w:highlight w:val="none"/>
          <w:u w:val="single"/>
        </w:rPr>
        <w:t>（指的是投标总限价及综合单价限价，下同）</w:t>
      </w:r>
      <w:r>
        <w:rPr>
          <w:rFonts w:hint="eastAsia" w:ascii="宋体" w:hAnsi="宋体" w:eastAsia="宋体" w:cs="宋体"/>
          <w:color w:val="auto"/>
          <w:sz w:val="24"/>
          <w:highlight w:val="none"/>
        </w:rPr>
        <w:t>。投标报价不得低于成本价，否则投标报价为无效投标报价。非竞争性费用须与招标人发布的金额一致，不一致的投标报价无效。评标时，评标委员会发现投标人的报价明显低于其他投标报价，或者低于成本警示价的报价，使得其投标报价可能低于其成本的，应当要求该投标人作出书面说明并提供相应的证明材料。投标人不能合理说明或者不能提供相应证明材料的，由评标委员会认定该投标人以低于成本报价竞标，评标委员会应当否决其投标。</w:t>
      </w:r>
    </w:p>
    <w:p w14:paraId="0941866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对低于第二章投标须知3.2.4规定的成本警示价的投标报价，招标人可以在要求投标人在投标文件中提供其成本价分析（内容包括成本价的详细计算过程、计算依据及计算依据的证明材料，材料单价、人工单价、机械台班费的确定依据及其计算过程；管理费率、税金、利润率的确定依据及其计算过程应包括在成本价分析内容中），以方便评标委员会评标。</w:t>
      </w:r>
    </w:p>
    <w:p w14:paraId="4C57189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 评标基准价计算</w:t>
      </w:r>
    </w:p>
    <w:p w14:paraId="3962413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评标基准价可按以下方式确定（招标人以下两种方式任选一）：</w:t>
      </w:r>
    </w:p>
    <w:p w14:paraId="56320E0A">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方式一：</w:t>
      </w:r>
      <w:r>
        <w:rPr>
          <w:rFonts w:hint="eastAsia" w:ascii="宋体" w:hAnsi="宋体" w:eastAsia="宋体" w:cs="宋体"/>
          <w:color w:val="auto"/>
          <w:sz w:val="24"/>
          <w:highlight w:val="none"/>
        </w:rPr>
        <w:t>以全部或随机抽取的有效投标报价的算术平均值按随机抽取的评标基准价下浮率（2～5%，0.5一个级别）下浮作为评标基准价。具体确定方法如下：</w:t>
      </w:r>
    </w:p>
    <w:p w14:paraId="4621881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a、当有效投标报价的投标人少于或等于5个时，取全部有效投标报价的算术平均按随机抽取的评标基准价下浮率（2～5%，0.5一个级别）下浮作为评标基准价。</w:t>
      </w:r>
    </w:p>
    <w:p w14:paraId="6FAFF37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b、当有效投标报价的投标人为6至10个时，从全部有效投标报价中去掉一个最大值和最小值，其他有效投标报价的算术平均值按随机抽取的评标基准价下浮率（2～5%，0.5一个级别）下浮作为评标基准价。</w:t>
      </w:r>
    </w:p>
    <w:p w14:paraId="0AABBAD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c、当有效投标报价的投标人大于10个时，随机抽取10个有效投标报价并从中去掉一个最大值和最小值后计算算术平均值，该平均值按随机抽取的评标基准价下浮率（2～5%，0.5一个级别）下浮作为评标基准价。</w:t>
      </w:r>
    </w:p>
    <w:p w14:paraId="37BAC81E">
      <w:pPr>
        <w:spacing w:line="360" w:lineRule="auto"/>
        <w:ind w:firstLine="482" w:firstLineChars="200"/>
        <w:rPr>
          <w:rFonts w:hint="eastAsia" w:ascii="宋体" w:hAnsi="宋体" w:eastAsia="宋体" w:cs="宋体"/>
          <w:strike/>
          <w:color w:val="auto"/>
          <w:sz w:val="24"/>
          <w:highlight w:val="none"/>
        </w:rPr>
      </w:pPr>
      <w:r>
        <w:rPr>
          <w:rFonts w:hint="eastAsia" w:ascii="宋体" w:hAnsi="宋体" w:eastAsia="宋体" w:cs="宋体"/>
          <w:b/>
          <w:strike/>
          <w:color w:val="auto"/>
          <w:sz w:val="24"/>
          <w:highlight w:val="none"/>
        </w:rPr>
        <w:t>方式二：</w:t>
      </w:r>
      <w:r>
        <w:rPr>
          <w:rFonts w:hint="eastAsia" w:ascii="宋体" w:hAnsi="宋体" w:eastAsia="宋体" w:cs="宋体"/>
          <w:strike/>
          <w:color w:val="auto"/>
          <w:sz w:val="24"/>
          <w:highlight w:val="none"/>
        </w:rPr>
        <w:t>以有效投标报价的算术平均值按随机抽取的评标基准价下浮率（2～5%，0.5一个级别）下浮作为评标基准价。</w:t>
      </w:r>
    </w:p>
    <w:p w14:paraId="7BB36F6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在首次评标过程中，投标人未被发现存在串通投标、弄虚作假、行贿等情形的，无论是否重评，经确定的评标基准价不变。</w:t>
      </w:r>
    </w:p>
    <w:p w14:paraId="4F3096D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 投标报价的得分计算</w:t>
      </w:r>
    </w:p>
    <w:p w14:paraId="1049197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见评标办法前附表。</w:t>
      </w:r>
    </w:p>
    <w:p w14:paraId="3B3F502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 评分标准</w:t>
      </w:r>
    </w:p>
    <w:p w14:paraId="79D592E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（1）技术部分评分标准：见评标办法前附表；</w:t>
      </w:r>
    </w:p>
    <w:p w14:paraId="4E99618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（2）商务部分评分标准：见评标办法前附表；</w:t>
      </w:r>
    </w:p>
    <w:p w14:paraId="0AE607F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（3）投标报价评分标准：见评标办法前附表；</w:t>
      </w:r>
    </w:p>
    <w:p w14:paraId="734DC98D">
      <w:pPr>
        <w:spacing w:line="360" w:lineRule="auto"/>
        <w:ind w:firstLine="480" w:firstLineChars="200"/>
        <w:rPr>
          <w:rFonts w:hint="eastAsia" w:ascii="宋体" w:hAnsi="宋体" w:eastAsia="宋体" w:cs="宋体"/>
          <w:strike/>
          <w:color w:val="auto"/>
          <w:sz w:val="24"/>
          <w:highlight w:val="none"/>
        </w:rPr>
      </w:pPr>
      <w:r>
        <w:rPr>
          <w:rFonts w:hint="eastAsia" w:ascii="宋体" w:hAnsi="宋体" w:eastAsia="宋体" w:cs="宋体"/>
          <w:strike/>
          <w:color w:val="auto"/>
          <w:sz w:val="24"/>
          <w:highlight w:val="none"/>
        </w:rPr>
        <w:t>（4）诚信得分评分标准：见本章第4节的内容；</w:t>
      </w:r>
    </w:p>
    <w:bookmarkEnd w:id="163"/>
    <w:bookmarkEnd w:id="164"/>
    <w:bookmarkEnd w:id="165"/>
    <w:bookmarkEnd w:id="166"/>
    <w:bookmarkEnd w:id="167"/>
    <w:bookmarkEnd w:id="168"/>
    <w:bookmarkEnd w:id="169"/>
    <w:bookmarkEnd w:id="170"/>
    <w:p w14:paraId="401916C1">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 评标程序</w:t>
      </w:r>
    </w:p>
    <w:p w14:paraId="50A007E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 初步评审</w:t>
      </w:r>
    </w:p>
    <w:p w14:paraId="3602E48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 评标委员会可以要求投标人提交第二章“投标人须知”第3.5节规定的有关证明和证件的原件，以便核验。评标委员会依据本章第2.1节规定的标准对投标文件进行初步评审。有一项不符合评审标准的，评标委员会应当否决其投标。通过资格审查的单位少于3家的或通过初步评审的单位少于3家的，重新招标。</w:t>
      </w:r>
    </w:p>
    <w:p w14:paraId="528FECD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 投标人有以下情形之一的，评标委员会应当否决其投标。：</w:t>
      </w:r>
    </w:p>
    <w:p w14:paraId="3C6B94A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（1）第二章“投标人须知”第1.4.3项规定的任何一种情形的；</w:t>
      </w:r>
    </w:p>
    <w:p w14:paraId="2EBB5B3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（2）串通投标或弄虚作假或有其他违法行为的；</w:t>
      </w:r>
    </w:p>
    <w:p w14:paraId="4C233DA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（3）不按评标委员会要求澄清、说明或补正的；</w:t>
      </w:r>
    </w:p>
    <w:p w14:paraId="09461C7B">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（4）投标文件不符合招标文件评标办法中形式评审标准、资格评审标准、响应性评审标准的要求；</w:t>
      </w:r>
    </w:p>
    <w:p w14:paraId="6814FD0D">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（5）项目负责人和安全员为同一人的；</w:t>
      </w:r>
    </w:p>
    <w:p w14:paraId="452D17AA">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（6）投标文件中的投标人、项目负责人、专职安全员与投标登记时的信息不一致的；</w:t>
      </w:r>
    </w:p>
    <w:p w14:paraId="1CDB005D">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（7）投标人的报价明显低于其他投标报价，或者低于成本警示价的报价，投标人不能合理说明或者不能提供相应证明材料的；</w:t>
      </w:r>
    </w:p>
    <w:p w14:paraId="49D1E30A">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（8）不对评标委员会修正后的价格进行书面确认。</w:t>
      </w:r>
    </w:p>
    <w:p w14:paraId="3090B17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3.1.3投标报价有算术错误的，评标委员会按以下原则对投标报价进行修正，修正的价格经投标人书面确认后具有约束力。投标人不接受修正价格的，评标委员会应当否决其投标。</w:t>
      </w:r>
    </w:p>
    <w:p w14:paraId="0FFFC11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（1）投标文件中的大写金额与小写金额不一致的，以大写金额为准；</w:t>
      </w:r>
    </w:p>
    <w:p w14:paraId="45D8B6B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（2）总价金额与依据单价计算出的结果不一致的，以单价金额为准修正总价，但单价金额小数点有明显错误的除外。</w:t>
      </w:r>
    </w:p>
    <w:p w14:paraId="6A76089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 详细评审</w:t>
      </w:r>
    </w:p>
    <w:p w14:paraId="46B974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 评标委员会按本章第2.2款规定的量化因素和分值进行打分，并计算出综合评估得分。</w:t>
      </w:r>
    </w:p>
    <w:p w14:paraId="3F38628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（1）按本章第2.2.5（1）目规定的评审因素和分值对技术部分计算出得分A；技术部分得分为从各评标专家打分中去掉一个最高分和去掉一个最低分后的剩余评标专家打分的平均值。</w:t>
      </w:r>
    </w:p>
    <w:p w14:paraId="2251698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（2）按本章第2.2.5（2）目规定的评审因素和分值对商务部分计算出得分B；商务部分得分为从各评标专家打分中去掉一个最高分和去掉一个最低分后的剩余评标专家打分的平均值。</w:t>
      </w:r>
    </w:p>
    <w:p w14:paraId="6E99FD2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（3）按本章第2.2.5（3）目规定的评审因素和分值对投标报价计算出得分C；</w:t>
      </w:r>
    </w:p>
    <w:p w14:paraId="0177A29A">
      <w:pPr>
        <w:spacing w:line="360" w:lineRule="auto"/>
        <w:ind w:firstLine="480" w:firstLineChars="200"/>
        <w:rPr>
          <w:rFonts w:hint="eastAsia" w:ascii="宋体" w:hAnsi="宋体" w:eastAsia="宋体" w:cs="宋体"/>
          <w:strike/>
          <w:color w:val="auto"/>
          <w:sz w:val="24"/>
          <w:highlight w:val="none"/>
        </w:rPr>
      </w:pPr>
      <w:r>
        <w:rPr>
          <w:rFonts w:hint="eastAsia" w:ascii="宋体" w:hAnsi="宋体" w:eastAsia="宋体" w:cs="宋体"/>
          <w:strike/>
          <w:color w:val="auto"/>
          <w:sz w:val="24"/>
          <w:highlight w:val="none"/>
        </w:rPr>
        <w:t>（4）按本章第2.2.5（4）目规定的评审因素和分值对诚信评价计算出得分D；</w:t>
      </w:r>
    </w:p>
    <w:p w14:paraId="1E83C82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评分分值计算保留小数点后两位，小数点后第三位“四舍五入”。</w:t>
      </w:r>
    </w:p>
    <w:p w14:paraId="1F1FD76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 投标人的得分为技术部分得分、商务部分得分和投标报价得分之和。评标委员会应按照得分从高至低的顺序，确定得分前三名的投标人为第一中标候选人、第二中标候选人和第三中标候选人。</w:t>
      </w:r>
      <w:r>
        <w:rPr>
          <w:rFonts w:hint="eastAsia" w:ascii="宋体" w:hAnsi="宋体" w:eastAsia="宋体" w:cs="宋体"/>
          <w:color w:val="auto"/>
          <w:sz w:val="24"/>
          <w:highlight w:val="none"/>
          <w:u w:val="single"/>
        </w:rPr>
        <w:t>当中标候选人得分相同时，按投标报价由低至高的顺序确定排名；当得分和投标报价均相同时，按“1.评标办法”条款执行。计分采用满分制，得分计算方法：评标总得分=技术部分得分（A）+商务部分得分（B）+投标报价得分(C)×得分权重。</w:t>
      </w:r>
    </w:p>
    <w:p w14:paraId="7BEFF20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 投标文件的澄清和补正</w:t>
      </w:r>
    </w:p>
    <w:p w14:paraId="548B3CD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3.3.1在评标过程中，评标委员会可以书面形式要求投标人对所提交投标文件中不明确的内容进行书面澄清或说明，或者对细微偏差进行补正。评标委员会不接受投标人主动提出的澄清、说明或补正。</w:t>
      </w:r>
    </w:p>
    <w:p w14:paraId="22DE85C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3.3.2 澄清、说明和补正不得改变投标文件的实质性内容（算术性错误修正的除外）。投标人的书面澄清、说明和补正属于投标文件的组成部分。</w:t>
      </w:r>
    </w:p>
    <w:p w14:paraId="3332FD2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 评标委员会对投标人提交的澄清、说明或补正有疑问的，可以要求投标人进一步澄清、说明或补正，直至满足评标委员会的要求。</w:t>
      </w:r>
    </w:p>
    <w:p w14:paraId="39794AE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 评标结果</w:t>
      </w:r>
    </w:p>
    <w:p w14:paraId="3138890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评标委员会依据本章第2.2条评分标准进行评分，按评标办法前附表的约定计算投标人最终得分，评标委员会应按照得分从高至低的顺序，确定得分前三名的投标人为第一中标候选人、第二中标候选人和第三中标候选人。出现中标候选人得分相同的，以记名投票表决等其他可行的方式确定排序。</w:t>
      </w:r>
    </w:p>
    <w:p w14:paraId="7BB10BE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 评标委员会完成评标后，应当向招标人提交书面评标报告。</w:t>
      </w:r>
    </w:p>
    <w:p w14:paraId="2AC2493E">
      <w:pPr>
        <w:pStyle w:val="38"/>
        <w:spacing w:line="360" w:lineRule="auto"/>
        <w:ind w:firstLine="482" w:firstLineChars="200"/>
        <w:rPr>
          <w:rFonts w:hint="eastAsia" w:ascii="宋体" w:hAnsi="宋体" w:eastAsia="宋体" w:cs="宋体"/>
          <w:b/>
          <w:bCs/>
          <w:strike/>
          <w:color w:val="auto"/>
          <w:sz w:val="24"/>
          <w:szCs w:val="24"/>
          <w:highlight w:val="none"/>
        </w:rPr>
      </w:pPr>
      <w:r>
        <w:rPr>
          <w:rFonts w:hint="eastAsia" w:ascii="宋体" w:hAnsi="宋体" w:eastAsia="宋体" w:cs="宋体"/>
          <w:b/>
          <w:bCs/>
          <w:strike/>
          <w:color w:val="auto"/>
          <w:sz w:val="24"/>
          <w:szCs w:val="24"/>
          <w:highlight w:val="none"/>
        </w:rPr>
        <w:t>4.</w:t>
      </w:r>
      <w:r>
        <w:rPr>
          <w:rFonts w:hint="eastAsia" w:ascii="宋体" w:hAnsi="宋体" w:eastAsia="宋体" w:cs="宋体"/>
          <w:strike/>
          <w:color w:val="auto"/>
          <w:highlight w:val="none"/>
        </w:rPr>
        <w:t xml:space="preserve"> </w:t>
      </w:r>
      <w:r>
        <w:rPr>
          <w:rFonts w:hint="eastAsia" w:ascii="宋体" w:hAnsi="宋体" w:eastAsia="宋体" w:cs="宋体"/>
          <w:b/>
          <w:strike/>
          <w:color w:val="auto"/>
          <w:sz w:val="24"/>
          <w:szCs w:val="24"/>
          <w:highlight w:val="none"/>
        </w:rPr>
        <w:t>诚信评价</w:t>
      </w:r>
      <w:r>
        <w:rPr>
          <w:rFonts w:hint="eastAsia" w:ascii="宋体" w:hAnsi="宋体" w:eastAsia="宋体" w:cs="宋体"/>
          <w:b/>
          <w:bCs/>
          <w:strike/>
          <w:color w:val="auto"/>
          <w:sz w:val="24"/>
          <w:szCs w:val="24"/>
          <w:highlight w:val="none"/>
        </w:rPr>
        <w:t>评分</w:t>
      </w:r>
    </w:p>
    <w:p w14:paraId="57EAB4F7">
      <w:pPr>
        <w:spacing w:line="360" w:lineRule="auto"/>
        <w:ind w:firstLine="480" w:firstLineChars="200"/>
        <w:rPr>
          <w:rFonts w:hint="eastAsia" w:ascii="宋体" w:hAnsi="宋体" w:eastAsia="宋体" w:cs="宋体"/>
          <w:strike/>
          <w:color w:val="auto"/>
          <w:kern w:val="0"/>
          <w:sz w:val="24"/>
          <w:szCs w:val="24"/>
          <w:highlight w:val="none"/>
        </w:rPr>
      </w:pPr>
      <w:r>
        <w:rPr>
          <w:rFonts w:hint="eastAsia" w:ascii="宋体" w:hAnsi="宋体" w:eastAsia="宋体" w:cs="宋体"/>
          <w:strike/>
          <w:color w:val="auto"/>
          <w:kern w:val="0"/>
          <w:sz w:val="24"/>
          <w:szCs w:val="24"/>
          <w:highlight w:val="none"/>
        </w:rPr>
        <w:t>4.1投标人诚信评价分取自本项目招标公告第1天所在季度的上一季度广州市水务工程企业信息库及诚信中心网站http://121.8.226.19/gzswcx/index.jsp）中的“诚信排名&gt;&gt;施工—给排水”中“诚信综合评价”分，未入库企业或在广州市水务工程企业信息库及诚信中心网中尚无诚信排名“施工－给排水”得分的投标人，其诚信评价分按40分计算。</w:t>
      </w:r>
    </w:p>
    <w:p w14:paraId="70EF4530">
      <w:pPr>
        <w:spacing w:line="360" w:lineRule="auto"/>
        <w:ind w:firstLine="480" w:firstLineChars="200"/>
        <w:rPr>
          <w:rFonts w:hint="eastAsia" w:ascii="宋体" w:hAnsi="宋体" w:eastAsia="宋体" w:cs="宋体"/>
          <w:strike/>
          <w:color w:val="auto"/>
          <w:sz w:val="24"/>
          <w:szCs w:val="24"/>
          <w:highlight w:val="none"/>
        </w:rPr>
      </w:pPr>
      <w:r>
        <w:rPr>
          <w:rFonts w:hint="eastAsia" w:ascii="宋体" w:hAnsi="宋体" w:eastAsia="宋体" w:cs="宋体"/>
          <w:strike/>
          <w:color w:val="auto"/>
          <w:kern w:val="0"/>
          <w:sz w:val="24"/>
          <w:szCs w:val="24"/>
          <w:highlight w:val="none"/>
        </w:rPr>
        <w:t>4.2两个或者两个以上水务建设市场主体组成联合体投标时，按联合体中诚信评价得分低的市场主体作为联合体的诚信评价得分。</w:t>
      </w:r>
    </w:p>
    <w:p w14:paraId="6107AF94">
      <w:pPr>
        <w:spacing w:line="360" w:lineRule="auto"/>
        <w:ind w:firstLine="482" w:firstLineChars="200"/>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5.评标应急预案</w:t>
      </w:r>
    </w:p>
    <w:p w14:paraId="3CCE492E">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在评标过程中，当采用电子评标系统评标发生评审故障时，若广州交易集团有限公司（广州公共资源交易中心）当天可解除评审故障，则继续采用电子评标系统评标；若广州交易集团有限公司（广州公共资源交易中心）当天无法解除评审故障，则评标委员会依据电子投标文件对未完成的评标活动采用手动评审，提交包含已完成电子评审成果在内的纸质评标报告。评审故障以广州交易集团有限公司（广州公共资源交易中心）的认定为准。当广州交易集团有限公司（广州公共资源交易中心）的系统维护人员在评标室告知评标委员会当天无法解除评审故障后，评标委员会即可对未完成的评标活动启动手动评审。</w:t>
      </w:r>
    </w:p>
    <w:p w14:paraId="3543E70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5.2在电子评标过程中，无论遇到任何系统异常或故障，评标委员会均应出具评标报告。</w:t>
      </w:r>
    </w:p>
    <w:p w14:paraId="60B64FEE">
      <w:pPr>
        <w:pageBreakBefore/>
        <w:spacing w:line="360" w:lineRule="auto"/>
        <w:ind w:firstLine="452" w:firstLineChars="125"/>
        <w:jc w:val="left"/>
        <w:rPr>
          <w:rFonts w:hint="eastAsia" w:ascii="宋体" w:hAnsi="宋体" w:eastAsia="宋体" w:cs="宋体"/>
          <w:b/>
          <w:color w:val="auto"/>
          <w:sz w:val="36"/>
          <w:szCs w:val="36"/>
          <w:highlight w:val="none"/>
        </w:rPr>
        <w:sectPr>
          <w:footerReference r:id="rId6" w:type="default"/>
          <w:pgSz w:w="11906" w:h="16838"/>
          <w:pgMar w:top="1440" w:right="1797" w:bottom="1440" w:left="1797" w:header="851" w:footer="992" w:gutter="0"/>
          <w:pgNumType w:start="1"/>
          <w:cols w:space="720" w:num="1"/>
          <w:docGrid w:linePitch="312" w:charSpace="0"/>
        </w:sectPr>
      </w:pPr>
    </w:p>
    <w:p w14:paraId="4B1BA1F0">
      <w:pPr>
        <w:pageBreakBefore/>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平均值法评标基准价计算表（适用于随机抽取）</w:t>
      </w:r>
    </w:p>
    <w:p w14:paraId="1BC81695">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工程名称：                                                                                    最高投标限价：</w:t>
      </w:r>
      <w:r>
        <w:rPr>
          <w:rFonts w:hint="eastAsia" w:ascii="宋体" w:hAnsi="宋体" w:eastAsia="宋体" w:cs="宋体"/>
          <w:b/>
          <w:color w:val="auto"/>
          <w:szCs w:val="21"/>
          <w:highlight w:val="none"/>
          <w:u w:val="single"/>
        </w:rPr>
        <w:t xml:space="preserve">           </w:t>
      </w:r>
      <w:r>
        <w:rPr>
          <w:rFonts w:hint="eastAsia" w:ascii="宋体" w:hAnsi="宋体" w:eastAsia="宋体" w:cs="宋体"/>
          <w:b/>
          <w:color w:val="auto"/>
          <w:szCs w:val="21"/>
          <w:highlight w:val="none"/>
        </w:rPr>
        <w:t>元</w:t>
      </w:r>
    </w:p>
    <w:tbl>
      <w:tblPr>
        <w:tblStyle w:val="40"/>
        <w:tblW w:w="14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893"/>
        <w:gridCol w:w="1621"/>
        <w:gridCol w:w="745"/>
        <w:gridCol w:w="900"/>
        <w:gridCol w:w="1800"/>
        <w:gridCol w:w="1836"/>
        <w:gridCol w:w="5462"/>
      </w:tblGrid>
      <w:tr w14:paraId="6E91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29" w:type="dxa"/>
            <w:vMerge w:val="restart"/>
            <w:vAlign w:val="center"/>
          </w:tcPr>
          <w:p w14:paraId="7A2BF11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893" w:type="dxa"/>
            <w:vMerge w:val="restart"/>
            <w:vAlign w:val="center"/>
          </w:tcPr>
          <w:p w14:paraId="207C36E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tc>
        <w:tc>
          <w:tcPr>
            <w:tcW w:w="1621" w:type="dxa"/>
            <w:vMerge w:val="restart"/>
            <w:vAlign w:val="center"/>
          </w:tcPr>
          <w:p w14:paraId="317C993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投标价C</w:t>
            </w:r>
          </w:p>
        </w:tc>
        <w:tc>
          <w:tcPr>
            <w:tcW w:w="1645" w:type="dxa"/>
            <w:gridSpan w:val="2"/>
            <w:vAlign w:val="center"/>
          </w:tcPr>
          <w:p w14:paraId="39393C1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摇珠结果</w:t>
            </w:r>
          </w:p>
        </w:tc>
        <w:tc>
          <w:tcPr>
            <w:tcW w:w="1800" w:type="dxa"/>
            <w:vMerge w:val="restart"/>
            <w:vAlign w:val="center"/>
          </w:tcPr>
          <w:p w14:paraId="01FD569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是否参与基准价计算【去掉最低及最高】</w:t>
            </w:r>
          </w:p>
        </w:tc>
        <w:tc>
          <w:tcPr>
            <w:tcW w:w="1836" w:type="dxa"/>
            <w:vMerge w:val="restart"/>
            <w:vAlign w:val="center"/>
          </w:tcPr>
          <w:p w14:paraId="563ACCB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计算评标基准价的下浮率X</w:t>
            </w:r>
          </w:p>
        </w:tc>
        <w:tc>
          <w:tcPr>
            <w:tcW w:w="5462" w:type="dxa"/>
            <w:vMerge w:val="restart"/>
            <w:vAlign w:val="center"/>
          </w:tcPr>
          <w:p w14:paraId="139679A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评标基准价（元）</w:t>
            </w:r>
          </w:p>
        </w:tc>
      </w:tr>
      <w:tr w14:paraId="0A49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29" w:type="dxa"/>
            <w:vMerge w:val="continue"/>
            <w:vAlign w:val="center"/>
          </w:tcPr>
          <w:p w14:paraId="696A8F2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893" w:type="dxa"/>
            <w:vMerge w:val="continue"/>
            <w:vAlign w:val="center"/>
          </w:tcPr>
          <w:p w14:paraId="1376CDD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621" w:type="dxa"/>
            <w:vMerge w:val="continue"/>
            <w:vAlign w:val="center"/>
          </w:tcPr>
          <w:p w14:paraId="32D936E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745" w:type="dxa"/>
            <w:vAlign w:val="center"/>
          </w:tcPr>
          <w:p w14:paraId="68661E6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号球号码</w:t>
            </w:r>
          </w:p>
        </w:tc>
        <w:tc>
          <w:tcPr>
            <w:tcW w:w="900" w:type="dxa"/>
            <w:vAlign w:val="center"/>
          </w:tcPr>
          <w:p w14:paraId="3E6FAB3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是否被摇中</w:t>
            </w:r>
          </w:p>
        </w:tc>
        <w:tc>
          <w:tcPr>
            <w:tcW w:w="1800" w:type="dxa"/>
            <w:vMerge w:val="continue"/>
          </w:tcPr>
          <w:p w14:paraId="1F2EF71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836" w:type="dxa"/>
            <w:vMerge w:val="continue"/>
          </w:tcPr>
          <w:p w14:paraId="0162A75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62" w:type="dxa"/>
            <w:vMerge w:val="continue"/>
            <w:vAlign w:val="center"/>
          </w:tcPr>
          <w:p w14:paraId="00E8333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402E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14:paraId="251031C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93" w:type="dxa"/>
          </w:tcPr>
          <w:p w14:paraId="1C3E8EF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621" w:type="dxa"/>
          </w:tcPr>
          <w:p w14:paraId="44289AD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745" w:type="dxa"/>
            <w:vMerge w:val="restart"/>
          </w:tcPr>
          <w:p w14:paraId="032B6DB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900" w:type="dxa"/>
          </w:tcPr>
          <w:p w14:paraId="6B240CA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00" w:type="dxa"/>
          </w:tcPr>
          <w:p w14:paraId="157337F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36" w:type="dxa"/>
            <w:vMerge w:val="restart"/>
          </w:tcPr>
          <w:p w14:paraId="6FB0326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5462" w:type="dxa"/>
            <w:vMerge w:val="restart"/>
          </w:tcPr>
          <w:p w14:paraId="4D4C8A8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4891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14:paraId="24483B2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93" w:type="dxa"/>
          </w:tcPr>
          <w:p w14:paraId="08D52D8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621" w:type="dxa"/>
          </w:tcPr>
          <w:p w14:paraId="5D7EF0F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745" w:type="dxa"/>
            <w:vMerge w:val="continue"/>
          </w:tcPr>
          <w:p w14:paraId="25D6BDB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900" w:type="dxa"/>
          </w:tcPr>
          <w:p w14:paraId="2BA1AD7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00" w:type="dxa"/>
          </w:tcPr>
          <w:p w14:paraId="3ED710E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36" w:type="dxa"/>
            <w:vMerge w:val="continue"/>
          </w:tcPr>
          <w:p w14:paraId="5B83F47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5462" w:type="dxa"/>
            <w:vMerge w:val="continue"/>
          </w:tcPr>
          <w:p w14:paraId="648B804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2077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14:paraId="248E6D9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93" w:type="dxa"/>
          </w:tcPr>
          <w:p w14:paraId="396B2FC1">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621" w:type="dxa"/>
          </w:tcPr>
          <w:p w14:paraId="4A13517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745" w:type="dxa"/>
            <w:vMerge w:val="continue"/>
          </w:tcPr>
          <w:p w14:paraId="1D5746E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900" w:type="dxa"/>
          </w:tcPr>
          <w:p w14:paraId="7D49215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00" w:type="dxa"/>
          </w:tcPr>
          <w:p w14:paraId="3E23BDF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36" w:type="dxa"/>
            <w:vMerge w:val="continue"/>
          </w:tcPr>
          <w:p w14:paraId="5B189D3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5462" w:type="dxa"/>
            <w:vMerge w:val="continue"/>
          </w:tcPr>
          <w:p w14:paraId="2533794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1023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14:paraId="4892BE0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93" w:type="dxa"/>
          </w:tcPr>
          <w:p w14:paraId="40EE4BF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621" w:type="dxa"/>
          </w:tcPr>
          <w:p w14:paraId="1611F04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745" w:type="dxa"/>
            <w:vMerge w:val="continue"/>
          </w:tcPr>
          <w:p w14:paraId="690BBBF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900" w:type="dxa"/>
          </w:tcPr>
          <w:p w14:paraId="4F53643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00" w:type="dxa"/>
          </w:tcPr>
          <w:p w14:paraId="2F5B6DC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36" w:type="dxa"/>
            <w:vMerge w:val="continue"/>
          </w:tcPr>
          <w:p w14:paraId="26B9C6B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5462" w:type="dxa"/>
            <w:vMerge w:val="continue"/>
          </w:tcPr>
          <w:p w14:paraId="36CB490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7344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14:paraId="2EC59AF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93" w:type="dxa"/>
          </w:tcPr>
          <w:p w14:paraId="1F8F857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621" w:type="dxa"/>
          </w:tcPr>
          <w:p w14:paraId="2747501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745" w:type="dxa"/>
            <w:vMerge w:val="continue"/>
          </w:tcPr>
          <w:p w14:paraId="317EFF4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900" w:type="dxa"/>
          </w:tcPr>
          <w:p w14:paraId="1294838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00" w:type="dxa"/>
          </w:tcPr>
          <w:p w14:paraId="109A76B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36" w:type="dxa"/>
            <w:vMerge w:val="continue"/>
          </w:tcPr>
          <w:p w14:paraId="1A9B3FB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5462" w:type="dxa"/>
            <w:vMerge w:val="continue"/>
          </w:tcPr>
          <w:p w14:paraId="1244531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41CD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14:paraId="4CDD0DC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93" w:type="dxa"/>
          </w:tcPr>
          <w:p w14:paraId="190952E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621" w:type="dxa"/>
          </w:tcPr>
          <w:p w14:paraId="764173B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745" w:type="dxa"/>
            <w:vMerge w:val="continue"/>
          </w:tcPr>
          <w:p w14:paraId="6F01603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900" w:type="dxa"/>
          </w:tcPr>
          <w:p w14:paraId="22BD078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00" w:type="dxa"/>
          </w:tcPr>
          <w:p w14:paraId="19F0023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36" w:type="dxa"/>
            <w:vMerge w:val="continue"/>
          </w:tcPr>
          <w:p w14:paraId="18B75A2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5462" w:type="dxa"/>
            <w:vMerge w:val="continue"/>
          </w:tcPr>
          <w:p w14:paraId="67DD912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1877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14:paraId="6275AED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93" w:type="dxa"/>
          </w:tcPr>
          <w:p w14:paraId="7255BCB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621" w:type="dxa"/>
          </w:tcPr>
          <w:p w14:paraId="2C2D0A5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745" w:type="dxa"/>
            <w:vMerge w:val="continue"/>
          </w:tcPr>
          <w:p w14:paraId="46DCFC2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900" w:type="dxa"/>
          </w:tcPr>
          <w:p w14:paraId="25246101">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00" w:type="dxa"/>
          </w:tcPr>
          <w:p w14:paraId="0243D79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36" w:type="dxa"/>
            <w:vMerge w:val="continue"/>
          </w:tcPr>
          <w:p w14:paraId="2A5C573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5462" w:type="dxa"/>
            <w:vMerge w:val="continue"/>
          </w:tcPr>
          <w:p w14:paraId="65008DA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77BA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14:paraId="45D7914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93" w:type="dxa"/>
          </w:tcPr>
          <w:p w14:paraId="088D61D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621" w:type="dxa"/>
          </w:tcPr>
          <w:p w14:paraId="7D7FD49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745" w:type="dxa"/>
            <w:vMerge w:val="continue"/>
          </w:tcPr>
          <w:p w14:paraId="6B0300B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900" w:type="dxa"/>
          </w:tcPr>
          <w:p w14:paraId="3F05794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00" w:type="dxa"/>
          </w:tcPr>
          <w:p w14:paraId="5EFEB29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1836" w:type="dxa"/>
            <w:vMerge w:val="continue"/>
          </w:tcPr>
          <w:p w14:paraId="3E3FAD6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5462" w:type="dxa"/>
            <w:vMerge w:val="continue"/>
          </w:tcPr>
          <w:p w14:paraId="70BA29C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bl>
    <w:p w14:paraId="1762A047">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注：</w:t>
      </w:r>
      <w:r>
        <w:rPr>
          <w:rFonts w:hint="eastAsia" w:ascii="宋体" w:hAnsi="宋体" w:eastAsia="宋体" w:cs="宋体"/>
          <w:b/>
          <w:color w:val="auto"/>
          <w:szCs w:val="21"/>
          <w:highlight w:val="none"/>
        </w:rPr>
        <w:t>1.该表格适用于以有效投标价为基础计算并根据抽取的计算评标基准价的下浮率下浮后确定评标基准价。</w:t>
      </w:r>
    </w:p>
    <w:p w14:paraId="2EC0128C">
      <w:pPr>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
          <w:color w:val="auto"/>
          <w:szCs w:val="21"/>
          <w:highlight w:val="none"/>
        </w:rPr>
        <w:t>使用此表时，对于已经确定为无效报价的，不得在本计算表中列出。投标单位的序号按开标时的顺序从小到大排列。</w:t>
      </w:r>
    </w:p>
    <w:p w14:paraId="7E8E5BF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评标委员会全体评委签名：</w:t>
      </w:r>
    </w:p>
    <w:p w14:paraId="460642FF">
      <w:pPr>
        <w:ind w:right="-722" w:rightChars="-344"/>
        <w:rPr>
          <w:rFonts w:hint="eastAsia" w:ascii="宋体" w:hAnsi="宋体" w:eastAsia="宋体" w:cs="宋体"/>
          <w:color w:val="auto"/>
          <w:kern w:val="0"/>
          <w:highlight w:val="none"/>
        </w:rPr>
      </w:pPr>
      <w:r>
        <w:rPr>
          <w:rFonts w:hint="eastAsia" w:ascii="宋体" w:hAnsi="宋体" w:eastAsia="宋体" w:cs="宋体"/>
          <w:color w:val="auto"/>
          <w:szCs w:val="21"/>
          <w:highlight w:val="none"/>
        </w:rPr>
        <w:t xml:space="preserve">招标代理记录：            监督人：           见证人:            </w:t>
      </w:r>
      <w:r>
        <w:rPr>
          <w:rFonts w:hint="eastAsia" w:ascii="宋体" w:hAnsi="宋体" w:eastAsia="宋体" w:cs="宋体"/>
          <w:color w:val="auto"/>
          <w:kern w:val="0"/>
          <w:highlight w:val="none"/>
        </w:rPr>
        <w:t>日期：   年   月  日</w:t>
      </w:r>
      <w:bookmarkStart w:id="171" w:name="_Toc262229174"/>
    </w:p>
    <w:p w14:paraId="256BD6EA">
      <w:pPr>
        <w:rPr>
          <w:rFonts w:hint="eastAsia" w:ascii="宋体" w:hAnsi="宋体" w:eastAsia="宋体" w:cs="宋体"/>
          <w:color w:val="auto"/>
          <w:sz w:val="32"/>
          <w:szCs w:val="27"/>
          <w:highlight w:val="none"/>
        </w:rPr>
        <w:sectPr>
          <w:pgSz w:w="16838" w:h="11906" w:orient="landscape"/>
          <w:pgMar w:top="1797" w:right="1440" w:bottom="1797" w:left="1440" w:header="851" w:footer="992" w:gutter="0"/>
          <w:cols w:space="720" w:num="1"/>
          <w:docGrid w:linePitch="312" w:charSpace="0"/>
        </w:sectPr>
      </w:pPr>
    </w:p>
    <w:p w14:paraId="6823B302">
      <w:pPr>
        <w:spacing w:line="360" w:lineRule="auto"/>
        <w:jc w:val="center"/>
        <w:rPr>
          <w:rFonts w:hint="eastAsia" w:ascii="宋体" w:hAnsi="宋体" w:eastAsia="宋体" w:cs="宋体"/>
          <w:b/>
          <w:strike/>
          <w:color w:val="auto"/>
          <w:sz w:val="36"/>
          <w:szCs w:val="36"/>
          <w:highlight w:val="none"/>
        </w:rPr>
      </w:pPr>
      <w:r>
        <w:rPr>
          <w:rFonts w:hint="eastAsia" w:ascii="宋体" w:hAnsi="宋体" w:eastAsia="宋体" w:cs="宋体"/>
          <w:b/>
          <w:strike/>
          <w:color w:val="auto"/>
          <w:sz w:val="36"/>
          <w:szCs w:val="36"/>
          <w:highlight w:val="none"/>
        </w:rPr>
        <w:t>诚信评价分表</w:t>
      </w:r>
    </w:p>
    <w:p w14:paraId="2BB96C12">
      <w:pPr>
        <w:spacing w:line="360" w:lineRule="auto"/>
        <w:ind w:firstLine="826" w:firstLineChars="392"/>
        <w:rPr>
          <w:rFonts w:hint="eastAsia" w:ascii="宋体" w:hAnsi="宋体" w:eastAsia="宋体" w:cs="宋体"/>
          <w:b/>
          <w:strike/>
          <w:color w:val="auto"/>
          <w:szCs w:val="21"/>
          <w:highlight w:val="none"/>
        </w:rPr>
      </w:pPr>
      <w:r>
        <w:rPr>
          <w:rFonts w:hint="eastAsia" w:ascii="宋体" w:hAnsi="宋体" w:eastAsia="宋体" w:cs="宋体"/>
          <w:b/>
          <w:strike/>
          <w:color w:val="auto"/>
          <w:szCs w:val="21"/>
          <w:highlight w:val="none"/>
        </w:rPr>
        <w:t>工程名称：</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932"/>
        <w:gridCol w:w="887"/>
        <w:gridCol w:w="5112"/>
      </w:tblGrid>
      <w:tr w14:paraId="6AF8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0" w:type="pct"/>
            <w:vAlign w:val="center"/>
          </w:tcPr>
          <w:p w14:paraId="3FD753BE">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序号</w:t>
            </w:r>
          </w:p>
        </w:tc>
        <w:tc>
          <w:tcPr>
            <w:tcW w:w="1133" w:type="pct"/>
            <w:vAlign w:val="center"/>
          </w:tcPr>
          <w:p w14:paraId="4E19194F">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投标单位</w:t>
            </w:r>
          </w:p>
        </w:tc>
        <w:tc>
          <w:tcPr>
            <w:tcW w:w="520" w:type="pct"/>
            <w:vAlign w:val="center"/>
          </w:tcPr>
          <w:p w14:paraId="57FCB9E4">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诚信类别</w:t>
            </w:r>
          </w:p>
        </w:tc>
        <w:tc>
          <w:tcPr>
            <w:tcW w:w="2998" w:type="pct"/>
            <w:vAlign w:val="center"/>
          </w:tcPr>
          <w:p w14:paraId="63607F69">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诚信评价分</w:t>
            </w:r>
          </w:p>
        </w:tc>
      </w:tr>
      <w:tr w14:paraId="5F5B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5A65E301">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1</w:t>
            </w:r>
          </w:p>
        </w:tc>
        <w:tc>
          <w:tcPr>
            <w:tcW w:w="1133" w:type="pct"/>
          </w:tcPr>
          <w:p w14:paraId="324601B3">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restart"/>
            <w:vAlign w:val="center"/>
          </w:tcPr>
          <w:p w14:paraId="6D091678">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施工-给排水</w:t>
            </w:r>
          </w:p>
        </w:tc>
        <w:tc>
          <w:tcPr>
            <w:tcW w:w="2998" w:type="pct"/>
          </w:tcPr>
          <w:p w14:paraId="1FEFEEE1">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63E4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26CE1533">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2</w:t>
            </w:r>
          </w:p>
        </w:tc>
        <w:tc>
          <w:tcPr>
            <w:tcW w:w="1133" w:type="pct"/>
          </w:tcPr>
          <w:p w14:paraId="6BFA07E4">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787748AF">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p>
        </w:tc>
        <w:tc>
          <w:tcPr>
            <w:tcW w:w="2998" w:type="pct"/>
          </w:tcPr>
          <w:p w14:paraId="46E807D2">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59DE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26511EFA">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3</w:t>
            </w:r>
          </w:p>
        </w:tc>
        <w:tc>
          <w:tcPr>
            <w:tcW w:w="1133" w:type="pct"/>
          </w:tcPr>
          <w:p w14:paraId="209C8394">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4E1D187B">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p>
        </w:tc>
        <w:tc>
          <w:tcPr>
            <w:tcW w:w="2998" w:type="pct"/>
          </w:tcPr>
          <w:p w14:paraId="3DB0C516">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35CC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5E6C50BE">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4</w:t>
            </w:r>
          </w:p>
        </w:tc>
        <w:tc>
          <w:tcPr>
            <w:tcW w:w="1133" w:type="pct"/>
          </w:tcPr>
          <w:p w14:paraId="6C5BA919">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55EF4FF7">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p>
        </w:tc>
        <w:tc>
          <w:tcPr>
            <w:tcW w:w="2998" w:type="pct"/>
          </w:tcPr>
          <w:p w14:paraId="60A0FF88">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241E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57153818">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5</w:t>
            </w:r>
          </w:p>
        </w:tc>
        <w:tc>
          <w:tcPr>
            <w:tcW w:w="1133" w:type="pct"/>
          </w:tcPr>
          <w:p w14:paraId="2BFA237A">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1DC60079">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p>
        </w:tc>
        <w:tc>
          <w:tcPr>
            <w:tcW w:w="2998" w:type="pct"/>
          </w:tcPr>
          <w:p w14:paraId="3B8060F5">
            <w:pPr>
              <w:keepNext w:val="0"/>
              <w:keepLines w:val="0"/>
              <w:widowControl/>
              <w:suppressLineNumbers w:val="0"/>
              <w:spacing w:before="0" w:beforeAutospacing="0" w:after="0" w:afterAutospacing="0"/>
              <w:ind w:left="0" w:right="0"/>
              <w:jc w:val="left"/>
              <w:rPr>
                <w:rFonts w:hint="eastAsia" w:ascii="宋体" w:hAnsi="宋体" w:eastAsia="宋体" w:cs="宋体"/>
                <w:strike/>
                <w:color w:val="auto"/>
                <w:szCs w:val="21"/>
                <w:highlight w:val="none"/>
              </w:rPr>
            </w:pPr>
          </w:p>
          <w:p w14:paraId="0DA6FE10">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p>
        </w:tc>
      </w:tr>
      <w:tr w14:paraId="0E4E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7FE4076A">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6</w:t>
            </w:r>
          </w:p>
        </w:tc>
        <w:tc>
          <w:tcPr>
            <w:tcW w:w="1133" w:type="pct"/>
          </w:tcPr>
          <w:p w14:paraId="30487FC6">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6DDC2417">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2998" w:type="pct"/>
          </w:tcPr>
          <w:p w14:paraId="6A53D858">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37D9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2E5BF582">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7</w:t>
            </w:r>
          </w:p>
        </w:tc>
        <w:tc>
          <w:tcPr>
            <w:tcW w:w="1133" w:type="pct"/>
          </w:tcPr>
          <w:p w14:paraId="2337DEA5">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15A74C4D">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2998" w:type="pct"/>
          </w:tcPr>
          <w:p w14:paraId="78CAAE3A">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7BD7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4729A23C">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8</w:t>
            </w:r>
          </w:p>
        </w:tc>
        <w:tc>
          <w:tcPr>
            <w:tcW w:w="1133" w:type="pct"/>
          </w:tcPr>
          <w:p w14:paraId="318C16C1">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6C2CFAEC">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2998" w:type="pct"/>
          </w:tcPr>
          <w:p w14:paraId="75AF9D5B">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22F0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086346F6">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r>
              <w:rPr>
                <w:rFonts w:hint="eastAsia" w:ascii="宋体" w:hAnsi="宋体" w:eastAsia="宋体" w:cs="宋体"/>
                <w:strike/>
                <w:color w:val="auto"/>
                <w:szCs w:val="21"/>
                <w:highlight w:val="none"/>
              </w:rPr>
              <w:t>9</w:t>
            </w:r>
          </w:p>
        </w:tc>
        <w:tc>
          <w:tcPr>
            <w:tcW w:w="1133" w:type="pct"/>
          </w:tcPr>
          <w:p w14:paraId="57A685AE">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746F59A7">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2998" w:type="pct"/>
          </w:tcPr>
          <w:p w14:paraId="311AACF0">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5A87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3E4F1D71">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p>
        </w:tc>
        <w:tc>
          <w:tcPr>
            <w:tcW w:w="1133" w:type="pct"/>
          </w:tcPr>
          <w:p w14:paraId="2AE220B8">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1A77E04B">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2998" w:type="pct"/>
          </w:tcPr>
          <w:p w14:paraId="7F54AFDA">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5D05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6EB0ECB4">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p>
        </w:tc>
        <w:tc>
          <w:tcPr>
            <w:tcW w:w="1133" w:type="pct"/>
          </w:tcPr>
          <w:p w14:paraId="6445EC7E">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20DA1693">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2998" w:type="pct"/>
          </w:tcPr>
          <w:p w14:paraId="318001E2">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r w14:paraId="2ABD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50" w:type="pct"/>
            <w:vAlign w:val="center"/>
          </w:tcPr>
          <w:p w14:paraId="3EF92753">
            <w:pPr>
              <w:keepNext w:val="0"/>
              <w:keepLines w:val="0"/>
              <w:suppressLineNumbers w:val="0"/>
              <w:spacing w:before="0" w:beforeAutospacing="0" w:after="0" w:afterAutospacing="0"/>
              <w:ind w:left="0" w:right="0"/>
              <w:jc w:val="center"/>
              <w:rPr>
                <w:rFonts w:hint="eastAsia" w:ascii="宋体" w:hAnsi="宋体" w:eastAsia="宋体" w:cs="宋体"/>
                <w:strike/>
                <w:color w:val="auto"/>
                <w:szCs w:val="21"/>
                <w:highlight w:val="none"/>
              </w:rPr>
            </w:pPr>
          </w:p>
        </w:tc>
        <w:tc>
          <w:tcPr>
            <w:tcW w:w="1133" w:type="pct"/>
          </w:tcPr>
          <w:p w14:paraId="6EACF7F1">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520" w:type="pct"/>
            <w:vMerge w:val="continue"/>
          </w:tcPr>
          <w:p w14:paraId="31FEB9B2">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c>
          <w:tcPr>
            <w:tcW w:w="2998" w:type="pct"/>
          </w:tcPr>
          <w:p w14:paraId="01649DBF">
            <w:pPr>
              <w:keepNext w:val="0"/>
              <w:keepLines w:val="0"/>
              <w:suppressLineNumbers w:val="0"/>
              <w:spacing w:before="0" w:beforeAutospacing="0" w:after="0" w:afterAutospacing="0"/>
              <w:ind w:left="0" w:right="0"/>
              <w:rPr>
                <w:rFonts w:hint="eastAsia" w:ascii="宋体" w:hAnsi="宋体" w:eastAsia="宋体" w:cs="宋体"/>
                <w:strike/>
                <w:color w:val="auto"/>
                <w:szCs w:val="21"/>
                <w:highlight w:val="none"/>
              </w:rPr>
            </w:pPr>
          </w:p>
        </w:tc>
      </w:tr>
    </w:tbl>
    <w:p w14:paraId="67D1022E">
      <w:pPr>
        <w:spacing w:line="360" w:lineRule="auto"/>
        <w:rPr>
          <w:rFonts w:hint="eastAsia" w:ascii="宋体" w:hAnsi="宋体" w:eastAsia="宋体" w:cs="宋体"/>
          <w:b/>
          <w:strike/>
          <w:color w:val="auto"/>
          <w:sz w:val="24"/>
          <w:szCs w:val="24"/>
          <w:highlight w:val="none"/>
        </w:rPr>
      </w:pPr>
      <w:r>
        <w:rPr>
          <w:rFonts w:hint="eastAsia" w:ascii="宋体" w:hAnsi="宋体" w:eastAsia="宋体" w:cs="宋体"/>
          <w:strike/>
          <w:color w:val="auto"/>
          <w:szCs w:val="21"/>
          <w:highlight w:val="none"/>
        </w:rPr>
        <w:t xml:space="preserve">评标委员会全体评委签名：                              </w:t>
      </w:r>
      <w:r>
        <w:rPr>
          <w:rFonts w:hint="eastAsia" w:ascii="宋体" w:hAnsi="宋体" w:eastAsia="宋体" w:cs="宋体"/>
          <w:strike/>
          <w:color w:val="auto"/>
          <w:kern w:val="0"/>
          <w:highlight w:val="none"/>
        </w:rPr>
        <w:t>日期：   年   月  日</w:t>
      </w:r>
    </w:p>
    <w:p w14:paraId="6FE9D8C8">
      <w:pPr>
        <w:spacing w:line="360" w:lineRule="auto"/>
        <w:jc w:val="center"/>
        <w:rPr>
          <w:rFonts w:hint="eastAsia" w:ascii="宋体" w:hAnsi="宋体" w:eastAsia="宋体" w:cs="宋体"/>
          <w:b/>
          <w:color w:val="auto"/>
          <w:sz w:val="36"/>
          <w:szCs w:val="36"/>
          <w:highlight w:val="none"/>
        </w:rPr>
      </w:pPr>
    </w:p>
    <w:p w14:paraId="73E0016B">
      <w:pPr>
        <w:pageBreakBefore/>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总得分及排序表</w:t>
      </w:r>
    </w:p>
    <w:p w14:paraId="7616710C">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工程名称：</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1496"/>
        <w:gridCol w:w="1110"/>
        <w:gridCol w:w="1173"/>
        <w:gridCol w:w="756"/>
        <w:gridCol w:w="774"/>
        <w:gridCol w:w="687"/>
        <w:gridCol w:w="687"/>
        <w:gridCol w:w="688"/>
        <w:gridCol w:w="685"/>
      </w:tblGrid>
      <w:tr w14:paraId="0843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6C73A39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877" w:type="pct"/>
            <w:vAlign w:val="center"/>
          </w:tcPr>
          <w:p w14:paraId="5D49523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tc>
        <w:tc>
          <w:tcPr>
            <w:tcW w:w="651" w:type="pct"/>
            <w:vAlign w:val="center"/>
          </w:tcPr>
          <w:p w14:paraId="19B59DA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投标价C（元）</w:t>
            </w:r>
          </w:p>
        </w:tc>
        <w:tc>
          <w:tcPr>
            <w:tcW w:w="688" w:type="pct"/>
            <w:vAlign w:val="center"/>
          </w:tcPr>
          <w:p w14:paraId="4D09A88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评标基准价（元）</w:t>
            </w:r>
          </w:p>
        </w:tc>
        <w:tc>
          <w:tcPr>
            <w:tcW w:w="443" w:type="pct"/>
            <w:vAlign w:val="center"/>
          </w:tcPr>
          <w:p w14:paraId="35D485A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偏差</w:t>
            </w:r>
          </w:p>
        </w:tc>
        <w:tc>
          <w:tcPr>
            <w:tcW w:w="454" w:type="pct"/>
            <w:vAlign w:val="center"/>
          </w:tcPr>
          <w:p w14:paraId="6CC4BAD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技术部分得分</w:t>
            </w:r>
          </w:p>
        </w:tc>
        <w:tc>
          <w:tcPr>
            <w:tcW w:w="403" w:type="pct"/>
          </w:tcPr>
          <w:p w14:paraId="0DE31B8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商务部分得分</w:t>
            </w:r>
          </w:p>
        </w:tc>
        <w:tc>
          <w:tcPr>
            <w:tcW w:w="403" w:type="pct"/>
            <w:vAlign w:val="center"/>
          </w:tcPr>
          <w:p w14:paraId="5FF9B39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投标报价分</w:t>
            </w:r>
          </w:p>
        </w:tc>
        <w:tc>
          <w:tcPr>
            <w:tcW w:w="403" w:type="pct"/>
            <w:vAlign w:val="center"/>
          </w:tcPr>
          <w:p w14:paraId="3D909B6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总得分</w:t>
            </w:r>
          </w:p>
        </w:tc>
        <w:tc>
          <w:tcPr>
            <w:tcW w:w="403" w:type="pct"/>
            <w:vAlign w:val="center"/>
          </w:tcPr>
          <w:p w14:paraId="47E57D9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排序</w:t>
            </w:r>
          </w:p>
        </w:tc>
      </w:tr>
      <w:tr w14:paraId="24E1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2091484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094B0C4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7FFAECC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restart"/>
          </w:tcPr>
          <w:p w14:paraId="2446410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0E9D1B6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34B2794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0C09967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0C99F691">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043345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B6C272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2446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04F2E5A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12CF23C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33FF09E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1B5132F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0C1466B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6F608CE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04C3B3C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4C0F215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7B73A5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0E2735C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281A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6E46082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32AEBA4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1BE8EC2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270CB3A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282E458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2F239F0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077CEFB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3BC9851">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D88352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922F8F1">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70BC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4E478EE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0EC0974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3BC3661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4A12755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183F70F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5FB2F5C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F1F362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0598BBE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08C062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7164DEE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7989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7CA7A071">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31377DA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450F21F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034AF33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517C9DA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5021EB2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4D793EA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2B691C7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B26B92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87B64F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57E6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75BD579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0E6536D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3EF5470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693BC2F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33D1ED7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5825F26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76C597D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17C9D7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2D1313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2CEB85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422D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091FFBF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2CFB9C9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1FD3EC6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087976E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344B803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6C9AE5F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47FFA25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915049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4950151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11E6392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1F8B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78D1B3E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04CD883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75EB994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78A8E02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7CD83F3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3CF55A6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2C6F705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225F1AA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ACDF5B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6D403E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5874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215E908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540E304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1F03CBE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0F1F5F6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316D807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28CCBEF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0D10AB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3FB8E21">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7646DCF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939910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70EC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72CE73A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329C687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3043651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0401703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694AA3E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5177364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B8F805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20D8E9B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159853C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8C039D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4A02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7B991EB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721AA21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7C5F8A9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348A289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14F3F8B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79A8FF2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0F312E6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53E341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4278EA7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41904E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5750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4986F8A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7DE6B1F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457198C6">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6FCD316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2915B14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423C46C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48F141E1">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4DDE32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473E01E">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1C04032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34F2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0D21011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3D7BCA9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6A5A7BA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5BD27F90">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6164116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7443058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440D1FC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404E64E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1C114DC">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155B43F8">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4AA6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7382873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79F56C9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2C03707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4F520FD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15C4F5E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4AC7728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79DE6AD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1587A4B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16357B5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AD435F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3E33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48091BB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2D9FF1A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46546B02">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71FE3D3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6EB9F4D9">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1BEE4FC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E354DC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372E845">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585D77E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05AE625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r w14:paraId="38FE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tcPr>
          <w:p w14:paraId="48999A67">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877" w:type="pct"/>
          </w:tcPr>
          <w:p w14:paraId="09A430D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51" w:type="pct"/>
          </w:tcPr>
          <w:p w14:paraId="28B97984">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688" w:type="pct"/>
            <w:vMerge w:val="continue"/>
          </w:tcPr>
          <w:p w14:paraId="249BFE5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43" w:type="pct"/>
          </w:tcPr>
          <w:p w14:paraId="51EACD43">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54" w:type="pct"/>
          </w:tcPr>
          <w:p w14:paraId="188CE3CA">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61E17FD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B81E71F">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3A855A6B">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c>
          <w:tcPr>
            <w:tcW w:w="403" w:type="pct"/>
          </w:tcPr>
          <w:p w14:paraId="14E9A86D">
            <w:pPr>
              <w:keepNext w:val="0"/>
              <w:keepLines w:val="0"/>
              <w:suppressLineNumbers w:val="0"/>
              <w:spacing w:before="0" w:beforeAutospacing="0" w:after="0" w:afterAutospacing="0" w:line="560" w:lineRule="exact"/>
              <w:ind w:left="0" w:right="0"/>
              <w:rPr>
                <w:rFonts w:hint="eastAsia" w:ascii="宋体" w:hAnsi="宋体" w:eastAsia="宋体" w:cs="宋体"/>
                <w:color w:val="auto"/>
                <w:szCs w:val="21"/>
                <w:highlight w:val="none"/>
              </w:rPr>
            </w:pPr>
          </w:p>
        </w:tc>
      </w:tr>
    </w:tbl>
    <w:p w14:paraId="3EFA2E0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评标委员会全体评委签名：                              </w:t>
      </w:r>
      <w:r>
        <w:rPr>
          <w:rFonts w:hint="eastAsia" w:ascii="宋体" w:hAnsi="宋体" w:eastAsia="宋体" w:cs="宋体"/>
          <w:color w:val="auto"/>
          <w:kern w:val="0"/>
          <w:highlight w:val="none"/>
        </w:rPr>
        <w:t>日期：   年   月  日</w:t>
      </w:r>
    </w:p>
    <w:p w14:paraId="20F58283">
      <w:pPr>
        <w:rPr>
          <w:rFonts w:hint="eastAsia" w:ascii="宋体" w:hAnsi="宋体" w:eastAsia="宋体" w:cs="宋体"/>
          <w:color w:val="auto"/>
          <w:highlight w:val="none"/>
        </w:rPr>
      </w:pPr>
    </w:p>
    <w:p w14:paraId="41435C29">
      <w:pPr>
        <w:rPr>
          <w:rFonts w:hint="eastAsia" w:ascii="宋体" w:hAnsi="宋体" w:eastAsia="宋体" w:cs="宋体"/>
          <w:color w:val="auto"/>
          <w:sz w:val="32"/>
          <w:szCs w:val="27"/>
          <w:highlight w:val="none"/>
        </w:rPr>
      </w:pPr>
    </w:p>
    <w:p w14:paraId="44DC122F">
      <w:pPr>
        <w:pageBreakBefore/>
        <w:spacing w:line="360" w:lineRule="auto"/>
        <w:jc w:val="center"/>
        <w:outlineLvl w:val="1"/>
        <w:rPr>
          <w:rFonts w:hint="eastAsia" w:ascii="宋体" w:hAnsi="宋体" w:eastAsia="宋体" w:cs="宋体"/>
          <w:color w:val="auto"/>
          <w:sz w:val="32"/>
          <w:szCs w:val="27"/>
          <w:highlight w:val="none"/>
        </w:rPr>
        <w:sectPr>
          <w:pgSz w:w="11906" w:h="16838"/>
          <w:pgMar w:top="1440" w:right="1797" w:bottom="1440" w:left="1797" w:header="851" w:footer="992" w:gutter="0"/>
          <w:cols w:space="720" w:num="1"/>
          <w:docGrid w:linePitch="312" w:charSpace="0"/>
        </w:sectPr>
      </w:pPr>
    </w:p>
    <w:p w14:paraId="561EED89">
      <w:pPr>
        <w:widowControl/>
        <w:jc w:val="left"/>
        <w:rPr>
          <w:rFonts w:hint="eastAsia" w:ascii="宋体" w:hAnsi="宋体" w:eastAsia="宋体" w:cs="宋体"/>
          <w:color w:val="auto"/>
          <w:highlight w:val="none"/>
        </w:rPr>
      </w:pPr>
      <w:bookmarkStart w:id="172" w:name="_Toc17556890"/>
      <w:bookmarkStart w:id="173" w:name="_Toc17451115"/>
      <w:bookmarkStart w:id="174" w:name="_Toc17451592"/>
      <w:bookmarkStart w:id="175" w:name="_Toc17452678"/>
      <w:bookmarkStart w:id="176" w:name="_Toc17451637"/>
      <w:bookmarkStart w:id="177" w:name="_Toc17454885"/>
      <w:bookmarkStart w:id="178" w:name="_Toc17454936"/>
    </w:p>
    <w:p w14:paraId="2D30CC95">
      <w:pPr>
        <w:pStyle w:val="4"/>
        <w:rPr>
          <w:rFonts w:hint="eastAsia" w:ascii="宋体" w:hAnsi="宋体" w:eastAsia="宋体" w:cs="宋体"/>
          <w:color w:val="auto"/>
          <w:highlight w:val="none"/>
        </w:rPr>
      </w:pPr>
      <w:bookmarkStart w:id="179" w:name="_Toc11927"/>
      <w:r>
        <w:rPr>
          <w:rFonts w:hint="eastAsia" w:ascii="宋体" w:hAnsi="宋体" w:eastAsia="宋体" w:cs="宋体"/>
          <w:color w:val="auto"/>
          <w:highlight w:val="none"/>
        </w:rPr>
        <w:t>第四章 合同条款</w:t>
      </w:r>
      <w:bookmarkEnd w:id="171"/>
      <w:bookmarkEnd w:id="172"/>
      <w:bookmarkEnd w:id="173"/>
      <w:bookmarkEnd w:id="174"/>
      <w:bookmarkEnd w:id="175"/>
      <w:bookmarkEnd w:id="176"/>
      <w:bookmarkEnd w:id="177"/>
      <w:bookmarkEnd w:id="178"/>
      <w:bookmarkEnd w:id="179"/>
    </w:p>
    <w:p w14:paraId="159518CC">
      <w:pPr>
        <w:keepNext w:val="0"/>
        <w:keepLines w:val="0"/>
        <w:widowControl w:val="0"/>
        <w:suppressLineNumbers w:val="0"/>
        <w:spacing w:before="0" w:beforeAutospacing="0" w:after="0" w:afterAutospacing="0"/>
        <w:ind w:left="0" w:right="0" w:firstLine="8960" w:firstLineChars="3200"/>
        <w:jc w:val="both"/>
        <w:rPr>
          <w:rFonts w:hint="eastAsia" w:ascii="宋体" w:hAnsi="宋体" w:eastAsia="宋体" w:cs="宋体"/>
          <w:bCs/>
          <w:color w:val="auto"/>
          <w:kern w:val="2"/>
          <w:sz w:val="28"/>
          <w:szCs w:val="28"/>
          <w:highlight w:val="none"/>
        </w:rPr>
      </w:pPr>
      <w:bookmarkStart w:id="180" w:name="_Toc259524404"/>
      <w:bookmarkStart w:id="181" w:name="_Toc221948392"/>
      <w:bookmarkStart w:id="182" w:name="_Toc222029576"/>
      <w:bookmarkStart w:id="183" w:name="_Toc222033927"/>
      <w:bookmarkStart w:id="184" w:name="_Toc222031078"/>
      <w:bookmarkStart w:id="185" w:name="_Toc222032745"/>
      <w:bookmarkStart w:id="186" w:name="_Toc221952224"/>
      <w:bookmarkStart w:id="187" w:name="_Toc229305436"/>
    </w:p>
    <w:p w14:paraId="0576F9FD">
      <w:pPr>
        <w:ind w:firstLine="8960" w:firstLineChars="3200"/>
        <w:rPr>
          <w:rFonts w:hint="eastAsia" w:ascii="仿宋_GB2312" w:hAnsi="仿宋_GB2312" w:eastAsia="宋体" w:cs="仿宋_GB2312"/>
          <w:bCs/>
          <w:sz w:val="28"/>
          <w:szCs w:val="28"/>
          <w:highlight w:val="none"/>
          <w:lang w:val="en-US" w:eastAsia="zh-CN"/>
        </w:rPr>
      </w:pPr>
      <w:r>
        <w:rPr>
          <w:rFonts w:hint="eastAsia" w:ascii="宋体" w:hAnsi="宋体" w:eastAsia="宋体" w:cs="宋体"/>
          <w:bCs/>
          <w:color w:val="auto"/>
          <w:kern w:val="2"/>
          <w:sz w:val="28"/>
          <w:szCs w:val="28"/>
          <w:highlight w:val="none"/>
          <w:lang w:val="en-US" w:eastAsia="zh-CN" w:bidi="ar"/>
        </w:rPr>
        <w:t xml:space="preserve"> </w:t>
      </w:r>
    </w:p>
    <w:p w14:paraId="7413E6E1">
      <w:pPr>
        <w:rPr>
          <w:rFonts w:ascii="仿宋_GB2312" w:hAnsi="仿宋_GB2312" w:eastAsia="仿宋_GB2312" w:cs="仿宋_GB2312"/>
          <w:bCs/>
          <w:sz w:val="28"/>
          <w:szCs w:val="28"/>
          <w:highlight w:val="none"/>
        </w:rPr>
      </w:pPr>
    </w:p>
    <w:p w14:paraId="3587229F">
      <w:pPr>
        <w:spacing w:line="400" w:lineRule="atLeast"/>
        <w:rPr>
          <w:rFonts w:ascii="Cambria" w:hAnsi="Cambria" w:eastAsia="仿宋_GB2312" w:cs="仿宋_GB2312"/>
          <w:color w:val="auto"/>
          <w:sz w:val="52"/>
          <w:szCs w:val="52"/>
          <w:highlight w:val="none"/>
        </w:rPr>
      </w:pPr>
    </w:p>
    <w:p w14:paraId="3ED3F2F4">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14:paraId="2EBB2147">
      <w:pPr>
        <w:spacing w:line="400" w:lineRule="atLeast"/>
        <w:jc w:val="center"/>
        <w:rPr>
          <w:rFonts w:ascii="Cambria" w:hAnsi="Cambria" w:eastAsia="宋体"/>
          <w:b/>
          <w:bCs/>
          <w:color w:val="auto"/>
          <w:sz w:val="52"/>
          <w:szCs w:val="52"/>
          <w:highlight w:val="none"/>
        </w:rPr>
      </w:pPr>
      <w:r>
        <w:rPr>
          <w:rFonts w:hint="eastAsia" w:ascii="宋体" w:hAnsi="宋体" w:cs="宋体"/>
          <w:b/>
          <w:bCs/>
          <w:color w:val="auto"/>
          <w:sz w:val="48"/>
          <w:szCs w:val="48"/>
          <w:highlight w:val="none"/>
        </w:rPr>
        <w:t>技改项目合同</w:t>
      </w:r>
    </w:p>
    <w:p w14:paraId="54812D3D">
      <w:pPr>
        <w:spacing w:line="400" w:lineRule="atLeast"/>
        <w:jc w:val="center"/>
        <w:rPr>
          <w:rFonts w:ascii="宋体" w:hAnsi="宋体"/>
          <w:b/>
          <w:color w:val="auto"/>
          <w:sz w:val="28"/>
          <w:szCs w:val="24"/>
          <w:highlight w:val="none"/>
        </w:rPr>
      </w:pPr>
    </w:p>
    <w:p w14:paraId="24C5F1BF">
      <w:pPr>
        <w:spacing w:line="400" w:lineRule="atLeast"/>
        <w:jc w:val="center"/>
        <w:rPr>
          <w:rFonts w:ascii="宋体" w:hAnsi="宋体"/>
          <w:b/>
          <w:color w:val="auto"/>
          <w:sz w:val="28"/>
          <w:szCs w:val="24"/>
          <w:highlight w:val="none"/>
        </w:rPr>
      </w:pPr>
    </w:p>
    <w:p w14:paraId="0D16EBD2">
      <w:pPr>
        <w:spacing w:line="0" w:lineRule="atLeast"/>
        <w:rPr>
          <w:rFonts w:ascii="宋体" w:hAnsi="宋体"/>
          <w:b/>
          <w:color w:val="auto"/>
          <w:sz w:val="30"/>
          <w:szCs w:val="24"/>
          <w:highlight w:val="none"/>
        </w:rPr>
      </w:pPr>
    </w:p>
    <w:p w14:paraId="6EBA4FA1">
      <w:pPr>
        <w:spacing w:line="0" w:lineRule="atLeast"/>
        <w:rPr>
          <w:rFonts w:ascii="仿宋_GB2312" w:hAnsi="宋体" w:eastAsia="仿宋_GB2312"/>
          <w:b/>
          <w:color w:val="auto"/>
          <w:sz w:val="30"/>
          <w:szCs w:val="30"/>
          <w:highlight w:val="none"/>
        </w:rPr>
      </w:pPr>
    </w:p>
    <w:p w14:paraId="7DC8EB4A">
      <w:pPr>
        <w:spacing w:line="0" w:lineRule="atLeast"/>
        <w:ind w:left="1506" w:hanging="1506" w:hangingChars="500"/>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广州净水公司2024年干化车间蒸汽锅炉及冷凝水回收系统改造项目</w:t>
      </w:r>
    </w:p>
    <w:p w14:paraId="31BE8098">
      <w:pPr>
        <w:spacing w:line="0" w:lineRule="atLeast"/>
        <w:ind w:left="1506" w:hanging="1506" w:hangingChars="500"/>
        <w:rPr>
          <w:rFonts w:hint="eastAsia" w:ascii="宋体" w:hAnsi="宋体" w:eastAsia="宋体" w:cs="宋体"/>
          <w:b/>
          <w:color w:val="auto"/>
          <w:sz w:val="30"/>
          <w:szCs w:val="30"/>
          <w:highlight w:val="none"/>
          <w:lang w:eastAsia="zh-CN"/>
        </w:rPr>
      </w:pPr>
    </w:p>
    <w:p w14:paraId="2108BE3C">
      <w:pPr>
        <w:widowControl w:val="0"/>
        <w:autoSpaceDE w:val="0"/>
        <w:autoSpaceDN w:val="0"/>
        <w:adjustRightInd w:val="0"/>
        <w:rPr>
          <w:rFonts w:hint="eastAsia" w:ascii="宋体" w:hAnsi="宋体" w:eastAsia="宋体" w:cs="宋体"/>
          <w:color w:val="auto"/>
          <w:sz w:val="24"/>
          <w:szCs w:val="24"/>
          <w:highlight w:val="none"/>
          <w:lang w:val="en-US" w:eastAsia="zh-CN" w:bidi="ar-SA"/>
        </w:rPr>
      </w:pPr>
      <w:r>
        <w:rPr>
          <w:rFonts w:hint="eastAsia" w:ascii="宋体" w:hAnsi="宋体" w:eastAsia="宋体" w:cs="宋体"/>
          <w:b/>
          <w:color w:val="auto"/>
          <w:sz w:val="30"/>
          <w:szCs w:val="30"/>
          <w:highlight w:val="none"/>
          <w:lang w:val="en-US" w:eastAsia="zh-CN" w:bidi="ar-SA"/>
        </w:rPr>
        <w:t>项目编号：</w:t>
      </w:r>
    </w:p>
    <w:p w14:paraId="3BEC1357">
      <w:pPr>
        <w:spacing w:line="400" w:lineRule="atLeast"/>
        <w:rPr>
          <w:rFonts w:ascii="宋体" w:hAnsi="宋体" w:cs="宋体"/>
          <w:b/>
          <w:color w:val="auto"/>
          <w:sz w:val="30"/>
          <w:szCs w:val="30"/>
          <w:highlight w:val="none"/>
        </w:rPr>
      </w:pPr>
    </w:p>
    <w:p w14:paraId="7F02D375">
      <w:pPr>
        <w:spacing w:line="400" w:lineRule="atLeast"/>
        <w:rPr>
          <w:rFonts w:ascii="宋体" w:hAnsi="宋体" w:cs="宋体"/>
          <w:b/>
          <w:color w:val="auto"/>
          <w:sz w:val="30"/>
          <w:szCs w:val="30"/>
          <w:highlight w:val="none"/>
        </w:rPr>
      </w:pPr>
    </w:p>
    <w:p w14:paraId="6EB578B8">
      <w:pPr>
        <w:spacing w:line="480" w:lineRule="auto"/>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14:paraId="627A3034">
      <w:pPr>
        <w:spacing w:line="400" w:lineRule="atLeast"/>
        <w:ind w:firstLine="602" w:firstLineChars="200"/>
        <w:rPr>
          <w:rFonts w:ascii="宋体" w:hAnsi="宋体" w:cs="宋体"/>
          <w:b/>
          <w:color w:val="auto"/>
          <w:sz w:val="30"/>
          <w:szCs w:val="30"/>
          <w:highlight w:val="none"/>
        </w:rPr>
      </w:pPr>
    </w:p>
    <w:p w14:paraId="5A0207F2">
      <w:pPr>
        <w:spacing w:line="400" w:lineRule="atLeast"/>
        <w:rPr>
          <w:rFonts w:ascii="宋体" w:hAnsi="宋体" w:cs="宋体"/>
          <w:b/>
          <w:color w:val="auto"/>
          <w:sz w:val="30"/>
          <w:szCs w:val="30"/>
          <w:highlight w:val="none"/>
        </w:rPr>
      </w:pPr>
    </w:p>
    <w:p w14:paraId="7B5396E5">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 广州市净水有限公司</w:t>
      </w:r>
    </w:p>
    <w:p w14:paraId="31F45E41">
      <w:pPr>
        <w:spacing w:line="400" w:lineRule="atLeast"/>
        <w:rPr>
          <w:rFonts w:ascii="宋体" w:hAnsi="宋体" w:cs="宋体"/>
          <w:b/>
          <w:color w:val="auto"/>
          <w:sz w:val="30"/>
          <w:szCs w:val="30"/>
          <w:highlight w:val="none"/>
        </w:rPr>
      </w:pPr>
    </w:p>
    <w:p w14:paraId="7CB0F558">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14:paraId="7F87A293">
      <w:pPr>
        <w:spacing w:line="400" w:lineRule="atLeast"/>
        <w:rPr>
          <w:rFonts w:ascii="宋体" w:hAnsi="宋体" w:cs="宋体"/>
          <w:b/>
          <w:color w:val="auto"/>
          <w:sz w:val="30"/>
          <w:szCs w:val="30"/>
          <w:highlight w:val="none"/>
        </w:rPr>
      </w:pPr>
    </w:p>
    <w:p w14:paraId="366D8341">
      <w:pPr>
        <w:spacing w:line="400" w:lineRule="atLeast"/>
        <w:rPr>
          <w:rFonts w:ascii="宋体" w:hAnsi="宋体" w:cs="宋体"/>
          <w:b/>
          <w:color w:val="auto"/>
          <w:sz w:val="30"/>
          <w:szCs w:val="30"/>
          <w:highlight w:val="none"/>
        </w:rPr>
      </w:pPr>
    </w:p>
    <w:p w14:paraId="0A46FE5E">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14:paraId="7A7DADA9">
      <w:pPr>
        <w:spacing w:line="400" w:lineRule="atLeast"/>
        <w:rPr>
          <w:rFonts w:ascii="宋体" w:hAnsi="宋体" w:cs="宋体"/>
          <w:b/>
          <w:color w:val="auto"/>
          <w:sz w:val="30"/>
          <w:szCs w:val="24"/>
          <w:highlight w:val="none"/>
        </w:rPr>
      </w:pPr>
      <w:r>
        <w:rPr>
          <w:rFonts w:hint="eastAsia" w:ascii="宋体" w:hAnsi="宋体" w:cs="宋体"/>
          <w:b/>
          <w:color w:val="auto"/>
          <w:sz w:val="30"/>
          <w:szCs w:val="24"/>
          <w:highlight w:val="none"/>
        </w:rPr>
        <w:t>签约地点：广州市</w:t>
      </w:r>
    </w:p>
    <w:p w14:paraId="587116A2">
      <w:pPr>
        <w:spacing w:beforeLines="30" w:line="384" w:lineRule="auto"/>
        <w:ind w:left="210" w:leftChars="100"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w:t>
      </w:r>
      <w:r>
        <w:rPr>
          <w:rFonts w:hint="eastAsia" w:ascii="宋体" w:hAnsi="宋体" w:cs="宋体"/>
          <w:color w:val="auto"/>
          <w:sz w:val="24"/>
          <w:szCs w:val="24"/>
          <w:highlight w:val="none"/>
          <w:lang w:val="en-US" w:eastAsia="zh-CN"/>
        </w:rPr>
        <w:t>民法典</w:t>
      </w:r>
      <w:r>
        <w:rPr>
          <w:rFonts w:hint="eastAsia" w:ascii="宋体" w:hAnsi="宋体" w:cs="宋体"/>
          <w:color w:val="auto"/>
          <w:sz w:val="24"/>
          <w:szCs w:val="24"/>
          <w:highlight w:val="none"/>
        </w:rPr>
        <w:t>》及其他有关法律、行政法规，</w:t>
      </w:r>
      <w:r>
        <w:rPr>
          <w:rFonts w:hint="eastAsia" w:ascii="宋体" w:hAnsi="宋体" w:cs="宋体"/>
          <w:color w:val="auto"/>
          <w:sz w:val="24"/>
          <w:szCs w:val="24"/>
          <w:highlight w:val="none"/>
          <w:u w:val="single"/>
        </w:rPr>
        <w:t>广州市净水有限公司</w:t>
      </w:r>
      <w:r>
        <w:rPr>
          <w:rFonts w:hint="eastAsia" w:ascii="宋体" w:hAnsi="宋体" w:cs="宋体"/>
          <w:color w:val="auto"/>
          <w:sz w:val="24"/>
          <w:szCs w:val="24"/>
          <w:highlight w:val="none"/>
        </w:rPr>
        <w:t xml:space="preserve"> （以下简称“甲方”）与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rPr>
        <w:t xml:space="preserve">（以下简称“乙方”）就 </w:t>
      </w:r>
      <w:r>
        <w:rPr>
          <w:rFonts w:hint="eastAsia" w:ascii="宋体" w:hAnsi="宋体" w:cs="宋体"/>
          <w:color w:val="auto"/>
          <w:sz w:val="24"/>
          <w:szCs w:val="24"/>
          <w:highlight w:val="none"/>
          <w:u w:val="single"/>
          <w:lang w:eastAsia="zh-CN"/>
        </w:rPr>
        <w:t>广州净水公司2024年干化车间蒸汽锅炉及冷凝水回收系统改造项目</w:t>
      </w:r>
      <w:r>
        <w:rPr>
          <w:rFonts w:hint="eastAsia" w:ascii="宋体" w:hAnsi="宋体" w:cs="宋体"/>
          <w:color w:val="auto"/>
          <w:sz w:val="24"/>
          <w:szCs w:val="24"/>
          <w:highlight w:val="none"/>
        </w:rPr>
        <w:t>项目承接工作事宜，遵循平等、自愿、公平和诚实信用的原则，双方协商一致，订立本合同。</w:t>
      </w:r>
    </w:p>
    <w:p w14:paraId="15172200">
      <w:pPr>
        <w:spacing w:beforeLines="30" w:line="384" w:lineRule="auto"/>
        <w:ind w:left="210" w:leftChars="100"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第一条 组成合同的文件及优先顺序</w:t>
      </w:r>
    </w:p>
    <w:p w14:paraId="0F4FB870">
      <w:pPr>
        <w:spacing w:line="384" w:lineRule="auto"/>
        <w:ind w:firstLine="482"/>
        <w:rPr>
          <w:rFonts w:ascii="宋体" w:hAnsi="宋体" w:cs="宋体"/>
          <w:bCs/>
          <w:color w:val="auto"/>
          <w:sz w:val="24"/>
          <w:szCs w:val="24"/>
          <w:highlight w:val="none"/>
        </w:rPr>
      </w:pPr>
      <w:r>
        <w:rPr>
          <w:rFonts w:hint="eastAsia" w:hAnsi="宋体" w:cs="宋体"/>
          <w:bCs/>
          <w:color w:val="auto"/>
          <w:sz w:val="24"/>
          <w:szCs w:val="24"/>
          <w:highlight w:val="none"/>
        </w:rPr>
        <w:t>下列文件（如有）均为本合同的组成部分，可视为能相互说明和补充的，如果合同文件存在歧义或相矛盾的地方，则根据以下次序判断：</w:t>
      </w:r>
    </w:p>
    <w:p w14:paraId="172833D5">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⑴ </w:t>
      </w:r>
      <w:r>
        <w:rPr>
          <w:rFonts w:hint="eastAsia" w:ascii="宋体" w:hAnsi="宋体" w:cs="宋体"/>
          <w:color w:val="auto"/>
          <w:sz w:val="24"/>
          <w:szCs w:val="24"/>
          <w:highlight w:val="none"/>
        </w:rPr>
        <w:t>在本合同实施过程双方签署的补充与修正文件</w:t>
      </w:r>
      <w:r>
        <w:rPr>
          <w:rFonts w:hint="eastAsia" w:ascii="宋体" w:hAnsi="宋体" w:cs="宋体"/>
          <w:bCs/>
          <w:color w:val="auto"/>
          <w:sz w:val="24"/>
          <w:szCs w:val="24"/>
          <w:highlight w:val="none"/>
        </w:rPr>
        <w:t>；</w:t>
      </w:r>
    </w:p>
    <w:p w14:paraId="2C4E2E7A">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⑵ 本合同书；</w:t>
      </w:r>
    </w:p>
    <w:p w14:paraId="264AE09D">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⑶ 中标通知书；</w:t>
      </w:r>
    </w:p>
    <w:p w14:paraId="56974C13">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⑷ 招标文件；</w:t>
      </w:r>
    </w:p>
    <w:p w14:paraId="0C97C1E0">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⑸ 投标文件；</w:t>
      </w:r>
    </w:p>
    <w:p w14:paraId="5A3285C5">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⑹ 标准、规范及有关技术性文件；</w:t>
      </w:r>
    </w:p>
    <w:p w14:paraId="110550C9">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⑺ 图纸；</w:t>
      </w:r>
    </w:p>
    <w:p w14:paraId="09A2D50F">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⑻ 工程量清单/</w:t>
      </w:r>
      <w:r>
        <w:rPr>
          <w:rFonts w:hint="eastAsia" w:ascii="宋体" w:hAnsi="宋体" w:cs="宋体"/>
          <w:color w:val="auto"/>
          <w:sz w:val="24"/>
          <w:szCs w:val="24"/>
          <w:highlight w:val="none"/>
        </w:rPr>
        <w:t>工程报价单或预算书；</w:t>
      </w:r>
    </w:p>
    <w:p w14:paraId="36839CCB">
      <w:pPr>
        <w:spacing w:line="384"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⑼ 本合同其他附件；</w:t>
      </w:r>
    </w:p>
    <w:p w14:paraId="638FF646">
      <w:pPr>
        <w:spacing w:line="384" w:lineRule="auto"/>
        <w:ind w:firstLine="482"/>
        <w:rPr>
          <w:rFonts w:ascii="宋体" w:hAnsi="宋体" w:cs="宋体"/>
          <w:b/>
          <w:bCs/>
          <w:color w:val="auto"/>
          <w:sz w:val="24"/>
          <w:szCs w:val="24"/>
          <w:highlight w:val="none"/>
        </w:rPr>
      </w:pPr>
      <w:r>
        <w:rPr>
          <w:rFonts w:hint="eastAsia" w:ascii="宋体" w:hAnsi="宋体" w:cs="宋体"/>
          <w:b/>
          <w:bCs/>
          <w:color w:val="auto"/>
          <w:sz w:val="24"/>
          <w:szCs w:val="24"/>
          <w:highlight w:val="none"/>
        </w:rPr>
        <w:t>第二条 项目概况、项目承包范围</w:t>
      </w:r>
    </w:p>
    <w:p w14:paraId="72971175">
      <w:pPr>
        <w:spacing w:line="384"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2.1项目名称：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广州净水公司2024年干化车间蒸汽锅炉及冷凝水回收系统改造项目</w:t>
      </w:r>
      <w:r>
        <w:rPr>
          <w:rFonts w:hint="eastAsia" w:ascii="宋体" w:hAnsi="宋体" w:cs="宋体"/>
          <w:color w:val="auto"/>
          <w:sz w:val="24"/>
          <w:szCs w:val="24"/>
          <w:highlight w:val="none"/>
          <w:u w:val="single"/>
        </w:rPr>
        <w:t xml:space="preserve"> 。</w:t>
      </w:r>
    </w:p>
    <w:p w14:paraId="542A63EC">
      <w:pPr>
        <w:widowControl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项目包含的子项目如下：</w:t>
      </w:r>
    </w:p>
    <w:p w14:paraId="766FED16">
      <w:pPr>
        <w:widowControl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项目一:</w:t>
      </w:r>
      <w:r>
        <w:rPr>
          <w:rFonts w:hint="eastAsia" w:ascii="宋体" w:hAnsi="宋体" w:eastAsia="宋体" w:cs="宋体"/>
          <w:color w:val="auto"/>
          <w:kern w:val="2"/>
          <w:sz w:val="24"/>
          <w:szCs w:val="20"/>
          <w:lang w:val="en-US" w:eastAsia="zh-CN" w:bidi="ar-SA"/>
        </w:rPr>
        <w:t>沥滘分公司2024年三期干化车间蒸汽锅炉及冷凝水回收系统改造项目</w:t>
      </w:r>
      <w:r>
        <w:rPr>
          <w:rFonts w:hint="eastAsia" w:ascii="宋体" w:hAnsi="宋体" w:eastAsia="宋体" w:cs="宋体"/>
          <w:color w:val="auto"/>
          <w:kern w:val="2"/>
          <w:sz w:val="24"/>
          <w:szCs w:val="24"/>
          <w:highlight w:val="none"/>
          <w:u w:val="single"/>
          <w:lang w:val="en-US" w:eastAsia="zh-CN" w:bidi="ar-SA"/>
        </w:rPr>
        <w:t>（以下简称“项目一”）</w:t>
      </w:r>
    </w:p>
    <w:p w14:paraId="0C84E4B6">
      <w:pPr>
        <w:widowControl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项目二：</w:t>
      </w:r>
      <w:r>
        <w:rPr>
          <w:rFonts w:hint="eastAsia" w:ascii="宋体" w:hAnsi="宋体" w:eastAsia="宋体" w:cs="宋体"/>
          <w:color w:val="auto"/>
          <w:kern w:val="0"/>
          <w:sz w:val="24"/>
          <w:szCs w:val="20"/>
          <w:lang w:val="en-US" w:eastAsia="zh-CN" w:bidi="ar"/>
        </w:rPr>
        <w:t>西朗二期分公司2024年二期干化车间蒸汽锅炉及冷凝水回收系统改造项目</w:t>
      </w:r>
      <w:r>
        <w:rPr>
          <w:rFonts w:hint="eastAsia" w:ascii="宋体" w:hAnsi="宋体" w:eastAsia="宋体" w:cs="宋体"/>
          <w:color w:val="auto"/>
          <w:kern w:val="2"/>
          <w:sz w:val="24"/>
          <w:szCs w:val="24"/>
          <w:highlight w:val="none"/>
          <w:u w:val="single"/>
          <w:lang w:val="en-US" w:eastAsia="zh-CN" w:bidi="ar-SA"/>
        </w:rPr>
        <w:t>（以下简称“项目二”）</w:t>
      </w:r>
    </w:p>
    <w:p w14:paraId="1FB1D845">
      <w:pPr>
        <w:widowControl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项目三：</w:t>
      </w:r>
      <w:r>
        <w:rPr>
          <w:rFonts w:hint="eastAsia" w:ascii="宋体" w:hAnsi="宋体" w:eastAsia="宋体" w:cs="宋体"/>
          <w:color w:val="auto"/>
          <w:kern w:val="0"/>
          <w:sz w:val="24"/>
          <w:szCs w:val="20"/>
          <w:lang w:val="en-US" w:eastAsia="zh-CN" w:bidi="ar"/>
        </w:rPr>
        <w:t>大沙地分公司2024年二期干化车间蒸汽锅炉及冷凝水回收系统改造项目</w:t>
      </w:r>
      <w:r>
        <w:rPr>
          <w:rFonts w:hint="eastAsia" w:ascii="宋体" w:hAnsi="宋体" w:eastAsia="宋体" w:cs="宋体"/>
          <w:color w:val="auto"/>
          <w:kern w:val="2"/>
          <w:sz w:val="24"/>
          <w:szCs w:val="24"/>
          <w:highlight w:val="none"/>
          <w:u w:val="single"/>
          <w:lang w:val="en-US" w:eastAsia="zh-CN" w:bidi="ar-SA"/>
        </w:rPr>
        <w:t>（以下简称“项目三”）</w:t>
      </w:r>
    </w:p>
    <w:p w14:paraId="42CBFEEA">
      <w:pPr>
        <w:widowControl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项目四：</w:t>
      </w:r>
      <w:r>
        <w:rPr>
          <w:rFonts w:hint="eastAsia" w:ascii="宋体" w:hAnsi="宋体" w:eastAsia="宋体" w:cs="宋体"/>
          <w:color w:val="auto"/>
          <w:kern w:val="2"/>
          <w:sz w:val="24"/>
          <w:szCs w:val="20"/>
          <w:highlight w:val="none"/>
          <w:u w:val="single"/>
          <w:lang w:val="en-US" w:eastAsia="zh-CN" w:bidi="ar-SA"/>
        </w:rPr>
        <w:t>健康城分公司2024年干化车间蒸汽锅炉及冷凝水回收系统改造项目</w:t>
      </w:r>
      <w:r>
        <w:rPr>
          <w:rFonts w:hint="eastAsia" w:ascii="宋体" w:hAnsi="宋体" w:eastAsia="宋体" w:cs="宋体"/>
          <w:color w:val="auto"/>
          <w:kern w:val="2"/>
          <w:sz w:val="24"/>
          <w:szCs w:val="24"/>
          <w:highlight w:val="none"/>
          <w:u w:val="single"/>
          <w:lang w:val="en-US" w:eastAsia="zh-CN" w:bidi="ar-SA"/>
        </w:rPr>
        <w:t>（以下简称“项目四”）</w:t>
      </w:r>
    </w:p>
    <w:p w14:paraId="583738C0">
      <w:pPr>
        <w:spacing w:line="384"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2.2项目地点：</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广州市净水有限公司各子项目所属分公司内 </w:t>
      </w:r>
      <w:r>
        <w:rPr>
          <w:rFonts w:hint="eastAsia" w:ascii="宋体" w:hAnsi="宋体" w:cs="宋体"/>
          <w:color w:val="auto"/>
          <w:sz w:val="24"/>
          <w:szCs w:val="24"/>
          <w:highlight w:val="none"/>
          <w:u w:val="single"/>
        </w:rPr>
        <w:t>。</w:t>
      </w:r>
    </w:p>
    <w:p w14:paraId="5AE5AEEC">
      <w:pPr>
        <w:spacing w:line="384" w:lineRule="auto"/>
        <w:ind w:firstLine="480" w:firstLineChars="200"/>
        <w:rPr>
          <w:rFonts w:ascii="宋体" w:hAnsi="宋体" w:cs="宋体"/>
          <w:color w:val="auto"/>
          <w:spacing w:val="8"/>
          <w:sz w:val="24"/>
          <w:szCs w:val="24"/>
          <w:highlight w:val="none"/>
        </w:rPr>
      </w:pPr>
      <w:r>
        <w:rPr>
          <w:rFonts w:hint="eastAsia" w:ascii="宋体" w:hAnsi="宋体" w:cs="宋体"/>
          <w:color w:val="auto"/>
          <w:sz w:val="24"/>
          <w:szCs w:val="24"/>
          <w:highlight w:val="none"/>
        </w:rPr>
        <w:t>2.3项目内容：</w:t>
      </w:r>
      <w:r>
        <w:rPr>
          <w:rFonts w:hint="eastAsia" w:ascii="宋体" w:hAnsi="宋体" w:cs="宋体"/>
          <w:color w:val="auto"/>
          <w:sz w:val="24"/>
          <w:szCs w:val="24"/>
          <w:highlight w:val="none"/>
          <w:u w:val="single"/>
        </w:rPr>
        <w:t>为提高污水处理厂的生产稳定性、设备可靠性，对</w:t>
      </w:r>
      <w:r>
        <w:rPr>
          <w:rFonts w:hint="eastAsia" w:ascii="宋体" w:hAnsi="宋体" w:cs="宋体"/>
          <w:color w:val="auto"/>
          <w:sz w:val="24"/>
          <w:szCs w:val="24"/>
          <w:highlight w:val="none"/>
          <w:u w:val="single"/>
          <w:lang w:val="en-US" w:eastAsia="zh-CN"/>
        </w:rPr>
        <w:t>广州净水公司下辖沥滘</w:t>
      </w:r>
      <w:r>
        <w:rPr>
          <w:rFonts w:hint="eastAsia" w:ascii="宋体" w:hAnsi="宋体" w:cs="宋体"/>
          <w:color w:val="auto"/>
          <w:sz w:val="24"/>
          <w:szCs w:val="24"/>
          <w:highlight w:val="none"/>
          <w:u w:val="single"/>
        </w:rPr>
        <w:t>、大沙地、健康城、西朗二期4个分公司</w:t>
      </w:r>
      <w:r>
        <w:rPr>
          <w:rFonts w:hint="eastAsia" w:ascii="宋体" w:hAnsi="宋体" w:cs="宋体"/>
          <w:color w:val="auto"/>
          <w:sz w:val="24"/>
          <w:szCs w:val="24"/>
          <w:highlight w:val="none"/>
          <w:u w:val="single"/>
          <w:lang w:eastAsia="zh-CN"/>
        </w:rPr>
        <w:t>的</w:t>
      </w:r>
      <w:r>
        <w:rPr>
          <w:rFonts w:hint="eastAsia" w:ascii="宋体" w:hAnsi="宋体" w:cs="宋体"/>
          <w:color w:val="auto"/>
          <w:sz w:val="24"/>
          <w:szCs w:val="24"/>
          <w:highlight w:val="none"/>
          <w:u w:val="single"/>
          <w:lang w:val="en-US" w:eastAsia="zh-CN"/>
        </w:rPr>
        <w:t>干化车间</w:t>
      </w:r>
      <w:r>
        <w:rPr>
          <w:rFonts w:hint="eastAsia" w:ascii="宋体" w:hAnsi="宋体" w:cs="宋体"/>
          <w:color w:val="auto"/>
          <w:sz w:val="24"/>
          <w:szCs w:val="24"/>
          <w:highlight w:val="none"/>
          <w:u w:val="single"/>
        </w:rPr>
        <w:t>蒸汽锅炉及冷凝水回收系统进行改造，改善设备性能，提高系统运行可靠性，提高锅炉的生产效率和蒸汽质量，提高设备、管道的可靠性和稳定性。。</w:t>
      </w:r>
    </w:p>
    <w:p w14:paraId="2612E442">
      <w:pPr>
        <w:spacing w:line="384"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2.4项目承包范围：包括提供所有需要的材料、机械、人工、设施、完成合同约定的工作和服务。按照甲方审核同意的方案、图纸所包括的实施范围和内容进行施工并在质量保修期内承担项目质量保修责任。</w:t>
      </w:r>
    </w:p>
    <w:p w14:paraId="6D8474FD">
      <w:pPr>
        <w:spacing w:line="384"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第三条 项目承包方式</w:t>
      </w:r>
    </w:p>
    <w:p w14:paraId="5F04A285">
      <w:pPr>
        <w:spacing w:line="384" w:lineRule="auto"/>
        <w:ind w:firstLine="420" w:firstLineChars="200"/>
        <w:rPr>
          <w:rFonts w:ascii="宋体" w:hAnsi="宋体" w:cs="宋体"/>
          <w:color w:val="auto"/>
          <w:sz w:val="24"/>
          <w:szCs w:val="24"/>
          <w:highlight w:val="none"/>
        </w:rPr>
      </w:pPr>
      <w:r>
        <w:rPr>
          <w:rFonts w:hint="eastAsia" w:ascii="宋体" w:hAnsi="宋体" w:cs="宋体"/>
          <w:color w:val="auto"/>
          <w:szCs w:val="21"/>
          <w:highlight w:val="none"/>
        </w:rPr>
        <w:sym w:font="Wingdings 2" w:char="0052"/>
      </w:r>
      <w:r>
        <w:rPr>
          <w:rFonts w:hint="eastAsia" w:ascii="宋体" w:hAnsi="宋体" w:cs="宋体"/>
          <w:color w:val="auto"/>
          <w:sz w:val="24"/>
          <w:szCs w:val="24"/>
          <w:highlight w:val="none"/>
        </w:rPr>
        <w:t>包工、包料、包工期、包质量、包安全、包文明施工。综合单价包干、项目措施费</w:t>
      </w:r>
      <w:r>
        <w:rPr>
          <w:rFonts w:hint="eastAsia" w:ascii="宋体" w:hAnsi="宋体" w:cs="宋体"/>
          <w:color w:val="auto"/>
          <w:sz w:val="24"/>
          <w:szCs w:val="24"/>
          <w:highlight w:val="none"/>
          <w:lang w:val="en-US" w:eastAsia="zh-CN"/>
        </w:rPr>
        <w:t>按实结算</w:t>
      </w:r>
      <w:r>
        <w:rPr>
          <w:rFonts w:hint="eastAsia" w:ascii="宋体" w:hAnsi="宋体" w:cs="宋体"/>
          <w:color w:val="auto"/>
          <w:sz w:val="24"/>
          <w:szCs w:val="24"/>
          <w:highlight w:val="none"/>
        </w:rPr>
        <w:t>。（单价包干要求附工程量报价</w:t>
      </w:r>
      <w:r>
        <w:rPr>
          <w:rFonts w:ascii="宋体" w:hAnsi="宋体" w:cs="宋体"/>
          <w:color w:val="auto"/>
          <w:sz w:val="24"/>
          <w:szCs w:val="24"/>
          <w:highlight w:val="none"/>
        </w:rPr>
        <w:t>/</w:t>
      </w:r>
      <w:r>
        <w:rPr>
          <w:rFonts w:hint="eastAsia" w:ascii="宋体" w:hAnsi="宋体" w:cs="宋体"/>
          <w:color w:val="auto"/>
          <w:sz w:val="24"/>
          <w:szCs w:val="24"/>
          <w:highlight w:val="none"/>
        </w:rPr>
        <w:t>工程预算书）</w:t>
      </w:r>
    </w:p>
    <w:p w14:paraId="34A5FDE4">
      <w:pPr>
        <w:spacing w:line="384" w:lineRule="auto"/>
        <w:ind w:firstLine="420" w:firstLineChars="200"/>
        <w:rPr>
          <w:rFonts w:ascii="宋体" w:hAnsi="宋体" w:cs="宋体"/>
          <w:color w:val="auto"/>
          <w:sz w:val="24"/>
          <w:szCs w:val="24"/>
          <w:highlight w:val="none"/>
        </w:rPr>
      </w:pPr>
      <w:r>
        <w:rPr>
          <w:rFonts w:hint="eastAsia" w:ascii="宋体" w:hAnsi="宋体" w:cs="宋体"/>
          <w:color w:val="auto"/>
          <w:szCs w:val="21"/>
          <w:highlight w:val="none"/>
        </w:rPr>
        <w:t>□</w:t>
      </w:r>
      <w:r>
        <w:rPr>
          <w:rFonts w:hint="eastAsia" w:ascii="宋体" w:hAnsi="宋体" w:cs="宋体"/>
          <w:color w:val="auto"/>
          <w:sz w:val="24"/>
          <w:szCs w:val="24"/>
          <w:highlight w:val="none"/>
        </w:rPr>
        <w:t>包工、包料、包质量、包工期、包安全、包文明施工、包设计、包调试、包验收的施工图纸，以总价包干形式。</w:t>
      </w:r>
    </w:p>
    <w:p w14:paraId="4C535ED5">
      <w:pPr>
        <w:spacing w:line="384"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第四条</w:t>
      </w:r>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合同价款</w:t>
      </w:r>
    </w:p>
    <w:p w14:paraId="64914C50">
      <w:pPr>
        <w:spacing w:line="384" w:lineRule="auto"/>
        <w:ind w:firstLine="480" w:firstLineChars="200"/>
        <w:rPr>
          <w:rFonts w:ascii="宋体" w:hAnsi="宋体" w:cs="宋体"/>
          <w:bCs/>
          <w:color w:val="auto"/>
          <w:sz w:val="24"/>
          <w:szCs w:val="24"/>
          <w:highlight w:val="none"/>
          <w:bdr w:val="single" w:color="auto" w:sz="4" w:space="0"/>
        </w:rPr>
      </w:pPr>
      <w:r>
        <w:rPr>
          <w:rFonts w:ascii="宋体" w:hAnsi="宋体" w:cs="宋体"/>
          <w:color w:val="auto"/>
          <w:sz w:val="24"/>
          <w:szCs w:val="24"/>
          <w:highlight w:val="none"/>
        </w:rPr>
        <w:t>4.1</w:t>
      </w:r>
      <w:r>
        <w:rPr>
          <w:rFonts w:hint="eastAsia" w:ascii="宋体" w:hAnsi="宋体" w:cs="宋体"/>
          <w:color w:val="auto"/>
          <w:sz w:val="24"/>
          <w:szCs w:val="24"/>
          <w:highlight w:val="none"/>
        </w:rPr>
        <w:t>合同价款按以下</w:t>
      </w: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w:t>
      </w:r>
      <w:r>
        <w:rPr>
          <w:rFonts w:hint="eastAsia" w:ascii="宋体" w:hAnsi="宋体" w:cs="宋体"/>
          <w:color w:val="auto"/>
          <w:sz w:val="24"/>
          <w:szCs w:val="24"/>
          <w:highlight w:val="none"/>
        </w:rPr>
        <w:t>执行。</w:t>
      </w:r>
    </w:p>
    <w:p w14:paraId="1EB236A2">
      <w:pPr>
        <w:spacing w:line="384"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w:t>
      </w:r>
      <w:r>
        <w:rPr>
          <w:rFonts w:hint="eastAsia" w:ascii="宋体" w:hAnsi="宋体" w:cs="宋体"/>
          <w:color w:val="auto"/>
          <w:sz w:val="24"/>
          <w:szCs w:val="24"/>
          <w:highlight w:val="none"/>
        </w:rPr>
        <w:t>合同暂定总价为：</w:t>
      </w:r>
      <w:r>
        <w:rPr>
          <w:rFonts w:hint="eastAsia" w:ascii="宋体" w:hAnsi="宋体" w:cs="宋体"/>
          <w:b/>
          <w:color w:val="auto"/>
          <w:sz w:val="24"/>
          <w:szCs w:val="24"/>
          <w:highlight w:val="none"/>
          <w:u w:val="single"/>
        </w:rPr>
        <w:t>人民币</w:t>
      </w:r>
      <w:r>
        <w:rPr>
          <w:rFonts w:hint="eastAsia" w:ascii="宋体" w:hAnsi="宋体" w:cs="宋体"/>
          <w:b/>
          <w:color w:val="auto"/>
          <w:sz w:val="24"/>
          <w:szCs w:val="24"/>
          <w:highlight w:val="none"/>
          <w:u w:val="single"/>
          <w:lang w:eastAsia="zh-CN"/>
        </w:rPr>
        <w:t>…</w:t>
      </w:r>
      <w:r>
        <w:rPr>
          <w:rFonts w:hint="eastAsia" w:ascii="宋体" w:hAnsi="宋体" w:cs="宋体"/>
          <w:b/>
          <w:color w:val="auto"/>
          <w:sz w:val="24"/>
          <w:szCs w:val="24"/>
          <w:highlight w:val="none"/>
          <w:u w:val="single"/>
        </w:rPr>
        <w:t>元</w:t>
      </w:r>
      <w:r>
        <w:rPr>
          <w:rFonts w:hint="eastAsia" w:ascii="宋体" w:hAnsi="宋体" w:cs="宋体"/>
          <w:color w:val="auto"/>
          <w:sz w:val="24"/>
          <w:szCs w:val="24"/>
          <w:highlight w:val="none"/>
        </w:rPr>
        <w:t>（大写</w:t>
      </w:r>
      <w:r>
        <w:rPr>
          <w:rFonts w:ascii="宋体" w:hAnsi="宋体" w:cs="宋体"/>
          <w:color w:val="auto"/>
          <w:sz w:val="24"/>
          <w:szCs w:val="24"/>
          <w:highlight w:val="none"/>
        </w:rPr>
        <w:t>:</w:t>
      </w:r>
      <w:r>
        <w:rPr>
          <w:rFonts w:hint="eastAsia" w:ascii="宋体" w:hAnsi="宋体" w:cs="宋体"/>
          <w:color w:val="auto"/>
          <w:sz w:val="24"/>
          <w:szCs w:val="24"/>
          <w:highlight w:val="none"/>
        </w:rPr>
        <w:t>）。经甲方或甲方委托有资质第三方机构审核后，审核价作为合同结算价。若合同结算价超合同暂定总价，双方另行签订补充协议。</w:t>
      </w:r>
      <w:r>
        <w:rPr>
          <w:rFonts w:hint="eastAsia" w:ascii="宋体" w:hAnsi="宋体" w:cs="宋体"/>
          <w:color w:val="auto"/>
          <w:sz w:val="24"/>
          <w:szCs w:val="24"/>
          <w:highlight w:val="none"/>
          <w:lang w:val="en-US" w:eastAsia="zh-CN"/>
        </w:rPr>
        <w:t>合同暂定总价组成：项目一</w:t>
      </w:r>
      <w:r>
        <w:rPr>
          <w:rFonts w:hint="eastAsia" w:ascii="宋体" w:hAnsi="宋体" w:cs="宋体"/>
          <w:b/>
          <w:color w:val="auto"/>
          <w:sz w:val="24"/>
          <w:szCs w:val="24"/>
          <w:highlight w:val="none"/>
          <w:u w:val="single"/>
        </w:rPr>
        <w:t>人民币</w:t>
      </w:r>
      <w:r>
        <w:rPr>
          <w:rFonts w:hint="eastAsia" w:ascii="宋体" w:hAnsi="宋体" w:cs="宋体"/>
          <w:b/>
          <w:color w:val="auto"/>
          <w:sz w:val="24"/>
          <w:szCs w:val="24"/>
          <w:highlight w:val="none"/>
          <w:u w:val="single"/>
          <w:lang w:eastAsia="zh-CN"/>
        </w:rPr>
        <w:t>…</w:t>
      </w:r>
      <w:r>
        <w:rPr>
          <w:rFonts w:hint="eastAsia" w:ascii="宋体" w:hAnsi="宋体" w:cs="宋体"/>
          <w:b/>
          <w:color w:val="auto"/>
          <w:sz w:val="24"/>
          <w:szCs w:val="24"/>
          <w:highlight w:val="none"/>
          <w:u w:val="single"/>
        </w:rPr>
        <w:t>元</w:t>
      </w:r>
      <w:r>
        <w:rPr>
          <w:rFonts w:hint="eastAsia" w:ascii="宋体" w:hAnsi="宋体" w:cs="宋体"/>
          <w:color w:val="auto"/>
          <w:sz w:val="24"/>
          <w:szCs w:val="24"/>
          <w:highlight w:val="none"/>
        </w:rPr>
        <w:t>（大写</w:t>
      </w:r>
      <w:r>
        <w:rPr>
          <w:rFonts w:ascii="宋体" w:hAnsi="宋体" w:cs="宋体"/>
          <w:color w:val="auto"/>
          <w:sz w:val="24"/>
          <w:szCs w:val="24"/>
          <w:highlight w:val="none"/>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项目二</w:t>
      </w:r>
      <w:r>
        <w:rPr>
          <w:rFonts w:hint="eastAsia" w:ascii="宋体" w:hAnsi="宋体" w:cs="宋体"/>
          <w:b/>
          <w:color w:val="auto"/>
          <w:sz w:val="24"/>
          <w:szCs w:val="24"/>
          <w:highlight w:val="none"/>
          <w:u w:val="single"/>
        </w:rPr>
        <w:t>人民币</w:t>
      </w:r>
      <w:r>
        <w:rPr>
          <w:rFonts w:hint="eastAsia" w:ascii="宋体" w:hAnsi="宋体" w:cs="宋体"/>
          <w:b/>
          <w:color w:val="auto"/>
          <w:sz w:val="24"/>
          <w:szCs w:val="24"/>
          <w:highlight w:val="none"/>
          <w:u w:val="single"/>
          <w:lang w:eastAsia="zh-CN"/>
        </w:rPr>
        <w:t>…</w:t>
      </w:r>
      <w:r>
        <w:rPr>
          <w:rFonts w:hint="eastAsia" w:ascii="宋体" w:hAnsi="宋体" w:cs="宋体"/>
          <w:b/>
          <w:color w:val="auto"/>
          <w:sz w:val="24"/>
          <w:szCs w:val="24"/>
          <w:highlight w:val="none"/>
          <w:u w:val="single"/>
        </w:rPr>
        <w:t>元</w:t>
      </w:r>
      <w:r>
        <w:rPr>
          <w:rFonts w:hint="eastAsia" w:ascii="宋体" w:hAnsi="宋体" w:cs="宋体"/>
          <w:color w:val="auto"/>
          <w:sz w:val="24"/>
          <w:szCs w:val="24"/>
          <w:highlight w:val="none"/>
        </w:rPr>
        <w:t>（大写</w:t>
      </w:r>
      <w:r>
        <w:rPr>
          <w:rFonts w:ascii="宋体" w:hAnsi="宋体" w:cs="宋体"/>
          <w:color w:val="auto"/>
          <w:sz w:val="24"/>
          <w:szCs w:val="24"/>
          <w:highlight w:val="none"/>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项目三</w:t>
      </w:r>
      <w:r>
        <w:rPr>
          <w:rFonts w:hint="eastAsia" w:ascii="宋体" w:hAnsi="宋体" w:cs="宋体"/>
          <w:b/>
          <w:color w:val="auto"/>
          <w:sz w:val="24"/>
          <w:szCs w:val="24"/>
          <w:highlight w:val="none"/>
          <w:u w:val="single"/>
        </w:rPr>
        <w:t>人民币</w:t>
      </w:r>
      <w:r>
        <w:rPr>
          <w:rFonts w:hint="eastAsia" w:ascii="宋体" w:hAnsi="宋体" w:cs="宋体"/>
          <w:b/>
          <w:color w:val="auto"/>
          <w:sz w:val="24"/>
          <w:szCs w:val="24"/>
          <w:highlight w:val="none"/>
          <w:u w:val="single"/>
          <w:lang w:eastAsia="zh-CN"/>
        </w:rPr>
        <w:t>…</w:t>
      </w:r>
      <w:r>
        <w:rPr>
          <w:rFonts w:hint="eastAsia" w:ascii="宋体" w:hAnsi="宋体" w:cs="宋体"/>
          <w:b/>
          <w:color w:val="auto"/>
          <w:sz w:val="24"/>
          <w:szCs w:val="24"/>
          <w:highlight w:val="none"/>
          <w:u w:val="single"/>
        </w:rPr>
        <w:t>元</w:t>
      </w:r>
      <w:r>
        <w:rPr>
          <w:rFonts w:hint="eastAsia" w:ascii="宋体" w:hAnsi="宋体" w:cs="宋体"/>
          <w:color w:val="auto"/>
          <w:sz w:val="24"/>
          <w:szCs w:val="24"/>
          <w:highlight w:val="none"/>
        </w:rPr>
        <w:t>（大写</w:t>
      </w:r>
      <w:r>
        <w:rPr>
          <w:rFonts w:ascii="宋体" w:hAnsi="宋体" w:cs="宋体"/>
          <w:color w:val="auto"/>
          <w:sz w:val="24"/>
          <w:szCs w:val="24"/>
          <w:highlight w:val="none"/>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项目四</w:t>
      </w:r>
      <w:r>
        <w:rPr>
          <w:rFonts w:hint="eastAsia" w:ascii="宋体" w:hAnsi="宋体" w:cs="宋体"/>
          <w:b/>
          <w:color w:val="auto"/>
          <w:sz w:val="24"/>
          <w:szCs w:val="24"/>
          <w:highlight w:val="none"/>
          <w:u w:val="single"/>
        </w:rPr>
        <w:t>人民币</w:t>
      </w:r>
      <w:r>
        <w:rPr>
          <w:rFonts w:hint="eastAsia" w:ascii="宋体" w:hAnsi="宋体" w:cs="宋体"/>
          <w:b/>
          <w:color w:val="auto"/>
          <w:sz w:val="24"/>
          <w:szCs w:val="24"/>
          <w:highlight w:val="none"/>
          <w:u w:val="single"/>
          <w:lang w:eastAsia="zh-CN"/>
        </w:rPr>
        <w:t>…</w:t>
      </w:r>
      <w:r>
        <w:rPr>
          <w:rFonts w:hint="eastAsia" w:ascii="宋体" w:hAnsi="宋体" w:cs="宋体"/>
          <w:b/>
          <w:color w:val="auto"/>
          <w:sz w:val="24"/>
          <w:szCs w:val="24"/>
          <w:highlight w:val="none"/>
          <w:u w:val="single"/>
        </w:rPr>
        <w:t>元</w:t>
      </w:r>
      <w:r>
        <w:rPr>
          <w:rFonts w:hint="eastAsia" w:ascii="宋体" w:hAnsi="宋体" w:cs="宋体"/>
          <w:color w:val="auto"/>
          <w:sz w:val="24"/>
          <w:szCs w:val="24"/>
          <w:highlight w:val="none"/>
        </w:rPr>
        <w:t>（大写</w:t>
      </w:r>
      <w:r>
        <w:rPr>
          <w:rFonts w:ascii="宋体" w:hAnsi="宋体" w:cs="宋体"/>
          <w:color w:val="auto"/>
          <w:sz w:val="24"/>
          <w:szCs w:val="24"/>
          <w:highlight w:val="none"/>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w:t>
      </w:r>
    </w:p>
    <w:p w14:paraId="5B06C739">
      <w:pPr>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综合单价为：</w:t>
      </w:r>
      <w:r>
        <w:rPr>
          <w:rFonts w:hint="eastAsia" w:ascii="宋体" w:hAnsi="宋体" w:cs="宋体"/>
          <w:color w:val="auto"/>
          <w:sz w:val="24"/>
          <w:szCs w:val="24"/>
          <w:highlight w:val="none"/>
          <w:u w:val="single"/>
        </w:rPr>
        <w:t>人民币</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元</w:t>
      </w:r>
      <w:r>
        <w:rPr>
          <w:rFonts w:ascii="宋体" w:hAnsi="宋体" w:cs="宋体"/>
          <w:color w:val="auto"/>
          <w:sz w:val="24"/>
          <w:szCs w:val="24"/>
          <w:highlight w:val="none"/>
          <w:u w:val="single"/>
        </w:rPr>
        <w:t>/m</w:t>
      </w:r>
      <w:r>
        <w:rPr>
          <w:rFonts w:ascii="宋体" w:hAnsi="宋体" w:cs="宋体"/>
          <w:color w:val="auto"/>
          <w:sz w:val="24"/>
          <w:szCs w:val="24"/>
          <w:highlight w:val="none"/>
          <w:u w:val="single"/>
          <w:vertAlign w:val="superscript"/>
        </w:rPr>
        <w:t>3</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大写：</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w:t>
      </w:r>
      <w:r>
        <w:rPr>
          <w:rFonts w:hint="eastAsia" w:ascii="宋体" w:hAnsi="宋体" w:cs="宋体"/>
          <w:color w:val="auto"/>
          <w:sz w:val="24"/>
          <w:szCs w:val="24"/>
          <w:highlight w:val="none"/>
        </w:rPr>
        <w:t>。</w:t>
      </w:r>
    </w:p>
    <w:p w14:paraId="39A0DDD9">
      <w:pPr>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14:paraId="182CFFC0">
      <w:pPr>
        <w:autoSpaceDE w:val="0"/>
        <w:autoSpaceDN w:val="0"/>
        <w:adjustRightInd w:val="0"/>
        <w:spacing w:line="384" w:lineRule="auto"/>
        <w:ind w:firstLine="480" w:firstLineChars="200"/>
        <w:rPr>
          <w:rFonts w:ascii="宋体" w:hAnsi="宋体" w:cs="宋体"/>
          <w:color w:val="auto"/>
          <w:sz w:val="24"/>
          <w:szCs w:val="24"/>
          <w:highlight w:val="none"/>
        </w:rPr>
      </w:pPr>
    </w:p>
    <w:p w14:paraId="1584F381">
      <w:pPr>
        <w:spacing w:line="384" w:lineRule="auto"/>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w:t>
      </w:r>
      <w:r>
        <w:rPr>
          <w:rFonts w:hint="eastAsia" w:ascii="宋体" w:hAnsi="宋体" w:cs="宋体"/>
          <w:bCs/>
          <w:color w:val="auto"/>
          <w:sz w:val="24"/>
          <w:szCs w:val="24"/>
          <w:highlight w:val="none"/>
        </w:rPr>
        <w:t>）</w:t>
      </w:r>
      <w:r>
        <w:rPr>
          <w:rFonts w:hint="eastAsia" w:ascii="宋体" w:hAnsi="宋体" w:cs="宋体"/>
          <w:color w:val="auto"/>
          <w:sz w:val="24"/>
          <w:szCs w:val="24"/>
          <w:highlight w:val="none"/>
        </w:rPr>
        <w:t>合同以总价包干形式，合同暂定总价为：</w:t>
      </w:r>
      <w:r>
        <w:rPr>
          <w:rFonts w:hint="eastAsia" w:ascii="宋体" w:hAnsi="宋体" w:cs="宋体"/>
          <w:b/>
          <w:color w:val="auto"/>
          <w:sz w:val="24"/>
          <w:szCs w:val="24"/>
          <w:highlight w:val="none"/>
          <w:u w:val="single"/>
        </w:rPr>
        <w:t>人民币</w:t>
      </w:r>
      <w:r>
        <w:rPr>
          <w:rFonts w:hint="eastAsia" w:ascii="宋体" w:hAnsi="宋体" w:cs="宋体"/>
          <w:b/>
          <w:color w:val="auto"/>
          <w:sz w:val="24"/>
          <w:szCs w:val="24"/>
          <w:highlight w:val="none"/>
          <w:u w:val="single"/>
          <w:lang w:eastAsia="zh-CN"/>
        </w:rPr>
        <w:t>…</w:t>
      </w:r>
      <w:r>
        <w:rPr>
          <w:rFonts w:hint="eastAsia" w:ascii="宋体" w:hAnsi="宋体" w:cs="宋体"/>
          <w:b/>
          <w:color w:val="auto"/>
          <w:sz w:val="24"/>
          <w:szCs w:val="24"/>
          <w:highlight w:val="none"/>
          <w:u w:val="single"/>
        </w:rPr>
        <w:t>元</w:t>
      </w:r>
      <w:r>
        <w:rPr>
          <w:rFonts w:hint="eastAsia" w:ascii="宋体" w:hAnsi="宋体" w:cs="宋体"/>
          <w:color w:val="auto"/>
          <w:sz w:val="24"/>
          <w:szCs w:val="24"/>
          <w:highlight w:val="none"/>
        </w:rPr>
        <w:t>（大写</w:t>
      </w:r>
      <w:r>
        <w:rPr>
          <w:rFonts w:ascii="宋体" w:hAnsi="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）。经甲方或甲方委托有资质第三方机构审核后，若结算审核价比合同暂定总价低，则以结算审核价作为合同结算价，否则以合同暂定总价为合同结算价。</w:t>
      </w:r>
    </w:p>
    <w:p w14:paraId="48468ECC">
      <w:pPr>
        <w:tabs>
          <w:tab w:val="left" w:pos="851"/>
        </w:tabs>
        <w:adjustRightInd w:val="0"/>
        <w:snapToGrid w:val="0"/>
        <w:spacing w:line="384" w:lineRule="auto"/>
        <w:ind w:firstLine="480" w:firstLineChars="200"/>
        <w:rPr>
          <w:rFonts w:hint="eastAsia" w:ascii="宋体" w:hAnsi="宋体" w:cs="宋体"/>
          <w:color w:val="auto"/>
          <w:sz w:val="24"/>
          <w:szCs w:val="24"/>
          <w:highlight w:val="none"/>
        </w:rPr>
      </w:pPr>
      <w:r>
        <w:rPr>
          <w:rFonts w:ascii="宋体" w:hAnsi="宋体" w:cs="宋体"/>
          <w:color w:val="auto"/>
          <w:kern w:val="0"/>
          <w:sz w:val="24"/>
          <w:szCs w:val="24"/>
          <w:highlight w:val="none"/>
          <w:lang w:val="zh-CN"/>
        </w:rPr>
        <w:t>4.2</w:t>
      </w:r>
      <w:r>
        <w:rPr>
          <w:rFonts w:hint="eastAsia" w:ascii="宋体" w:hAnsi="宋体" w:cs="宋体"/>
          <w:color w:val="auto"/>
          <w:kern w:val="0"/>
          <w:sz w:val="24"/>
          <w:szCs w:val="24"/>
          <w:highlight w:val="none"/>
        </w:rPr>
        <w:t>本合同约定的价格为含税价价格</w:t>
      </w:r>
      <w:r>
        <w:rPr>
          <w:rFonts w:hint="eastAsia" w:ascii="宋体" w:hAnsi="宋体" w:cs="宋体"/>
          <w:color w:val="auto"/>
          <w:sz w:val="24"/>
          <w:szCs w:val="24"/>
          <w:highlight w:val="none"/>
        </w:rPr>
        <w:t>（税率</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），合同履行期间国家税率调整或乙方开票的实际税率与前述税率不一致的，不含税价不变，价税合计按实际税率相应调整，以开具发票时间为准。</w:t>
      </w:r>
    </w:p>
    <w:p w14:paraId="659CA0C3">
      <w:pPr>
        <w:tabs>
          <w:tab w:val="left" w:pos="0"/>
        </w:tabs>
        <w:adjustRightInd w:val="0"/>
        <w:snapToGrid w:val="0"/>
        <w:spacing w:line="360" w:lineRule="auto"/>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4.3因非乙方原因引起工程量报价清单中工程量发生增减，且单个子目工程量变化幅度在25%以内（含）时，按工程量报价清单中列明的子目单价结算。否则，有权按新增单价执行。</w:t>
      </w:r>
    </w:p>
    <w:p w14:paraId="73C409C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4.4</w:t>
      </w:r>
      <w:r>
        <w:rPr>
          <w:rFonts w:hint="eastAsia" w:ascii="宋体" w:hAnsi="宋体" w:eastAsia="宋体" w:cs="宋体"/>
          <w:color w:val="auto"/>
          <w:sz w:val="24"/>
          <w:szCs w:val="24"/>
          <w:highlight w:val="none"/>
        </w:rPr>
        <w:t>合同中没有适用于变更工程项目的单价的，</w:t>
      </w:r>
      <w:r>
        <w:rPr>
          <w:rFonts w:hint="eastAsia" w:ascii="宋体" w:hAnsi="宋体" w:eastAsia="宋体" w:cs="宋体"/>
          <w:color w:val="auto"/>
          <w:sz w:val="24"/>
          <w:szCs w:val="24"/>
          <w:highlight w:val="none"/>
          <w:lang w:val="en-US" w:eastAsia="zh-CN"/>
        </w:rPr>
        <w:t>按新增单价执行。</w:t>
      </w:r>
    </w:p>
    <w:p w14:paraId="1BEFF9B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新增单价计价原则：</w:t>
      </w:r>
    </w:p>
    <w:p w14:paraId="09CD894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14:paraId="68AE8A5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项目计价材料、设备价格的控制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按以下顺序作为降序优先级依次采用工程开工报告中开工日期当月的下列价格</w:t>
      </w:r>
      <w:r>
        <w:rPr>
          <w:rFonts w:hint="eastAsia" w:ascii="宋体" w:hAnsi="宋体" w:eastAsia="宋体" w:cs="宋体"/>
          <w:color w:val="auto"/>
          <w:sz w:val="24"/>
          <w:szCs w:val="24"/>
          <w:highlight w:val="none"/>
          <w:lang w:eastAsia="zh-CN"/>
        </w:rPr>
        <w:t>：</w:t>
      </w:r>
    </w:p>
    <w:p w14:paraId="0A0AC113">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（1）《广州地区建设工程常用材料税前综合价格》（下称综合价格）。</w:t>
      </w:r>
    </w:p>
    <w:p w14:paraId="78EC9CC7">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（2）《广州地区建设工程材料（设备）厂商价格信息》（下称厂商价格）下浮10-20%。</w:t>
      </w:r>
    </w:p>
    <w:p w14:paraId="2950FE60">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（3）综合价格、厂商价格中缺项的，采用由北京瑞恒达建筑咨询有限公司提供服务的“慧讯网”中查到的相应材料、设备价格的工程价。</w:t>
      </w:r>
    </w:p>
    <w:p w14:paraId="7207BEF4">
      <w:pPr>
        <w:widowControl w:val="0"/>
        <w:autoSpaceDE w:val="0"/>
        <w:autoSpaceDN w:val="0"/>
        <w:adjustRightInd w:val="0"/>
        <w:rPr>
          <w:rFonts w:hint="default" w:ascii="宋体" w:hAnsi="Times New Roman"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  </w:t>
      </w:r>
      <w:r>
        <w:rPr>
          <w:rFonts w:ascii="宋体" w:hAnsi="宋体" w:eastAsia="宋体" w:cs="宋体"/>
          <w:color w:val="auto"/>
          <w:sz w:val="24"/>
          <w:szCs w:val="24"/>
          <w:highlight w:val="none"/>
          <w:lang w:val="en-US" w:eastAsia="zh-CN" w:bidi="ar-SA"/>
        </w:rPr>
        <w:t>（4）通过市场询价双方协商确定。</w:t>
      </w:r>
    </w:p>
    <w:p w14:paraId="24FB19E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3.按1、2组价后下浮5%计取。</w:t>
      </w:r>
    </w:p>
    <w:p w14:paraId="2F384943">
      <w:pPr>
        <w:tabs>
          <w:tab w:val="left" w:pos="851"/>
        </w:tabs>
        <w:adjustRightInd w:val="0"/>
        <w:snapToGrid w:val="0"/>
        <w:spacing w:line="384" w:lineRule="auto"/>
        <w:ind w:firstLine="480" w:firstLineChars="200"/>
        <w:rPr>
          <w:rFonts w:hint="eastAsia" w:ascii="宋体" w:hAnsi="宋体" w:cs="宋体"/>
          <w:color w:val="auto"/>
          <w:sz w:val="24"/>
          <w:szCs w:val="24"/>
          <w:highlight w:val="none"/>
        </w:rPr>
      </w:pPr>
    </w:p>
    <w:p w14:paraId="06778D5E">
      <w:pPr>
        <w:widowControl/>
        <w:tabs>
          <w:tab w:val="left" w:pos="851"/>
        </w:tabs>
        <w:adjustRightInd w:val="0"/>
        <w:snapToGrid w:val="0"/>
        <w:spacing w:line="384" w:lineRule="auto"/>
        <w:ind w:firstLine="482" w:firstLineChars="200"/>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第五条</w:t>
      </w:r>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工期及要求</w:t>
      </w:r>
    </w:p>
    <w:p w14:paraId="0A383C6E">
      <w:pPr>
        <w:widowControl/>
        <w:spacing w:line="384" w:lineRule="auto"/>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rPr>
        <w:t>5.1</w:t>
      </w:r>
      <w:r>
        <w:rPr>
          <w:rFonts w:hint="eastAsia" w:ascii="宋体" w:hAnsi="宋体" w:cs="宋体"/>
          <w:color w:val="auto"/>
          <w:sz w:val="24"/>
          <w:szCs w:val="24"/>
          <w:highlight w:val="none"/>
        </w:rPr>
        <w:t>开工具体日期以甲方发出的开工报告</w:t>
      </w:r>
      <w:r>
        <w:rPr>
          <w:rFonts w:ascii="宋体" w:hAnsi="宋体" w:cs="宋体"/>
          <w:color w:val="auto"/>
          <w:sz w:val="24"/>
          <w:szCs w:val="24"/>
          <w:highlight w:val="none"/>
        </w:rPr>
        <w:t>/</w:t>
      </w:r>
      <w:r>
        <w:rPr>
          <w:rFonts w:hint="eastAsia" w:ascii="宋体" w:hAnsi="宋体" w:cs="宋体"/>
          <w:color w:val="auto"/>
          <w:sz w:val="24"/>
          <w:szCs w:val="24"/>
          <w:highlight w:val="none"/>
        </w:rPr>
        <w:t>通知为准。乙方不能按时开工，应当于开工报告</w:t>
      </w:r>
      <w:r>
        <w:rPr>
          <w:rFonts w:ascii="宋体" w:hAnsi="宋体" w:cs="宋体"/>
          <w:color w:val="auto"/>
          <w:sz w:val="24"/>
          <w:szCs w:val="24"/>
          <w:highlight w:val="none"/>
        </w:rPr>
        <w:t>/</w:t>
      </w:r>
      <w:r>
        <w:rPr>
          <w:rFonts w:hint="eastAsia" w:ascii="宋体" w:hAnsi="宋体" w:cs="宋体"/>
          <w:color w:val="auto"/>
          <w:sz w:val="24"/>
          <w:szCs w:val="24"/>
          <w:highlight w:val="none"/>
        </w:rPr>
        <w:t>通知载明的开工日期</w:t>
      </w:r>
      <w:r>
        <w:rPr>
          <w:rFonts w:ascii="宋体" w:hAnsi="宋体" w:cs="宋体"/>
          <w:color w:val="auto"/>
          <w:sz w:val="24"/>
          <w:szCs w:val="24"/>
          <w:highlight w:val="none"/>
        </w:rPr>
        <w:t>7</w:t>
      </w:r>
      <w:r>
        <w:rPr>
          <w:rFonts w:hint="eastAsia" w:ascii="宋体" w:hAnsi="宋体" w:cs="宋体"/>
          <w:color w:val="auto"/>
          <w:sz w:val="24"/>
          <w:szCs w:val="24"/>
          <w:highlight w:val="none"/>
        </w:rPr>
        <w:t>天前，以书面形式向甲方提出延期开工的理由。甲方应当在接到延期开工申请后的</w:t>
      </w:r>
      <w:r>
        <w:rPr>
          <w:rFonts w:ascii="宋体" w:hAnsi="宋体" w:cs="宋体"/>
          <w:color w:val="auto"/>
          <w:sz w:val="24"/>
          <w:szCs w:val="24"/>
          <w:highlight w:val="none"/>
        </w:rPr>
        <w:t>48</w:t>
      </w:r>
      <w:r>
        <w:rPr>
          <w:rFonts w:hint="eastAsia" w:ascii="宋体" w:hAnsi="宋体" w:cs="宋体"/>
          <w:color w:val="auto"/>
          <w:sz w:val="24"/>
          <w:szCs w:val="24"/>
          <w:highlight w:val="none"/>
        </w:rPr>
        <w:t>小时内以书面形式答复乙方。甲方在接到延期开工申请后</w:t>
      </w:r>
      <w:r>
        <w:rPr>
          <w:rFonts w:ascii="宋体" w:hAnsi="宋体" w:cs="宋体"/>
          <w:color w:val="auto"/>
          <w:sz w:val="24"/>
          <w:szCs w:val="24"/>
          <w:highlight w:val="none"/>
        </w:rPr>
        <w:t>48</w:t>
      </w:r>
      <w:r>
        <w:rPr>
          <w:rFonts w:hint="eastAsia" w:ascii="宋体" w:hAnsi="宋体" w:cs="宋体"/>
          <w:color w:val="auto"/>
          <w:sz w:val="24"/>
          <w:szCs w:val="24"/>
          <w:highlight w:val="none"/>
        </w:rPr>
        <w:t>小时内不答复，视为同意乙方要求，工期相应顺延。甲方不同意延期要求或乙方未在规定时间内提出延期开工，工期不予顺延。</w:t>
      </w:r>
    </w:p>
    <w:p w14:paraId="69D36AEC">
      <w:pPr>
        <w:widowControl/>
        <w:spacing w:line="384"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合同工期</w:t>
      </w:r>
      <w:r>
        <w:rPr>
          <w:rFonts w:hint="eastAsia" w:ascii="宋体" w:hAnsi="宋体" w:cs="宋体"/>
          <w:color w:val="auto"/>
          <w:sz w:val="24"/>
          <w:szCs w:val="24"/>
          <w:highlight w:val="none"/>
          <w:lang w:val="en-US" w:eastAsia="zh-CN"/>
        </w:rPr>
        <w:t>如下表</w:t>
      </w:r>
      <w:r>
        <w:rPr>
          <w:rFonts w:hint="eastAsia" w:ascii="宋体" w:hAnsi="宋体" w:cs="宋体"/>
          <w:color w:val="auto"/>
          <w:sz w:val="24"/>
          <w:szCs w:val="24"/>
          <w:highlight w:val="none"/>
        </w:rPr>
        <w:t>。</w:t>
      </w:r>
      <w:r>
        <w:rPr>
          <w:rFonts w:hint="eastAsia" w:ascii="宋体" w:hAnsi="宋体" w:eastAsia="宋体" w:cs="宋体"/>
          <w:color w:val="auto"/>
          <w:sz w:val="24"/>
          <w:szCs w:val="24"/>
          <w:highlight w:val="none"/>
        </w:rPr>
        <w:t>因乙方原因</w:t>
      </w:r>
      <w:r>
        <w:rPr>
          <w:rFonts w:hint="eastAsia" w:ascii="宋体" w:hAnsi="宋体" w:eastAsia="宋体" w:cs="宋体"/>
          <w:color w:val="auto"/>
          <w:sz w:val="24"/>
          <w:szCs w:val="24"/>
          <w:highlight w:val="none"/>
          <w:lang w:val="en-US" w:eastAsia="zh-CN"/>
        </w:rPr>
        <w:t>未按甲方开工通知时间进场施工的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每逾期一日，应按</w:t>
      </w:r>
      <w:r>
        <w:rPr>
          <w:rFonts w:hint="eastAsia" w:ascii="宋体" w:hAnsi="宋体" w:eastAsia="宋体" w:cs="宋体"/>
          <w:color w:val="auto"/>
          <w:sz w:val="24"/>
          <w:szCs w:val="24"/>
          <w:highlight w:val="none"/>
          <w:u w:val="single"/>
          <w:lang w:val="en-US" w:eastAsia="zh-CN"/>
        </w:rPr>
        <w:t>2000元</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rPr>
        <w:t>支付逾期违约金，逾期达到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7</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日及以上的，甲方有权解除合同。</w:t>
      </w:r>
      <w:r>
        <w:rPr>
          <w:rFonts w:hint="eastAsia" w:ascii="宋体" w:hAnsi="宋体" w:cs="宋体"/>
          <w:color w:val="auto"/>
          <w:sz w:val="24"/>
          <w:szCs w:val="24"/>
          <w:highlight w:val="none"/>
          <w:lang w:val="en-US" w:eastAsia="zh-CN"/>
        </w:rPr>
        <w:t>如项目实施需报供电局审批的，乙方应按照甲方通知时间完成报批手续，如影响项目进场施工的，</w:t>
      </w:r>
      <w:r>
        <w:rPr>
          <w:rFonts w:hint="eastAsia" w:ascii="宋体" w:hAnsi="宋体" w:cs="宋体"/>
          <w:color w:val="auto"/>
          <w:sz w:val="24"/>
          <w:szCs w:val="24"/>
          <w:highlight w:val="none"/>
        </w:rPr>
        <w:t>甲方有权要求乙方按</w:t>
      </w:r>
      <w:r>
        <w:rPr>
          <w:rFonts w:hint="eastAsia" w:ascii="宋体" w:hAnsi="宋体" w:cs="宋体"/>
          <w:color w:val="auto"/>
          <w:sz w:val="24"/>
          <w:szCs w:val="24"/>
          <w:highlight w:val="none"/>
          <w:u w:val="single"/>
          <w:lang w:val="en-US" w:eastAsia="zh-CN"/>
        </w:rPr>
        <w:t>对应子项目</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20</w:t>
      </w:r>
      <w:r>
        <w:rPr>
          <w:rFonts w:ascii="宋体" w:hAnsi="宋体" w:cs="宋体"/>
          <w:color w:val="auto"/>
          <w:sz w:val="24"/>
          <w:szCs w:val="24"/>
          <w:highlight w:val="none"/>
          <w:u w:val="single"/>
        </w:rPr>
        <w:t>%</w:t>
      </w:r>
      <w:r>
        <w:rPr>
          <w:rFonts w:hint="eastAsia" w:ascii="宋体" w:hAnsi="宋体" w:cs="宋体"/>
          <w:color w:val="auto"/>
          <w:sz w:val="24"/>
          <w:szCs w:val="24"/>
          <w:highlight w:val="none"/>
        </w:rPr>
        <w:t>支付违约金，逾期达到</w:t>
      </w:r>
      <w:r>
        <w:rPr>
          <w:rFonts w:hint="eastAsia" w:ascii="宋体" w:hAnsi="宋体" w:cs="宋体"/>
          <w:color w:val="auto"/>
          <w:sz w:val="24"/>
          <w:szCs w:val="24"/>
          <w:highlight w:val="none"/>
          <w:u w:val="single"/>
          <w:lang w:val="en-US" w:eastAsia="zh-CN"/>
        </w:rPr>
        <w:t xml:space="preserve">  7 </w:t>
      </w:r>
      <w:r>
        <w:rPr>
          <w:rFonts w:hint="eastAsia" w:ascii="宋体" w:hAnsi="宋体" w:cs="宋体"/>
          <w:color w:val="auto"/>
          <w:sz w:val="24"/>
          <w:szCs w:val="24"/>
          <w:highlight w:val="none"/>
        </w:rPr>
        <w:t>天及以上的，甲方有权解除合同</w:t>
      </w:r>
      <w:r>
        <w:rPr>
          <w:rFonts w:hint="eastAsia" w:ascii="宋体" w:hAnsi="宋体" w:cs="宋体"/>
          <w:color w:val="auto"/>
          <w:sz w:val="24"/>
          <w:szCs w:val="24"/>
          <w:highlight w:val="none"/>
          <w:lang w:eastAsia="zh-CN"/>
        </w:rPr>
        <w:t>，由此而造成的经济损失由乙方负责赔偿</w:t>
      </w:r>
      <w:r>
        <w:rPr>
          <w:rFonts w:hint="eastAsia" w:ascii="宋体" w:hAnsi="宋体" w:cs="宋体"/>
          <w:color w:val="auto"/>
          <w:sz w:val="24"/>
          <w:szCs w:val="24"/>
          <w:highlight w:val="none"/>
          <w:lang w:val="en-US" w:eastAsia="zh-CN"/>
        </w:rPr>
        <w:t>。</w:t>
      </w:r>
    </w:p>
    <w:p w14:paraId="7421206C">
      <w:pPr>
        <w:widowControl/>
        <w:spacing w:line="384"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乙方未能按合同工期竣工验收的，每逾期一天，甲方有权要求乙方按</w:t>
      </w:r>
      <w:r>
        <w:rPr>
          <w:rFonts w:hint="eastAsia" w:ascii="宋体" w:hAnsi="宋体" w:cs="宋体"/>
          <w:color w:val="auto"/>
          <w:sz w:val="24"/>
          <w:szCs w:val="24"/>
          <w:highlight w:val="none"/>
          <w:u w:val="single"/>
          <w:lang w:val="en-US" w:eastAsia="zh-CN"/>
        </w:rPr>
        <w:t>对应子项目</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 xml:space="preserve"> 1%</w:t>
      </w:r>
      <w:r>
        <w:rPr>
          <w:rFonts w:hint="eastAsia" w:ascii="宋体" w:hAnsi="宋体" w:cs="宋体"/>
          <w:color w:val="auto"/>
          <w:sz w:val="24"/>
          <w:szCs w:val="24"/>
          <w:highlight w:val="none"/>
        </w:rPr>
        <w:t>支付违约金，逾期达到</w:t>
      </w:r>
      <w:r>
        <w:rPr>
          <w:rFonts w:hint="eastAsia" w:ascii="宋体" w:hAnsi="宋体" w:cs="宋体"/>
          <w:color w:val="auto"/>
          <w:sz w:val="24"/>
          <w:szCs w:val="24"/>
          <w:highlight w:val="none"/>
          <w:u w:val="single"/>
          <w:lang w:val="en-US" w:eastAsia="zh-CN"/>
        </w:rPr>
        <w:t xml:space="preserve">  20 </w:t>
      </w:r>
      <w:r>
        <w:rPr>
          <w:rFonts w:hint="eastAsia" w:ascii="宋体" w:hAnsi="宋体" w:cs="宋体"/>
          <w:color w:val="auto"/>
          <w:sz w:val="24"/>
          <w:szCs w:val="24"/>
          <w:highlight w:val="none"/>
        </w:rPr>
        <w:t>天及以上的，甲方有权解除合同并要求乙方支付</w:t>
      </w:r>
      <w:r>
        <w:rPr>
          <w:rFonts w:hint="eastAsia" w:ascii="宋体" w:hAnsi="宋体" w:cs="宋体"/>
          <w:color w:val="auto"/>
          <w:sz w:val="24"/>
          <w:szCs w:val="24"/>
          <w:highlight w:val="none"/>
          <w:u w:val="single"/>
          <w:lang w:val="en-US" w:eastAsia="zh-CN"/>
        </w:rPr>
        <w:t>对应子项目</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20%</w:t>
      </w:r>
      <w:r>
        <w:rPr>
          <w:rFonts w:ascii="宋体" w:hAnsi="宋体" w:cs="宋体"/>
          <w:color w:val="auto"/>
          <w:sz w:val="24"/>
          <w:szCs w:val="24"/>
          <w:highlight w:val="none"/>
        </w:rPr>
        <w:t>作为违约金。</w:t>
      </w:r>
    </w:p>
    <w:p w14:paraId="31BAF181">
      <w:pPr>
        <w:keepNext w:val="0"/>
        <w:keepLines w:val="0"/>
        <w:pageBreakBefore w:val="0"/>
        <w:widowControl w:val="0"/>
        <w:kinsoku/>
        <w:wordWrap/>
        <w:overflowPunct/>
        <w:bidi w:val="0"/>
        <w:spacing w:line="500" w:lineRule="exact"/>
        <w:ind w:firstLine="448" w:firstLineChars="200"/>
        <w:jc w:val="both"/>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8"/>
          <w:kern w:val="2"/>
          <w:sz w:val="24"/>
          <w:szCs w:val="21"/>
          <w:highlight w:val="none"/>
          <w:lang w:val="en-US" w:eastAsia="zh-CN" w:bidi="ar-SA"/>
        </w:rPr>
        <w:t>合同签订后，在收到甲方开工通知后7天内，施工单位需提交完整的盖章版施工备案资料，</w:t>
      </w:r>
      <w:r>
        <w:rPr>
          <w:rFonts w:hint="eastAsia" w:ascii="宋体" w:hAnsi="宋体" w:eastAsia="宋体" w:cs="宋体"/>
          <w:color w:val="auto"/>
          <w:kern w:val="2"/>
          <w:sz w:val="24"/>
          <w:szCs w:val="24"/>
          <w:highlight w:val="none"/>
          <w:lang w:val="en-US" w:eastAsia="zh-CN" w:bidi="ar-SA"/>
        </w:rPr>
        <w:t>每逾期一日，应按</w:t>
      </w:r>
      <w:r>
        <w:rPr>
          <w:rFonts w:hint="eastAsia" w:ascii="宋体" w:hAnsi="宋体" w:eastAsia="宋体" w:cs="宋体"/>
          <w:color w:val="auto"/>
          <w:kern w:val="2"/>
          <w:sz w:val="24"/>
          <w:szCs w:val="24"/>
          <w:highlight w:val="none"/>
          <w:u w:val="single"/>
          <w:lang w:val="en-US" w:eastAsia="zh-CN" w:bidi="ar-SA"/>
        </w:rPr>
        <w:t>对应子项目合同暂定总价的10%/日</w:t>
      </w:r>
      <w:r>
        <w:rPr>
          <w:rFonts w:hint="eastAsia" w:ascii="宋体" w:hAnsi="宋体" w:eastAsia="宋体" w:cs="宋体"/>
          <w:color w:val="auto"/>
          <w:kern w:val="2"/>
          <w:sz w:val="24"/>
          <w:szCs w:val="24"/>
          <w:highlight w:val="none"/>
          <w:lang w:val="en-US" w:eastAsia="zh-CN" w:bidi="ar-SA"/>
        </w:rPr>
        <w:t>支付逾期违约金，逾期达到</w:t>
      </w:r>
      <w:r>
        <w:rPr>
          <w:rFonts w:hint="eastAsia" w:ascii="宋体" w:hAnsi="宋体" w:eastAsia="宋体" w:cs="宋体"/>
          <w:color w:val="auto"/>
          <w:kern w:val="2"/>
          <w:sz w:val="24"/>
          <w:szCs w:val="24"/>
          <w:highlight w:val="none"/>
          <w:u w:val="single"/>
          <w:lang w:val="en-US" w:eastAsia="zh-CN" w:bidi="ar-SA"/>
        </w:rPr>
        <w:t xml:space="preserve"> 7 </w:t>
      </w:r>
      <w:r>
        <w:rPr>
          <w:rFonts w:hint="eastAsia" w:ascii="宋体" w:hAnsi="宋体" w:eastAsia="宋体" w:cs="宋体"/>
          <w:color w:val="auto"/>
          <w:kern w:val="2"/>
          <w:sz w:val="24"/>
          <w:szCs w:val="24"/>
          <w:highlight w:val="none"/>
          <w:lang w:val="en-US" w:eastAsia="zh-CN" w:bidi="ar-SA"/>
        </w:rPr>
        <w:t>日及以上的，甲方有权解除合同。</w:t>
      </w:r>
    </w:p>
    <w:p w14:paraId="3D28CA7A">
      <w:pPr>
        <w:keepNext w:val="0"/>
        <w:keepLines w:val="0"/>
        <w:pageBreakBefore w:val="0"/>
        <w:widowControl w:val="0"/>
        <w:kinsoku/>
        <w:wordWrap/>
        <w:overflowPunct/>
        <w:bidi w:val="0"/>
        <w:spacing w:line="500" w:lineRule="exact"/>
        <w:ind w:firstLine="480" w:firstLineChars="200"/>
        <w:jc w:val="both"/>
        <w:outlineLvl w:val="1"/>
        <w:rPr>
          <w:rFonts w:hint="eastAsia" w:ascii="宋体" w:hAnsi="宋体" w:eastAsia="宋体" w:cs="宋体"/>
          <w:color w:val="auto"/>
          <w:kern w:val="2"/>
          <w:sz w:val="24"/>
          <w:szCs w:val="24"/>
          <w:highlight w:val="none"/>
          <w:lang w:val="en-US" w:eastAsia="zh-CN" w:bidi="ar-SA"/>
        </w:rPr>
      </w:pPr>
    </w:p>
    <w:tbl>
      <w:tblPr>
        <w:tblStyle w:val="40"/>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803"/>
        <w:gridCol w:w="4956"/>
        <w:gridCol w:w="1175"/>
      </w:tblGrid>
      <w:tr w14:paraId="6A18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3" w:type="dxa"/>
            <w:noWrap w:val="0"/>
            <w:vAlign w:val="center"/>
          </w:tcPr>
          <w:p w14:paraId="39A537D6">
            <w:pPr>
              <w:widowControl w:val="0"/>
              <w:autoSpaceDE w:val="0"/>
              <w:autoSpaceDN w:val="0"/>
              <w:spacing w:line="360" w:lineRule="auto"/>
              <w:ind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序号</w:t>
            </w:r>
          </w:p>
        </w:tc>
        <w:tc>
          <w:tcPr>
            <w:tcW w:w="1803" w:type="dxa"/>
            <w:noWrap w:val="0"/>
            <w:vAlign w:val="center"/>
          </w:tcPr>
          <w:p w14:paraId="6F3E982D">
            <w:pPr>
              <w:widowControl w:val="0"/>
              <w:autoSpaceDE w:val="0"/>
              <w:autoSpaceDN w:val="0"/>
              <w:spacing w:line="360" w:lineRule="auto"/>
              <w:ind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分公司</w:t>
            </w:r>
          </w:p>
        </w:tc>
        <w:tc>
          <w:tcPr>
            <w:tcW w:w="4956" w:type="dxa"/>
            <w:noWrap w:val="0"/>
            <w:vAlign w:val="center"/>
          </w:tcPr>
          <w:p w14:paraId="1BB9F3B2">
            <w:pPr>
              <w:widowControl w:val="0"/>
              <w:autoSpaceDE w:val="0"/>
              <w:autoSpaceDN w:val="0"/>
              <w:spacing w:line="360" w:lineRule="auto"/>
              <w:ind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项目名称</w:t>
            </w:r>
          </w:p>
        </w:tc>
        <w:tc>
          <w:tcPr>
            <w:tcW w:w="1175" w:type="dxa"/>
            <w:noWrap w:val="0"/>
            <w:vAlign w:val="center"/>
          </w:tcPr>
          <w:p w14:paraId="2E7E2ADF">
            <w:pPr>
              <w:widowControl w:val="0"/>
              <w:autoSpaceDE w:val="0"/>
              <w:autoSpaceDN w:val="0"/>
              <w:spacing w:line="360" w:lineRule="auto"/>
              <w:ind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工期（天）</w:t>
            </w:r>
          </w:p>
        </w:tc>
      </w:tr>
      <w:tr w14:paraId="5B9C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3" w:type="dxa"/>
            <w:noWrap w:val="0"/>
            <w:vAlign w:val="center"/>
          </w:tcPr>
          <w:p w14:paraId="0E3DEBA8">
            <w:pPr>
              <w:widowControl w:val="0"/>
              <w:autoSpaceDE w:val="0"/>
              <w:autoSpaceDN w:val="0"/>
              <w:spacing w:line="360" w:lineRule="auto"/>
              <w:ind w:firstLine="0" w:firstLineChars="0"/>
              <w:jc w:val="center"/>
              <w:rPr>
                <w:rFonts w:hint="eastAsia" w:ascii="宋体" w:hAnsi="宋体" w:eastAsia="宋体" w:cs="宋体"/>
                <w:color w:val="auto"/>
                <w:kern w:val="2"/>
                <w:sz w:val="18"/>
                <w:szCs w:val="18"/>
                <w:highlight w:val="none"/>
                <w:lang w:val="en-US" w:eastAsia="zh-CN" w:bidi="ar-SA"/>
              </w:rPr>
            </w:pPr>
          </w:p>
        </w:tc>
        <w:tc>
          <w:tcPr>
            <w:tcW w:w="1803" w:type="dxa"/>
            <w:noWrap w:val="0"/>
            <w:vAlign w:val="center"/>
          </w:tcPr>
          <w:p w14:paraId="75C22D8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c>
          <w:tcPr>
            <w:tcW w:w="4956" w:type="dxa"/>
            <w:noWrap w:val="0"/>
            <w:vAlign w:val="center"/>
          </w:tcPr>
          <w:p w14:paraId="3829D7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c>
          <w:tcPr>
            <w:tcW w:w="1175" w:type="dxa"/>
            <w:noWrap w:val="0"/>
            <w:vAlign w:val="center"/>
          </w:tcPr>
          <w:p w14:paraId="2416D66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F40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3" w:type="dxa"/>
            <w:noWrap w:val="0"/>
            <w:vAlign w:val="center"/>
          </w:tcPr>
          <w:p w14:paraId="0654D599">
            <w:pPr>
              <w:widowControl w:val="0"/>
              <w:autoSpaceDE w:val="0"/>
              <w:autoSpaceDN w:val="0"/>
              <w:spacing w:line="360" w:lineRule="auto"/>
              <w:ind w:firstLine="0" w:firstLineChars="0"/>
              <w:jc w:val="center"/>
              <w:rPr>
                <w:rFonts w:hint="default" w:ascii="宋体" w:hAnsi="宋体" w:eastAsia="宋体" w:cs="宋体"/>
                <w:color w:val="auto"/>
                <w:kern w:val="2"/>
                <w:sz w:val="18"/>
                <w:szCs w:val="18"/>
                <w:highlight w:val="none"/>
                <w:lang w:val="en-US" w:eastAsia="zh-CN" w:bidi="ar-SA"/>
              </w:rPr>
            </w:pPr>
          </w:p>
        </w:tc>
        <w:tc>
          <w:tcPr>
            <w:tcW w:w="1803" w:type="dxa"/>
            <w:noWrap w:val="0"/>
            <w:vAlign w:val="center"/>
          </w:tcPr>
          <w:p w14:paraId="754BCD3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c>
          <w:tcPr>
            <w:tcW w:w="4956" w:type="dxa"/>
            <w:noWrap w:val="0"/>
            <w:vAlign w:val="center"/>
          </w:tcPr>
          <w:p w14:paraId="7DD7CAC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c>
          <w:tcPr>
            <w:tcW w:w="1175" w:type="dxa"/>
            <w:noWrap w:val="0"/>
            <w:vAlign w:val="center"/>
          </w:tcPr>
          <w:p w14:paraId="756A7698">
            <w:pPr>
              <w:keepNext w:val="0"/>
              <w:keepLines w:val="0"/>
              <w:widowControl/>
              <w:suppressLineNumbers w:val="0"/>
              <w:jc w:val="center"/>
              <w:textAlignment w:val="center"/>
              <w:rPr>
                <w:rFonts w:hint="default" w:ascii="宋体" w:hAnsi="宋体" w:eastAsia="宋体" w:cs="宋体"/>
                <w:color w:val="auto"/>
                <w:kern w:val="2"/>
                <w:sz w:val="18"/>
                <w:szCs w:val="18"/>
                <w:highlight w:val="none"/>
                <w:lang w:val="en-US" w:eastAsia="zh-CN" w:bidi="ar-SA"/>
              </w:rPr>
            </w:pPr>
          </w:p>
        </w:tc>
      </w:tr>
      <w:tr w14:paraId="0D9D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3" w:type="dxa"/>
            <w:noWrap w:val="0"/>
            <w:vAlign w:val="center"/>
          </w:tcPr>
          <w:p w14:paraId="2CFC7BF8">
            <w:pPr>
              <w:widowControl w:val="0"/>
              <w:autoSpaceDE w:val="0"/>
              <w:autoSpaceDN w:val="0"/>
              <w:spacing w:line="360" w:lineRule="auto"/>
              <w:ind w:firstLine="0" w:firstLineChars="0"/>
              <w:jc w:val="center"/>
              <w:rPr>
                <w:rFonts w:hint="eastAsia" w:ascii="宋体" w:hAnsi="宋体" w:eastAsia="宋体" w:cs="宋体"/>
                <w:color w:val="auto"/>
                <w:kern w:val="2"/>
                <w:sz w:val="18"/>
                <w:szCs w:val="18"/>
                <w:highlight w:val="none"/>
                <w:lang w:val="en-US" w:eastAsia="zh-CN" w:bidi="ar-SA"/>
              </w:rPr>
            </w:pPr>
          </w:p>
        </w:tc>
        <w:tc>
          <w:tcPr>
            <w:tcW w:w="1803" w:type="dxa"/>
            <w:noWrap w:val="0"/>
            <w:vAlign w:val="center"/>
          </w:tcPr>
          <w:p w14:paraId="5203B8F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c>
          <w:tcPr>
            <w:tcW w:w="4956" w:type="dxa"/>
            <w:noWrap w:val="0"/>
            <w:vAlign w:val="center"/>
          </w:tcPr>
          <w:p w14:paraId="074C691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c>
          <w:tcPr>
            <w:tcW w:w="1175" w:type="dxa"/>
            <w:noWrap w:val="0"/>
            <w:vAlign w:val="center"/>
          </w:tcPr>
          <w:p w14:paraId="5B30F8FA">
            <w:pPr>
              <w:keepNext w:val="0"/>
              <w:keepLines w:val="0"/>
              <w:widowControl/>
              <w:suppressLineNumbers w:val="0"/>
              <w:jc w:val="center"/>
              <w:textAlignment w:val="center"/>
              <w:rPr>
                <w:rFonts w:hint="default" w:ascii="宋体" w:hAnsi="宋体" w:eastAsia="宋体" w:cs="宋体"/>
                <w:color w:val="auto"/>
                <w:kern w:val="2"/>
                <w:sz w:val="18"/>
                <w:szCs w:val="18"/>
                <w:highlight w:val="none"/>
                <w:lang w:val="en-US" w:eastAsia="zh-CN" w:bidi="ar-SA"/>
              </w:rPr>
            </w:pPr>
          </w:p>
        </w:tc>
      </w:tr>
      <w:tr w14:paraId="2B0A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3" w:type="dxa"/>
            <w:noWrap w:val="0"/>
            <w:vAlign w:val="center"/>
          </w:tcPr>
          <w:p w14:paraId="325FD2D9">
            <w:pPr>
              <w:widowControl w:val="0"/>
              <w:autoSpaceDE w:val="0"/>
              <w:autoSpaceDN w:val="0"/>
              <w:spacing w:line="360" w:lineRule="auto"/>
              <w:ind w:firstLine="0" w:firstLineChars="0"/>
              <w:jc w:val="center"/>
              <w:rPr>
                <w:rFonts w:hint="eastAsia" w:ascii="宋体" w:hAnsi="宋体" w:eastAsia="宋体" w:cs="宋体"/>
                <w:color w:val="auto"/>
                <w:kern w:val="2"/>
                <w:sz w:val="18"/>
                <w:szCs w:val="18"/>
                <w:highlight w:val="none"/>
                <w:lang w:val="en-US" w:eastAsia="zh-CN" w:bidi="ar-SA"/>
              </w:rPr>
            </w:pPr>
          </w:p>
        </w:tc>
        <w:tc>
          <w:tcPr>
            <w:tcW w:w="1803" w:type="dxa"/>
            <w:noWrap w:val="0"/>
            <w:vAlign w:val="center"/>
          </w:tcPr>
          <w:p w14:paraId="226A5B4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c>
          <w:tcPr>
            <w:tcW w:w="4956" w:type="dxa"/>
            <w:noWrap w:val="0"/>
            <w:vAlign w:val="center"/>
          </w:tcPr>
          <w:p w14:paraId="4615E4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c>
          <w:tcPr>
            <w:tcW w:w="1175" w:type="dxa"/>
            <w:noWrap w:val="0"/>
            <w:vAlign w:val="center"/>
          </w:tcPr>
          <w:p w14:paraId="48D10490">
            <w:pPr>
              <w:keepNext w:val="0"/>
              <w:keepLines w:val="0"/>
              <w:widowControl/>
              <w:suppressLineNumbers w:val="0"/>
              <w:jc w:val="center"/>
              <w:textAlignment w:val="center"/>
              <w:rPr>
                <w:rFonts w:hint="default" w:ascii="宋体" w:hAnsi="宋体" w:eastAsia="宋体" w:cs="宋体"/>
                <w:color w:val="auto"/>
                <w:kern w:val="2"/>
                <w:sz w:val="18"/>
                <w:szCs w:val="18"/>
                <w:highlight w:val="none"/>
                <w:lang w:val="en-US" w:eastAsia="zh-CN" w:bidi="ar-SA"/>
              </w:rPr>
            </w:pPr>
          </w:p>
        </w:tc>
      </w:tr>
    </w:tbl>
    <w:p w14:paraId="0F79EF1E">
      <w:pPr>
        <w:keepNext w:val="0"/>
        <w:keepLines w:val="0"/>
        <w:pageBreakBefore w:val="0"/>
        <w:widowControl w:val="0"/>
        <w:kinsoku/>
        <w:wordWrap/>
        <w:overflowPunct/>
        <w:bidi w:val="0"/>
        <w:spacing w:line="500" w:lineRule="exact"/>
        <w:ind w:firstLine="480" w:firstLineChars="200"/>
        <w:jc w:val="both"/>
        <w:outlineLvl w:val="1"/>
        <w:rPr>
          <w:rFonts w:hint="eastAsia" w:ascii="宋体" w:hAnsi="宋体" w:eastAsia="宋体" w:cs="宋体"/>
          <w:color w:val="auto"/>
          <w:kern w:val="2"/>
          <w:sz w:val="24"/>
          <w:szCs w:val="24"/>
          <w:highlight w:val="none"/>
          <w:lang w:val="en-US" w:eastAsia="zh-CN" w:bidi="ar-SA"/>
        </w:rPr>
      </w:pPr>
    </w:p>
    <w:p w14:paraId="6F32D8ED">
      <w:pPr>
        <w:widowControl/>
        <w:spacing w:line="384"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5.2</w:t>
      </w:r>
      <w:r>
        <w:rPr>
          <w:rFonts w:hint="eastAsia" w:ascii="宋体" w:hAnsi="宋体" w:cs="宋体"/>
          <w:bCs/>
          <w:color w:val="auto"/>
          <w:sz w:val="24"/>
          <w:szCs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color w:val="auto"/>
          <w:sz w:val="24"/>
          <w:szCs w:val="24"/>
          <w:highlight w:val="none"/>
          <w:lang w:val="en-US" w:eastAsia="zh-CN"/>
        </w:rPr>
        <w:t>对应子项目</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5%/</w:t>
      </w:r>
      <w:r>
        <w:rPr>
          <w:rFonts w:hint="eastAsia" w:ascii="宋体" w:hAnsi="宋体" w:cs="宋体"/>
          <w:bCs/>
          <w:color w:val="auto"/>
          <w:sz w:val="24"/>
          <w:szCs w:val="24"/>
          <w:highlight w:val="none"/>
          <w:u w:val="single"/>
        </w:rPr>
        <w:t>次</w:t>
      </w:r>
      <w:r>
        <w:rPr>
          <w:rFonts w:hint="eastAsia" w:ascii="宋体" w:hAnsi="宋体" w:cs="宋体"/>
          <w:bCs/>
          <w:color w:val="auto"/>
          <w:sz w:val="24"/>
          <w:szCs w:val="24"/>
          <w:highlight w:val="none"/>
        </w:rPr>
        <w:t>作为违约金，超过三次（含三次）的，甲方有权解除合同，要求乙方支付</w:t>
      </w:r>
      <w:r>
        <w:rPr>
          <w:rFonts w:hint="eastAsia" w:ascii="宋体" w:hAnsi="宋体" w:cs="宋体"/>
          <w:bCs/>
          <w:color w:val="auto"/>
          <w:sz w:val="24"/>
          <w:szCs w:val="24"/>
          <w:highlight w:val="none"/>
          <w:lang w:val="en-US" w:eastAsia="zh-CN"/>
        </w:rPr>
        <w:t>对应子项目</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20%</w:t>
      </w:r>
      <w:r>
        <w:rPr>
          <w:rFonts w:hint="eastAsia" w:ascii="宋体" w:hAnsi="宋体" w:cs="宋体"/>
          <w:bCs/>
          <w:color w:val="auto"/>
          <w:sz w:val="24"/>
          <w:szCs w:val="24"/>
          <w:highlight w:val="none"/>
        </w:rPr>
        <w:t>作为违约金。由此造成的经济和法律责任，均由乙方负责。</w:t>
      </w:r>
    </w:p>
    <w:p w14:paraId="420BCB31">
      <w:pPr>
        <w:widowControl/>
        <w:spacing w:line="384" w:lineRule="auto"/>
        <w:ind w:left="1"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5.3</w:t>
      </w:r>
      <w:r>
        <w:rPr>
          <w:rFonts w:hint="eastAsia" w:ascii="宋体" w:hAnsi="宋体" w:cs="宋体"/>
          <w:bCs/>
          <w:color w:val="auto"/>
          <w:sz w:val="24"/>
          <w:szCs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hint="eastAsia" w:ascii="宋体" w:hAnsi="宋体" w:cs="宋体"/>
          <w:bCs/>
          <w:color w:val="auto"/>
          <w:sz w:val="24"/>
          <w:szCs w:val="24"/>
          <w:highlight w:val="none"/>
          <w:u w:val="single"/>
          <w:lang w:val="en-US" w:eastAsia="zh-CN"/>
        </w:rPr>
        <w:t xml:space="preserve"> 20 </w:t>
      </w:r>
      <w:r>
        <w:rPr>
          <w:rFonts w:hint="eastAsia" w:ascii="宋体" w:hAnsi="宋体" w:cs="宋体"/>
          <w:bCs/>
          <w:color w:val="auto"/>
          <w:sz w:val="24"/>
          <w:szCs w:val="24"/>
          <w:highlight w:val="none"/>
        </w:rPr>
        <w:t>日内将全部图纸退还给甲方。</w:t>
      </w:r>
    </w:p>
    <w:p w14:paraId="5EC7146D">
      <w:pPr>
        <w:widowControl/>
        <w:spacing w:line="384" w:lineRule="auto"/>
        <w:ind w:left="1"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5.4</w:t>
      </w:r>
      <w:r>
        <w:rPr>
          <w:rFonts w:hint="eastAsia" w:ascii="宋体" w:hAnsi="宋体" w:cs="宋体"/>
          <w:bCs/>
          <w:color w:val="auto"/>
          <w:sz w:val="24"/>
          <w:szCs w:val="24"/>
          <w:highlight w:val="none"/>
        </w:rPr>
        <w:t>合同约定的项目，乙方不得转包、</w:t>
      </w:r>
      <w:r>
        <w:rPr>
          <w:rFonts w:hint="eastAsia" w:ascii="宋体" w:hAnsi="宋体" w:cs="宋体"/>
          <w:bCs/>
          <w:color w:val="auto"/>
          <w:sz w:val="24"/>
          <w:szCs w:val="24"/>
          <w:highlight w:val="none"/>
          <w:lang w:val="en-US" w:eastAsia="zh-CN"/>
        </w:rPr>
        <w:t>非法</w:t>
      </w:r>
      <w:r>
        <w:rPr>
          <w:rFonts w:hint="eastAsia" w:ascii="宋体" w:hAnsi="宋体" w:cs="宋体"/>
          <w:bCs/>
          <w:color w:val="auto"/>
          <w:sz w:val="24"/>
          <w:szCs w:val="24"/>
          <w:highlight w:val="none"/>
        </w:rPr>
        <w:t>分包。否则，甲方有权单方面终止合同，并令其立即退场，由此而造成的经济损失由乙方负责赔偿。</w:t>
      </w:r>
    </w:p>
    <w:p w14:paraId="73AF8C9A">
      <w:pPr>
        <w:topLinePunct/>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5.5施工过程中，项目现场负责人、专职安全员应驻场管理，否则甲方有权要求乙方支付违约</w:t>
      </w:r>
      <w:r>
        <w:rPr>
          <w:rFonts w:hint="eastAsia" w:ascii="宋体" w:hAnsi="宋体" w:eastAsia="宋体" w:cs="宋体"/>
          <w:color w:val="auto"/>
          <w:sz w:val="24"/>
          <w:szCs w:val="24"/>
          <w:highlight w:val="none"/>
          <w:u w:val="single"/>
          <w:lang w:val="en-US" w:eastAsia="zh-CN"/>
        </w:rPr>
        <w:t xml:space="preserve"> 金1000元/天</w:t>
      </w:r>
      <w:r>
        <w:rPr>
          <w:rFonts w:hint="eastAsia" w:ascii="宋体" w:hAnsi="宋体" w:eastAsia="宋体" w:cs="宋体"/>
          <w:color w:val="auto"/>
          <w:sz w:val="24"/>
          <w:szCs w:val="24"/>
          <w:highlight w:val="none"/>
          <w:lang w:val="en-US" w:eastAsia="zh-CN"/>
        </w:rPr>
        <w:t>，因此造成损失的，按实际发生额赔偿。</w:t>
      </w:r>
    </w:p>
    <w:p w14:paraId="3CBD373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5.6 施工过程中，乙方应负责配备现场的应急物资。具体应急物资配备详见附件应急救援物资清单。</w:t>
      </w:r>
    </w:p>
    <w:p w14:paraId="72CCE2F9">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5.7在合同有效期内，乙方自愿接受甲方按《广州净水公司工程项目承包单位质量安全考评细则（试行）》处理，具体处理标准详见附件</w:t>
      </w:r>
      <w:r>
        <w:rPr>
          <w:rFonts w:hint="eastAsia" w:ascii="宋体" w:hAnsi="宋体" w:eastAsia="仿宋_GB2312" w:cs="宋体"/>
          <w:color w:val="auto"/>
          <w:sz w:val="24"/>
          <w:szCs w:val="24"/>
          <w:highlight w:val="none"/>
          <w:lang w:val="en-US" w:eastAsia="zh-CN" w:bidi="ar-SA"/>
        </w:rPr>
        <w:t>7。</w:t>
      </w:r>
    </w:p>
    <w:p w14:paraId="2FC612ED">
      <w:pPr>
        <w:widowControl w:val="0"/>
        <w:autoSpaceDE w:val="0"/>
        <w:autoSpaceDN w:val="0"/>
        <w:adjustRightInd w:val="0"/>
        <w:rPr>
          <w:rFonts w:hint="eastAsia" w:ascii="宋体" w:hAnsi="Times New Roman" w:eastAsia="仿宋_GB2312" w:cs="宋体"/>
          <w:color w:val="auto"/>
          <w:sz w:val="24"/>
          <w:szCs w:val="24"/>
          <w:highlight w:val="none"/>
          <w:lang w:val="en-US" w:eastAsia="zh-CN" w:bidi="ar-SA"/>
        </w:rPr>
      </w:pPr>
    </w:p>
    <w:p w14:paraId="484B0C6B">
      <w:pPr>
        <w:tabs>
          <w:tab w:val="left" w:pos="851"/>
        </w:tabs>
        <w:adjustRightInd w:val="0"/>
        <w:snapToGrid w:val="0"/>
        <w:spacing w:line="360" w:lineRule="auto"/>
        <w:ind w:firstLine="482" w:firstLineChars="200"/>
        <w:jc w:val="left"/>
        <w:rPr>
          <w:rFonts w:ascii="宋体" w:hAnsi="宋体" w:cs="宋体"/>
          <w:b/>
          <w:color w:val="auto"/>
          <w:sz w:val="24"/>
          <w:szCs w:val="24"/>
          <w:highlight w:val="none"/>
        </w:rPr>
      </w:pPr>
      <w:r>
        <w:rPr>
          <w:rFonts w:hint="eastAsia" w:ascii="宋体" w:hAnsi="宋体" w:cs="宋体"/>
          <w:b/>
          <w:color w:val="auto"/>
          <w:sz w:val="24"/>
          <w:szCs w:val="24"/>
          <w:highlight w:val="none"/>
        </w:rPr>
        <w:t>第六条实施条件及管理要求</w:t>
      </w:r>
    </w:p>
    <w:p w14:paraId="0F6C5D0F">
      <w:pPr>
        <w:spacing w:line="384"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6.1</w:t>
      </w:r>
      <w:r>
        <w:rPr>
          <w:rFonts w:hint="eastAsia" w:ascii="宋体" w:hAnsi="宋体" w:cs="宋体"/>
          <w:color w:val="auto"/>
          <w:sz w:val="24"/>
          <w:szCs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14:paraId="0182FA69">
      <w:pPr>
        <w:spacing w:line="384"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6.2</w:t>
      </w:r>
      <w:r>
        <w:rPr>
          <w:rFonts w:hint="eastAsia" w:ascii="宋体" w:hAnsi="宋体" w:cs="宋体"/>
          <w:color w:val="auto"/>
          <w:sz w:val="24"/>
          <w:szCs w:val="24"/>
          <w:highlight w:val="none"/>
        </w:rPr>
        <w:t>施工用水用电采用以下</w:t>
      </w:r>
      <w:r>
        <w:rPr>
          <w:rFonts w:hint="eastAsia" w:ascii="宋体" w:hAnsi="宋体" w:cs="宋体"/>
          <w:color w:val="auto"/>
          <w:sz w:val="24"/>
          <w:szCs w:val="24"/>
          <w:highlight w:val="none"/>
          <w:u w:val="single"/>
          <w:lang w:val="en-US" w:eastAsia="zh-CN"/>
        </w:rPr>
        <w:t xml:space="preserve"> （1）  </w:t>
      </w:r>
      <w:r>
        <w:rPr>
          <w:rFonts w:hint="eastAsia" w:ascii="宋体" w:hAnsi="宋体" w:cs="宋体"/>
          <w:color w:val="auto"/>
          <w:sz w:val="24"/>
          <w:szCs w:val="24"/>
          <w:highlight w:val="none"/>
        </w:rPr>
        <w:t>方式执行。</w:t>
      </w:r>
    </w:p>
    <w:p w14:paraId="7EA886FF">
      <w:pPr>
        <w:spacing w:line="384"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（1）由甲方提供施工用水用电接口，水电费按合同综合单价水电含量计算，从甲方支付的工程款中直接扣回。</w:t>
      </w:r>
    </w:p>
    <w:p w14:paraId="436C6D34">
      <w:pPr>
        <w:spacing w:line="384"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（2）由甲方提供施工用水用电接口，费用按（月/项目）结算，由乙方向甲方或甲方下辖分公司/子公司支付。水电费用按所属供电局、自来水公司收费标准按实计算。</w:t>
      </w:r>
    </w:p>
    <w:p w14:paraId="5B7BC060">
      <w:pPr>
        <w:spacing w:line="384"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（3）由乙方自行负责。</w:t>
      </w:r>
    </w:p>
    <w:p w14:paraId="7B144730">
      <w:pPr>
        <w:spacing w:line="384"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施工时间安排：上午</w:t>
      </w:r>
      <w:r>
        <w:rPr>
          <w:rFonts w:ascii="宋体" w:hAnsi="宋体" w:cs="宋体"/>
          <w:color w:val="auto"/>
          <w:sz w:val="24"/>
          <w:szCs w:val="24"/>
          <w:highlight w:val="none"/>
        </w:rPr>
        <w:t>7</w:t>
      </w:r>
      <w:r>
        <w:rPr>
          <w:rFonts w:hint="eastAsia" w:ascii="宋体" w:hAnsi="宋体" w:cs="宋体"/>
          <w:color w:val="auto"/>
          <w:sz w:val="24"/>
          <w:szCs w:val="24"/>
          <w:highlight w:val="none"/>
        </w:rPr>
        <w:t>：</w:t>
      </w:r>
      <w:r>
        <w:rPr>
          <w:rFonts w:ascii="宋体" w:hAnsi="宋体" w:cs="宋体"/>
          <w:color w:val="auto"/>
          <w:sz w:val="24"/>
          <w:szCs w:val="24"/>
          <w:highlight w:val="none"/>
        </w:rPr>
        <w:t>00-12</w:t>
      </w:r>
      <w:r>
        <w:rPr>
          <w:rFonts w:hint="eastAsia" w:ascii="宋体" w:hAnsi="宋体" w:cs="宋体"/>
          <w:color w:val="auto"/>
          <w:sz w:val="24"/>
          <w:szCs w:val="24"/>
          <w:highlight w:val="none"/>
        </w:rPr>
        <w:t>：</w:t>
      </w:r>
      <w:r>
        <w:rPr>
          <w:rFonts w:ascii="宋体" w:hAnsi="宋体" w:cs="宋体"/>
          <w:color w:val="auto"/>
          <w:sz w:val="24"/>
          <w:szCs w:val="24"/>
          <w:highlight w:val="none"/>
        </w:rPr>
        <w:t>00</w:t>
      </w:r>
      <w:r>
        <w:rPr>
          <w:rFonts w:hint="eastAsia" w:ascii="宋体" w:hAnsi="宋体" w:cs="宋体"/>
          <w:color w:val="auto"/>
          <w:sz w:val="24"/>
          <w:szCs w:val="24"/>
          <w:highlight w:val="none"/>
        </w:rPr>
        <w:t>，下午</w:t>
      </w:r>
      <w:r>
        <w:rPr>
          <w:rFonts w:ascii="宋体" w:hAnsi="宋体" w:cs="宋体"/>
          <w:color w:val="auto"/>
          <w:sz w:val="24"/>
          <w:szCs w:val="24"/>
          <w:highlight w:val="none"/>
        </w:rPr>
        <w:t>14</w:t>
      </w:r>
      <w:r>
        <w:rPr>
          <w:rFonts w:hint="eastAsia" w:ascii="宋体" w:hAnsi="宋体" w:cs="宋体"/>
          <w:color w:val="auto"/>
          <w:sz w:val="24"/>
          <w:szCs w:val="24"/>
          <w:highlight w:val="none"/>
        </w:rPr>
        <w:t>：</w:t>
      </w:r>
      <w:r>
        <w:rPr>
          <w:rFonts w:ascii="宋体" w:hAnsi="宋体" w:cs="宋体"/>
          <w:color w:val="auto"/>
          <w:sz w:val="24"/>
          <w:szCs w:val="24"/>
          <w:highlight w:val="none"/>
        </w:rPr>
        <w:t>00-18</w:t>
      </w:r>
      <w:r>
        <w:rPr>
          <w:rFonts w:hint="eastAsia" w:ascii="宋体" w:hAnsi="宋体" w:cs="宋体"/>
          <w:color w:val="auto"/>
          <w:sz w:val="24"/>
          <w:szCs w:val="24"/>
          <w:highlight w:val="none"/>
        </w:rPr>
        <w:t>：</w:t>
      </w:r>
      <w:r>
        <w:rPr>
          <w:rFonts w:ascii="宋体" w:hAnsi="宋体" w:cs="宋体"/>
          <w:color w:val="auto"/>
          <w:sz w:val="24"/>
          <w:szCs w:val="24"/>
          <w:highlight w:val="none"/>
        </w:rPr>
        <w:t>00</w:t>
      </w:r>
      <w:r>
        <w:rPr>
          <w:rFonts w:hint="eastAsia" w:ascii="宋体" w:hAnsi="宋体" w:cs="宋体"/>
          <w:color w:val="auto"/>
          <w:sz w:val="24"/>
          <w:szCs w:val="24"/>
          <w:highlight w:val="none"/>
        </w:rPr>
        <w:t>，施工时间如需变动，以甲方的书面或口头通知为准。</w:t>
      </w:r>
    </w:p>
    <w:p w14:paraId="66F5D74D">
      <w:pPr>
        <w:spacing w:line="384"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6.4</w:t>
      </w:r>
      <w:r>
        <w:rPr>
          <w:rFonts w:hint="eastAsia" w:ascii="宋体" w:hAnsi="宋体" w:cs="宋体"/>
          <w:color w:val="auto"/>
          <w:sz w:val="24"/>
          <w:szCs w:val="24"/>
          <w:highlight w:val="none"/>
        </w:rPr>
        <w:t>进场施工人员必须严格遵守</w:t>
      </w:r>
      <w:r>
        <w:rPr>
          <w:rFonts w:hint="eastAsia" w:ascii="宋体" w:hAnsi="宋体" w:cs="宋体"/>
          <w:color w:val="auto"/>
          <w:kern w:val="10"/>
          <w:sz w:val="24"/>
          <w:szCs w:val="24"/>
          <w:highlight w:val="none"/>
        </w:rPr>
        <w:t>污水处理厂</w:t>
      </w:r>
      <w:r>
        <w:rPr>
          <w:rFonts w:hint="eastAsia" w:ascii="宋体" w:hAnsi="宋体" w:cs="宋体"/>
          <w:color w:val="auto"/>
          <w:sz w:val="24"/>
          <w:szCs w:val="24"/>
          <w:highlight w:val="none"/>
        </w:rPr>
        <w:t>一切规章制度。进入施工现场人员必须佩戴出入证，并自觉接受门岗检查。</w:t>
      </w:r>
    </w:p>
    <w:p w14:paraId="60AC6C0C">
      <w:pPr>
        <w:snapToGrid w:val="0"/>
        <w:spacing w:line="384"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6.5</w:t>
      </w:r>
      <w:r>
        <w:rPr>
          <w:rFonts w:hint="eastAsia" w:ascii="宋体" w:hAnsi="宋体" w:cs="宋体"/>
          <w:color w:val="auto"/>
          <w:sz w:val="24"/>
          <w:szCs w:val="24"/>
          <w:highlight w:val="none"/>
        </w:rPr>
        <w:t>环境保护要求：</w:t>
      </w:r>
    </w:p>
    <w:p w14:paraId="68876591">
      <w:pPr>
        <w:snapToGrid w:val="0"/>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）做好施工噪声、废气、废水等控制；</w:t>
      </w:r>
    </w:p>
    <w:p w14:paraId="05ECBE1D">
      <w:pPr>
        <w:snapToGrid w:val="0"/>
        <w:spacing w:line="384"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）按照国家及广州市相关规定做好建筑垃圾的处理。</w:t>
      </w:r>
    </w:p>
    <w:p w14:paraId="48984F23">
      <w:pPr>
        <w:snapToGrid w:val="0"/>
        <w:spacing w:line="384"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6.6</w:t>
      </w:r>
      <w:r>
        <w:rPr>
          <w:rFonts w:hint="eastAsia" w:ascii="宋体" w:hAnsi="宋体" w:cs="宋体"/>
          <w:color w:val="auto"/>
          <w:sz w:val="24"/>
          <w:szCs w:val="24"/>
          <w:highlight w:val="none"/>
        </w:rPr>
        <w:t>按相关法律法规及甲方相关作业施工管理要求执行。</w:t>
      </w:r>
    </w:p>
    <w:p w14:paraId="7CD29513">
      <w:pPr>
        <w:widowControl w:val="0"/>
        <w:spacing w:line="384" w:lineRule="auto"/>
        <w:jc w:val="both"/>
        <w:rPr>
          <w:rFonts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第七条 材料及设备供应</w:t>
      </w:r>
    </w:p>
    <w:p w14:paraId="7EFC4921">
      <w:pPr>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本项目承包范围内所需的设备材料、成品、未成品、运输、保管、质量等责任均由乙方承担。甲方不提供材料。</w:t>
      </w:r>
    </w:p>
    <w:p w14:paraId="3BB97D33">
      <w:pPr>
        <w:tabs>
          <w:tab w:val="left" w:pos="0"/>
        </w:tabs>
        <w:adjustRightInd w:val="0"/>
        <w:snapToGrid w:val="0"/>
        <w:spacing w:line="360" w:lineRule="auto"/>
        <w:ind w:firstLine="480" w:firstLineChars="20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7.1 交货要求：</w:t>
      </w:r>
    </w:p>
    <w:p w14:paraId="6D0762C0">
      <w:pPr>
        <w:tabs>
          <w:tab w:val="left" w:pos="0"/>
        </w:tabs>
        <w:adjustRightInd w:val="0"/>
        <w:snapToGrid w:val="0"/>
        <w:spacing w:line="360" w:lineRule="auto"/>
        <w:ind w:firstLine="480" w:firstLineChars="200"/>
        <w:jc w:val="left"/>
        <w:rPr>
          <w:rFonts w:hint="default"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7.1.1</w:t>
      </w:r>
      <w:r>
        <w:rPr>
          <w:rFonts w:hint="eastAsia" w:ascii="宋体" w:hAnsi="宋体" w:eastAsia="宋体" w:cs="宋体"/>
          <w:color w:val="auto"/>
          <w:kern w:val="0"/>
          <w:sz w:val="24"/>
          <w:szCs w:val="20"/>
          <w:highlight w:val="none"/>
        </w:rPr>
        <w:t>乙方</w:t>
      </w:r>
      <w:r>
        <w:rPr>
          <w:rFonts w:hint="eastAsia" w:ascii="宋体" w:hAnsi="宋体" w:cs="宋体"/>
          <w:color w:val="auto"/>
          <w:kern w:val="0"/>
          <w:sz w:val="24"/>
          <w:szCs w:val="20"/>
          <w:highlight w:val="none"/>
          <w:lang w:val="en-US" w:eastAsia="zh-CN"/>
        </w:rPr>
        <w:t>应按照招标需求书主要设备/材料推荐品牌、投标品牌进行供货，如未按甲方要求供货的，甲方有权拒收货物，由此造成的货期、工期延误由乙方承担。</w:t>
      </w:r>
    </w:p>
    <w:p w14:paraId="30CDEE69">
      <w:pPr>
        <w:tabs>
          <w:tab w:val="left" w:pos="0"/>
        </w:tabs>
        <w:adjustRightInd w:val="0"/>
        <w:snapToGrid w:val="0"/>
        <w:spacing w:line="360" w:lineRule="auto"/>
        <w:ind w:firstLine="480" w:firstLineChars="200"/>
        <w:jc w:val="left"/>
        <w:rPr>
          <w:rFonts w:ascii="宋体" w:hAnsi="宋体" w:eastAsia="宋体" w:cs="宋体"/>
          <w:color w:val="auto"/>
          <w:kern w:val="0"/>
          <w:sz w:val="24"/>
          <w:szCs w:val="20"/>
          <w:highlight w:val="none"/>
        </w:rPr>
      </w:pPr>
      <w:r>
        <w:rPr>
          <w:rFonts w:hint="eastAsia" w:ascii="宋体" w:hAnsi="宋体" w:cs="宋体"/>
          <w:color w:val="auto"/>
          <w:kern w:val="0"/>
          <w:sz w:val="24"/>
          <w:szCs w:val="20"/>
          <w:highlight w:val="none"/>
          <w:lang w:val="en-US" w:eastAsia="zh-CN"/>
        </w:rPr>
        <w:t>7.1.2</w:t>
      </w:r>
      <w:r>
        <w:rPr>
          <w:rFonts w:hint="eastAsia" w:ascii="宋体" w:hAnsi="宋体" w:eastAsia="宋体" w:cs="宋体"/>
          <w:color w:val="auto"/>
          <w:kern w:val="0"/>
          <w:sz w:val="24"/>
          <w:szCs w:val="20"/>
          <w:highlight w:val="none"/>
        </w:rPr>
        <w:t>应在交货时向甲方提供出厂合格证、产品质量证明文件、操作维修手册等（手册应包含设备情况、系统和主要部件常见故障、保养要求、紧急维修电话等内容）。</w:t>
      </w:r>
    </w:p>
    <w:p w14:paraId="3E94C8D5">
      <w:pPr>
        <w:tabs>
          <w:tab w:val="left" w:pos="0"/>
        </w:tabs>
        <w:adjustRightInd w:val="0"/>
        <w:snapToGrid w:val="0"/>
        <w:spacing w:line="360" w:lineRule="auto"/>
        <w:ind w:firstLine="480" w:firstLineChars="200"/>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7.2外观验收：设备运抵交货地点后，甲乙双方根据合同约定对合同设备的包装、外观与件数进行清点检查，并共同签署合同设备外观检查记录。</w:t>
      </w:r>
    </w:p>
    <w:p w14:paraId="1C467AC6">
      <w:pPr>
        <w:tabs>
          <w:tab w:val="left" w:pos="0"/>
        </w:tabs>
        <w:adjustRightInd w:val="0"/>
        <w:snapToGrid w:val="0"/>
        <w:spacing w:line="360" w:lineRule="auto"/>
        <w:ind w:firstLine="480" w:firstLineChars="200"/>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7.3 开箱验收：开箱检验在合同设备交付地点进行，开箱验收包括但不限于对合同设备数量、规格、外观完好性进行检验。经开箱验收合格后，甲方签发货物开箱验收单。开箱验收合格前，设备的损坏风险由乙方承担。</w:t>
      </w:r>
    </w:p>
    <w:p w14:paraId="393881A5">
      <w:pPr>
        <w:tabs>
          <w:tab w:val="left" w:pos="0"/>
        </w:tabs>
        <w:adjustRightInd w:val="0"/>
        <w:snapToGrid w:val="0"/>
        <w:spacing w:line="360" w:lineRule="auto"/>
        <w:ind w:firstLine="480" w:firstLineChars="200"/>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7.4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14:paraId="52C5FF4B">
      <w:pPr>
        <w:tabs>
          <w:tab w:val="left" w:pos="0"/>
        </w:tabs>
        <w:adjustRightInd w:val="0"/>
        <w:snapToGrid w:val="0"/>
        <w:spacing w:line="360" w:lineRule="auto"/>
        <w:ind w:firstLine="480" w:firstLineChars="200"/>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7.5对设备外观检查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7.4条执行，交货时间不顺延。</w:t>
      </w:r>
    </w:p>
    <w:p w14:paraId="2FE61846">
      <w:pPr>
        <w:tabs>
          <w:tab w:val="left" w:pos="0"/>
        </w:tabs>
        <w:adjustRightInd w:val="0"/>
        <w:snapToGrid w:val="0"/>
        <w:spacing w:line="360" w:lineRule="auto"/>
        <w:ind w:firstLine="480" w:firstLineChars="200"/>
        <w:jc w:val="left"/>
        <w:rPr>
          <w:color w:val="auto"/>
          <w:szCs w:val="24"/>
          <w:highlight w:val="none"/>
        </w:rPr>
      </w:pPr>
      <w:r>
        <w:rPr>
          <w:rFonts w:hint="eastAsia" w:ascii="宋体" w:hAnsi="宋体" w:eastAsia="宋体" w:cs="宋体"/>
          <w:color w:val="auto"/>
          <w:kern w:val="0"/>
          <w:sz w:val="24"/>
          <w:szCs w:val="20"/>
          <w:highlight w:val="none"/>
        </w:rPr>
        <w:t>7.6 甲方有权对合同设备进行原厂正品验证，若合同设备无法获原厂验证，甲方有权退回设备，要求乙方在 5 个工作日内退回已收取款项并按设备价格的 50 %支付违约金。</w:t>
      </w:r>
    </w:p>
    <w:p w14:paraId="061BD409">
      <w:pPr>
        <w:spacing w:line="384"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7.</w:t>
      </w:r>
      <w:r>
        <w:rPr>
          <w:rFonts w:hint="eastAsia" w:ascii="宋体" w:hAnsi="宋体" w:cs="宋体"/>
          <w:color w:val="auto"/>
          <w:sz w:val="24"/>
          <w:szCs w:val="24"/>
          <w:highlight w:val="none"/>
          <w:lang w:val="en-US" w:eastAsia="zh-CN"/>
        </w:rPr>
        <w:t>7</w:t>
      </w:r>
      <w:r>
        <w:rPr>
          <w:rFonts w:ascii="宋体" w:hAnsi="宋体" w:cs="宋体"/>
          <w:color w:val="auto"/>
          <w:sz w:val="24"/>
          <w:szCs w:val="24"/>
          <w:highlight w:val="none"/>
        </w:rPr>
        <w:t xml:space="preserve"> </w:t>
      </w:r>
      <w:r>
        <w:rPr>
          <w:rFonts w:hint="eastAsia" w:ascii="宋体" w:hAnsi="宋体" w:eastAsia="宋体" w:cs="宋体"/>
          <w:color w:val="auto"/>
          <w:sz w:val="24"/>
          <w:szCs w:val="24"/>
          <w:highlight w:val="none"/>
        </w:rPr>
        <w:t>甲方有权</w:t>
      </w:r>
      <w:r>
        <w:rPr>
          <w:rFonts w:hint="eastAsia" w:ascii="宋体" w:hAnsi="宋体" w:eastAsia="宋体" w:cs="宋体"/>
          <w:color w:val="auto"/>
          <w:sz w:val="24"/>
          <w:szCs w:val="24"/>
          <w:highlight w:val="none"/>
          <w:lang w:val="en-US" w:eastAsia="zh-CN"/>
        </w:rPr>
        <w:t>对施工材料进行抽样送检</w:t>
      </w:r>
      <w:r>
        <w:rPr>
          <w:rFonts w:hint="eastAsia" w:ascii="宋体" w:hAnsi="宋体" w:cs="宋体"/>
          <w:color w:val="auto"/>
          <w:sz w:val="24"/>
          <w:szCs w:val="24"/>
          <w:highlight w:val="none"/>
          <w:lang w:val="en-US" w:eastAsia="zh-CN"/>
        </w:rPr>
        <w:t>（检测机构为甲方委托的第三方检测机构）</w:t>
      </w:r>
      <w:r>
        <w:rPr>
          <w:rFonts w:hint="eastAsia" w:ascii="宋体" w:hAnsi="宋体" w:eastAsia="宋体" w:cs="宋体"/>
          <w:color w:val="auto"/>
          <w:sz w:val="24"/>
          <w:szCs w:val="24"/>
          <w:highlight w:val="none"/>
          <w:lang w:val="en-US" w:eastAsia="zh-CN"/>
        </w:rPr>
        <w:t>，送检不合格的，</w:t>
      </w:r>
      <w:r>
        <w:rPr>
          <w:rFonts w:hint="eastAsia" w:ascii="宋体" w:hAnsi="宋体" w:eastAsia="宋体" w:cs="宋体"/>
          <w:color w:val="auto"/>
          <w:sz w:val="24"/>
          <w:szCs w:val="24"/>
          <w:highlight w:val="none"/>
        </w:rPr>
        <w:t>对乙方处以</w:t>
      </w:r>
      <w:r>
        <w:rPr>
          <w:rFonts w:hint="eastAsia" w:ascii="宋体" w:hAnsi="宋体" w:cs="宋体"/>
          <w:color w:val="auto"/>
          <w:sz w:val="24"/>
          <w:szCs w:val="24"/>
          <w:highlight w:val="none"/>
          <w:lang w:val="en-US" w:eastAsia="zh-CN"/>
        </w:rPr>
        <w:t>对应</w:t>
      </w:r>
      <w:r>
        <w:rPr>
          <w:rFonts w:hint="eastAsia" w:ascii="宋体" w:hAnsi="宋体" w:eastAsia="宋体" w:cs="宋体"/>
          <w:color w:val="auto"/>
          <w:sz w:val="24"/>
          <w:szCs w:val="24"/>
          <w:highlight w:val="none"/>
          <w:lang w:val="en-US" w:eastAsia="zh-CN"/>
        </w:rPr>
        <w:t>子项目</w:t>
      </w:r>
      <w:r>
        <w:rPr>
          <w:rFonts w:hint="eastAsia" w:ascii="宋体" w:hAnsi="宋体" w:eastAsia="宋体" w:cs="宋体"/>
          <w:color w:val="auto"/>
          <w:sz w:val="24"/>
          <w:szCs w:val="24"/>
          <w:highlight w:val="none"/>
          <w:u w:val="single"/>
        </w:rPr>
        <w:t>合同暂定总价</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的处罚</w:t>
      </w:r>
      <w:r>
        <w:rPr>
          <w:rFonts w:hint="eastAsia" w:ascii="宋体" w:hAnsi="宋体" w:eastAsia="宋体" w:cs="宋体"/>
          <w:color w:val="auto"/>
          <w:sz w:val="24"/>
          <w:szCs w:val="24"/>
          <w:highlight w:val="none"/>
          <w:lang w:eastAsia="zh-CN"/>
        </w:rPr>
        <w:t>。检测费用先由乙方支付，如果检验结果为不合格，则该费用由乙方承担，如果检验结果为合格，则该费用由甲方承担。</w:t>
      </w:r>
    </w:p>
    <w:p w14:paraId="46A7A445">
      <w:pPr>
        <w:spacing w:line="384"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7.</w:t>
      </w:r>
      <w:r>
        <w:rPr>
          <w:rFonts w:hint="eastAsia" w:ascii="宋体" w:hAnsi="宋体" w:cs="宋体"/>
          <w:color w:val="auto"/>
          <w:sz w:val="24"/>
          <w:szCs w:val="24"/>
          <w:highlight w:val="none"/>
          <w:lang w:val="en-US" w:eastAsia="zh-CN"/>
        </w:rPr>
        <w:t>8</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承包范围之内工程所用之设备，由乙方提供。</w:t>
      </w:r>
    </w:p>
    <w:p w14:paraId="7BE1E320">
      <w:pPr>
        <w:tabs>
          <w:tab w:val="left" w:pos="851"/>
        </w:tabs>
        <w:adjustRightInd w:val="0"/>
        <w:snapToGrid w:val="0"/>
        <w:spacing w:line="360" w:lineRule="auto"/>
        <w:ind w:firstLine="482" w:firstLineChars="200"/>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w:t>
      </w:r>
      <w:r>
        <w:rPr>
          <w:rFonts w:hint="eastAsia" w:ascii="宋体" w:hAnsi="宋体" w:cs="宋体"/>
          <w:b/>
          <w:bCs/>
          <w:color w:val="auto"/>
          <w:kern w:val="0"/>
          <w:sz w:val="24"/>
          <w:szCs w:val="24"/>
          <w:highlight w:val="none"/>
          <w:lang w:val="en-US" w:eastAsia="zh-CN"/>
        </w:rPr>
        <w:t>八</w:t>
      </w:r>
      <w:r>
        <w:rPr>
          <w:rFonts w:hint="eastAsia" w:ascii="宋体" w:hAnsi="宋体" w:eastAsia="宋体" w:cs="宋体"/>
          <w:b/>
          <w:bCs/>
          <w:color w:val="auto"/>
          <w:kern w:val="0"/>
          <w:sz w:val="24"/>
          <w:szCs w:val="24"/>
          <w:highlight w:val="none"/>
        </w:rPr>
        <w:t>条 技术服务</w:t>
      </w:r>
    </w:p>
    <w:p w14:paraId="374F6F39">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.1  乙方应按甲方需求，派遣技术熟练、称职的技术人员到现场为甲方提供设备调试运行及人员培训等技术服务。</w:t>
      </w:r>
    </w:p>
    <w:p w14:paraId="2C4ABC79">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.2  甲方为乙方技术人员提供工作条件及便利，包括但不限于必要的办公场所、技术资料及出入许可等。除合同另有约定外，乙方技术人员的交通、食宿费用由乙方承担。</w:t>
      </w:r>
    </w:p>
    <w:p w14:paraId="432711EE">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.3  乙方技术人员应遵守甲方施工现场的各项规章制度和安全操作规程，并服从甲方的现场管理。</w:t>
      </w:r>
    </w:p>
    <w:p w14:paraId="542F3831">
      <w:pPr>
        <w:tabs>
          <w:tab w:val="left" w:pos="851"/>
        </w:tabs>
        <w:adjustRightInd w:val="0"/>
        <w:snapToGrid w:val="0"/>
        <w:spacing w:line="360" w:lineRule="auto"/>
        <w:ind w:firstLine="480" w:firstLineChars="200"/>
        <w:jc w:val="left"/>
        <w:rPr>
          <w:color w:val="auto"/>
          <w:szCs w:val="24"/>
          <w:highlight w:val="none"/>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.4  如果乙方技术人员提供的服务达不到合同和甲方要求的，甲方有权要求乙方撤换，因撤换而产生的费用应由乙方承担。在不影响技术服务并且征得甲方同意的条件下，乙方也可自负费用更换其技术人员。</w:t>
      </w:r>
    </w:p>
    <w:p w14:paraId="49F35FBE">
      <w:pPr>
        <w:spacing w:line="384" w:lineRule="auto"/>
        <w:rPr>
          <w:rFonts w:ascii="宋体" w:hAnsi="宋体" w:cs="宋体"/>
          <w:color w:val="auto"/>
          <w:sz w:val="24"/>
          <w:szCs w:val="24"/>
          <w:highlight w:val="none"/>
        </w:rPr>
      </w:pPr>
      <w:r>
        <w:rPr>
          <w:rFonts w:hint="eastAsia" w:ascii="宋体" w:hAnsi="宋体" w:cs="宋体"/>
          <w:b/>
          <w:bCs/>
          <w:color w:val="auto"/>
          <w:sz w:val="24"/>
          <w:szCs w:val="24"/>
          <w:highlight w:val="none"/>
        </w:rPr>
        <w:t>第</w:t>
      </w:r>
      <w:r>
        <w:rPr>
          <w:rFonts w:hint="eastAsia" w:ascii="宋体" w:hAnsi="宋体" w:cs="宋体"/>
          <w:b/>
          <w:bCs/>
          <w:color w:val="auto"/>
          <w:sz w:val="24"/>
          <w:szCs w:val="24"/>
          <w:highlight w:val="none"/>
          <w:lang w:val="en-US" w:eastAsia="zh-CN"/>
        </w:rPr>
        <w:t>九</w:t>
      </w:r>
      <w:r>
        <w:rPr>
          <w:rFonts w:hint="eastAsia" w:ascii="宋体" w:hAnsi="宋体" w:cs="宋体"/>
          <w:b/>
          <w:bCs/>
          <w:color w:val="auto"/>
          <w:sz w:val="24"/>
          <w:szCs w:val="24"/>
          <w:highlight w:val="none"/>
        </w:rPr>
        <w:t>条</w:t>
      </w:r>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付</w:t>
      </w:r>
      <w:r>
        <w:rPr>
          <w:rFonts w:hint="eastAsia" w:ascii="宋体" w:hAnsi="宋体" w:cs="宋体"/>
          <w:b/>
          <w:color w:val="auto"/>
          <w:sz w:val="24"/>
          <w:szCs w:val="24"/>
          <w:highlight w:val="none"/>
        </w:rPr>
        <w:t>款及履约担保</w:t>
      </w:r>
    </w:p>
    <w:p w14:paraId="78F7D622">
      <w:pPr>
        <w:spacing w:line="384"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ascii="宋体" w:hAnsi="宋体" w:cs="宋体"/>
          <w:color w:val="auto"/>
          <w:sz w:val="24"/>
          <w:szCs w:val="24"/>
          <w:highlight w:val="none"/>
        </w:rPr>
        <w:t>.1</w:t>
      </w:r>
      <w:r>
        <w:rPr>
          <w:rFonts w:hint="eastAsia" w:ascii="宋体" w:hAnsi="宋体" w:cs="宋体"/>
          <w:bCs/>
          <w:color w:val="auto"/>
          <w:sz w:val="24"/>
          <w:szCs w:val="24"/>
          <w:highlight w:val="none"/>
        </w:rPr>
        <w:t>预付款的支付：</w:t>
      </w:r>
      <w:r>
        <w:rPr>
          <w:rFonts w:ascii="宋体" w:hAnsi="宋体" w:cs="宋体"/>
          <w:bCs/>
          <w:color w:val="auto"/>
          <w:sz w:val="24"/>
          <w:szCs w:val="24"/>
          <w:highlight w:val="none"/>
        </w:rPr>
        <w:sym w:font="Wingdings" w:char="F0A8"/>
      </w:r>
      <w:r>
        <w:rPr>
          <w:rFonts w:hint="eastAsia" w:ascii="宋体" w:hAnsi="宋体" w:cs="宋体"/>
          <w:bCs/>
          <w:color w:val="auto"/>
          <w:sz w:val="24"/>
          <w:szCs w:val="24"/>
          <w:highlight w:val="none"/>
        </w:rPr>
        <w:t>无；</w:t>
      </w:r>
      <w:r>
        <w:rPr>
          <w:rFonts w:ascii="宋体" w:hAnsi="宋体" w:cs="宋体"/>
          <w:bCs/>
          <w:color w:val="auto"/>
          <w:sz w:val="24"/>
          <w:szCs w:val="24"/>
          <w:highlight w:val="none"/>
        </w:rPr>
        <w:sym w:font="Wingdings" w:char="00FE"/>
      </w:r>
      <w:r>
        <w:rPr>
          <w:rFonts w:hint="eastAsia" w:ascii="宋体" w:hAnsi="宋体" w:cs="宋体"/>
          <w:bCs/>
          <w:color w:val="auto"/>
          <w:sz w:val="24"/>
          <w:szCs w:val="24"/>
          <w:highlight w:val="none"/>
        </w:rPr>
        <w:t>有,合同签订后，乙方开具等额的增值税专用发票</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提交履约担保</w:t>
      </w:r>
      <w:r>
        <w:rPr>
          <w:rFonts w:hint="eastAsia" w:ascii="宋体" w:hAnsi="宋体" w:cs="宋体"/>
          <w:bCs/>
          <w:color w:val="auto"/>
          <w:sz w:val="24"/>
          <w:szCs w:val="24"/>
          <w:highlight w:val="none"/>
          <w:lang w:val="en-US" w:eastAsia="zh-CN"/>
        </w:rPr>
        <w:t>及对应预付款金额的预付款</w:t>
      </w:r>
      <w:r>
        <w:rPr>
          <w:rFonts w:hint="eastAsia" w:ascii="宋体" w:hAnsi="宋体" w:cs="宋体"/>
          <w:bCs/>
          <w:color w:val="auto"/>
          <w:sz w:val="24"/>
          <w:szCs w:val="24"/>
          <w:highlight w:val="none"/>
        </w:rPr>
        <w:t>担保后</w:t>
      </w:r>
      <w:r>
        <w:rPr>
          <w:rFonts w:ascii="宋体" w:hAnsi="宋体" w:cs="宋体"/>
          <w:bCs/>
          <w:color w:val="auto"/>
          <w:sz w:val="24"/>
          <w:szCs w:val="24"/>
          <w:highlight w:val="none"/>
          <w:u w:val="single"/>
        </w:rPr>
        <w:t xml:space="preserve"> 10 </w:t>
      </w:r>
      <w:r>
        <w:rPr>
          <w:rFonts w:hint="eastAsia" w:ascii="宋体" w:hAnsi="宋体" w:cs="宋体"/>
          <w:bCs/>
          <w:color w:val="auto"/>
          <w:sz w:val="24"/>
          <w:szCs w:val="24"/>
          <w:highlight w:val="none"/>
        </w:rPr>
        <w:t>个工作日内，甲方支付合同</w:t>
      </w:r>
      <w:r>
        <w:rPr>
          <w:rFonts w:hint="eastAsia" w:ascii="宋体" w:hAnsi="宋体" w:cs="宋体"/>
          <w:color w:val="auto"/>
          <w:sz w:val="24"/>
          <w:szCs w:val="24"/>
          <w:highlight w:val="none"/>
        </w:rPr>
        <w:t>暂定总价</w:t>
      </w:r>
      <w:r>
        <w:rPr>
          <w:rFonts w:hint="eastAsia" w:ascii="宋体" w:hAnsi="宋体" w:cs="宋体"/>
          <w:bCs/>
          <w:color w:val="auto"/>
          <w:sz w:val="24"/>
          <w:szCs w:val="24"/>
          <w:highlight w:val="none"/>
        </w:rPr>
        <w:t>的</w:t>
      </w:r>
      <w:r>
        <w:rPr>
          <w:rFonts w:ascii="宋体" w:hAnsi="宋体" w:cs="宋体"/>
          <w:bCs/>
          <w:color w:val="auto"/>
          <w:sz w:val="24"/>
          <w:szCs w:val="24"/>
          <w:highlight w:val="none"/>
          <w:u w:val="single"/>
        </w:rPr>
        <w:t>30%</w:t>
      </w:r>
      <w:r>
        <w:rPr>
          <w:rFonts w:hint="eastAsia" w:ascii="宋体" w:hAnsi="宋体" w:cs="宋体"/>
          <w:color w:val="auto"/>
          <w:sz w:val="24"/>
          <w:szCs w:val="24"/>
          <w:highlight w:val="none"/>
        </w:rPr>
        <w:t>即</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u w:val="single"/>
        </w:rPr>
        <w:t>元，（大写：</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个工作日内返还预付款（无息）。</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14:paraId="790DAC8E">
      <w:pPr>
        <w:tabs>
          <w:tab w:val="left" w:pos="0"/>
        </w:tabs>
        <w:adjustRightInd w:val="0"/>
        <w:snapToGri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预付款担保</w:t>
      </w:r>
    </w:p>
    <w:p w14:paraId="2A27F8FA">
      <w:pPr>
        <w:tabs>
          <w:tab w:val="left" w:pos="0"/>
        </w:tabs>
        <w:adjustRightInd w:val="0"/>
        <w:snapToGrid w:val="0"/>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（1）预付款担保的担保金额应与预付款金额相同。预付款从应支付给乙方的进度款中扣回。</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 xml:space="preserve">    （2）预付款担保应在预付款扣清后14</w:t>
      </w:r>
      <w:r>
        <w:rPr>
          <w:rFonts w:hint="eastAsia" w:ascii="宋体" w:hAnsi="宋体" w:cs="宋体"/>
          <w:color w:val="auto"/>
          <w:sz w:val="24"/>
          <w:szCs w:val="24"/>
          <w:highlight w:val="none"/>
          <w:lang w:val="en-US" w:eastAsia="zh-CN"/>
        </w:rPr>
        <w:t>个工作日</w:t>
      </w:r>
      <w:r>
        <w:rPr>
          <w:rFonts w:hint="eastAsia" w:ascii="宋体" w:hAnsi="宋体" w:eastAsia="宋体" w:cs="宋体"/>
          <w:color w:val="auto"/>
          <w:sz w:val="24"/>
          <w:szCs w:val="24"/>
          <w:highlight w:val="none"/>
          <w:lang w:val="en-US" w:eastAsia="zh-CN"/>
        </w:rPr>
        <w:t xml:space="preserve">内退还给乙方。甲方不承担乙方与预付款担保有关的任何利息或其他类似的费用或收益。 </w:t>
      </w:r>
      <w:r>
        <w:rPr>
          <w:rFonts w:hint="eastAsia" w:ascii="宋体" w:hAnsi="宋体" w:eastAsia="宋体" w:cs="宋体"/>
          <w:color w:val="auto"/>
          <w:sz w:val="24"/>
          <w:szCs w:val="24"/>
          <w:highlight w:val="none"/>
        </w:rPr>
        <w:t xml:space="preserve">   </w:t>
      </w:r>
    </w:p>
    <w:p w14:paraId="4A11367D">
      <w:pPr>
        <w:widowControl w:val="0"/>
        <w:spacing w:line="384" w:lineRule="auto"/>
        <w:ind w:firstLine="480" w:firstLineChars="200"/>
        <w:jc w:val="both"/>
        <w:outlineLvl w:val="1"/>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9.2各子项目完成开工报告及安全备案审批表的审批且设备材料进场后，由乙方提交申请支付资料</w:t>
      </w:r>
      <w:r>
        <w:rPr>
          <w:rFonts w:hint="eastAsia" w:ascii="宋体" w:hAnsi="宋体" w:eastAsia="宋体" w:cs="宋体"/>
          <w:color w:val="auto"/>
          <w:kern w:val="2"/>
          <w:sz w:val="24"/>
          <w:szCs w:val="24"/>
          <w:highlight w:val="none"/>
          <w:u w:val="single"/>
          <w:lang w:val="en-US" w:eastAsia="zh-CN" w:bidi="ar-SA"/>
        </w:rPr>
        <w:t xml:space="preserve"> 15 </w:t>
      </w:r>
      <w:r>
        <w:rPr>
          <w:rFonts w:hint="eastAsia" w:ascii="宋体" w:hAnsi="宋体" w:eastAsia="宋体" w:cs="宋体"/>
          <w:color w:val="auto"/>
          <w:kern w:val="2"/>
          <w:sz w:val="24"/>
          <w:szCs w:val="24"/>
          <w:highlight w:val="none"/>
          <w:lang w:val="en-US" w:eastAsia="zh-CN" w:bidi="ar-SA"/>
        </w:rPr>
        <w:t>个工作日内，甲方项目对应分公司支付至对应子项目合同暂定总价的50％，即人民币…</w:t>
      </w:r>
      <w:r>
        <w:rPr>
          <w:rFonts w:hint="eastAsia" w:ascii="宋体" w:hAnsi="宋体" w:eastAsia="宋体" w:cs="宋体"/>
          <w:color w:val="auto"/>
          <w:kern w:val="2"/>
          <w:sz w:val="24"/>
          <w:szCs w:val="24"/>
          <w:highlight w:val="none"/>
          <w:u w:val="none"/>
          <w:lang w:val="en-US" w:eastAsia="zh-CN" w:bidi="ar-SA"/>
        </w:rPr>
        <w:t>元（大写：…）给乙方</w:t>
      </w:r>
      <w:r>
        <w:rPr>
          <w:rFonts w:hint="eastAsia" w:ascii="宋体" w:hAnsi="宋体" w:eastAsia="宋体" w:cs="宋体"/>
          <w:color w:val="auto"/>
          <w:kern w:val="2"/>
          <w:sz w:val="24"/>
          <w:szCs w:val="24"/>
          <w:highlight w:val="none"/>
          <w:lang w:val="en-US" w:eastAsia="zh-CN" w:bidi="ar-SA"/>
        </w:rPr>
        <w:t>。</w:t>
      </w:r>
    </w:p>
    <w:p w14:paraId="18BACDE9">
      <w:pPr>
        <w:widowControl w:val="0"/>
        <w:spacing w:line="384" w:lineRule="auto"/>
        <w:ind w:firstLine="480" w:firstLineChars="200"/>
        <w:jc w:val="both"/>
        <w:outlineLvl w:val="1"/>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lang w:val="en-US" w:eastAsia="zh-CN" w:bidi="ar-SA"/>
        </w:rPr>
        <w:t>9</w:t>
      </w:r>
      <w:r>
        <w:rPr>
          <w:rFonts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3项目分项验收合格</w:t>
      </w:r>
      <w:r>
        <w:rPr>
          <w:rFonts w:hint="eastAsia" w:ascii="宋体" w:hAnsi="宋体" w:eastAsia="宋体" w:cs="宋体"/>
          <w:color w:val="auto"/>
          <w:kern w:val="2"/>
          <w:sz w:val="24"/>
          <w:szCs w:val="24"/>
          <w:highlight w:val="none"/>
          <w:u w:val="none"/>
          <w:lang w:val="en-US" w:eastAsia="zh-CN" w:bidi="ar-SA"/>
        </w:rPr>
        <w:t>后，由乙方提交申请支付资料，同时提交农民工工资结清说明后</w:t>
      </w:r>
      <w:r>
        <w:rPr>
          <w:rFonts w:ascii="宋体" w:hAnsi="宋体" w:eastAsia="宋体" w:cs="宋体"/>
          <w:color w:val="auto"/>
          <w:kern w:val="2"/>
          <w:sz w:val="24"/>
          <w:szCs w:val="24"/>
          <w:highlight w:val="none"/>
          <w:u w:val="single"/>
          <w:lang w:val="en-US" w:eastAsia="zh-CN" w:bidi="ar-SA"/>
        </w:rPr>
        <w:t xml:space="preserve"> 15 </w:t>
      </w:r>
      <w:r>
        <w:rPr>
          <w:rFonts w:hint="eastAsia" w:ascii="宋体" w:hAnsi="宋体" w:eastAsia="宋体" w:cs="宋体"/>
          <w:color w:val="auto"/>
          <w:kern w:val="2"/>
          <w:sz w:val="24"/>
          <w:szCs w:val="24"/>
          <w:highlight w:val="none"/>
          <w:u w:val="none"/>
          <w:lang w:val="en-US" w:eastAsia="zh-CN" w:bidi="ar-SA"/>
        </w:rPr>
        <w:t>个工作日内，甲方项目对应分公司支付至对应子项目合同暂定总价的80％，即人民币…元（大写：…）给乙方。</w:t>
      </w:r>
    </w:p>
    <w:p w14:paraId="7781EC77">
      <w:pPr>
        <w:tabs>
          <w:tab w:val="left" w:pos="0"/>
        </w:tabs>
        <w:adjustRightInd w:val="0"/>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ascii="宋体" w:hAnsi="宋体" w:cs="宋体"/>
          <w:color w:val="auto"/>
          <w:sz w:val="24"/>
          <w:szCs w:val="24"/>
          <w:highlight w:val="none"/>
        </w:rPr>
        <w:t>.1</w:t>
      </w:r>
      <w:r>
        <w:rPr>
          <w:rFonts w:hint="eastAsia" w:ascii="宋体" w:hAnsi="宋体" w:cs="宋体"/>
          <w:color w:val="auto"/>
          <w:sz w:val="24"/>
          <w:szCs w:val="24"/>
          <w:highlight w:val="none"/>
          <w:lang w:val="en-US" w:eastAsia="zh-CN"/>
        </w:rPr>
        <w:t>项目分项验收合格</w:t>
      </w:r>
      <w:r>
        <w:rPr>
          <w:rFonts w:hint="eastAsia" w:ascii="宋体" w:hAnsi="宋体" w:cs="宋体"/>
          <w:color w:val="auto"/>
          <w:sz w:val="24"/>
          <w:szCs w:val="24"/>
          <w:highlight w:val="none"/>
          <w:u w:val="none"/>
          <w:lang w:val="en-US" w:eastAsia="zh-CN"/>
        </w:rPr>
        <w:t>后，且经</w:t>
      </w:r>
      <w:r>
        <w:rPr>
          <w:rFonts w:hint="eastAsia" w:ascii="宋体" w:hAnsi="宋体" w:cs="宋体"/>
          <w:color w:val="auto"/>
          <w:sz w:val="24"/>
          <w:szCs w:val="24"/>
          <w:highlight w:val="none"/>
          <w:lang w:val="en-US" w:eastAsia="zh-CN"/>
        </w:rPr>
        <w:t>甲方或</w:t>
      </w:r>
      <w:r>
        <w:rPr>
          <w:rFonts w:hint="eastAsia" w:ascii="宋体" w:hAnsi="宋体" w:cs="宋体"/>
          <w:color w:val="auto"/>
          <w:sz w:val="24"/>
          <w:szCs w:val="24"/>
          <w:highlight w:val="none"/>
        </w:rPr>
        <w:t>甲方委托有资质第三方机构审核后，由乙方提交申请支付资料</w:t>
      </w:r>
      <w:r>
        <w:rPr>
          <w:rFonts w:ascii="宋体" w:hAnsi="宋体" w:cs="宋体"/>
          <w:color w:val="auto"/>
          <w:sz w:val="24"/>
          <w:szCs w:val="24"/>
          <w:highlight w:val="none"/>
          <w:u w:val="single"/>
        </w:rPr>
        <w:t xml:space="preserve"> 15 </w:t>
      </w:r>
      <w:r>
        <w:rPr>
          <w:rFonts w:hint="eastAsia" w:ascii="宋体" w:hAnsi="宋体" w:cs="宋体"/>
          <w:color w:val="auto"/>
          <w:sz w:val="24"/>
          <w:szCs w:val="24"/>
          <w:highlight w:val="none"/>
        </w:rPr>
        <w:t>个工作日内，甲</w:t>
      </w:r>
      <w:r>
        <w:rPr>
          <w:rFonts w:hint="eastAsia" w:ascii="宋体" w:hAnsi="宋体" w:cs="宋体"/>
          <w:color w:val="auto"/>
          <w:sz w:val="24"/>
          <w:szCs w:val="24"/>
          <w:highlight w:val="none"/>
          <w:u w:val="none"/>
        </w:rPr>
        <w:t>方</w:t>
      </w:r>
      <w:r>
        <w:rPr>
          <w:rFonts w:hint="eastAsia" w:hAnsi="宋体" w:cs="宋体"/>
          <w:color w:val="auto"/>
          <w:sz w:val="24"/>
          <w:szCs w:val="24"/>
          <w:highlight w:val="none"/>
          <w:u w:val="none"/>
          <w:lang w:val="en-US" w:eastAsia="zh-CN"/>
        </w:rPr>
        <w:t>项目对应分公司</w:t>
      </w:r>
      <w:r>
        <w:rPr>
          <w:rFonts w:hint="eastAsia" w:ascii="宋体" w:hAnsi="宋体" w:cs="宋体"/>
          <w:color w:val="auto"/>
          <w:sz w:val="24"/>
          <w:szCs w:val="24"/>
          <w:highlight w:val="none"/>
          <w:u w:val="none"/>
        </w:rPr>
        <w:t>支付至</w:t>
      </w:r>
      <w:r>
        <w:rPr>
          <w:rFonts w:hint="eastAsia" w:ascii="宋体" w:hAnsi="宋体" w:cs="宋体"/>
          <w:color w:val="auto"/>
          <w:sz w:val="24"/>
          <w:szCs w:val="24"/>
          <w:highlight w:val="none"/>
          <w:u w:val="none"/>
          <w:lang w:val="en-US" w:eastAsia="zh-CN"/>
        </w:rPr>
        <w:t>对应</w:t>
      </w:r>
      <w:r>
        <w:rPr>
          <w:rFonts w:hint="eastAsia" w:ascii="宋体" w:hAnsi="宋体" w:cs="宋体"/>
          <w:color w:val="auto"/>
          <w:sz w:val="24"/>
          <w:szCs w:val="24"/>
          <w:highlight w:val="none"/>
          <w:lang w:val="en-US" w:eastAsia="zh-CN"/>
        </w:rPr>
        <w:t>子项目</w:t>
      </w:r>
      <w:r>
        <w:rPr>
          <w:rFonts w:hint="eastAsia" w:ascii="宋体" w:hAnsi="宋体" w:cs="宋体"/>
          <w:color w:val="auto"/>
          <w:sz w:val="24"/>
          <w:szCs w:val="24"/>
          <w:highlight w:val="none"/>
        </w:rPr>
        <w:t>合同结算价的</w:t>
      </w:r>
      <w:r>
        <w:rPr>
          <w:rFonts w:ascii="宋体" w:hAnsi="宋体" w:cs="宋体"/>
          <w:color w:val="auto"/>
          <w:sz w:val="24"/>
          <w:szCs w:val="24"/>
          <w:highlight w:val="none"/>
        </w:rPr>
        <w:t>95%</w:t>
      </w:r>
      <w:r>
        <w:rPr>
          <w:rFonts w:hint="eastAsia" w:ascii="宋体" w:hAnsi="宋体" w:cs="宋体"/>
          <w:color w:val="auto"/>
          <w:sz w:val="24"/>
          <w:szCs w:val="24"/>
          <w:highlight w:val="none"/>
        </w:rPr>
        <w:t>。</w:t>
      </w:r>
    </w:p>
    <w:p w14:paraId="25306DB8">
      <w:pPr>
        <w:spacing w:line="384" w:lineRule="auto"/>
        <w:ind w:firstLine="480" w:firstLineChars="200"/>
        <w:outlineLvl w:val="1"/>
        <w:rPr>
          <w:rFonts w:hint="eastAsia"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ascii="宋体" w:hAnsi="宋体" w:cs="宋体"/>
          <w:color w:val="auto"/>
          <w:sz w:val="24"/>
          <w:szCs w:val="24"/>
          <w:highlight w:val="none"/>
        </w:rPr>
        <w:t>.</w:t>
      </w:r>
      <w:r>
        <w:rPr>
          <w:rFonts w:hint="eastAsia" w:ascii="宋体" w:hAnsi="宋体" w:cs="宋体"/>
          <w:color w:val="auto"/>
          <w:sz w:val="24"/>
          <w:szCs w:val="24"/>
          <w:highlight w:val="none"/>
        </w:rPr>
        <w:t>2</w:t>
      </w:r>
      <w:r>
        <w:rPr>
          <w:rFonts w:hint="eastAsia" w:hAnsi="宋体" w:cs="宋体"/>
          <w:color w:val="auto"/>
          <w:sz w:val="24"/>
          <w:szCs w:val="24"/>
          <w:highlight w:val="none"/>
        </w:rPr>
        <w:t>质保期按合同第</w:t>
      </w:r>
      <w:r>
        <w:rPr>
          <w:rFonts w:hint="eastAsia" w:hAnsi="宋体" w:cs="宋体"/>
          <w:color w:val="auto"/>
          <w:sz w:val="24"/>
          <w:szCs w:val="24"/>
          <w:highlight w:val="none"/>
          <w:lang w:val="en-US" w:eastAsia="zh-CN"/>
        </w:rPr>
        <w:t>十一</w:t>
      </w:r>
      <w:r>
        <w:rPr>
          <w:rFonts w:hint="eastAsia" w:hAnsi="宋体" w:cs="宋体"/>
          <w:color w:val="auto"/>
          <w:sz w:val="24"/>
          <w:szCs w:val="24"/>
          <w:highlight w:val="none"/>
        </w:rPr>
        <w:t>条规定执行，质保期满后且乙方不存在违约情形，由乙方提交申请质保金退还资料</w:t>
      </w:r>
      <w:r>
        <w:rPr>
          <w:rFonts w:hAnsi="宋体" w:cs="宋体"/>
          <w:color w:val="auto"/>
          <w:sz w:val="24"/>
          <w:szCs w:val="24"/>
          <w:highlight w:val="none"/>
          <w:u w:val="single"/>
        </w:rPr>
        <w:t xml:space="preserve"> 15 </w:t>
      </w:r>
      <w:r>
        <w:rPr>
          <w:rFonts w:hint="eastAsia" w:hAnsi="宋体" w:cs="宋体"/>
          <w:color w:val="auto"/>
          <w:sz w:val="24"/>
          <w:szCs w:val="24"/>
          <w:highlight w:val="none"/>
        </w:rPr>
        <w:t>个工作日内，甲方</w:t>
      </w:r>
      <w:r>
        <w:rPr>
          <w:rFonts w:hint="eastAsia" w:hAnsi="宋体" w:cs="宋体"/>
          <w:color w:val="auto"/>
          <w:sz w:val="24"/>
          <w:szCs w:val="24"/>
          <w:highlight w:val="none"/>
          <w:u w:val="single"/>
          <w:lang w:val="en-US" w:eastAsia="zh-CN"/>
        </w:rPr>
        <w:t>项目对应分公司</w:t>
      </w:r>
      <w:r>
        <w:rPr>
          <w:rFonts w:hint="eastAsia" w:hAnsi="宋体" w:cs="宋体"/>
          <w:color w:val="auto"/>
          <w:sz w:val="24"/>
          <w:szCs w:val="24"/>
          <w:highlight w:val="none"/>
        </w:rPr>
        <w:t>支付</w:t>
      </w:r>
      <w:r>
        <w:rPr>
          <w:rFonts w:hint="eastAsia" w:hAnsi="宋体" w:cs="宋体"/>
          <w:color w:val="auto"/>
          <w:sz w:val="24"/>
          <w:szCs w:val="24"/>
          <w:highlight w:val="none"/>
          <w:lang w:val="en-US" w:eastAsia="zh-CN"/>
        </w:rPr>
        <w:t>对应子项目</w:t>
      </w:r>
      <w:r>
        <w:rPr>
          <w:rFonts w:hint="eastAsia" w:hAnsi="宋体" w:cs="宋体"/>
          <w:color w:val="auto"/>
          <w:sz w:val="24"/>
          <w:szCs w:val="24"/>
          <w:highlight w:val="none"/>
        </w:rPr>
        <w:t>合同结算价的</w:t>
      </w:r>
      <w:r>
        <w:rPr>
          <w:rFonts w:hAnsi="宋体" w:cs="宋体"/>
          <w:color w:val="auto"/>
          <w:sz w:val="24"/>
          <w:szCs w:val="24"/>
          <w:highlight w:val="none"/>
        </w:rPr>
        <w:t>5</w:t>
      </w:r>
      <w:r>
        <w:rPr>
          <w:rFonts w:hint="eastAsia" w:hAnsi="宋体" w:cs="宋体"/>
          <w:color w:val="auto"/>
          <w:sz w:val="24"/>
          <w:szCs w:val="24"/>
          <w:highlight w:val="none"/>
        </w:rPr>
        <w:t>％（质保金）给乙方（无息）。</w:t>
      </w:r>
    </w:p>
    <w:p w14:paraId="194D9381">
      <w:pPr>
        <w:widowControl w:val="0"/>
        <w:spacing w:line="384" w:lineRule="auto"/>
        <w:ind w:firstLine="480" w:firstLineChars="200"/>
        <w:jc w:val="both"/>
        <w:outlineLvl w:val="1"/>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9.3.3本项目工程款的支付单位为：</w:t>
      </w:r>
      <w:r>
        <w:rPr>
          <w:rFonts w:hint="eastAsia" w:ascii="宋体" w:hAnsi="宋体" w:eastAsia="宋体" w:cs="宋体"/>
          <w:color w:val="auto"/>
          <w:kern w:val="2"/>
          <w:sz w:val="24"/>
          <w:szCs w:val="24"/>
          <w:highlight w:val="none"/>
          <w:u w:val="single"/>
          <w:lang w:val="en-US" w:eastAsia="zh-CN" w:bidi="ar-SA"/>
        </w:rPr>
        <w:t xml:space="preserve"> 甲方项目对应分公司 </w:t>
      </w:r>
    </w:p>
    <w:p w14:paraId="1EC4590B">
      <w:pPr>
        <w:spacing w:line="384"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9</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乙方收款账户：</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w:t>
      </w:r>
    </w:p>
    <w:p w14:paraId="3F6EFFB6">
      <w:pPr>
        <w:spacing w:line="384"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收款账号：</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w:t>
      </w:r>
    </w:p>
    <w:p w14:paraId="3FFB0CDD">
      <w:pPr>
        <w:spacing w:line="384"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开户行：</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w:t>
      </w:r>
    </w:p>
    <w:p w14:paraId="2953A32D">
      <w:pPr>
        <w:spacing w:line="384"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乙方在收款前需提交等额增值税专用发票给甲方。增值税专用发票信息：</w:t>
      </w:r>
    </w:p>
    <w:p w14:paraId="38F0D685">
      <w:pPr>
        <w:widowControl w:val="0"/>
        <w:numPr>
          <w:ilvl w:val="-1"/>
          <w:numId w:val="0"/>
        </w:numPr>
        <w:tabs>
          <w:tab w:val="left" w:pos="969"/>
        </w:tabs>
        <w:spacing w:before="163" w:after="0" w:line="360" w:lineRule="auto"/>
        <w:ind w:left="420" w:leftChars="200" w:right="2377" w:firstLine="0" w:firstLineChars="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名称：广州市净水有限公司</w:t>
      </w:r>
    </w:p>
    <w:p w14:paraId="7EDDB376">
      <w:pPr>
        <w:widowControl w:val="0"/>
        <w:spacing w:after="120" w:line="360" w:lineRule="auto"/>
        <w:ind w:left="546"/>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u w:val="single"/>
          <w:lang w:val="en-US" w:eastAsia="zh-CN" w:bidi="ar-SA"/>
        </w:rPr>
        <w:t>税号：91440101755584729Q</w:t>
      </w:r>
    </w:p>
    <w:p w14:paraId="7AAF5704">
      <w:pPr>
        <w:widowControl w:val="0"/>
        <w:spacing w:after="120" w:line="360" w:lineRule="auto"/>
        <w:ind w:left="420" w:leftChars="200"/>
        <w:jc w:val="both"/>
        <w:rPr>
          <w:rFonts w:hint="eastAsia" w:ascii="宋体" w:hAnsi="宋体" w:eastAsia="宋体" w:cs="宋体"/>
          <w:kern w:val="2"/>
          <w:sz w:val="24"/>
          <w:szCs w:val="24"/>
          <w:highlight w:val="none"/>
          <w:u w:val="single"/>
          <w:lang w:val="en-US" w:eastAsia="zh-CN" w:bidi="ar-SA"/>
        </w:rPr>
      </w:pPr>
      <w:r>
        <w:rPr>
          <w:rFonts w:hint="eastAsia" w:ascii="宋体" w:hAnsi="宋体" w:eastAsia="宋体" w:cs="宋体"/>
          <w:kern w:val="2"/>
          <w:sz w:val="24"/>
          <w:szCs w:val="24"/>
          <w:highlight w:val="none"/>
          <w:u w:val="single"/>
          <w:lang w:val="en-US" w:eastAsia="zh-CN" w:bidi="ar-SA"/>
        </w:rPr>
        <w:t>地址：广州市天河区临江大道 501 号</w:t>
      </w:r>
    </w:p>
    <w:p w14:paraId="6294186B">
      <w:pPr>
        <w:widowControl w:val="0"/>
        <w:spacing w:after="120" w:line="360" w:lineRule="auto"/>
        <w:ind w:left="420" w:leftChars="200"/>
        <w:jc w:val="both"/>
        <w:rPr>
          <w:rFonts w:hint="eastAsia" w:ascii="宋体" w:hAnsi="宋体" w:eastAsia="宋体" w:cs="宋体"/>
          <w:kern w:val="2"/>
          <w:sz w:val="24"/>
          <w:szCs w:val="24"/>
          <w:highlight w:val="none"/>
          <w:u w:val="single"/>
          <w:lang w:val="en-US" w:eastAsia="zh-CN" w:bidi="ar-SA"/>
        </w:rPr>
      </w:pPr>
      <w:r>
        <w:rPr>
          <w:rFonts w:hint="eastAsia" w:ascii="宋体" w:hAnsi="宋体" w:eastAsia="宋体" w:cs="宋体"/>
          <w:kern w:val="2"/>
          <w:sz w:val="24"/>
          <w:szCs w:val="24"/>
          <w:highlight w:val="none"/>
          <w:u w:val="single"/>
          <w:lang w:val="en-US" w:eastAsia="zh-CN" w:bidi="ar-SA"/>
        </w:rPr>
        <w:t>账号名：广州市净水有限公司</w:t>
      </w:r>
    </w:p>
    <w:p w14:paraId="74E42888">
      <w:pPr>
        <w:widowControl w:val="0"/>
        <w:spacing w:after="120" w:line="360" w:lineRule="auto"/>
        <w:ind w:left="420" w:leftChars="200"/>
        <w:jc w:val="both"/>
        <w:rPr>
          <w:rFonts w:hint="eastAsia" w:ascii="宋体" w:hAnsi="宋体" w:eastAsia="宋体" w:cs="宋体"/>
          <w:kern w:val="2"/>
          <w:sz w:val="24"/>
          <w:szCs w:val="24"/>
          <w:highlight w:val="none"/>
          <w:u w:val="single"/>
          <w:lang w:val="en-US" w:eastAsia="zh-CN" w:bidi="ar-SA"/>
        </w:rPr>
      </w:pPr>
      <w:r>
        <w:rPr>
          <w:rFonts w:hint="eastAsia" w:ascii="宋体" w:hAnsi="宋体" w:eastAsia="宋体" w:cs="宋体"/>
          <w:kern w:val="2"/>
          <w:sz w:val="24"/>
          <w:szCs w:val="24"/>
          <w:highlight w:val="none"/>
          <w:u w:val="single"/>
          <w:lang w:val="en-US" w:eastAsia="zh-CN" w:bidi="ar-SA"/>
        </w:rPr>
        <w:t xml:space="preserve">开户行：民生银行广州分行   </w:t>
      </w:r>
    </w:p>
    <w:p w14:paraId="2D38BF6C">
      <w:pPr>
        <w:widowControl w:val="0"/>
        <w:spacing w:after="120" w:line="360" w:lineRule="auto"/>
        <w:ind w:left="420" w:leftChars="200"/>
        <w:jc w:val="both"/>
        <w:rPr>
          <w:rFonts w:hint="eastAsia" w:ascii="宋体" w:hAnsi="宋体" w:eastAsia="宋体" w:cs="宋体"/>
          <w:kern w:val="2"/>
          <w:sz w:val="24"/>
          <w:szCs w:val="24"/>
          <w:highlight w:val="none"/>
          <w:u w:val="single"/>
          <w:lang w:val="en-US" w:eastAsia="zh-CN" w:bidi="ar-SA"/>
        </w:rPr>
      </w:pPr>
      <w:r>
        <w:rPr>
          <w:rFonts w:hint="eastAsia" w:ascii="宋体" w:hAnsi="宋体" w:eastAsia="宋体" w:cs="宋体"/>
          <w:kern w:val="2"/>
          <w:sz w:val="24"/>
          <w:szCs w:val="24"/>
          <w:highlight w:val="none"/>
          <w:u w:val="single"/>
          <w:lang w:val="en-US" w:eastAsia="zh-CN" w:bidi="ar-SA"/>
        </w:rPr>
        <w:t>银行账号：0301014140006932</w:t>
      </w:r>
    </w:p>
    <w:p w14:paraId="0171068F">
      <w:pPr>
        <w:spacing w:line="384" w:lineRule="auto"/>
        <w:ind w:firstLine="480" w:firstLineChars="200"/>
        <w:outlineLvl w:val="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履约担保：</w:t>
      </w:r>
      <w:r>
        <w:rPr>
          <w:rFonts w:hint="eastAsia" w:ascii="宋体" w:hAnsi="宋体" w:cs="宋体"/>
          <w:color w:val="auto"/>
          <w:szCs w:val="21"/>
          <w:highlight w:val="none"/>
        </w:rPr>
        <w:t>□</w:t>
      </w:r>
      <w:r>
        <w:rPr>
          <w:rFonts w:hint="eastAsia" w:ascii="宋体" w:hAnsi="宋体" w:cs="宋体"/>
          <w:bCs/>
          <w:color w:val="auto"/>
          <w:sz w:val="24"/>
          <w:szCs w:val="24"/>
          <w:highlight w:val="none"/>
        </w:rPr>
        <w:t>无；</w:t>
      </w:r>
      <w:r>
        <w:rPr>
          <w:rFonts w:hint="eastAsia" w:ascii="宋体" w:hAnsi="宋体" w:cs="宋体"/>
          <w:color w:val="auto"/>
          <w:szCs w:val="21"/>
          <w:highlight w:val="none"/>
        </w:rPr>
        <w:sym w:font="Wingdings 2" w:char="0052"/>
      </w:r>
      <w:r>
        <w:rPr>
          <w:rFonts w:hint="eastAsia" w:ascii="宋体" w:hAnsi="宋体" w:cs="宋体"/>
          <w:color w:val="auto"/>
          <w:szCs w:val="21"/>
          <w:highlight w:val="none"/>
        </w:rPr>
        <w:t>有,</w:t>
      </w:r>
      <w:r>
        <w:rPr>
          <w:rFonts w:hint="eastAsia" w:ascii="宋体" w:hAnsi="宋体" w:cs="宋体"/>
          <w:color w:val="auto"/>
          <w:sz w:val="24"/>
          <w:szCs w:val="24"/>
          <w:highlight w:val="none"/>
        </w:rPr>
        <w:t>本合同签订后</w:t>
      </w:r>
      <w:r>
        <w:rPr>
          <w:rFonts w:ascii="宋体" w:hAnsi="宋体" w:cs="宋体"/>
          <w:color w:val="auto"/>
          <w:sz w:val="24"/>
          <w:szCs w:val="24"/>
          <w:highlight w:val="none"/>
        </w:rPr>
        <w:t>10</w:t>
      </w:r>
      <w:r>
        <w:rPr>
          <w:rFonts w:hint="eastAsia" w:ascii="宋体" w:hAnsi="宋体" w:cs="宋体"/>
          <w:color w:val="auto"/>
          <w:sz w:val="24"/>
          <w:szCs w:val="24"/>
          <w:highlight w:val="none"/>
        </w:rPr>
        <w:t>日内</w:t>
      </w:r>
      <w:r>
        <w:rPr>
          <w:rFonts w:hint="eastAsia" w:ascii="宋体" w:hAnsi="宋体" w:cs="宋体"/>
          <w:color w:val="auto"/>
          <w:sz w:val="24"/>
          <w:szCs w:val="24"/>
          <w:highlight w:val="none"/>
          <w:u w:val="single"/>
        </w:rPr>
        <w:t>以合同暂定总价的</w:t>
      </w:r>
      <w:r>
        <w:rPr>
          <w:rFonts w:ascii="宋体" w:hAnsi="宋体" w:cs="宋体"/>
          <w:color w:val="auto"/>
          <w:sz w:val="24"/>
          <w:szCs w:val="24"/>
          <w:highlight w:val="none"/>
          <w:u w:val="single"/>
        </w:rPr>
        <w:t>10%</w:t>
      </w:r>
      <w:r>
        <w:rPr>
          <w:rFonts w:hint="eastAsia" w:ascii="宋体" w:hAnsi="宋体" w:cs="宋体"/>
          <w:color w:val="auto"/>
          <w:sz w:val="24"/>
          <w:szCs w:val="24"/>
          <w:highlight w:val="none"/>
          <w:u w:val="single"/>
        </w:rPr>
        <w:t>作为履约保证金，</w:t>
      </w:r>
      <w:r>
        <w:rPr>
          <w:rFonts w:hint="eastAsia" w:ascii="宋体" w:hAnsi="宋体" w:cs="宋体"/>
          <w:color w:val="auto"/>
          <w:sz w:val="24"/>
          <w:szCs w:val="24"/>
          <w:highlight w:val="none"/>
        </w:rPr>
        <w:t>金额为：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u w:val="single"/>
        </w:rPr>
        <w:t>（大写人民币：</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未按时提供的，甲方有权解除合同并要求乙方支付</w:t>
      </w:r>
      <w:r>
        <w:rPr>
          <w:rFonts w:hint="eastAsia" w:ascii="宋体" w:hAnsi="宋体" w:cs="宋体"/>
          <w:color w:val="auto"/>
          <w:sz w:val="24"/>
          <w:szCs w:val="24"/>
          <w:highlight w:val="none"/>
          <w:u w:val="single"/>
        </w:rPr>
        <w:t>合同暂定总价</w:t>
      </w:r>
      <w:r>
        <w:rPr>
          <w:rFonts w:ascii="宋体" w:hAnsi="宋体" w:cs="宋体"/>
          <w:color w:val="auto"/>
          <w:sz w:val="24"/>
          <w:szCs w:val="24"/>
          <w:highlight w:val="none"/>
          <w:u w:val="single"/>
        </w:rPr>
        <w:t>20%</w:t>
      </w:r>
      <w:r>
        <w:rPr>
          <w:rFonts w:hint="eastAsia" w:ascii="宋体" w:hAnsi="宋体" w:cs="宋体"/>
          <w:color w:val="auto"/>
          <w:sz w:val="24"/>
          <w:szCs w:val="24"/>
          <w:highlight w:val="none"/>
        </w:rPr>
        <w:t>作为违约金。</w:t>
      </w:r>
    </w:p>
    <w:p w14:paraId="77249BD1">
      <w:pPr>
        <w:widowControl/>
        <w:spacing w:before="0" w:beforeAutospacing="0" w:after="0" w:afterAutospacing="0" w:line="384" w:lineRule="auto"/>
        <w:ind w:firstLine="480" w:firstLineChars="200"/>
        <w:jc w:val="left"/>
        <w:rPr>
          <w:rFonts w:ascii="宋体" w:hAnsi="宋体" w:eastAsia="宋体" w:cs="Times New Roman"/>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9</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6</w:t>
      </w:r>
      <w:r>
        <w:rPr>
          <w:rFonts w:ascii="宋体" w:hAnsi="宋体" w:eastAsia="宋体" w:cs="宋体"/>
          <w:color w:val="auto"/>
          <w:kern w:val="0"/>
          <w:sz w:val="24"/>
          <w:szCs w:val="24"/>
          <w:highlight w:val="none"/>
          <w:lang w:val="en-US" w:eastAsia="zh-CN" w:bidi="ar-SA"/>
        </w:rPr>
        <w:t>.1</w:t>
      </w:r>
      <w:r>
        <w:rPr>
          <w:rFonts w:ascii="宋体" w:hAnsi="宋体" w:eastAsia="宋体" w:cs="Times New Roman"/>
          <w:color w:val="auto"/>
          <w:kern w:val="0"/>
          <w:sz w:val="24"/>
          <w:szCs w:val="24"/>
          <w:highlight w:val="none"/>
          <w:lang w:val="en-US" w:eastAsia="zh-CN" w:bidi="ar-SA"/>
        </w:rPr>
        <w:t>履约担保</w:t>
      </w:r>
      <w:r>
        <w:rPr>
          <w:rFonts w:hint="eastAsia" w:ascii="宋体" w:hAnsi="宋体" w:eastAsia="宋体" w:cs="Times New Roman"/>
          <w:color w:val="auto"/>
          <w:kern w:val="0"/>
          <w:sz w:val="24"/>
          <w:szCs w:val="24"/>
          <w:highlight w:val="none"/>
          <w:lang w:val="en-US" w:eastAsia="zh-CN" w:bidi="ar-SA"/>
        </w:rPr>
        <w:t>按以下任一种形式提供</w:t>
      </w:r>
      <w:r>
        <w:rPr>
          <w:rFonts w:ascii="宋体" w:hAnsi="宋体" w:eastAsia="宋体" w:cs="Times New Roman"/>
          <w:color w:val="auto"/>
          <w:kern w:val="0"/>
          <w:sz w:val="24"/>
          <w:szCs w:val="24"/>
          <w:highlight w:val="none"/>
          <w:lang w:val="en-US" w:eastAsia="zh-CN" w:bidi="ar-SA"/>
        </w:rPr>
        <w:t>：</w:t>
      </w:r>
    </w:p>
    <w:p w14:paraId="263ADD72">
      <w:pPr>
        <w:widowControl/>
        <w:spacing w:before="0" w:beforeAutospacing="0" w:after="0" w:afterAutospacing="0" w:line="360" w:lineRule="auto"/>
        <w:ind w:firstLine="480"/>
        <w:jc w:val="left"/>
        <w:rPr>
          <w:rFonts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（1）符合甲方要求（详见附件保函格式）的银行独立保函，</w:t>
      </w:r>
    </w:p>
    <w:p w14:paraId="7CDDB072">
      <w:pPr>
        <w:widowControl/>
        <w:numPr>
          <w:ilvl w:val="-1"/>
          <w:numId w:val="0"/>
        </w:numPr>
        <w:spacing w:before="0" w:beforeAutospacing="0" w:after="0" w:afterAutospacing="0" w:line="360" w:lineRule="auto"/>
        <w:ind w:firstLine="480"/>
        <w:jc w:val="left"/>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w:t>
      </w:r>
      <w:r>
        <w:rPr>
          <w:rFonts w:ascii="宋体" w:hAnsi="宋体" w:eastAsia="宋体" w:cs="宋体"/>
          <w:color w:val="000000"/>
          <w:kern w:val="0"/>
          <w:sz w:val="24"/>
          <w:szCs w:val="24"/>
          <w:highlight w:val="none"/>
          <w:lang w:val="en-US" w:eastAsia="zh-CN" w:bidi="ar-SA"/>
        </w:rPr>
        <w:t>担保公司担保：</w:t>
      </w:r>
      <w:r>
        <w:rPr>
          <w:rFonts w:hint="eastAsia" w:ascii="宋体" w:hAnsi="宋体" w:eastAsia="宋体" w:cs="宋体"/>
          <w:color w:val="000000"/>
          <w:kern w:val="0"/>
          <w:sz w:val="24"/>
          <w:szCs w:val="24"/>
          <w:highlight w:val="none"/>
          <w:lang w:val="en-US" w:eastAsia="zh-CN" w:bidi="ar-SA"/>
        </w:rPr>
        <w:t>项目</w:t>
      </w:r>
      <w:r>
        <w:rPr>
          <w:rFonts w:ascii="宋体" w:hAnsi="宋体" w:eastAsia="宋体" w:cs="宋体"/>
          <w:color w:val="000000"/>
          <w:kern w:val="0"/>
          <w:sz w:val="24"/>
          <w:szCs w:val="24"/>
          <w:highlight w:val="none"/>
          <w:lang w:val="en-US" w:eastAsia="zh-CN" w:bidi="ar-SA"/>
        </w:rPr>
        <w:t>所在地担保公司出具并经</w:t>
      </w:r>
      <w:r>
        <w:rPr>
          <w:rFonts w:hint="eastAsia" w:ascii="宋体" w:hAnsi="宋体" w:eastAsia="宋体" w:cs="宋体"/>
          <w:color w:val="000000"/>
          <w:kern w:val="0"/>
          <w:sz w:val="24"/>
          <w:szCs w:val="24"/>
          <w:highlight w:val="none"/>
          <w:lang w:val="en-US" w:eastAsia="zh-CN" w:bidi="ar-SA"/>
        </w:rPr>
        <w:t>甲方</w:t>
      </w:r>
      <w:r>
        <w:rPr>
          <w:rFonts w:ascii="宋体" w:hAnsi="宋体" w:eastAsia="宋体" w:cs="宋体"/>
          <w:color w:val="000000"/>
          <w:kern w:val="0"/>
          <w:sz w:val="24"/>
          <w:szCs w:val="24"/>
          <w:highlight w:val="none"/>
          <w:lang w:val="en-US" w:eastAsia="zh-CN" w:bidi="ar-SA"/>
        </w:rPr>
        <w:t>认可的无条件、不可撤销的连带担保</w:t>
      </w:r>
      <w:r>
        <w:rPr>
          <w:rFonts w:hint="eastAsia" w:ascii="宋体" w:hAnsi="宋体" w:eastAsia="宋体" w:cs="宋体"/>
          <w:color w:val="000000"/>
          <w:kern w:val="0"/>
          <w:sz w:val="24"/>
          <w:szCs w:val="24"/>
          <w:highlight w:val="none"/>
          <w:lang w:val="en-US" w:eastAsia="zh-CN" w:bidi="ar-SA"/>
        </w:rPr>
        <w:t>；</w:t>
      </w:r>
      <w:r>
        <w:rPr>
          <w:rFonts w:ascii="宋体" w:hAnsi="宋体" w:eastAsia="宋体" w:cs="宋体"/>
          <w:color w:val="000000"/>
          <w:kern w:val="0"/>
          <w:sz w:val="24"/>
          <w:szCs w:val="24"/>
          <w:highlight w:val="none"/>
          <w:lang w:val="en-US" w:eastAsia="zh-CN" w:bidi="ar-SA"/>
        </w:rPr>
        <w:br w:type="textWrapping"/>
      </w:r>
      <w:r>
        <w:rPr>
          <w:rFonts w:hint="eastAsia" w:ascii="宋体" w:hAnsi="宋体" w:eastAsia="宋体" w:cs="宋体"/>
          <w:color w:val="000000"/>
          <w:kern w:val="0"/>
          <w:sz w:val="24"/>
          <w:szCs w:val="24"/>
          <w:highlight w:val="none"/>
          <w:lang w:val="en-US" w:eastAsia="zh-CN" w:bidi="ar-SA"/>
        </w:rPr>
        <w:t xml:space="preserve">    （3）</w:t>
      </w:r>
      <w:r>
        <w:rPr>
          <w:rFonts w:ascii="宋体" w:hAnsi="宋体" w:eastAsia="宋体" w:cs="宋体"/>
          <w:color w:val="000000"/>
          <w:kern w:val="0"/>
          <w:sz w:val="24"/>
          <w:szCs w:val="24"/>
          <w:highlight w:val="none"/>
          <w:lang w:val="en-US" w:eastAsia="zh-CN" w:bidi="ar-SA"/>
        </w:rPr>
        <w:t>保证保险：</w:t>
      </w:r>
      <w:r>
        <w:rPr>
          <w:rFonts w:hint="eastAsia" w:ascii="宋体" w:hAnsi="宋体" w:eastAsia="宋体" w:cs="宋体"/>
          <w:color w:val="000000"/>
          <w:kern w:val="0"/>
          <w:sz w:val="24"/>
          <w:szCs w:val="24"/>
          <w:highlight w:val="none"/>
          <w:lang w:val="en-US" w:eastAsia="zh-CN" w:bidi="ar-SA"/>
        </w:rPr>
        <w:t>项目</w:t>
      </w:r>
      <w:r>
        <w:rPr>
          <w:rFonts w:ascii="宋体" w:hAnsi="宋体" w:eastAsia="宋体" w:cs="宋体"/>
          <w:color w:val="000000"/>
          <w:kern w:val="0"/>
          <w:sz w:val="24"/>
          <w:szCs w:val="24"/>
          <w:highlight w:val="none"/>
          <w:lang w:val="en-US" w:eastAsia="zh-CN" w:bidi="ar-SA"/>
        </w:rPr>
        <w:t>所在地保险公司出具并经</w:t>
      </w:r>
      <w:r>
        <w:rPr>
          <w:rFonts w:hint="eastAsia" w:ascii="宋体" w:hAnsi="宋体" w:eastAsia="宋体" w:cs="宋体"/>
          <w:color w:val="000000"/>
          <w:kern w:val="0"/>
          <w:sz w:val="24"/>
          <w:szCs w:val="24"/>
          <w:highlight w:val="none"/>
          <w:lang w:val="en-US" w:eastAsia="zh-CN" w:bidi="ar-SA"/>
        </w:rPr>
        <w:t>甲方</w:t>
      </w:r>
      <w:r>
        <w:rPr>
          <w:rFonts w:ascii="宋体" w:hAnsi="宋体" w:eastAsia="宋体" w:cs="宋体"/>
          <w:color w:val="000000"/>
          <w:kern w:val="0"/>
          <w:sz w:val="24"/>
          <w:szCs w:val="24"/>
          <w:highlight w:val="none"/>
          <w:lang w:val="en-US" w:eastAsia="zh-CN" w:bidi="ar-SA"/>
        </w:rPr>
        <w:t>认可的无条件、不可撤销的保证保险</w:t>
      </w:r>
      <w:r>
        <w:rPr>
          <w:rFonts w:hint="eastAsia" w:ascii="宋体" w:hAnsi="宋体" w:eastAsia="宋体" w:cs="宋体"/>
          <w:color w:val="000000"/>
          <w:kern w:val="0"/>
          <w:sz w:val="24"/>
          <w:szCs w:val="24"/>
          <w:highlight w:val="none"/>
          <w:lang w:val="en-US" w:eastAsia="zh-CN" w:bidi="ar-SA"/>
        </w:rPr>
        <w:t>；</w:t>
      </w:r>
    </w:p>
    <w:p w14:paraId="3545FE5A">
      <w:pPr>
        <w:widowControl/>
        <w:spacing w:before="0" w:beforeAutospacing="0" w:after="0" w:afterAutospacing="0" w:line="360" w:lineRule="auto"/>
        <w:ind w:firstLine="480"/>
        <w:jc w:val="left"/>
        <w:rPr>
          <w:rFonts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（4）现金转账至甲方以下指定账户：</w:t>
      </w:r>
    </w:p>
    <w:p w14:paraId="69A61B25">
      <w:pPr>
        <w:tabs>
          <w:tab w:val="left" w:pos="1995"/>
        </w:tabs>
        <w:spacing w:line="384"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户名：广州市净水有限公司</w:t>
      </w:r>
    </w:p>
    <w:p w14:paraId="0A6A6E94">
      <w:pPr>
        <w:tabs>
          <w:tab w:val="left" w:pos="1995"/>
        </w:tabs>
        <w:spacing w:line="384"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账号：</w:t>
      </w:r>
      <w:r>
        <w:rPr>
          <w:rFonts w:ascii="宋体" w:hAnsi="宋体" w:cs="宋体"/>
          <w:bCs/>
          <w:color w:val="auto"/>
          <w:sz w:val="24"/>
          <w:szCs w:val="24"/>
          <w:highlight w:val="none"/>
        </w:rPr>
        <w:t>82010154900000342</w:t>
      </w:r>
    </w:p>
    <w:p w14:paraId="0ABEF065">
      <w:pPr>
        <w:tabs>
          <w:tab w:val="left" w:pos="1995"/>
        </w:tabs>
        <w:spacing w:line="384"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开户行：浦发银行广州分行</w:t>
      </w:r>
    </w:p>
    <w:p w14:paraId="7261F096">
      <w:pPr>
        <w:spacing w:line="384" w:lineRule="auto"/>
        <w:ind w:firstLine="480" w:firstLineChars="200"/>
        <w:outlineLvl w:val="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6</w:t>
      </w:r>
      <w:r>
        <w:rPr>
          <w:rFonts w:ascii="宋体" w:hAnsi="宋体" w:cs="宋体"/>
          <w:color w:val="auto"/>
          <w:sz w:val="24"/>
          <w:szCs w:val="24"/>
          <w:highlight w:val="none"/>
        </w:rPr>
        <w:t>.2</w:t>
      </w:r>
      <w:r>
        <w:rPr>
          <w:rFonts w:hint="eastAsia" w:ascii="宋体" w:hAnsi="宋体" w:cs="宋体"/>
          <w:color w:val="auto"/>
          <w:sz w:val="24"/>
          <w:szCs w:val="24"/>
          <w:highlight w:val="none"/>
        </w:rPr>
        <w:t>履约担保的担保期限和返还</w:t>
      </w:r>
    </w:p>
    <w:p w14:paraId="0CED95F8">
      <w:pPr>
        <w:spacing w:line="384" w:lineRule="auto"/>
        <w:ind w:firstLine="480"/>
        <w:outlineLvl w:val="0"/>
        <w:rPr>
          <w:rFonts w:ascii="宋体" w:hAnsi="宋体" w:cs="宋体"/>
          <w:color w:val="auto"/>
          <w:sz w:val="24"/>
          <w:szCs w:val="24"/>
          <w:highlight w:val="none"/>
        </w:rPr>
      </w:pPr>
      <w:r>
        <w:rPr>
          <w:rFonts w:hint="eastAsia" w:ascii="宋体" w:hAnsi="宋体" w:cs="宋体"/>
          <w:color w:val="auto"/>
          <w:sz w:val="24"/>
          <w:szCs w:val="24"/>
          <w:highlight w:val="none"/>
        </w:rPr>
        <w:t>⑴履约银行保函（</w:t>
      </w:r>
      <w:r>
        <w:rPr>
          <w:rFonts w:hint="eastAsia" w:ascii="宋体" w:hAnsi="宋体" w:cs="宋体"/>
          <w:sz w:val="24"/>
          <w:szCs w:val="24"/>
          <w:highlight w:val="none"/>
          <w:lang w:val="en-US" w:eastAsia="zh-CN"/>
        </w:rPr>
        <w:t>担保公司担保、保证保险、</w:t>
      </w:r>
      <w:r>
        <w:rPr>
          <w:rFonts w:hint="eastAsia" w:ascii="宋体" w:hAnsi="宋体" w:cs="宋体"/>
          <w:color w:val="auto"/>
          <w:sz w:val="24"/>
          <w:szCs w:val="24"/>
          <w:highlight w:val="none"/>
        </w:rPr>
        <w:t>现金履约保证金）的担保期限：从提供履约担保（或转账成功）之日起至合同履行完成。</w:t>
      </w:r>
    </w:p>
    <w:p w14:paraId="3467FDD6">
      <w:pPr>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⑵履约银行保函</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担保公司担保、保证保险</w:t>
      </w:r>
      <w:r>
        <w:rPr>
          <w:rFonts w:hint="eastAsia" w:ascii="宋体" w:hAnsi="宋体" w:cs="宋体"/>
          <w:color w:val="auto"/>
          <w:sz w:val="24"/>
          <w:szCs w:val="24"/>
          <w:highlight w:val="none"/>
        </w:rPr>
        <w:t>在合同履行完成后，由乙方提出申请，甲方在28日内返还，不支付利息：</w:t>
      </w:r>
    </w:p>
    <w:p w14:paraId="6D0F6368">
      <w:pPr>
        <w:spacing w:line="384" w:lineRule="auto"/>
        <w:ind w:firstLine="600" w:firstLineChars="250"/>
        <w:outlineLvl w:val="0"/>
        <w:rPr>
          <w:rFonts w:ascii="宋体" w:hAnsi="宋体" w:cs="宋体"/>
          <w:color w:val="auto"/>
          <w:sz w:val="24"/>
          <w:szCs w:val="24"/>
          <w:highlight w:val="none"/>
        </w:rPr>
      </w:pPr>
      <w:r>
        <w:rPr>
          <w:rFonts w:hint="eastAsia" w:ascii="宋体" w:hAnsi="宋体" w:cs="宋体"/>
          <w:color w:val="auto"/>
          <w:sz w:val="24"/>
          <w:szCs w:val="24"/>
          <w:highlight w:val="none"/>
        </w:rPr>
        <w:t>⑶延长担保期限。</w:t>
      </w:r>
      <w:r>
        <w:rPr>
          <w:rFonts w:hint="eastAsia" w:ascii="宋体" w:hAnsi="宋体" w:cs="宋体"/>
          <w:sz w:val="24"/>
          <w:szCs w:val="24"/>
          <w:highlight w:val="none"/>
        </w:rPr>
        <w:t>乙方</w:t>
      </w:r>
      <w:r>
        <w:rPr>
          <w:rFonts w:ascii="宋体" w:hAnsi="宋体" w:eastAsia="宋体" w:cs="宋体"/>
          <w:sz w:val="24"/>
          <w:szCs w:val="24"/>
          <w:highlight w:val="none"/>
        </w:rPr>
        <w:t>应在履约担保有效期届满之日的7天前，向</w:t>
      </w:r>
      <w:r>
        <w:rPr>
          <w:rFonts w:hint="eastAsia" w:ascii="宋体" w:hAnsi="宋体" w:eastAsia="宋体" w:cs="宋体"/>
          <w:sz w:val="24"/>
          <w:szCs w:val="24"/>
          <w:highlight w:val="none"/>
          <w:lang w:val="en-US" w:eastAsia="zh-CN"/>
        </w:rPr>
        <w:t>甲方</w:t>
      </w:r>
      <w:r>
        <w:rPr>
          <w:rFonts w:ascii="宋体" w:hAnsi="宋体" w:eastAsia="宋体" w:cs="宋体"/>
          <w:sz w:val="24"/>
          <w:szCs w:val="24"/>
          <w:highlight w:val="none"/>
        </w:rPr>
        <w:t>提交同样格式且更新日期后的有效担保替代原担保，否则，每逾期一天，</w:t>
      </w:r>
      <w:r>
        <w:rPr>
          <w:rFonts w:hint="eastAsia" w:ascii="宋体" w:hAnsi="宋体" w:eastAsia="宋体" w:cs="宋体"/>
          <w:sz w:val="24"/>
          <w:szCs w:val="24"/>
          <w:highlight w:val="none"/>
          <w:lang w:val="en-US" w:eastAsia="zh-CN"/>
        </w:rPr>
        <w:t>乙方</w:t>
      </w:r>
      <w:r>
        <w:rPr>
          <w:rFonts w:ascii="宋体" w:hAnsi="宋体" w:eastAsia="宋体" w:cs="宋体"/>
          <w:sz w:val="24"/>
          <w:szCs w:val="24"/>
          <w:highlight w:val="none"/>
        </w:rPr>
        <w:t>应向</w:t>
      </w:r>
      <w:r>
        <w:rPr>
          <w:rFonts w:hint="eastAsia" w:ascii="宋体" w:hAnsi="宋体" w:eastAsia="宋体" w:cs="宋体"/>
          <w:sz w:val="24"/>
          <w:szCs w:val="24"/>
          <w:highlight w:val="none"/>
          <w:lang w:val="en-US" w:eastAsia="zh-CN"/>
        </w:rPr>
        <w:t>甲方</w:t>
      </w:r>
      <w:r>
        <w:rPr>
          <w:rFonts w:ascii="宋体" w:hAnsi="宋体" w:eastAsia="宋体" w:cs="宋体"/>
          <w:sz w:val="24"/>
          <w:szCs w:val="24"/>
          <w:highlight w:val="none"/>
        </w:rPr>
        <w:t>支付违约金</w:t>
      </w:r>
      <w:r>
        <w:rPr>
          <w:rFonts w:ascii="宋体" w:hAnsi="宋体" w:eastAsia="宋体" w:cs="宋体"/>
          <w:sz w:val="24"/>
          <w:szCs w:val="24"/>
          <w:highlight w:val="none"/>
          <w:u w:val="single"/>
        </w:rPr>
        <w:t>2</w:t>
      </w:r>
      <w:r>
        <w:rPr>
          <w:rFonts w:ascii="宋体" w:hAnsi="宋体" w:eastAsia="宋体" w:cs="宋体"/>
          <w:sz w:val="24"/>
          <w:szCs w:val="24"/>
          <w:highlight w:val="none"/>
        </w:rPr>
        <w:t>万元/天</w:t>
      </w:r>
      <w:r>
        <w:rPr>
          <w:rFonts w:hint="eastAsia" w:ascii="宋体" w:hAnsi="宋体" w:cs="宋体"/>
          <w:sz w:val="24"/>
          <w:szCs w:val="24"/>
          <w:highlight w:val="none"/>
        </w:rPr>
        <w:t>，</w:t>
      </w:r>
      <w:r>
        <w:rPr>
          <w:rFonts w:hint="eastAsia" w:ascii="宋体" w:hAnsi="宋体" w:cs="宋体"/>
          <w:sz w:val="24"/>
          <w:szCs w:val="24"/>
          <w:highlight w:val="none"/>
          <w:lang w:val="en-US" w:eastAsia="zh-CN"/>
        </w:rPr>
        <w:t>且</w:t>
      </w:r>
      <w:r>
        <w:rPr>
          <w:rFonts w:hint="eastAsia" w:ascii="宋体" w:hAnsi="宋体" w:cs="宋体"/>
          <w:sz w:val="24"/>
          <w:szCs w:val="24"/>
          <w:highlight w:val="none"/>
        </w:rPr>
        <w:t>甲方</w:t>
      </w:r>
      <w:r>
        <w:rPr>
          <w:rFonts w:ascii="宋体" w:hAnsi="宋体" w:eastAsia="宋体" w:cs="宋体"/>
          <w:sz w:val="24"/>
          <w:szCs w:val="24"/>
          <w:highlight w:val="none"/>
        </w:rPr>
        <w:t>有权提取全部履约担保金额</w:t>
      </w:r>
      <w:r>
        <w:rPr>
          <w:rFonts w:hint="eastAsia" w:ascii="宋体" w:hAnsi="宋体" w:cs="宋体"/>
          <w:sz w:val="24"/>
          <w:szCs w:val="24"/>
          <w:highlight w:val="none"/>
        </w:rPr>
        <w:t>并解除合同。</w:t>
      </w:r>
    </w:p>
    <w:p w14:paraId="65C41508">
      <w:pPr>
        <w:widowControl/>
        <w:spacing w:before="0" w:beforeAutospacing="0" w:after="0" w:afterAutospacing="0" w:line="384" w:lineRule="auto"/>
        <w:ind w:left="199" w:leftChars="95" w:firstLine="360" w:firstLineChars="150"/>
        <w:jc w:val="left"/>
        <w:rPr>
          <w:rFonts w:ascii="宋体" w:hAnsi="宋体" w:eastAsia="宋体" w:cs="宋体"/>
          <w:color w:val="auto"/>
          <w:kern w:val="0"/>
          <w:sz w:val="24"/>
          <w:szCs w:val="24"/>
          <w:highlight w:val="none"/>
          <w:u w:val="single"/>
          <w:lang w:val="en-US" w:eastAsia="zh-CN" w:bidi="ar-SA"/>
        </w:rPr>
      </w:pPr>
      <w:r>
        <w:rPr>
          <w:rFonts w:hint="eastAsia" w:ascii="宋体" w:hAnsi="宋体" w:eastAsia="宋体" w:cs="宋体"/>
          <w:color w:val="auto"/>
          <w:kern w:val="0"/>
          <w:sz w:val="24"/>
          <w:szCs w:val="24"/>
          <w:highlight w:val="none"/>
          <w:lang w:val="en-US" w:eastAsia="zh-CN" w:bidi="ar-SA"/>
        </w:rPr>
        <w:t>（</w:t>
      </w:r>
      <w:r>
        <w:rPr>
          <w:rFonts w:ascii="宋体" w:hAnsi="宋体" w:eastAsia="宋体" w:cs="宋体"/>
          <w:color w:val="auto"/>
          <w:kern w:val="0"/>
          <w:sz w:val="24"/>
          <w:szCs w:val="24"/>
          <w:highlight w:val="none"/>
          <w:lang w:val="en-US" w:eastAsia="zh-CN" w:bidi="ar-SA"/>
        </w:rPr>
        <w:t>4</w:t>
      </w:r>
      <w:r>
        <w:rPr>
          <w:rFonts w:hint="eastAsia" w:ascii="宋体" w:hAnsi="宋体" w:eastAsia="宋体" w:cs="宋体"/>
          <w:color w:val="auto"/>
          <w:kern w:val="0"/>
          <w:sz w:val="24"/>
          <w:szCs w:val="24"/>
          <w:highlight w:val="none"/>
          <w:lang w:val="en-US" w:eastAsia="zh-CN" w:bidi="ar-SA"/>
        </w:rPr>
        <w:t>）现金履约保证金的退还：合同履行完成后，由乙方提出申请，甲方在</w:t>
      </w:r>
      <w:r>
        <w:rPr>
          <w:rFonts w:hint="eastAsia" w:ascii="宋体" w:hAnsi="宋体" w:eastAsia="宋体" w:cs="宋体"/>
          <w:color w:val="auto"/>
          <w:kern w:val="0"/>
          <w:sz w:val="24"/>
          <w:szCs w:val="24"/>
          <w:highlight w:val="none"/>
          <w:u w:val="single"/>
          <w:lang w:val="en-US" w:eastAsia="zh-CN" w:bidi="ar-SA"/>
        </w:rPr>
        <w:t>28日</w:t>
      </w:r>
      <w:r>
        <w:rPr>
          <w:rFonts w:hint="eastAsia" w:ascii="宋体" w:hAnsi="宋体" w:eastAsia="宋体" w:cs="宋体"/>
          <w:color w:val="auto"/>
          <w:kern w:val="0"/>
          <w:sz w:val="24"/>
          <w:szCs w:val="24"/>
          <w:highlight w:val="none"/>
          <w:lang w:val="en-US" w:eastAsia="zh-CN" w:bidi="ar-SA"/>
        </w:rPr>
        <w:t>内将剩余保证金（无息）返还。</w:t>
      </w:r>
    </w:p>
    <w:p w14:paraId="2C89117C">
      <w:pPr>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6</w:t>
      </w:r>
      <w:r>
        <w:rPr>
          <w:rFonts w:ascii="宋体" w:hAnsi="宋体" w:cs="宋体"/>
          <w:color w:val="auto"/>
          <w:sz w:val="24"/>
          <w:szCs w:val="24"/>
          <w:highlight w:val="none"/>
        </w:rPr>
        <w:t>.3</w:t>
      </w:r>
      <w:r>
        <w:rPr>
          <w:rFonts w:hint="eastAsia" w:ascii="宋体" w:hAnsi="宋体" w:cs="宋体"/>
          <w:color w:val="auto"/>
          <w:sz w:val="24"/>
          <w:szCs w:val="24"/>
          <w:highlight w:val="none"/>
        </w:rPr>
        <w:t>甲方按本合同规定提取履约担保金额后，乙方应在收到甲方通知后</w:t>
      </w:r>
    </w:p>
    <w:p w14:paraId="2CAB17BE">
      <w:pPr>
        <w:spacing w:line="384" w:lineRule="auto"/>
        <w:rPr>
          <w:rFonts w:ascii="宋体" w:hAnsi="宋体" w:cs="宋体"/>
          <w:color w:val="auto"/>
          <w:sz w:val="24"/>
          <w:szCs w:val="24"/>
          <w:highlight w:val="none"/>
        </w:rPr>
      </w:pPr>
      <w:r>
        <w:rPr>
          <w:rFonts w:ascii="宋体" w:hAnsi="宋体" w:cs="宋体"/>
          <w:color w:val="auto"/>
          <w:sz w:val="24"/>
          <w:szCs w:val="24"/>
          <w:highlight w:val="none"/>
          <w:u w:val="single"/>
        </w:rPr>
        <w:t xml:space="preserve">  7  </w:t>
      </w:r>
      <w:r>
        <w:rPr>
          <w:rFonts w:hint="eastAsia" w:ascii="宋体" w:hAnsi="宋体" w:cs="宋体"/>
          <w:color w:val="auto"/>
          <w:sz w:val="24"/>
          <w:szCs w:val="24"/>
          <w:highlight w:val="none"/>
        </w:rPr>
        <w:t>日内补足数额，逾期未补足的，则甲方有权提取履约担保的全部余额并解除合同。</w:t>
      </w:r>
    </w:p>
    <w:p w14:paraId="025E1AB6">
      <w:pPr>
        <w:tabs>
          <w:tab w:val="left" w:pos="851"/>
        </w:tabs>
        <w:adjustRightInd w:val="0"/>
        <w:snapToGrid w:val="0"/>
        <w:spacing w:line="360" w:lineRule="auto"/>
        <w:ind w:firstLine="480" w:firstLineChars="200"/>
        <w:jc w:val="left"/>
        <w:outlineLvl w:val="1"/>
        <w:rPr>
          <w:rFonts w:ascii="宋体" w:hAnsi="宋体" w:eastAsia="宋体" w:cs="宋体"/>
          <w:bCs/>
          <w:color w:val="auto"/>
          <w:sz w:val="24"/>
          <w:szCs w:val="24"/>
          <w:highlight w:val="none"/>
          <w:bdr w:val="single" w:color="auto" w:sz="4" w:space="0"/>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付款方式：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网银支付；  </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 xml:space="preserve">支票；   </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其他：</w:t>
      </w:r>
    </w:p>
    <w:p w14:paraId="7CDFB91B">
      <w:pPr>
        <w:spacing w:line="384"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第</w:t>
      </w:r>
      <w:r>
        <w:rPr>
          <w:rFonts w:hint="eastAsia" w:ascii="宋体" w:hAnsi="宋体" w:cs="宋体"/>
          <w:b/>
          <w:bCs/>
          <w:color w:val="auto"/>
          <w:sz w:val="24"/>
          <w:szCs w:val="24"/>
          <w:highlight w:val="none"/>
          <w:lang w:val="en-US" w:eastAsia="zh-CN"/>
        </w:rPr>
        <w:t>十</w:t>
      </w:r>
      <w:r>
        <w:rPr>
          <w:rFonts w:hint="eastAsia" w:ascii="宋体" w:hAnsi="宋体" w:cs="宋体"/>
          <w:b/>
          <w:bCs/>
          <w:color w:val="auto"/>
          <w:sz w:val="24"/>
          <w:szCs w:val="24"/>
          <w:highlight w:val="none"/>
        </w:rPr>
        <w:t>条</w:t>
      </w:r>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竣工验收</w:t>
      </w:r>
    </w:p>
    <w:p w14:paraId="0F069D5E">
      <w:pPr>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10</w:t>
      </w:r>
      <w:r>
        <w:rPr>
          <w:rFonts w:ascii="宋体" w:hAnsi="宋体" w:cs="宋体"/>
          <w:color w:val="auto"/>
          <w:sz w:val="24"/>
          <w:szCs w:val="24"/>
          <w:highlight w:val="none"/>
        </w:rPr>
        <w:t>.1</w:t>
      </w:r>
      <w:r>
        <w:rPr>
          <w:rFonts w:hint="eastAsia" w:ascii="宋体" w:hAnsi="宋体" w:cs="宋体"/>
          <w:color w:val="auto"/>
          <w:sz w:val="24"/>
          <w:szCs w:val="24"/>
          <w:highlight w:val="none"/>
        </w:rPr>
        <w:t>乙方应在工程完工</w:t>
      </w:r>
      <w:r>
        <w:rPr>
          <w:rFonts w:hint="eastAsia" w:ascii="宋体" w:hAnsi="宋体" w:cs="宋体"/>
          <w:color w:val="auto"/>
          <w:sz w:val="24"/>
          <w:szCs w:val="24"/>
          <w:highlight w:val="none"/>
          <w:lang w:val="en-US" w:eastAsia="zh-CN"/>
        </w:rPr>
        <w:t>及完成试运行（如有）</w:t>
      </w:r>
      <w:r>
        <w:rPr>
          <w:rFonts w:hint="eastAsia" w:ascii="宋体" w:hAnsi="宋体" w:cs="宋体"/>
          <w:color w:val="auto"/>
          <w:sz w:val="24"/>
          <w:szCs w:val="24"/>
          <w:highlight w:val="none"/>
        </w:rPr>
        <w:t>后</w:t>
      </w:r>
      <w:r>
        <w:rPr>
          <w:rFonts w:ascii="宋体" w:hAnsi="宋体" w:cs="宋体"/>
          <w:color w:val="auto"/>
          <w:sz w:val="24"/>
          <w:szCs w:val="24"/>
          <w:highlight w:val="none"/>
        </w:rPr>
        <w:t>30</w:t>
      </w:r>
      <w:r>
        <w:rPr>
          <w:rFonts w:hint="eastAsia" w:ascii="宋体" w:hAnsi="宋体" w:cs="宋体"/>
          <w:color w:val="auto"/>
          <w:sz w:val="24"/>
          <w:szCs w:val="24"/>
          <w:highlight w:val="none"/>
        </w:rPr>
        <w:t>天内将经甲方审核的完整竣工资料（含竣工图）和竣工验收报告各</w:t>
      </w:r>
      <w:r>
        <w:rPr>
          <w:rFonts w:hint="eastAsia" w:ascii="宋体" w:hAnsi="宋体" w:cs="宋体"/>
          <w:color w:val="auto"/>
          <w:sz w:val="24"/>
          <w:szCs w:val="24"/>
          <w:highlight w:val="none"/>
          <w:u w:val="single"/>
        </w:rPr>
        <w:t>一式四份</w:t>
      </w:r>
      <w:r>
        <w:rPr>
          <w:rFonts w:hint="eastAsia" w:ascii="宋体" w:hAnsi="宋体" w:cs="宋体"/>
          <w:color w:val="auto"/>
          <w:sz w:val="24"/>
          <w:szCs w:val="24"/>
          <w:highlight w:val="none"/>
        </w:rPr>
        <w:t>交甲方，不按时报送工程竣工资料的，每逾期一天，甲方要求乙方支付</w:t>
      </w:r>
      <w:r>
        <w:rPr>
          <w:rFonts w:hint="eastAsia" w:ascii="宋体" w:hAnsi="宋体" w:cs="宋体"/>
          <w:color w:val="auto"/>
          <w:sz w:val="24"/>
          <w:szCs w:val="24"/>
          <w:highlight w:val="none"/>
          <w:lang w:val="en-US" w:eastAsia="zh-CN"/>
        </w:rPr>
        <w:t>对应子项目</w:t>
      </w:r>
      <w:r>
        <w:rPr>
          <w:rFonts w:hint="eastAsia" w:ascii="宋体" w:hAnsi="宋体" w:cs="宋体"/>
          <w:color w:val="auto"/>
          <w:sz w:val="24"/>
          <w:szCs w:val="24"/>
          <w:highlight w:val="none"/>
          <w:u w:val="single"/>
        </w:rPr>
        <w:t>合同暂定总价</w:t>
      </w:r>
      <w:r>
        <w:rPr>
          <w:rFonts w:hint="eastAsia" w:ascii="宋体" w:hAnsi="宋体" w:cs="宋体"/>
          <w:bCs/>
          <w:color w:val="auto"/>
          <w:sz w:val="24"/>
          <w:szCs w:val="24"/>
          <w:highlight w:val="none"/>
          <w:u w:val="single"/>
        </w:rPr>
        <w:t>万分之五</w:t>
      </w:r>
      <w:r>
        <w:rPr>
          <w:rFonts w:ascii="宋体" w:hAnsi="宋体" w:cs="宋体"/>
          <w:bCs/>
          <w:color w:val="auto"/>
          <w:sz w:val="24"/>
          <w:szCs w:val="24"/>
          <w:highlight w:val="none"/>
          <w:u w:val="single"/>
        </w:rPr>
        <w:t>/</w:t>
      </w:r>
      <w:r>
        <w:rPr>
          <w:rFonts w:hint="eastAsia" w:ascii="宋体" w:hAnsi="宋体" w:cs="宋体"/>
          <w:bCs/>
          <w:color w:val="auto"/>
          <w:sz w:val="24"/>
          <w:szCs w:val="24"/>
          <w:highlight w:val="none"/>
          <w:u w:val="single"/>
        </w:rPr>
        <w:t>天</w:t>
      </w:r>
      <w:r>
        <w:rPr>
          <w:rFonts w:hint="eastAsia" w:ascii="宋体" w:hAnsi="宋体" w:cs="宋体"/>
          <w:color w:val="auto"/>
          <w:sz w:val="24"/>
          <w:szCs w:val="24"/>
          <w:highlight w:val="none"/>
        </w:rPr>
        <w:t>，并在支付合同款时抵扣。</w:t>
      </w:r>
    </w:p>
    <w:p w14:paraId="4F6896D4">
      <w:pPr>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10</w:t>
      </w:r>
      <w:r>
        <w:rPr>
          <w:rFonts w:ascii="宋体" w:hAnsi="宋体" w:cs="宋体"/>
          <w:color w:val="auto"/>
          <w:sz w:val="24"/>
          <w:szCs w:val="24"/>
          <w:highlight w:val="none"/>
        </w:rPr>
        <w:t>.2</w:t>
      </w:r>
      <w:r>
        <w:rPr>
          <w:rFonts w:hint="eastAsia" w:ascii="宋体" w:hAnsi="宋体" w:cs="宋体"/>
          <w:color w:val="auto"/>
          <w:sz w:val="24"/>
          <w:szCs w:val="24"/>
          <w:highlight w:val="none"/>
        </w:rPr>
        <w:t>甲方收到完整的竣工验收资料（完整的竣工验收资料：施工方案、开工</w:t>
      </w:r>
      <w:r>
        <w:rPr>
          <w:rFonts w:ascii="宋体" w:hAnsi="宋体" w:cs="宋体"/>
          <w:color w:val="auto"/>
          <w:sz w:val="24"/>
          <w:szCs w:val="24"/>
          <w:highlight w:val="none"/>
        </w:rPr>
        <w:t>/</w:t>
      </w:r>
      <w:r>
        <w:rPr>
          <w:rFonts w:hint="eastAsia" w:ascii="宋体" w:hAnsi="宋体" w:cs="宋体"/>
          <w:color w:val="auto"/>
          <w:sz w:val="24"/>
          <w:szCs w:val="24"/>
          <w:highlight w:val="none"/>
        </w:rPr>
        <w:t>竣工报告、安全备案整套资料、本合同书、询价文件</w:t>
      </w:r>
      <w:r>
        <w:rPr>
          <w:rFonts w:ascii="宋体" w:hAnsi="宋体" w:cs="宋体"/>
          <w:color w:val="auto"/>
          <w:sz w:val="24"/>
          <w:szCs w:val="24"/>
          <w:highlight w:val="none"/>
        </w:rPr>
        <w:t>/</w:t>
      </w:r>
      <w:r>
        <w:rPr>
          <w:rFonts w:hint="eastAsia" w:ascii="宋体" w:hAnsi="宋体" w:cs="宋体"/>
          <w:color w:val="auto"/>
          <w:sz w:val="24"/>
          <w:szCs w:val="24"/>
          <w:highlight w:val="none"/>
        </w:rPr>
        <w:t>响应文件、中标通知书</w:t>
      </w:r>
      <w:r>
        <w:rPr>
          <w:rFonts w:ascii="宋体" w:hAnsi="宋体" w:cs="宋体"/>
          <w:color w:val="auto"/>
          <w:sz w:val="24"/>
          <w:szCs w:val="24"/>
          <w:highlight w:val="none"/>
        </w:rPr>
        <w:t>/</w:t>
      </w:r>
      <w:r>
        <w:rPr>
          <w:rFonts w:hint="eastAsia" w:ascii="宋体" w:hAnsi="宋体" w:cs="宋体"/>
          <w:color w:val="auto"/>
          <w:sz w:val="24"/>
          <w:szCs w:val="24"/>
          <w:highlight w:val="none"/>
        </w:rPr>
        <w:t>发包通知书</w:t>
      </w:r>
      <w:r>
        <w:rPr>
          <w:rFonts w:ascii="宋体" w:hAnsi="宋体" w:cs="宋体"/>
          <w:color w:val="auto"/>
          <w:sz w:val="24"/>
          <w:szCs w:val="24"/>
          <w:highlight w:val="none"/>
        </w:rPr>
        <w:t>/</w:t>
      </w:r>
      <w:r>
        <w:rPr>
          <w:rFonts w:hint="eastAsia" w:ascii="宋体" w:hAnsi="宋体" w:cs="宋体"/>
          <w:color w:val="auto"/>
          <w:sz w:val="24"/>
          <w:szCs w:val="24"/>
          <w:highlight w:val="none"/>
        </w:rPr>
        <w:t>委托书、工程预算送审报告、工程结算书</w:t>
      </w:r>
      <w:r>
        <w:rPr>
          <w:rFonts w:ascii="宋体" w:hAnsi="宋体" w:cs="宋体"/>
          <w:color w:val="auto"/>
          <w:sz w:val="24"/>
          <w:szCs w:val="24"/>
          <w:highlight w:val="none"/>
        </w:rPr>
        <w:t>/</w:t>
      </w:r>
      <w:r>
        <w:rPr>
          <w:rFonts w:hint="eastAsia" w:ascii="宋体" w:hAnsi="宋体" w:cs="宋体"/>
          <w:color w:val="auto"/>
          <w:sz w:val="24"/>
          <w:szCs w:val="24"/>
          <w:highlight w:val="none"/>
        </w:rPr>
        <w:t>签证记录、备件开箱记录表或送货单、竣工图等，如有必须提供）和竣工验收报告后</w:t>
      </w:r>
      <w:r>
        <w:rPr>
          <w:rFonts w:ascii="宋体" w:hAnsi="宋体" w:cs="宋体"/>
          <w:color w:val="auto"/>
          <w:sz w:val="24"/>
          <w:szCs w:val="24"/>
          <w:highlight w:val="none"/>
        </w:rPr>
        <w:t>20</w:t>
      </w:r>
      <w:r>
        <w:rPr>
          <w:rFonts w:hint="eastAsia" w:ascii="宋体" w:hAnsi="宋体" w:cs="宋体"/>
          <w:color w:val="auto"/>
          <w:sz w:val="24"/>
          <w:szCs w:val="24"/>
          <w:highlight w:val="none"/>
        </w:rPr>
        <w:t>天内组织有关单位进行验收，工程竣工验收严格按国家、省、市、部门有关文件执行，并在验收后</w:t>
      </w:r>
      <w:r>
        <w:rPr>
          <w:rFonts w:ascii="宋体" w:hAnsi="宋体" w:cs="宋体"/>
          <w:color w:val="auto"/>
          <w:sz w:val="24"/>
          <w:szCs w:val="24"/>
          <w:highlight w:val="none"/>
        </w:rPr>
        <w:t>10</w:t>
      </w:r>
      <w:r>
        <w:rPr>
          <w:rFonts w:hint="eastAsia" w:ascii="宋体" w:hAnsi="宋体" w:cs="宋体"/>
          <w:color w:val="auto"/>
          <w:sz w:val="24"/>
          <w:szCs w:val="24"/>
          <w:highlight w:val="none"/>
        </w:rPr>
        <w:t>天内给予认可或提出修改意见。乙方按要求修改，并承担修改的费用。</w:t>
      </w:r>
    </w:p>
    <w:p w14:paraId="61873A21">
      <w:pPr>
        <w:spacing w:line="384"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10</w:t>
      </w:r>
      <w:r>
        <w:rPr>
          <w:rFonts w:ascii="宋体" w:hAnsi="宋体" w:cs="宋体"/>
          <w:color w:val="auto"/>
          <w:sz w:val="24"/>
          <w:szCs w:val="24"/>
          <w:highlight w:val="none"/>
        </w:rPr>
        <w:t>.3</w:t>
      </w:r>
      <w:r>
        <w:rPr>
          <w:rFonts w:hint="eastAsia" w:ascii="宋体" w:hAnsi="宋体" w:cs="宋体"/>
          <w:color w:val="auto"/>
          <w:sz w:val="24"/>
          <w:szCs w:val="24"/>
          <w:highlight w:val="none"/>
        </w:rPr>
        <w:t>工程竣工验收通过，乙方送交完整的竣工验收资料和竣工验收报告的日期为实际竣工日期。工程按甲方要求修改后通过竣工验收的，实际竣工日期为乙方修改后提请甲方验收的日期。</w:t>
      </w:r>
    </w:p>
    <w:p w14:paraId="0FB0E71F">
      <w:pPr>
        <w:spacing w:line="384"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10.4工程竣工验收通过后7日内，乙方应按以下要求对施工场地进行清理，直至甲方检验合格为止。竣工清场费用由乙方承担。</w:t>
      </w:r>
    </w:p>
    <w:p w14:paraId="4829B1E7">
      <w:pPr>
        <w:spacing w:line="384"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（1）清除施工场地内残留的垃圾（包括但不限于：施工的淤泥渣土、废弃的施工设备和材料等)。</w:t>
      </w:r>
    </w:p>
    <w:p w14:paraId="520C33EF">
      <w:pPr>
        <w:spacing w:line="384"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（2）如涉及临时工程，乙方负责拆除并对场地进行清理、平整或复原。</w:t>
      </w:r>
    </w:p>
    <w:p w14:paraId="205E0A9A">
      <w:pPr>
        <w:spacing w:line="384"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（3）对乙方设备和剩余的材料进行撤场。</w:t>
      </w:r>
    </w:p>
    <w:p w14:paraId="79B3540C">
      <w:pPr>
        <w:spacing w:line="384"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如乙方逾期未能对施工场地进行清理，甲方有权委托第三方清理，清理费用由乙方承担，并在应付款项中抵扣。</w:t>
      </w:r>
    </w:p>
    <w:p w14:paraId="79EDC42A">
      <w:pPr>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10</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竣工档案的整理和移交</w:t>
      </w:r>
    </w:p>
    <w:p w14:paraId="2AFA8DE4">
      <w:pPr>
        <w:spacing w:line="384"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14:paraId="02E03025">
      <w:pPr>
        <w:spacing w:line="384"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a</w:t>
      </w:r>
      <w:r>
        <w:rPr>
          <w:rFonts w:hint="eastAsia" w:ascii="宋体" w:hAnsi="宋体" w:cs="宋体"/>
          <w:color w:val="auto"/>
          <w:sz w:val="24"/>
          <w:szCs w:val="24"/>
          <w:highlight w:val="none"/>
        </w:rPr>
        <w:t>）竣工文件资料、竣工图档案（原件）各一式四份；</w:t>
      </w:r>
    </w:p>
    <w:p w14:paraId="481B7ED4">
      <w:pPr>
        <w:spacing w:line="384"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b</w:t>
      </w:r>
      <w:r>
        <w:rPr>
          <w:rFonts w:hint="eastAsia" w:ascii="宋体" w:hAnsi="宋体" w:cs="宋体"/>
          <w:color w:val="auto"/>
          <w:sz w:val="24"/>
          <w:szCs w:val="24"/>
          <w:highlight w:val="none"/>
        </w:rPr>
        <w:t>）与本款（</w:t>
      </w:r>
      <w:r>
        <w:rPr>
          <w:rFonts w:ascii="宋体" w:hAnsi="宋体" w:cs="宋体"/>
          <w:color w:val="auto"/>
          <w:sz w:val="24"/>
          <w:szCs w:val="24"/>
          <w:highlight w:val="none"/>
        </w:rPr>
        <w:t>a</w:t>
      </w:r>
      <w:r>
        <w:rPr>
          <w:rFonts w:hint="eastAsia" w:ascii="宋体" w:hAnsi="宋体" w:cs="宋体"/>
          <w:color w:val="auto"/>
          <w:sz w:val="24"/>
          <w:szCs w:val="24"/>
          <w:highlight w:val="none"/>
        </w:rPr>
        <w:t>）项内容相同的电子版档案一式二份；</w:t>
      </w:r>
    </w:p>
    <w:p w14:paraId="00283905">
      <w:pPr>
        <w:spacing w:line="384"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）乙方移交竣工档案的时限：乙方应于工程竣工验收后</w:t>
      </w:r>
      <w:r>
        <w:rPr>
          <w:rFonts w:ascii="宋体" w:hAnsi="宋体" w:cs="宋体"/>
          <w:color w:val="auto"/>
          <w:sz w:val="24"/>
          <w:szCs w:val="24"/>
          <w:highlight w:val="none"/>
        </w:rPr>
        <w:t>30</w:t>
      </w:r>
      <w:r>
        <w:rPr>
          <w:rFonts w:hint="eastAsia" w:ascii="宋体" w:hAnsi="宋体" w:cs="宋体"/>
          <w:color w:val="auto"/>
          <w:sz w:val="24"/>
          <w:szCs w:val="24"/>
          <w:highlight w:val="none"/>
        </w:rPr>
        <w:t>天内将竣工档案提交甲方签认。乙方应于甲方签认后</w:t>
      </w:r>
      <w:r>
        <w:rPr>
          <w:rFonts w:ascii="宋体" w:hAnsi="宋体" w:cs="宋体"/>
          <w:color w:val="auto"/>
          <w:sz w:val="24"/>
          <w:szCs w:val="24"/>
          <w:highlight w:val="none"/>
        </w:rPr>
        <w:t>10</w:t>
      </w:r>
      <w:r>
        <w:rPr>
          <w:rFonts w:hint="eastAsia" w:ascii="宋体" w:hAnsi="宋体" w:cs="宋体"/>
          <w:color w:val="auto"/>
          <w:sz w:val="24"/>
          <w:szCs w:val="24"/>
          <w:highlight w:val="none"/>
        </w:rPr>
        <w:t>天内将竣工档案移交给甲方归档并同时移交有关归档的证明文件。甲方经审查合格的，应在收到竣工档案后</w:t>
      </w:r>
      <w:r>
        <w:rPr>
          <w:rFonts w:ascii="宋体" w:hAnsi="宋体" w:cs="宋体"/>
          <w:color w:val="auto"/>
          <w:sz w:val="24"/>
          <w:szCs w:val="24"/>
          <w:highlight w:val="none"/>
        </w:rPr>
        <w:t>10</w:t>
      </w:r>
      <w:r>
        <w:rPr>
          <w:rFonts w:hint="eastAsia" w:ascii="宋体" w:hAnsi="宋体" w:cs="宋体"/>
          <w:color w:val="auto"/>
          <w:sz w:val="24"/>
          <w:szCs w:val="24"/>
          <w:highlight w:val="none"/>
        </w:rPr>
        <w:t>天内签署档案验收意见；不合格的，乙方应按甲方要求限期补正，直至合格为止。乙方超过本条规定的时限，每逾期一天支付</w:t>
      </w:r>
      <w:r>
        <w:rPr>
          <w:rFonts w:hint="eastAsia" w:ascii="宋体" w:hAnsi="宋体" w:cs="宋体"/>
          <w:color w:val="auto"/>
          <w:sz w:val="24"/>
          <w:szCs w:val="24"/>
          <w:highlight w:val="none"/>
          <w:lang w:val="en-US" w:eastAsia="zh-CN"/>
        </w:rPr>
        <w:t>对应子项目</w:t>
      </w:r>
      <w:r>
        <w:rPr>
          <w:rFonts w:hint="eastAsia" w:ascii="宋体" w:hAnsi="宋体" w:cs="宋体"/>
          <w:color w:val="auto"/>
          <w:sz w:val="24"/>
          <w:szCs w:val="24"/>
          <w:highlight w:val="none"/>
          <w:u w:val="single"/>
        </w:rPr>
        <w:t>合同暂定总价</w:t>
      </w:r>
      <w:r>
        <w:rPr>
          <w:rFonts w:hint="eastAsia" w:ascii="宋体" w:hAnsi="宋体" w:cs="宋体"/>
          <w:bCs/>
          <w:color w:val="auto"/>
          <w:sz w:val="24"/>
          <w:szCs w:val="24"/>
          <w:highlight w:val="none"/>
          <w:u w:val="single"/>
        </w:rPr>
        <w:t>万分之五</w:t>
      </w:r>
      <w:r>
        <w:rPr>
          <w:rFonts w:ascii="宋体" w:hAnsi="宋体" w:cs="宋体"/>
          <w:bCs/>
          <w:color w:val="auto"/>
          <w:sz w:val="24"/>
          <w:szCs w:val="24"/>
          <w:highlight w:val="none"/>
          <w:u w:val="single"/>
        </w:rPr>
        <w:t>/</w:t>
      </w:r>
      <w:r>
        <w:rPr>
          <w:rFonts w:hint="eastAsia" w:ascii="宋体" w:hAnsi="宋体" w:cs="宋体"/>
          <w:bCs/>
          <w:color w:val="auto"/>
          <w:sz w:val="24"/>
          <w:szCs w:val="24"/>
          <w:highlight w:val="none"/>
          <w:u w:val="single"/>
        </w:rPr>
        <w:t>天</w:t>
      </w:r>
      <w:r>
        <w:rPr>
          <w:rFonts w:hint="eastAsia" w:ascii="宋体" w:hAnsi="宋体" w:cs="宋体"/>
          <w:color w:val="auto"/>
          <w:sz w:val="24"/>
          <w:szCs w:val="24"/>
          <w:highlight w:val="none"/>
        </w:rPr>
        <w:t>违约金。</w:t>
      </w:r>
    </w:p>
    <w:p w14:paraId="09D47BD3">
      <w:pPr>
        <w:spacing w:line="384"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3</w:t>
      </w:r>
      <w:r>
        <w:rPr>
          <w:rFonts w:hint="eastAsia" w:ascii="宋体" w:hAnsi="宋体" w:cs="宋体"/>
          <w:color w:val="auto"/>
          <w:sz w:val="24"/>
          <w:szCs w:val="24"/>
          <w:highlight w:val="none"/>
        </w:rPr>
        <w:t>）电子版竣工图的编制，以甲方提供的电子版施工图为基础。乙方在移交竣工档案时，应一并移交甲方提供的电子版施工图。</w:t>
      </w:r>
    </w:p>
    <w:p w14:paraId="5281999F">
      <w:pPr>
        <w:spacing w:line="384"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电子版施工图和电子版竣工图的知识产权归属甲方所有，非经甲方许可，乙方不得以任何方式复制、备份、转让和利用。否则，由此引起的任何纠纷和责任由乙方承担。</w:t>
      </w:r>
    </w:p>
    <w:p w14:paraId="2320130D">
      <w:pPr>
        <w:widowControl w:val="0"/>
        <w:autoSpaceDE w:val="0"/>
        <w:autoSpaceDN w:val="0"/>
        <w:adjustRightInd w:val="0"/>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仿宋_GB2312" w:cs="宋体"/>
          <w:color w:val="auto"/>
          <w:sz w:val="24"/>
          <w:szCs w:val="24"/>
          <w:highlight w:val="none"/>
          <w:lang w:val="en-US" w:eastAsia="zh-CN" w:bidi="ar-SA"/>
        </w:rPr>
        <w:t>10</w:t>
      </w:r>
      <w:r>
        <w:rPr>
          <w:rFonts w:hint="eastAsia" w:ascii="宋体" w:hAnsi="宋体" w:eastAsia="宋体" w:cs="宋体"/>
          <w:color w:val="auto"/>
          <w:sz w:val="24"/>
          <w:szCs w:val="24"/>
          <w:highlight w:val="none"/>
          <w:lang w:val="en-US" w:eastAsia="zh-CN" w:bidi="ar-SA"/>
        </w:rPr>
        <w:t>.6本合同竣工验收结算单位为</w:t>
      </w:r>
      <w:r>
        <w:rPr>
          <w:rFonts w:hint="eastAsia" w:ascii="宋体" w:hAnsi="宋体" w:eastAsia="宋体" w:cs="宋体"/>
          <w:color w:val="auto"/>
          <w:sz w:val="24"/>
          <w:szCs w:val="24"/>
          <w:highlight w:val="none"/>
          <w:u w:val="single"/>
          <w:lang w:val="en-US" w:eastAsia="zh-CN" w:bidi="ar-SA"/>
        </w:rPr>
        <w:t xml:space="preserve">：广州市净水有限公司项目对应分公司  </w:t>
      </w:r>
    </w:p>
    <w:p w14:paraId="25818834">
      <w:pPr>
        <w:numPr>
          <w:ilvl w:val="0"/>
          <w:numId w:val="0"/>
        </w:numPr>
        <w:spacing w:before="120" w:afterLines="50" w:line="384" w:lineRule="auto"/>
        <w:jc w:val="left"/>
        <w:rPr>
          <w:rFonts w:ascii="宋体" w:hAnsi="宋体" w:cs="宋体"/>
          <w:b/>
          <w:bCs/>
          <w:color w:val="auto"/>
          <w:sz w:val="24"/>
          <w:szCs w:val="24"/>
          <w:highlight w:val="none"/>
        </w:rPr>
      </w:pPr>
      <w:bookmarkStart w:id="188" w:name="_Toc520190034"/>
      <w:bookmarkStart w:id="189" w:name="_Toc474245220"/>
      <w:bookmarkStart w:id="190" w:name="_Toc518992994"/>
      <w:r>
        <w:rPr>
          <w:rFonts w:hint="eastAsia" w:ascii="宋体" w:hAnsi="宋体" w:cs="宋体"/>
          <w:b/>
          <w:bCs/>
          <w:color w:val="auto"/>
          <w:sz w:val="24"/>
          <w:szCs w:val="24"/>
          <w:highlight w:val="none"/>
          <w:lang w:val="en-US" w:eastAsia="zh-CN"/>
        </w:rPr>
        <w:t xml:space="preserve">第十一条 </w:t>
      </w:r>
      <w:r>
        <w:rPr>
          <w:rFonts w:hint="eastAsia" w:ascii="宋体" w:hAnsi="宋体" w:cs="宋体"/>
          <w:b/>
          <w:bCs/>
          <w:color w:val="auto"/>
          <w:sz w:val="24"/>
          <w:szCs w:val="24"/>
          <w:highlight w:val="none"/>
        </w:rPr>
        <w:t>质量保证</w:t>
      </w:r>
      <w:bookmarkEnd w:id="188"/>
      <w:bookmarkEnd w:id="189"/>
      <w:bookmarkEnd w:id="190"/>
    </w:p>
    <w:p w14:paraId="4646F59B">
      <w:pPr>
        <w:spacing w:line="384"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11</w:t>
      </w:r>
      <w:r>
        <w:rPr>
          <w:rFonts w:ascii="宋体" w:hAnsi="宋体" w:cs="宋体"/>
          <w:color w:val="auto"/>
          <w:sz w:val="24"/>
          <w:szCs w:val="24"/>
          <w:highlight w:val="none"/>
        </w:rPr>
        <w:t>.1</w:t>
      </w:r>
      <w:r>
        <w:rPr>
          <w:rFonts w:hint="eastAsia" w:ascii="宋体" w:hAnsi="宋体" w:cs="宋体"/>
          <w:color w:val="auto"/>
          <w:sz w:val="24"/>
          <w:szCs w:val="24"/>
          <w:highlight w:val="none"/>
        </w:rPr>
        <w:t>乙方保证所承包的项目质量符合国家相关标准和规范。对产品质量依据原厂商标准及国家标准从严执行。</w:t>
      </w:r>
    </w:p>
    <w:p w14:paraId="420B4214">
      <w:pPr>
        <w:autoSpaceDE w:val="0"/>
        <w:autoSpaceDN w:val="0"/>
        <w:adjustRightInd w:val="0"/>
        <w:spacing w:line="384" w:lineRule="auto"/>
        <w:ind w:left="420"/>
        <w:rPr>
          <w:rFonts w:ascii="宋体" w:hAnsi="宋体" w:cs="宋体"/>
          <w:color w:val="auto"/>
          <w:kern w:val="0"/>
          <w:sz w:val="24"/>
          <w:szCs w:val="24"/>
          <w:highlight w:val="none"/>
          <w:lang w:val="zh-CN"/>
        </w:rPr>
      </w:pPr>
      <w:r>
        <w:rPr>
          <w:rFonts w:hint="eastAsia" w:ascii="宋体" w:hAnsi="宋体" w:cs="宋体"/>
          <w:color w:val="auto"/>
          <w:sz w:val="24"/>
          <w:szCs w:val="24"/>
          <w:highlight w:val="none"/>
          <w:lang w:val="en-US" w:eastAsia="zh-CN"/>
        </w:rPr>
        <w:t>11</w:t>
      </w:r>
      <w:r>
        <w:rPr>
          <w:rFonts w:ascii="宋体" w:hAnsi="宋体" w:cs="宋体"/>
          <w:bCs/>
          <w:color w:val="auto"/>
          <w:sz w:val="24"/>
          <w:szCs w:val="24"/>
          <w:highlight w:val="none"/>
        </w:rPr>
        <w:t xml:space="preserve">.2 </w:t>
      </w:r>
      <w:r>
        <w:rPr>
          <w:rFonts w:hint="eastAsia" w:ascii="宋体" w:hAnsi="宋体" w:cs="宋体"/>
          <w:bCs/>
          <w:color w:val="auto"/>
          <w:sz w:val="24"/>
          <w:szCs w:val="24"/>
          <w:highlight w:val="none"/>
        </w:rPr>
        <w:t>本项目质量保修期为</w:t>
      </w:r>
      <w:r>
        <w:rPr>
          <w:rFonts w:hint="eastAsia" w:ascii="宋体" w:hAnsi="宋体" w:cs="宋体"/>
          <w:color w:val="auto"/>
          <w:kern w:val="0"/>
          <w:sz w:val="24"/>
          <w:szCs w:val="24"/>
          <w:highlight w:val="none"/>
          <w:lang w:val="zh-CN"/>
        </w:rPr>
        <w:t>自验收合格之日起</w:t>
      </w:r>
      <w:r>
        <w:rPr>
          <w:rFonts w:hint="eastAsia" w:ascii="宋体" w:hAnsi="宋体" w:cs="宋体"/>
          <w:color w:val="auto"/>
          <w:kern w:val="0"/>
          <w:sz w:val="24"/>
          <w:szCs w:val="24"/>
          <w:highlight w:val="none"/>
          <w:u w:val="single"/>
          <w:lang w:val="en-US" w:eastAsia="zh-CN"/>
        </w:rPr>
        <w:t>壹</w:t>
      </w:r>
      <w:r>
        <w:rPr>
          <w:rFonts w:hint="eastAsia" w:ascii="宋体" w:hAnsi="宋体" w:cs="宋体"/>
          <w:color w:val="auto"/>
          <w:kern w:val="0"/>
          <w:sz w:val="24"/>
          <w:szCs w:val="24"/>
          <w:highlight w:val="none"/>
          <w:lang w:val="zh-CN"/>
        </w:rPr>
        <w:t>年。</w:t>
      </w:r>
    </w:p>
    <w:p w14:paraId="2E8F0B74">
      <w:pPr>
        <w:spacing w:line="384" w:lineRule="auto"/>
        <w:ind w:firstLine="420" w:firstLineChars="175"/>
        <w:rPr>
          <w:rFonts w:ascii="宋体" w:hAnsi="宋体" w:cs="宋体"/>
          <w:bCs/>
          <w:color w:val="auto"/>
          <w:sz w:val="24"/>
          <w:szCs w:val="24"/>
          <w:highlight w:val="none"/>
        </w:rPr>
      </w:pPr>
      <w:r>
        <w:rPr>
          <w:rFonts w:hint="eastAsia" w:ascii="宋体" w:hAnsi="宋体" w:cs="宋体"/>
          <w:color w:val="auto"/>
          <w:sz w:val="24"/>
          <w:szCs w:val="24"/>
          <w:highlight w:val="none"/>
          <w:lang w:val="en-US" w:eastAsia="zh-CN"/>
        </w:rPr>
        <w:t>11</w:t>
      </w:r>
      <w:r>
        <w:rPr>
          <w:rFonts w:ascii="宋体" w:hAnsi="宋体" w:cs="宋体"/>
          <w:bCs/>
          <w:color w:val="auto"/>
          <w:sz w:val="24"/>
          <w:szCs w:val="24"/>
          <w:highlight w:val="none"/>
        </w:rPr>
        <w:t>.3</w:t>
      </w:r>
      <w:r>
        <w:rPr>
          <w:rFonts w:hint="eastAsia" w:ascii="宋体" w:hAnsi="宋体" w:cs="宋体"/>
          <w:bCs/>
          <w:color w:val="auto"/>
          <w:sz w:val="24"/>
          <w:szCs w:val="24"/>
          <w:highlight w:val="none"/>
        </w:rPr>
        <w:t>质量保修期期间，本项目的质量问题由乙方免费提供保修服务，乙方应在收到甲方通知后</w:t>
      </w:r>
      <w:r>
        <w:rPr>
          <w:rFonts w:hint="eastAsia" w:ascii="宋体" w:hAnsi="宋体" w:cs="宋体"/>
          <w:bCs/>
          <w:color w:val="auto"/>
          <w:sz w:val="24"/>
          <w:szCs w:val="24"/>
          <w:highlight w:val="none"/>
          <w:lang w:val="en-US" w:eastAsia="zh-CN"/>
        </w:rPr>
        <w:t>48小时内提供现场排查故障响应服务</w:t>
      </w:r>
      <w:r>
        <w:rPr>
          <w:rFonts w:hint="eastAsia" w:ascii="宋体" w:hAnsi="宋体" w:cs="宋体"/>
          <w:bCs/>
          <w:strike w:val="0"/>
          <w:dstrike w:val="0"/>
          <w:color w:val="auto"/>
          <w:sz w:val="24"/>
          <w:szCs w:val="24"/>
          <w:highlight w:val="none"/>
          <w:u w:val="none"/>
          <w:lang w:val="en-US" w:eastAsia="zh-CN"/>
        </w:rPr>
        <w:t>、</w:t>
      </w:r>
      <w:r>
        <w:rPr>
          <w:rFonts w:hint="eastAsia" w:ascii="宋体" w:hAnsi="宋体" w:cs="宋体"/>
          <w:bCs/>
          <w:strike w:val="0"/>
          <w:dstrike w:val="0"/>
          <w:color w:val="auto"/>
          <w:sz w:val="24"/>
          <w:szCs w:val="24"/>
          <w:highlight w:val="none"/>
          <w:u w:val="single"/>
          <w:lang w:val="en-US" w:eastAsia="zh-CN"/>
        </w:rPr>
        <w:t xml:space="preserve">7 </w:t>
      </w:r>
      <w:r>
        <w:rPr>
          <w:rFonts w:hint="eastAsia" w:ascii="宋体" w:hAnsi="宋体" w:cs="宋体"/>
          <w:bCs/>
          <w:color w:val="auto"/>
          <w:sz w:val="24"/>
          <w:szCs w:val="24"/>
          <w:highlight w:val="none"/>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szCs w:val="24"/>
          <w:highlight w:val="none"/>
          <w:lang w:val="en-US" w:eastAsia="zh-CN"/>
        </w:rPr>
        <w:t>对应子项目</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10%/</w:t>
      </w:r>
      <w:r>
        <w:rPr>
          <w:rFonts w:hint="eastAsia" w:ascii="宋体" w:hAnsi="宋体" w:cs="宋体"/>
          <w:bCs/>
          <w:color w:val="auto"/>
          <w:sz w:val="24"/>
          <w:szCs w:val="24"/>
          <w:highlight w:val="none"/>
          <w:u w:val="single"/>
        </w:rPr>
        <w:t>次</w:t>
      </w:r>
      <w:r>
        <w:rPr>
          <w:rFonts w:hint="eastAsia" w:ascii="宋体" w:hAnsi="宋体" w:cs="宋体"/>
          <w:bCs/>
          <w:color w:val="auto"/>
          <w:sz w:val="24"/>
          <w:szCs w:val="24"/>
          <w:highlight w:val="none"/>
        </w:rPr>
        <w:t>作为违约金。</w:t>
      </w:r>
    </w:p>
    <w:p w14:paraId="1A41AC35">
      <w:pPr>
        <w:numPr>
          <w:ilvl w:val="0"/>
          <w:numId w:val="0"/>
        </w:numPr>
        <w:adjustRightInd/>
        <w:snapToGrid/>
        <w:spacing w:before="120" w:afterLines="50" w:line="384" w:lineRule="auto"/>
        <w:ind w:firstLine="0" w:firstLineChars="0"/>
        <w:jc w:val="left"/>
        <w:rPr>
          <w:rFonts w:hint="eastAsia" w:ascii="宋体" w:hAnsi="宋体" w:eastAsia="宋体" w:cs="宋体"/>
          <w:b/>
          <w:bCs/>
          <w:color w:val="auto"/>
          <w:kern w:val="2"/>
          <w:sz w:val="24"/>
          <w:szCs w:val="24"/>
          <w:highlight w:val="none"/>
        </w:rPr>
      </w:pPr>
      <w:bookmarkStart w:id="191" w:name="_Toc474245226"/>
      <w:bookmarkStart w:id="192" w:name="_Toc518993000"/>
      <w:bookmarkStart w:id="193" w:name="_Toc107447255"/>
      <w:bookmarkStart w:id="194" w:name="_Toc107446862"/>
      <w:bookmarkStart w:id="195" w:name="_Toc19692"/>
      <w:bookmarkStart w:id="196" w:name="_Toc183666531"/>
      <w:bookmarkStart w:id="197" w:name="_Toc306350467"/>
      <w:bookmarkStart w:id="198" w:name="_Toc520190040"/>
      <w:r>
        <w:rPr>
          <w:rFonts w:hint="eastAsia" w:ascii="宋体" w:hAnsi="宋体" w:eastAsia="宋体" w:cs="宋体"/>
          <w:b/>
          <w:bCs/>
          <w:color w:val="auto"/>
          <w:kern w:val="2"/>
          <w:sz w:val="24"/>
          <w:szCs w:val="24"/>
          <w:highlight w:val="none"/>
        </w:rPr>
        <w:t>第十</w:t>
      </w:r>
      <w:r>
        <w:rPr>
          <w:rFonts w:hint="eastAsia" w:ascii="宋体" w:hAnsi="宋体" w:cs="宋体"/>
          <w:b/>
          <w:bCs/>
          <w:color w:val="auto"/>
          <w:kern w:val="2"/>
          <w:sz w:val="24"/>
          <w:szCs w:val="24"/>
          <w:highlight w:val="none"/>
          <w:lang w:val="en-US" w:eastAsia="zh-CN"/>
        </w:rPr>
        <w:t>二</w:t>
      </w:r>
      <w:r>
        <w:rPr>
          <w:rFonts w:hint="eastAsia" w:ascii="宋体" w:hAnsi="宋体" w:eastAsia="宋体" w:cs="宋体"/>
          <w:b/>
          <w:bCs/>
          <w:color w:val="auto"/>
          <w:kern w:val="2"/>
          <w:sz w:val="24"/>
          <w:szCs w:val="24"/>
          <w:highlight w:val="none"/>
        </w:rPr>
        <w:t xml:space="preserve">条 </w:t>
      </w:r>
      <w:r>
        <w:rPr>
          <w:rFonts w:hint="eastAsia" w:ascii="宋体" w:hAnsi="宋体" w:cs="宋体"/>
          <w:b/>
          <w:bCs/>
          <w:color w:val="auto"/>
          <w:kern w:val="2"/>
          <w:sz w:val="24"/>
          <w:szCs w:val="24"/>
          <w:highlight w:val="none"/>
          <w:lang w:val="en-US" w:eastAsia="zh-CN"/>
        </w:rPr>
        <w:t>其他</w:t>
      </w:r>
      <w:r>
        <w:rPr>
          <w:rFonts w:hint="eastAsia" w:ascii="宋体" w:hAnsi="宋体" w:eastAsia="宋体" w:cs="宋体"/>
          <w:b/>
          <w:bCs/>
          <w:color w:val="auto"/>
          <w:kern w:val="2"/>
          <w:sz w:val="24"/>
          <w:szCs w:val="24"/>
          <w:highlight w:val="none"/>
        </w:rPr>
        <w:t>违约责任</w:t>
      </w:r>
    </w:p>
    <w:p w14:paraId="01ACE64C">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.1延期交货的违约责任</w:t>
      </w:r>
    </w:p>
    <w:p w14:paraId="13A82402">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.1.1乙方应按照本合同</w:t>
      </w:r>
      <w:r>
        <w:rPr>
          <w:rFonts w:hint="eastAsia" w:ascii="宋体" w:hAnsi="宋体" w:cs="宋体"/>
          <w:color w:val="auto"/>
          <w:kern w:val="0"/>
          <w:sz w:val="24"/>
          <w:szCs w:val="24"/>
          <w:highlight w:val="none"/>
          <w:lang w:val="en-US" w:eastAsia="zh-CN"/>
        </w:rPr>
        <w:t>5.1</w:t>
      </w:r>
      <w:r>
        <w:rPr>
          <w:rFonts w:hint="eastAsia" w:ascii="宋体" w:hAnsi="宋体" w:eastAsia="宋体" w:cs="宋体"/>
          <w:color w:val="auto"/>
          <w:kern w:val="0"/>
          <w:sz w:val="24"/>
          <w:szCs w:val="24"/>
          <w:highlight w:val="none"/>
        </w:rPr>
        <w:t>约定的时间交货。如乙方因客观情况导致无法按时交货，乙方应在交货期前 15 日，以书面形式将原因及预计拖延的时间通知甲方。经甲方同意后，交货期顺延。</w:t>
      </w:r>
    </w:p>
    <w:p w14:paraId="56658C99">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.1.2乙方未能在合同规定期限内交货并交付完整技术资料的，每逾期一天，甲方有权按迟交货设备价格的1%/天要求乙方支付违约金。逾期超过 15 天，甲方有权解除合同，要求乙方支付迟延违约金并在3天内退回预付款及利息（如有），且扣除乙方履约担保全部金额（如有）。如由于乙方逾期交货对甲方生产造成影响，甲方有权要求乙方赔偿损失。</w:t>
      </w:r>
    </w:p>
    <w:p w14:paraId="7EC6A681">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.2 质量问题的违约责任</w:t>
      </w:r>
    </w:p>
    <w:p w14:paraId="0327AD96">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.2.1 自乙方交货后至质量保修期满的期间内，甲方经检查发现或合同设备经安装、调试、试车或运行显示，合同设备或其任何部件存在质量问题，达不到本项目技术需求（附件</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）。甲方有权要求乙方采取下列一种或多种方式予以解决：</w:t>
      </w:r>
    </w:p>
    <w:p w14:paraId="1668D7BE">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（1）乙方承担费用，用合格的新设备更换有缺陷的设备或修补缺陷部分；</w:t>
      </w:r>
    </w:p>
    <w:p w14:paraId="608C8075">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（2）退还设备，同时将甲方已经支付的合同价款全额退还甲方，并承担甲方因履行本合同而支出的一切费用，包括但不限于利息、银行手续费、仓储费、卸货费以及因退回设备所需的其他费用。</w:t>
      </w:r>
    </w:p>
    <w:p w14:paraId="48DC8BA5">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（3）按不合格设备价格的50%支付违约金。</w:t>
      </w:r>
    </w:p>
    <w:p w14:paraId="17980D4F">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（4）赔偿甲方因设备质量问题导致的一切损失。</w:t>
      </w:r>
    </w:p>
    <w:p w14:paraId="5B4FB2B5">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.2.2 如果乙方提供的技术资料有错误，或者由于乙方技术人员原因造成设备安装、调试不成功和（或）造成合同设备损坏的情况，乙方应在24小时内采取修理、更换、退货等补救措施并负担因此发生的费用，同时需向甲方支付不合格设备价格的 50 %作为违约金。</w:t>
      </w:r>
    </w:p>
    <w:p w14:paraId="238E6834">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.2.3 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对应子项目合同暂定总价的 100 %支付违约金。</w:t>
      </w:r>
    </w:p>
    <w:p w14:paraId="6D4DCFAC">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.2.4 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14:paraId="092A5C4B">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 xml:space="preserve">.3 如乙方未按合同要求递交履约保证金，甲方有权解除合同并要求乙方支付合同暂定总价的20%作为违约金。 </w:t>
      </w:r>
    </w:p>
    <w:p w14:paraId="16F30DFB">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.4 如双方对质量责任认定有争议，由甲方委托具备相关资质的第三方质检机构出具质检报告。因第三方质检机构产生的费用先由乙方支付，如果检验结果为不合格，则该费用由乙方承担，如果检验结果为合格，则该费用由甲方承担。</w:t>
      </w:r>
    </w:p>
    <w:p w14:paraId="3199B4BD">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 xml:space="preserve"> 安全隐患</w:t>
      </w:r>
    </w:p>
    <w:p w14:paraId="6A4084C7">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乙方支付2000 元  /次的违约金。</w:t>
      </w:r>
    </w:p>
    <w:p w14:paraId="26289ADC">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出现上述情形超过 3  次（含3  次）的，甲方有权解除合同。</w:t>
      </w:r>
    </w:p>
    <w:p w14:paraId="65981314">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安全事故</w:t>
      </w:r>
    </w:p>
    <w:p w14:paraId="108BD853">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14:paraId="7E24EBBA">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人员不符合合同要求</w:t>
      </w:r>
    </w:p>
    <w:p w14:paraId="312336E0">
      <w:pPr>
        <w:tabs>
          <w:tab w:val="left" w:pos="851"/>
        </w:tabs>
        <w:adjustRightInd w:val="0"/>
        <w:snapToGrid w:val="0"/>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乙方不得随意更换项目负责人、专职安全员以及附件</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中的相关人员（人员名单应与乙方投标文件中所载明的人员一致），如确须更换，应事先征得甲方同意。如有违反，甲方有权解除合同并要求乙方支付  2000  元/人次作为违约金，以及赔偿由此造成的一切损失(包括但不限于质量安全事故、拖延工期、增加投资等损失)。</w:t>
      </w:r>
    </w:p>
    <w:p w14:paraId="151EB5E2">
      <w:pPr>
        <w:tabs>
          <w:tab w:val="left" w:pos="851"/>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 xml:space="preserve">乙方不履行合同义务、或履行合同义务不符合合同约定、或违反国家、省、市行业标准的，甲方有权要求乙方限期整改。乙方逾期未完成整改的，每项每超过1日支付违约金人民币1万元，超过15日，甲方有权解除合同并要求乙方支付对应子项目合同暂定总价的20%作为违约金（如合同另行约定违约责任，从其约定）。 </w:t>
      </w:r>
    </w:p>
    <w:p w14:paraId="57BA17C5">
      <w:pPr>
        <w:widowControl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12.9 关于工程签证及变更</w:t>
      </w:r>
    </w:p>
    <w:p w14:paraId="1A0F1FB1">
      <w:pPr>
        <w:widowControl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12.9.1 合同工程实施过程中如产生签证或变更，均需由甲乙双方、设计单位（如有）、监理单位（如有）协商一致，并以书面形式进行确认（具体流程按照甲方项目实施管理办法执行）。</w:t>
      </w:r>
    </w:p>
    <w:p w14:paraId="720518AD">
      <w:pPr>
        <w:widowControl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12.9.2 任何未经确认的签证或变更，甲方有权解除合同并要求乙方支付对应子项目合同暂定总价的20%作为违约金，并承担相应的返工责任。</w:t>
      </w:r>
    </w:p>
    <w:p w14:paraId="3257139D">
      <w:pPr>
        <w:spacing w:beforeLines="50" w:afterLines="50" w:line="384" w:lineRule="auto"/>
        <w:ind w:firstLine="422" w:firstLineChars="175"/>
        <w:jc w:val="left"/>
        <w:rPr>
          <w:rFonts w:ascii="宋体" w:hAnsi="宋体" w:cs="宋体"/>
          <w:color w:val="auto"/>
          <w:sz w:val="24"/>
          <w:szCs w:val="24"/>
          <w:highlight w:val="none"/>
        </w:rPr>
      </w:pPr>
      <w:r>
        <w:rPr>
          <w:rFonts w:hint="eastAsia" w:ascii="宋体" w:hAnsi="宋体" w:cs="宋体"/>
          <w:b/>
          <w:bCs/>
          <w:color w:val="auto"/>
          <w:sz w:val="24"/>
          <w:szCs w:val="24"/>
          <w:highlight w:val="none"/>
        </w:rPr>
        <w:t>第十</w:t>
      </w:r>
      <w:r>
        <w:rPr>
          <w:rFonts w:hint="eastAsia" w:ascii="宋体" w:hAnsi="宋体" w:cs="宋体"/>
          <w:b/>
          <w:bCs/>
          <w:color w:val="auto"/>
          <w:sz w:val="24"/>
          <w:szCs w:val="24"/>
          <w:highlight w:val="none"/>
          <w:lang w:val="en-US" w:eastAsia="zh-CN"/>
        </w:rPr>
        <w:t>三</w:t>
      </w:r>
      <w:r>
        <w:rPr>
          <w:rFonts w:hint="eastAsia" w:ascii="宋体" w:hAnsi="宋体" w:cs="宋体"/>
          <w:b/>
          <w:bCs/>
          <w:color w:val="auto"/>
          <w:sz w:val="24"/>
          <w:szCs w:val="24"/>
          <w:highlight w:val="none"/>
        </w:rPr>
        <w:t>条</w:t>
      </w:r>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不可抗力</w:t>
      </w:r>
      <w:bookmarkEnd w:id="191"/>
      <w:bookmarkEnd w:id="192"/>
      <w:bookmarkEnd w:id="193"/>
      <w:bookmarkEnd w:id="194"/>
      <w:bookmarkEnd w:id="195"/>
      <w:bookmarkEnd w:id="196"/>
      <w:bookmarkEnd w:id="197"/>
      <w:bookmarkEnd w:id="198"/>
    </w:p>
    <w:p w14:paraId="79C89766">
      <w:pPr>
        <w:widowControl/>
        <w:autoSpaceDE w:val="0"/>
        <w:autoSpaceDN w:val="0"/>
        <w:adjustRightInd w:val="0"/>
        <w:spacing w:line="384" w:lineRule="auto"/>
        <w:ind w:firstLine="480" w:firstLineChars="200"/>
        <w:rPr>
          <w:rFonts w:ascii="宋体" w:hAnsi="宋体" w:cs="宋体"/>
          <w:bCs/>
          <w:color w:val="auto"/>
          <w:sz w:val="24"/>
          <w:szCs w:val="24"/>
          <w:highlight w:val="none"/>
        </w:rPr>
      </w:pPr>
      <w:bookmarkStart w:id="199" w:name="_Toc12010"/>
      <w:bookmarkStart w:id="200" w:name="_Toc306350468"/>
      <w:bookmarkStart w:id="201" w:name="_Toc183666532"/>
      <w:r>
        <w:rPr>
          <w:rFonts w:ascii="宋体" w:hAnsi="宋体" w:cs="宋体"/>
          <w:bCs/>
          <w:color w:val="auto"/>
          <w:sz w:val="24"/>
          <w:szCs w:val="24"/>
          <w:highlight w:val="none"/>
        </w:rPr>
        <w:t>1</w:t>
      </w:r>
      <w:r>
        <w:rPr>
          <w:rFonts w:hint="eastAsia" w:ascii="宋体" w:hAnsi="宋体" w:cs="宋体"/>
          <w:bCs/>
          <w:color w:val="auto"/>
          <w:sz w:val="24"/>
          <w:szCs w:val="24"/>
          <w:highlight w:val="none"/>
          <w:lang w:val="en-US" w:eastAsia="zh-CN"/>
        </w:rPr>
        <w:t>3</w:t>
      </w:r>
      <w:r>
        <w:rPr>
          <w:rFonts w:ascii="宋体" w:hAnsi="宋体" w:cs="宋体"/>
          <w:bCs/>
          <w:color w:val="auto"/>
          <w:sz w:val="24"/>
          <w:szCs w:val="24"/>
          <w:highlight w:val="none"/>
        </w:rPr>
        <w:t xml:space="preserve">.1 </w:t>
      </w:r>
      <w:r>
        <w:rPr>
          <w:rFonts w:hint="eastAsia" w:ascii="宋体" w:hAnsi="宋体" w:cs="宋体"/>
          <w:bCs/>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14:paraId="2EB1D5C7">
      <w:pPr>
        <w:widowControl/>
        <w:autoSpaceDE w:val="0"/>
        <w:autoSpaceDN w:val="0"/>
        <w:adjustRightInd w:val="0"/>
        <w:spacing w:line="384"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⑴地震、火山爆发、滑坡、暴雨（橙色预警及以上）、台风（黄色预警及以上）、海啸、龙卷风、大面积流行病</w:t>
      </w:r>
      <w:r>
        <w:rPr>
          <w:rFonts w:ascii="宋体" w:hAnsi="宋体" w:cs="宋体"/>
          <w:bCs/>
          <w:color w:val="auto"/>
          <w:sz w:val="24"/>
          <w:szCs w:val="24"/>
          <w:highlight w:val="none"/>
        </w:rPr>
        <w:t>(如：非典型性肺炎等)或瘟疫；</w:t>
      </w:r>
    </w:p>
    <w:p w14:paraId="4289299A">
      <w:pPr>
        <w:widowControl/>
        <w:autoSpaceDE w:val="0"/>
        <w:autoSpaceDN w:val="0"/>
        <w:adjustRightInd w:val="0"/>
        <w:spacing w:line="384"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⑵战争行为、入侵、武装冲突或外敌行为、封锁、暴乱、恐怖行为或军事演习；</w:t>
      </w:r>
    </w:p>
    <w:p w14:paraId="63072CA0">
      <w:pPr>
        <w:widowControl/>
        <w:autoSpaceDE w:val="0"/>
        <w:autoSpaceDN w:val="0"/>
        <w:adjustRightInd w:val="0"/>
        <w:spacing w:line="384"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lang w:val="en-US" w:eastAsia="zh-CN"/>
        </w:rPr>
        <w:t>3</w:t>
      </w:r>
      <w:r>
        <w:rPr>
          <w:rFonts w:ascii="宋体" w:hAnsi="宋体" w:cs="宋体"/>
          <w:bCs/>
          <w:color w:val="auto"/>
          <w:sz w:val="24"/>
          <w:szCs w:val="24"/>
          <w:highlight w:val="none"/>
        </w:rPr>
        <w:t xml:space="preserve">.2 </w:t>
      </w:r>
      <w:r>
        <w:rPr>
          <w:rFonts w:hint="eastAsia" w:ascii="宋体" w:hAnsi="宋体" w:cs="宋体"/>
          <w:bCs/>
          <w:color w:val="auto"/>
          <w:sz w:val="24"/>
          <w:szCs w:val="24"/>
          <w:highlight w:val="none"/>
        </w:rPr>
        <w:t>声称受到不可抗力影响的一方，应在发生不可抗力或知道发生不可抗力之后</w:t>
      </w:r>
      <w:r>
        <w:rPr>
          <w:rFonts w:ascii="宋体" w:hAnsi="宋体" w:cs="宋体"/>
          <w:bCs/>
          <w:color w:val="auto"/>
          <w:sz w:val="24"/>
          <w:szCs w:val="24"/>
          <w:highlight w:val="none"/>
        </w:rPr>
        <w:t>5日内书面通知另一方，详细描述不可抗力的发生情况和对该方履行在本合同项下义务的影响，同时附上此种不可抗力事件及其持续时间的有效证明文件。</w:t>
      </w:r>
    </w:p>
    <w:p w14:paraId="732A569A">
      <w:pPr>
        <w:widowControl/>
        <w:autoSpaceDE w:val="0"/>
        <w:autoSpaceDN w:val="0"/>
        <w:adjustRightInd w:val="0"/>
        <w:spacing w:line="384"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lang w:val="en-US" w:eastAsia="zh-CN"/>
        </w:rPr>
        <w:t>3</w:t>
      </w:r>
      <w:r>
        <w:rPr>
          <w:rFonts w:ascii="宋体" w:hAnsi="宋体" w:cs="宋体"/>
          <w:bCs/>
          <w:color w:val="auto"/>
          <w:sz w:val="24"/>
          <w:szCs w:val="24"/>
          <w:highlight w:val="none"/>
        </w:rPr>
        <w:t xml:space="preserve">.3 </w:t>
      </w:r>
      <w:r>
        <w:rPr>
          <w:rFonts w:hint="eastAsia" w:ascii="宋体" w:hAnsi="宋体" w:cs="宋体"/>
          <w:bCs/>
          <w:color w:val="auto"/>
          <w:sz w:val="24"/>
          <w:szCs w:val="24"/>
          <w:highlight w:val="none"/>
        </w:rPr>
        <w:t>因不可抗力导致合同无法履行的时间自该不可抗力发生日起连续超过玖拾</w:t>
      </w:r>
      <w:r>
        <w:rPr>
          <w:rFonts w:ascii="宋体" w:hAnsi="宋体" w:cs="宋体"/>
          <w:bCs/>
          <w:color w:val="auto"/>
          <w:sz w:val="24"/>
          <w:szCs w:val="24"/>
          <w:highlight w:val="none"/>
        </w:rPr>
        <w:t>(90)天，双方应协商决定继续履行本合同的条件或者变更本合同。如果自不可抗力发生后壹佰捌拾(180)天之内双方不能达成一致意见，任何一方有权解除本合同。</w:t>
      </w:r>
    </w:p>
    <w:p w14:paraId="6A3FBB29">
      <w:pPr>
        <w:spacing w:beforeLines="50" w:afterLines="50" w:line="384" w:lineRule="auto"/>
        <w:ind w:firstLine="482"/>
        <w:jc w:val="left"/>
        <w:rPr>
          <w:rFonts w:ascii="宋体" w:hAnsi="宋体" w:cs="宋体"/>
          <w:bCs/>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lang w:val="en-US" w:eastAsia="zh-CN"/>
        </w:rPr>
        <w:t>3</w:t>
      </w:r>
      <w:r>
        <w:rPr>
          <w:rFonts w:ascii="宋体" w:hAnsi="宋体" w:cs="宋体"/>
          <w:bCs/>
          <w:color w:val="auto"/>
          <w:sz w:val="24"/>
          <w:szCs w:val="24"/>
          <w:highlight w:val="none"/>
        </w:rPr>
        <w:t xml:space="preserve">.4 </w:t>
      </w:r>
      <w:r>
        <w:rPr>
          <w:rFonts w:hint="eastAsia" w:ascii="宋体" w:hAnsi="宋体" w:cs="宋体"/>
          <w:bCs/>
          <w:color w:val="auto"/>
          <w:sz w:val="24"/>
          <w:szCs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202" w:name="_Toc520190041"/>
      <w:bookmarkStart w:id="203" w:name="_Toc474245227"/>
      <w:bookmarkStart w:id="204" w:name="_Toc518993001"/>
      <w:bookmarkStart w:id="205" w:name="_Toc118172294"/>
      <w:bookmarkStart w:id="206" w:name="_Toc107446864"/>
      <w:bookmarkStart w:id="207" w:name="_Toc107447257"/>
    </w:p>
    <w:p w14:paraId="017A6533">
      <w:pPr>
        <w:spacing w:beforeLines="50" w:afterLines="50" w:line="384" w:lineRule="auto"/>
        <w:ind w:firstLine="482"/>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十</w:t>
      </w:r>
      <w:r>
        <w:rPr>
          <w:rFonts w:hint="eastAsia" w:ascii="宋体" w:hAnsi="宋体" w:cs="宋体"/>
          <w:b/>
          <w:bCs/>
          <w:color w:val="auto"/>
          <w:sz w:val="24"/>
          <w:szCs w:val="24"/>
          <w:highlight w:val="none"/>
          <w:lang w:val="en-US" w:eastAsia="zh-CN"/>
        </w:rPr>
        <w:t>四</w:t>
      </w:r>
      <w:r>
        <w:rPr>
          <w:rFonts w:hint="eastAsia" w:ascii="宋体" w:hAnsi="宋体" w:cs="宋体"/>
          <w:b/>
          <w:bCs/>
          <w:color w:val="auto"/>
          <w:sz w:val="24"/>
          <w:szCs w:val="24"/>
          <w:highlight w:val="none"/>
        </w:rPr>
        <w:t>条</w:t>
      </w:r>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争议解决</w:t>
      </w:r>
      <w:bookmarkEnd w:id="199"/>
      <w:bookmarkEnd w:id="200"/>
      <w:bookmarkEnd w:id="201"/>
      <w:bookmarkEnd w:id="202"/>
      <w:bookmarkEnd w:id="203"/>
      <w:bookmarkEnd w:id="204"/>
      <w:bookmarkEnd w:id="205"/>
      <w:bookmarkEnd w:id="206"/>
      <w:bookmarkEnd w:id="207"/>
    </w:p>
    <w:p w14:paraId="0369F92A">
      <w:pPr>
        <w:spacing w:line="384" w:lineRule="auto"/>
        <w:ind w:firstLine="482"/>
        <w:rPr>
          <w:rFonts w:ascii="宋体" w:hAnsi="宋体" w:cs="宋体"/>
          <w:bCs/>
          <w:color w:val="auto"/>
          <w:sz w:val="24"/>
          <w:szCs w:val="24"/>
          <w:highlight w:val="none"/>
        </w:rPr>
      </w:pPr>
      <w:bookmarkStart w:id="208" w:name="_Toc183666533"/>
      <w:bookmarkStart w:id="209" w:name="_Toc306350469"/>
      <w:r>
        <w:rPr>
          <w:rFonts w:ascii="宋体" w:hAnsi="宋体" w:cs="宋体"/>
          <w:bCs/>
          <w:color w:val="auto"/>
          <w:sz w:val="24"/>
          <w:szCs w:val="24"/>
          <w:highlight w:val="none"/>
        </w:rPr>
        <w:t>1</w:t>
      </w:r>
      <w:r>
        <w:rPr>
          <w:rFonts w:hint="eastAsia" w:ascii="宋体" w:hAnsi="宋体" w:cs="宋体"/>
          <w:bCs/>
          <w:color w:val="auto"/>
          <w:sz w:val="24"/>
          <w:szCs w:val="24"/>
          <w:highlight w:val="none"/>
          <w:lang w:val="en-US" w:eastAsia="zh-CN"/>
        </w:rPr>
        <w:t>4</w:t>
      </w:r>
      <w:r>
        <w:rPr>
          <w:rFonts w:ascii="宋体" w:hAnsi="宋体" w:cs="宋体"/>
          <w:bCs/>
          <w:color w:val="auto"/>
          <w:sz w:val="24"/>
          <w:szCs w:val="24"/>
          <w:highlight w:val="none"/>
        </w:rPr>
        <w:t xml:space="preserve">.1 </w:t>
      </w:r>
      <w:r>
        <w:rPr>
          <w:rFonts w:hint="eastAsia" w:ascii="宋体" w:hAnsi="宋体" w:cs="宋体"/>
          <w:bCs/>
          <w:color w:val="auto"/>
          <w:sz w:val="24"/>
          <w:szCs w:val="24"/>
          <w:highlight w:val="none"/>
        </w:rPr>
        <w:t>甲乙双方应通过友好协商，解决在执行本合同所发生的或与本合同有关的一切争议。如协商不能解决争议，任何一方均可依法向甲方所在地人民法院提起诉讼。</w:t>
      </w:r>
    </w:p>
    <w:p w14:paraId="7DCBB334">
      <w:pPr>
        <w:spacing w:line="384" w:lineRule="auto"/>
        <w:ind w:firstLine="482"/>
        <w:jc w:val="left"/>
        <w:rPr>
          <w:rFonts w:ascii="宋体" w:hAnsi="宋体" w:cs="宋体"/>
          <w:color w:val="auto"/>
          <w:sz w:val="24"/>
          <w:szCs w:val="24"/>
          <w:highlight w:val="none"/>
        </w:rPr>
      </w:pPr>
      <w:r>
        <w:rPr>
          <w:rFonts w:ascii="宋体" w:hAnsi="宋体" w:cs="宋体"/>
          <w:bCs/>
          <w:color w:val="auto"/>
          <w:sz w:val="24"/>
          <w:szCs w:val="24"/>
          <w:highlight w:val="none"/>
        </w:rPr>
        <w:t>1</w:t>
      </w:r>
      <w:r>
        <w:rPr>
          <w:rFonts w:hint="eastAsia" w:ascii="宋体" w:hAnsi="宋体" w:cs="宋体"/>
          <w:bCs/>
          <w:color w:val="auto"/>
          <w:sz w:val="24"/>
          <w:szCs w:val="24"/>
          <w:highlight w:val="none"/>
          <w:lang w:val="en-US" w:eastAsia="zh-CN"/>
        </w:rPr>
        <w:t>4</w:t>
      </w:r>
      <w:r>
        <w:rPr>
          <w:rFonts w:ascii="宋体" w:hAnsi="宋体" w:cs="宋体"/>
          <w:bCs/>
          <w:color w:val="auto"/>
          <w:sz w:val="24"/>
          <w:szCs w:val="24"/>
          <w:highlight w:val="none"/>
        </w:rPr>
        <w:t xml:space="preserve">.2 </w:t>
      </w:r>
      <w:r>
        <w:rPr>
          <w:rFonts w:hint="eastAsia" w:ascii="宋体" w:hAnsi="宋体" w:cs="宋体"/>
          <w:color w:val="auto"/>
          <w:sz w:val="24"/>
          <w:szCs w:val="24"/>
          <w:highlight w:val="none"/>
        </w:rPr>
        <w:t>在甲方同意的情况下，除有争端之外的合同其它部分在争端解决前应继续执行。</w:t>
      </w:r>
      <w:bookmarkEnd w:id="208"/>
      <w:bookmarkEnd w:id="209"/>
      <w:bookmarkStart w:id="210" w:name="_Toc520190043"/>
      <w:bookmarkStart w:id="211" w:name="_Toc474245229"/>
      <w:bookmarkStart w:id="212" w:name="_Toc518993003"/>
    </w:p>
    <w:p w14:paraId="4BD0C8CF">
      <w:pPr>
        <w:spacing w:line="384" w:lineRule="auto"/>
        <w:ind w:firstLine="482"/>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第十</w:t>
      </w:r>
      <w:r>
        <w:rPr>
          <w:rFonts w:hint="eastAsia" w:ascii="宋体" w:hAnsi="宋体" w:cs="宋体"/>
          <w:b/>
          <w:bCs/>
          <w:color w:val="auto"/>
          <w:sz w:val="24"/>
          <w:szCs w:val="24"/>
          <w:highlight w:val="none"/>
          <w:lang w:val="en-US" w:eastAsia="zh-CN"/>
        </w:rPr>
        <w:t>五</w:t>
      </w:r>
      <w:r>
        <w:rPr>
          <w:rFonts w:hint="eastAsia" w:ascii="宋体" w:hAnsi="宋体" w:cs="宋体"/>
          <w:b/>
          <w:bCs/>
          <w:color w:val="auto"/>
          <w:sz w:val="24"/>
          <w:szCs w:val="24"/>
          <w:highlight w:val="none"/>
        </w:rPr>
        <w:t>条</w:t>
      </w:r>
      <w:bookmarkStart w:id="213" w:name="_Toc107446871"/>
      <w:bookmarkStart w:id="214" w:name="_Toc107447264"/>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合同生效及其他</w:t>
      </w:r>
      <w:bookmarkEnd w:id="210"/>
      <w:bookmarkEnd w:id="211"/>
      <w:bookmarkEnd w:id="212"/>
      <w:bookmarkEnd w:id="213"/>
      <w:bookmarkEnd w:id="214"/>
    </w:p>
    <w:p w14:paraId="07CA7566">
      <w:pPr>
        <w:spacing w:line="384" w:lineRule="auto"/>
        <w:ind w:firstLine="48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.1</w:t>
      </w:r>
      <w:r>
        <w:rPr>
          <w:rFonts w:hint="eastAsia" w:ascii="宋体" w:hAnsi="宋体" w:cs="宋体"/>
          <w:color w:val="auto"/>
          <w:sz w:val="24"/>
          <w:szCs w:val="24"/>
          <w:highlight w:val="none"/>
        </w:rPr>
        <w:t>本合同经双方法定代表人或授权代表签字并加盖双方公章后生效</w:t>
      </w:r>
      <w:r>
        <w:rPr>
          <w:rFonts w:hint="eastAsia" w:ascii="宋体" w:hAnsi="宋体" w:cs="宋体"/>
          <w:color w:val="auto"/>
          <w:sz w:val="24"/>
          <w:szCs w:val="24"/>
          <w:highlight w:val="none"/>
          <w:lang w:eastAsia="zh-CN"/>
        </w:rPr>
        <w:t>。</w:t>
      </w:r>
    </w:p>
    <w:p w14:paraId="31CC37B2">
      <w:pPr>
        <w:spacing w:line="384"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.2</w:t>
      </w:r>
      <w:r>
        <w:rPr>
          <w:rFonts w:hint="eastAsia" w:ascii="宋体" w:hAnsi="宋体" w:cs="宋体"/>
          <w:color w:val="auto"/>
          <w:sz w:val="24"/>
          <w:szCs w:val="24"/>
          <w:highlight w:val="none"/>
        </w:rPr>
        <w:t>本合同正文一式</w:t>
      </w:r>
      <w:r>
        <w:rPr>
          <w:rFonts w:hint="eastAsia" w:ascii="宋体" w:hAnsi="宋体" w:cs="宋体"/>
          <w:strike/>
          <w:dstrike w:val="0"/>
          <w:color w:val="auto"/>
          <w:sz w:val="24"/>
          <w:szCs w:val="24"/>
          <w:highlight w:val="none"/>
          <w:lang w:val="en-US" w:eastAsia="zh-CN"/>
        </w:rPr>
        <w:t xml:space="preserve">     </w:t>
      </w:r>
      <w:r>
        <w:rPr>
          <w:rFonts w:hint="eastAsia" w:ascii="宋体" w:hAnsi="宋体" w:cs="宋体"/>
          <w:color w:val="auto"/>
          <w:sz w:val="24"/>
          <w:szCs w:val="24"/>
          <w:highlight w:val="none"/>
        </w:rPr>
        <w:t>份，其中：甲方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份，乙方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份。</w:t>
      </w:r>
    </w:p>
    <w:p w14:paraId="7306DA63">
      <w:pPr>
        <w:spacing w:line="384" w:lineRule="auto"/>
        <w:ind w:firstLine="480"/>
        <w:rPr>
          <w:rFonts w:hint="default" w:ascii="宋体" w:hAnsi="宋体" w:cs="宋体"/>
          <w:color w:val="auto"/>
          <w:sz w:val="24"/>
          <w:szCs w:val="24"/>
          <w:highlight w:val="none"/>
          <w:u w:val="single"/>
          <w:lang w:val="en-US" w:eastAsia="zh-CN"/>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w:t>
      </w:r>
      <w:r>
        <w:rPr>
          <w:rFonts w:hint="eastAsia" w:ascii="宋体" w:hAnsi="宋体" w:cs="宋体"/>
          <w:color w:val="auto"/>
          <w:sz w:val="24"/>
          <w:szCs w:val="24"/>
          <w:highlight w:val="none"/>
        </w:rPr>
        <w:t>3补充条款</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w:t>
      </w:r>
    </w:p>
    <w:p w14:paraId="2550F20A">
      <w:pPr>
        <w:spacing w:line="384" w:lineRule="auto"/>
        <w:ind w:firstLine="0"/>
        <w:rPr>
          <w:rFonts w:hint="eastAsia" w:ascii="宋体" w:hAnsi="宋体" w:cs="宋体"/>
          <w:color w:val="auto"/>
          <w:sz w:val="24"/>
          <w:szCs w:val="24"/>
          <w:highlight w:val="none"/>
          <w:u w:val="single"/>
          <w:lang w:eastAsia="zh-CN"/>
        </w:rPr>
      </w:pPr>
    </w:p>
    <w:p w14:paraId="7864B9F5">
      <w:pPr>
        <w:spacing w:line="384" w:lineRule="auto"/>
        <w:rPr>
          <w:rFonts w:ascii="宋体" w:hAnsi="宋体" w:cs="宋体"/>
          <w:color w:val="auto"/>
          <w:sz w:val="24"/>
          <w:szCs w:val="24"/>
          <w:highlight w:val="none"/>
        </w:rPr>
      </w:pPr>
    </w:p>
    <w:p w14:paraId="2354E031">
      <w:pPr>
        <w:spacing w:line="384" w:lineRule="auto"/>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中标通知书</w:t>
      </w:r>
    </w:p>
    <w:p w14:paraId="45A28EFD">
      <w:pPr>
        <w:numPr>
          <w:ilvl w:val="0"/>
          <w:numId w:val="0"/>
        </w:numPr>
        <w:spacing w:line="46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廉洁协议</w:t>
      </w:r>
    </w:p>
    <w:p w14:paraId="468940EF">
      <w:pPr>
        <w:keepNext w:val="0"/>
        <w:keepLines w:val="0"/>
        <w:pageBreakBefore w:val="0"/>
        <w:kinsoku/>
        <w:wordWrap/>
        <w:overflowPunct/>
        <w:topLinePunct w:val="0"/>
        <w:autoSpaceDE/>
        <w:autoSpaceDN/>
        <w:bidi w:val="0"/>
        <w:spacing w:line="440" w:lineRule="exact"/>
        <w:ind w:firstLine="720" w:firstLineChars="300"/>
        <w:jc w:val="both"/>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ascii="宋体" w:hAnsi="宋体" w:cs="宋体"/>
          <w:color w:val="auto"/>
          <w:sz w:val="24"/>
          <w:szCs w:val="24"/>
          <w:highlight w:val="none"/>
        </w:rPr>
        <w:t>.</w:t>
      </w:r>
      <w:r>
        <w:rPr>
          <w:rFonts w:hint="eastAsia" w:ascii="宋体" w:hAnsi="宋体" w:eastAsia="宋体" w:cs="宋体"/>
          <w:color w:val="auto"/>
          <w:sz w:val="24"/>
          <w:szCs w:val="24"/>
          <w:highlight w:val="none"/>
          <w:lang w:val="en-US" w:eastAsia="zh-CN"/>
        </w:rPr>
        <w:t>营运场所施工安全及消防安全协议书</w:t>
      </w:r>
    </w:p>
    <w:p w14:paraId="0F3C4BA9">
      <w:pPr>
        <w:spacing w:line="384" w:lineRule="auto"/>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4</w:t>
      </w:r>
      <w:r>
        <w:rPr>
          <w:rFonts w:ascii="宋体" w:hAnsi="宋体" w:cs="宋体"/>
          <w:color w:val="auto"/>
          <w:sz w:val="24"/>
          <w:szCs w:val="24"/>
          <w:highlight w:val="none"/>
        </w:rPr>
        <w:t>.</w:t>
      </w:r>
      <w:r>
        <w:rPr>
          <w:rFonts w:hint="eastAsia" w:ascii="宋体" w:hAnsi="宋体" w:cs="宋体"/>
          <w:color w:val="auto"/>
          <w:sz w:val="24"/>
          <w:szCs w:val="24"/>
          <w:highlight w:val="none"/>
        </w:rPr>
        <w:t>工程量清单</w:t>
      </w:r>
      <w:r>
        <w:rPr>
          <w:rFonts w:ascii="宋体" w:hAnsi="宋体" w:cs="宋体"/>
          <w:color w:val="auto"/>
          <w:sz w:val="24"/>
          <w:szCs w:val="24"/>
          <w:highlight w:val="none"/>
        </w:rPr>
        <w:t>/</w:t>
      </w:r>
      <w:r>
        <w:rPr>
          <w:rFonts w:hint="eastAsia" w:ascii="宋体" w:hAnsi="宋体" w:cs="宋体"/>
          <w:color w:val="auto"/>
          <w:sz w:val="24"/>
          <w:szCs w:val="24"/>
          <w:highlight w:val="none"/>
        </w:rPr>
        <w:t>报价</w:t>
      </w:r>
    </w:p>
    <w:p w14:paraId="1C163323">
      <w:pPr>
        <w:spacing w:line="384" w:lineRule="auto"/>
        <w:rPr>
          <w:rFonts w:hint="eastAsia" w:ascii="宋体" w:hAnsi="宋体" w:cs="宋体"/>
          <w:color w:val="auto"/>
          <w:sz w:val="24"/>
          <w:szCs w:val="24"/>
          <w:highlight w:val="none"/>
        </w:rPr>
      </w:pPr>
      <w:r>
        <w:rPr>
          <w:rFonts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5</w:t>
      </w:r>
      <w:r>
        <w:rPr>
          <w:rFonts w:ascii="宋体" w:hAnsi="宋体" w:cs="宋体"/>
          <w:color w:val="auto"/>
          <w:sz w:val="24"/>
          <w:szCs w:val="24"/>
          <w:highlight w:val="none"/>
        </w:rPr>
        <w:t>.</w:t>
      </w:r>
      <w:r>
        <w:rPr>
          <w:rFonts w:hint="eastAsia" w:ascii="宋体" w:hAnsi="宋体" w:cs="宋体"/>
          <w:color w:val="auto"/>
          <w:sz w:val="24"/>
          <w:szCs w:val="24"/>
          <w:highlight w:val="none"/>
        </w:rPr>
        <w:t>项目投入人员架构表</w:t>
      </w:r>
    </w:p>
    <w:p w14:paraId="33A26382">
      <w:pPr>
        <w:spacing w:line="384" w:lineRule="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6.应急救援物资清单</w:t>
      </w:r>
      <w:r>
        <w:rPr>
          <w:rFonts w:ascii="宋体" w:hAnsi="宋体" w:cs="宋体"/>
          <w:color w:val="auto"/>
          <w:sz w:val="24"/>
          <w:szCs w:val="24"/>
          <w:highlight w:val="none"/>
        </w:rPr>
        <w:t xml:space="preserve"> </w:t>
      </w:r>
    </w:p>
    <w:p w14:paraId="578A6DF3">
      <w:pPr>
        <w:widowControl w:val="0"/>
        <w:adjustRightInd/>
        <w:snapToGrid/>
        <w:spacing w:line="360" w:lineRule="auto"/>
        <w:ind w:firstLine="720" w:firstLineChars="300"/>
        <w:jc w:val="both"/>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7.营运项目承包单位日常履约考评参照表（安全）、营运项目承包单位综合履约考评表（安全）</w:t>
      </w:r>
    </w:p>
    <w:p w14:paraId="586F5479">
      <w:pPr>
        <w:widowControl w:val="0"/>
        <w:adjustRightInd/>
        <w:snapToGrid/>
        <w:spacing w:line="360" w:lineRule="auto"/>
        <w:ind w:firstLine="720" w:firstLineChars="300"/>
        <w:jc w:val="both"/>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8.</w:t>
      </w:r>
      <w:r>
        <w:rPr>
          <w:rFonts w:hint="eastAsia" w:ascii="仿宋_GB2312" w:hAnsi="Times New Roman" w:eastAsia="宋体" w:cs="宋体"/>
          <w:color w:val="auto"/>
          <w:kern w:val="2"/>
          <w:sz w:val="24"/>
          <w:szCs w:val="22"/>
          <w:highlight w:val="none"/>
          <w:lang w:val="en-US" w:eastAsia="zh-CN" w:bidi="ar-SA"/>
        </w:rPr>
        <w:t>履约保函</w:t>
      </w:r>
      <w:r>
        <w:rPr>
          <w:rFonts w:hint="eastAsia" w:ascii="宋体" w:hAnsi="宋体" w:eastAsia="宋体" w:cs="宋体"/>
          <w:color w:val="auto"/>
          <w:kern w:val="2"/>
          <w:sz w:val="24"/>
          <w:szCs w:val="22"/>
          <w:highlight w:val="none"/>
          <w:lang w:val="en-US" w:eastAsia="zh-CN" w:bidi="ar-SA"/>
        </w:rPr>
        <w:t>（模板）</w:t>
      </w:r>
    </w:p>
    <w:p w14:paraId="50195802">
      <w:pPr>
        <w:widowControl w:val="0"/>
        <w:adjustRightInd/>
        <w:snapToGrid/>
        <w:spacing w:line="360" w:lineRule="auto"/>
        <w:ind w:firstLine="720" w:firstLineChars="300"/>
        <w:jc w:val="both"/>
        <w:textAlignment w:val="auto"/>
        <w:rPr>
          <w:rFonts w:hint="eastAsia" w:ascii="仿宋_GB2312" w:hAnsi="Times New Roman" w:eastAsia="宋体" w:cs="宋体"/>
          <w:color w:val="auto"/>
          <w:kern w:val="2"/>
          <w:sz w:val="24"/>
          <w:szCs w:val="22"/>
          <w:highlight w:val="none"/>
          <w:lang w:val="en-US" w:eastAsia="zh-CN" w:bidi="ar-SA"/>
        </w:rPr>
      </w:pPr>
      <w:r>
        <w:rPr>
          <w:rFonts w:hint="eastAsia" w:ascii="仿宋_GB2312" w:hAnsi="Times New Roman" w:eastAsia="宋体" w:cs="宋体"/>
          <w:color w:val="auto"/>
          <w:kern w:val="2"/>
          <w:sz w:val="24"/>
          <w:szCs w:val="22"/>
          <w:highlight w:val="none"/>
          <w:lang w:val="en-US" w:eastAsia="zh-CN" w:bidi="ar-SA"/>
        </w:rPr>
        <w:t>9.预付款保函（模板）</w:t>
      </w:r>
    </w:p>
    <w:p w14:paraId="2E2657B8">
      <w:pPr>
        <w:widowControl w:val="0"/>
        <w:adjustRightInd/>
        <w:snapToGrid/>
        <w:spacing w:line="360" w:lineRule="auto"/>
        <w:ind w:firstLine="720" w:firstLineChars="300"/>
        <w:jc w:val="both"/>
        <w:textAlignment w:val="auto"/>
        <w:rPr>
          <w:rFonts w:hint="default" w:ascii="仿宋_GB2312" w:hAnsi="Times New Roman" w:eastAsia="宋体" w:cs="宋体"/>
          <w:color w:val="auto"/>
          <w:kern w:val="2"/>
          <w:sz w:val="24"/>
          <w:szCs w:val="22"/>
          <w:highlight w:val="none"/>
          <w:lang w:val="en-US" w:eastAsia="zh-CN" w:bidi="ar-SA"/>
        </w:rPr>
      </w:pPr>
      <w:r>
        <w:rPr>
          <w:rFonts w:hint="eastAsia" w:ascii="仿宋_GB2312" w:hAnsi="Times New Roman" w:eastAsia="宋体" w:cs="宋体"/>
          <w:color w:val="auto"/>
          <w:kern w:val="2"/>
          <w:sz w:val="24"/>
          <w:szCs w:val="22"/>
          <w:highlight w:val="none"/>
          <w:lang w:val="en-US" w:eastAsia="zh-CN" w:bidi="ar-SA"/>
        </w:rPr>
        <w:t>10、项目需求书</w:t>
      </w:r>
    </w:p>
    <w:p w14:paraId="0C25A16B">
      <w:pPr>
        <w:adjustRightInd w:val="0"/>
        <w:snapToGrid w:val="0"/>
        <w:ind w:firstLine="720" w:firstLineChars="300"/>
        <w:jc w:val="both"/>
        <w:rPr>
          <w:rFonts w:ascii="宋体" w:hAnsi="宋体" w:cs="宋体"/>
          <w:b w:val="0"/>
          <w:bCs w:val="0"/>
          <w:color w:val="auto"/>
          <w:sz w:val="24"/>
          <w:szCs w:val="24"/>
          <w:highlight w:val="none"/>
        </w:rPr>
      </w:pPr>
    </w:p>
    <w:p w14:paraId="7D4599CA">
      <w:pPr>
        <w:spacing w:line="384" w:lineRule="auto"/>
        <w:rPr>
          <w:rFonts w:ascii="宋体" w:hAnsi="宋体" w:cs="宋体"/>
          <w:color w:val="auto"/>
          <w:sz w:val="24"/>
          <w:szCs w:val="24"/>
          <w:highlight w:val="none"/>
        </w:rPr>
      </w:pPr>
      <w:r>
        <w:rPr>
          <w:rFonts w:hint="eastAsia" w:ascii="宋体" w:hAnsi="宋体" w:cs="宋体"/>
          <w:color w:val="auto"/>
          <w:sz w:val="24"/>
          <w:szCs w:val="24"/>
          <w:highlight w:val="none"/>
        </w:rPr>
        <w:t>甲方：广州市净水有限公司（盖章）</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乙方：（盖章）</w:t>
      </w:r>
    </w:p>
    <w:p w14:paraId="562A55D1">
      <w:pPr>
        <w:spacing w:line="384" w:lineRule="auto"/>
        <w:rPr>
          <w:rFonts w:ascii="宋体" w:hAnsi="宋体" w:cs="宋体"/>
          <w:color w:val="auto"/>
          <w:sz w:val="24"/>
          <w:szCs w:val="24"/>
          <w:highlight w:val="none"/>
        </w:rPr>
      </w:pPr>
      <w:r>
        <w:rPr>
          <w:rFonts w:hint="eastAsia" w:ascii="宋体" w:hAnsi="宋体" w:cs="宋体"/>
          <w:color w:val="auto"/>
          <w:sz w:val="24"/>
          <w:szCs w:val="24"/>
          <w:highlight w:val="none"/>
        </w:rPr>
        <w:t>法定代表</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或</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法定代表人或</w:t>
      </w:r>
    </w:p>
    <w:p w14:paraId="101F0D0B">
      <w:pPr>
        <w:spacing w:line="384" w:lineRule="auto"/>
        <w:rPr>
          <w:rFonts w:ascii="宋体" w:hAnsi="宋体" w:cs="宋体"/>
          <w:color w:val="auto"/>
          <w:sz w:val="24"/>
          <w:szCs w:val="24"/>
          <w:highlight w:val="none"/>
        </w:rPr>
      </w:pPr>
      <w:r>
        <w:rPr>
          <w:rFonts w:hint="eastAsia" w:ascii="宋体" w:hAnsi="宋体" w:cs="宋体"/>
          <w:color w:val="auto"/>
          <w:sz w:val="24"/>
          <w:szCs w:val="24"/>
          <w:highlight w:val="none"/>
        </w:rPr>
        <w:t>授权代理人：</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授权代理人：</w:t>
      </w:r>
    </w:p>
    <w:p w14:paraId="6E310591">
      <w:pPr>
        <w:spacing w:line="384" w:lineRule="auto"/>
        <w:rPr>
          <w:rFonts w:ascii="宋体" w:hAnsi="宋体" w:cs="宋体"/>
          <w:color w:val="auto"/>
          <w:sz w:val="24"/>
          <w:szCs w:val="24"/>
          <w:highlight w:val="none"/>
        </w:rPr>
      </w:pPr>
      <w:r>
        <w:rPr>
          <w:rFonts w:hint="eastAsia" w:ascii="宋体" w:hAnsi="宋体" w:cs="宋体"/>
          <w:color w:val="auto"/>
          <w:sz w:val="24"/>
          <w:szCs w:val="24"/>
          <w:highlight w:val="none"/>
        </w:rPr>
        <w:t>地址：</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地址：</w:t>
      </w:r>
    </w:p>
    <w:p w14:paraId="41CB9828">
      <w:pPr>
        <w:spacing w:line="384"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经办人：</w:t>
      </w:r>
    </w:p>
    <w:p w14:paraId="6227BB16">
      <w:pPr>
        <w:spacing w:line="384" w:lineRule="auto"/>
        <w:rPr>
          <w:rFonts w:ascii="宋体" w:hAnsi="宋体" w:cs="宋体"/>
          <w:color w:val="auto"/>
          <w:sz w:val="24"/>
          <w:szCs w:val="24"/>
          <w:highlight w:val="none"/>
        </w:rPr>
      </w:pPr>
      <w:r>
        <w:rPr>
          <w:rFonts w:hint="eastAsia" w:ascii="宋体" w:hAnsi="宋体" w:cs="宋体"/>
          <w:color w:val="auto"/>
          <w:sz w:val="24"/>
          <w:szCs w:val="24"/>
          <w:highlight w:val="none"/>
        </w:rPr>
        <w:t>联系电话：</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联系电话：</w:t>
      </w:r>
    </w:p>
    <w:p w14:paraId="3261FB00">
      <w:pPr>
        <w:spacing w:line="384" w:lineRule="auto"/>
        <w:ind w:left="6360" w:hanging="6360" w:hangingChars="2650"/>
        <w:rPr>
          <w:rFonts w:ascii="宋体" w:hAnsi="宋体" w:cs="宋体"/>
          <w:color w:val="auto"/>
          <w:sz w:val="24"/>
          <w:szCs w:val="24"/>
          <w:highlight w:val="none"/>
        </w:rPr>
      </w:pPr>
      <w:r>
        <w:rPr>
          <w:rFonts w:hint="eastAsia" w:ascii="宋体" w:hAnsi="宋体" w:cs="宋体"/>
          <w:color w:val="auto"/>
          <w:sz w:val="24"/>
          <w:szCs w:val="24"/>
          <w:highlight w:val="none"/>
        </w:rPr>
        <w:t>传真：</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传真：</w:t>
      </w:r>
    </w:p>
    <w:p w14:paraId="5543FE89">
      <w:pPr>
        <w:spacing w:line="384" w:lineRule="auto"/>
        <w:ind w:left="6360" w:hanging="6360" w:hangingChars="2650"/>
        <w:rPr>
          <w:rFonts w:ascii="宋体" w:hAnsi="宋体" w:cs="宋体"/>
          <w:color w:val="auto"/>
          <w:sz w:val="24"/>
          <w:szCs w:val="24"/>
          <w:highlight w:val="none"/>
        </w:rPr>
      </w:pPr>
      <w:r>
        <w:rPr>
          <w:rFonts w:hint="eastAsia" w:ascii="宋体" w:hAnsi="宋体" w:cs="宋体"/>
          <w:color w:val="auto"/>
          <w:sz w:val="24"/>
          <w:szCs w:val="24"/>
          <w:highlight w:val="none"/>
        </w:rPr>
        <w:t>签署日期：年月日</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签署日期：年月日</w:t>
      </w:r>
    </w:p>
    <w:p w14:paraId="15F4776B">
      <w:pPr>
        <w:spacing w:line="360" w:lineRule="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以下空白</w:t>
      </w:r>
    </w:p>
    <w:p w14:paraId="1EF473FA">
      <w:pPr>
        <w:spacing w:line="240" w:lineRule="auto"/>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14:paraId="50D43C1C">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附件1  中标通知书</w:t>
      </w:r>
    </w:p>
    <w:p w14:paraId="743FEC11">
      <w:pPr>
        <w:spacing w:line="360" w:lineRule="auto"/>
        <w:rPr>
          <w:rFonts w:ascii="宋体" w:hAnsi="宋体" w:cs="宋体"/>
          <w:b/>
          <w:bCs/>
          <w:color w:val="auto"/>
          <w:szCs w:val="21"/>
          <w:highlight w:val="none"/>
        </w:rPr>
      </w:pPr>
    </w:p>
    <w:p w14:paraId="29AA6052">
      <w:pPr>
        <w:spacing w:line="240" w:lineRule="auto"/>
        <w:jc w:val="left"/>
        <w:rPr>
          <w:rFonts w:hint="eastAsia" w:ascii="宋体" w:hAnsi="宋体" w:cs="宋体"/>
          <w:b/>
          <w:bCs/>
          <w:color w:val="auto"/>
          <w:szCs w:val="21"/>
          <w:highlight w:val="none"/>
        </w:rPr>
      </w:pPr>
      <w:bookmarkStart w:id="215" w:name="_Toc387080836"/>
      <w:bookmarkStart w:id="216" w:name="_Toc389815031"/>
      <w:bookmarkStart w:id="217" w:name="_Toc389815339"/>
      <w:r>
        <w:rPr>
          <w:rFonts w:hint="eastAsia" w:ascii="宋体" w:hAnsi="宋体" w:cs="宋体"/>
          <w:b/>
          <w:bCs/>
          <w:color w:val="auto"/>
          <w:szCs w:val="21"/>
          <w:highlight w:val="none"/>
        </w:rPr>
        <w:br w:type="page"/>
      </w:r>
    </w:p>
    <w:p w14:paraId="29C007E2">
      <w:pPr>
        <w:spacing w:line="360" w:lineRule="auto"/>
        <w:jc w:val="both"/>
        <w:rPr>
          <w:rFonts w:hint="eastAsia"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r>
        <w:rPr>
          <w:rFonts w:hint="eastAsia" w:ascii="宋体" w:hAnsi="宋体" w:cs="宋体"/>
          <w:b/>
          <w:bCs/>
          <w:color w:val="auto"/>
          <w:szCs w:val="21"/>
          <w:highlight w:val="none"/>
        </w:rPr>
        <w:t>：廉洁协议</w:t>
      </w:r>
    </w:p>
    <w:p w14:paraId="5DF0C424">
      <w:pPr>
        <w:keepNext w:val="0"/>
        <w:keepLines w:val="0"/>
        <w:pageBreakBefore w:val="0"/>
        <w:kinsoku/>
        <w:wordWrap/>
        <w:overflowPunct/>
        <w:topLinePunct w:val="0"/>
        <w:autoSpaceDE/>
        <w:autoSpaceDN/>
        <w:bidi w:val="0"/>
        <w:adjustRightInd/>
        <w:snapToGrid/>
        <w:spacing w:line="560" w:lineRule="exact"/>
        <w:ind w:firstLine="3640" w:firstLineChars="1300"/>
        <w:jc w:val="both"/>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14:paraId="0467C671">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strike/>
          <w:dstrike w:val="0"/>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14:paraId="6E62DE2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14:paraId="04AA2711">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14:paraId="6329AC11">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合同名称</w:t>
      </w:r>
      <w:r>
        <w:rPr>
          <w:rFonts w:hint="eastAsia" w:ascii="仿宋" w:hAnsi="仿宋" w:eastAsia="仿宋" w:cs="仿宋"/>
          <w:bCs w:val="0"/>
          <w:sz w:val="28"/>
          <w:szCs w:val="28"/>
          <w:highlight w:val="none"/>
          <w:u w:val="single"/>
          <w:lang w:val="en-US" w:eastAsia="zh-CN"/>
        </w:rPr>
        <w:t>（</w:t>
      </w:r>
      <w:r>
        <w:rPr>
          <w:rFonts w:hint="eastAsia" w:ascii="仿宋" w:hAnsi="仿宋" w:eastAsia="仿宋" w:cs="仿宋"/>
          <w:b w:val="0"/>
          <w:bCs w:val="0"/>
          <w:sz w:val="28"/>
          <w:szCs w:val="28"/>
          <w:highlight w:val="none"/>
          <w:u w:val="single"/>
        </w:rPr>
        <w:t>穗净水合[    ]   号</w:t>
      </w:r>
      <w:r>
        <w:rPr>
          <w:rFonts w:hint="eastAsia" w:ascii="仿宋" w:hAnsi="仿宋" w:eastAsia="仿宋" w:cs="仿宋"/>
          <w:bCs w:val="0"/>
          <w:sz w:val="28"/>
          <w:szCs w:val="28"/>
          <w:highlight w:val="none"/>
          <w:u w:val="single"/>
          <w:lang w:val="en-US" w:eastAsia="zh-CN"/>
        </w:rPr>
        <w:t>）</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14:paraId="7129AC4A">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14:paraId="42EB4166">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14:paraId="64A63C11">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14:paraId="4565FCF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14:paraId="27370BE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14:paraId="11DF5F8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14:paraId="51378C77">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14:paraId="715AF547">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14:paraId="6DC54864">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14:paraId="5DCF7E70">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14:paraId="402095F6">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14:paraId="3818CB6A">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14:paraId="698110E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14:paraId="1789569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14:paraId="7051DD7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14:paraId="7A9FD540">
      <w:pPr>
        <w:keepNext w:val="0"/>
        <w:keepLines w:val="0"/>
        <w:pageBreakBefore w:val="0"/>
        <w:kinsoku/>
        <w:wordWrap/>
        <w:overflowPunct/>
        <w:topLinePunct w:val="0"/>
        <w:autoSpaceDE/>
        <w:autoSpaceDN/>
        <w:bidi w:val="0"/>
        <w:adjustRightInd/>
        <w:snapToGrid/>
        <w:spacing w:line="560" w:lineRule="exact"/>
        <w:ind w:left="25" w:leftChars="12"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14:paraId="12126191">
      <w:pPr>
        <w:keepNext w:val="0"/>
        <w:keepLines w:val="0"/>
        <w:pageBreakBefore w:val="0"/>
        <w:widowControl w:val="0"/>
        <w:kinsoku/>
        <w:wordWrap/>
        <w:overflowPunct/>
        <w:topLinePunct w:val="0"/>
        <w:autoSpaceDE/>
        <w:autoSpaceDN/>
        <w:bidi w:val="0"/>
        <w:adjustRightInd/>
        <w:snapToGrid/>
        <w:spacing w:after="120" w:line="560" w:lineRule="exact"/>
        <w:ind w:left="420" w:leftChars="200"/>
        <w:jc w:val="both"/>
        <w:textAlignment w:val="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（四）乙方不得为甲方单位和个人购置或提供通讯工具和高档办公用品等物品，也不得为甲方提供与工作无关的房屋、汽车等。</w:t>
      </w:r>
    </w:p>
    <w:p w14:paraId="5B8CB25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14:paraId="55F826C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14:paraId="42C24C7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14:paraId="7F867134">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14:paraId="637A2FC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14:paraId="2484603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14:paraId="21E1E86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14:paraId="3F0D0F0E">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60" w:lineRule="exact"/>
        <w:ind w:left="0" w:firstLine="0"/>
        <w:jc w:val="left"/>
        <w:textAlignment w:val="auto"/>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pPr>
      <w:r>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14:paraId="3050EF0E">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60" w:lineRule="exact"/>
        <w:ind w:left="0" w:firstLine="0"/>
        <w:jc w:val="left"/>
        <w:textAlignment w:val="auto"/>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pPr>
      <w:r>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t>1、扣除主合同的全部履约保证金；</w:t>
      </w:r>
    </w:p>
    <w:p w14:paraId="2D0EBE66">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60" w:lineRule="exact"/>
        <w:ind w:left="0" w:firstLine="0"/>
        <w:jc w:val="left"/>
        <w:textAlignment w:val="auto"/>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pPr>
      <w:r>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t>2、解除主合同；</w:t>
      </w:r>
    </w:p>
    <w:p w14:paraId="7C85BD2F">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60" w:lineRule="exact"/>
        <w:ind w:left="0" w:firstLine="0"/>
        <w:jc w:val="left"/>
        <w:textAlignment w:val="auto"/>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pPr>
      <w:r>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t>3、追究乙方其他违约责任；</w:t>
      </w:r>
    </w:p>
    <w:p w14:paraId="35DF51EB">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60" w:lineRule="exact"/>
        <w:ind w:left="0" w:firstLine="0"/>
        <w:jc w:val="left"/>
        <w:textAlignment w:val="auto"/>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pPr>
      <w:r>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t>4、根据甲方的有关规章制度，在一定时间内暂停乙方参与甲方及下属单位所有项目的交易资格；</w:t>
      </w:r>
    </w:p>
    <w:p w14:paraId="32CF2150">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60" w:lineRule="exact"/>
        <w:ind w:left="0" w:firstLine="0"/>
        <w:jc w:val="left"/>
        <w:textAlignment w:val="auto"/>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pPr>
      <w:r>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t>5、根据甲方的有关规章制度，将乙方清退出甲方相关企业库；</w:t>
      </w:r>
    </w:p>
    <w:p w14:paraId="079832C6">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60" w:lineRule="exact"/>
        <w:ind w:left="0" w:firstLine="0"/>
        <w:jc w:val="left"/>
        <w:textAlignment w:val="auto"/>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pPr>
      <w:r>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t>6、根据甲方上级单位、行政主管部门的意见、决定执行；</w:t>
      </w:r>
    </w:p>
    <w:p w14:paraId="49AE5858">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60" w:lineRule="exact"/>
        <w:ind w:left="0" w:firstLine="0"/>
        <w:jc w:val="left"/>
        <w:textAlignment w:val="auto"/>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pPr>
      <w:r>
        <w:rPr>
          <w:rFonts w:hint="eastAsia" w:ascii="仿宋_GB2312" w:hAnsi="仿宋_GB2312" w:eastAsia="仿宋_GB2312" w:cs="仿宋_GB2312"/>
          <w:b w:val="0"/>
          <w:bCs/>
          <w:i w:val="0"/>
          <w:iCs w:val="0"/>
          <w:caps w:val="0"/>
          <w:color w:val="auto"/>
          <w:spacing w:val="0"/>
          <w:kern w:val="0"/>
          <w:sz w:val="28"/>
          <w:szCs w:val="28"/>
          <w:highlight w:val="none"/>
          <w:lang w:val="en-US" w:eastAsia="zh-CN" w:bidi="ar-SA"/>
        </w:rPr>
        <w:t>7、按规定向有关行政监督部门、乙方业务管理部门进行投诉、报告。</w:t>
      </w:r>
    </w:p>
    <w:p w14:paraId="57DB733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14:paraId="4CCD796F">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14:paraId="0C4BE40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14:paraId="10D66AE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14:paraId="36EA53A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p>
    <w:p w14:paraId="532E975C">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14:paraId="2E5DDF91">
      <w:pPr>
        <w:keepNext w:val="0"/>
        <w:keepLines w:val="0"/>
        <w:pageBreakBefore w:val="0"/>
        <w:widowControl w:val="0"/>
        <w:tabs>
          <w:tab w:val="left" w:pos="5100"/>
        </w:tabs>
        <w:kinsoku/>
        <w:wordWrap/>
        <w:overflowPunct/>
        <w:topLinePunct w:val="0"/>
        <w:autoSpaceDE/>
        <w:autoSpaceDN/>
        <w:bidi w:val="0"/>
        <w:adjustRightInd/>
        <w:snapToGrid/>
        <w:spacing w:line="560" w:lineRule="exact"/>
        <w:ind w:left="7200" w:firstLine="0" w:firstLineChars="0"/>
        <w:jc w:val="left"/>
        <w:textAlignment w:val="auto"/>
        <w:rPr>
          <w:rFonts w:hint="eastAsia" w:ascii="仿宋_GB2312" w:hAnsi="仿宋_GB2312" w:eastAsia="仿宋_GB2312" w:cs="仿宋_GB2312"/>
          <w:b w:val="0"/>
          <w:bCs/>
          <w:color w:val="auto"/>
          <w:kern w:val="2"/>
          <w:sz w:val="28"/>
          <w:szCs w:val="28"/>
          <w:highlight w:val="none"/>
          <w:lang w:val="en-US" w:eastAsia="zh-CN" w:bidi="ar-SA"/>
        </w:rPr>
      </w:pPr>
    </w:p>
    <w:p w14:paraId="0931112A">
      <w:pPr>
        <w:keepNext w:val="0"/>
        <w:keepLines w:val="0"/>
        <w:pageBreakBefore w:val="0"/>
        <w:tabs>
          <w:tab w:val="left" w:pos="5100"/>
        </w:tabs>
        <w:kinsoku/>
        <w:wordWrap/>
        <w:overflowPunct/>
        <w:topLinePunct w:val="0"/>
        <w:autoSpaceDE/>
        <w:autoSpaceDN/>
        <w:bidi w:val="0"/>
        <w:adjustRightInd/>
        <w:snapToGrid/>
        <w:spacing w:line="560" w:lineRule="exact"/>
        <w:ind w:left="7200" w:hanging="8400" w:hangingChars="30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14:paraId="1258E1F4">
      <w:pPr>
        <w:keepNext w:val="0"/>
        <w:keepLines w:val="0"/>
        <w:pageBreakBefore w:val="0"/>
        <w:tabs>
          <w:tab w:val="left" w:pos="417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14:paraId="66DAD3D2">
      <w:pPr>
        <w:widowControl w:val="0"/>
        <w:adjustRightInd/>
        <w:snapToGrid/>
        <w:spacing w:line="360" w:lineRule="auto"/>
        <w:ind w:firstLine="560" w:firstLineChars="200"/>
        <w:jc w:val="both"/>
        <w:textAlignment w:val="auto"/>
        <w:rPr>
          <w:rFonts w:hint="eastAsia" w:ascii="仿宋_GB2312" w:hAnsi="仿宋_GB2312" w:eastAsia="仿宋_GB2312" w:cs="仿宋_GB2312"/>
          <w:b w:val="0"/>
          <w:bCs/>
          <w:color w:val="auto"/>
          <w:kern w:val="2"/>
          <w:sz w:val="28"/>
          <w:szCs w:val="28"/>
          <w:highlight w:val="none"/>
          <w:lang w:val="en-US" w:eastAsia="zh-CN" w:bidi="ar-SA"/>
        </w:rPr>
      </w:pPr>
    </w:p>
    <w:p w14:paraId="416DA03C">
      <w:pPr>
        <w:widowControl w:val="0"/>
        <w:adjustRightInd/>
        <w:snapToGrid/>
        <w:spacing w:line="360" w:lineRule="auto"/>
        <w:ind w:firstLine="560" w:firstLineChars="200"/>
        <w:jc w:val="both"/>
        <w:textAlignment w:val="auto"/>
        <w:rPr>
          <w:rFonts w:hint="eastAsia" w:ascii="仿宋_GB2312" w:hAnsi="仿宋_GB2312" w:eastAsia="仿宋_GB2312" w:cs="仿宋_GB2312"/>
          <w:b w:val="0"/>
          <w:bCs/>
          <w:color w:val="auto"/>
          <w:kern w:val="2"/>
          <w:sz w:val="28"/>
          <w:szCs w:val="28"/>
          <w:highlight w:val="none"/>
          <w:lang w:val="en-US" w:eastAsia="zh-CN" w:bidi="ar-SA"/>
        </w:rPr>
      </w:pPr>
    </w:p>
    <w:p w14:paraId="0BC4DA87">
      <w:pPr>
        <w:widowControl w:val="0"/>
        <w:adjustRightInd/>
        <w:snapToGrid/>
        <w:spacing w:line="360" w:lineRule="auto"/>
        <w:ind w:firstLine="560" w:firstLineChars="200"/>
        <w:jc w:val="both"/>
        <w:textAlignment w:val="auto"/>
        <w:rPr>
          <w:rFonts w:hint="eastAsia" w:ascii="仿宋_GB2312" w:hAnsi="仿宋_GB2312" w:eastAsia="仿宋_GB2312" w:cs="仿宋_GB2312"/>
          <w:b w:val="0"/>
          <w:bCs/>
          <w:color w:val="auto"/>
          <w:kern w:val="2"/>
          <w:sz w:val="28"/>
          <w:szCs w:val="28"/>
          <w:highlight w:val="none"/>
          <w:lang w:val="en-US" w:eastAsia="zh-CN" w:bidi="ar-SA"/>
        </w:rPr>
      </w:pPr>
    </w:p>
    <w:p w14:paraId="320E683E">
      <w:pPr>
        <w:widowControl w:val="0"/>
        <w:adjustRightInd/>
        <w:snapToGrid/>
        <w:spacing w:line="360" w:lineRule="auto"/>
        <w:ind w:firstLine="560" w:firstLineChars="200"/>
        <w:jc w:val="both"/>
        <w:textAlignment w:val="auto"/>
        <w:rPr>
          <w:rFonts w:hint="eastAsia" w:ascii="仿宋_GB2312" w:hAnsi="仿宋_GB2312" w:eastAsia="仿宋_GB2312" w:cs="仿宋_GB2312"/>
          <w:b w:val="0"/>
          <w:bCs/>
          <w:color w:val="auto"/>
          <w:kern w:val="2"/>
          <w:sz w:val="28"/>
          <w:szCs w:val="28"/>
          <w:highlight w:val="none"/>
          <w:lang w:val="en-US" w:eastAsia="zh-CN" w:bidi="ar-SA"/>
        </w:rPr>
      </w:pPr>
    </w:p>
    <w:p w14:paraId="52854D75">
      <w:pPr>
        <w:widowControl w:val="0"/>
        <w:adjustRightInd/>
        <w:snapToGrid/>
        <w:spacing w:line="360" w:lineRule="auto"/>
        <w:ind w:firstLine="560" w:firstLineChars="200"/>
        <w:jc w:val="both"/>
        <w:textAlignment w:val="auto"/>
        <w:rPr>
          <w:rFonts w:hint="eastAsia" w:ascii="仿宋_GB2312" w:hAnsi="仿宋_GB2312" w:eastAsia="仿宋_GB2312" w:cs="仿宋_GB2312"/>
          <w:b w:val="0"/>
          <w:bCs/>
          <w:color w:val="auto"/>
          <w:kern w:val="2"/>
          <w:sz w:val="28"/>
          <w:szCs w:val="28"/>
          <w:highlight w:val="none"/>
          <w:lang w:val="en-US" w:eastAsia="zh-CN" w:bidi="ar-SA"/>
        </w:rPr>
      </w:pPr>
    </w:p>
    <w:p w14:paraId="5F9BEBBE">
      <w:pPr>
        <w:widowControl w:val="0"/>
        <w:adjustRightInd/>
        <w:snapToGrid/>
        <w:spacing w:line="360" w:lineRule="auto"/>
        <w:ind w:firstLine="560" w:firstLineChars="200"/>
        <w:jc w:val="both"/>
        <w:textAlignment w:val="auto"/>
        <w:rPr>
          <w:rFonts w:hint="eastAsia" w:ascii="仿宋_GB2312" w:hAnsi="仿宋_GB2312" w:eastAsia="仿宋_GB2312" w:cs="仿宋_GB2312"/>
          <w:b w:val="0"/>
          <w:bCs/>
          <w:color w:val="auto"/>
          <w:kern w:val="2"/>
          <w:sz w:val="28"/>
          <w:szCs w:val="28"/>
          <w:highlight w:val="none"/>
          <w:lang w:val="en-US" w:eastAsia="zh-CN" w:bidi="ar-SA"/>
        </w:rPr>
      </w:pPr>
    </w:p>
    <w:p w14:paraId="5BD1A3E3">
      <w:pPr>
        <w:widowControl w:val="0"/>
        <w:adjustRightInd/>
        <w:snapToGrid/>
        <w:spacing w:line="360" w:lineRule="auto"/>
        <w:ind w:firstLine="560" w:firstLineChars="200"/>
        <w:jc w:val="both"/>
        <w:textAlignment w:val="auto"/>
        <w:rPr>
          <w:rFonts w:hint="eastAsia" w:ascii="仿宋_GB2312" w:hAnsi="仿宋_GB2312" w:eastAsia="仿宋_GB2312" w:cs="仿宋_GB2312"/>
          <w:b w:val="0"/>
          <w:bCs/>
          <w:color w:val="auto"/>
          <w:kern w:val="2"/>
          <w:sz w:val="28"/>
          <w:szCs w:val="28"/>
          <w:highlight w:val="none"/>
          <w:lang w:val="en-US" w:eastAsia="zh-CN" w:bidi="ar-SA"/>
        </w:rPr>
      </w:pPr>
    </w:p>
    <w:p w14:paraId="032BB0E4">
      <w:pPr>
        <w:spacing w:line="360" w:lineRule="auto"/>
        <w:rPr>
          <w:rFonts w:hint="eastAsia" w:ascii="宋体" w:hAnsi="宋体" w:cs="宋体"/>
          <w:b/>
          <w:color w:val="auto"/>
          <w:szCs w:val="21"/>
          <w:highlight w:val="none"/>
        </w:rPr>
      </w:pPr>
    </w:p>
    <w:p w14:paraId="538E4AA5">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14:paraId="5E9E1C02">
      <w:pPr>
        <w:spacing w:line="440" w:lineRule="exact"/>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w:t>
      </w:r>
      <w:bookmarkEnd w:id="215"/>
      <w:bookmarkEnd w:id="216"/>
      <w:bookmarkEnd w:id="217"/>
      <w:r>
        <w:rPr>
          <w:rFonts w:hint="eastAsia" w:ascii="方正小标宋简体" w:hAnsi="方正小标宋简体" w:eastAsia="方正小标宋简体" w:cs="方正小标宋简体"/>
          <w:szCs w:val="24"/>
          <w:highlight w:val="none"/>
          <w:lang w:val="en-US" w:eastAsia="zh-CN"/>
        </w:rPr>
        <w:t>营运场所施工安全及消防安全协议书</w:t>
      </w:r>
    </w:p>
    <w:p w14:paraId="7BF8C077">
      <w:pPr>
        <w:spacing w:line="360" w:lineRule="auto"/>
        <w:jc w:val="center"/>
        <w:rPr>
          <w:rFonts w:ascii="宋体" w:hAnsi="宋体" w:cs="宋体"/>
          <w:b/>
          <w:bCs/>
          <w:color w:val="auto"/>
          <w:sz w:val="24"/>
          <w:szCs w:val="24"/>
          <w:highlight w:val="none"/>
        </w:rPr>
      </w:pPr>
    </w:p>
    <w:p w14:paraId="7FB450E3">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szCs w:val="24"/>
          <w:highlight w:val="none"/>
          <w:lang w:val="en-US" w:eastAsia="zh-CN"/>
        </w:rPr>
      </w:pPr>
      <w:r>
        <w:rPr>
          <w:rFonts w:hint="eastAsia" w:ascii="方正小标宋简体" w:hAnsi="方正小标宋简体" w:eastAsia="方正小标宋简体" w:cs="方正小标宋简体"/>
          <w:szCs w:val="24"/>
          <w:highlight w:val="none"/>
          <w:lang w:val="en-US" w:eastAsia="zh-CN"/>
        </w:rPr>
        <w:t>营运场所施工安全及消防安全协议书</w:t>
      </w:r>
    </w:p>
    <w:p w14:paraId="4151B59C">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highlight w:val="none"/>
        </w:rPr>
      </w:pPr>
    </w:p>
    <w:p w14:paraId="6428FD8F">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甲方：</w:t>
      </w:r>
      <w:r>
        <w:rPr>
          <w:rFonts w:hint="eastAsia" w:ascii="仿宋_GB2312" w:hAnsi="仿宋_GB2312" w:eastAsia="仿宋_GB2312" w:cs="仿宋_GB2312"/>
          <w:sz w:val="24"/>
          <w:szCs w:val="24"/>
          <w:highlight w:val="none"/>
        </w:rPr>
        <w:t>广州市净水有限公司</w:t>
      </w:r>
    </w:p>
    <w:p w14:paraId="6FF992D7">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乙方： </w:t>
      </w:r>
    </w:p>
    <w:p w14:paraId="4946199E">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highlight w:val="none"/>
        </w:rPr>
      </w:pPr>
    </w:p>
    <w:p w14:paraId="2912C755">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根据《中华人民共和国安全生产法》、</w:t>
      </w:r>
      <w:r>
        <w:rPr>
          <w:rFonts w:hint="eastAsia" w:ascii="仿宋_GB2312" w:hAnsi="仿宋_GB2312" w:eastAsia="仿宋_GB2312" w:cs="仿宋_GB2312"/>
          <w:kern w:val="0"/>
          <w:sz w:val="24"/>
          <w:szCs w:val="24"/>
          <w:highlight w:val="none"/>
          <w:lang w:eastAsia="zh-CN"/>
        </w:rPr>
        <w:t>《中华人民共和国消防法》、</w:t>
      </w:r>
      <w:r>
        <w:rPr>
          <w:rFonts w:hint="eastAsia" w:ascii="仿宋_GB2312" w:hAnsi="仿宋_GB2312" w:eastAsia="仿宋_GB2312" w:cs="仿宋_GB2312"/>
          <w:kern w:val="0"/>
          <w:sz w:val="24"/>
          <w:szCs w:val="24"/>
          <w:highlight w:val="none"/>
        </w:rPr>
        <w:t>《生产安全事故报告和调查处理条例》</w:t>
      </w:r>
      <w:r>
        <w:rPr>
          <w:rFonts w:hint="eastAsia" w:ascii="仿宋_GB2312" w:hAnsi="仿宋_GB2312" w:eastAsia="仿宋_GB2312" w:cs="仿宋_GB2312"/>
          <w:kern w:val="0"/>
          <w:sz w:val="24"/>
          <w:szCs w:val="24"/>
          <w:highlight w:val="none"/>
          <w:lang w:eastAsia="zh-CN"/>
        </w:rPr>
        <w:t>、《建设工程安全生产管理条例》</w:t>
      </w:r>
      <w:r>
        <w:rPr>
          <w:rFonts w:hint="eastAsia" w:ascii="仿宋_GB2312" w:hAnsi="仿宋_GB2312" w:eastAsia="仿宋_GB2312" w:cs="仿宋_GB2312"/>
          <w:kern w:val="0"/>
          <w:sz w:val="24"/>
          <w:szCs w:val="24"/>
          <w:highlight w:val="none"/>
        </w:rPr>
        <w:t>等国家及地方有关安全生产</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消防安全</w:t>
      </w:r>
      <w:r>
        <w:rPr>
          <w:rFonts w:hint="eastAsia" w:ascii="仿宋_GB2312" w:hAnsi="仿宋_GB2312" w:eastAsia="仿宋_GB2312" w:cs="仿宋_GB2312"/>
          <w:kern w:val="0"/>
          <w:sz w:val="24"/>
          <w:szCs w:val="24"/>
          <w:highlight w:val="none"/>
        </w:rPr>
        <w:t>法律法规，甲乙双方就安全</w:t>
      </w:r>
      <w:r>
        <w:rPr>
          <w:rFonts w:hint="eastAsia" w:ascii="仿宋_GB2312" w:hAnsi="仿宋_GB2312" w:eastAsia="仿宋_GB2312" w:cs="仿宋_GB2312"/>
          <w:kern w:val="0"/>
          <w:sz w:val="24"/>
          <w:szCs w:val="24"/>
          <w:highlight w:val="none"/>
          <w:lang w:val="en-US" w:eastAsia="zh-CN"/>
        </w:rPr>
        <w:t>及消防安全</w:t>
      </w:r>
      <w:r>
        <w:rPr>
          <w:rFonts w:hint="eastAsia" w:ascii="仿宋_GB2312" w:hAnsi="仿宋_GB2312" w:eastAsia="仿宋_GB2312" w:cs="仿宋_GB2312"/>
          <w:kern w:val="0"/>
          <w:sz w:val="24"/>
          <w:szCs w:val="24"/>
          <w:highlight w:val="none"/>
        </w:rPr>
        <w:t>事宜，</w:t>
      </w:r>
      <w:r>
        <w:rPr>
          <w:rFonts w:hint="eastAsia" w:ascii="仿宋_GB2312" w:hAnsi="仿宋_GB2312" w:eastAsia="仿宋_GB2312" w:cs="仿宋_GB2312"/>
          <w:sz w:val="24"/>
          <w:szCs w:val="24"/>
          <w:highlight w:val="none"/>
        </w:rPr>
        <w:t>经双方友好协商，达成如下协议</w:t>
      </w:r>
      <w:r>
        <w:rPr>
          <w:rFonts w:hint="eastAsia" w:ascii="仿宋_GB2312" w:hAnsi="仿宋_GB2312" w:eastAsia="仿宋_GB2312" w:cs="仿宋_GB2312"/>
          <w:kern w:val="0"/>
          <w:sz w:val="24"/>
          <w:szCs w:val="24"/>
          <w:highlight w:val="none"/>
        </w:rPr>
        <w:t>。</w:t>
      </w:r>
    </w:p>
    <w:p w14:paraId="0E35E164">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一、总则</w:t>
      </w:r>
    </w:p>
    <w:p w14:paraId="543AD23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一</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本协议是合同</w:t>
      </w:r>
      <w:r>
        <w:rPr>
          <w:rFonts w:hint="eastAsia" w:ascii="仿宋_GB2312" w:hAnsi="仿宋_GB2312" w:eastAsia="仿宋_GB2312" w:cs="仿宋_GB2312"/>
          <w:sz w:val="24"/>
          <w:szCs w:val="24"/>
          <w:highlight w:val="none"/>
          <w:u w:val="single"/>
        </w:rPr>
        <w:t xml:space="preserve">                      （穗净水合〔     〕    号） </w:t>
      </w:r>
      <w:r>
        <w:rPr>
          <w:rFonts w:hint="eastAsia" w:ascii="仿宋_GB2312" w:hAnsi="仿宋_GB2312" w:eastAsia="仿宋_GB2312" w:cs="仿宋_GB2312"/>
          <w:sz w:val="24"/>
          <w:szCs w:val="24"/>
          <w:highlight w:val="none"/>
        </w:rPr>
        <w:t>的组成部分。</w:t>
      </w:r>
    </w:p>
    <w:p w14:paraId="549F14B9">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二</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甲</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乙双方应遵守国家、省、市有关</w:t>
      </w:r>
      <w:r>
        <w:rPr>
          <w:rFonts w:hint="eastAsia" w:ascii="仿宋_GB2312" w:hAnsi="仿宋_GB2312" w:eastAsia="仿宋_GB2312" w:cs="仿宋_GB2312"/>
          <w:kern w:val="0"/>
          <w:sz w:val="24"/>
          <w:szCs w:val="24"/>
          <w:highlight w:val="none"/>
        </w:rPr>
        <w:t>安全生产</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消防安全的法律、法规、规章，履行</w:t>
      </w:r>
      <w:r>
        <w:rPr>
          <w:rFonts w:hint="eastAsia" w:ascii="仿宋_GB2312" w:hAnsi="仿宋_GB2312" w:eastAsia="仿宋_GB2312" w:cs="仿宋_GB2312"/>
          <w:kern w:val="0"/>
          <w:sz w:val="24"/>
          <w:szCs w:val="24"/>
          <w:highlight w:val="none"/>
          <w:lang w:val="en-US" w:eastAsia="zh-CN"/>
        </w:rPr>
        <w:t>安全生产、</w:t>
      </w:r>
      <w:r>
        <w:rPr>
          <w:rFonts w:hint="eastAsia" w:ascii="仿宋_GB2312" w:hAnsi="仿宋_GB2312" w:eastAsia="仿宋_GB2312" w:cs="仿宋_GB2312"/>
          <w:color w:val="auto"/>
          <w:kern w:val="0"/>
          <w:sz w:val="24"/>
          <w:szCs w:val="24"/>
          <w:highlight w:val="none"/>
        </w:rPr>
        <w:t>消防安全职责，保障人员生命、财产安全。</w:t>
      </w:r>
    </w:p>
    <w:p w14:paraId="2E565811">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三</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甲</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乙双方应当逐级落实</w:t>
      </w:r>
      <w:r>
        <w:rPr>
          <w:rFonts w:hint="eastAsia" w:ascii="仿宋_GB2312" w:hAnsi="仿宋_GB2312" w:eastAsia="仿宋_GB2312" w:cs="仿宋_GB2312"/>
          <w:kern w:val="0"/>
          <w:sz w:val="24"/>
          <w:szCs w:val="24"/>
          <w:highlight w:val="none"/>
          <w:lang w:val="en-US" w:eastAsia="zh-CN"/>
        </w:rPr>
        <w:t>安全生产、</w:t>
      </w:r>
      <w:r>
        <w:rPr>
          <w:rFonts w:hint="eastAsia" w:ascii="仿宋_GB2312" w:hAnsi="仿宋_GB2312" w:eastAsia="仿宋_GB2312" w:cs="仿宋_GB2312"/>
          <w:color w:val="auto"/>
          <w:kern w:val="0"/>
          <w:sz w:val="24"/>
          <w:szCs w:val="24"/>
          <w:highlight w:val="none"/>
        </w:rPr>
        <w:t>消防安全责任制，明确逐级岗位人员的安全</w:t>
      </w:r>
      <w:r>
        <w:rPr>
          <w:rFonts w:hint="eastAsia" w:ascii="仿宋_GB2312" w:hAnsi="仿宋_GB2312" w:eastAsia="仿宋_GB2312" w:cs="仿宋_GB2312"/>
          <w:kern w:val="0"/>
          <w:sz w:val="24"/>
          <w:szCs w:val="24"/>
          <w:highlight w:val="none"/>
          <w:lang w:val="en-US" w:eastAsia="zh-CN"/>
        </w:rPr>
        <w:t>生产、消防安全</w:t>
      </w:r>
      <w:r>
        <w:rPr>
          <w:rFonts w:hint="eastAsia" w:ascii="仿宋_GB2312" w:hAnsi="仿宋_GB2312" w:eastAsia="仿宋_GB2312" w:cs="仿宋_GB2312"/>
          <w:color w:val="auto"/>
          <w:kern w:val="0"/>
          <w:sz w:val="24"/>
          <w:szCs w:val="24"/>
          <w:highlight w:val="none"/>
        </w:rPr>
        <w:t>职责。</w:t>
      </w:r>
    </w:p>
    <w:p w14:paraId="7D95EF3D">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四</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本协议是对在满足法律法规规定的双方安全及消防安全责任的基础上的补充事项。</w:t>
      </w:r>
    </w:p>
    <w:p w14:paraId="7459559A">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（五）当同一个场所、池体内，甲方安排两个或以上的承包单位同时施工的，由甲方组织各承包单位签订《营运场所交叉作业安全及消防安全协议书》。</w:t>
      </w:r>
    </w:p>
    <w:p w14:paraId="6A449C64">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六</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乙方的单位及人员资质（</w:t>
      </w:r>
      <w:r>
        <w:rPr>
          <w:rFonts w:hint="eastAsia" w:ascii="仿宋_GB2312" w:hAnsi="仿宋_GB2312" w:eastAsia="仿宋_GB2312" w:cs="仿宋_GB2312"/>
          <w:b/>
          <w:bCs w:val="0"/>
          <w:color w:val="auto"/>
          <w:kern w:val="0"/>
          <w:sz w:val="24"/>
          <w:szCs w:val="24"/>
          <w:highlight w:val="none"/>
          <w:lang w:val="en-US" w:eastAsia="zh-CN"/>
        </w:rPr>
        <w:t>单项选择并填写</w:t>
      </w:r>
      <w:r>
        <w:rPr>
          <w:rFonts w:hint="eastAsia" w:ascii="仿宋_GB2312" w:hAnsi="仿宋_GB2312" w:eastAsia="仿宋_GB2312" w:cs="仿宋_GB2312"/>
          <w:color w:val="auto"/>
          <w:kern w:val="0"/>
          <w:sz w:val="24"/>
          <w:szCs w:val="24"/>
          <w:highlight w:val="none"/>
          <w:lang w:val="en-US" w:eastAsia="zh-CN"/>
        </w:rPr>
        <w:t>）</w:t>
      </w:r>
    </w:p>
    <w:p w14:paraId="37F28E56">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color w:val="auto"/>
          <w:kern w:val="0"/>
          <w:sz w:val="24"/>
          <w:szCs w:val="24"/>
          <w:highlight w:val="none"/>
          <w:lang w:val="en-US" w:eastAsia="zh-CN"/>
        </w:rPr>
        <w:sym w:font="Wingdings 2" w:char="00A3"/>
      </w:r>
      <w:r>
        <w:rPr>
          <w:rFonts w:hint="eastAsia" w:ascii="仿宋_GB2312" w:hAnsi="仿宋_GB2312" w:eastAsia="仿宋_GB2312" w:cs="仿宋_GB2312"/>
          <w:color w:val="auto"/>
          <w:kern w:val="0"/>
          <w:sz w:val="24"/>
          <w:szCs w:val="24"/>
          <w:highlight w:val="none"/>
          <w:lang w:val="en-US" w:eastAsia="zh-CN"/>
        </w:rPr>
        <w:t>1.详见合同第</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none"/>
          <w:lang w:val="en-US" w:eastAsia="zh-CN"/>
        </w:rPr>
        <w:t>条。</w:t>
      </w:r>
    </w:p>
    <w:p w14:paraId="7D92EFBF">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sym w:font="Wingdings 2" w:char="00A3"/>
      </w:r>
      <w:r>
        <w:rPr>
          <w:rFonts w:hint="eastAsia" w:ascii="仿宋_GB2312" w:hAnsi="仿宋_GB2312" w:eastAsia="仿宋_GB2312" w:cs="仿宋_GB2312"/>
          <w:color w:val="auto"/>
          <w:kern w:val="0"/>
          <w:sz w:val="24"/>
          <w:szCs w:val="24"/>
          <w:highlight w:val="none"/>
          <w:lang w:val="en-US" w:eastAsia="zh-CN"/>
        </w:rPr>
        <w:t>2.详见文件《</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lang w:val="en-US" w:eastAsia="zh-CN"/>
        </w:rPr>
        <w:t>》。</w:t>
      </w:r>
    </w:p>
    <w:p w14:paraId="5394FA10">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二、甲方的安全及消防安全责任</w:t>
      </w:r>
    </w:p>
    <w:p w14:paraId="4A152482">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一</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交底告知</w:t>
      </w:r>
    </w:p>
    <w:p w14:paraId="63619D8F">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eastAsia" w:ascii="仿宋_GB2312" w:hAnsi="仿宋_GB2312" w:eastAsia="仿宋_GB2312" w:cs="仿宋_GB2312"/>
          <w:sz w:val="24"/>
          <w:szCs w:val="24"/>
          <w:highlight w:val="none"/>
        </w:rPr>
        <w:t>允许进出及行走的路线、禁止触动甲方设备设施等</w:t>
      </w:r>
      <w:r>
        <w:rPr>
          <w:rFonts w:hint="eastAsia" w:ascii="仿宋_GB2312" w:hAnsi="仿宋_GB2312" w:eastAsia="仿宋_GB2312" w:cs="仿宋_GB2312"/>
          <w:sz w:val="24"/>
          <w:szCs w:val="24"/>
          <w:highlight w:val="none"/>
          <w:lang w:val="en-US" w:eastAsia="zh-CN"/>
        </w:rPr>
        <w:t>；项目备案的要求。</w:t>
      </w:r>
    </w:p>
    <w:p w14:paraId="4F807CA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2.乙方进场作业前，</w:t>
      </w:r>
      <w:r>
        <w:rPr>
          <w:rFonts w:hint="eastAsia" w:ascii="仿宋_GB2312" w:hAnsi="仿宋_GB2312" w:eastAsia="仿宋_GB2312" w:cs="仿宋_GB2312"/>
          <w:sz w:val="24"/>
          <w:szCs w:val="24"/>
          <w:highlight w:val="none"/>
        </w:rPr>
        <w:t>应对乙方进行交底</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再次向乙方强调</w:t>
      </w:r>
      <w:r>
        <w:rPr>
          <w:rFonts w:hint="eastAsia" w:ascii="仿宋_GB2312" w:hAnsi="仿宋_GB2312" w:eastAsia="仿宋_GB2312" w:cs="仿宋_GB2312"/>
          <w:sz w:val="24"/>
          <w:szCs w:val="24"/>
          <w:highlight w:val="none"/>
        </w:rPr>
        <w:t>的</w:t>
      </w:r>
      <w:r>
        <w:rPr>
          <w:rFonts w:hint="eastAsia" w:ascii="仿宋_GB2312" w:hAnsi="仿宋_GB2312" w:eastAsia="仿宋_GB2312" w:cs="仿宋_GB2312"/>
          <w:sz w:val="24"/>
          <w:szCs w:val="24"/>
          <w:highlight w:val="none"/>
          <w:lang w:val="en-US" w:eastAsia="zh-CN"/>
        </w:rPr>
        <w:t>上述内容，以及施工期间的其他特殊注意事项，如生产方面的调度协调配合等</w:t>
      </w:r>
      <w:r>
        <w:rPr>
          <w:rFonts w:hint="eastAsia" w:ascii="仿宋_GB2312" w:hAnsi="仿宋_GB2312" w:eastAsia="仿宋_GB2312" w:cs="仿宋_GB2312"/>
          <w:sz w:val="24"/>
          <w:szCs w:val="24"/>
          <w:highlight w:val="none"/>
        </w:rPr>
        <w:t>。</w:t>
      </w:r>
    </w:p>
    <w:p w14:paraId="1AFDD31D">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3.当乙方提出相关规范或乙方内部管理制度，比甲方规定的</w:t>
      </w:r>
      <w:r>
        <w:rPr>
          <w:rFonts w:hint="eastAsia" w:ascii="仿宋_GB2312" w:hAnsi="仿宋_GB2312" w:eastAsia="仿宋_GB2312" w:cs="仿宋_GB2312"/>
          <w:sz w:val="24"/>
          <w:szCs w:val="24"/>
          <w:highlight w:val="none"/>
        </w:rPr>
        <w:t>安全生产及消防安全管理要求</w:t>
      </w:r>
      <w:r>
        <w:rPr>
          <w:rFonts w:hint="eastAsia" w:ascii="仿宋_GB2312" w:hAnsi="仿宋_GB2312" w:eastAsia="仿宋_GB2312" w:cs="仿宋_GB2312"/>
          <w:sz w:val="24"/>
          <w:szCs w:val="24"/>
          <w:highlight w:val="none"/>
          <w:lang w:val="en-US" w:eastAsia="zh-CN"/>
        </w:rPr>
        <w:t>更严格的，应当接纳乙方的建议。</w:t>
      </w:r>
    </w:p>
    <w:p w14:paraId="5730886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（二）落实配合措施</w:t>
      </w:r>
    </w:p>
    <w:p w14:paraId="0D1FAF5B">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1.落实生产营运等相关配合措施，提供必要的施工条件。</w:t>
      </w:r>
    </w:p>
    <w:p w14:paraId="32E94A7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）安全及消防安全隐患</w:t>
      </w:r>
      <w:r>
        <w:rPr>
          <w:rFonts w:hint="eastAsia" w:ascii="仿宋_GB2312" w:hAnsi="仿宋_GB2312" w:eastAsia="仿宋_GB2312" w:cs="仿宋_GB2312"/>
          <w:sz w:val="24"/>
          <w:szCs w:val="24"/>
          <w:highlight w:val="none"/>
          <w:lang w:val="en-US" w:eastAsia="zh-CN"/>
        </w:rPr>
        <w:t>检查与督促整改</w:t>
      </w:r>
    </w:p>
    <w:p w14:paraId="707DC1D4">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eastAsia="zh-CN"/>
        </w:rPr>
        <w:t>在项目施工期，应每天不少于一次对乙方安全措施、消防安全措施投入、现场安全施工情况等进行安全、消防安全监督检查，并提出整改</w:t>
      </w:r>
      <w:r>
        <w:rPr>
          <w:rFonts w:hint="eastAsia" w:ascii="仿宋_GB2312" w:hAnsi="仿宋_GB2312" w:eastAsia="仿宋_GB2312" w:cs="仿宋_GB2312"/>
          <w:sz w:val="24"/>
          <w:szCs w:val="24"/>
          <w:highlight w:val="none"/>
          <w:lang w:val="en-US" w:eastAsia="zh-CN"/>
        </w:rPr>
        <w:t>。</w:t>
      </w:r>
    </w:p>
    <w:p w14:paraId="1E1E2111">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四</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重大安全风险、生产安全重大事故隐患（重大火灾隐患）等情况报告及举报</w:t>
      </w:r>
    </w:p>
    <w:p w14:paraId="038530C3">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1.对乙方上报的重大安全风险、生产安全重大事故隐患（重大火灾隐患），应当如实向水投集团报告。</w:t>
      </w:r>
    </w:p>
    <w:p w14:paraId="37B578C2">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2.如发现乙方瞒报重大安全风险、生产安全重大事故隐患（重大火灾隐患），甲方除向水投集团报告外，有权向属地安全应急管理部门、属地行业主管部门举报。</w:t>
      </w:r>
    </w:p>
    <w:p w14:paraId="0DF144BF">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3.甲方发现乙方在项目范围内（含工地范围内的住宿、办公等区域）开展违法、犯罪活动，向公安部门举报。</w:t>
      </w:r>
    </w:p>
    <w:p w14:paraId="14AF8FB3">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（五）事故报告及举报</w:t>
      </w:r>
    </w:p>
    <w:p w14:paraId="140AB8A4">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1.对乙方上报的安全事故及消防安全事故，应当按水投集团有关程序，如实向集团报告。</w:t>
      </w:r>
    </w:p>
    <w:p w14:paraId="2064044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2.如发现乙方瞒报安全事故及消防安全事故，甲方除向水投集团报告外，有权向属地安全应急管理部门、属地行业主管部门举报。</w:t>
      </w:r>
    </w:p>
    <w:p w14:paraId="0EE04E44">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（六）补充条款</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single"/>
          <w:lang w:eastAsia="zh-CN"/>
        </w:rPr>
        <w:t>。</w:t>
      </w:r>
    </w:p>
    <w:p w14:paraId="0A35D375">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三、乙方的安全及消防安全责任</w:t>
      </w:r>
    </w:p>
    <w:p w14:paraId="6E2A818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一</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接受交底告知并复核确认安全风险，落实管控措施</w:t>
      </w:r>
    </w:p>
    <w:p w14:paraId="2288623F">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1.乙方接受甲方交底。</w:t>
      </w:r>
    </w:p>
    <w:p w14:paraId="5598C2B9">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2.编制的方案应响应甲方告知，明确相应的措施。</w:t>
      </w:r>
    </w:p>
    <w:p w14:paraId="521E79C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3.根据甲方项目备案的要求，提交项目备案材料</w:t>
      </w:r>
    </w:p>
    <w:p w14:paraId="199A18C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4.当甲方规定的安全生产及消防安全管理要求，比相关规范或乙方内部管理制度严格的，按甲方的执行。</w:t>
      </w:r>
    </w:p>
    <w:p w14:paraId="53D8682D">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5.当相关规范或乙方内部管理制度，比甲方规定的安全生产及消防安全管理要求严格的，应明确告知甲方确认，并按相关规范或乙方内部管理制度执行。</w:t>
      </w:r>
    </w:p>
    <w:p w14:paraId="2C29730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告知甲方需要配合的事项</w:t>
      </w:r>
    </w:p>
    <w:p w14:paraId="0AAAD01D">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1.向甲方告知在施工作业期间，需要甲方配合落实的措施</w:t>
      </w:r>
    </w:p>
    <w:p w14:paraId="6E5152D5">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落实安全及消防安全隐患排查与整改，并接受检查</w:t>
      </w:r>
    </w:p>
    <w:p w14:paraId="06255D84">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eastAsia="zh-CN"/>
        </w:rPr>
        <w:t>乙方应做好的每日安全生产、消防安全巡查及开展人员安全生产、消防安全教育，确保场所、场地、区域、施工、</w:t>
      </w:r>
      <w:r>
        <w:rPr>
          <w:rFonts w:hint="eastAsia" w:ascii="仿宋_GB2312" w:hAnsi="仿宋_GB2312" w:eastAsia="仿宋_GB2312" w:cs="仿宋_GB2312"/>
          <w:sz w:val="24"/>
          <w:szCs w:val="24"/>
          <w:highlight w:val="none"/>
          <w:lang w:val="en-US" w:eastAsia="zh-CN"/>
        </w:rPr>
        <w:t>仓储、住宿、办公</w:t>
      </w:r>
      <w:r>
        <w:rPr>
          <w:rFonts w:hint="eastAsia" w:ascii="仿宋_GB2312" w:hAnsi="仿宋_GB2312" w:eastAsia="仿宋_GB2312" w:cs="仿宋_GB2312"/>
          <w:sz w:val="24"/>
          <w:szCs w:val="24"/>
          <w:highlight w:val="none"/>
          <w:lang w:eastAsia="zh-CN"/>
        </w:rPr>
        <w:t>等，符合国家、行业安全生产、消防安全相关要求，无对甲方、</w:t>
      </w:r>
      <w:r>
        <w:rPr>
          <w:rFonts w:hint="eastAsia" w:ascii="仿宋_GB2312" w:hAnsi="仿宋_GB2312" w:eastAsia="仿宋_GB2312" w:cs="仿宋_GB2312"/>
          <w:sz w:val="24"/>
          <w:szCs w:val="24"/>
          <w:highlight w:val="none"/>
          <w:lang w:val="en-US" w:eastAsia="zh-CN"/>
        </w:rPr>
        <w:t>乙方以及周边第三方</w:t>
      </w:r>
      <w:r>
        <w:rPr>
          <w:rFonts w:hint="eastAsia" w:ascii="仿宋_GB2312" w:hAnsi="仿宋_GB2312" w:eastAsia="仿宋_GB2312" w:cs="仿宋_GB2312"/>
          <w:sz w:val="24"/>
          <w:szCs w:val="24"/>
          <w:highlight w:val="none"/>
          <w:lang w:eastAsia="zh-CN"/>
        </w:rPr>
        <w:t>生产安全、消防安全、</w:t>
      </w:r>
      <w:r>
        <w:rPr>
          <w:rFonts w:hint="eastAsia" w:ascii="仿宋_GB2312" w:hAnsi="仿宋_GB2312" w:eastAsia="仿宋_GB2312" w:cs="仿宋_GB2312"/>
          <w:sz w:val="24"/>
          <w:szCs w:val="24"/>
          <w:highlight w:val="none"/>
          <w:lang w:val="en-US" w:eastAsia="zh-CN"/>
        </w:rPr>
        <w:t>人身安全等</w:t>
      </w:r>
      <w:r>
        <w:rPr>
          <w:rFonts w:hint="eastAsia" w:ascii="仿宋_GB2312" w:hAnsi="仿宋_GB2312" w:eastAsia="仿宋_GB2312" w:cs="仿宋_GB2312"/>
          <w:sz w:val="24"/>
          <w:szCs w:val="24"/>
          <w:highlight w:val="none"/>
          <w:lang w:eastAsia="zh-CN"/>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14:paraId="12C49887">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2.接受甲方“四不两直”的不定期检查。</w:t>
      </w:r>
    </w:p>
    <w:p w14:paraId="7D2CC308">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重大安全风险、生产安全重大事故隐患（重大火灾隐患）报告</w:t>
      </w:r>
    </w:p>
    <w:p w14:paraId="791D1EAB">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1.乙方识别存在重大安全风险的，应研究并落实管控措施，降低风险等级，并向甲方、属地安全应急管理部门、属地行业主管部门上报。</w:t>
      </w:r>
    </w:p>
    <w:p w14:paraId="1223EA47">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2.乙方自查或被外单位检查发现生产安全重大事故隐患（重大火灾隐患）的，应当立即向甲方、属地安全应急管理部门、属地行业主管部门上报。</w:t>
      </w:r>
    </w:p>
    <w:p w14:paraId="73AA75E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3.如甲方未收到乙方关于重大安全风险、生产安全重大事故隐患（重大火灾隐患）的报告，但由其他途径获知信息的，视为瞒报。</w:t>
      </w:r>
    </w:p>
    <w:p w14:paraId="677E6D6B">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4.不得谎报信息。</w:t>
      </w:r>
    </w:p>
    <w:p w14:paraId="1EF178D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（四）事故报告</w:t>
      </w:r>
    </w:p>
    <w:p w14:paraId="0A4BC283">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1.项目发生安全事故及消防安全事故的，乙方应当在预案规定时间内立即向甲方上报。否则视为迟报。</w:t>
      </w:r>
    </w:p>
    <w:p w14:paraId="2A0193C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2.如甲方未收到乙方关于安全事故及消防安全事故的报告，但由其他途径获知信息的，视为瞒报。</w:t>
      </w:r>
    </w:p>
    <w:p w14:paraId="2BE68AF3">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3.不得谎报信息。</w:t>
      </w:r>
    </w:p>
    <w:p w14:paraId="10B74743">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（五）补充条款</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single"/>
          <w:lang w:eastAsia="zh-CN"/>
        </w:rPr>
        <w:t>。</w:t>
      </w:r>
    </w:p>
    <w:p w14:paraId="224ED640">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四、违约责任</w:t>
      </w:r>
    </w:p>
    <w:p w14:paraId="66BF6C20">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一</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lang w:val="en-US" w:eastAsia="zh-CN"/>
        </w:rPr>
        <w:t>未发生安全事故或消防安全事故的违约责任</w:t>
      </w:r>
    </w:p>
    <w:p w14:paraId="60E9854B">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1.乙方未履行安全及消防安全责任的，甲方有权按合同相关条款处理。</w:t>
      </w:r>
    </w:p>
    <w:p w14:paraId="53760071">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2.因甲方未履行安全及消防安全责任，乙方有权按合同相关条款处理。</w:t>
      </w:r>
    </w:p>
    <w:p w14:paraId="0105A1DA">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（二）发生安全事故或消防安全事故的违约责任</w:t>
      </w:r>
    </w:p>
    <w:p w14:paraId="1E2A5AA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14:paraId="1F3303B3">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2.如甲方未能提供甲方履职证明的，根据责任调查报告（意见）承担责任。</w:t>
      </w:r>
    </w:p>
    <w:p w14:paraId="78EDF704">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五、附则</w:t>
      </w:r>
    </w:p>
    <w:p w14:paraId="7D1A65A4">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（一）本协议未尽事宜，依据有关法律、法规、规章处理。法律、法规、规章没有明确规定的，经双方协商处理解决。</w:t>
      </w:r>
    </w:p>
    <w:p w14:paraId="2307751A">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（二）在合同（协议）执行期间，因国家、地方、以及广州市净水有限公司印发有关文件，加强安全管理要求的，乙方应按最新要求无条件执行。如不执行，甲方有权根据合同或有关文件进行处理。</w:t>
      </w:r>
    </w:p>
    <w:p w14:paraId="363EF750">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rPr>
        <w:t>）本协议</w:t>
      </w:r>
      <w:r>
        <w:rPr>
          <w:rFonts w:hint="eastAsia" w:ascii="仿宋_GB2312" w:hAnsi="仿宋_GB2312" w:eastAsia="仿宋_GB2312" w:cs="仿宋_GB2312"/>
          <w:sz w:val="24"/>
          <w:szCs w:val="24"/>
          <w:highlight w:val="none"/>
          <w:lang w:val="en-US" w:eastAsia="zh-CN"/>
        </w:rPr>
        <w:t>作为合同的附件</w:t>
      </w:r>
      <w:r>
        <w:rPr>
          <w:rFonts w:hint="eastAsia" w:ascii="仿宋_GB2312" w:hAnsi="仿宋_GB2312" w:eastAsia="仿宋_GB2312" w:cs="仿宋_GB2312"/>
          <w:sz w:val="24"/>
          <w:szCs w:val="24"/>
          <w:highlight w:val="none"/>
        </w:rPr>
        <w:t>同时</w:t>
      </w:r>
      <w:r>
        <w:rPr>
          <w:rFonts w:hint="eastAsia" w:ascii="仿宋_GB2312" w:hAnsi="仿宋_GB2312" w:eastAsia="仿宋_GB2312" w:cs="仿宋_GB2312"/>
          <w:sz w:val="24"/>
          <w:szCs w:val="24"/>
          <w:highlight w:val="none"/>
          <w:lang w:val="en-US" w:eastAsia="zh-CN"/>
        </w:rPr>
        <w:t>签字、同事盖章</w:t>
      </w:r>
      <w:r>
        <w:rPr>
          <w:rFonts w:hint="eastAsia" w:ascii="仿宋_GB2312" w:hAnsi="仿宋_GB2312" w:eastAsia="仿宋_GB2312" w:cs="仿宋_GB2312"/>
          <w:sz w:val="24"/>
          <w:szCs w:val="24"/>
          <w:highlight w:val="none"/>
        </w:rPr>
        <w:t>、同时生效、同时终止，具有</w:t>
      </w:r>
      <w:r>
        <w:rPr>
          <w:rFonts w:hint="eastAsia" w:ascii="仿宋_GB2312" w:hAnsi="仿宋_GB2312" w:eastAsia="仿宋_GB2312" w:cs="仿宋_GB2312"/>
          <w:sz w:val="24"/>
          <w:szCs w:val="24"/>
          <w:highlight w:val="none"/>
          <w:lang w:val="en-US" w:eastAsia="zh-CN"/>
        </w:rPr>
        <w:t>同等</w:t>
      </w:r>
      <w:r>
        <w:rPr>
          <w:rFonts w:hint="eastAsia" w:ascii="仿宋_GB2312" w:hAnsi="仿宋_GB2312" w:eastAsia="仿宋_GB2312" w:cs="仿宋_GB2312"/>
          <w:sz w:val="24"/>
          <w:szCs w:val="24"/>
          <w:highlight w:val="none"/>
        </w:rPr>
        <w:t>的法律效力</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甲方、乙方双方执持数量与合同一致。</w:t>
      </w:r>
    </w:p>
    <w:p w14:paraId="5E39DA00">
      <w:pPr>
        <w:rPr>
          <w:rFonts w:hint="eastAsia" w:ascii="仿宋_GB2312" w:hAnsi="仿宋_GB2312" w:eastAsia="仿宋_GB2312" w:cs="仿宋_GB2312"/>
          <w:sz w:val="24"/>
          <w:szCs w:val="24"/>
          <w:highlight w:val="none"/>
        </w:rPr>
      </w:pPr>
    </w:p>
    <w:tbl>
      <w:tblPr>
        <w:tblStyle w:val="4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14:paraId="20A78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14:paraId="67705661">
            <w:pPr>
              <w:adjustRightInd w:val="0"/>
              <w:snapToGrid w:val="0"/>
              <w:spacing w:line="5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甲方</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盖章</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w:t>
            </w:r>
          </w:p>
          <w:p w14:paraId="331CC4C9">
            <w:pPr>
              <w:adjustRightInd w:val="0"/>
              <w:snapToGrid w:val="0"/>
              <w:spacing w:line="5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签约代表：</w:t>
            </w:r>
          </w:p>
          <w:p w14:paraId="70591F75">
            <w:pPr>
              <w:adjustRightInd w:val="0"/>
              <w:snapToGrid w:val="0"/>
              <w:spacing w:line="5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联系电话：</w:t>
            </w:r>
          </w:p>
          <w:p w14:paraId="5FF903BC">
            <w:pPr>
              <w:adjustRightInd w:val="0"/>
              <w:snapToGrid w:val="0"/>
              <w:spacing w:line="560" w:lineRule="exact"/>
              <w:ind w:firstLine="240" w:firstLineChars="100"/>
              <w:jc w:val="righ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年    月    日</w:t>
            </w:r>
          </w:p>
        </w:tc>
        <w:tc>
          <w:tcPr>
            <w:tcW w:w="4474" w:type="dxa"/>
          </w:tcPr>
          <w:p w14:paraId="71C91AA3">
            <w:pPr>
              <w:adjustRightInd w:val="0"/>
              <w:snapToGrid w:val="0"/>
              <w:spacing w:line="5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乙方</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盖章</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w:t>
            </w:r>
          </w:p>
          <w:p w14:paraId="0939B4B8">
            <w:pPr>
              <w:adjustRightInd w:val="0"/>
              <w:snapToGrid w:val="0"/>
              <w:spacing w:line="5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签约代表：</w:t>
            </w:r>
          </w:p>
          <w:p w14:paraId="0CA2A9D5">
            <w:pPr>
              <w:adjustRightInd w:val="0"/>
              <w:snapToGrid w:val="0"/>
              <w:spacing w:line="5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联系电话：</w:t>
            </w:r>
          </w:p>
          <w:p w14:paraId="07104466">
            <w:pPr>
              <w:adjustRightInd w:val="0"/>
              <w:snapToGrid w:val="0"/>
              <w:spacing w:line="560" w:lineRule="exact"/>
              <w:jc w:val="righ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年    月    日</w:t>
            </w:r>
          </w:p>
        </w:tc>
      </w:tr>
    </w:tbl>
    <w:p w14:paraId="279183CE">
      <w:pPr>
        <w:rPr>
          <w:szCs w:val="24"/>
          <w:highlight w:val="none"/>
        </w:rPr>
      </w:pPr>
    </w:p>
    <w:p w14:paraId="5B7AD4BB">
      <w:pPr>
        <w:spacing w:line="360" w:lineRule="auto"/>
        <w:rPr>
          <w:rFonts w:ascii="宋体" w:hAnsi="宋体" w:cs="宋体"/>
          <w:b/>
          <w:bCs/>
          <w:color w:val="auto"/>
          <w:szCs w:val="21"/>
          <w:highlight w:val="none"/>
        </w:rPr>
      </w:pPr>
    </w:p>
    <w:p w14:paraId="1FB1DAB8">
      <w:pPr>
        <w:spacing w:line="360" w:lineRule="auto"/>
        <w:rPr>
          <w:rFonts w:ascii="宋体" w:hAnsi="宋体" w:cs="宋体"/>
          <w:b/>
          <w:bCs/>
          <w:color w:val="auto"/>
          <w:szCs w:val="21"/>
          <w:highlight w:val="none"/>
        </w:rPr>
      </w:pPr>
    </w:p>
    <w:p w14:paraId="5B19073B">
      <w:pPr>
        <w:spacing w:line="360" w:lineRule="auto"/>
        <w:rPr>
          <w:rFonts w:hint="eastAsia" w:ascii="宋体" w:hAnsi="宋体" w:cs="宋体"/>
          <w:b/>
          <w:bCs/>
          <w:color w:val="auto"/>
          <w:szCs w:val="21"/>
          <w:highlight w:val="none"/>
        </w:rPr>
      </w:pPr>
    </w:p>
    <w:p w14:paraId="6C92B2F9">
      <w:pPr>
        <w:spacing w:line="360" w:lineRule="auto"/>
        <w:rPr>
          <w:rFonts w:hint="eastAsia" w:ascii="宋体" w:hAnsi="宋体" w:cs="宋体"/>
          <w:b/>
          <w:bCs/>
          <w:color w:val="auto"/>
          <w:szCs w:val="21"/>
          <w:highlight w:val="none"/>
        </w:rPr>
      </w:pPr>
    </w:p>
    <w:p w14:paraId="03FE4609">
      <w:pPr>
        <w:spacing w:line="360" w:lineRule="auto"/>
        <w:rPr>
          <w:rFonts w:hint="eastAsia" w:ascii="宋体" w:hAnsi="宋体" w:cs="宋体"/>
          <w:b/>
          <w:bCs/>
          <w:color w:val="auto"/>
          <w:szCs w:val="21"/>
          <w:highlight w:val="none"/>
        </w:rPr>
      </w:pPr>
    </w:p>
    <w:p w14:paraId="0FB46AC0">
      <w:pPr>
        <w:spacing w:line="360" w:lineRule="auto"/>
        <w:rPr>
          <w:rFonts w:hint="eastAsia" w:ascii="宋体" w:hAnsi="宋体" w:cs="宋体"/>
          <w:b/>
          <w:bCs/>
          <w:color w:val="auto"/>
          <w:szCs w:val="21"/>
          <w:highlight w:val="none"/>
        </w:rPr>
      </w:pPr>
    </w:p>
    <w:p w14:paraId="38A1B027">
      <w:pPr>
        <w:spacing w:line="360" w:lineRule="auto"/>
        <w:rPr>
          <w:rFonts w:hint="eastAsia" w:ascii="宋体" w:hAnsi="宋体" w:cs="宋体"/>
          <w:b/>
          <w:bCs/>
          <w:color w:val="auto"/>
          <w:szCs w:val="21"/>
          <w:highlight w:val="none"/>
        </w:rPr>
      </w:pPr>
    </w:p>
    <w:p w14:paraId="61051686">
      <w:pPr>
        <w:spacing w:line="360" w:lineRule="auto"/>
        <w:rPr>
          <w:rFonts w:hint="eastAsia" w:ascii="宋体" w:hAnsi="宋体" w:cs="宋体"/>
          <w:b/>
          <w:bCs/>
          <w:color w:val="auto"/>
          <w:szCs w:val="21"/>
          <w:highlight w:val="none"/>
        </w:rPr>
      </w:pPr>
    </w:p>
    <w:p w14:paraId="16D2D00E">
      <w:pPr>
        <w:spacing w:line="360" w:lineRule="auto"/>
        <w:rPr>
          <w:rFonts w:hint="eastAsia" w:ascii="宋体" w:hAnsi="宋体" w:cs="宋体"/>
          <w:b/>
          <w:bCs/>
          <w:color w:val="auto"/>
          <w:szCs w:val="21"/>
          <w:highlight w:val="none"/>
        </w:rPr>
      </w:pPr>
    </w:p>
    <w:p w14:paraId="66BB09B6">
      <w:pPr>
        <w:spacing w:line="360" w:lineRule="auto"/>
        <w:rPr>
          <w:rFonts w:hint="eastAsia" w:ascii="宋体" w:hAnsi="宋体" w:cs="宋体"/>
          <w:b/>
          <w:bCs/>
          <w:color w:val="auto"/>
          <w:szCs w:val="21"/>
          <w:highlight w:val="none"/>
        </w:rPr>
      </w:pPr>
    </w:p>
    <w:p w14:paraId="62333DFE">
      <w:pPr>
        <w:spacing w:line="240" w:lineRule="auto"/>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14:paraId="2BD1265E">
      <w:pPr>
        <w:spacing w:line="360" w:lineRule="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工程量清单/报价</w:t>
      </w:r>
    </w:p>
    <w:p w14:paraId="27E6E42D">
      <w:pPr>
        <w:spacing w:line="360" w:lineRule="auto"/>
        <w:rPr>
          <w:rFonts w:ascii="宋体" w:hAnsi="宋体" w:cs="宋体"/>
          <w:color w:val="auto"/>
          <w:sz w:val="24"/>
          <w:szCs w:val="24"/>
          <w:highlight w:val="none"/>
        </w:rPr>
      </w:pPr>
    </w:p>
    <w:p w14:paraId="76F2ABE1">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工程量报价</w:t>
      </w:r>
    </w:p>
    <w:p w14:paraId="7F3E6818">
      <w:pPr>
        <w:spacing w:line="360" w:lineRule="auto"/>
        <w:rPr>
          <w:rFonts w:ascii="宋体" w:hAnsi="宋体" w:cs="宋体"/>
          <w:color w:val="auto"/>
          <w:sz w:val="24"/>
          <w:szCs w:val="24"/>
          <w:highlight w:val="none"/>
        </w:rPr>
      </w:pPr>
    </w:p>
    <w:p w14:paraId="3BFC9B40">
      <w:pPr>
        <w:spacing w:line="360" w:lineRule="auto"/>
        <w:rPr>
          <w:rFonts w:ascii="宋体" w:hAnsi="宋体" w:cs="宋体"/>
          <w:color w:val="auto"/>
          <w:sz w:val="24"/>
          <w:szCs w:val="24"/>
          <w:highlight w:val="none"/>
        </w:rPr>
      </w:pPr>
    </w:p>
    <w:p w14:paraId="7EB5777E">
      <w:pPr>
        <w:spacing w:line="360" w:lineRule="auto"/>
        <w:rPr>
          <w:rFonts w:ascii="宋体" w:hAnsi="宋体" w:cs="宋体"/>
          <w:color w:val="auto"/>
          <w:sz w:val="24"/>
          <w:szCs w:val="24"/>
          <w:highlight w:val="none"/>
        </w:rPr>
      </w:pPr>
    </w:p>
    <w:p w14:paraId="4CDCF1AE">
      <w:pPr>
        <w:spacing w:line="360" w:lineRule="auto"/>
        <w:rPr>
          <w:rFonts w:ascii="宋体" w:hAnsi="宋体" w:cs="宋体"/>
          <w:color w:val="auto"/>
          <w:sz w:val="24"/>
          <w:szCs w:val="24"/>
          <w:highlight w:val="none"/>
        </w:rPr>
      </w:pPr>
    </w:p>
    <w:p w14:paraId="55D41AEE">
      <w:pPr>
        <w:spacing w:line="360" w:lineRule="auto"/>
        <w:rPr>
          <w:rFonts w:ascii="宋体" w:hAnsi="宋体" w:cs="宋体"/>
          <w:color w:val="auto"/>
          <w:sz w:val="24"/>
          <w:szCs w:val="24"/>
          <w:highlight w:val="none"/>
        </w:rPr>
      </w:pPr>
    </w:p>
    <w:p w14:paraId="30731E2E">
      <w:pPr>
        <w:spacing w:line="360" w:lineRule="auto"/>
        <w:rPr>
          <w:rFonts w:ascii="宋体" w:hAnsi="宋体" w:cs="宋体"/>
          <w:b/>
          <w:bCs/>
          <w:color w:val="auto"/>
          <w:szCs w:val="21"/>
          <w:highlight w:val="none"/>
        </w:rPr>
      </w:pPr>
    </w:p>
    <w:p w14:paraId="0928CBC5">
      <w:pPr>
        <w:spacing w:line="360" w:lineRule="auto"/>
        <w:rPr>
          <w:rFonts w:ascii="宋体" w:hAnsi="宋体" w:cs="宋体"/>
          <w:b/>
          <w:bCs/>
          <w:color w:val="auto"/>
          <w:szCs w:val="21"/>
          <w:highlight w:val="none"/>
        </w:rPr>
      </w:pPr>
    </w:p>
    <w:p w14:paraId="5C2F79B5">
      <w:pPr>
        <w:spacing w:line="360" w:lineRule="auto"/>
        <w:rPr>
          <w:rFonts w:ascii="宋体" w:hAnsi="宋体" w:cs="宋体"/>
          <w:b/>
          <w:bCs/>
          <w:color w:val="auto"/>
          <w:szCs w:val="21"/>
          <w:highlight w:val="none"/>
        </w:rPr>
      </w:pPr>
    </w:p>
    <w:p w14:paraId="3E463BDD">
      <w:pPr>
        <w:spacing w:line="360" w:lineRule="auto"/>
        <w:rPr>
          <w:rFonts w:ascii="宋体" w:hAnsi="宋体" w:cs="宋体"/>
          <w:b/>
          <w:bCs/>
          <w:color w:val="auto"/>
          <w:szCs w:val="21"/>
          <w:highlight w:val="none"/>
        </w:rPr>
      </w:pPr>
    </w:p>
    <w:p w14:paraId="3496F27F">
      <w:pPr>
        <w:spacing w:line="360" w:lineRule="auto"/>
        <w:rPr>
          <w:rFonts w:ascii="宋体" w:hAnsi="宋体" w:cs="宋体"/>
          <w:b/>
          <w:bCs/>
          <w:color w:val="auto"/>
          <w:szCs w:val="21"/>
          <w:highlight w:val="none"/>
        </w:rPr>
      </w:pPr>
    </w:p>
    <w:p w14:paraId="5AB9C172">
      <w:pPr>
        <w:spacing w:line="360" w:lineRule="auto"/>
        <w:rPr>
          <w:rFonts w:ascii="宋体" w:hAnsi="宋体" w:cs="宋体"/>
          <w:b/>
          <w:bCs/>
          <w:color w:val="auto"/>
          <w:szCs w:val="21"/>
          <w:highlight w:val="none"/>
        </w:rPr>
      </w:pPr>
    </w:p>
    <w:p w14:paraId="4C4519C4">
      <w:pPr>
        <w:spacing w:line="360" w:lineRule="auto"/>
        <w:rPr>
          <w:rFonts w:ascii="宋体" w:hAnsi="宋体" w:cs="宋体"/>
          <w:b/>
          <w:bCs/>
          <w:color w:val="auto"/>
          <w:szCs w:val="21"/>
          <w:highlight w:val="none"/>
        </w:rPr>
      </w:pPr>
    </w:p>
    <w:p w14:paraId="5A93E45A">
      <w:pPr>
        <w:spacing w:line="360" w:lineRule="auto"/>
        <w:rPr>
          <w:rFonts w:ascii="宋体" w:hAnsi="宋体" w:cs="宋体"/>
          <w:b/>
          <w:bCs/>
          <w:color w:val="auto"/>
          <w:szCs w:val="21"/>
          <w:highlight w:val="none"/>
        </w:rPr>
      </w:pPr>
    </w:p>
    <w:p w14:paraId="3106FAB8">
      <w:pPr>
        <w:spacing w:line="360" w:lineRule="auto"/>
        <w:rPr>
          <w:rFonts w:ascii="宋体" w:hAnsi="宋体" w:cs="宋体"/>
          <w:b/>
          <w:bCs/>
          <w:color w:val="auto"/>
          <w:szCs w:val="21"/>
          <w:highlight w:val="none"/>
        </w:rPr>
      </w:pPr>
    </w:p>
    <w:p w14:paraId="12CE77A9">
      <w:pPr>
        <w:spacing w:line="360" w:lineRule="auto"/>
        <w:rPr>
          <w:rFonts w:ascii="宋体" w:hAnsi="宋体" w:cs="宋体"/>
          <w:b/>
          <w:bCs/>
          <w:color w:val="auto"/>
          <w:szCs w:val="21"/>
          <w:highlight w:val="none"/>
        </w:rPr>
      </w:pPr>
    </w:p>
    <w:p w14:paraId="07AB8F0C">
      <w:pPr>
        <w:spacing w:line="360" w:lineRule="auto"/>
        <w:rPr>
          <w:rFonts w:ascii="宋体" w:hAnsi="宋体" w:cs="宋体"/>
          <w:b/>
          <w:bCs/>
          <w:color w:val="auto"/>
          <w:szCs w:val="21"/>
          <w:highlight w:val="none"/>
        </w:rPr>
      </w:pPr>
    </w:p>
    <w:p w14:paraId="4F3CB293">
      <w:pPr>
        <w:spacing w:line="360" w:lineRule="auto"/>
        <w:rPr>
          <w:rFonts w:ascii="宋体" w:hAnsi="宋体" w:cs="宋体"/>
          <w:b/>
          <w:bCs/>
          <w:color w:val="auto"/>
          <w:szCs w:val="21"/>
          <w:highlight w:val="none"/>
        </w:rPr>
      </w:pPr>
    </w:p>
    <w:p w14:paraId="012A1256">
      <w:pPr>
        <w:spacing w:line="360" w:lineRule="auto"/>
        <w:rPr>
          <w:rFonts w:ascii="宋体" w:hAnsi="宋体" w:cs="宋体"/>
          <w:b/>
          <w:bCs/>
          <w:color w:val="auto"/>
          <w:szCs w:val="21"/>
          <w:highlight w:val="none"/>
        </w:rPr>
      </w:pPr>
    </w:p>
    <w:p w14:paraId="48D7C921">
      <w:pPr>
        <w:spacing w:line="360" w:lineRule="auto"/>
        <w:rPr>
          <w:rFonts w:ascii="宋体" w:hAnsi="宋体" w:cs="宋体"/>
          <w:b/>
          <w:bCs/>
          <w:color w:val="auto"/>
          <w:szCs w:val="21"/>
          <w:highlight w:val="none"/>
        </w:rPr>
      </w:pPr>
    </w:p>
    <w:p w14:paraId="3C8E0A98">
      <w:pPr>
        <w:spacing w:line="360" w:lineRule="auto"/>
        <w:rPr>
          <w:rFonts w:ascii="宋体" w:hAnsi="宋体" w:cs="宋体"/>
          <w:b/>
          <w:bCs/>
          <w:color w:val="auto"/>
          <w:szCs w:val="21"/>
          <w:highlight w:val="none"/>
        </w:rPr>
      </w:pPr>
    </w:p>
    <w:p w14:paraId="190C9EEE">
      <w:pPr>
        <w:spacing w:line="360" w:lineRule="auto"/>
        <w:rPr>
          <w:rFonts w:ascii="宋体" w:hAnsi="宋体" w:cs="宋体"/>
          <w:b/>
          <w:bCs/>
          <w:color w:val="auto"/>
          <w:szCs w:val="21"/>
          <w:highlight w:val="none"/>
        </w:rPr>
      </w:pPr>
    </w:p>
    <w:p w14:paraId="2B033FCB">
      <w:pPr>
        <w:widowControl w:val="0"/>
        <w:adjustRightInd/>
        <w:snapToGrid/>
        <w:spacing w:line="360" w:lineRule="auto"/>
        <w:ind w:firstLine="643" w:firstLineChars="200"/>
        <w:jc w:val="both"/>
        <w:textAlignment w:val="auto"/>
        <w:rPr>
          <w:rFonts w:hint="eastAsia" w:ascii="宋体" w:hAnsi="宋体" w:eastAsia="仿宋_GB2312" w:cs="宋体"/>
          <w:b/>
          <w:bCs/>
          <w:color w:val="auto"/>
          <w:kern w:val="2"/>
          <w:sz w:val="32"/>
          <w:szCs w:val="21"/>
          <w:highlight w:val="none"/>
          <w:lang w:val="en-US" w:eastAsia="zh-CN" w:bidi="ar-SA"/>
        </w:rPr>
      </w:pPr>
    </w:p>
    <w:p w14:paraId="279393BF">
      <w:pPr>
        <w:widowControl w:val="0"/>
        <w:adjustRightInd/>
        <w:snapToGrid/>
        <w:spacing w:line="360" w:lineRule="auto"/>
        <w:ind w:firstLine="643" w:firstLineChars="200"/>
        <w:jc w:val="both"/>
        <w:textAlignment w:val="auto"/>
        <w:rPr>
          <w:rFonts w:hint="eastAsia" w:ascii="宋体" w:hAnsi="宋体" w:eastAsia="仿宋_GB2312" w:cs="宋体"/>
          <w:b/>
          <w:bCs/>
          <w:color w:val="auto"/>
          <w:kern w:val="2"/>
          <w:sz w:val="32"/>
          <w:szCs w:val="21"/>
          <w:highlight w:val="none"/>
          <w:lang w:val="en-US" w:eastAsia="zh-CN" w:bidi="ar-SA"/>
        </w:rPr>
      </w:pPr>
    </w:p>
    <w:p w14:paraId="6DB9EB6B">
      <w:pPr>
        <w:widowControl w:val="0"/>
        <w:adjustRightInd/>
        <w:snapToGrid/>
        <w:spacing w:line="360" w:lineRule="auto"/>
        <w:ind w:firstLine="643" w:firstLineChars="200"/>
        <w:jc w:val="both"/>
        <w:textAlignment w:val="auto"/>
        <w:rPr>
          <w:rFonts w:hint="eastAsia" w:ascii="宋体" w:hAnsi="宋体" w:eastAsia="仿宋_GB2312" w:cs="宋体"/>
          <w:b/>
          <w:bCs/>
          <w:color w:val="auto"/>
          <w:kern w:val="2"/>
          <w:sz w:val="32"/>
          <w:szCs w:val="21"/>
          <w:highlight w:val="none"/>
          <w:lang w:val="en-US" w:eastAsia="zh-CN" w:bidi="ar-SA"/>
        </w:rPr>
      </w:pPr>
    </w:p>
    <w:p w14:paraId="2DF897C2">
      <w:pPr>
        <w:spacing w:line="360" w:lineRule="auto"/>
        <w:rPr>
          <w:rFonts w:ascii="宋体" w:hAnsi="宋体" w:cs="宋体"/>
          <w:b/>
          <w:bCs/>
          <w:color w:val="auto"/>
          <w:szCs w:val="21"/>
          <w:highlight w:val="none"/>
        </w:rPr>
      </w:pPr>
    </w:p>
    <w:p w14:paraId="79902F27">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14:paraId="2D832CD0">
      <w:pPr>
        <w:widowControl w:val="0"/>
        <w:adjustRightInd/>
        <w:snapToGrid/>
        <w:spacing w:line="360" w:lineRule="auto"/>
        <w:ind w:left="0" w:leftChars="0"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附件5 ：项目投入人员架构表</w:t>
      </w:r>
    </w:p>
    <w:p w14:paraId="041CB63F">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79C868DF">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2F43B3DD">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641D64CF">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7C780D75">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753F0477">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4FBDBBAC">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64175CE5">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6F2853A9">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5FECFD38">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3CC608FE">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2E6D1025">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6CF782DD">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3509BC2B">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303AF3E4">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1ECD94F3">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54392BD3">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60A59B18">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0222E558">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4DD5E6E5">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244F9887">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4F436037">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1D883DE0">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6B4E90DA">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33AC26C7">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275BF989">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7BE66080">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4AF4D215">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7779D874">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07917477">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4FD96613">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12AC2C1B">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471C4180">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33899DE1">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7D1E2BC5">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57915158">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46BCF5CD">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2DFF9BF5">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1FD281F6">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28543F0B">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4A8230DD">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36170A9C">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208AEDCE">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7E64FE3D">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br w:type="page"/>
      </w:r>
    </w:p>
    <w:p w14:paraId="272F6B70">
      <w:pPr>
        <w:widowControl w:val="0"/>
        <w:autoSpaceDE w:val="0"/>
        <w:autoSpaceDN w:val="0"/>
        <w:adjustRightInd w:val="0"/>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附件6：应急救援物资清单</w:t>
      </w:r>
    </w:p>
    <w:p w14:paraId="283DF0C4">
      <w:pPr>
        <w:widowControl w:val="0"/>
        <w:autoSpaceDE w:val="0"/>
        <w:autoSpaceDN w:val="0"/>
        <w:adjustRightInd w:val="0"/>
        <w:rPr>
          <w:rFonts w:hint="eastAsia" w:ascii="宋体" w:hAnsi="宋体" w:eastAsia="仿宋_GB2312" w:cs="宋体"/>
          <w:b/>
          <w:bCs/>
          <w:color w:val="auto"/>
          <w:sz w:val="24"/>
          <w:szCs w:val="21"/>
          <w:highlight w:val="none"/>
          <w:lang w:val="en-US" w:eastAsia="zh-CN" w:bidi="ar-SA"/>
        </w:rPr>
      </w:pPr>
    </w:p>
    <w:p w14:paraId="770C76E1">
      <w:pPr>
        <w:widowControl w:val="0"/>
        <w:autoSpaceDE w:val="0"/>
        <w:autoSpaceDN w:val="0"/>
        <w:adjustRightInd w:val="0"/>
        <w:rPr>
          <w:rFonts w:hint="default" w:ascii="宋体" w:hAnsi="宋体" w:eastAsia="仿宋_GB2312" w:cs="宋体"/>
          <w:b/>
          <w:bCs/>
          <w:color w:val="auto"/>
          <w:sz w:val="24"/>
          <w:szCs w:val="21"/>
          <w:highlight w:val="none"/>
          <w:lang w:val="en-US" w:eastAsia="zh-CN" w:bidi="ar-SA"/>
        </w:rPr>
      </w:pPr>
    </w:p>
    <w:p w14:paraId="5E69A429">
      <w:pPr>
        <w:jc w:val="left"/>
        <w:rPr>
          <w:rFonts w:hint="eastAsia"/>
          <w:color w:val="auto"/>
          <w:szCs w:val="24"/>
          <w:highlight w:val="none"/>
          <w:lang w:val="en-US" w:eastAsia="zh-CN"/>
        </w:rPr>
      </w:pPr>
    </w:p>
    <w:p w14:paraId="36A39382">
      <w:pPr>
        <w:jc w:val="left"/>
        <w:rPr>
          <w:rFonts w:hint="eastAsia"/>
          <w:color w:val="auto"/>
          <w:szCs w:val="24"/>
          <w:highlight w:val="none"/>
          <w:lang w:val="en-US" w:eastAsia="zh-CN"/>
        </w:rPr>
      </w:pPr>
    </w:p>
    <w:p w14:paraId="0262520A">
      <w:pPr>
        <w:jc w:val="left"/>
        <w:rPr>
          <w:rFonts w:hint="eastAsia"/>
          <w:color w:val="auto"/>
          <w:szCs w:val="24"/>
          <w:highlight w:val="none"/>
          <w:lang w:val="en-US" w:eastAsia="zh-CN"/>
        </w:rPr>
      </w:pPr>
    </w:p>
    <w:p w14:paraId="79158609">
      <w:pPr>
        <w:jc w:val="left"/>
        <w:rPr>
          <w:rFonts w:hint="eastAsia"/>
          <w:color w:val="auto"/>
          <w:szCs w:val="24"/>
          <w:highlight w:val="none"/>
          <w:lang w:val="en-US" w:eastAsia="zh-CN"/>
        </w:rPr>
      </w:pPr>
    </w:p>
    <w:p w14:paraId="1751256F">
      <w:pPr>
        <w:jc w:val="left"/>
        <w:rPr>
          <w:rFonts w:hint="eastAsia"/>
          <w:color w:val="auto"/>
          <w:szCs w:val="24"/>
          <w:highlight w:val="none"/>
          <w:lang w:val="en-US" w:eastAsia="zh-CN"/>
        </w:rPr>
      </w:pPr>
    </w:p>
    <w:p w14:paraId="2B861663">
      <w:pPr>
        <w:jc w:val="left"/>
        <w:rPr>
          <w:rFonts w:hint="eastAsia"/>
          <w:color w:val="auto"/>
          <w:szCs w:val="24"/>
          <w:highlight w:val="none"/>
          <w:lang w:val="en-US" w:eastAsia="zh-CN"/>
        </w:rPr>
      </w:pPr>
    </w:p>
    <w:p w14:paraId="4FEC3CC9">
      <w:pPr>
        <w:jc w:val="left"/>
        <w:rPr>
          <w:rFonts w:hint="eastAsia"/>
          <w:color w:val="auto"/>
          <w:szCs w:val="24"/>
          <w:highlight w:val="none"/>
          <w:lang w:val="en-US" w:eastAsia="zh-CN"/>
        </w:rPr>
      </w:pPr>
    </w:p>
    <w:p w14:paraId="69A9BB04">
      <w:pPr>
        <w:jc w:val="left"/>
        <w:rPr>
          <w:rFonts w:hint="eastAsia"/>
          <w:color w:val="auto"/>
          <w:szCs w:val="24"/>
          <w:highlight w:val="none"/>
          <w:lang w:val="en-US" w:eastAsia="zh-CN"/>
        </w:rPr>
      </w:pPr>
    </w:p>
    <w:p w14:paraId="181E1EF8">
      <w:pPr>
        <w:jc w:val="left"/>
        <w:rPr>
          <w:rFonts w:hint="eastAsia"/>
          <w:color w:val="auto"/>
          <w:szCs w:val="24"/>
          <w:highlight w:val="none"/>
          <w:lang w:val="en-US" w:eastAsia="zh-CN"/>
        </w:rPr>
      </w:pPr>
    </w:p>
    <w:p w14:paraId="73028190">
      <w:pPr>
        <w:jc w:val="left"/>
        <w:rPr>
          <w:rFonts w:hint="eastAsia"/>
          <w:color w:val="auto"/>
          <w:szCs w:val="24"/>
          <w:highlight w:val="none"/>
          <w:lang w:val="en-US" w:eastAsia="zh-CN"/>
        </w:rPr>
      </w:pPr>
    </w:p>
    <w:p w14:paraId="1F757157">
      <w:pPr>
        <w:jc w:val="left"/>
        <w:rPr>
          <w:rFonts w:hint="eastAsia"/>
          <w:color w:val="auto"/>
          <w:szCs w:val="24"/>
          <w:highlight w:val="none"/>
          <w:lang w:val="en-US" w:eastAsia="zh-CN"/>
        </w:rPr>
      </w:pPr>
    </w:p>
    <w:p w14:paraId="75BC622A">
      <w:pPr>
        <w:jc w:val="left"/>
        <w:rPr>
          <w:rFonts w:hint="eastAsia"/>
          <w:color w:val="auto"/>
          <w:szCs w:val="24"/>
          <w:highlight w:val="none"/>
          <w:lang w:val="en-US" w:eastAsia="zh-CN"/>
        </w:rPr>
      </w:pPr>
    </w:p>
    <w:p w14:paraId="1473E83A">
      <w:pPr>
        <w:jc w:val="left"/>
        <w:rPr>
          <w:rFonts w:hint="eastAsia"/>
          <w:color w:val="auto"/>
          <w:szCs w:val="24"/>
          <w:highlight w:val="none"/>
          <w:lang w:val="en-US" w:eastAsia="zh-CN"/>
        </w:rPr>
      </w:pPr>
    </w:p>
    <w:p w14:paraId="37C3EEE6">
      <w:pPr>
        <w:jc w:val="left"/>
        <w:rPr>
          <w:rFonts w:hint="eastAsia"/>
          <w:color w:val="auto"/>
          <w:szCs w:val="24"/>
          <w:highlight w:val="none"/>
          <w:lang w:val="en-US" w:eastAsia="zh-CN"/>
        </w:rPr>
      </w:pPr>
    </w:p>
    <w:p w14:paraId="3A9B2F16">
      <w:pPr>
        <w:jc w:val="left"/>
        <w:rPr>
          <w:rFonts w:hint="eastAsia"/>
          <w:color w:val="auto"/>
          <w:szCs w:val="24"/>
          <w:highlight w:val="none"/>
          <w:lang w:val="en-US" w:eastAsia="zh-CN"/>
        </w:rPr>
      </w:pPr>
    </w:p>
    <w:p w14:paraId="12E652F6">
      <w:pPr>
        <w:jc w:val="left"/>
        <w:rPr>
          <w:rFonts w:hint="eastAsia"/>
          <w:color w:val="auto"/>
          <w:szCs w:val="24"/>
          <w:highlight w:val="none"/>
          <w:lang w:val="en-US" w:eastAsia="zh-CN"/>
        </w:rPr>
      </w:pPr>
    </w:p>
    <w:p w14:paraId="2CF52913">
      <w:pPr>
        <w:jc w:val="left"/>
        <w:rPr>
          <w:rFonts w:hint="eastAsia"/>
          <w:color w:val="auto"/>
          <w:szCs w:val="24"/>
          <w:highlight w:val="none"/>
          <w:lang w:val="en-US" w:eastAsia="zh-CN"/>
        </w:rPr>
      </w:pPr>
    </w:p>
    <w:p w14:paraId="2E481C20">
      <w:pPr>
        <w:jc w:val="left"/>
        <w:rPr>
          <w:rFonts w:hint="eastAsia"/>
          <w:color w:val="auto"/>
          <w:szCs w:val="24"/>
          <w:highlight w:val="none"/>
          <w:lang w:val="en-US" w:eastAsia="zh-CN"/>
        </w:rPr>
      </w:pPr>
    </w:p>
    <w:p w14:paraId="6E0900FC">
      <w:pPr>
        <w:jc w:val="left"/>
        <w:rPr>
          <w:rFonts w:hint="eastAsia"/>
          <w:color w:val="auto"/>
          <w:szCs w:val="24"/>
          <w:highlight w:val="none"/>
          <w:lang w:val="en-US" w:eastAsia="zh-CN"/>
        </w:rPr>
      </w:pPr>
    </w:p>
    <w:p w14:paraId="00BBA580">
      <w:pPr>
        <w:jc w:val="left"/>
        <w:rPr>
          <w:rFonts w:hint="eastAsia"/>
          <w:color w:val="auto"/>
          <w:szCs w:val="24"/>
          <w:highlight w:val="none"/>
          <w:lang w:val="en-US" w:eastAsia="zh-CN"/>
        </w:rPr>
      </w:pPr>
    </w:p>
    <w:p w14:paraId="575A6A3C">
      <w:pPr>
        <w:jc w:val="left"/>
        <w:rPr>
          <w:rFonts w:hint="eastAsia"/>
          <w:color w:val="auto"/>
          <w:szCs w:val="24"/>
          <w:highlight w:val="none"/>
          <w:lang w:val="en-US" w:eastAsia="zh-CN"/>
        </w:rPr>
      </w:pPr>
    </w:p>
    <w:p w14:paraId="35BF37E5">
      <w:pPr>
        <w:jc w:val="left"/>
        <w:rPr>
          <w:rFonts w:hint="eastAsia"/>
          <w:color w:val="auto"/>
          <w:szCs w:val="24"/>
          <w:highlight w:val="none"/>
          <w:lang w:val="en-US" w:eastAsia="zh-CN"/>
        </w:rPr>
      </w:pPr>
    </w:p>
    <w:p w14:paraId="4CEE7D92">
      <w:pPr>
        <w:jc w:val="left"/>
        <w:rPr>
          <w:rFonts w:hint="eastAsia"/>
          <w:color w:val="auto"/>
          <w:szCs w:val="24"/>
          <w:highlight w:val="none"/>
          <w:lang w:val="en-US" w:eastAsia="zh-CN"/>
        </w:rPr>
      </w:pPr>
    </w:p>
    <w:p w14:paraId="5BE166A1">
      <w:pPr>
        <w:jc w:val="left"/>
        <w:rPr>
          <w:rFonts w:hint="eastAsia"/>
          <w:color w:val="auto"/>
          <w:szCs w:val="24"/>
          <w:highlight w:val="none"/>
          <w:lang w:val="en-US" w:eastAsia="zh-CN"/>
        </w:rPr>
      </w:pPr>
    </w:p>
    <w:p w14:paraId="0D83D71F">
      <w:pPr>
        <w:jc w:val="left"/>
        <w:rPr>
          <w:rFonts w:hint="eastAsia"/>
          <w:color w:val="auto"/>
          <w:szCs w:val="24"/>
          <w:highlight w:val="none"/>
          <w:lang w:val="en-US" w:eastAsia="zh-CN"/>
        </w:rPr>
      </w:pPr>
    </w:p>
    <w:p w14:paraId="2561A8DE">
      <w:pPr>
        <w:jc w:val="left"/>
        <w:rPr>
          <w:rFonts w:hint="eastAsia"/>
          <w:color w:val="auto"/>
          <w:szCs w:val="24"/>
          <w:highlight w:val="none"/>
          <w:lang w:val="en-US" w:eastAsia="zh-CN"/>
        </w:rPr>
      </w:pPr>
    </w:p>
    <w:p w14:paraId="2234BD44">
      <w:pPr>
        <w:jc w:val="left"/>
        <w:rPr>
          <w:rFonts w:hint="eastAsia"/>
          <w:color w:val="auto"/>
          <w:szCs w:val="24"/>
          <w:highlight w:val="none"/>
          <w:lang w:val="en-US" w:eastAsia="zh-CN"/>
        </w:rPr>
      </w:pPr>
    </w:p>
    <w:p w14:paraId="6922DB7A">
      <w:pPr>
        <w:jc w:val="left"/>
        <w:rPr>
          <w:rFonts w:hint="eastAsia"/>
          <w:color w:val="auto"/>
          <w:szCs w:val="24"/>
          <w:highlight w:val="none"/>
          <w:lang w:val="en-US" w:eastAsia="zh-CN"/>
        </w:rPr>
      </w:pPr>
    </w:p>
    <w:p w14:paraId="5C7C3C2E">
      <w:pPr>
        <w:jc w:val="left"/>
        <w:rPr>
          <w:rFonts w:hint="eastAsia"/>
          <w:color w:val="auto"/>
          <w:szCs w:val="24"/>
          <w:highlight w:val="none"/>
          <w:lang w:val="en-US" w:eastAsia="zh-CN"/>
        </w:rPr>
      </w:pPr>
    </w:p>
    <w:p w14:paraId="3736738A">
      <w:pPr>
        <w:jc w:val="left"/>
        <w:rPr>
          <w:rFonts w:hint="eastAsia"/>
          <w:color w:val="auto"/>
          <w:szCs w:val="24"/>
          <w:highlight w:val="none"/>
          <w:lang w:val="en-US" w:eastAsia="zh-CN"/>
        </w:rPr>
      </w:pPr>
    </w:p>
    <w:p w14:paraId="1F4BFF0B">
      <w:pPr>
        <w:jc w:val="left"/>
        <w:rPr>
          <w:rFonts w:hint="eastAsia"/>
          <w:color w:val="auto"/>
          <w:szCs w:val="24"/>
          <w:highlight w:val="none"/>
          <w:lang w:val="en-US" w:eastAsia="zh-CN"/>
        </w:rPr>
      </w:pPr>
    </w:p>
    <w:p w14:paraId="21C00344">
      <w:pPr>
        <w:jc w:val="left"/>
        <w:rPr>
          <w:rFonts w:hint="eastAsia"/>
          <w:color w:val="auto"/>
          <w:szCs w:val="24"/>
          <w:highlight w:val="none"/>
          <w:lang w:val="en-US" w:eastAsia="zh-CN"/>
        </w:rPr>
      </w:pPr>
    </w:p>
    <w:p w14:paraId="2DF9A257">
      <w:pPr>
        <w:jc w:val="left"/>
        <w:rPr>
          <w:rFonts w:hint="eastAsia"/>
          <w:color w:val="auto"/>
          <w:szCs w:val="24"/>
          <w:highlight w:val="none"/>
          <w:lang w:val="en-US" w:eastAsia="zh-CN"/>
        </w:rPr>
      </w:pPr>
    </w:p>
    <w:p w14:paraId="211FBBBF">
      <w:pPr>
        <w:jc w:val="left"/>
        <w:rPr>
          <w:rFonts w:hint="eastAsia"/>
          <w:color w:val="auto"/>
          <w:szCs w:val="24"/>
          <w:highlight w:val="none"/>
          <w:lang w:val="en-US" w:eastAsia="zh-CN"/>
        </w:rPr>
      </w:pPr>
    </w:p>
    <w:p w14:paraId="2EF9E66B">
      <w:pPr>
        <w:jc w:val="left"/>
        <w:rPr>
          <w:rFonts w:hint="eastAsia"/>
          <w:color w:val="auto"/>
          <w:szCs w:val="24"/>
          <w:highlight w:val="none"/>
          <w:lang w:val="en-US" w:eastAsia="zh-CN"/>
        </w:rPr>
      </w:pPr>
    </w:p>
    <w:p w14:paraId="44A91C9A">
      <w:pPr>
        <w:jc w:val="left"/>
        <w:rPr>
          <w:rFonts w:hint="eastAsia"/>
          <w:color w:val="auto"/>
          <w:szCs w:val="24"/>
          <w:highlight w:val="none"/>
          <w:lang w:val="en-US" w:eastAsia="zh-CN"/>
        </w:rPr>
      </w:pPr>
    </w:p>
    <w:p w14:paraId="0D6F131F">
      <w:pPr>
        <w:jc w:val="left"/>
        <w:rPr>
          <w:rFonts w:hint="eastAsia"/>
          <w:color w:val="auto"/>
          <w:szCs w:val="24"/>
          <w:highlight w:val="none"/>
          <w:lang w:val="en-US" w:eastAsia="zh-CN"/>
        </w:rPr>
      </w:pPr>
    </w:p>
    <w:p w14:paraId="4E582856">
      <w:pPr>
        <w:jc w:val="left"/>
        <w:rPr>
          <w:rFonts w:hint="eastAsia"/>
          <w:color w:val="auto"/>
          <w:szCs w:val="24"/>
          <w:highlight w:val="none"/>
          <w:lang w:val="en-US" w:eastAsia="zh-CN"/>
        </w:rPr>
      </w:pPr>
    </w:p>
    <w:p w14:paraId="5147976B">
      <w:pPr>
        <w:jc w:val="left"/>
        <w:rPr>
          <w:rFonts w:hint="eastAsia"/>
          <w:color w:val="auto"/>
          <w:szCs w:val="24"/>
          <w:highlight w:val="none"/>
          <w:lang w:val="en-US" w:eastAsia="zh-CN"/>
        </w:rPr>
      </w:pPr>
    </w:p>
    <w:p w14:paraId="575EB1C8">
      <w:pPr>
        <w:jc w:val="left"/>
        <w:rPr>
          <w:rFonts w:hint="eastAsia"/>
          <w:color w:val="auto"/>
          <w:szCs w:val="24"/>
          <w:highlight w:val="none"/>
          <w:lang w:val="en-US" w:eastAsia="zh-CN"/>
        </w:rPr>
      </w:pPr>
    </w:p>
    <w:p w14:paraId="6A3A87CE">
      <w:pPr>
        <w:jc w:val="left"/>
        <w:rPr>
          <w:rFonts w:hint="eastAsia"/>
          <w:color w:val="auto"/>
          <w:szCs w:val="24"/>
          <w:highlight w:val="none"/>
          <w:lang w:val="en-US" w:eastAsia="zh-CN"/>
        </w:rPr>
      </w:pPr>
    </w:p>
    <w:p w14:paraId="15032430">
      <w:pPr>
        <w:jc w:val="left"/>
        <w:rPr>
          <w:rFonts w:hint="eastAsia"/>
          <w:color w:val="auto"/>
          <w:szCs w:val="24"/>
          <w:highlight w:val="none"/>
          <w:lang w:val="en-US" w:eastAsia="zh-CN"/>
        </w:rPr>
      </w:pPr>
      <w:r>
        <w:rPr>
          <w:rFonts w:hint="eastAsia" w:ascii="Times New Roman" w:eastAsia="宋体"/>
          <w:color w:val="auto"/>
          <w:szCs w:val="24"/>
          <w:highlight w:val="none"/>
          <w:lang w:val="en-US" w:eastAsia="zh-CN"/>
        </w:rPr>
        <w:br w:type="page"/>
      </w:r>
    </w:p>
    <w:p w14:paraId="0CD2F690">
      <w:pPr>
        <w:jc w:val="left"/>
        <w:rPr>
          <w:rFonts w:hint="default" w:eastAsia="宋体"/>
          <w:color w:val="auto"/>
          <w:sz w:val="21"/>
          <w:szCs w:val="21"/>
          <w:highlight w:val="none"/>
          <w:lang w:val="en-US" w:eastAsia="zh-CN"/>
        </w:rPr>
      </w:pPr>
      <w:r>
        <w:rPr>
          <w:rFonts w:hint="eastAsia" w:ascii="Times New Roman" w:eastAsia="宋体"/>
          <w:color w:val="auto"/>
          <w:szCs w:val="24"/>
          <w:highlight w:val="none"/>
          <w:lang w:val="en-US" w:eastAsia="zh-CN"/>
        </w:rPr>
        <w:t>附件7</w:t>
      </w:r>
      <w:r>
        <w:rPr>
          <w:rFonts w:hint="eastAsia" w:ascii="宋体" w:hAnsi="宋体" w:eastAsia="宋体" w:cs="宋体"/>
          <w:b/>
          <w:bCs/>
          <w:color w:val="auto"/>
          <w:kern w:val="2"/>
          <w:sz w:val="21"/>
          <w:szCs w:val="21"/>
          <w:highlight w:val="none"/>
          <w:lang w:val="en-US" w:eastAsia="zh-CN" w:bidi="ar-SA"/>
        </w:rPr>
        <w:t>营运项目承包单位日常履约考评参照表（安全）、营运项目承包单位综合履约考评表（安全）</w:t>
      </w:r>
    </w:p>
    <w:p w14:paraId="7CAF60DD">
      <w:pPr>
        <w:contextualSpacing/>
        <w:jc w:val="left"/>
        <w:rPr>
          <w:rFonts w:ascii="宋体" w:hAnsi="宋体" w:cs="仿宋_GB2312"/>
          <w:color w:val="auto"/>
          <w:sz w:val="24"/>
          <w:szCs w:val="24"/>
          <w:highlight w:val="none"/>
        </w:rPr>
      </w:pPr>
    </w:p>
    <w:tbl>
      <w:tblPr>
        <w:tblStyle w:val="40"/>
        <w:tblpPr w:leftFromText="180" w:rightFromText="180" w:vertAnchor="text" w:horzAnchor="page" w:tblpX="1131" w:tblpY="992"/>
        <w:tblOverlap w:val="never"/>
        <w:tblW w:w="0" w:type="auto"/>
        <w:jc w:val="center"/>
        <w:tblLayout w:type="autofit"/>
        <w:tblCellMar>
          <w:top w:w="0" w:type="dxa"/>
          <w:left w:w="0" w:type="dxa"/>
          <w:bottom w:w="0" w:type="dxa"/>
          <w:right w:w="0" w:type="dxa"/>
        </w:tblCellMar>
      </w:tblPr>
      <w:tblGrid>
        <w:gridCol w:w="344"/>
        <w:gridCol w:w="918"/>
        <w:gridCol w:w="715"/>
        <w:gridCol w:w="2653"/>
        <w:gridCol w:w="1269"/>
        <w:gridCol w:w="1282"/>
        <w:gridCol w:w="1282"/>
        <w:gridCol w:w="1307"/>
      </w:tblGrid>
      <w:tr w14:paraId="24E78EF1">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14:paraId="6435D5BE">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14:paraId="2CBE66E5">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14:paraId="780C6850">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14:paraId="05B4368D">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14:paraId="308CA089">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14:paraId="4F75D118">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14:paraId="180DAF08">
            <w:pPr>
              <w:jc w:val="center"/>
              <w:rPr>
                <w:rFonts w:ascii="等线" w:hAnsi="等线" w:eastAsia="等线" w:cs="等线"/>
                <w:color w:val="auto"/>
                <w:sz w:val="16"/>
                <w:szCs w:val="16"/>
                <w:highlight w:val="none"/>
              </w:rPr>
            </w:pPr>
          </w:p>
        </w:tc>
      </w:tr>
      <w:tr w14:paraId="2248EDE5">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14:paraId="7CFB1424">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14:paraId="6B9C213F">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FAD52C">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3E37ED">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C874355">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4384F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61A4DF">
            <w:pPr>
              <w:jc w:val="center"/>
              <w:rPr>
                <w:rFonts w:ascii="等线" w:hAnsi="等线" w:eastAsia="等线" w:cs="等线"/>
                <w:color w:val="auto"/>
                <w:sz w:val="16"/>
                <w:szCs w:val="16"/>
                <w:highlight w:val="none"/>
              </w:rPr>
            </w:pPr>
          </w:p>
        </w:tc>
      </w:tr>
      <w:tr w14:paraId="56B9C520">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41D09BE">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3323E6">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8008">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8B6E773">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0B85BA">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B326F6">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AB3D5A">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B6C89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14:paraId="34B1052A">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89D1D39">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5C768B6">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E09914">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4AE5F6">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DC0AF9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FF1E7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9A6173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675659">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14:paraId="11D15D8D">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8F2F98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47C6C34">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A9913A2">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74413D">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EB58D08">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14:paraId="0B01ECC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A00728">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14:paraId="241204A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3BA5D70">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14:paraId="7E723316">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D7B733">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14:paraId="50C5062B">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14:paraId="03C2862B">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A4609CE">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859A910">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5C645C0">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CAEA07">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319831">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14:paraId="7FAE050D">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D148B7">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14:paraId="2B68843B">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3D11216">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14:paraId="63D5A40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E8E64B">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14:paraId="6B5FB34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14:paraId="72F0B264">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711C5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BD7DBE">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A071A83">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92C667">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6B7FF6">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14:paraId="6CE91745">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AEB746">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14:paraId="254F170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8AA44B">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14:paraId="22B30C70">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042344">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14:paraId="1C5D51B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14:paraId="5531A411">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C3A8D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8E8FAFB">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C3D572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AF50BF">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14:paraId="47155EBC">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14:paraId="3080B026">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14:paraId="0290E47E">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14:paraId="2D39152D">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14:paraId="4A648467">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196D58">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14:paraId="1CF9536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E30EA4">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14:paraId="57E3BAB1">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7CA1FE6">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14:paraId="57E516F7">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552715">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14:paraId="3632358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14:paraId="50C9EA31">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3907CEA">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E78EC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CAD56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BD1BB4">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14:paraId="20352EA5">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14:paraId="3E5E8E32">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DDF2AC">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14:paraId="0C9D02BD">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F34B3B">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14:paraId="58CCA4A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6D6F4C">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14:paraId="11F0977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6CAEA9">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14:paraId="09DA22A7">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14:paraId="79A3FF81">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624281F">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DDCDB6">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ADA46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AE501C">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14:paraId="7AECA5E6">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14:paraId="55647BBB">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14:paraId="1B8928C1">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14:paraId="163A3AA9">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14:paraId="280CF3BF">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D1E352">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14:paraId="07063337">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BE10FE">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14:paraId="682536C5">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A17D6B">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14:paraId="2776523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C46CE7">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14:paraId="146146B1">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14:paraId="0E936C16">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D35D2F6">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84D2D5">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481DA0">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B39C0B">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14:paraId="3964633A">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14:paraId="60112E2D">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14:paraId="11B71B74">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14:paraId="3A09702C">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14:paraId="7AA26E36">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14:paraId="65651A9E">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14:paraId="437F75EF">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51865C">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14:paraId="4D5441B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E700D9">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14:paraId="707FF4C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38E33C">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14:paraId="2BF075D6">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662A08">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14:paraId="3822E5F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14:paraId="3303C616">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2CAC69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89BCB5">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61FA0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B3ACBC">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14:paraId="2547C366">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14:paraId="2AFF0DE8">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14:paraId="083A3C0C">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14:paraId="642A7C60">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14:paraId="19324184">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3DD812">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14:paraId="27ACD5D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AE6325">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14:paraId="2A16660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03533C">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14:paraId="3665183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9C812D">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14:paraId="738FEC8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14:paraId="7D103347">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3EF6AEB">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4CDB82">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E18DD9">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C3AD7A">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14:paraId="48113D16">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14:paraId="03C2F010">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14:paraId="11BEBE7F">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14:paraId="11810945">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14:paraId="7208AF20">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14:paraId="074AE87C">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B81256">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14:paraId="78ACBF4C">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14:paraId="1C62DB75">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83B286">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14:paraId="6F8AC604">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14:paraId="0E7A743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D431AC">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14:paraId="49515B83">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14:paraId="2EEEFF1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3B9E52">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14:paraId="2A3AE5E8">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14:paraId="12C1A02C">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14:paraId="442B13C4">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6D922E0">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855F45">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01943B">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D7B90E">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14:paraId="78DCBA8D">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14:paraId="0E899F5E">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14:paraId="65474A9D">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55131C">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6EB3E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2DBC66">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C204D9">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14:paraId="2CDBE53F">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C94206">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E19402">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DE5A1AC">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FB341E">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14:paraId="2EB6B697">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14:paraId="190DADFE">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F6229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52B277">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F062437">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F2AD2C">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14:paraId="4545A008">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7D33CA4">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124D88">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FB1E75">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C503E2">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14:paraId="5235AD7C">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48F32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C0368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452EF4">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4248A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14:paraId="6287AF76">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6B211D4">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86606A">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E441E4">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06DD41">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14:paraId="45689E5F">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14:paraId="3EBFEA2A">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90226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CB4D6B">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AB50D1">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FDE1B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14:paraId="75EF09CB">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A23BF6E">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CC7312">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9C8A94">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E665DE">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E460E4">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13D230">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0D234D">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DBD15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14:paraId="46F0DFC9">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4014CD">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1EE075">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7CF2C2">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16A764">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14:paraId="480F498F">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14:paraId="40802A9D">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01BF2B">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3B45E1">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F189C6">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588D1B">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14:paraId="34DEDDDD">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D312A5F">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84071D">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AB3CB1">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0DDFE6">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588CD0">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B5116C">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51C9E5">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4696AF">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14:paraId="457E4A35">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B522DB">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BC98AD">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F54D99">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695AEA">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A8A347">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04519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FEDA09">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1F1CF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14:paraId="778CBA67">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68E3383">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D39614">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9A8112">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8312C9">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BFA70E">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14:paraId="5F18649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B1184A">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14:paraId="3F46878D">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5E977E">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14:paraId="0071E34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5F1308">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14:paraId="632A846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14:paraId="2B4B603D">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ACE658B">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9D535AB">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A8CCB4F">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39DA15">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97999D">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537547">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780227E">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0BD4FC">
            <w:pPr>
              <w:jc w:val="center"/>
              <w:rPr>
                <w:rFonts w:ascii="仿宋_GB2312" w:hAnsi="等线" w:eastAsia="仿宋_GB2312" w:cs="仿宋_GB2312"/>
                <w:color w:val="auto"/>
                <w:sz w:val="16"/>
                <w:szCs w:val="16"/>
                <w:highlight w:val="none"/>
              </w:rPr>
            </w:pPr>
          </w:p>
        </w:tc>
      </w:tr>
      <w:tr w14:paraId="78392182">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14:paraId="01D370FD">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14:paraId="7097EC96">
            <w:pPr>
              <w:rPr>
                <w:rFonts w:hint="default" w:eastAsia="仿宋_GB2312"/>
                <w:color w:val="auto"/>
                <w:szCs w:val="24"/>
                <w:highlight w:val="none"/>
                <w:lang w:val="en-US" w:eastAsia="zh-CN"/>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tc>
      </w:tr>
    </w:tbl>
    <w:p w14:paraId="7CFB73E5">
      <w:pPr>
        <w:widowControl/>
        <w:jc w:val="left"/>
        <w:textAlignment w:val="auto"/>
        <w:rPr>
          <w:rFonts w:hint="eastAsia" w:ascii="等线" w:hAnsi="等线" w:eastAsia="等线" w:cs="等线"/>
          <w:color w:val="auto"/>
          <w:kern w:val="0"/>
          <w:sz w:val="16"/>
          <w:szCs w:val="16"/>
          <w:highlight w:val="none"/>
          <w:lang w:bidi="ar"/>
        </w:rPr>
      </w:pPr>
      <w:r>
        <w:rPr>
          <w:rFonts w:hint="eastAsia" w:ascii="等线" w:hAnsi="等线" w:eastAsia="等线" w:cs="等线"/>
          <w:color w:val="auto"/>
          <w:kern w:val="0"/>
          <w:sz w:val="16"/>
          <w:szCs w:val="16"/>
          <w:highlight w:val="none"/>
          <w:lang w:bidi="ar"/>
        </w:rPr>
        <w:br w:type="page"/>
      </w:r>
    </w:p>
    <w:tbl>
      <w:tblPr>
        <w:tblStyle w:val="40"/>
        <w:tblW w:w="8234" w:type="dxa"/>
        <w:jc w:val="center"/>
        <w:tblLayout w:type="autofit"/>
        <w:tblCellMar>
          <w:top w:w="0" w:type="dxa"/>
          <w:left w:w="0" w:type="dxa"/>
          <w:bottom w:w="0" w:type="dxa"/>
          <w:right w:w="0" w:type="dxa"/>
        </w:tblCellMar>
      </w:tblPr>
      <w:tblGrid>
        <w:gridCol w:w="344"/>
        <w:gridCol w:w="275"/>
        <w:gridCol w:w="384"/>
        <w:gridCol w:w="3100"/>
        <w:gridCol w:w="846"/>
        <w:gridCol w:w="757"/>
        <w:gridCol w:w="757"/>
        <w:gridCol w:w="757"/>
        <w:gridCol w:w="757"/>
        <w:gridCol w:w="756"/>
      </w:tblGrid>
      <w:tr w14:paraId="3785081B">
        <w:tblPrEx>
          <w:tblCellMar>
            <w:top w:w="0" w:type="dxa"/>
            <w:left w:w="0" w:type="dxa"/>
            <w:bottom w:w="0" w:type="dxa"/>
            <w:right w:w="0" w:type="dxa"/>
          </w:tblCellMar>
        </w:tblPrEx>
        <w:trPr>
          <w:trHeight w:val="561" w:hRule="atLeast"/>
          <w:jc w:val="center"/>
        </w:trPr>
        <w:tc>
          <w:tcPr>
            <w:tcW w:w="619" w:type="dxa"/>
            <w:gridSpan w:val="2"/>
            <w:tcBorders>
              <w:top w:val="nil"/>
              <w:left w:val="nil"/>
              <w:bottom w:val="nil"/>
              <w:right w:val="nil"/>
            </w:tcBorders>
            <w:noWrap/>
            <w:tcMar>
              <w:top w:w="12" w:type="dxa"/>
              <w:left w:w="12" w:type="dxa"/>
              <w:right w:w="12" w:type="dxa"/>
            </w:tcMar>
            <w:vAlign w:val="center"/>
          </w:tcPr>
          <w:p w14:paraId="5F9077DC">
            <w:pPr>
              <w:widowControl/>
              <w:jc w:val="left"/>
              <w:textAlignment w:val="auto"/>
              <w:rPr>
                <w:rFonts w:hint="eastAsia" w:ascii="等线" w:hAnsi="等线" w:eastAsia="等线" w:cs="等线"/>
                <w:color w:val="auto"/>
                <w:kern w:val="0"/>
                <w:sz w:val="16"/>
                <w:szCs w:val="16"/>
                <w:highlight w:val="none"/>
                <w:lang w:bidi="ar"/>
              </w:rPr>
            </w:pPr>
            <w:r>
              <w:rPr>
                <w:rFonts w:hint="eastAsia" w:ascii="等线" w:hAnsi="等线" w:eastAsia="等线" w:cs="等线"/>
                <w:color w:val="auto"/>
                <w:kern w:val="0"/>
                <w:sz w:val="16"/>
                <w:szCs w:val="16"/>
                <w:highlight w:val="none"/>
                <w:lang w:bidi="ar"/>
              </w:rPr>
              <w:br w:type="page"/>
            </w:r>
          </w:p>
          <w:p w14:paraId="2C2255D3">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384" w:type="dxa"/>
            <w:tcBorders>
              <w:top w:val="nil"/>
              <w:left w:val="nil"/>
              <w:bottom w:val="nil"/>
              <w:right w:val="nil"/>
            </w:tcBorders>
            <w:noWrap/>
            <w:tcMar>
              <w:top w:w="12" w:type="dxa"/>
              <w:left w:w="12" w:type="dxa"/>
              <w:right w:w="12" w:type="dxa"/>
            </w:tcMar>
            <w:vAlign w:val="center"/>
          </w:tcPr>
          <w:p w14:paraId="15A7FB21">
            <w:pPr>
              <w:jc w:val="left"/>
              <w:rPr>
                <w:rFonts w:ascii="等线" w:hAnsi="等线" w:eastAsia="等线" w:cs="等线"/>
                <w:color w:val="auto"/>
                <w:sz w:val="16"/>
                <w:szCs w:val="16"/>
                <w:highlight w:val="none"/>
              </w:rPr>
            </w:pPr>
          </w:p>
        </w:tc>
        <w:tc>
          <w:tcPr>
            <w:tcW w:w="3100" w:type="dxa"/>
            <w:tcBorders>
              <w:top w:val="nil"/>
              <w:left w:val="nil"/>
              <w:bottom w:val="nil"/>
              <w:right w:val="nil"/>
            </w:tcBorders>
            <w:noWrap/>
            <w:tcMar>
              <w:top w:w="12" w:type="dxa"/>
              <w:left w:w="12" w:type="dxa"/>
              <w:right w:w="12" w:type="dxa"/>
            </w:tcMar>
            <w:vAlign w:val="center"/>
          </w:tcPr>
          <w:p w14:paraId="5E8A2A1A">
            <w:pPr>
              <w:rPr>
                <w:rFonts w:ascii="等线" w:hAnsi="等线" w:eastAsia="等线" w:cs="等线"/>
                <w:color w:val="auto"/>
                <w:sz w:val="16"/>
                <w:szCs w:val="16"/>
                <w:highlight w:val="none"/>
              </w:rPr>
            </w:pPr>
          </w:p>
        </w:tc>
        <w:tc>
          <w:tcPr>
            <w:tcW w:w="846" w:type="dxa"/>
            <w:tcBorders>
              <w:top w:val="nil"/>
              <w:left w:val="nil"/>
              <w:bottom w:val="nil"/>
              <w:right w:val="nil"/>
            </w:tcBorders>
            <w:noWrap/>
            <w:tcMar>
              <w:top w:w="12" w:type="dxa"/>
              <w:left w:w="12" w:type="dxa"/>
              <w:right w:w="12" w:type="dxa"/>
            </w:tcMar>
            <w:vAlign w:val="center"/>
          </w:tcPr>
          <w:p w14:paraId="21233AAF">
            <w:pPr>
              <w:rPr>
                <w:rFonts w:ascii="等线" w:hAnsi="等线" w:eastAsia="等线" w:cs="等线"/>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14:paraId="0632DC52">
            <w:pPr>
              <w:rPr>
                <w:rFonts w:ascii="等线" w:hAnsi="等线" w:eastAsia="等线" w:cs="等线"/>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14:paraId="1F8E6BBC">
            <w:pPr>
              <w:rPr>
                <w:rFonts w:ascii="等线" w:hAnsi="等线" w:eastAsia="等线" w:cs="等线"/>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14:paraId="434320BE">
            <w:pPr>
              <w:rPr>
                <w:rFonts w:ascii="等线" w:hAnsi="等线" w:eastAsia="等线" w:cs="等线"/>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14:paraId="3976BFE5">
            <w:pPr>
              <w:rPr>
                <w:rFonts w:ascii="等线" w:hAnsi="等线" w:eastAsia="等线" w:cs="等线"/>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14:paraId="52B176B5">
            <w:pPr>
              <w:rPr>
                <w:rFonts w:ascii="等线" w:hAnsi="等线" w:eastAsia="等线" w:cs="等线"/>
                <w:color w:val="auto"/>
                <w:sz w:val="16"/>
                <w:szCs w:val="16"/>
                <w:highlight w:val="none"/>
              </w:rPr>
            </w:pPr>
          </w:p>
        </w:tc>
      </w:tr>
      <w:tr w14:paraId="1C4EEC21">
        <w:tblPrEx>
          <w:tblCellMar>
            <w:top w:w="0" w:type="dxa"/>
            <w:left w:w="0" w:type="dxa"/>
            <w:bottom w:w="0" w:type="dxa"/>
            <w:right w:w="0" w:type="dxa"/>
          </w:tblCellMar>
        </w:tblPrEx>
        <w:trPr>
          <w:trHeight w:val="574" w:hRule="atLeast"/>
          <w:jc w:val="center"/>
        </w:trPr>
        <w:tc>
          <w:tcPr>
            <w:tcW w:w="0" w:type="auto"/>
            <w:gridSpan w:val="10"/>
            <w:tcBorders>
              <w:top w:val="nil"/>
              <w:left w:val="nil"/>
              <w:bottom w:val="nil"/>
              <w:right w:val="nil"/>
            </w:tcBorders>
            <w:noWrap/>
            <w:tcMar>
              <w:top w:w="12" w:type="dxa"/>
              <w:left w:w="12" w:type="dxa"/>
              <w:right w:w="12" w:type="dxa"/>
            </w:tcMar>
            <w:vAlign w:val="center"/>
          </w:tcPr>
          <w:p w14:paraId="5C09C6A3">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14:paraId="4DE6E60E">
        <w:tblPrEx>
          <w:tblCellMar>
            <w:top w:w="0" w:type="dxa"/>
            <w:left w:w="0" w:type="dxa"/>
            <w:bottom w:w="0" w:type="dxa"/>
            <w:right w:w="0" w:type="dxa"/>
          </w:tblCellMar>
        </w:tblPrEx>
        <w:trPr>
          <w:trHeight w:val="676" w:hRule="atLeast"/>
          <w:jc w:val="center"/>
        </w:trPr>
        <w:tc>
          <w:tcPr>
            <w:tcW w:w="0" w:type="auto"/>
            <w:gridSpan w:val="4"/>
            <w:tcBorders>
              <w:top w:val="nil"/>
              <w:left w:val="nil"/>
              <w:bottom w:val="nil"/>
              <w:right w:val="nil"/>
            </w:tcBorders>
            <w:noWrap/>
            <w:tcMar>
              <w:top w:w="12" w:type="dxa"/>
              <w:left w:w="12" w:type="dxa"/>
              <w:right w:w="12" w:type="dxa"/>
            </w:tcMar>
            <w:vAlign w:val="center"/>
          </w:tcPr>
          <w:p w14:paraId="5D245D76">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14:paraId="574736B2">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14:paraId="25DEB50B">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14:paraId="59CB41DB">
        <w:tblPrEx>
          <w:tblCellMar>
            <w:top w:w="0" w:type="dxa"/>
            <w:left w:w="0" w:type="dxa"/>
            <w:bottom w:w="0" w:type="dxa"/>
            <w:right w:w="0" w:type="dxa"/>
          </w:tblCellMar>
        </w:tblPrEx>
        <w:trPr>
          <w:trHeight w:val="70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1A9939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945776">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384"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442DD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E7FAD7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846"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610B2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6ABB1C">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D78F5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314"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E93A0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58F50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14:paraId="4A9C2BA9">
        <w:tblPrEx>
          <w:tblCellMar>
            <w:top w:w="0" w:type="dxa"/>
            <w:left w:w="0" w:type="dxa"/>
            <w:bottom w:w="0" w:type="dxa"/>
            <w:right w:w="0" w:type="dxa"/>
          </w:tblCellMar>
        </w:tblPrEx>
        <w:trPr>
          <w:trHeight w:val="111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19F78DD">
            <w:pPr>
              <w:jc w:val="center"/>
              <w:rPr>
                <w:rFonts w:ascii="仿宋_GB2312" w:hAnsi="等线" w:eastAsia="仿宋_GB2312" w:cs="仿宋_GB2312"/>
                <w:color w:val="auto"/>
                <w:sz w:val="16"/>
                <w:szCs w:val="16"/>
                <w:highlight w:val="none"/>
              </w:rPr>
            </w:pP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9B441CA">
            <w:pPr>
              <w:jc w:val="center"/>
              <w:rPr>
                <w:rFonts w:ascii="仿宋_GB2312" w:hAnsi="等线" w:eastAsia="仿宋_GB2312" w:cs="仿宋_GB2312"/>
                <w:color w:val="auto"/>
                <w:sz w:val="16"/>
                <w:szCs w:val="16"/>
                <w:highlight w:val="none"/>
              </w:rPr>
            </w:pPr>
          </w:p>
        </w:tc>
        <w:tc>
          <w:tcPr>
            <w:tcW w:w="38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9AB2A57">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B5AD4A6">
            <w:pPr>
              <w:jc w:val="center"/>
              <w:rPr>
                <w:rFonts w:ascii="仿宋_GB2312" w:hAnsi="等线" w:eastAsia="仿宋_GB2312" w:cs="仿宋_GB2312"/>
                <w:color w:val="auto"/>
                <w:sz w:val="16"/>
                <w:szCs w:val="16"/>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3A58C4">
            <w:pPr>
              <w:jc w:val="center"/>
              <w:rPr>
                <w:rFonts w:ascii="仿宋_GB2312" w:hAnsi="等线" w:eastAsia="仿宋_GB2312" w:cs="仿宋_GB2312"/>
                <w:color w:val="auto"/>
                <w:sz w:val="16"/>
                <w:szCs w:val="16"/>
                <w:highlight w:val="none"/>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38822CC">
            <w:pPr>
              <w:jc w:val="center"/>
              <w:rPr>
                <w:rFonts w:ascii="仿宋_GB2312" w:hAnsi="等线" w:eastAsia="仿宋_GB2312" w:cs="仿宋_GB2312"/>
                <w:color w:val="auto"/>
                <w:sz w:val="16"/>
                <w:szCs w:val="16"/>
                <w:highlight w:val="none"/>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F6C760">
            <w:pPr>
              <w:jc w:val="cente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A0527D">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286CB7">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318310">
            <w:pPr>
              <w:jc w:val="center"/>
              <w:rPr>
                <w:rFonts w:ascii="仿宋_GB2312" w:hAnsi="等线" w:eastAsia="仿宋_GB2312" w:cs="仿宋_GB2312"/>
                <w:color w:val="auto"/>
                <w:sz w:val="16"/>
                <w:szCs w:val="16"/>
                <w:highlight w:val="none"/>
              </w:rPr>
            </w:pPr>
          </w:p>
        </w:tc>
      </w:tr>
      <w:tr w14:paraId="41D4248A">
        <w:tblPrEx>
          <w:tblCellMar>
            <w:top w:w="0" w:type="dxa"/>
            <w:left w:w="0" w:type="dxa"/>
            <w:bottom w:w="0" w:type="dxa"/>
            <w:right w:w="0" w:type="dxa"/>
          </w:tblCellMar>
        </w:tblPrEx>
        <w:trPr>
          <w:trHeight w:val="588"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6269BED">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14:paraId="5C1B6F29">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B476C3">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7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9BC26AD">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4633F7">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2D0058">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8D17B9">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AC8AB9">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A9390E">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B35BB49">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D5D2D5">
            <w:pPr>
              <w:rPr>
                <w:rFonts w:ascii="仿宋_GB2312" w:hAnsi="等线" w:eastAsia="仿宋_GB2312" w:cs="仿宋_GB2312"/>
                <w:color w:val="auto"/>
                <w:sz w:val="16"/>
                <w:szCs w:val="16"/>
                <w:highlight w:val="none"/>
              </w:rPr>
            </w:pPr>
          </w:p>
        </w:tc>
      </w:tr>
      <w:tr w14:paraId="5A798B77">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A9C8D95">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7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452CE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E1A3E0">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909991">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5ADD64">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1C9F06">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20AE92">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4A053E">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4956FA">
            <w:pPr>
              <w:rPr>
                <w:rFonts w:ascii="仿宋_GB2312" w:hAnsi="等线" w:eastAsia="仿宋_GB2312" w:cs="仿宋_GB2312"/>
                <w:color w:val="auto"/>
                <w:sz w:val="16"/>
                <w:szCs w:val="16"/>
                <w:highlight w:val="none"/>
              </w:rPr>
            </w:pPr>
          </w:p>
        </w:tc>
      </w:tr>
      <w:tr w14:paraId="7AEDE51D">
        <w:tblPrEx>
          <w:tblCellMar>
            <w:top w:w="0" w:type="dxa"/>
            <w:left w:w="0" w:type="dxa"/>
            <w:bottom w:w="0" w:type="dxa"/>
            <w:right w:w="0" w:type="dxa"/>
          </w:tblCellMar>
        </w:tblPrEx>
        <w:trPr>
          <w:trHeight w:val="588"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A91916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14:paraId="16E3B2ED">
        <w:tblPrEx>
          <w:tblCellMar>
            <w:top w:w="0" w:type="dxa"/>
            <w:left w:w="0" w:type="dxa"/>
            <w:bottom w:w="0" w:type="dxa"/>
            <w:right w:w="0" w:type="dxa"/>
          </w:tblCellMar>
        </w:tblPrEx>
        <w:trPr>
          <w:trHeight w:val="2175"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79D3CD">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45223B">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384"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D04CD4">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559DD9">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4254C2">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F920CB">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2F767C">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B8B030">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1259BC0">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976B428">
            <w:pPr>
              <w:rPr>
                <w:rFonts w:ascii="仿宋_GB2312" w:hAnsi="等线" w:eastAsia="仿宋_GB2312" w:cs="仿宋_GB2312"/>
                <w:color w:val="auto"/>
                <w:sz w:val="16"/>
                <w:szCs w:val="16"/>
                <w:highlight w:val="none"/>
              </w:rPr>
            </w:pPr>
          </w:p>
        </w:tc>
      </w:tr>
      <w:tr w14:paraId="164D5EB2">
        <w:tblPrEx>
          <w:tblCellMar>
            <w:top w:w="0" w:type="dxa"/>
            <w:left w:w="0" w:type="dxa"/>
            <w:bottom w:w="0" w:type="dxa"/>
            <w:right w:w="0" w:type="dxa"/>
          </w:tblCellMar>
        </w:tblPrEx>
        <w:trPr>
          <w:trHeight w:val="2175"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18CAF1D">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DA0E18">
            <w:pPr>
              <w:jc w:val="center"/>
              <w:rPr>
                <w:rFonts w:ascii="仿宋_GB2312" w:hAnsi="等线" w:eastAsia="仿宋_GB2312" w:cs="仿宋_GB2312"/>
                <w:color w:val="auto"/>
                <w:sz w:val="16"/>
                <w:szCs w:val="16"/>
                <w:highlight w:val="none"/>
              </w:rPr>
            </w:pPr>
          </w:p>
        </w:tc>
        <w:tc>
          <w:tcPr>
            <w:tcW w:w="38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7EB0D5">
            <w:pPr>
              <w:jc w:val="center"/>
              <w:rPr>
                <w:rFonts w:ascii="仿宋_GB2312" w:hAnsi="等线" w:eastAsia="仿宋_GB2312" w:cs="仿宋_GB2312"/>
                <w:color w:val="auto"/>
                <w:sz w:val="16"/>
                <w:szCs w:val="16"/>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9F8B12">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E5760A0">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F8B8BF">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94CC3D">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1CE120">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479FDC">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F21762">
            <w:pPr>
              <w:rPr>
                <w:rFonts w:ascii="仿宋_GB2312" w:hAnsi="等线" w:eastAsia="仿宋_GB2312" w:cs="仿宋_GB2312"/>
                <w:color w:val="auto"/>
                <w:sz w:val="16"/>
                <w:szCs w:val="16"/>
                <w:highlight w:val="none"/>
              </w:rPr>
            </w:pPr>
          </w:p>
        </w:tc>
      </w:tr>
      <w:tr w14:paraId="2723D867">
        <w:tblPrEx>
          <w:tblCellMar>
            <w:top w:w="0" w:type="dxa"/>
            <w:left w:w="0" w:type="dxa"/>
            <w:bottom w:w="0" w:type="dxa"/>
            <w:right w:w="0" w:type="dxa"/>
          </w:tblCellMar>
        </w:tblPrEx>
        <w:trPr>
          <w:trHeight w:val="376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4A4721B">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A2A167">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2076E8">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9203ED">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14:paraId="2721CFBD">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14:paraId="34142A98">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14:paraId="6DD1AEE5">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14:paraId="2BCD5579">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14:paraId="03D7D126">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9566BE">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E5F2895">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014EBE">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52650A">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411AF3">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31F260">
            <w:pPr>
              <w:rPr>
                <w:rFonts w:ascii="仿宋_GB2312" w:hAnsi="等线" w:eastAsia="仿宋_GB2312" w:cs="仿宋_GB2312"/>
                <w:color w:val="auto"/>
                <w:sz w:val="16"/>
                <w:szCs w:val="16"/>
                <w:highlight w:val="none"/>
              </w:rPr>
            </w:pPr>
          </w:p>
        </w:tc>
      </w:tr>
      <w:tr w14:paraId="3166C786">
        <w:tblPrEx>
          <w:tblCellMar>
            <w:top w:w="0" w:type="dxa"/>
            <w:left w:w="0" w:type="dxa"/>
            <w:bottom w:w="0" w:type="dxa"/>
            <w:right w:w="0" w:type="dxa"/>
          </w:tblCellMar>
        </w:tblPrEx>
        <w:trPr>
          <w:trHeight w:val="2704"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409E69A">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FA3598A">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F49DFE">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9F8788">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14:paraId="1D2804AF">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14:paraId="5D13CE9A">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DBD295">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14:paraId="1111C9B6">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6A744C">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7B3F8D">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3A7910">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8D569F">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2E3AC9">
            <w:pPr>
              <w:rPr>
                <w:rFonts w:ascii="仿宋_GB2312" w:hAnsi="等线" w:eastAsia="仿宋_GB2312" w:cs="仿宋_GB2312"/>
                <w:color w:val="auto"/>
                <w:sz w:val="16"/>
                <w:szCs w:val="16"/>
                <w:highlight w:val="none"/>
              </w:rPr>
            </w:pPr>
          </w:p>
        </w:tc>
      </w:tr>
      <w:tr w14:paraId="6EA2EB59">
        <w:tblPrEx>
          <w:tblCellMar>
            <w:top w:w="0" w:type="dxa"/>
            <w:left w:w="0" w:type="dxa"/>
            <w:bottom w:w="0" w:type="dxa"/>
            <w:right w:w="0" w:type="dxa"/>
          </w:tblCellMar>
        </w:tblPrEx>
        <w:trPr>
          <w:trHeight w:val="376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4BA8326">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8F3B59">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F957B3">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7F7F47">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14:paraId="350485AE">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14:paraId="04B4E784">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14:paraId="5DC6B9E7">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14:paraId="6109859A">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14:paraId="1DBE0C57">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B1852EB">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14:paraId="2A75AD14">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945D5D">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870FCA">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2AA83F">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5A1CCE">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707118">
            <w:pPr>
              <w:rPr>
                <w:rFonts w:ascii="仿宋_GB2312" w:hAnsi="等线" w:eastAsia="仿宋_GB2312" w:cs="仿宋_GB2312"/>
                <w:color w:val="auto"/>
                <w:sz w:val="16"/>
                <w:szCs w:val="16"/>
                <w:highlight w:val="none"/>
              </w:rPr>
            </w:pPr>
          </w:p>
        </w:tc>
      </w:tr>
      <w:tr w14:paraId="78B9E8C3">
        <w:tblPrEx>
          <w:tblCellMar>
            <w:top w:w="0" w:type="dxa"/>
            <w:left w:w="0" w:type="dxa"/>
            <w:bottom w:w="0" w:type="dxa"/>
            <w:right w:w="0" w:type="dxa"/>
          </w:tblCellMar>
        </w:tblPrEx>
        <w:trPr>
          <w:trHeight w:val="5348"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639262B">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0AC664">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56FD14">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5B5083">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14:paraId="1A849F1D">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14:paraId="1ABB6407">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14:paraId="288D1302">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14:paraId="389B66EE">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14:paraId="2429AB7D">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14:paraId="123B03CA">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14:paraId="6D89A2F2">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C062E3">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14:paraId="7F280135">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0F06F5">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EAEA4A">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53EF03">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0808F7">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F56008">
            <w:pPr>
              <w:rPr>
                <w:rFonts w:ascii="仿宋_GB2312" w:hAnsi="等线" w:eastAsia="仿宋_GB2312" w:cs="仿宋_GB2312"/>
                <w:color w:val="auto"/>
                <w:sz w:val="16"/>
                <w:szCs w:val="16"/>
                <w:highlight w:val="none"/>
              </w:rPr>
            </w:pPr>
          </w:p>
        </w:tc>
      </w:tr>
      <w:tr w14:paraId="0BBE3B77">
        <w:tblPrEx>
          <w:tblCellMar>
            <w:top w:w="0" w:type="dxa"/>
            <w:left w:w="0" w:type="dxa"/>
            <w:bottom w:w="0" w:type="dxa"/>
            <w:right w:w="0" w:type="dxa"/>
          </w:tblCellMar>
        </w:tblPrEx>
        <w:trPr>
          <w:trHeight w:val="376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2F29F3A">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420209">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2340F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0AE5F5">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14:paraId="71D0F191">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14:paraId="350F5617">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14:paraId="46E9A755">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14:paraId="6F1CCF52">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14:paraId="0C6317F3">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41A527">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14:paraId="6F387472">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F6B9BC">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C2D4F0">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36C6FA4">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39D19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8DFC16">
            <w:pPr>
              <w:rPr>
                <w:rFonts w:ascii="仿宋_GB2312" w:hAnsi="等线" w:eastAsia="仿宋_GB2312" w:cs="仿宋_GB2312"/>
                <w:color w:val="auto"/>
                <w:sz w:val="16"/>
                <w:szCs w:val="16"/>
                <w:highlight w:val="none"/>
              </w:rPr>
            </w:pPr>
          </w:p>
        </w:tc>
      </w:tr>
      <w:tr w14:paraId="3DF0B1E1">
        <w:tblPrEx>
          <w:tblCellMar>
            <w:top w:w="0" w:type="dxa"/>
            <w:left w:w="0" w:type="dxa"/>
            <w:bottom w:w="0" w:type="dxa"/>
            <w:right w:w="0" w:type="dxa"/>
          </w:tblCellMar>
        </w:tblPrEx>
        <w:trPr>
          <w:trHeight w:val="587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A95BDD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2DC592">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4981CC">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4A96CC">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14:paraId="51D4423A">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14:paraId="287993F8">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14:paraId="653E529C">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14:paraId="2BCBB5C7">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14:paraId="2B64A05F">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14:paraId="5D2CB104">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6F1C54">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14:paraId="6B108DE1">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14:paraId="0E29BF30">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77CACF">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D6DE8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EA5A8B">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F08CD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9E0DF99">
            <w:pPr>
              <w:rPr>
                <w:rFonts w:ascii="仿宋_GB2312" w:hAnsi="等线" w:eastAsia="仿宋_GB2312" w:cs="仿宋_GB2312"/>
                <w:color w:val="auto"/>
                <w:sz w:val="16"/>
                <w:szCs w:val="16"/>
                <w:highlight w:val="none"/>
              </w:rPr>
            </w:pPr>
          </w:p>
        </w:tc>
      </w:tr>
      <w:tr w14:paraId="6275F1A6">
        <w:tblPrEx>
          <w:tblCellMar>
            <w:top w:w="0" w:type="dxa"/>
            <w:left w:w="0" w:type="dxa"/>
            <w:bottom w:w="0" w:type="dxa"/>
            <w:right w:w="0" w:type="dxa"/>
          </w:tblCellMar>
        </w:tblPrEx>
        <w:trPr>
          <w:trHeight w:val="376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8BA3908">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E27382">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07E479">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3704D2">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14:paraId="4D575A3A">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14:paraId="415B222F">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14:paraId="3466120B">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AEAC98">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138235">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523B34">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89A3D5">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F046B6">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A11ED9A">
            <w:pPr>
              <w:rPr>
                <w:rFonts w:ascii="仿宋_GB2312" w:hAnsi="等线" w:eastAsia="仿宋_GB2312" w:cs="仿宋_GB2312"/>
                <w:color w:val="auto"/>
                <w:sz w:val="16"/>
                <w:szCs w:val="16"/>
                <w:highlight w:val="none"/>
              </w:rPr>
            </w:pPr>
          </w:p>
        </w:tc>
      </w:tr>
      <w:tr w14:paraId="3DA5BC9E">
        <w:tblPrEx>
          <w:tblCellMar>
            <w:top w:w="0" w:type="dxa"/>
            <w:left w:w="0" w:type="dxa"/>
            <w:bottom w:w="0" w:type="dxa"/>
            <w:right w:w="0" w:type="dxa"/>
          </w:tblCellMar>
        </w:tblPrEx>
        <w:trPr>
          <w:trHeight w:val="164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F0DA80B">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BD3F93">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074907">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E7ECD9">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14:paraId="5FD78192">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14:paraId="792DE750">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EB2990D">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163EDE">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1097C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499096">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9987F9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8544A7">
            <w:pPr>
              <w:rPr>
                <w:rFonts w:ascii="仿宋_GB2312" w:hAnsi="等线" w:eastAsia="仿宋_GB2312" w:cs="仿宋_GB2312"/>
                <w:color w:val="auto"/>
                <w:sz w:val="16"/>
                <w:szCs w:val="16"/>
                <w:highlight w:val="none"/>
              </w:rPr>
            </w:pPr>
          </w:p>
        </w:tc>
      </w:tr>
      <w:tr w14:paraId="14AC916A">
        <w:tblPrEx>
          <w:tblCellMar>
            <w:top w:w="0" w:type="dxa"/>
            <w:left w:w="0" w:type="dxa"/>
            <w:bottom w:w="0" w:type="dxa"/>
            <w:right w:w="0" w:type="dxa"/>
          </w:tblCellMar>
        </w:tblPrEx>
        <w:trPr>
          <w:trHeight w:val="2175"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1C8061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B6F63D">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704951">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7428E5E">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14:paraId="59B8688B">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445E51">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CD5E76">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A9C5F4">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F876B9">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C2DE2C">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BFC624">
            <w:pPr>
              <w:rPr>
                <w:rFonts w:ascii="仿宋_GB2312" w:hAnsi="等线" w:eastAsia="仿宋_GB2312" w:cs="仿宋_GB2312"/>
                <w:color w:val="auto"/>
                <w:sz w:val="16"/>
                <w:szCs w:val="16"/>
                <w:highlight w:val="none"/>
              </w:rPr>
            </w:pPr>
          </w:p>
        </w:tc>
      </w:tr>
      <w:tr w14:paraId="671E5F10">
        <w:tblPrEx>
          <w:tblCellMar>
            <w:top w:w="0" w:type="dxa"/>
            <w:left w:w="0" w:type="dxa"/>
            <w:bottom w:w="0" w:type="dxa"/>
            <w:right w:w="0" w:type="dxa"/>
          </w:tblCellMar>
        </w:tblPrEx>
        <w:trPr>
          <w:trHeight w:val="2175"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58ABDAD">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FD2A1D4">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7F3254">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595982">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14:paraId="069268A6">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14:paraId="14BB8AAD">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7CF8D2">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4D39DB">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0173C4">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DDE80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F06E7F">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7C1CD4">
            <w:pPr>
              <w:rPr>
                <w:rFonts w:ascii="仿宋_GB2312" w:hAnsi="等线" w:eastAsia="仿宋_GB2312" w:cs="仿宋_GB2312"/>
                <w:color w:val="auto"/>
                <w:sz w:val="16"/>
                <w:szCs w:val="16"/>
                <w:highlight w:val="none"/>
              </w:rPr>
            </w:pPr>
          </w:p>
        </w:tc>
      </w:tr>
      <w:tr w14:paraId="460D03E8">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88227C">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908BEE">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04FE20">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BB3450A">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BAFEA9">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A88B8B">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9F8453">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8847B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F6B05B">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33DE74">
            <w:pPr>
              <w:rPr>
                <w:rFonts w:ascii="仿宋_GB2312" w:hAnsi="等线" w:eastAsia="仿宋_GB2312" w:cs="仿宋_GB2312"/>
                <w:color w:val="auto"/>
                <w:sz w:val="16"/>
                <w:szCs w:val="16"/>
                <w:highlight w:val="none"/>
              </w:rPr>
            </w:pPr>
          </w:p>
        </w:tc>
      </w:tr>
      <w:tr w14:paraId="4D78E9A2">
        <w:tblPrEx>
          <w:tblCellMar>
            <w:top w:w="0" w:type="dxa"/>
            <w:left w:w="0" w:type="dxa"/>
            <w:bottom w:w="0" w:type="dxa"/>
            <w:right w:w="0" w:type="dxa"/>
          </w:tblCellMar>
        </w:tblPrEx>
        <w:trPr>
          <w:trHeight w:val="168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C571CBF">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027878">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7F4CED">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1DEB40">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14:paraId="676B6BC4">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14:paraId="3494AF82">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AC5B7E">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BB71D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188BF4">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D451B7">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0FE570">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DFA457">
            <w:pPr>
              <w:rPr>
                <w:rFonts w:ascii="仿宋_GB2312" w:hAnsi="等线" w:eastAsia="仿宋_GB2312" w:cs="仿宋_GB2312"/>
                <w:color w:val="auto"/>
                <w:sz w:val="16"/>
                <w:szCs w:val="16"/>
                <w:highlight w:val="none"/>
              </w:rPr>
            </w:pPr>
          </w:p>
        </w:tc>
      </w:tr>
      <w:tr w14:paraId="26541B2A">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9C49B2E">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72A3D2">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549DFC">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9EE388">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6F8C410">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B8762D">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EADA8E">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5829F5">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D2D81B">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2EF0C5">
            <w:pPr>
              <w:rPr>
                <w:rFonts w:ascii="仿宋_GB2312" w:hAnsi="等线" w:eastAsia="仿宋_GB2312" w:cs="仿宋_GB2312"/>
                <w:color w:val="auto"/>
                <w:sz w:val="16"/>
                <w:szCs w:val="16"/>
                <w:highlight w:val="none"/>
              </w:rPr>
            </w:pPr>
          </w:p>
        </w:tc>
      </w:tr>
      <w:tr w14:paraId="46349DC5">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F162322">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864A24">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689DB2">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BE6E92">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381D361">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D4928A">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FAE08A">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4CD367">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941521">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0647D8">
            <w:pPr>
              <w:rPr>
                <w:rFonts w:ascii="仿宋_GB2312" w:hAnsi="等线" w:eastAsia="仿宋_GB2312" w:cs="仿宋_GB2312"/>
                <w:color w:val="auto"/>
                <w:sz w:val="16"/>
                <w:szCs w:val="16"/>
                <w:highlight w:val="none"/>
              </w:rPr>
            </w:pPr>
          </w:p>
        </w:tc>
      </w:tr>
      <w:tr w14:paraId="6B9FE2F4">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E9A1445">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B31916">
            <w:pPr>
              <w:jc w:val="center"/>
              <w:rPr>
                <w:rFonts w:ascii="仿宋_GB2312" w:hAnsi="等线" w:eastAsia="仿宋_GB2312" w:cs="仿宋_GB2312"/>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818574">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33DA7A">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E548B0">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1FA2700">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B296EA">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B7AA24">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3138C82">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E38D6B">
            <w:pPr>
              <w:rPr>
                <w:rFonts w:ascii="仿宋_GB2312" w:hAnsi="等线" w:eastAsia="仿宋_GB2312" w:cs="仿宋_GB2312"/>
                <w:color w:val="auto"/>
                <w:sz w:val="16"/>
                <w:szCs w:val="16"/>
                <w:highlight w:val="none"/>
              </w:rPr>
            </w:pPr>
          </w:p>
        </w:tc>
      </w:tr>
      <w:tr w14:paraId="78C68B79">
        <w:tblPrEx>
          <w:tblCellMar>
            <w:top w:w="0" w:type="dxa"/>
            <w:left w:w="0" w:type="dxa"/>
            <w:bottom w:w="0" w:type="dxa"/>
            <w:right w:w="0"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A7F7A8D">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3A2970">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2592A17">
            <w:pPr>
              <w:jc w:val="center"/>
              <w:rPr>
                <w:rFonts w:ascii="仿宋_GB2312" w:hAnsi="等线" w:eastAsia="仿宋_GB2312" w:cs="仿宋_GB2312"/>
                <w:color w:val="auto"/>
                <w:sz w:val="16"/>
                <w:szCs w:val="16"/>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A98160">
            <w:pPr>
              <w:rPr>
                <w:rFonts w:ascii="仿宋_GB2312" w:hAnsi="等线" w:eastAsia="仿宋_GB2312" w:cs="仿宋_GB2312"/>
                <w:color w:val="auto"/>
                <w:sz w:val="16"/>
                <w:szCs w:val="16"/>
                <w:highlight w:val="none"/>
              </w:rPr>
            </w:pP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A03D3D">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7ABE0E">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A02944">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EFD246">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5BC00B">
            <w:pPr>
              <w:rPr>
                <w:rFonts w:ascii="仿宋_GB2312" w:hAnsi="等线" w:eastAsia="仿宋_GB2312" w:cs="仿宋_GB2312"/>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D9200F">
            <w:pPr>
              <w:rPr>
                <w:rFonts w:ascii="仿宋_GB2312" w:hAnsi="等线" w:eastAsia="仿宋_GB2312" w:cs="仿宋_GB2312"/>
                <w:color w:val="auto"/>
                <w:sz w:val="16"/>
                <w:szCs w:val="16"/>
                <w:highlight w:val="none"/>
              </w:rPr>
            </w:pPr>
          </w:p>
        </w:tc>
      </w:tr>
      <w:tr w14:paraId="251BEC32">
        <w:tblPrEx>
          <w:tblCellMar>
            <w:top w:w="0" w:type="dxa"/>
            <w:left w:w="0" w:type="dxa"/>
            <w:bottom w:w="0" w:type="dxa"/>
            <w:right w:w="0" w:type="dxa"/>
          </w:tblCellMar>
        </w:tblPrEx>
        <w:trPr>
          <w:trHeight w:val="5054" w:hRule="atLeast"/>
          <w:jc w:val="center"/>
        </w:trPr>
        <w:tc>
          <w:tcPr>
            <w:tcW w:w="8234" w:type="dxa"/>
            <w:gridSpan w:val="10"/>
            <w:tcBorders>
              <w:top w:val="nil"/>
              <w:left w:val="nil"/>
              <w:bottom w:val="nil"/>
              <w:right w:val="nil"/>
            </w:tcBorders>
            <w:tcMar>
              <w:top w:w="12" w:type="dxa"/>
              <w:left w:w="12" w:type="dxa"/>
              <w:right w:w="12" w:type="dxa"/>
            </w:tcMar>
            <w:vAlign w:val="center"/>
          </w:tcPr>
          <w:p w14:paraId="4AFEFBB8">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14:paraId="74A299E5">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14:paraId="61022558">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14:paraId="2A0B441D">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14:paraId="48549BBC">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14:paraId="4EB73023">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14:paraId="2B81ABD5">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14:paraId="75EAB2B0">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14:paraId="590C2EB6">
            <w:pPr>
              <w:widowControl w:val="0"/>
              <w:adjustRightInd/>
              <w:snapToGrid/>
              <w:spacing w:line="360" w:lineRule="auto"/>
              <w:ind w:firstLine="640" w:firstLineChars="200"/>
              <w:jc w:val="both"/>
              <w:textAlignment w:val="auto"/>
              <w:rPr>
                <w:rFonts w:hint="eastAsia" w:ascii="仿宋_GB2312" w:hAnsi="Times New Roman" w:eastAsia="仿宋_GB2312" w:cs="Times New Roman"/>
                <w:color w:val="auto"/>
                <w:kern w:val="2"/>
                <w:sz w:val="32"/>
                <w:szCs w:val="20"/>
                <w:highlight w:val="none"/>
                <w:lang w:val="en-US" w:eastAsia="zh-CN" w:bidi="ar-SA"/>
              </w:rPr>
            </w:pPr>
          </w:p>
        </w:tc>
      </w:tr>
    </w:tbl>
    <w:p w14:paraId="1152133B">
      <w:pPr>
        <w:spacing w:line="240" w:lineRule="auto"/>
        <w:rPr>
          <w:rFonts w:hint="eastAsia" w:ascii="宋体" w:hAnsi="宋体" w:cs="宋体"/>
          <w:b/>
          <w:bCs/>
          <w:color w:val="auto"/>
          <w:szCs w:val="21"/>
          <w:highlight w:val="none"/>
        </w:rPr>
      </w:pPr>
    </w:p>
    <w:p w14:paraId="06D6462D">
      <w:pPr>
        <w:spacing w:line="240" w:lineRule="auto"/>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14:paraId="20592851">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rPr>
        <w:t>：履约保函（模板）</w:t>
      </w:r>
    </w:p>
    <w:p w14:paraId="3D4879DD">
      <w:pPr>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履约保函模板</w:t>
      </w:r>
    </w:p>
    <w:p w14:paraId="312DB1E2">
      <w:pPr>
        <w:rPr>
          <w:rFonts w:ascii="宋体" w:hAnsi="宋体" w:eastAsia="宋体"/>
          <w:color w:val="auto"/>
          <w:sz w:val="24"/>
          <w:szCs w:val="24"/>
          <w:highlight w:val="none"/>
        </w:rPr>
      </w:pPr>
    </w:p>
    <w:p w14:paraId="54B025A4">
      <w:pPr>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（受益人）</w:t>
      </w:r>
      <w:r>
        <w:rPr>
          <w:rFonts w:ascii="宋体" w:hAnsi="宋体" w:eastAsia="宋体"/>
          <w:color w:val="auto"/>
          <w:sz w:val="24"/>
          <w:szCs w:val="24"/>
          <w:highlight w:val="none"/>
        </w:rPr>
        <w:br w:type="textWrapping"/>
      </w:r>
    </w:p>
    <w:p w14:paraId="36D9BB83">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鉴于（以下简称“委托人”）与贵方于</w:t>
      </w:r>
      <w:r>
        <w:rPr>
          <w:rFonts w:hint="eastAsia" w:ascii="宋体" w:hAnsi="宋体" w:eastAsia="宋体"/>
          <w:color w:val="auto"/>
          <w:sz w:val="24"/>
          <w:szCs w:val="24"/>
          <w:highlight w:val="none"/>
          <w:u w:val="single"/>
        </w:rPr>
        <w:t xml:space="preserve">   年  月  日</w:t>
      </w:r>
      <w:r>
        <w:rPr>
          <w:rFonts w:hint="eastAsia" w:ascii="宋体" w:hAnsi="宋体" w:eastAsia="宋体"/>
          <w:color w:val="auto"/>
          <w:sz w:val="24"/>
          <w:szCs w:val="24"/>
          <w:highlight w:val="none"/>
        </w:rPr>
        <w:t>签订了</w:t>
      </w:r>
      <w:r>
        <w:rPr>
          <w:rFonts w:hint="eastAsia" w:ascii="宋体" w:hAnsi="宋体" w:eastAsia="宋体"/>
          <w:color w:val="auto"/>
          <w:sz w:val="24"/>
          <w:szCs w:val="24"/>
          <w:highlight w:val="none"/>
          <w:u w:val="single"/>
          <w:lang w:val="en-US" w:eastAsia="zh-CN"/>
        </w:rPr>
        <w:t xml:space="preserve">  合同名称+合同编号   </w:t>
      </w:r>
      <w:r>
        <w:rPr>
          <w:rFonts w:hint="eastAsia" w:ascii="宋体" w:hAnsi="宋体" w:eastAsia="宋体"/>
          <w:color w:val="auto"/>
          <w:sz w:val="24"/>
          <w:szCs w:val="24"/>
          <w:highlight w:val="none"/>
          <w:u w:val="none"/>
          <w:lang w:val="en-US" w:eastAsia="zh-CN"/>
        </w:rPr>
        <w:t>合同</w:t>
      </w:r>
      <w:r>
        <w:rPr>
          <w:rFonts w:hint="eastAsia" w:ascii="宋体" w:hAnsi="宋体" w:eastAsia="宋体"/>
          <w:color w:val="auto"/>
          <w:sz w:val="24"/>
          <w:szCs w:val="24"/>
          <w:highlight w:val="none"/>
        </w:rPr>
        <w:t>（以下简称“合同”），我行同意为委托人出具履约保函，作为委托人履行合同义务的担保，以使你方得到履约保函的保障。本保函为不可撤销，见索即付的独立保函。</w:t>
      </w:r>
    </w:p>
    <w:p w14:paraId="5033EF3D">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14:paraId="49F29140">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二、贵单位的索赔申请应符合下述条件：</w:t>
      </w:r>
    </w:p>
    <w:p w14:paraId="1EB60D61">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（一）贵单位法定代表人或其授权代表签字并加盖单位公章；</w:t>
      </w:r>
    </w:p>
    <w:p w14:paraId="6E6C8DF4">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（二）在保函有效期内送达我行；</w:t>
      </w:r>
    </w:p>
    <w:p w14:paraId="0121C480">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（三）明确的索赔金额（不得超过本保函第一条所列之限额）。</w:t>
      </w:r>
    </w:p>
    <w:p w14:paraId="2E498320">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三、本保函自签发之日起生效，有效期至</w:t>
      </w:r>
      <w:r>
        <w:rPr>
          <w:rFonts w:hint="eastAsia" w:ascii="宋体" w:hAnsi="宋体" w:eastAsia="宋体"/>
          <w:color w:val="auto"/>
          <w:sz w:val="24"/>
          <w:szCs w:val="24"/>
          <w:highlight w:val="none"/>
          <w:u w:val="single"/>
        </w:rPr>
        <w:t xml:space="preserve">  年  月  日</w:t>
      </w:r>
      <w:r>
        <w:rPr>
          <w:rFonts w:hint="eastAsia" w:ascii="宋体" w:hAnsi="宋体" w:eastAsia="宋体"/>
          <w:color w:val="auto"/>
          <w:sz w:val="24"/>
          <w:szCs w:val="24"/>
          <w:highlight w:val="none"/>
        </w:rPr>
        <w:t>。本保函于下述任一事项发生之时立即失效，我行在本保函项下的保证义务即刻解除：</w:t>
      </w:r>
    </w:p>
    <w:p w14:paraId="268FC895">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（一）本保函有效期限届满；</w:t>
      </w:r>
    </w:p>
    <w:p w14:paraId="6A5DB9AC">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（二）我行保证的义务履行完毕。</w:t>
      </w:r>
    </w:p>
    <w:p w14:paraId="70ACCDB6">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14:paraId="54DDA749">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五、我行向你方支付索赔金额后，本保函担保金额即按贵方通知的索赔金额予以递减。</w:t>
      </w:r>
    </w:p>
    <w:p w14:paraId="2C42EF22">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六、保函失效后请将保函退回我行注销，无论正本最终退回与否，不影响本保函依上述约定自动失效。</w:t>
      </w:r>
    </w:p>
    <w:p w14:paraId="21D7F087">
      <w:pPr>
        <w:ind w:firstLine="420"/>
        <w:rPr>
          <w:rFonts w:ascii="宋体" w:hAnsi="宋体" w:eastAsia="宋体"/>
          <w:color w:val="auto"/>
          <w:sz w:val="24"/>
          <w:szCs w:val="24"/>
          <w:highlight w:val="none"/>
        </w:rPr>
      </w:pPr>
    </w:p>
    <w:p w14:paraId="38705E43">
      <w:pPr>
        <w:ind w:firstLine="420"/>
        <w:rPr>
          <w:rFonts w:ascii="宋体" w:hAnsi="宋体" w:eastAsia="宋体"/>
          <w:color w:val="auto"/>
          <w:sz w:val="24"/>
          <w:szCs w:val="24"/>
          <w:highlight w:val="none"/>
        </w:rPr>
      </w:pPr>
    </w:p>
    <w:p w14:paraId="644D15B3">
      <w:pPr>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落款</w:t>
      </w:r>
    </w:p>
    <w:p w14:paraId="4F580C2A">
      <w:pPr>
        <w:ind w:firstLine="420"/>
        <w:rPr>
          <w:rFonts w:ascii="宋体" w:hAnsi="宋体" w:eastAsia="宋体"/>
          <w:color w:val="auto"/>
          <w:sz w:val="24"/>
          <w:szCs w:val="24"/>
          <w:highlight w:val="none"/>
        </w:rPr>
      </w:pPr>
    </w:p>
    <w:p w14:paraId="6AB52075">
      <w:pPr>
        <w:ind w:firstLine="645"/>
        <w:rPr>
          <w:rFonts w:ascii="宋体" w:hAnsi="宋体" w:eastAsia="宋体"/>
          <w:color w:val="auto"/>
          <w:sz w:val="24"/>
          <w:szCs w:val="24"/>
          <w:highlight w:val="none"/>
        </w:rPr>
      </w:pPr>
      <w:r>
        <w:rPr>
          <w:rFonts w:hint="eastAsia" w:ascii="宋体" w:hAnsi="宋体" w:eastAsia="宋体"/>
          <w:color w:val="auto"/>
          <w:sz w:val="24"/>
          <w:szCs w:val="24"/>
          <w:highlight w:val="none"/>
        </w:rPr>
        <w:t>保函说明：</w:t>
      </w:r>
    </w:p>
    <w:p w14:paraId="37D33B4A">
      <w:pPr>
        <w:ind w:firstLine="645"/>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保函不得有下列或类似含义的表述：</w:t>
      </w:r>
    </w:p>
    <w:p w14:paraId="17F51413">
      <w:pPr>
        <w:ind w:firstLine="645"/>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1.银行承担的为连带责任保证、一般保证。</w:t>
      </w:r>
    </w:p>
    <w:p w14:paraId="097FDE86">
      <w:pPr>
        <w:ind w:firstLine="645"/>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2.未经银行书面同意，受益人与申请人修改合同或其项下附件时，银行的保证义务解除。</w:t>
      </w:r>
    </w:p>
    <w:p w14:paraId="189864AC">
      <w:pPr>
        <w:ind w:firstLine="645"/>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3.合同撤销或无效的，保函失效。</w:t>
      </w:r>
    </w:p>
    <w:p w14:paraId="16C20E31">
      <w:pPr>
        <w:ind w:firstLine="645"/>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4.申请人对受益人的抗辩，银行有权向受益人主张。</w:t>
      </w:r>
    </w:p>
    <w:p w14:paraId="3D4B3134">
      <w:pPr>
        <w:ind w:firstLine="645"/>
        <w:rPr>
          <w:rFonts w:ascii="宋体" w:hAnsi="宋体" w:eastAsia="宋体"/>
          <w:color w:val="auto"/>
          <w:sz w:val="24"/>
          <w:szCs w:val="24"/>
          <w:highlight w:val="none"/>
        </w:rPr>
      </w:pPr>
      <w:r>
        <w:rPr>
          <w:rFonts w:hint="eastAsia" w:ascii="宋体" w:hAnsi="宋体" w:eastAsia="宋体" w:cs="仿宋_GB2312"/>
          <w:color w:val="auto"/>
          <w:sz w:val="24"/>
          <w:szCs w:val="24"/>
          <w:highlight w:val="none"/>
        </w:rPr>
        <w:t>5.受益人请求付款的请款单据包含法院裁判文书、仲裁裁决、第三方单位出具的鉴定书等申请人违约的证明材料。</w:t>
      </w:r>
    </w:p>
    <w:p w14:paraId="00B2EA46">
      <w:pPr>
        <w:rPr>
          <w:rFonts w:ascii="宋体" w:hAnsi="宋体" w:eastAsia="宋体" w:cs="仿宋_GB2312"/>
          <w:color w:val="auto"/>
          <w:sz w:val="24"/>
          <w:szCs w:val="24"/>
          <w:highlight w:val="none"/>
        </w:rPr>
      </w:pPr>
    </w:p>
    <w:p w14:paraId="7A22F3BF">
      <w:pPr>
        <w:rPr>
          <w:rFonts w:ascii="宋体" w:hAnsi="宋体" w:eastAsia="宋体" w:cs="仿宋_GB2312"/>
          <w:color w:val="auto"/>
          <w:sz w:val="24"/>
          <w:szCs w:val="24"/>
          <w:highlight w:val="none"/>
        </w:rPr>
      </w:pPr>
    </w:p>
    <w:p w14:paraId="22438FB1">
      <w:pPr>
        <w:spacing w:line="360" w:lineRule="auto"/>
        <w:jc w:val="left"/>
        <w:rPr>
          <w:rFonts w:hint="eastAsia" w:ascii="宋体" w:hAnsi="宋体" w:cs="宋体"/>
          <w:color w:val="auto"/>
          <w:szCs w:val="21"/>
          <w:highlight w:val="none"/>
          <w:lang w:eastAsia="zh-CN"/>
        </w:rPr>
      </w:pPr>
    </w:p>
    <w:p w14:paraId="1F5E3556">
      <w:pPr>
        <w:spacing w:line="240" w:lineRule="auto"/>
        <w:jc w:val="lef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br w:type="page"/>
      </w:r>
    </w:p>
    <w:p w14:paraId="78D00C08">
      <w:pPr>
        <w:spacing w:line="360" w:lineRule="auto"/>
        <w:jc w:val="left"/>
        <w:rPr>
          <w:rFonts w:ascii="宋体" w:hAnsi="宋体" w:cs="宋体"/>
          <w:b/>
          <w:bCs/>
          <w:color w:val="auto"/>
          <w:szCs w:val="21"/>
          <w:highlight w:val="none"/>
        </w:rPr>
      </w:pPr>
      <w:r>
        <w:rPr>
          <w:rFonts w:hint="eastAsia" w:ascii="宋体" w:hAnsi="宋体" w:cs="宋体"/>
          <w:color w:val="auto"/>
          <w:szCs w:val="21"/>
          <w:highlight w:val="none"/>
          <w:lang w:eastAsia="zh-CN"/>
        </w:rPr>
        <w:t>附件</w:t>
      </w:r>
      <w:r>
        <w:rPr>
          <w:rFonts w:hint="eastAsia" w:ascii="宋体" w:hAnsi="宋体" w:cs="宋体"/>
          <w:color w:val="auto"/>
          <w:szCs w:val="21"/>
          <w:highlight w:val="none"/>
          <w:lang w:val="en-US" w:eastAsia="zh-CN"/>
        </w:rPr>
        <w:t>9：预付款保函</w:t>
      </w:r>
      <w:r>
        <w:rPr>
          <w:rFonts w:hint="eastAsia" w:ascii="宋体" w:hAnsi="宋体" w:cs="宋体"/>
          <w:b/>
          <w:bCs/>
          <w:color w:val="auto"/>
          <w:szCs w:val="21"/>
          <w:highlight w:val="none"/>
        </w:rPr>
        <w:t>（模板）</w:t>
      </w:r>
    </w:p>
    <w:p w14:paraId="322665DB">
      <w:pPr>
        <w:jc w:val="left"/>
        <w:rPr>
          <w:rFonts w:hint="eastAsia" w:ascii="黑体" w:hAnsi="黑体" w:eastAsia="黑体"/>
          <w:color w:val="auto"/>
          <w:sz w:val="36"/>
          <w:szCs w:val="36"/>
          <w:highlight w:val="none"/>
        </w:rPr>
      </w:pPr>
    </w:p>
    <w:p w14:paraId="1F4A5802">
      <w:pPr>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预付款保函模板</w:t>
      </w:r>
    </w:p>
    <w:p w14:paraId="3B82C95C">
      <w:pPr>
        <w:rPr>
          <w:color w:val="auto"/>
          <w:szCs w:val="24"/>
          <w:highlight w:val="none"/>
        </w:rPr>
      </w:pPr>
    </w:p>
    <w:p w14:paraId="3997E349">
      <w:pPr>
        <w:rPr>
          <w:rFonts w:hint="eastAsia" w:ascii="仿宋" w:hAnsi="仿宋" w:eastAsia="仿宋"/>
          <w:color w:val="auto"/>
          <w:sz w:val="28"/>
          <w:szCs w:val="28"/>
          <w:highlight w:val="none"/>
        </w:rPr>
      </w:pPr>
      <w:r>
        <w:rPr>
          <w:rFonts w:hint="eastAsia" w:ascii="仿宋" w:hAnsi="仿宋" w:eastAsia="仿宋"/>
          <w:color w:val="auto"/>
          <w:sz w:val="28"/>
          <w:szCs w:val="28"/>
          <w:highlight w:val="none"/>
        </w:rPr>
        <w:t>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 xml:space="preserve"> （受益人）</w:t>
      </w:r>
    </w:p>
    <w:p w14:paraId="79A9F8B4">
      <w:pPr>
        <w:rPr>
          <w:rFonts w:ascii="仿宋" w:hAnsi="仿宋" w:eastAsia="仿宋"/>
          <w:color w:val="auto"/>
          <w:sz w:val="28"/>
          <w:szCs w:val="28"/>
          <w:highlight w:val="none"/>
        </w:rPr>
      </w:pPr>
    </w:p>
    <w:p w14:paraId="22E077BC">
      <w:pPr>
        <w:ind w:firstLine="280" w:firstLineChars="1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鉴于</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（以下简称“委托人”）与你方于</w:t>
      </w:r>
      <w:r>
        <w:rPr>
          <w:rFonts w:hint="eastAsia" w:ascii="仿宋" w:hAnsi="仿宋" w:eastAsia="仿宋"/>
          <w:color w:val="auto"/>
          <w:sz w:val="28"/>
          <w:szCs w:val="28"/>
          <w:highlight w:val="none"/>
          <w:u w:val="single"/>
        </w:rPr>
        <w:t xml:space="preserve">   年  月  日</w:t>
      </w:r>
      <w:r>
        <w:rPr>
          <w:rFonts w:hint="eastAsia" w:ascii="仿宋" w:hAnsi="仿宋" w:eastAsia="仿宋"/>
          <w:color w:val="auto"/>
          <w:sz w:val="28"/>
          <w:szCs w:val="28"/>
          <w:highlight w:val="none"/>
        </w:rPr>
        <w:t>签订了</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val="en-US" w:eastAsia="zh-CN"/>
        </w:rPr>
        <w:t>合同名称+合同编号</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（以下简称“合同”），你方将按上述基础交易合同约定向委托人支付预付款人民币</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元（大写：</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）。我行接受委托人的申请，特此开立以你方为受益人的最高金额为人民币</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（大写：</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）（以下称“保函金额”）的保函。</w:t>
      </w:r>
    </w:p>
    <w:p w14:paraId="7971AB8F">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一、本保函为不可撤销、见索即付的独立保函。</w:t>
      </w:r>
    </w:p>
    <w:p w14:paraId="7EFD8477">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二、在本保函的有效期内，如委托人违反上述基础交易合同约定的义务而未向你方退还预付款，我行将在收到你方提交的符合下述要求的索赔通知书后</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日内，以上述保函金额为限向你方支付相应款项。</w:t>
      </w:r>
    </w:p>
    <w:p w14:paraId="4CABA012">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（一）索赔通知书须写明请求付款的金额，并声明该款项并未由委托人或其代理人直接或间接地支付给你方；</w:t>
      </w:r>
    </w:p>
    <w:p w14:paraId="1300D075">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（二）索赔通知书应由你方法定代表人签字并加盖公章；</w:t>
      </w:r>
    </w:p>
    <w:p w14:paraId="22877FB6">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（三）索赔通知书必须于本保函有效期截止日前送达我行。</w:t>
      </w:r>
    </w:p>
    <w:p w14:paraId="61757572">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三、合同的任何修改、变更、解释或不可执行都不能削弱或免除我行按本保函应承担的义务。</w:t>
      </w:r>
    </w:p>
    <w:p w14:paraId="490343D4">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本保函金额将随我行已向你方支付的金额而自动作相应递减。</w:t>
      </w:r>
    </w:p>
    <w:p w14:paraId="0AD87E9C">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四、本保函未经我行书面同意不得转让。</w:t>
      </w:r>
    </w:p>
    <w:p w14:paraId="20F0BBF6">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五、本保函自签发之日起生效，有效期至        </w:t>
      </w:r>
      <w:r>
        <w:rPr>
          <w:rFonts w:hint="eastAsia" w:ascii="仿宋" w:hAnsi="仿宋" w:eastAsia="仿宋"/>
          <w:color w:val="auto"/>
          <w:sz w:val="28"/>
          <w:szCs w:val="28"/>
          <w:highlight w:val="none"/>
          <w:lang w:val="en-US" w:eastAsia="zh-CN"/>
        </w:rPr>
        <w:t xml:space="preserve">  </w:t>
      </w:r>
      <w:r>
        <w:rPr>
          <w:rFonts w:hint="eastAsia" w:ascii="仿宋" w:hAnsi="仿宋" w:eastAsia="仿宋"/>
          <w:color w:val="auto"/>
          <w:sz w:val="28"/>
          <w:szCs w:val="28"/>
          <w:highlight w:val="none"/>
        </w:rPr>
        <w:t xml:space="preserve">  止。在上述期限内若累计赔偿额达到前述保函金额，本保函提前失效。本保函到期后，无论保函原件是否退回我行，皆告失效。</w:t>
      </w:r>
    </w:p>
    <w:p w14:paraId="3617C31C">
      <w:pPr>
        <w:rPr>
          <w:rFonts w:ascii="宋体" w:hAnsi="宋体" w:eastAsia="宋体" w:cs="仿宋_GB2312"/>
          <w:sz w:val="24"/>
          <w:szCs w:val="24"/>
          <w:highlight w:val="none"/>
        </w:rPr>
      </w:pPr>
    </w:p>
    <w:p w14:paraId="0C119E9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4"/>
          <w:szCs w:val="24"/>
          <w:highlight w:val="none"/>
        </w:rPr>
      </w:pPr>
      <w:bookmarkStart w:id="682" w:name="_GoBack"/>
      <w:bookmarkEnd w:id="682"/>
    </w:p>
    <w:p w14:paraId="0F125FB5">
      <w:pPr>
        <w:widowControl/>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002EC20B">
      <w:pPr>
        <w:pStyle w:val="39"/>
        <w:ind w:left="0" w:leftChars="0" w:firstLine="0" w:firstLineChars="0"/>
        <w:rPr>
          <w:rFonts w:hint="eastAsia" w:ascii="宋体" w:hAnsi="宋体" w:eastAsia="宋体" w:cs="宋体"/>
          <w:color w:val="auto"/>
          <w:highlight w:val="none"/>
        </w:rPr>
      </w:pPr>
    </w:p>
    <w:p w14:paraId="45A771A7">
      <w:pPr>
        <w:pStyle w:val="4"/>
        <w:rPr>
          <w:rFonts w:hint="eastAsia" w:ascii="宋体" w:hAnsi="宋体" w:eastAsia="宋体" w:cs="宋体"/>
          <w:color w:val="auto"/>
          <w:highlight w:val="none"/>
        </w:rPr>
      </w:pPr>
      <w:bookmarkStart w:id="218" w:name="_Toc15707"/>
      <w:r>
        <w:rPr>
          <w:rFonts w:hint="eastAsia" w:ascii="宋体" w:hAnsi="宋体" w:eastAsia="宋体" w:cs="宋体"/>
          <w:color w:val="auto"/>
          <w:highlight w:val="none"/>
        </w:rPr>
        <w:t>第五章 工程量清单（综合单价承包）</w:t>
      </w:r>
      <w:bookmarkEnd w:id="218"/>
    </w:p>
    <w:p w14:paraId="503A2B57">
      <w:pPr>
        <w:spacing w:before="120"/>
        <w:ind w:left="720" w:right="-693" w:rightChars="-330" w:hanging="720"/>
        <w:jc w:val="center"/>
        <w:rPr>
          <w:rFonts w:hint="eastAsia" w:ascii="宋体" w:hAnsi="宋体" w:eastAsia="宋体" w:cs="宋体"/>
          <w:color w:val="auto"/>
          <w:sz w:val="24"/>
          <w:highlight w:val="none"/>
        </w:rPr>
      </w:pPr>
      <w:r>
        <w:rPr>
          <w:rFonts w:hint="eastAsia" w:ascii="宋体" w:hAnsi="宋体" w:eastAsia="宋体" w:cs="宋体"/>
          <w:color w:val="auto"/>
          <w:sz w:val="28"/>
          <w:szCs w:val="27"/>
          <w:highlight w:val="none"/>
        </w:rPr>
        <w:t>（另册）</w:t>
      </w:r>
    </w:p>
    <w:p w14:paraId="6A8DC3A2">
      <w:pPr>
        <w:spacing w:line="360" w:lineRule="auto"/>
        <w:rPr>
          <w:rFonts w:hint="eastAsia" w:ascii="宋体" w:hAnsi="宋体" w:eastAsia="宋体" w:cs="宋体"/>
          <w:color w:val="auto"/>
          <w:sz w:val="24"/>
          <w:highlight w:val="none"/>
        </w:rPr>
      </w:pPr>
    </w:p>
    <w:p w14:paraId="2B82DE12">
      <w:pPr>
        <w:widowControl/>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CB2DCB9">
      <w:pPr>
        <w:rPr>
          <w:rFonts w:hint="eastAsia" w:ascii="宋体" w:hAnsi="宋体" w:eastAsia="宋体" w:cs="宋体"/>
          <w:color w:val="auto"/>
          <w:sz w:val="32"/>
          <w:szCs w:val="27"/>
          <w:highlight w:val="none"/>
        </w:rPr>
      </w:pPr>
    </w:p>
    <w:p w14:paraId="1354702F">
      <w:pPr>
        <w:pStyle w:val="4"/>
        <w:rPr>
          <w:rFonts w:hint="eastAsia" w:ascii="宋体" w:hAnsi="宋体" w:eastAsia="宋体" w:cs="宋体"/>
          <w:color w:val="auto"/>
          <w:highlight w:val="none"/>
        </w:rPr>
      </w:pPr>
      <w:bookmarkStart w:id="219" w:name="_Toc3873"/>
      <w:bookmarkStart w:id="220" w:name="_Toc17451647"/>
      <w:bookmarkStart w:id="221" w:name="_Toc17451602"/>
      <w:bookmarkStart w:id="222" w:name="_Toc17452688"/>
      <w:bookmarkStart w:id="223" w:name="_Toc17556900"/>
      <w:bookmarkStart w:id="224" w:name="_Toc17454946"/>
      <w:bookmarkStart w:id="225" w:name="_Toc17451125"/>
      <w:bookmarkStart w:id="226" w:name="_Toc17454895"/>
      <w:r>
        <w:rPr>
          <w:rFonts w:hint="eastAsia" w:ascii="宋体" w:hAnsi="宋体" w:eastAsia="宋体" w:cs="宋体"/>
          <w:color w:val="auto"/>
          <w:highlight w:val="none"/>
        </w:rPr>
        <w:t>第六章 图纸</w:t>
      </w:r>
      <w:bookmarkEnd w:id="180"/>
      <w:r>
        <w:rPr>
          <w:rFonts w:hint="eastAsia" w:ascii="宋体" w:hAnsi="宋体" w:eastAsia="宋体" w:cs="宋体"/>
          <w:color w:val="auto"/>
          <w:highlight w:val="none"/>
        </w:rPr>
        <w:t>（招标图纸</w:t>
      </w:r>
      <w:bookmarkEnd w:id="181"/>
      <w:bookmarkEnd w:id="182"/>
      <w:bookmarkEnd w:id="183"/>
      <w:bookmarkEnd w:id="184"/>
      <w:bookmarkEnd w:id="185"/>
      <w:bookmarkEnd w:id="186"/>
      <w:bookmarkEnd w:id="187"/>
      <w:r>
        <w:rPr>
          <w:rFonts w:hint="eastAsia" w:ascii="宋体" w:hAnsi="宋体" w:eastAsia="宋体" w:cs="宋体"/>
          <w:color w:val="auto"/>
          <w:highlight w:val="none"/>
        </w:rPr>
        <w:t>）</w:t>
      </w:r>
      <w:bookmarkEnd w:id="219"/>
      <w:bookmarkEnd w:id="220"/>
      <w:bookmarkEnd w:id="221"/>
      <w:bookmarkEnd w:id="222"/>
      <w:bookmarkEnd w:id="223"/>
      <w:bookmarkEnd w:id="224"/>
      <w:bookmarkEnd w:id="225"/>
      <w:bookmarkEnd w:id="226"/>
    </w:p>
    <w:p w14:paraId="00EC02B6">
      <w:pPr>
        <w:spacing w:before="120"/>
        <w:ind w:left="720" w:right="-693" w:rightChars="-330" w:hanging="720"/>
        <w:jc w:val="center"/>
        <w:rPr>
          <w:rFonts w:hint="eastAsia" w:ascii="宋体" w:hAnsi="宋体" w:eastAsia="宋体" w:cs="宋体"/>
          <w:color w:val="auto"/>
          <w:sz w:val="24"/>
          <w:highlight w:val="none"/>
        </w:rPr>
      </w:pPr>
      <w:r>
        <w:rPr>
          <w:rFonts w:hint="eastAsia" w:ascii="宋体" w:hAnsi="宋体" w:eastAsia="宋体" w:cs="宋体"/>
          <w:color w:val="auto"/>
          <w:sz w:val="28"/>
          <w:szCs w:val="27"/>
          <w:highlight w:val="none"/>
        </w:rPr>
        <w:t>（另册）</w:t>
      </w:r>
    </w:p>
    <w:p w14:paraId="2CD62452">
      <w:pPr>
        <w:spacing w:line="360" w:lineRule="auto"/>
        <w:rPr>
          <w:rFonts w:hint="eastAsia" w:ascii="宋体" w:hAnsi="宋体" w:eastAsia="宋体" w:cs="宋体"/>
          <w:color w:val="auto"/>
          <w:szCs w:val="21"/>
          <w:highlight w:val="none"/>
        </w:rPr>
      </w:pPr>
    </w:p>
    <w:p w14:paraId="12621CE2">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AA32B81">
      <w:pPr>
        <w:widowControl/>
        <w:jc w:val="left"/>
        <w:rPr>
          <w:rFonts w:hint="eastAsia" w:ascii="宋体" w:hAnsi="宋体" w:eastAsia="宋体" w:cs="宋体"/>
          <w:color w:val="auto"/>
          <w:szCs w:val="21"/>
          <w:highlight w:val="none"/>
        </w:rPr>
      </w:pPr>
    </w:p>
    <w:p w14:paraId="59EBCCDC">
      <w:pPr>
        <w:pStyle w:val="4"/>
        <w:rPr>
          <w:rFonts w:hint="eastAsia" w:ascii="宋体" w:hAnsi="宋体" w:eastAsia="宋体" w:cs="宋体"/>
          <w:color w:val="auto"/>
          <w:highlight w:val="none"/>
        </w:rPr>
      </w:pPr>
      <w:bookmarkStart w:id="227" w:name="_Toc259524409"/>
      <w:bookmarkStart w:id="228" w:name="_Toc17451649"/>
      <w:bookmarkStart w:id="229" w:name="_Toc17451127"/>
      <w:bookmarkStart w:id="230" w:name="_Toc2125"/>
      <w:bookmarkStart w:id="231" w:name="_Toc17451604"/>
      <w:bookmarkStart w:id="232" w:name="_Toc17454948"/>
      <w:bookmarkStart w:id="233" w:name="_Toc17452690"/>
      <w:bookmarkStart w:id="234" w:name="_Toc17454897"/>
      <w:bookmarkStart w:id="235" w:name="_Toc17556902"/>
      <w:r>
        <w:rPr>
          <w:rFonts w:hint="eastAsia" w:ascii="宋体" w:hAnsi="宋体" w:eastAsia="宋体" w:cs="宋体"/>
          <w:color w:val="auto"/>
          <w:highlight w:val="none"/>
        </w:rPr>
        <w:t>第七章 技术标准和要求</w:t>
      </w:r>
      <w:bookmarkEnd w:id="227"/>
      <w:r>
        <w:rPr>
          <w:rFonts w:hint="eastAsia" w:ascii="宋体" w:hAnsi="宋体" w:eastAsia="宋体" w:cs="宋体"/>
          <w:color w:val="auto"/>
          <w:highlight w:val="none"/>
        </w:rPr>
        <w:t>（合同技术条款）</w:t>
      </w:r>
      <w:bookmarkEnd w:id="228"/>
      <w:bookmarkEnd w:id="229"/>
      <w:bookmarkEnd w:id="230"/>
      <w:bookmarkEnd w:id="231"/>
      <w:bookmarkEnd w:id="232"/>
      <w:bookmarkEnd w:id="233"/>
      <w:bookmarkEnd w:id="234"/>
      <w:bookmarkEnd w:id="235"/>
    </w:p>
    <w:p w14:paraId="1F0785F7">
      <w:pPr>
        <w:jc w:val="center"/>
        <w:rPr>
          <w:rFonts w:hint="eastAsia" w:ascii="宋体" w:hAnsi="宋体" w:eastAsia="宋体" w:cs="宋体"/>
          <w:color w:val="auto"/>
          <w:w w:val="98"/>
          <w:sz w:val="36"/>
          <w:szCs w:val="36"/>
          <w:highlight w:val="none"/>
        </w:rPr>
      </w:pPr>
      <w:r>
        <w:rPr>
          <w:rFonts w:hint="eastAsia" w:ascii="宋体" w:hAnsi="宋体" w:cs="宋体"/>
          <w:color w:val="auto"/>
          <w:w w:val="98"/>
          <w:sz w:val="36"/>
          <w:szCs w:val="36"/>
          <w:highlight w:val="none"/>
          <w:lang w:eastAsia="zh-CN"/>
        </w:rPr>
        <w:t>广州净水公司2024年干化车间蒸汽锅炉及冷凝水回收系统改造项目技术需求书</w:t>
      </w:r>
    </w:p>
    <w:p w14:paraId="0377921A">
      <w:pPr>
        <w:spacing w:line="640" w:lineRule="exact"/>
        <w:jc w:val="center"/>
        <w:rPr>
          <w:rFonts w:hint="eastAsia" w:ascii="宋体" w:hAnsi="宋体" w:eastAsia="宋体" w:cs="宋体"/>
          <w:b/>
          <w:color w:val="auto"/>
          <w:sz w:val="44"/>
          <w:szCs w:val="44"/>
          <w:highlight w:val="none"/>
        </w:rPr>
      </w:pPr>
      <w:r>
        <w:rPr>
          <w:rFonts w:hint="eastAsia" w:ascii="宋体" w:hAnsi="宋体" w:eastAsia="宋体" w:cs="宋体"/>
          <w:b/>
          <w:bCs/>
          <w:color w:val="auto"/>
          <w:sz w:val="28"/>
          <w:szCs w:val="28"/>
          <w:highlight w:val="none"/>
        </w:rPr>
        <w:t>注：</w:t>
      </w:r>
      <w:r>
        <w:rPr>
          <w:rFonts w:hint="eastAsia" w:ascii="宋体" w:hAnsi="宋体" w:cs="宋体"/>
          <w:b/>
          <w:bCs/>
          <w:color w:val="auto"/>
          <w:sz w:val="28"/>
          <w:szCs w:val="28"/>
          <w:highlight w:val="none"/>
          <w:lang w:val="en-US" w:eastAsia="zh-CN"/>
        </w:rPr>
        <w:t>本需求书均为</w:t>
      </w:r>
      <w:r>
        <w:rPr>
          <w:rFonts w:hint="eastAsia" w:ascii="宋体" w:hAnsi="宋体" w:eastAsia="宋体" w:cs="宋体"/>
          <w:b/>
          <w:bCs/>
          <w:color w:val="auto"/>
          <w:sz w:val="28"/>
          <w:szCs w:val="28"/>
          <w:highlight w:val="none"/>
        </w:rPr>
        <w:t>实质性条款，若有任何一条负偏离或不满足则导致投标无效。</w:t>
      </w:r>
    </w:p>
    <w:p w14:paraId="5923DEEE">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项目一：沥滘分公司2024年三期干化车间蒸汽锅炉及冷凝水回收系统改造项目</w:t>
      </w:r>
    </w:p>
    <w:p w14:paraId="23BFBA2C">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项目二：西朗二期分公司2024年二期干化车间蒸汽锅炉及冷凝水回收系统改造项目</w:t>
      </w:r>
    </w:p>
    <w:p w14:paraId="77E961EA">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项目三：</w:t>
      </w:r>
      <w:r>
        <w:rPr>
          <w:rFonts w:hint="eastAsia" w:ascii="宋体" w:hAnsi="宋体" w:cs="宋体"/>
          <w:color w:val="auto"/>
          <w:sz w:val="24"/>
          <w:szCs w:val="24"/>
          <w:highlight w:val="none"/>
          <w:lang w:val="en-US" w:eastAsia="zh-CN"/>
        </w:rPr>
        <w:t>大</w:t>
      </w:r>
      <w:r>
        <w:rPr>
          <w:rFonts w:hint="eastAsia" w:ascii="宋体" w:hAnsi="宋体" w:eastAsia="宋体" w:cs="宋体"/>
          <w:color w:val="auto"/>
          <w:sz w:val="24"/>
          <w:szCs w:val="24"/>
          <w:highlight w:val="none"/>
        </w:rPr>
        <w:t>沙地分公司2024年二期干化车间蒸汽锅炉及冷凝水回收系统改造项目</w:t>
      </w:r>
    </w:p>
    <w:p w14:paraId="3A3AE72C">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项目四：健康城分公司2024年干化车间蒸汽锅炉及冷凝水回收系统改造项目</w:t>
      </w:r>
    </w:p>
    <w:p w14:paraId="615A5BCF">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（以下分别简称“项目一、项目二、项目三、项目四”）</w:t>
      </w:r>
    </w:p>
    <w:p w14:paraId="44AF613D">
      <w:pPr>
        <w:keepNext w:val="0"/>
        <w:keepLines w:val="0"/>
        <w:pageBreakBefore w:val="0"/>
        <w:numPr>
          <w:ilvl w:val="0"/>
          <w:numId w:val="0"/>
        </w:numPr>
        <w:kinsoku/>
        <w:wordWrap/>
        <w:overflowPunct/>
        <w:topLinePunct w:val="0"/>
        <w:bidi w:val="0"/>
        <w:spacing w:line="52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商务要求</w:t>
      </w:r>
    </w:p>
    <w:p w14:paraId="4DD3D5C0">
      <w:pPr>
        <w:keepNext w:val="0"/>
        <w:keepLines w:val="0"/>
        <w:pageBreakBefore w:val="0"/>
        <w:widowControl w:val="0"/>
        <w:numPr>
          <w:ilvl w:val="0"/>
          <w:numId w:val="0"/>
        </w:numPr>
        <w:kinsoku/>
        <w:wordWrap/>
        <w:overflowPunct/>
        <w:topLinePunct w:val="0"/>
        <w:autoSpaceDE w:val="0"/>
        <w:autoSpaceDN w:val="0"/>
        <w:bidi w:val="0"/>
        <w:adjustRightInd/>
        <w:spacing w:line="240" w:lineRule="auto"/>
        <w:ind w:left="0" w:leftChars="0" w:firstLine="482" w:firstLineChars="200"/>
        <w:jc w:val="both"/>
        <w:textAlignment w:val="baseline"/>
        <w:outlineLvl w:val="2"/>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1、货期、安装调试时间：</w:t>
      </w:r>
    </w:p>
    <w:p w14:paraId="4EE3147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工期：各子项目工期见上表，具体开工时间以子项目所属分公司通知为准。施工期间需配合业主单位的正常水量生产和上级检查造成的短暂停工，若由于生产影响进度，施工工期可适当顺延。</w:t>
      </w:r>
    </w:p>
    <w:p w14:paraId="75B62FE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子项目一至三需完成项目试运行，各子项目试运行要求（时间、检测项目、频次、限值等）见各子项的技术需求书。</w:t>
      </w:r>
    </w:p>
    <w:p w14:paraId="33E032FA">
      <w:pPr>
        <w:keepNext w:val="0"/>
        <w:keepLines w:val="0"/>
        <w:pageBreakBefore w:val="0"/>
        <w:widowControl w:val="0"/>
        <w:numPr>
          <w:ilvl w:val="0"/>
          <w:numId w:val="0"/>
        </w:numPr>
        <w:kinsoku/>
        <w:wordWrap/>
        <w:overflowPunct/>
        <w:topLinePunct w:val="0"/>
        <w:autoSpaceDE w:val="0"/>
        <w:autoSpaceDN w:val="0"/>
        <w:bidi w:val="0"/>
        <w:adjustRightInd/>
        <w:spacing w:line="240" w:lineRule="auto"/>
        <w:ind w:left="0" w:leftChars="0" w:firstLine="482" w:firstLineChars="200"/>
        <w:jc w:val="both"/>
        <w:textAlignment w:val="baseline"/>
        <w:outlineLvl w:val="2"/>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2、安全文明施工要求：</w:t>
      </w:r>
    </w:p>
    <w:p w14:paraId="1EBBBA5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（1）在工程进行中，承包单位须遵守国家及地方、业主方的安全生产施工要求等，要注意保护场内的各种管线和设施。若有任何损坏，须立即通知有关部门和发包人，并由损坏单位承担损失和修复费用。</w:t>
      </w:r>
    </w:p>
    <w:p w14:paraId="62D175F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14:paraId="19475CE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14:paraId="09C7184D">
      <w:pPr>
        <w:keepNext w:val="0"/>
        <w:keepLines w:val="0"/>
        <w:pageBreakBefore w:val="0"/>
        <w:widowControl w:val="0"/>
        <w:numPr>
          <w:ilvl w:val="0"/>
          <w:numId w:val="0"/>
        </w:numPr>
        <w:kinsoku/>
        <w:wordWrap/>
        <w:overflowPunct/>
        <w:topLinePunct w:val="0"/>
        <w:autoSpaceDE w:val="0"/>
        <w:autoSpaceDN w:val="0"/>
        <w:bidi w:val="0"/>
        <w:adjustRightInd/>
        <w:spacing w:line="240" w:lineRule="auto"/>
        <w:ind w:left="0" w:leftChars="0" w:firstLine="482" w:firstLineChars="200"/>
        <w:jc w:val="both"/>
        <w:textAlignment w:val="baseline"/>
        <w:outlineLvl w:val="2"/>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3、施工管理要求：</w:t>
      </w:r>
    </w:p>
    <w:p w14:paraId="7A41BEE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（1）施工人员进入厂区需进行在招标人“广州净水公司”公众号进行来访预约，且满足招标人的安全管理要求，施工期间施工人员穿反光衣，佩戴安全帽，施工前必须进行安全教育和技术交底。</w:t>
      </w:r>
    </w:p>
    <w:p w14:paraId="02DB57D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（2）中标人应将改造需要更换的主要设备和材料运到广州市净水有限公司子项目所属分公司内（具体存放地点由分公司指定），到货后通知监理（如有）和招标人进行到货验收。</w:t>
      </w:r>
    </w:p>
    <w:p w14:paraId="1530AC61">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（3）施工后，施工队伍应及时清理现场垃圾，施工垃圾外运，冲洗施工区域，保护现场环境。</w:t>
      </w:r>
    </w:p>
    <w:p w14:paraId="2E1A12B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（4）本项目项目现场负责人和专职安全员必须常驻施工现场，能随时与业主共同处理施工现场事宜。</w:t>
      </w:r>
    </w:p>
    <w:p w14:paraId="40321E4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（5）本工作范围应包括提供所有需要的材料、机械、劳力、以及其他设施、完成规定的工作和服务，并达到预期的目标。</w:t>
      </w:r>
    </w:p>
    <w:p w14:paraId="5914E5B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（6）本项目部分内容在不停产中施工，需要听从现场业主方调配，不得未经同意就随意施工，工具、材料等需放置在指定位置，不得随意摆放。</w:t>
      </w:r>
    </w:p>
    <w:p w14:paraId="270E5D1C">
      <w:pPr>
        <w:keepNext w:val="0"/>
        <w:keepLines w:val="0"/>
        <w:pageBreakBefore w:val="0"/>
        <w:widowControl w:val="0"/>
        <w:numPr>
          <w:ilvl w:val="0"/>
          <w:numId w:val="0"/>
        </w:numPr>
        <w:kinsoku/>
        <w:wordWrap/>
        <w:overflowPunct/>
        <w:topLinePunct w:val="0"/>
        <w:autoSpaceDE w:val="0"/>
        <w:autoSpaceDN w:val="0"/>
        <w:bidi w:val="0"/>
        <w:adjustRightInd/>
        <w:spacing w:line="240" w:lineRule="auto"/>
        <w:ind w:left="0" w:leftChars="0" w:firstLine="482" w:firstLineChars="200"/>
        <w:jc w:val="both"/>
        <w:textAlignment w:val="baseline"/>
        <w:outlineLvl w:val="2"/>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8、保修期（保养期）：本项目质量保修期为1年。</w:t>
      </w:r>
    </w:p>
    <w:p w14:paraId="16E6B841">
      <w:pPr>
        <w:keepNext w:val="0"/>
        <w:keepLines w:val="0"/>
        <w:pageBreakBefore w:val="0"/>
        <w:widowControl w:val="0"/>
        <w:numPr>
          <w:ilvl w:val="0"/>
          <w:numId w:val="0"/>
        </w:numPr>
        <w:kinsoku/>
        <w:wordWrap/>
        <w:overflowPunct/>
        <w:topLinePunct w:val="0"/>
        <w:autoSpaceDE w:val="0"/>
        <w:autoSpaceDN w:val="0"/>
        <w:bidi w:val="0"/>
        <w:adjustRightInd/>
        <w:spacing w:line="240" w:lineRule="auto"/>
        <w:ind w:left="0" w:leftChars="0" w:firstLine="482" w:firstLineChars="200"/>
        <w:jc w:val="both"/>
        <w:textAlignment w:val="baseline"/>
        <w:outlineLvl w:val="2"/>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9、发包人将自承包人履行完合同义务之日起三十个工作日内组织验收，验收要求、验收标准及方法如下：</w:t>
      </w:r>
    </w:p>
    <w:p w14:paraId="4E54FE2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（1）验收依据：招投标文件、项目合同、厂家货物技术标准说明及国家有关的质量标准规定，均为验收依据。</w:t>
      </w:r>
    </w:p>
    <w:p w14:paraId="7D30CC4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（2）承包单位根据要求进行设备的安装、调试、测试后，由发包人或政府相关部门进行使用性能方面的验收。</w:t>
      </w:r>
    </w:p>
    <w:p w14:paraId="37F01FC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（3）沥滘、西朗和大沙地子项目验收合格条件：</w:t>
      </w:r>
    </w:p>
    <w:p w14:paraId="0907F45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1）子项目完成安装调试完毕后现场试运行连续稳定工作，无异常，并确保能够达到设计要求的标准。</w:t>
      </w:r>
    </w:p>
    <w:p w14:paraId="46A078C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2）各类电气系统、通讯设备等附属设备均正常运行。</w:t>
      </w:r>
    </w:p>
    <w:p w14:paraId="4A42914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3）子项目一至三需完成项目试运行，各子项目试运行要求（时间、检测项目、频次、限值等）见各子项的技术需求书。</w:t>
      </w:r>
    </w:p>
    <w:p w14:paraId="1D1FDEB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（4）发包人有权委托我国相关具有检验资质的部门、单位、机构针对维修后设备的精度、性能进行检验。其检验结果将作为验收标准的组成部分之一。</w:t>
      </w:r>
    </w:p>
    <w:p w14:paraId="04AA650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（5）验收时承包单位必须派代表参加。</w:t>
      </w:r>
    </w:p>
    <w:p w14:paraId="4CBACCF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（6）验收过程所发生的一切费用由承包单位承担。</w:t>
      </w:r>
    </w:p>
    <w:p w14:paraId="64C59C7E">
      <w:pPr>
        <w:rPr>
          <w:rFonts w:hint="eastAsia" w:ascii="宋体" w:hAnsi="宋体" w:eastAsia="宋体" w:cs="宋体"/>
          <w:b/>
          <w:bCs/>
          <w:color w:val="auto"/>
          <w:kern w:val="2"/>
          <w:sz w:val="28"/>
          <w:szCs w:val="28"/>
          <w:highlight w:val="none"/>
          <w:u w:val="none"/>
          <w:lang w:val="en-US" w:eastAsia="zh-CN" w:bidi="ar-SA"/>
        </w:rPr>
      </w:pPr>
      <w:r>
        <w:rPr>
          <w:rFonts w:hint="eastAsia" w:ascii="宋体" w:hAnsi="宋体" w:eastAsia="宋体" w:cs="宋体"/>
          <w:b/>
          <w:bCs/>
          <w:color w:val="auto"/>
          <w:kern w:val="2"/>
          <w:sz w:val="28"/>
          <w:szCs w:val="28"/>
          <w:highlight w:val="none"/>
          <w:u w:val="none"/>
          <w:lang w:val="en-US" w:eastAsia="zh-CN" w:bidi="ar-SA"/>
        </w:rPr>
        <w:br w:type="page"/>
      </w:r>
    </w:p>
    <w:p w14:paraId="79CDB28D">
      <w:pPr>
        <w:pStyle w:val="34"/>
        <w:keepNext w:val="0"/>
        <w:keepLines w:val="0"/>
        <w:widowControl w:val="0"/>
        <w:suppressLineNumbers w:val="0"/>
        <w:spacing w:before="0" w:beforeAutospacing="1" w:after="120" w:afterAutospacing="0" w:line="480" w:lineRule="auto"/>
        <w:ind w:left="0" w:right="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项目一 沥滘分公司2024年三期干化车间蒸汽锅炉及冷凝水回收系统改造项目</w:t>
      </w:r>
    </w:p>
    <w:p w14:paraId="5E189719">
      <w:pPr>
        <w:pStyle w:val="34"/>
        <w:keepNext w:val="0"/>
        <w:keepLines w:val="0"/>
        <w:widowControl w:val="0"/>
        <w:suppressLineNumbers w:val="0"/>
        <w:spacing w:before="0" w:beforeAutospacing="1" w:after="0" w:afterAutospacing="0" w:line="480" w:lineRule="auto"/>
        <w:ind w:left="0" w:right="0" w:firstLine="562" w:firstLineChars="20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 xml:space="preserve"> </w:t>
      </w:r>
    </w:p>
    <w:p w14:paraId="66FEEC16">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一、项目情况介绍</w:t>
      </w:r>
    </w:p>
    <w:p w14:paraId="56389E8B">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广州市净水有限公司沥滘分公司厂区三期干化车间于2020年投运，设计污泥处理规模为35TDS/d。采用“浓缩调质+机械脱水+高温间接热干化工艺”对污泥进行处理，温间接热干化工艺段采用燃气加热锅炉系统为干化设备提供污泥烘干所需的热量。蒸汽锅炉及冷凝水回收系统整体工作流程如下：自来水经软水器软化处理后进入软化水箱，由给水泵将水提升至锅炉加热生产出干化工艺所需的蒸汽。蒸汽经锅炉房分汽缸分配，经过减压后通入对应的污泥干化设备薄层干化机蒸汽夹层，蒸汽在干化设备内通过金属热传导与对污泥进行间接加热烘干，换热后的蒸汽部分冷凝经疏水阀汽液分离，分离出来的饱和冷凝水经冷却进入凝结水箱收集后回用或排放。由于蒸汽未与污泥直接接触，因此，蒸汽冷凝水一般经泵提升回锅炉系统的工艺前端软化水箱进行回用。</w:t>
      </w:r>
    </w:p>
    <w:p w14:paraId="7E088AA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3E9AC422">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二、项目主要技术要求</w:t>
      </w:r>
    </w:p>
    <w:p w14:paraId="3C9AD963">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1.1 一般要求</w:t>
      </w:r>
    </w:p>
    <w:p w14:paraId="1CAD5DC1">
      <w:pPr>
        <w:keepNext w:val="0"/>
        <w:keepLines w:val="0"/>
        <w:widowControl/>
        <w:numPr>
          <w:ilvl w:val="0"/>
          <w:numId w:val="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中标单位按设计图纸要求，提供蒸汽管道系统设备、阀门、管道及配件等以完善系统，保证系统的正常运行。</w:t>
      </w:r>
    </w:p>
    <w:p w14:paraId="1F027D57">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ind w:left="0" w:leftChars="0" w:right="0" w:firstLine="480" w:firstLineChars="200"/>
        <w:jc w:val="left"/>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bidi="ar"/>
        </w:rPr>
        <w:t>本项目在锅炉、蒸汽系统及冷凝水管道系统上所采用的</w:t>
      </w:r>
      <w:r>
        <w:rPr>
          <w:rFonts w:hint="eastAsia" w:ascii="宋体" w:hAnsi="宋体" w:eastAsia="宋体" w:cs="宋体"/>
          <w:color w:val="auto"/>
          <w:kern w:val="0"/>
          <w:sz w:val="24"/>
          <w:szCs w:val="24"/>
          <w:highlight w:val="none"/>
          <w:lang w:val="en-US" w:eastAsia="zh-CN" w:bidi="ar"/>
        </w:rPr>
        <w:t>疏水阀（组）、止回阀、冷凝水热回收装置、表面排污装置、排污阀、</w:t>
      </w:r>
      <w:r>
        <w:rPr>
          <w:rFonts w:hint="eastAsia" w:ascii="宋体" w:hAnsi="宋体" w:eastAsia="宋体" w:cs="宋体"/>
          <w:b w:val="0"/>
          <w:bCs w:val="0"/>
          <w:color w:val="auto"/>
          <w:kern w:val="0"/>
          <w:sz w:val="24"/>
          <w:szCs w:val="24"/>
          <w:highlight w:val="none"/>
          <w:lang w:val="en-US" w:eastAsia="zh-CN" w:bidi="ar"/>
        </w:rPr>
        <w:t>疏水阀检测组件、蒸汽流量计、闪蒸罐等应充分考虑蒸汽锅炉及冷凝水回收系统改造后的运行稳定性和可靠性，发包人对设备的使用管理和维修维护的便利性、统一性，以及自控平台的兼容性，</w:t>
      </w:r>
      <w:r>
        <w:rPr>
          <w:rFonts w:hint="eastAsia" w:ascii="宋体" w:hAnsi="宋体" w:eastAsia="宋体" w:cs="宋体"/>
          <w:color w:val="auto"/>
          <w:kern w:val="0"/>
          <w:sz w:val="24"/>
          <w:szCs w:val="24"/>
          <w:highlight w:val="none"/>
          <w:lang w:val="en-US" w:eastAsia="zh-CN" w:bidi="ar"/>
        </w:rPr>
        <w:t>系统设备整体品牌参照或相当于斯派莎克、上海沪工、杰斯特拉等品牌或相当于同档次及以上品牌的产品</w:t>
      </w:r>
      <w:r>
        <w:rPr>
          <w:rFonts w:hint="eastAsia" w:ascii="宋体" w:hAnsi="宋体" w:eastAsia="宋体" w:cs="宋体"/>
          <w:b w:val="0"/>
          <w:bCs w:val="0"/>
          <w:color w:val="auto"/>
          <w:kern w:val="2"/>
          <w:sz w:val="24"/>
          <w:szCs w:val="24"/>
          <w:highlight w:val="none"/>
          <w:lang w:val="en-US" w:eastAsia="zh-CN" w:bidi="ar"/>
        </w:rPr>
        <w:t>；严禁采用贴牌产品</w:t>
      </w:r>
      <w:r>
        <w:rPr>
          <w:rFonts w:hint="eastAsia" w:ascii="宋体" w:hAnsi="宋体" w:eastAsia="宋体" w:cs="宋体"/>
          <w:color w:val="auto"/>
          <w:kern w:val="0"/>
          <w:sz w:val="24"/>
          <w:szCs w:val="24"/>
          <w:highlight w:val="none"/>
          <w:lang w:val="en-US" w:eastAsia="zh-CN" w:bidi="ar"/>
        </w:rPr>
        <w:t>。设备订货前中标人应向招标人报审，招标人确认后方可订货。</w:t>
      </w:r>
    </w:p>
    <w:p w14:paraId="7D59E767">
      <w:pPr>
        <w:keepNext w:val="0"/>
        <w:keepLines w:val="0"/>
        <w:widowControl/>
        <w:numPr>
          <w:ilvl w:val="0"/>
          <w:numId w:val="4"/>
        </w:numPr>
        <w:suppressLineNumbers w:val="0"/>
        <w:snapToGrid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所有送抵工地的设备、阀门及配件均应是全新制成品，在储存、运送期间应采取正确的保护设施，以确保设备、阀门及配件在任何情况下不受损坏。</w:t>
      </w:r>
      <w:r>
        <w:rPr>
          <w:rFonts w:hint="eastAsia" w:ascii="宋体" w:hAnsi="宋体" w:eastAsia="宋体" w:cs="宋体"/>
          <w:b w:val="0"/>
          <w:bCs w:val="0"/>
          <w:color w:val="auto"/>
          <w:kern w:val="2"/>
          <w:sz w:val="24"/>
          <w:szCs w:val="24"/>
          <w:highlight w:val="none"/>
          <w:lang w:val="en-US" w:eastAsia="zh-CN" w:bidi="ar"/>
        </w:rPr>
        <w:t>中标人所供货的上述设备，在供货时</w:t>
      </w:r>
      <w:r>
        <w:rPr>
          <w:rFonts w:hint="eastAsia" w:ascii="宋体" w:hAnsi="宋体" w:eastAsia="宋体" w:cs="宋体"/>
          <w:bCs w:val="0"/>
          <w:color w:val="auto"/>
          <w:kern w:val="2"/>
          <w:sz w:val="24"/>
          <w:szCs w:val="24"/>
          <w:highlight w:val="none"/>
          <w:lang w:val="en-US" w:eastAsia="zh-CN" w:bidi="ar"/>
        </w:rPr>
        <w:t>均需提供出厂文件，包括但不限于合格证、说明书、</w:t>
      </w:r>
      <w:r>
        <w:rPr>
          <w:rFonts w:hint="eastAsia" w:ascii="宋体" w:hAnsi="宋体" w:eastAsia="宋体" w:cs="宋体"/>
          <w:b w:val="0"/>
          <w:bCs w:val="0"/>
          <w:color w:val="auto"/>
          <w:kern w:val="2"/>
          <w:sz w:val="24"/>
          <w:szCs w:val="24"/>
          <w:highlight w:val="none"/>
          <w:lang w:val="en-US" w:eastAsia="zh-CN" w:bidi="ar"/>
        </w:rPr>
        <w:t>安装维修指南和产品技术资料（如有外文资料，需同步提供中文译文资料）；</w:t>
      </w:r>
      <w:r>
        <w:rPr>
          <w:rFonts w:hint="eastAsia" w:ascii="宋体" w:hAnsi="宋体" w:eastAsia="宋体" w:cs="宋体"/>
          <w:color w:val="auto"/>
          <w:kern w:val="0"/>
          <w:sz w:val="24"/>
          <w:szCs w:val="24"/>
          <w:highlight w:val="none"/>
          <w:lang w:val="en-US" w:eastAsia="zh-CN" w:bidi="ar"/>
        </w:rPr>
        <w:t>所有蒸汽系统之设备，须配以吊装设施，以方便设备的运送及安装。</w:t>
      </w:r>
    </w:p>
    <w:p w14:paraId="68B5692B">
      <w:pPr>
        <w:keepNext w:val="0"/>
        <w:keepLines w:val="0"/>
        <w:widowControl/>
        <w:numPr>
          <w:ilvl w:val="0"/>
          <w:numId w:val="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2"/>
          <w:sz w:val="24"/>
          <w:szCs w:val="24"/>
          <w:highlight w:val="none"/>
          <w:lang w:val="en-US" w:eastAsia="zh-CN" w:bidi="ar"/>
        </w:rPr>
        <w:t>所有设备、材料</w:t>
      </w:r>
      <w:r>
        <w:rPr>
          <w:rFonts w:hint="eastAsia" w:ascii="宋体" w:hAnsi="宋体" w:eastAsia="宋体" w:cs="宋体"/>
          <w:color w:val="auto"/>
          <w:kern w:val="0"/>
          <w:sz w:val="24"/>
          <w:szCs w:val="24"/>
          <w:highlight w:val="none"/>
          <w:lang w:val="en-US" w:eastAsia="zh-CN" w:bidi="ar"/>
        </w:rPr>
        <w:t>投标单位必须准备足够使用的围蔽施工场所需要使用的物资，包括但不限于红色高水码等。</w:t>
      </w:r>
    </w:p>
    <w:p w14:paraId="4F299098">
      <w:pPr>
        <w:keepNext w:val="0"/>
        <w:keepLines w:val="0"/>
        <w:widowControl/>
        <w:numPr>
          <w:ilvl w:val="0"/>
          <w:numId w:val="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施工区域内有燃气管道，需做好施工屏蔽，对其他管道需做好防护措施。</w:t>
      </w:r>
    </w:p>
    <w:p w14:paraId="6DDD02B3">
      <w:pPr>
        <w:keepNext w:val="0"/>
        <w:keepLines w:val="0"/>
        <w:widowControl/>
        <w:numPr>
          <w:ilvl w:val="0"/>
          <w:numId w:val="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新控制系统要求与原有系统可对接读取数据，做到中控室有数据可监控。</w:t>
      </w:r>
    </w:p>
    <w:p w14:paraId="48095F43">
      <w:pPr>
        <w:pStyle w:val="7"/>
        <w:widowControl/>
        <w:numPr>
          <w:ilvl w:val="0"/>
          <w:numId w:val="4"/>
        </w:numPr>
        <w:spacing w:before="0" w:beforeAutospacing="1" w:after="0" w:afterAutospacing="0"/>
        <w:ind w:left="5"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rPr>
        <w:t>质量要求：</w:t>
      </w:r>
      <w:r>
        <w:rPr>
          <w:rFonts w:hint="eastAsia" w:ascii="宋体" w:hAnsi="宋体" w:eastAsia="宋体" w:cs="宋体"/>
          <w:color w:val="auto"/>
          <w:kern w:val="0"/>
          <w:sz w:val="24"/>
          <w:szCs w:val="24"/>
          <w:highlight w:val="none"/>
        </w:rPr>
        <w:t>按合同条款和有关技术标准规范进行验收。使用的各种材料必须符合设计和有关技术标准规范要求。</w:t>
      </w:r>
    </w:p>
    <w:p w14:paraId="3721C586">
      <w:pPr>
        <w:pStyle w:val="7"/>
        <w:widowControl/>
        <w:numPr>
          <w:ilvl w:val="0"/>
          <w:numId w:val="4"/>
        </w:numPr>
        <w:spacing w:before="0" w:beforeAutospacing="1" w:after="0" w:afterAutospacing="0"/>
        <w:ind w:left="5"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bCs w:val="0"/>
          <w:color w:val="auto"/>
          <w:kern w:val="0"/>
          <w:sz w:val="24"/>
          <w:szCs w:val="24"/>
          <w:highlight w:val="none"/>
        </w:rPr>
        <w:t>质量保修期期间，</w:t>
      </w:r>
      <w:r>
        <w:rPr>
          <w:rFonts w:hint="eastAsia" w:ascii="宋体" w:hAnsi="宋体" w:eastAsia="宋体" w:cs="宋体"/>
          <w:i w:val="0"/>
          <w:iCs w:val="0"/>
          <w:color w:val="auto"/>
          <w:kern w:val="0"/>
          <w:sz w:val="24"/>
          <w:szCs w:val="24"/>
          <w:highlight w:val="none"/>
        </w:rPr>
        <w:t>中标人须提供48小时质保响应服务；项目实施范围内的设备、系统及管道出现突发故障，中标人在接到招标人电话通知后，中标人应在48小时内到场对故障设备进行检查，属于</w:t>
      </w:r>
      <w:r>
        <w:rPr>
          <w:rFonts w:hint="eastAsia" w:ascii="宋体" w:hAnsi="宋体" w:eastAsia="宋体" w:cs="宋体"/>
          <w:bCs w:val="0"/>
          <w:color w:val="auto"/>
          <w:kern w:val="0"/>
          <w:sz w:val="24"/>
          <w:szCs w:val="24"/>
          <w:highlight w:val="none"/>
        </w:rPr>
        <w:t>本项目的质量问题由中标人免费提供保修服务， 7 日内派人员负责解决及维修。</w:t>
      </w:r>
    </w:p>
    <w:p w14:paraId="32A49716">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6A131BB2">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1.2 </w:t>
      </w:r>
      <w:r>
        <w:rPr>
          <w:rFonts w:hint="eastAsia" w:ascii="宋体" w:hAnsi="宋体" w:eastAsia="宋体" w:cs="宋体"/>
          <w:color w:val="auto"/>
          <w:kern w:val="0"/>
          <w:sz w:val="24"/>
          <w:szCs w:val="24"/>
          <w:highlight w:val="none"/>
        </w:rPr>
        <w:t>中标单位所提供的产品及安装、验收须国家标准和部颁行业标准：</w:t>
      </w:r>
    </w:p>
    <w:p w14:paraId="431D7E0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（1）当地政府有关部门所制定之条例及规范。</w:t>
      </w:r>
    </w:p>
    <w:p w14:paraId="17DF7E4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（2）国家现行相关标准规范：</w:t>
      </w:r>
    </w:p>
    <w:p w14:paraId="7EFA8E55">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《机械设备安装工程施工及验收通用规范》GB50231-2009</w:t>
      </w:r>
    </w:p>
    <w:p w14:paraId="3DF57AC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《工业金属管道工程施工规范》GB50235-2010</w:t>
      </w:r>
    </w:p>
    <w:p w14:paraId="4FB09AAD">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《现场设备、工业管道焊接工程施工规范》GB50236-2011</w:t>
      </w:r>
    </w:p>
    <w:p w14:paraId="77C08441">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《工业金属管道工程施工质量验收规范》GB50184-2011</w:t>
      </w:r>
    </w:p>
    <w:p w14:paraId="3F91AA3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《工业设备及管道绝热工程施工质量验收标准》GB50185-2019</w:t>
      </w:r>
    </w:p>
    <w:p w14:paraId="48EBF9C8">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《压力管道规范-工业管道》GB/T20801-2020</w:t>
      </w:r>
    </w:p>
    <w:p w14:paraId="27BC2D88">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354F507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三、项目具体技术要求及改造内容</w:t>
      </w:r>
    </w:p>
    <w:p w14:paraId="37F3F0F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 冷凝水热回收 </w:t>
      </w:r>
    </w:p>
    <w:p w14:paraId="4E841931">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color w:val="auto"/>
          <w:highlight w:val="none"/>
        </w:rPr>
        <w:drawing>
          <wp:inline distT="0" distB="0" distL="114300" distR="114300">
            <wp:extent cx="5276850" cy="2952750"/>
            <wp:effectExtent l="0" t="0" r="0" b="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1"/>
                    <a:stretch>
                      <a:fillRect/>
                    </a:stretch>
                  </pic:blipFill>
                  <pic:spPr>
                    <a:xfrm>
                      <a:off x="0" y="0"/>
                      <a:ext cx="5276850" cy="2952750"/>
                    </a:xfrm>
                    <a:prstGeom prst="rect">
                      <a:avLst/>
                    </a:prstGeom>
                    <a:noFill/>
                    <a:ln w="9525">
                      <a:noFill/>
                    </a:ln>
                  </pic:spPr>
                </pic:pic>
              </a:graphicData>
            </a:graphic>
          </wp:inline>
        </w:drawing>
      </w:r>
      <w:r>
        <w:rPr>
          <w:rFonts w:hint="eastAsia" w:ascii="Times New Roman" w:hAnsi="Times New Roman" w:eastAsia="微软雅黑" w:cs="Tahoma"/>
          <w:color w:val="auto"/>
          <w:kern w:val="0"/>
          <w:sz w:val="22"/>
          <w:szCs w:val="22"/>
          <w:highlight w:val="none"/>
        </w:rPr>
        <w:t xml:space="preserve"> </w:t>
      </w:r>
    </w:p>
    <w:p w14:paraId="0C8F81E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系统基本说明</w:t>
      </w:r>
    </w:p>
    <w:p w14:paraId="115D45EB">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通过间接换热的方式，将高温冷凝水的二次蒸汽热量释放至降温中水里，加热后的中水供应至车间用热水点。热水系统需可设定调节水温，冷凝后的二次蒸汽需能正常从换热器内排出，避免出现冷凝真空；换热器的二次蒸汽空间需足够大，避免产生排气阻力，形成冷凝水管道背压，影响前端干化机加热疏水效率。</w:t>
      </w:r>
    </w:p>
    <w:p w14:paraId="39904E0F">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系统功能要求</w:t>
      </w:r>
    </w:p>
    <w:p w14:paraId="3A1DE03B">
      <w:pPr>
        <w:pStyle w:val="5"/>
        <w:keepNext w:val="0"/>
        <w:keepLines w:val="0"/>
        <w:widowControl w:val="0"/>
        <w:numPr>
          <w:ilvl w:val="0"/>
          <w:numId w:val="5"/>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换热器采用波纹管管壳式换热器。换热器管的两端与管板连接固定。波纹管的设计增强流体的紊流度，增加换热的传热系数。换热器壳体设置有膨胀节，补偿换热器两侧热膨胀量不同造成的热应力，减小热应力带来的损害。换热器壳体还应设置有泄水口和排气口，壳体带自动破真空阀组，换热器完全由不锈钢制造，无橡胶垫片。产品的设计与制造需符合 GB150-2011要求。</w:t>
      </w:r>
    </w:p>
    <w:p w14:paraId="3B85515F">
      <w:pPr>
        <w:pStyle w:val="5"/>
        <w:keepNext w:val="0"/>
        <w:keepLines w:val="0"/>
        <w:widowControl w:val="0"/>
        <w:numPr>
          <w:ilvl w:val="0"/>
          <w:numId w:val="5"/>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系统设计二次蒸汽冷凝处理量不低于1200kg/h，同时需预留至少50%余量。</w:t>
      </w:r>
    </w:p>
    <w:p w14:paraId="2A361C02">
      <w:pPr>
        <w:pStyle w:val="5"/>
        <w:keepNext w:val="0"/>
        <w:keepLines w:val="0"/>
        <w:widowControl w:val="0"/>
        <w:numPr>
          <w:ilvl w:val="0"/>
          <w:numId w:val="5"/>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开式设计，不对冷凝水系统产生背压，具备额外的冷凝水回收口，无动力的情况下可以重新将冷凝水回收到现有冷凝水罐。</w:t>
      </w:r>
    </w:p>
    <w:p w14:paraId="1B1E78E6">
      <w:pPr>
        <w:pStyle w:val="5"/>
        <w:keepNext w:val="0"/>
        <w:keepLines w:val="0"/>
        <w:widowControl w:val="0"/>
        <w:numPr>
          <w:ilvl w:val="0"/>
          <w:numId w:val="5"/>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通过中水出口的温度监测，自动调节水侧自控阀门开度，调节水量不低于18000kg/h 水侧供应管道口径DN100。</w:t>
      </w:r>
    </w:p>
    <w:p w14:paraId="05573AEA">
      <w:pPr>
        <w:pStyle w:val="5"/>
        <w:keepNext w:val="0"/>
        <w:keepLines w:val="0"/>
        <w:widowControl w:val="0"/>
        <w:numPr>
          <w:ilvl w:val="0"/>
          <w:numId w:val="5"/>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统配备再循环喷雾系统，通过正常补水时将常温软水喷淋加入软水箱中以增加二次蒸汽冷凝能力。提高常温给水温度，保证现有冷凝水箱温度均匀。喷雾系统处理流通能力10000kg/h，耐温120℃。喷雾管道口径DN40。</w:t>
      </w:r>
    </w:p>
    <w:p w14:paraId="430FCADE">
      <w:pPr>
        <w:pStyle w:val="7"/>
        <w:keepNext w:val="0"/>
        <w:keepLines w:val="0"/>
        <w:widowControl w:val="0"/>
        <w:numPr>
          <w:ilvl w:val="0"/>
          <w:numId w:val="5"/>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系统需带控制，采用PLC控制，电子元器件参照或相当于西门子，施耐德、ABB等品牌或相当于同档次及以上品牌的产品，运行状态需可远传显示在上位机端。</w:t>
      </w:r>
    </w:p>
    <w:p w14:paraId="03F1AB8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7）中标人在供货时需提供冷凝水回水装置设备图纸和设备关键部件原厂相关测试证明。</w:t>
      </w:r>
    </w:p>
    <w:p w14:paraId="673AE80E">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07AD3F8C">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 锅炉表面排污系统</w:t>
      </w:r>
    </w:p>
    <w:p w14:paraId="39C9C9B9">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color w:val="auto"/>
          <w:highlight w:val="none"/>
        </w:rPr>
        <w:drawing>
          <wp:inline distT="0" distB="0" distL="114300" distR="114300">
            <wp:extent cx="4572000" cy="3476625"/>
            <wp:effectExtent l="0" t="0" r="0" b="9525"/>
            <wp:docPr id="2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257"/>
                    <pic:cNvPicPr>
                      <a:picLocks noChangeAspect="1"/>
                    </pic:cNvPicPr>
                  </pic:nvPicPr>
                  <pic:blipFill>
                    <a:blip r:embed="rId12"/>
                    <a:stretch>
                      <a:fillRect/>
                    </a:stretch>
                  </pic:blipFill>
                  <pic:spPr>
                    <a:xfrm>
                      <a:off x="0" y="0"/>
                      <a:ext cx="4572000" cy="3476625"/>
                    </a:xfrm>
                    <a:prstGeom prst="rect">
                      <a:avLst/>
                    </a:prstGeom>
                    <a:noFill/>
                    <a:ln w="9525">
                      <a:noFill/>
                    </a:ln>
                  </pic:spPr>
                </pic:pic>
              </a:graphicData>
            </a:graphic>
          </wp:inline>
        </w:drawing>
      </w:r>
      <w:r>
        <w:rPr>
          <w:rFonts w:hint="eastAsia" w:ascii="Times New Roman" w:hAnsi="Times New Roman" w:eastAsia="微软雅黑" w:cs="Tahoma"/>
          <w:color w:val="auto"/>
          <w:kern w:val="0"/>
          <w:sz w:val="22"/>
          <w:szCs w:val="22"/>
          <w:highlight w:val="none"/>
        </w:rPr>
        <w:t xml:space="preserve"> </w:t>
      </w:r>
    </w:p>
    <w:p w14:paraId="5D5AF4AA">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  系统基本说明</w:t>
      </w:r>
    </w:p>
    <w:p w14:paraId="4D809FDE">
      <w:pPr>
        <w:pStyle w:val="5"/>
        <w:keepNext w:val="0"/>
        <w:keepLines w:val="0"/>
        <w:widowControl w:val="0"/>
        <w:numPr>
          <w:ilvl w:val="0"/>
          <w:numId w:val="6"/>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所有锅炉水含有一些溶解的固体。这些杂质由于蒸发过程而不断地被浓缩，即总溶解固体（TDS）水平增加。如果TDS水平超过锅炉制造商规定的允许最大值，则会引起锅水发泡和携带污染，导致蒸汽分配系统受到污染。最终，设备的操作可靠性将受到损害，并且锅炉和蒸汽系统可能被严重损坏。本表面排污系统提供精确、稳定、自动化的锅炉炉水可溶性固形物（TDS）浓度控制，将锅炉的排污量降至最低，避免炉水热量的浪费，并有效降低汽水共腾和杂质携带的风险。</w:t>
      </w:r>
    </w:p>
    <w:p w14:paraId="3C0CF30B">
      <w:pPr>
        <w:pStyle w:val="5"/>
        <w:keepNext w:val="0"/>
        <w:keepLines w:val="0"/>
        <w:widowControl w:val="0"/>
        <w:numPr>
          <w:ilvl w:val="0"/>
          <w:numId w:val="6"/>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检测锅炉水的电导率，并将测值与控制器内的设定值相比较，以准确调节排污阀的开度，使锅炉的排污量最小，以达到确保蒸汽品质及减少能量损失之目的。</w:t>
      </w:r>
    </w:p>
    <w:p w14:paraId="43B4D1EC">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  系统功能要求</w:t>
      </w:r>
    </w:p>
    <w:p w14:paraId="54DBD961">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通过对炉水中电导率进行检测，当电导率过高时，开启排污控制阀排除高浓度炉水。</w:t>
      </w:r>
    </w:p>
    <w:p w14:paraId="1B54515D">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根据锅炉负荷情况自动调整排污阀开启的时间间隔。</w:t>
      </w:r>
    </w:p>
    <w:p w14:paraId="33E8265A">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根据实测锅炉水的电导率大小，自动调节排污阀的开度，准确控制排污量。</w:t>
      </w:r>
    </w:p>
    <w:p w14:paraId="4173A1DD">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高电导率或TDS值报警。</w:t>
      </w:r>
    </w:p>
    <w:p w14:paraId="5B5099E8">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探头为外置，无需插入锅炉，一体化的产品撬装设计，方便现场安装和调试。</w:t>
      </w:r>
    </w:p>
    <w:p w14:paraId="557DE19A">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提供两种不同的炉水电导率检测方式，能对炉水电导率间歇性的检测和连续在线检测。</w:t>
      </w:r>
    </w:p>
    <w:p w14:paraId="7B221AC8">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电导率探头带温度补偿和探头结垢检测，具备定时冲洗功能，将电导率感应器进行清洗。</w:t>
      </w:r>
    </w:p>
    <w:p w14:paraId="4489FC83">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可现场显示锅炉系统当前电导率，最小电导率 0.5μS / cm。</w:t>
      </w:r>
    </w:p>
    <w:p w14:paraId="4449BE39">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输出要求：MODBUS RS485通讯远传输出，便于与中控室通讯。</w:t>
      </w:r>
    </w:p>
    <w:p w14:paraId="416EA555">
      <w:pPr>
        <w:pStyle w:val="5"/>
        <w:keepNext w:val="0"/>
        <w:keepLines w:val="0"/>
        <w:widowControl w:val="0"/>
        <w:numPr>
          <w:ilvl w:val="0"/>
          <w:numId w:val="7"/>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电源规格：220V 50HZ。</w:t>
      </w:r>
    </w:p>
    <w:p w14:paraId="5A24AD6B">
      <w:pPr>
        <w:pStyle w:val="7"/>
        <w:keepNext w:val="0"/>
        <w:keepLines w:val="0"/>
        <w:widowControl w:val="0"/>
        <w:numPr>
          <w:ilvl w:val="0"/>
          <w:numId w:val="7"/>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适配6t/h 1.25MPa天然气蒸汽锅炉</w:t>
      </w:r>
    </w:p>
    <w:p w14:paraId="323E025D">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系统中截止阀要求必须为双层波纹管密封型截止阀，具有操作力矩小，无阀杆填料泄漏风险；阀门必须配附有清楚的开/关位置指示；手轮采用符合人工力学，采用压制钢。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压力等级：≥PN16级最大设计温度：300℃ 阀门必须配附有清楚的开关指示。</w:t>
      </w:r>
    </w:p>
    <w:p w14:paraId="69EB6144">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（3）自动表面连续排污阀 </w:t>
      </w:r>
    </w:p>
    <w:p w14:paraId="07953A5D">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规格 DN25 带可调节喷嘴的阀门，带电动执行器220VAC。</w:t>
      </w:r>
    </w:p>
    <w:p w14:paraId="09E3953B">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材质</w:t>
      </w:r>
    </w:p>
    <w:p w14:paraId="5F8E0F5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阀体：碳钢。</w:t>
      </w:r>
    </w:p>
    <w:p w14:paraId="6973B58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阀芯：不锈钢+硬质合金钢。</w:t>
      </w:r>
    </w:p>
    <w:p w14:paraId="2114D8A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阀座：不锈钢+硬质合金钢。</w:t>
      </w:r>
    </w:p>
    <w:p w14:paraId="40EA350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压力等级：PN40</w:t>
      </w:r>
    </w:p>
    <w:p w14:paraId="1DB1232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最大设计压力：102barg</w:t>
      </w:r>
    </w:p>
    <w:p w14:paraId="6334E241">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最大设计温度：400℃</w:t>
      </w:r>
    </w:p>
    <w:p w14:paraId="613109B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连接方式：阀门为法兰连接，感应器为螺纹连接。</w:t>
      </w:r>
    </w:p>
    <w:p w14:paraId="50B3CCA9">
      <w:pPr>
        <w:pStyle w:val="7"/>
        <w:widowControl/>
        <w:spacing w:before="0" w:beforeAutospacing="1"/>
        <w:ind w:left="0" w:right="0"/>
        <w:rPr>
          <w:rFonts w:hint="default" w:ascii="Times New Roman" w:hAnsi="Times New Roman" w:eastAsia="微软雅黑" w:cs="Tahoma"/>
          <w:b w:val="0"/>
          <w:bCs w:val="0"/>
          <w:color w:val="auto"/>
          <w:kern w:val="0"/>
          <w:sz w:val="22"/>
          <w:szCs w:val="22"/>
          <w:highlight w:val="none"/>
        </w:rPr>
      </w:pPr>
      <w:r>
        <w:rPr>
          <w:rFonts w:hint="default" w:ascii="Times New Roman" w:hAnsi="Times New Roman" w:eastAsia="微软雅黑" w:cs="Tahoma"/>
          <w:b w:val="0"/>
          <w:bCs w:val="0"/>
          <w:color w:val="auto"/>
          <w:kern w:val="0"/>
          <w:sz w:val="22"/>
          <w:szCs w:val="22"/>
          <w:highlight w:val="none"/>
        </w:rPr>
        <w:t xml:space="preserve"> </w:t>
      </w:r>
    </w:p>
    <w:p w14:paraId="6DBFC017">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3 锅炉底部自动排污系统 </w:t>
      </w:r>
    </w:p>
    <w:p w14:paraId="4093338A">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color w:val="auto"/>
          <w:highlight w:val="none"/>
        </w:rPr>
        <w:drawing>
          <wp:inline distT="0" distB="0" distL="114300" distR="114300">
            <wp:extent cx="4552950" cy="3457575"/>
            <wp:effectExtent l="0" t="0" r="0" b="9525"/>
            <wp:docPr id="2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IMG_258"/>
                    <pic:cNvPicPr>
                      <a:picLocks noChangeAspect="1"/>
                    </pic:cNvPicPr>
                  </pic:nvPicPr>
                  <pic:blipFill>
                    <a:blip r:embed="rId13"/>
                    <a:stretch>
                      <a:fillRect/>
                    </a:stretch>
                  </pic:blipFill>
                  <pic:spPr>
                    <a:xfrm>
                      <a:off x="0" y="0"/>
                      <a:ext cx="4552950" cy="3457575"/>
                    </a:xfrm>
                    <a:prstGeom prst="rect">
                      <a:avLst/>
                    </a:prstGeom>
                    <a:noFill/>
                    <a:ln w="9525">
                      <a:noFill/>
                    </a:ln>
                  </pic:spPr>
                </pic:pic>
              </a:graphicData>
            </a:graphic>
          </wp:inline>
        </w:drawing>
      </w:r>
      <w:r>
        <w:rPr>
          <w:rFonts w:hint="eastAsia" w:ascii="Times New Roman" w:hAnsi="Times New Roman" w:eastAsia="微软雅黑" w:cs="Tahoma"/>
          <w:color w:val="auto"/>
          <w:kern w:val="0"/>
          <w:sz w:val="22"/>
          <w:szCs w:val="22"/>
          <w:highlight w:val="none"/>
        </w:rPr>
        <w:t xml:space="preserve"> </w:t>
      </w:r>
    </w:p>
    <w:p w14:paraId="311540EA">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  产品基本说明</w:t>
      </w:r>
    </w:p>
    <w:p w14:paraId="3BCDBD24">
      <w:pPr>
        <w:pStyle w:val="5"/>
        <w:keepNext w:val="0"/>
        <w:keepLines w:val="0"/>
        <w:widowControl w:val="0"/>
        <w:numPr>
          <w:ilvl w:val="0"/>
          <w:numId w:val="8"/>
        </w:numPr>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专门设计用于锅炉排污应用，可用于定时自动排污。</w:t>
      </w:r>
    </w:p>
    <w:p w14:paraId="5023A0FD">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通过快速打开排污阀来执行短期锅炉排污，在锅炉底部的喷出开口周围产生短期低压区域，进而产生抽吸效应，移除在锅炉下部沉降而积聚的污泥和沉淀物。间歇排污的抽吸作用仅在阀打开时有效。阀门操作最短可打开约4秒钟，较长的开放时间会浪费锅炉水。间歇排污阀的弹簧关闭力随着锅炉压力增加，阀处于能够破坏沉积在阀座/塞子上的任何污垢颗粒的良好状态，从而确保正向关闭。通过在安装在阀下游的径向级喷嘴中产生的压力降进一步增加阀座/塞的使用寿命。底部排污过程之间的时间间隔能通过锅炉效率、给水质量和允许的锅炉水质来间接计算。</w:t>
      </w:r>
      <w:r>
        <w:rPr>
          <w:rFonts w:hint="eastAsia" w:ascii="宋体" w:hAnsi="宋体" w:eastAsia="宋体" w:cs="宋体"/>
          <w:b/>
          <w:bCs/>
          <w:color w:val="auto"/>
          <w:kern w:val="0"/>
          <w:sz w:val="24"/>
          <w:szCs w:val="24"/>
          <w:highlight w:val="none"/>
        </w:rPr>
        <w:t xml:space="preserve">   </w:t>
      </w:r>
    </w:p>
    <w:p w14:paraId="690D19BE">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3）排污系统带泄漏检测装置，通过检测阀后温度和超声值，自动判断排污阀门工作情况，避免出现泄漏无法及时发现，从而导致能源浪费和安全隐患。</w:t>
      </w:r>
    </w:p>
    <w:p w14:paraId="28E4B81D">
      <w:pPr>
        <w:pStyle w:val="5"/>
        <w:keepNext w:val="0"/>
        <w:keepLines w:val="0"/>
        <w:widowControl w:val="0"/>
        <w:suppressLineNumbers w:val="0"/>
        <w:ind w:left="0" w:lef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rPr>
        <w:t>4）</w:t>
      </w:r>
      <w:r>
        <w:rPr>
          <w:rFonts w:hint="eastAsia" w:ascii="宋体" w:hAnsi="宋体" w:eastAsia="宋体" w:cs="宋体"/>
          <w:color w:val="auto"/>
          <w:kern w:val="0"/>
          <w:sz w:val="24"/>
          <w:szCs w:val="24"/>
          <w:highlight w:val="none"/>
        </w:rPr>
        <w:t>系统中截止阀要求必须为双层波纹管密封型截止阀，具有操作力矩小，无阀杆填料泄漏风险；阀门必须配附有清楚的开/关位置指示；手轮采用符合人工力学，采用压制钢。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18C9BC02">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（2）底部自动排污阀 </w:t>
      </w:r>
    </w:p>
    <w:p w14:paraId="7B4C2DB0">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阀门结构设计需满足以下要求：</w:t>
      </w:r>
    </w:p>
    <w:p w14:paraId="6DB5C177">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1）通过阀体出口部分的集成压力室提高排污效率</w:t>
      </w:r>
    </w:p>
    <w:p w14:paraId="14254378">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2）通过填料密封件之间的附加清洁环获得更高的密封性</w:t>
      </w:r>
    </w:p>
    <w:p w14:paraId="699788F3">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3）通过阀座下游的径向级喷嘴实现更长的使用寿命和可用性</w:t>
      </w:r>
    </w:p>
    <w:p w14:paraId="5F60DE55">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4）不使用大机身盖从而增强抗水锤</w:t>
      </w:r>
    </w:p>
    <w:p w14:paraId="7AC837FD">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5）通过在低压侧上的新密封布置减少磨损</w:t>
      </w:r>
    </w:p>
    <w:p w14:paraId="78FC1BFF">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6）通过新型隔离套管实现工作安全规定的一致性</w:t>
      </w:r>
    </w:p>
    <w:p w14:paraId="2D9F21B5">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7）通过多功能部件快捷方便地安装</w:t>
      </w:r>
    </w:p>
    <w:p w14:paraId="521B49F1">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8）通过作用在压缩弹簧上的附加盘簧以及通过从外部张紧密封件的可能性，减少维护和维修工作</w:t>
      </w:r>
    </w:p>
    <w:p w14:paraId="67DCEA64">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9）通过减压通气管更好地检查功能，以便从外部检测泄漏</w:t>
      </w:r>
    </w:p>
    <w:p w14:paraId="5178502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阀体：碳钢。</w:t>
      </w:r>
    </w:p>
    <w:p w14:paraId="5537603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阀芯：不锈钢+硬质合金钢。</w:t>
      </w:r>
    </w:p>
    <w:p w14:paraId="33E7A65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阀座：不锈钢+硬质合金钢。</w:t>
      </w:r>
    </w:p>
    <w:p w14:paraId="303611F9">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适配6t/h 1.25MPa天然气蒸汽锅炉</w:t>
      </w:r>
    </w:p>
    <w:p w14:paraId="00E09EE9">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 xml:space="preserve"> </w:t>
      </w:r>
    </w:p>
    <w:p w14:paraId="2DD1BE3D">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 锅炉房非标控制柜</w:t>
      </w:r>
    </w:p>
    <w:p w14:paraId="07ADBD9F">
      <w:pPr>
        <w:pStyle w:val="5"/>
        <w:keepNext w:val="0"/>
        <w:keepLines w:val="0"/>
        <w:widowControl w:val="0"/>
        <w:suppressLineNumbers w:val="0"/>
        <w:ind w:left="0" w:leftChars="0" w:firstLine="643" w:firstLineChars="200"/>
        <w:rPr>
          <w:rFonts w:hint="eastAsia" w:ascii="宋体" w:hAnsi="宋体" w:eastAsia="宋体" w:cs="宋体"/>
          <w:b/>
          <w:bCs/>
          <w:color w:val="auto"/>
          <w:kern w:val="0"/>
          <w:sz w:val="24"/>
          <w:szCs w:val="24"/>
          <w:highlight w:val="none"/>
        </w:rPr>
      </w:pPr>
      <w:r>
        <w:rPr>
          <w:color w:val="auto"/>
          <w:highlight w:val="none"/>
        </w:rPr>
        <w:drawing>
          <wp:inline distT="0" distB="0" distL="114300" distR="114300">
            <wp:extent cx="4362450" cy="3248025"/>
            <wp:effectExtent l="0" t="0" r="0" b="9525"/>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14"/>
                    <a:stretch>
                      <a:fillRect/>
                    </a:stretch>
                  </pic:blipFill>
                  <pic:spPr>
                    <a:xfrm>
                      <a:off x="0" y="0"/>
                      <a:ext cx="4362450" cy="3248025"/>
                    </a:xfrm>
                    <a:prstGeom prst="rect">
                      <a:avLst/>
                    </a:prstGeom>
                    <a:noFill/>
                    <a:ln w="9525">
                      <a:noFill/>
                    </a:ln>
                  </pic:spPr>
                </pic:pic>
              </a:graphicData>
            </a:graphic>
          </wp:inline>
        </w:drawing>
      </w:r>
      <w:r>
        <w:rPr>
          <w:rFonts w:hint="eastAsia" w:ascii="宋体" w:hAnsi="宋体" w:eastAsia="宋体" w:cs="宋体"/>
          <w:b/>
          <w:bCs/>
          <w:color w:val="auto"/>
          <w:kern w:val="0"/>
          <w:sz w:val="24"/>
          <w:szCs w:val="24"/>
          <w:highlight w:val="none"/>
        </w:rPr>
        <w:t xml:space="preserve"> </w:t>
      </w:r>
    </w:p>
    <w:p w14:paraId="5E1E1A15">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为实现系统稳定的排污调节控制和报警连锁保护，具有完善的通讯功能，界面友好，操作人性化，自动控制系统采用PLC+触摸屏设计，电气元器件参照或相当于西门子、施耐德、</w:t>
      </w:r>
      <w:r>
        <w:rPr>
          <w:rFonts w:hint="eastAsia" w:ascii="宋体" w:hAnsi="宋体" w:eastAsia="宋体" w:cs="宋体"/>
          <w:b w:val="0"/>
          <w:bCs w:val="0"/>
          <w:color w:val="auto"/>
          <w:kern w:val="0"/>
          <w:sz w:val="24"/>
          <w:szCs w:val="24"/>
          <w:highlight w:val="none"/>
        </w:rPr>
        <w:t>ABB</w:t>
      </w:r>
      <w:r>
        <w:rPr>
          <w:rFonts w:hint="eastAsia" w:ascii="宋体" w:hAnsi="宋体" w:eastAsia="宋体" w:cs="宋体"/>
          <w:color w:val="auto"/>
          <w:kern w:val="0"/>
          <w:sz w:val="24"/>
          <w:szCs w:val="24"/>
          <w:highlight w:val="none"/>
        </w:rPr>
        <w:t>等品牌或相当于同档次及以上品牌的产品。整合锅炉运行数据，需包含以下功能：</w:t>
      </w:r>
    </w:p>
    <w:p w14:paraId="004D79B1">
      <w:pPr>
        <w:pStyle w:val="7"/>
        <w:keepNext w:val="0"/>
        <w:keepLines w:val="0"/>
        <w:widowControl w:val="0"/>
        <w:numPr>
          <w:ilvl w:val="0"/>
          <w:numId w:val="9"/>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锅炉炉水水质监测；</w:t>
      </w:r>
    </w:p>
    <w:p w14:paraId="31BA805E">
      <w:pPr>
        <w:pStyle w:val="7"/>
        <w:keepNext w:val="0"/>
        <w:keepLines w:val="0"/>
        <w:widowControl w:val="0"/>
        <w:numPr>
          <w:ilvl w:val="0"/>
          <w:numId w:val="9"/>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锅炉表面排污和底部排污自动控制，每台锅炉额外独立排污控制器；</w:t>
      </w:r>
    </w:p>
    <w:p w14:paraId="0FE000E1">
      <w:pPr>
        <w:pStyle w:val="7"/>
        <w:keepNext w:val="0"/>
        <w:keepLines w:val="0"/>
        <w:widowControl w:val="0"/>
        <w:numPr>
          <w:ilvl w:val="0"/>
          <w:numId w:val="9"/>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锅炉底部排污阀泄漏监测；</w:t>
      </w:r>
    </w:p>
    <w:p w14:paraId="0ACED043">
      <w:pPr>
        <w:pStyle w:val="7"/>
        <w:keepNext w:val="0"/>
        <w:keepLines w:val="0"/>
        <w:widowControl w:val="0"/>
        <w:numPr>
          <w:ilvl w:val="0"/>
          <w:numId w:val="9"/>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每台干化机使用蒸汽流量监测；</w:t>
      </w:r>
    </w:p>
    <w:p w14:paraId="4DD81E3A">
      <w:pPr>
        <w:pStyle w:val="7"/>
        <w:keepNext w:val="0"/>
        <w:keepLines w:val="0"/>
        <w:widowControl w:val="0"/>
        <w:numPr>
          <w:ilvl w:val="0"/>
          <w:numId w:val="9"/>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冷凝水热回收系统监测；</w:t>
      </w:r>
    </w:p>
    <w:p w14:paraId="0FC4633A">
      <w:pPr>
        <w:pStyle w:val="7"/>
        <w:keepNext w:val="0"/>
        <w:keepLines w:val="0"/>
        <w:widowControl w:val="0"/>
        <w:numPr>
          <w:ilvl w:val="0"/>
          <w:numId w:val="9"/>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冷凝水回收率分析；</w:t>
      </w:r>
    </w:p>
    <w:p w14:paraId="47A38888">
      <w:pPr>
        <w:pStyle w:val="7"/>
        <w:keepNext w:val="0"/>
        <w:keepLines w:val="0"/>
        <w:widowControl w:val="0"/>
        <w:numPr>
          <w:ilvl w:val="0"/>
          <w:numId w:val="9"/>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锅炉效率分析</w:t>
      </w:r>
    </w:p>
    <w:p w14:paraId="6EBBF443">
      <w:pPr>
        <w:pStyle w:val="34"/>
        <w:keepNext w:val="0"/>
        <w:keepLines w:val="0"/>
        <w:widowControl w:val="0"/>
        <w:numPr>
          <w:ilvl w:val="0"/>
          <w:numId w:val="9"/>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数字化服务，可提供Modbus RTU通信和云服务。</w:t>
      </w:r>
    </w:p>
    <w:p w14:paraId="4E039798">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3B6EED0A">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宋体" w:hAnsi="宋体" w:eastAsia="宋体" w:cs="宋体"/>
          <w:b/>
          <w:bCs/>
          <w:color w:val="auto"/>
          <w:kern w:val="0"/>
          <w:sz w:val="24"/>
          <w:szCs w:val="24"/>
          <w:highlight w:val="none"/>
        </w:rPr>
        <w:t>5 干化车间中控室显示 软件及调试</w:t>
      </w:r>
    </w:p>
    <w:p w14:paraId="3A1195D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将项4锅炉房非标控制柜的运行界面和功能适配显示至目前干化车间中控室控制界面中，包含现场调试和培训服务。</w:t>
      </w:r>
    </w:p>
    <w:p w14:paraId="7364E0D0">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78FC6595">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6 自动加药设备</w:t>
      </w:r>
    </w:p>
    <w:p w14:paraId="19B9CD3D">
      <w:pPr>
        <w:pStyle w:val="5"/>
        <w:keepNext w:val="0"/>
        <w:keepLines w:val="0"/>
        <w:widowControl w:val="0"/>
        <w:suppressLineNumbers w:val="0"/>
        <w:ind w:left="0" w:leftChars="0" w:firstLine="643" w:firstLineChars="200"/>
        <w:rPr>
          <w:rFonts w:hint="eastAsia" w:ascii="宋体" w:hAnsi="宋体" w:eastAsia="宋体" w:cs="宋体"/>
          <w:b/>
          <w:bCs/>
          <w:color w:val="auto"/>
          <w:kern w:val="0"/>
          <w:sz w:val="24"/>
          <w:szCs w:val="24"/>
          <w:highlight w:val="none"/>
        </w:rPr>
      </w:pPr>
      <w:r>
        <w:rPr>
          <w:color w:val="auto"/>
          <w:highlight w:val="none"/>
        </w:rPr>
        <w:drawing>
          <wp:inline distT="0" distB="0" distL="114300" distR="114300">
            <wp:extent cx="4276725" cy="3657600"/>
            <wp:effectExtent l="0" t="0" r="9525" b="0"/>
            <wp:docPr id="3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IMG_260"/>
                    <pic:cNvPicPr>
                      <a:picLocks noChangeAspect="1"/>
                    </pic:cNvPicPr>
                  </pic:nvPicPr>
                  <pic:blipFill>
                    <a:blip r:embed="rId15"/>
                    <a:stretch>
                      <a:fillRect/>
                    </a:stretch>
                  </pic:blipFill>
                  <pic:spPr>
                    <a:xfrm>
                      <a:off x="0" y="0"/>
                      <a:ext cx="4276725" cy="3657600"/>
                    </a:xfrm>
                    <a:prstGeom prst="rect">
                      <a:avLst/>
                    </a:prstGeom>
                    <a:noFill/>
                    <a:ln w="9525">
                      <a:noFill/>
                    </a:ln>
                  </pic:spPr>
                </pic:pic>
              </a:graphicData>
            </a:graphic>
          </wp:inline>
        </w:drawing>
      </w:r>
      <w:r>
        <w:rPr>
          <w:rFonts w:hint="eastAsia" w:ascii="宋体" w:hAnsi="宋体" w:eastAsia="宋体" w:cs="宋体"/>
          <w:b/>
          <w:bCs/>
          <w:color w:val="auto"/>
          <w:kern w:val="0"/>
          <w:sz w:val="24"/>
          <w:szCs w:val="24"/>
          <w:highlight w:val="none"/>
        </w:rPr>
        <w:t xml:space="preserve">  </w:t>
      </w:r>
    </w:p>
    <w:p w14:paraId="228E26C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加药设备精准定量向锅炉给水中补给蒸汽管路缓蚀剂，降低蒸汽和冷凝水管道腐蚀，避免冷凝水铁离子超标和管道穿孔泄漏风险。中标人应提供蒸汽管道缓蚀剂的化学品安全技术说明书和项目调试、试运行期间及项目验收后至少满足项目3个月运行所需要的药剂。</w:t>
      </w:r>
    </w:p>
    <w:p w14:paraId="34A30AC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18FC45C4">
      <w:pPr>
        <w:pStyle w:val="34"/>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4B93170E">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7 分汽缸疏水阀组</w:t>
      </w:r>
    </w:p>
    <w:p w14:paraId="5596DC7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6F0C62E2">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DN25过滤器要求为Y型过滤器，材质阀体球墨铸铁，滤芯不锈钢，滤芯规格0.8mm网孔, 压力等级：≥PN16级 最大设计温度：300℃ 法兰连接。</w:t>
      </w:r>
    </w:p>
    <w:p w14:paraId="0E88B37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DN25止回阀采用对夹式止回阀，在水平安装并且无流量情况下的开启压力必须小于27mbar。材质不锈钢，压力等级：PN40级 最大设计温度：400℃ 法兰连接，中标人在供货时需提供阀门原厂相关测试证明。</w:t>
      </w:r>
    </w:p>
    <w:p w14:paraId="3F920ED9">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自动疏水阀要求 </w:t>
      </w:r>
    </w:p>
    <w:p w14:paraId="5F87C380">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规格：DN25 浮球式疏水阀</w:t>
      </w:r>
    </w:p>
    <w:p w14:paraId="38522EA2">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6295A85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39B9BC53">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0E44B4A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564B022B">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最大设计温度：250℃ 压力等级：PN16级</w:t>
      </w:r>
    </w:p>
    <w:p w14:paraId="5B00B969">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3F0B4688">
      <w:pPr>
        <w:keepNext w:val="0"/>
        <w:keepLines w:val="0"/>
        <w:widowControl w:val="0"/>
        <w:suppressLineNumbers w:val="0"/>
        <w:spacing w:before="0" w:beforeAutospacing="0" w:after="0" w:afterAutospacing="0"/>
        <w:ind w:left="0" w:leftChars="0" w:right="0" w:firstLine="480" w:firstLineChars="20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中标人在供货时需提供阀门原厂相关测试证明</w:t>
      </w:r>
      <w:r>
        <w:rPr>
          <w:rFonts w:hint="eastAsia" w:ascii="宋体" w:hAnsi="宋体" w:eastAsia="宋体" w:cs="宋体"/>
          <w:color w:val="auto"/>
          <w:kern w:val="2"/>
          <w:sz w:val="21"/>
          <w:szCs w:val="21"/>
          <w:highlight w:val="none"/>
          <w:lang w:val="en-US" w:eastAsia="zh-CN" w:bidi="ar"/>
        </w:rPr>
        <w:t>。</w:t>
      </w:r>
    </w:p>
    <w:p w14:paraId="40E81CB0">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1258A38F">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8 管路疏水阀组*2</w:t>
      </w:r>
    </w:p>
    <w:p w14:paraId="3991A50D">
      <w:pPr>
        <w:pStyle w:val="5"/>
        <w:keepNext w:val="0"/>
        <w:keepLines w:val="0"/>
        <w:widowControl w:val="0"/>
        <w:suppressLineNumbers w:val="0"/>
        <w:ind w:left="0" w:leftChars="0" w:firstLine="643" w:firstLineChars="200"/>
        <w:rPr>
          <w:rFonts w:hint="eastAsia" w:ascii="宋体" w:hAnsi="宋体" w:eastAsia="宋体" w:cs="宋体"/>
          <w:b/>
          <w:bCs/>
          <w:color w:val="auto"/>
          <w:kern w:val="0"/>
          <w:sz w:val="24"/>
          <w:szCs w:val="24"/>
          <w:highlight w:val="none"/>
        </w:rPr>
      </w:pPr>
      <w:r>
        <w:rPr>
          <w:color w:val="auto"/>
          <w:highlight w:val="none"/>
        </w:rPr>
        <w:drawing>
          <wp:inline distT="0" distB="0" distL="114300" distR="114300">
            <wp:extent cx="2305050" cy="3914775"/>
            <wp:effectExtent l="0" t="0" r="0" b="9525"/>
            <wp:docPr id="2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61"/>
                    <pic:cNvPicPr>
                      <a:picLocks noChangeAspect="1"/>
                    </pic:cNvPicPr>
                  </pic:nvPicPr>
                  <pic:blipFill>
                    <a:blip r:embed="rId16"/>
                    <a:stretch>
                      <a:fillRect/>
                    </a:stretch>
                  </pic:blipFill>
                  <pic:spPr>
                    <a:xfrm>
                      <a:off x="0" y="0"/>
                      <a:ext cx="2305050" cy="3914775"/>
                    </a:xfrm>
                    <a:prstGeom prst="rect">
                      <a:avLst/>
                    </a:prstGeom>
                    <a:noFill/>
                    <a:ln w="9525">
                      <a:noFill/>
                    </a:ln>
                  </pic:spPr>
                </pic:pic>
              </a:graphicData>
            </a:graphic>
          </wp:inline>
        </w:drawing>
      </w:r>
      <w:r>
        <w:rPr>
          <w:rFonts w:hint="eastAsia" w:ascii="宋体" w:hAnsi="宋体" w:eastAsia="宋体" w:cs="宋体"/>
          <w:b/>
          <w:bCs/>
          <w:color w:val="auto"/>
          <w:kern w:val="0"/>
          <w:sz w:val="24"/>
          <w:szCs w:val="24"/>
          <w:highlight w:val="none"/>
        </w:rPr>
        <w:t xml:space="preserve">  </w:t>
      </w:r>
    </w:p>
    <w:p w14:paraId="0E0A4E0D">
      <w:pPr>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（1）阀组要求：</w:t>
      </w:r>
    </w:p>
    <w:p w14:paraId="5085465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压力等级：PN25级 最大设计温度：300℃ 阀门必须配附有清楚的开关指示。</w:t>
      </w:r>
    </w:p>
    <w:p w14:paraId="5494E2C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DN25过滤器要求为Y型过滤器，材质阀体球墨铸铁，滤芯不锈钢，滤芯规格0.8mm网孔, 压力等级：≥PN16级 最大设计温度：300℃ 法兰连接。</w:t>
      </w:r>
    </w:p>
    <w:p w14:paraId="0F227172">
      <w:pPr>
        <w:keepNext w:val="0"/>
        <w:keepLines w:val="0"/>
        <w:widowControl w:val="0"/>
        <w:suppressLineNumbers w:val="0"/>
        <w:spacing w:before="0" w:beforeAutospacing="0" w:after="0" w:afterAutospacing="0"/>
        <w:ind w:left="0" w:leftChars="0" w:right="0" w:firstLine="480" w:firstLineChars="20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DN25止回阀采用对夹式止回阀，在水平安装并且无流量情况下的开启压力必须小于27mbar。材质不锈钢，压力等级：PN40级 最大设计温度：400℃ 法兰连接，中标人在供货时需提供阀门原厂相关测试证明</w:t>
      </w:r>
      <w:r>
        <w:rPr>
          <w:rFonts w:hint="eastAsia" w:ascii="宋体" w:hAnsi="宋体" w:eastAsia="宋体" w:cs="宋体"/>
          <w:color w:val="auto"/>
          <w:kern w:val="2"/>
          <w:sz w:val="21"/>
          <w:szCs w:val="21"/>
          <w:highlight w:val="none"/>
          <w:lang w:val="en-US" w:eastAsia="zh-CN" w:bidi="ar"/>
        </w:rPr>
        <w:t>。</w:t>
      </w:r>
    </w:p>
    <w:p w14:paraId="2CE358B5">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2B965CD">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（2）自动疏水阀要求： </w:t>
      </w:r>
    </w:p>
    <w:p w14:paraId="03F2574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规格：DN25 浮球式疏水阀</w:t>
      </w:r>
    </w:p>
    <w:p w14:paraId="5FBBBF35">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7336980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43175B5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6B0075D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1044B643">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7D21CEE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36C9130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4BE7AD22">
      <w:pPr>
        <w:keepNext w:val="0"/>
        <w:keepLines w:val="0"/>
        <w:widowControl w:val="0"/>
        <w:suppressLineNumbers w:val="0"/>
        <w:spacing w:before="0" w:beforeAutospacing="0" w:after="0" w:afterAutospacing="0"/>
        <w:ind w:left="0" w:leftChars="0" w:right="0" w:firstLine="480" w:firstLineChars="20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中标人在供货时需提供阀门原厂相关测试证明</w:t>
      </w:r>
      <w:r>
        <w:rPr>
          <w:rFonts w:hint="eastAsia" w:ascii="宋体" w:hAnsi="宋体" w:eastAsia="宋体" w:cs="宋体"/>
          <w:color w:val="auto"/>
          <w:kern w:val="2"/>
          <w:sz w:val="21"/>
          <w:szCs w:val="21"/>
          <w:highlight w:val="none"/>
          <w:lang w:val="en-US" w:eastAsia="zh-CN" w:bidi="ar"/>
        </w:rPr>
        <w:t>。</w:t>
      </w:r>
    </w:p>
    <w:p w14:paraId="3F633C38">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7203899A">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9 流量计站*2 </w:t>
      </w:r>
    </w:p>
    <w:p w14:paraId="4BFB5FFC">
      <w:pPr>
        <w:pStyle w:val="7"/>
        <w:widowControl/>
        <w:spacing w:before="0" w:beforeAutospacing="1"/>
        <w:ind w:left="0" w:right="0"/>
        <w:rPr>
          <w:rFonts w:hint="default" w:ascii="Times New Roman" w:hAnsi="Times New Roman" w:eastAsia="微软雅黑" w:cs="Tahoma"/>
          <w:color w:val="auto"/>
          <w:kern w:val="0"/>
          <w:sz w:val="22"/>
          <w:szCs w:val="22"/>
          <w:highlight w:val="none"/>
        </w:rPr>
      </w:pPr>
      <w:r>
        <w:rPr>
          <w:color w:val="auto"/>
          <w:highlight w:val="none"/>
        </w:rPr>
        <w:drawing>
          <wp:inline distT="0" distB="0" distL="114300" distR="114300">
            <wp:extent cx="3581400" cy="2238375"/>
            <wp:effectExtent l="0" t="0" r="0" b="952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7"/>
                    <a:stretch>
                      <a:fillRect/>
                    </a:stretch>
                  </pic:blipFill>
                  <pic:spPr>
                    <a:xfrm>
                      <a:off x="0" y="0"/>
                      <a:ext cx="3581400" cy="2238375"/>
                    </a:xfrm>
                    <a:prstGeom prst="rect">
                      <a:avLst/>
                    </a:prstGeom>
                    <a:noFill/>
                    <a:ln w="9525">
                      <a:noFill/>
                    </a:ln>
                  </pic:spPr>
                </pic:pic>
              </a:graphicData>
            </a:graphic>
          </wp:inline>
        </w:drawing>
      </w:r>
      <w:r>
        <w:rPr>
          <w:rFonts w:hint="default" w:ascii="Times New Roman" w:hAnsi="Times New Roman" w:eastAsia="微软雅黑" w:cs="Tahoma"/>
          <w:color w:val="auto"/>
          <w:kern w:val="0"/>
          <w:sz w:val="22"/>
          <w:szCs w:val="22"/>
          <w:highlight w:val="none"/>
        </w:rPr>
        <w:t xml:space="preserve"> </w:t>
      </w:r>
    </w:p>
    <w:p w14:paraId="1DB3368D">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规格参数 DN150</w:t>
      </w:r>
    </w:p>
    <w:p w14:paraId="3A6F858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产品基本说明</w:t>
      </w:r>
    </w:p>
    <w:p w14:paraId="5D2F43E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蒸汽流量计采用变截面式差压测量方式，本体安装于待测蒸汽管道上。蒸汽流量积分仪可计算和显示瞬间流量、累积流量、功率、温度、压力和热量。</w:t>
      </w:r>
    </w:p>
    <w:p w14:paraId="6D8FB81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（2）产品基本构造</w:t>
      </w:r>
    </w:p>
    <w:p w14:paraId="14B7A882">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1）蒸汽流量计由流量计本体管道单元、压差变送器、压力补偿或者温度补偿、流量积分计算仪、流量计前后直管段等分体式产品组成流量计站,现场需要具备在线显示功能。</w:t>
      </w:r>
    </w:p>
    <w:p w14:paraId="258E10A9">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2）蒸汽流量计本体内部件为可活动的锥体结构，本体连接方式为法兰夹持型。</w:t>
      </w:r>
    </w:p>
    <w:p w14:paraId="22DA575E">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3）蒸汽流量计应具备RS485远传通讯端口，用于连接中控室显示流量计计量参数。</w:t>
      </w:r>
    </w:p>
    <w:p w14:paraId="22B29F8F">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4）需要有密度补偿功能</w:t>
      </w:r>
    </w:p>
    <w:p w14:paraId="748400AD">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产品功能要求</w:t>
      </w:r>
    </w:p>
    <w:p w14:paraId="371DE483">
      <w:pPr>
        <w:pStyle w:val="5"/>
        <w:keepNext w:val="0"/>
        <w:keepLines w:val="0"/>
        <w:widowControl w:val="0"/>
        <w:numPr>
          <w:ilvl w:val="0"/>
          <w:numId w:val="10"/>
        </w:numPr>
        <w:suppressLineNumbers w:val="0"/>
        <w:ind w:left="425" w:leftChars="0" w:hanging="425"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适用于饱和、过热蒸汽系统、大多数工业流体、气体等。</w:t>
      </w:r>
    </w:p>
    <w:p w14:paraId="247FB53E">
      <w:pPr>
        <w:pStyle w:val="5"/>
        <w:keepNext w:val="0"/>
        <w:keepLines w:val="0"/>
        <w:widowControl w:val="0"/>
        <w:numPr>
          <w:ilvl w:val="0"/>
          <w:numId w:val="10"/>
        </w:numPr>
        <w:suppressLineNumbers w:val="0"/>
        <w:ind w:left="425" w:leftChars="0" w:hanging="425"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量程比要求：须达100: 1，满足不同负载变化的要求。</w:t>
      </w:r>
    </w:p>
    <w:p w14:paraId="044A3F8F">
      <w:pPr>
        <w:pStyle w:val="5"/>
        <w:keepNext w:val="0"/>
        <w:keepLines w:val="0"/>
        <w:widowControl w:val="0"/>
        <w:numPr>
          <w:ilvl w:val="0"/>
          <w:numId w:val="10"/>
        </w:numPr>
        <w:suppressLineNumbers w:val="0"/>
        <w:ind w:left="425" w:leftChars="0" w:hanging="425"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精度要求:±1.5%测量误差，在5%~100%最大流量时；</w:t>
      </w:r>
    </w:p>
    <w:p w14:paraId="25B2020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±0.1%满量程误差，在1%~5%最大流量时。</w:t>
      </w:r>
    </w:p>
    <w:p w14:paraId="414311FD">
      <w:pPr>
        <w:pStyle w:val="5"/>
        <w:keepNext w:val="0"/>
        <w:keepLines w:val="0"/>
        <w:widowControl w:val="0"/>
        <w:numPr>
          <w:ilvl w:val="0"/>
          <w:numId w:val="10"/>
        </w:numPr>
        <w:suppressLineNumbers w:val="0"/>
        <w:ind w:left="425" w:leftChars="0" w:hanging="425"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重复性要求：重复性优于0.25%。</w:t>
      </w:r>
    </w:p>
    <w:p w14:paraId="135BD5A5">
      <w:pPr>
        <w:pStyle w:val="5"/>
        <w:keepNext w:val="0"/>
        <w:keepLines w:val="0"/>
        <w:widowControl w:val="0"/>
        <w:numPr>
          <w:ilvl w:val="0"/>
          <w:numId w:val="10"/>
        </w:numPr>
        <w:suppressLineNumbers w:val="0"/>
        <w:ind w:left="425" w:leftChars="0" w:hanging="425"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安装要求：紧凑的对夹式安装，上下游分别需6D和3D的直管道。</w:t>
      </w:r>
    </w:p>
    <w:p w14:paraId="45C6EBA1">
      <w:pPr>
        <w:pStyle w:val="5"/>
        <w:keepNext w:val="0"/>
        <w:keepLines w:val="0"/>
        <w:widowControl w:val="0"/>
        <w:numPr>
          <w:ilvl w:val="0"/>
          <w:numId w:val="10"/>
        </w:numPr>
        <w:suppressLineNumbers w:val="0"/>
        <w:ind w:left="425" w:leftChars="0" w:hanging="425"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补偿功能：具备自动蒸汽密度补偿功能。</w:t>
      </w:r>
    </w:p>
    <w:p w14:paraId="69FF474D">
      <w:pPr>
        <w:pStyle w:val="5"/>
        <w:keepNext w:val="0"/>
        <w:keepLines w:val="0"/>
        <w:widowControl w:val="0"/>
        <w:numPr>
          <w:ilvl w:val="0"/>
          <w:numId w:val="10"/>
        </w:numPr>
        <w:suppressLineNumbers w:val="0"/>
        <w:ind w:left="425" w:leftChars="0" w:hanging="425"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输出要求：MODBUS RS485通讯远传输出，便于与上位机通讯。</w:t>
      </w:r>
    </w:p>
    <w:p w14:paraId="204723A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材质</w:t>
      </w:r>
    </w:p>
    <w:p w14:paraId="1296276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流量计本体：不锈钢</w:t>
      </w:r>
    </w:p>
    <w:p w14:paraId="0A09AB7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压力等级：≥PN16</w:t>
      </w:r>
    </w:p>
    <w:p w14:paraId="3699A94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最大设计压力：102bar g</w:t>
      </w:r>
    </w:p>
    <w:p w14:paraId="42B10568">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  最大设计温度：400℃</w:t>
      </w:r>
    </w:p>
    <w:p w14:paraId="42DC4B65">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  连接方式：流量计整体按站提供，带前后安装所需直管段，避免因现场安装不规范导致的计量误差。</w:t>
      </w:r>
    </w:p>
    <w:p w14:paraId="59A4AD45">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59B89382">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10 设备疏水阀组*8</w:t>
      </w:r>
    </w:p>
    <w:p w14:paraId="36459B32">
      <w:pPr>
        <w:pStyle w:val="5"/>
        <w:keepNext w:val="0"/>
        <w:keepLines w:val="0"/>
        <w:widowControl w:val="0"/>
        <w:suppressLineNumbers w:val="0"/>
        <w:ind w:left="0" w:leftChars="0" w:firstLine="643" w:firstLineChars="200"/>
        <w:rPr>
          <w:rFonts w:hint="eastAsia" w:ascii="宋体" w:hAnsi="宋体" w:eastAsia="宋体" w:cs="宋体"/>
          <w:b/>
          <w:bCs/>
          <w:color w:val="auto"/>
          <w:kern w:val="0"/>
          <w:sz w:val="24"/>
          <w:szCs w:val="24"/>
          <w:highlight w:val="none"/>
        </w:rPr>
      </w:pPr>
      <w:r>
        <w:rPr>
          <w:color w:val="auto"/>
          <w:highlight w:val="none"/>
        </w:rPr>
        <w:drawing>
          <wp:inline distT="0" distB="0" distL="114300" distR="114300">
            <wp:extent cx="5276850" cy="3048000"/>
            <wp:effectExtent l="0" t="0" r="0" b="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8"/>
                    <a:stretch>
                      <a:fillRect/>
                    </a:stretch>
                  </pic:blipFill>
                  <pic:spPr>
                    <a:xfrm>
                      <a:off x="0" y="0"/>
                      <a:ext cx="5276850" cy="3048000"/>
                    </a:xfrm>
                    <a:prstGeom prst="rect">
                      <a:avLst/>
                    </a:prstGeom>
                    <a:noFill/>
                    <a:ln w="9525">
                      <a:noFill/>
                    </a:ln>
                  </pic:spPr>
                </pic:pic>
              </a:graphicData>
            </a:graphic>
          </wp:inline>
        </w:drawing>
      </w:r>
      <w:r>
        <w:rPr>
          <w:rFonts w:hint="eastAsia" w:ascii="宋体" w:hAnsi="宋体" w:eastAsia="宋体" w:cs="宋体"/>
          <w:b/>
          <w:bCs/>
          <w:color w:val="auto"/>
          <w:kern w:val="0"/>
          <w:sz w:val="24"/>
          <w:szCs w:val="24"/>
          <w:highlight w:val="none"/>
        </w:rPr>
        <w:t xml:space="preserve">    </w:t>
      </w:r>
    </w:p>
    <w:p w14:paraId="3118727C">
      <w:pPr>
        <w:keepNext w:val="0"/>
        <w:keepLines w:val="0"/>
        <w:widowControl w:val="0"/>
        <w:numPr>
          <w:ilvl w:val="0"/>
          <w:numId w:val="11"/>
        </w:numPr>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阀组要求：</w:t>
      </w:r>
    </w:p>
    <w:p w14:paraId="2AAE636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4E5B3E10">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DN25旁通阀采用波纹管密封截止阀和高温球阀串联安装，DN25 PN16法兰连接，截止阀要求和上述一致，高温球阀采用碳/石墨强化PTFE密封，极限耐温260℃。</w:t>
      </w:r>
    </w:p>
    <w:p w14:paraId="0F1A660D">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DN40过滤器要求为Y型过滤器，材质阀体球墨铸铁，滤芯不锈钢，滤芯规格0.8mm网孔, 压力等级：≥PN16级 最大设计温度：300℃ 法兰连接。</w:t>
      </w:r>
    </w:p>
    <w:p w14:paraId="69571B26">
      <w:pPr>
        <w:keepNext w:val="0"/>
        <w:keepLines w:val="0"/>
        <w:widowControl w:val="0"/>
        <w:suppressLineNumbers w:val="0"/>
        <w:spacing w:before="0" w:beforeAutospacing="0" w:after="0" w:afterAutospacing="0"/>
        <w:ind w:left="0" w:leftChars="0" w:right="0" w:firstLine="480" w:firstLineChars="20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DN40止回阀采用对夹式止回阀，在水平安装并且无流量情况下的开启压力必须小于27mbar。材质不锈钢，压力等级：PN40级 最大设计温度：400℃ 法兰连接，中标人在供货时需提供阀门原厂相关测试证明</w:t>
      </w:r>
      <w:r>
        <w:rPr>
          <w:rFonts w:hint="eastAsia" w:ascii="宋体" w:hAnsi="宋体" w:eastAsia="宋体" w:cs="宋体"/>
          <w:color w:val="auto"/>
          <w:kern w:val="2"/>
          <w:sz w:val="21"/>
          <w:szCs w:val="21"/>
          <w:highlight w:val="none"/>
          <w:lang w:val="en-US" w:eastAsia="zh-CN" w:bidi="ar"/>
        </w:rPr>
        <w:t>。</w:t>
      </w:r>
    </w:p>
    <w:p w14:paraId="502FC9DA">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 观视镜，材质球墨铸铁/碳钢，采用双窗观视镜，视窗采用硼硅酸玻璃，整体耐温280℃，≥PN16法兰连接。</w:t>
      </w:r>
    </w:p>
    <w:p w14:paraId="34BB4BD5">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（2）自动疏水阀要求 </w:t>
      </w:r>
    </w:p>
    <w:p w14:paraId="53F63A72">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规格：DN40 浮球式疏水阀</w:t>
      </w:r>
    </w:p>
    <w:p w14:paraId="5FDAF6F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4957B743">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09FD5DC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0FFE36B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65892A2B">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20B09653">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58B18FC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3177D770">
      <w:pPr>
        <w:keepNext w:val="0"/>
        <w:keepLines w:val="0"/>
        <w:widowControl w:val="0"/>
        <w:suppressLineNumbers w:val="0"/>
        <w:spacing w:before="0" w:beforeAutospacing="0" w:after="0" w:afterAutospacing="0"/>
        <w:ind w:left="0" w:leftChars="0" w:right="0" w:firstLine="480" w:firstLineChars="20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中标人在供货时需提供阀门原厂相关测试证明</w:t>
      </w:r>
      <w:r>
        <w:rPr>
          <w:rFonts w:hint="eastAsia" w:ascii="宋体" w:hAnsi="宋体" w:eastAsia="宋体" w:cs="宋体"/>
          <w:color w:val="auto"/>
          <w:kern w:val="2"/>
          <w:sz w:val="21"/>
          <w:szCs w:val="21"/>
          <w:highlight w:val="none"/>
          <w:lang w:val="en-US" w:eastAsia="zh-CN" w:bidi="ar"/>
        </w:rPr>
        <w:t>。</w:t>
      </w:r>
    </w:p>
    <w:p w14:paraId="0CC9DB05">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4E3FF9E0">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11 疏水阀检测组件*11 疏水阀检测装置 </w:t>
      </w:r>
    </w:p>
    <w:p w14:paraId="38322B8D">
      <w:pPr>
        <w:pStyle w:val="7"/>
        <w:keepNext w:val="0"/>
        <w:keepLines w:val="0"/>
        <w:widowControl w:val="0"/>
        <w:numPr>
          <w:ilvl w:val="0"/>
          <w:numId w:val="12"/>
        </w:numPr>
        <w:suppressLineNumbers w:val="0"/>
        <w:spacing w:before="0" w:beforeAutospacing="1" w:after="0" w:afterAutospacing="0"/>
        <w:ind w:left="0" w:leftChars="0" w:right="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疏水阀检测组件：</w:t>
      </w:r>
    </w:p>
    <w:p w14:paraId="5776502A">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疏水阀检测组件由适配头、传感器、前置放大器、节点四部分组成，其本体可以直接安装在疏水阀阀体的螺栓上，通过传感器测量超声波信号及温度，对不同类型疏水阀采用不同模型及内置算法对其工作状态进行判定（正常，泄漏，积水，未工作），并将所测量的数据和边缘侧处理后的结果，通过无线传输的方式上传至控制柜平台展示。疏水阀检测组件内置可更换锂电池进行供电，无需单独供电，电池寿命根据数据传输频率的不同，拥有2-10年的寿命。 </w:t>
      </w:r>
    </w:p>
    <w:p w14:paraId="1D3C421F">
      <w:pPr>
        <w:pStyle w:val="7"/>
        <w:keepNext w:val="0"/>
        <w:keepLines w:val="0"/>
        <w:widowControl w:val="0"/>
        <w:suppressLineNumbers w:val="0"/>
        <w:spacing w:before="0" w:beforeAutospacing="1" w:after="0" w:afterAutospacing="0"/>
        <w:ind w:left="420" w:leftChars="200" w:right="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（2）疏水阀检测装置：</w:t>
      </w:r>
    </w:p>
    <w:p w14:paraId="434924B4">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疏水阀监测界面</w:t>
      </w:r>
    </w:p>
    <w:p w14:paraId="313B192D">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1）设备疏水阀状态实时监测看板</w:t>
      </w:r>
    </w:p>
    <w:p w14:paraId="26374705">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采集厂区内关键疏水点位数据，实时监测疏水阀运行状态。利用设备看板，全厂不同区域疏水阀状态一目了然，快捷方便管理。具体界面可根据需求进行定制。</w:t>
      </w:r>
    </w:p>
    <w:p w14:paraId="57BC4454">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2）设备异常警报及报警跟踪</w:t>
      </w:r>
    </w:p>
    <w:p w14:paraId="40B73452">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设置数据警报以立即通知疏水阀泄漏、堵塞等状态，支持查看、跟踪、评论或设置警报调查的当前状态，以帮助量化警报原因和问题。</w:t>
      </w:r>
    </w:p>
    <w:p w14:paraId="7962C028">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疏水阀状态分为四种，正常运行，未使用，堵塞，泄漏，并通过颜色进行区分，方便用户快速了解疏水阀当前运行状态。</w:t>
      </w:r>
    </w:p>
    <w:p w14:paraId="0FAFB527">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4562E86E">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12 冷凝水管排污 排污阀</w:t>
      </w:r>
    </w:p>
    <w:p w14:paraId="316C15CE">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r>
        <w:rPr>
          <w:color w:val="auto"/>
          <w:highlight w:val="none"/>
        </w:rPr>
        <w:drawing>
          <wp:inline distT="0" distB="0" distL="114300" distR="114300">
            <wp:extent cx="5276850" cy="3086100"/>
            <wp:effectExtent l="0" t="0" r="0" b="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9"/>
                    <a:stretch>
                      <a:fillRect/>
                    </a:stretch>
                  </pic:blipFill>
                  <pic:spPr>
                    <a:xfrm>
                      <a:off x="0" y="0"/>
                      <a:ext cx="5276850" cy="3086100"/>
                    </a:xfrm>
                    <a:prstGeom prst="rect">
                      <a:avLst/>
                    </a:prstGeom>
                    <a:noFill/>
                    <a:ln w="9525">
                      <a:noFill/>
                    </a:ln>
                  </pic:spPr>
                </pic:pic>
              </a:graphicData>
            </a:graphic>
          </wp:inline>
        </w:drawing>
      </w:r>
    </w:p>
    <w:p w14:paraId="1548459C">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采用波纹管密封截止阀和高温球阀串联安装，DN25 PN16法兰连接，截止阀要求和上述一致，高温球阀采用碳/石墨强化PTFE密封，极限耐温260℃。</w:t>
      </w:r>
    </w:p>
    <w:p w14:paraId="00CA16CA">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2FB6E877">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13 软水电泵组  </w:t>
      </w:r>
    </w:p>
    <w:p w14:paraId="4833AB37">
      <w:pPr>
        <w:pStyle w:val="5"/>
        <w:keepNext w:val="0"/>
        <w:keepLines w:val="0"/>
        <w:widowControl w:val="0"/>
        <w:suppressLineNumbers w:val="0"/>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r>
        <w:rPr>
          <w:color w:val="auto"/>
          <w:highlight w:val="none"/>
        </w:rPr>
        <w:drawing>
          <wp:inline distT="0" distB="0" distL="114300" distR="114300">
            <wp:extent cx="5276850" cy="2647950"/>
            <wp:effectExtent l="0" t="0" r="0" b="0"/>
            <wp:docPr id="3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265"/>
                    <pic:cNvPicPr>
                      <a:picLocks noChangeAspect="1"/>
                    </pic:cNvPicPr>
                  </pic:nvPicPr>
                  <pic:blipFill>
                    <a:blip r:embed="rId20"/>
                    <a:stretch>
                      <a:fillRect/>
                    </a:stretch>
                  </pic:blipFill>
                  <pic:spPr>
                    <a:xfrm>
                      <a:off x="0" y="0"/>
                      <a:ext cx="5276850" cy="2647950"/>
                    </a:xfrm>
                    <a:prstGeom prst="rect">
                      <a:avLst/>
                    </a:prstGeom>
                    <a:noFill/>
                    <a:ln w="9525">
                      <a:noFill/>
                    </a:ln>
                  </pic:spPr>
                </pic:pic>
              </a:graphicData>
            </a:graphic>
          </wp:inline>
        </w:drawing>
      </w:r>
    </w:p>
    <w:p w14:paraId="5A0D61CA">
      <w:pPr>
        <w:keepNext w:val="0"/>
        <w:keepLines w:val="0"/>
        <w:widowControl w:val="0"/>
        <w:suppressLineNumbers w:val="0"/>
        <w:spacing w:before="0" w:beforeAutospacing="0" w:after="0" w:afterAutospacing="0" w:line="360" w:lineRule="auto"/>
        <w:ind w:left="420" w:leftChars="200" w:right="0" w:firstLine="0" w:firstLineChars="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（1）泵组要求：</w:t>
      </w:r>
    </w:p>
    <w:p w14:paraId="5E3E69B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315746F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DN40过滤器要求为Y型过滤器，材质阀体球墨铸铁，滤芯不锈钢，滤芯规格0.8mm网孔, 压力等级：≥PN16级 最大设计温度：300℃ 法兰连接。</w:t>
      </w:r>
    </w:p>
    <w:p w14:paraId="7ABC6EA9">
      <w:pPr>
        <w:keepNext w:val="0"/>
        <w:keepLines w:val="0"/>
        <w:widowControl w:val="0"/>
        <w:suppressLineNumbers w:val="0"/>
        <w:spacing w:before="0" w:beforeAutospacing="0" w:after="0" w:afterAutospacing="0"/>
        <w:ind w:left="0" w:leftChars="0" w:right="0" w:firstLine="480" w:firstLineChars="20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DN40止回阀采用对夹式止回阀，在水平安装并且无流量情况下的开启压力必须小于27mbar。材质不锈钢，压力等级：PN40级 最大设计温度：400℃ 法兰连接，中标人在供货时需提供阀门原厂相关测试证明</w:t>
      </w:r>
      <w:r>
        <w:rPr>
          <w:rFonts w:hint="eastAsia" w:ascii="宋体" w:hAnsi="宋体" w:eastAsia="宋体" w:cs="宋体"/>
          <w:color w:val="auto"/>
          <w:kern w:val="2"/>
          <w:sz w:val="21"/>
          <w:szCs w:val="21"/>
          <w:highlight w:val="none"/>
          <w:lang w:val="en-US" w:eastAsia="zh-CN" w:bidi="ar"/>
        </w:rPr>
        <w:t>。</w:t>
      </w:r>
    </w:p>
    <w:p w14:paraId="3425B5DE">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（2）电泵要求：  </w:t>
      </w:r>
    </w:p>
    <w:p w14:paraId="7F9F7ECA">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流量10m³/h，扬程30m，工频，开关控制。</w:t>
      </w:r>
    </w:p>
    <w:p w14:paraId="6BBF33A5">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225BA624">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14 软水流量计 </w:t>
      </w:r>
    </w:p>
    <w:p w14:paraId="3173D056">
      <w:pPr>
        <w:pStyle w:val="7"/>
        <w:keepNext w:val="0"/>
        <w:keepLines w:val="0"/>
        <w:widowControl w:val="0"/>
        <w:suppressLineNumbers w:val="0"/>
        <w:spacing w:before="0" w:beforeAutospacing="1" w:after="0" w:afterAutospacing="0"/>
        <w:ind w:left="0" w:leftChars="0" w:right="0" w:firstLine="440" w:firstLineChars="200"/>
        <w:rPr>
          <w:rFonts w:hint="default" w:ascii="Times New Roman" w:hAnsi="Times New Roman" w:eastAsia="微软雅黑" w:cs="Tahoma"/>
          <w:color w:val="auto"/>
          <w:kern w:val="0"/>
          <w:sz w:val="22"/>
          <w:szCs w:val="22"/>
          <w:highlight w:val="none"/>
        </w:rPr>
      </w:pPr>
      <w:r>
        <w:rPr>
          <w:color w:val="auto"/>
          <w:highlight w:val="none"/>
        </w:rPr>
        <w:drawing>
          <wp:inline distT="0" distB="0" distL="114300" distR="114300">
            <wp:extent cx="5276850" cy="1743075"/>
            <wp:effectExtent l="0" t="0" r="0" b="9525"/>
            <wp:docPr id="2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66"/>
                    <pic:cNvPicPr>
                      <a:picLocks noChangeAspect="1"/>
                    </pic:cNvPicPr>
                  </pic:nvPicPr>
                  <pic:blipFill>
                    <a:blip r:embed="rId21"/>
                    <a:stretch>
                      <a:fillRect/>
                    </a:stretch>
                  </pic:blipFill>
                  <pic:spPr>
                    <a:xfrm>
                      <a:off x="0" y="0"/>
                      <a:ext cx="5276850" cy="1743075"/>
                    </a:xfrm>
                    <a:prstGeom prst="rect">
                      <a:avLst/>
                    </a:prstGeom>
                    <a:noFill/>
                    <a:ln w="9525">
                      <a:noFill/>
                    </a:ln>
                  </pic:spPr>
                </pic:pic>
              </a:graphicData>
            </a:graphic>
          </wp:inline>
        </w:drawing>
      </w:r>
      <w:r>
        <w:rPr>
          <w:rFonts w:hint="default" w:ascii="Times New Roman" w:hAnsi="Times New Roman" w:eastAsia="微软雅黑" w:cs="Tahoma"/>
          <w:color w:val="auto"/>
          <w:kern w:val="0"/>
          <w:sz w:val="22"/>
          <w:szCs w:val="22"/>
          <w:highlight w:val="none"/>
        </w:rPr>
        <w:t xml:space="preserve"> </w:t>
      </w:r>
    </w:p>
    <w:p w14:paraId="484F4552">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采用涡街型流量计，带流量信号输出功能，RS485通讯。精度±1.0%。</w:t>
      </w:r>
    </w:p>
    <w:p w14:paraId="1246D3D9">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6AC346D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15 闪蒸罐及其液位疏水阀组</w:t>
      </w:r>
    </w:p>
    <w:p w14:paraId="6BCF942D">
      <w:pPr>
        <w:pStyle w:val="5"/>
        <w:keepNext w:val="0"/>
        <w:keepLines w:val="0"/>
        <w:widowControl w:val="0"/>
        <w:suppressLineNumbers w:val="0"/>
        <w:ind w:left="0" w:leftChars="0" w:firstLine="643" w:firstLineChars="200"/>
        <w:rPr>
          <w:rFonts w:hint="eastAsia" w:ascii="宋体" w:hAnsi="宋体" w:eastAsia="宋体" w:cs="宋体"/>
          <w:b/>
          <w:bCs/>
          <w:color w:val="auto"/>
          <w:kern w:val="0"/>
          <w:sz w:val="24"/>
          <w:szCs w:val="24"/>
          <w:highlight w:val="none"/>
        </w:rPr>
      </w:pPr>
      <w:r>
        <w:rPr>
          <w:color w:val="auto"/>
          <w:highlight w:val="none"/>
        </w:rPr>
        <w:drawing>
          <wp:inline distT="0" distB="0" distL="114300" distR="114300">
            <wp:extent cx="2362200" cy="2886075"/>
            <wp:effectExtent l="0" t="0" r="0" b="9525"/>
            <wp:docPr id="3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IMG_267"/>
                    <pic:cNvPicPr>
                      <a:picLocks noChangeAspect="1"/>
                    </pic:cNvPicPr>
                  </pic:nvPicPr>
                  <pic:blipFill>
                    <a:blip r:embed="rId22"/>
                    <a:stretch>
                      <a:fillRect/>
                    </a:stretch>
                  </pic:blipFill>
                  <pic:spPr>
                    <a:xfrm>
                      <a:off x="0" y="0"/>
                      <a:ext cx="2362200" cy="2886075"/>
                    </a:xfrm>
                    <a:prstGeom prst="rect">
                      <a:avLst/>
                    </a:prstGeom>
                    <a:noFill/>
                    <a:ln w="9525">
                      <a:noFill/>
                    </a:ln>
                  </pic:spPr>
                </pic:pic>
              </a:graphicData>
            </a:graphic>
          </wp:inline>
        </w:drawing>
      </w:r>
      <w:r>
        <w:rPr>
          <w:rFonts w:hint="eastAsia" w:ascii="宋体" w:hAnsi="宋体" w:eastAsia="宋体" w:cs="宋体"/>
          <w:b/>
          <w:bCs/>
          <w:color w:val="auto"/>
          <w:kern w:val="0"/>
          <w:sz w:val="24"/>
          <w:szCs w:val="24"/>
          <w:highlight w:val="none"/>
        </w:rPr>
        <w:t xml:space="preserve"> </w:t>
      </w:r>
    </w:p>
    <w:p w14:paraId="7C99E90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（1）闪蒸罐 </w:t>
      </w:r>
    </w:p>
    <w:p w14:paraId="6126D284">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闪蒸罐根据根据ASME VIII DIV 1 2004 +ADD06和GB150设计和制造。设计为自由排水，适用于锅炉排污热量回收系统，可以从排污中有效分离二次蒸汽，防止锅炉给水箱和/或换热面的污染。压力等级：14barg 最大设计温度：198℃ 法兰连接。本体带安装支座。尺寸不大于直径180mm，高度1300mm，</w:t>
      </w:r>
      <w:r>
        <w:rPr>
          <w:rFonts w:hint="eastAsia" w:ascii="宋体" w:hAnsi="宋体" w:eastAsia="宋体" w:cs="宋体"/>
          <w:b w:val="0"/>
          <w:bCs w:val="0"/>
          <w:color w:val="auto"/>
          <w:kern w:val="0"/>
          <w:sz w:val="24"/>
          <w:szCs w:val="24"/>
          <w:highlight w:val="none"/>
        </w:rPr>
        <w:t>内径小于150mm或容积小于30L</w:t>
      </w:r>
      <w:r>
        <w:rPr>
          <w:rFonts w:hint="eastAsia" w:ascii="宋体" w:hAnsi="宋体" w:eastAsia="宋体" w:cs="宋体"/>
          <w:color w:val="auto"/>
          <w:kern w:val="0"/>
          <w:sz w:val="24"/>
          <w:szCs w:val="24"/>
          <w:highlight w:val="none"/>
        </w:rPr>
        <w:t>。不承压安装，顶部自由排空，非压力容器报装。</w:t>
      </w:r>
    </w:p>
    <w:p w14:paraId="3C7F2F44">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（2）液位疏水阀组    </w:t>
      </w:r>
    </w:p>
    <w:p w14:paraId="3C5ED31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压力等级：PN25级 最大设计温度：300℃ 阀门必须配附有清楚的开关指示。</w:t>
      </w:r>
    </w:p>
    <w:p w14:paraId="700F652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DN40过滤器要求为Y型过滤器，材质阀体球墨铸铁，滤芯不锈钢，滤芯规格0.8mm网孔, 压力等级：≥PN16级 最大设计温度：300℃ 法兰连接。</w:t>
      </w:r>
    </w:p>
    <w:p w14:paraId="75E774E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 观视镜，材质球墨铸铁/碳钢，采用双窗观视镜，视窗采用硼硅酸玻璃，整体耐温280℃，≥PN16法兰连接。</w:t>
      </w:r>
    </w:p>
    <w:p w14:paraId="3EE12B0A">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（3）自动疏水阀要求 </w:t>
      </w:r>
    </w:p>
    <w:p w14:paraId="4DC0470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规格：DN40 浮球式疏水阀</w:t>
      </w:r>
    </w:p>
    <w:p w14:paraId="3E1ECED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2DC9855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433F113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44B486D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09B201A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1C4C80A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3ED65CF8">
      <w:pPr>
        <w:keepNext w:val="0"/>
        <w:keepLines w:val="0"/>
        <w:widowControl w:val="0"/>
        <w:suppressLineNumbers w:val="0"/>
        <w:spacing w:before="0" w:beforeAutospacing="0" w:after="0" w:afterAutospacing="0"/>
        <w:ind w:left="0" w:leftChars="0" w:right="0" w:firstLine="480" w:firstLineChars="20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中标人在供货时需提供阀门原厂相关测试证明</w:t>
      </w:r>
      <w:r>
        <w:rPr>
          <w:rFonts w:hint="eastAsia" w:ascii="宋体" w:hAnsi="宋体" w:eastAsia="宋体" w:cs="宋体"/>
          <w:color w:val="auto"/>
          <w:kern w:val="2"/>
          <w:sz w:val="21"/>
          <w:szCs w:val="21"/>
          <w:highlight w:val="none"/>
          <w:lang w:val="en-US" w:eastAsia="zh-CN" w:bidi="ar"/>
        </w:rPr>
        <w:t>。</w:t>
      </w:r>
    </w:p>
    <w:p w14:paraId="503BDFF2">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6FD157EC">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16 水水定压换热机组</w:t>
      </w:r>
    </w:p>
    <w:p w14:paraId="4DBF803F">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color w:val="auto"/>
          <w:highlight w:val="none"/>
        </w:rPr>
        <w:drawing>
          <wp:inline distT="0" distB="0" distL="114300" distR="114300">
            <wp:extent cx="5286375" cy="2743200"/>
            <wp:effectExtent l="0" t="0" r="9525" b="0"/>
            <wp:docPr id="2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IMG_268"/>
                    <pic:cNvPicPr>
                      <a:picLocks noChangeAspect="1"/>
                    </pic:cNvPicPr>
                  </pic:nvPicPr>
                  <pic:blipFill>
                    <a:blip r:embed="rId23"/>
                    <a:stretch>
                      <a:fillRect/>
                    </a:stretch>
                  </pic:blipFill>
                  <pic:spPr>
                    <a:xfrm>
                      <a:off x="0" y="0"/>
                      <a:ext cx="5286375" cy="2743200"/>
                    </a:xfrm>
                    <a:prstGeom prst="rect">
                      <a:avLst/>
                    </a:prstGeom>
                    <a:noFill/>
                    <a:ln w="9525">
                      <a:noFill/>
                    </a:ln>
                  </pic:spPr>
                </pic:pic>
              </a:graphicData>
            </a:graphic>
          </wp:inline>
        </w:drawing>
      </w:r>
      <w:r>
        <w:rPr>
          <w:rFonts w:hint="eastAsia" w:ascii="Times New Roman" w:hAnsi="Times New Roman" w:eastAsia="微软雅黑" w:cs="Tahoma"/>
          <w:color w:val="auto"/>
          <w:kern w:val="0"/>
          <w:sz w:val="22"/>
          <w:szCs w:val="22"/>
          <w:highlight w:val="none"/>
        </w:rPr>
        <w:t xml:space="preserve"> </w:t>
      </w:r>
    </w:p>
    <w:p w14:paraId="444882F3">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介质软化水和中水，软化水侧循环管道材质不锈钢，配置定压膨胀罐和循环水泵，膨胀罐容积不低于500mL；</w:t>
      </w:r>
    </w:p>
    <w:p w14:paraId="2BA48006">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中水侧管道材质碳钢，配置自控阀门，通过调节中水流量控制系统整体换热温度；</w:t>
      </w:r>
    </w:p>
    <w:p w14:paraId="73BD15B6">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换热器采用可拆卸板式换热器，板片材质不锈钢；</w:t>
      </w:r>
    </w:p>
    <w:p w14:paraId="437ED1DB">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采用PLC控制，实时显示两侧介质温度；</w:t>
      </w:r>
    </w:p>
    <w:p w14:paraId="673AE1C5">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换热机组整体撬装供货，含底部安装支架。</w:t>
      </w:r>
    </w:p>
    <w:p w14:paraId="5F12E391">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功能保证，需控制软水温度不超过60℃，软水循环流量5m³/h，循环温差15度。</w:t>
      </w:r>
    </w:p>
    <w:p w14:paraId="3F717A1A">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1CC82A3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17 压缩空气阀门</w:t>
      </w:r>
    </w:p>
    <w:p w14:paraId="10A61186">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color w:val="auto"/>
          <w:highlight w:val="none"/>
        </w:rPr>
        <w:drawing>
          <wp:inline distT="0" distB="0" distL="114300" distR="114300">
            <wp:extent cx="1657350" cy="1295400"/>
            <wp:effectExtent l="0" t="0" r="0" b="0"/>
            <wp:docPr id="3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69"/>
                    <pic:cNvPicPr>
                      <a:picLocks noChangeAspect="1"/>
                    </pic:cNvPicPr>
                  </pic:nvPicPr>
                  <pic:blipFill>
                    <a:blip r:embed="rId24"/>
                    <a:stretch>
                      <a:fillRect/>
                    </a:stretch>
                  </pic:blipFill>
                  <pic:spPr>
                    <a:xfrm>
                      <a:off x="0" y="0"/>
                      <a:ext cx="1657350" cy="1295400"/>
                    </a:xfrm>
                    <a:prstGeom prst="rect">
                      <a:avLst/>
                    </a:prstGeom>
                    <a:noFill/>
                    <a:ln w="9525">
                      <a:noFill/>
                    </a:ln>
                  </pic:spPr>
                </pic:pic>
              </a:graphicData>
            </a:graphic>
          </wp:inline>
        </w:drawing>
      </w:r>
      <w:r>
        <w:rPr>
          <w:color w:val="auto"/>
          <w:highlight w:val="none"/>
        </w:rPr>
        <w:drawing>
          <wp:inline distT="0" distB="0" distL="114300" distR="114300">
            <wp:extent cx="5276850" cy="3933825"/>
            <wp:effectExtent l="0" t="0" r="0" b="9525"/>
            <wp:docPr id="2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IMG_270"/>
                    <pic:cNvPicPr>
                      <a:picLocks noChangeAspect="1"/>
                    </pic:cNvPicPr>
                  </pic:nvPicPr>
                  <pic:blipFill>
                    <a:blip r:embed="rId25"/>
                    <a:stretch>
                      <a:fillRect/>
                    </a:stretch>
                  </pic:blipFill>
                  <pic:spPr>
                    <a:xfrm>
                      <a:off x="0" y="0"/>
                      <a:ext cx="5276850" cy="3933825"/>
                    </a:xfrm>
                    <a:prstGeom prst="rect">
                      <a:avLst/>
                    </a:prstGeom>
                    <a:noFill/>
                    <a:ln w="9525">
                      <a:noFill/>
                    </a:ln>
                  </pic:spPr>
                </pic:pic>
              </a:graphicData>
            </a:graphic>
          </wp:inline>
        </w:drawing>
      </w:r>
      <w:r>
        <w:rPr>
          <w:rFonts w:hint="eastAsia" w:ascii="Times New Roman" w:hAnsi="Times New Roman" w:eastAsia="微软雅黑" w:cs="Tahoma"/>
          <w:color w:val="auto"/>
          <w:kern w:val="0"/>
          <w:sz w:val="22"/>
          <w:szCs w:val="22"/>
          <w:highlight w:val="none"/>
        </w:rPr>
        <w:t xml:space="preserve"> </w:t>
      </w:r>
    </w:p>
    <w:p w14:paraId="6619BEAA">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（1）精密过滤器 </w:t>
      </w:r>
    </w:p>
    <w:p w14:paraId="3E6B09CF">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规格：DN25</w:t>
      </w:r>
    </w:p>
    <w:p w14:paraId="45C50ED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公称压力：1.6MPa</w:t>
      </w:r>
    </w:p>
    <w:p w14:paraId="066824C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材质 不锈钢</w:t>
      </w:r>
    </w:p>
    <w:p w14:paraId="1F20304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连接方式 法兰连接</w:t>
      </w:r>
    </w:p>
    <w:p w14:paraId="4892051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处理后的气体固体微粒数量应小于0.1g/m³，且微粒直径应不大于3μm，含油量应少于1ppm</w:t>
      </w:r>
    </w:p>
    <w:p w14:paraId="50CB6244">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法兰球阀 </w:t>
      </w:r>
    </w:p>
    <w:p w14:paraId="06C08CB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1）规格：DN25</w:t>
      </w:r>
    </w:p>
    <w:p w14:paraId="748D93A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2）公称压力：1.6MPa</w:t>
      </w:r>
    </w:p>
    <w:p w14:paraId="3135E35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3）材质 不锈钢</w:t>
      </w:r>
    </w:p>
    <w:p w14:paraId="0A5BDE0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4）连接方式 法兰连接</w:t>
      </w:r>
    </w:p>
    <w:p w14:paraId="3EC2A964">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4708B64F">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18 管材</w:t>
      </w:r>
    </w:p>
    <w:p w14:paraId="7CF53B1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不锈钢管选用材质O6Cr19Ni10(GB/T14976-2012)，可用304替代。规格包括：φ273×7（DN250）、φ219×6（DN200）、φ159×5（DN150）、φ108×4（DN100）、φ89×4（DN80）、φ76×4（DN65）、φ57×3.5（DN50）、φ45×3（DN40）、φ38×3（DN32）、φ32×3（DN25）、φ25×3（DN20）。</w:t>
      </w:r>
    </w:p>
    <w:p w14:paraId="0321AD6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碳钢无缝钢管选用材质20(GB/T8163-2018)。规格包括：φ273×7（DN250）、φ219×6（DN200）、φ159×5（DN150）、φ108×4（DN100）、φ89×4（DN80）、φ76×4（DN65）、φ57×3.5（DN50）、φ45×3（DN40）、φ38×3（DN32）、φ32×3（DN25）、φ25×3（DN20）。</w:t>
      </w:r>
    </w:p>
    <w:p w14:paraId="2F2396C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（3）PP-R管选用材质PP-R(GB/T 18742.2-2017)。规格包括：S4 dn110x12.3。</w:t>
      </w:r>
    </w:p>
    <w:p w14:paraId="0AE533B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（4）弯头、等径三通、异径三通、大小头管件采用钢制对焊管件，其类型和参数符合GB/T12459-2017中的规定。</w:t>
      </w:r>
    </w:p>
    <w:p w14:paraId="76FBCF36">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612ED654">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19 电缆</w:t>
      </w:r>
    </w:p>
    <w:p w14:paraId="3A6B2B7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动力电缆：进线电缆采用阻燃型铜芯交联聚氯乙烯绝缘聚乙烯护套铠装电力电缆（ZR-YJV22-0.6/1kV）；设备配电线缆采用阻燃型铜芯聚氯乙烯绝缘聚乙烯护套电力电缆（ZR-YJV-0.6/1kV）。额定电压等级均为0.6/1.0千伏。</w:t>
      </w:r>
    </w:p>
    <w:p w14:paraId="6C80476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控制电缆：控制器、流量计控制等选用阻燃型铜芯聚乙烯绝缘屏蔽聚氯乙烯护套控制电缆（ZR-DJYPVP-0.45/0.75kV）；温度、液位信号等选用阻燃型铜芯聚氯绝缘聚氯护套控制电缆（ZR-KVVP-0.45/0.75kV）；控制阀、切断阀选用阻燃型铜芯聚氯乙烯绝缘聚氯乙烯护套圆形连接软电缆,（ZR-RVVP-0.45/0.75kV）。额定电压等级均为0.45/0.75千伏。</w:t>
      </w:r>
    </w:p>
    <w:p w14:paraId="1FC3201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（3）各种线缆应有出厂合格证、安装技术文件，技术文件应包括额定电压、额定容量、试验报告等技术数据。型号、规格、电压等级、应符合设计要求。</w:t>
      </w:r>
    </w:p>
    <w:p w14:paraId="4C493642">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6A7F6E53">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20 电缆保护管</w:t>
      </w:r>
    </w:p>
    <w:p w14:paraId="335319D7">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镀锌焊接钢管：SC32、SC25、SC20</w:t>
      </w:r>
    </w:p>
    <w:p w14:paraId="6DD65555">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（1）各种规格的型钢应无明显锈蚀，卡件、各种螺栓、垫圈应符合设计要求,应是热镀锌制品。</w:t>
      </w:r>
    </w:p>
    <w:p w14:paraId="4734F9C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（2)其它材料:防腐油漆、面漆、电焊条等应有出厂合格证。</w:t>
      </w:r>
    </w:p>
    <w:p w14:paraId="2532ED75">
      <w:pPr>
        <w:pStyle w:val="7"/>
        <w:keepNext w:val="0"/>
        <w:keepLines w:val="0"/>
        <w:widowControl w:val="0"/>
        <w:suppressLineNumbers w:val="0"/>
        <w:spacing w:before="0" w:beforeAutospacing="1" w:after="0" w:afterAutospacing="0"/>
        <w:ind w:left="0" w:leftChars="0" w:right="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1FD9BC25">
      <w:pPr>
        <w:pStyle w:val="7"/>
        <w:keepNext w:val="0"/>
        <w:keepLines w:val="0"/>
        <w:widowControl w:val="0"/>
        <w:suppressLineNumbers w:val="0"/>
        <w:spacing w:before="0" w:beforeAutospacing="1" w:after="0" w:afterAutospacing="0"/>
        <w:ind w:left="0" w:leftChars="0" w:right="0"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21 接地线</w:t>
      </w:r>
    </w:p>
    <w:p w14:paraId="1FA5A8CA">
      <w:pPr>
        <w:pStyle w:val="5"/>
        <w:keepNext w:val="0"/>
        <w:keepLines w:val="0"/>
        <w:widowControl w:val="0"/>
        <w:numPr>
          <w:ilvl w:val="0"/>
          <w:numId w:val="13"/>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镀锌扁钢：-40*4</w:t>
      </w:r>
    </w:p>
    <w:p w14:paraId="6145722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（1）40x4镀锌扁钢的厚度偏差值为上偏差0.2mm，下偏差0.4mm，宽度偏差值为上偏差0.5mm，下偏差1.0mm。各连接均采用焊接，并在焊点处作防腐处理。所有防雷金属材料均采用热镀锌处理，且锌层均匀。</w:t>
      </w:r>
    </w:p>
    <w:p w14:paraId="42A5A525">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（2)其它材料:防腐油漆、面漆、电焊条等应有出厂合格证。</w:t>
      </w:r>
    </w:p>
    <w:p w14:paraId="59E604C6">
      <w:pPr>
        <w:keepNext w:val="0"/>
        <w:keepLines w:val="0"/>
        <w:widowControl w:val="0"/>
        <w:suppressLineNumbers w:val="0"/>
        <w:autoSpaceDE w:val="0"/>
        <w:autoSpaceDN/>
        <w:spacing w:before="0" w:beforeAutospacing="0" w:after="0" w:afterAutospacing="0"/>
        <w:ind w:left="0" w:right="0" w:firstLine="0" w:firstLineChars="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 xml:space="preserve"> </w:t>
      </w:r>
    </w:p>
    <w:p w14:paraId="0191AB47">
      <w:pPr>
        <w:keepNext w:val="0"/>
        <w:keepLines w:val="0"/>
        <w:widowControl w:val="0"/>
        <w:suppressLineNumbers w:val="0"/>
        <w:autoSpaceDE w:val="0"/>
        <w:autoSpaceDN/>
        <w:spacing w:before="0" w:beforeAutospacing="0" w:after="0" w:afterAutospacing="0"/>
        <w:ind w:left="0" w:right="0" w:firstLine="0" w:firstLineChars="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四、项目验收要求</w:t>
      </w:r>
      <w:r>
        <w:rPr>
          <w:rFonts w:hint="eastAsia" w:ascii="宋体" w:hAnsi="宋体" w:eastAsia="宋体" w:cs="宋体"/>
          <w:b w:val="0"/>
          <w:bCs w:val="0"/>
          <w:color w:val="auto"/>
          <w:kern w:val="2"/>
          <w:sz w:val="24"/>
          <w:szCs w:val="24"/>
          <w:highlight w:val="none"/>
          <w:lang w:val="en-US" w:eastAsia="zh-CN" w:bidi="ar"/>
        </w:rPr>
        <w:t>：</w:t>
      </w:r>
    </w:p>
    <w:p w14:paraId="6A52E6B5">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（1）安装调试完毕后，具备开展现场稳定连续稳定试运行的条件，由中标人向招标人递交书面试运行申请书，招标人审核同意后方可开展试运行。</w:t>
      </w:r>
    </w:p>
    <w:p w14:paraId="676B3CB9">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（2）试运行期为30天，期间当天运行的锅炉在加药、排污系统自动运行下，锅炉水质进行检测，具体要求如下：</w:t>
      </w:r>
    </w:p>
    <w:p w14:paraId="4A59469B">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1）检测项目、频次、限值见锅炉水水质检测表。</w:t>
      </w:r>
    </w:p>
    <w:p w14:paraId="0D8E452B">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2）检测方法按《GB/T 1576-2018 工业锅炉水质》引用的检测方法进行检测。</w:t>
      </w:r>
    </w:p>
    <w:p w14:paraId="1037C2DE">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3）锅炉水质样品由招标人随机时间取样，取样分为两份，一份作为当日水质送检样品、一份为留样样品。</w:t>
      </w:r>
    </w:p>
    <w:p w14:paraId="6B86D6D7">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4）每日锅炉水质检测：每日水质检测由招标人或招标人下属的分公司负责完成。</w:t>
      </w:r>
    </w:p>
    <w:p w14:paraId="6A8002BE">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5）随机锅炉水质检测：试运行期间，招标人有权随机开展锅炉水质抽检。</w:t>
      </w:r>
    </w:p>
    <w:p w14:paraId="0ADB69F3">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6）每日锅炉及随机锅炉水样检测不合格时，招标人将当天留样样品进行复测，若复测结果仍为不及格，则判定该锅炉水质为不达标。</w:t>
      </w:r>
    </w:p>
    <w:p w14:paraId="2E2774A9">
      <w:pPr>
        <w:keepNext w:val="0"/>
        <w:keepLines w:val="0"/>
        <w:widowControl w:val="0"/>
        <w:suppressLineNumbers w:val="0"/>
        <w:autoSpaceDE w:val="0"/>
        <w:autoSpaceDN/>
        <w:spacing w:before="0" w:beforeAutospacing="0" w:after="0" w:afterAutospacing="0"/>
        <w:ind w:left="0" w:leftChars="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（3）整套系统试运行期间，项目所安装的设备设施无故障稳定运行30天且期间抽检的锅炉水质均达标为合格。若试运行失败，中标人重新调试后，可再次申请试运行。</w:t>
      </w:r>
    </w:p>
    <w:p w14:paraId="1353E92E">
      <w:pPr>
        <w:keepNext w:val="0"/>
        <w:keepLines w:val="0"/>
        <w:widowControl w:val="0"/>
        <w:suppressLineNumbers w:val="0"/>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（4）项目的试运行以及试运行失败所需的整改时间均计入工期内。</w:t>
      </w:r>
    </w:p>
    <w:p w14:paraId="6692A5B5">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 </w:t>
      </w:r>
    </w:p>
    <w:p w14:paraId="2F0D872E">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锅炉水水质检测表</w:t>
      </w:r>
    </w:p>
    <w:tbl>
      <w:tblPr>
        <w:tblStyle w:val="4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9"/>
        <w:gridCol w:w="2320"/>
        <w:gridCol w:w="2120"/>
        <w:gridCol w:w="2120"/>
        <w:gridCol w:w="2011"/>
      </w:tblGrid>
      <w:tr w14:paraId="2E158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5B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水样</w:t>
            </w: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7C0280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项目</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688AB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频次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6AC71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限值</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5BB04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单位</w:t>
            </w:r>
          </w:p>
        </w:tc>
      </w:tr>
      <w:tr w14:paraId="7AEF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restart"/>
            <w:tcBorders>
              <w:top w:val="nil"/>
              <w:left w:val="single" w:color="000000" w:sz="4" w:space="0"/>
              <w:bottom w:val="single" w:color="000000" w:sz="4" w:space="0"/>
              <w:right w:val="single" w:color="000000" w:sz="4" w:space="0"/>
            </w:tcBorders>
            <w:shd w:val="clear" w:color="auto" w:fill="auto"/>
            <w:noWrap/>
            <w:vAlign w:val="center"/>
          </w:tcPr>
          <w:p w14:paraId="4F3CE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给水</w:t>
            </w: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16856B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浊度</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347AD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39720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≤5.0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202958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776BE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7DE34E8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0E0DD8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总硬度</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3A3830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401753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≤0.03</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65D1A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40A56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2AFBD41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45B92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7CC6C9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4ADEA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7.0-10.5</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20E7A40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0EE67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79D02F6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2DBE58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氯离子</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37015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663B92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＜30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3C314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mg/L</w:t>
            </w:r>
          </w:p>
        </w:tc>
      </w:tr>
      <w:tr w14:paraId="1915E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0F5572F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3D4D1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电导率</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07F3B5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4ADF6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≤550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3FDD5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μS/cm</w:t>
            </w:r>
          </w:p>
        </w:tc>
      </w:tr>
      <w:tr w14:paraId="6C340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7F63039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1C8E9F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铁含量</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6052BF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1BF2F1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≤0.30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45F866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mg/L</w:t>
            </w:r>
          </w:p>
        </w:tc>
      </w:tr>
      <w:tr w14:paraId="22821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restart"/>
            <w:tcBorders>
              <w:top w:val="nil"/>
              <w:left w:val="single" w:color="000000" w:sz="4" w:space="0"/>
              <w:bottom w:val="single" w:color="000000" w:sz="4" w:space="0"/>
              <w:right w:val="single" w:color="000000" w:sz="4" w:space="0"/>
            </w:tcBorders>
            <w:shd w:val="clear" w:color="auto" w:fill="auto"/>
            <w:noWrap/>
            <w:vAlign w:val="center"/>
          </w:tcPr>
          <w:p w14:paraId="7C6A1D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锅炉水</w:t>
            </w: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075DC5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溶解性固形物</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27E92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43F4A2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≤3500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0C5CB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ppm</w:t>
            </w:r>
          </w:p>
        </w:tc>
      </w:tr>
      <w:tr w14:paraId="4C93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40F726B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61190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酚酞碱度</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07EF7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5845C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2.0-16.0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06F9F8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66615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4F2E5AB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65E6CD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总碱度</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63813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18268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4.0-24.0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1D8CE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343D6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775E9F6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677EBD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496E3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23A2B0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10.0-12.0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0DB2D74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086C9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6D3C189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46D00E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氯离子</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379B8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15098E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＜400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110C7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mg/L</w:t>
            </w:r>
          </w:p>
        </w:tc>
      </w:tr>
      <w:tr w14:paraId="4BBFD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68C3B38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000000" w:sz="4" w:space="0"/>
              <w:left w:val="nil"/>
              <w:bottom w:val="single" w:color="000000" w:sz="4" w:space="0"/>
              <w:right w:val="single" w:color="000000" w:sz="4" w:space="0"/>
            </w:tcBorders>
            <w:shd w:val="clear" w:color="auto" w:fill="auto"/>
            <w:noWrap/>
            <w:vAlign w:val="center"/>
          </w:tcPr>
          <w:p w14:paraId="536AEF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电导率</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2E7AD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000000" w:sz="4" w:space="0"/>
              <w:left w:val="nil"/>
              <w:bottom w:val="single" w:color="000000" w:sz="4" w:space="0"/>
              <w:right w:val="single" w:color="000000" w:sz="4" w:space="0"/>
            </w:tcBorders>
            <w:shd w:val="clear" w:color="auto" w:fill="auto"/>
            <w:noWrap/>
            <w:vAlign w:val="center"/>
          </w:tcPr>
          <w:p w14:paraId="29578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≤5600</w:t>
            </w:r>
          </w:p>
        </w:tc>
        <w:tc>
          <w:tcPr>
            <w:tcW w:w="1009" w:type="pct"/>
            <w:tcBorders>
              <w:top w:val="single" w:color="000000" w:sz="4" w:space="0"/>
              <w:left w:val="nil"/>
              <w:bottom w:val="single" w:color="000000" w:sz="4" w:space="0"/>
              <w:right w:val="single" w:color="000000" w:sz="4" w:space="0"/>
            </w:tcBorders>
            <w:shd w:val="clear" w:color="auto" w:fill="auto"/>
            <w:noWrap/>
            <w:vAlign w:val="center"/>
          </w:tcPr>
          <w:p w14:paraId="14E0D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μS/cm</w:t>
            </w:r>
          </w:p>
        </w:tc>
      </w:tr>
    </w:tbl>
    <w:p w14:paraId="4C4DDB56">
      <w:pPr>
        <w:rPr>
          <w:vanish/>
          <w:color w:val="auto"/>
          <w:sz w:val="24"/>
          <w:szCs w:val="24"/>
          <w:highlight w:val="none"/>
        </w:rPr>
      </w:pP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89"/>
        <w:gridCol w:w="2320"/>
        <w:gridCol w:w="2120"/>
        <w:gridCol w:w="2120"/>
        <w:gridCol w:w="2011"/>
      </w:tblGrid>
      <w:tr w14:paraId="6E6E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B7BF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水样</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064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项目</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53F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频次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2820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限值</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923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单位</w:t>
            </w:r>
          </w:p>
        </w:tc>
      </w:tr>
      <w:tr w14:paraId="79E0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4F4EAE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给水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D70B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浊度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0B06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7C7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≤5.0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64FD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5834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372B76B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D98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总硬度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A41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F0FF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≤0.03</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4CE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30E8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267512A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8539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CB9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5645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7.0-10.5</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4288E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7209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7E50C07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A22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铁含量</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D39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E656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≤0.30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BD8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mg/L</w:t>
            </w:r>
          </w:p>
        </w:tc>
      </w:tr>
      <w:tr w14:paraId="0284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077A0D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锅炉水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73D1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溶解性固形物</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1BE0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006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w:t>
            </w:r>
            <w:r>
              <w:rPr>
                <w:rFonts w:hint="eastAsia" w:ascii="宋体" w:hAnsi="宋体" w:eastAsia="宋体" w:cs="宋体"/>
                <w:i w:val="0"/>
                <w:iCs w:val="0"/>
                <w:color w:val="auto"/>
                <w:kern w:val="2"/>
                <w:sz w:val="22"/>
                <w:szCs w:val="22"/>
                <w:highlight w:val="none"/>
                <w:lang w:val="en-US" w:eastAsia="zh-CN" w:bidi="ar"/>
              </w:rPr>
              <w:t>4000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252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ppm</w:t>
            </w:r>
          </w:p>
        </w:tc>
      </w:tr>
      <w:tr w14:paraId="6406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16F0F65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14DB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酚酞碱度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650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8A5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2.0-18.0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127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6FFC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7298F37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78C4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937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5DC4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4.0-26.0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C97C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299A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3726ACB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E4C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855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FB4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10.0-12.0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93BC0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bl>
    <w:p w14:paraId="08552492">
      <w:pPr>
        <w:keepNext w:val="0"/>
        <w:keepLines w:val="0"/>
        <w:widowControl w:val="0"/>
        <w:suppressLineNumbers w:val="0"/>
        <w:spacing w:before="0" w:beforeAutospacing="0" w:after="0" w:afterAutospacing="0"/>
        <w:ind w:left="0" w:right="0"/>
        <w:jc w:val="both"/>
        <w:rPr>
          <w:rFonts w:hint="default" w:ascii="仿宋_GB2312" w:eastAsia="仿宋_GB2312" w:cs="仿宋_GB2312"/>
          <w:color w:val="auto"/>
          <w:kern w:val="2"/>
          <w:sz w:val="28"/>
          <w:szCs w:val="28"/>
          <w:highlight w:val="none"/>
        </w:rPr>
      </w:pPr>
      <w:r>
        <w:rPr>
          <w:rFonts w:hint="default" w:ascii="仿宋_GB2312" w:hAnsi="Calibri" w:eastAsia="仿宋_GB2312" w:cs="仿宋_GB2312"/>
          <w:color w:val="auto"/>
          <w:kern w:val="2"/>
          <w:sz w:val="28"/>
          <w:szCs w:val="28"/>
          <w:highlight w:val="none"/>
          <w:lang w:val="en-US" w:eastAsia="zh-CN" w:bidi="ar"/>
        </w:rPr>
        <w:br w:type="page"/>
      </w:r>
    </w:p>
    <w:p w14:paraId="45BA734E">
      <w:pPr>
        <w:pStyle w:val="34"/>
        <w:keepNext w:val="0"/>
        <w:keepLines w:val="0"/>
        <w:widowControl w:val="0"/>
        <w:suppressLineNumbers w:val="0"/>
        <w:spacing w:before="0" w:beforeAutospacing="1" w:after="120" w:afterAutospacing="0" w:line="480" w:lineRule="auto"/>
        <w:ind w:left="0" w:right="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项目二 西朗二期分公司2024年二期干化车间蒸汽锅炉及冷凝水回收系统改造项目</w:t>
      </w:r>
    </w:p>
    <w:p w14:paraId="383FA71F">
      <w:pPr>
        <w:pStyle w:val="34"/>
        <w:keepNext w:val="0"/>
        <w:keepLines w:val="0"/>
        <w:widowControl w:val="0"/>
        <w:suppressLineNumbers w:val="0"/>
        <w:spacing w:before="0" w:beforeAutospacing="1" w:after="120" w:afterAutospacing="0" w:line="480" w:lineRule="auto"/>
        <w:ind w:left="0" w:right="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 xml:space="preserve"> </w:t>
      </w:r>
    </w:p>
    <w:p w14:paraId="43412A8C">
      <w:pPr>
        <w:keepNext w:val="0"/>
        <w:keepLines w:val="0"/>
        <w:widowControl/>
        <w:suppressLineNumbers w:val="0"/>
        <w:kinsoku w:val="0"/>
        <w:autoSpaceDE w:val="0"/>
        <w:autoSpaceDN w:val="0"/>
        <w:adjustRightInd w:val="0"/>
        <w:snapToGrid w:val="0"/>
        <w:spacing w:before="0" w:beforeAutospacing="0" w:after="0" w:afterAutospacing="0"/>
        <w:ind w:left="0" w:right="0" w:firstLine="0" w:firstLineChars="0"/>
        <w:jc w:val="left"/>
        <w:textAlignment w:val="baseline"/>
        <w:outlineLvl w:val="0"/>
        <w:rPr>
          <w:rFonts w:hint="eastAsia" w:ascii="宋体" w:hAnsi="宋体" w:eastAsia="宋体" w:cs="宋体"/>
          <w:b/>
          <w:bCs/>
          <w:color w:val="auto"/>
          <w:spacing w:val="7"/>
          <w:kern w:val="0"/>
          <w:position w:val="1"/>
          <w:sz w:val="24"/>
          <w:szCs w:val="24"/>
          <w:highlight w:val="none"/>
          <w:vertAlign w:val="baseline"/>
        </w:rPr>
      </w:pPr>
      <w:r>
        <w:rPr>
          <w:rFonts w:hint="eastAsia" w:ascii="宋体" w:hAnsi="宋体" w:eastAsia="宋体" w:cs="宋体"/>
          <w:b/>
          <w:bCs/>
          <w:color w:val="auto"/>
          <w:spacing w:val="7"/>
          <w:kern w:val="0"/>
          <w:position w:val="1"/>
          <w:sz w:val="24"/>
          <w:szCs w:val="24"/>
          <w:highlight w:val="none"/>
          <w:vertAlign w:val="baseline"/>
          <w:lang w:val="en-US" w:eastAsia="zh-CN" w:bidi="ar"/>
        </w:rPr>
        <w:t>一、项目基本情况</w:t>
      </w:r>
    </w:p>
    <w:p w14:paraId="0CDBFC37">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西朗二期净水厂设计总规模30万m3/d,干化含水率35%污泥处理规模84t/d。</w:t>
      </w:r>
    </w:p>
    <w:p w14:paraId="07F3259A">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污泥处理工艺采用“浓缩调质+板框压滤脱水+圆盘干化工艺”,将污泥含水率降至30%-40%后再外运处置。</w:t>
      </w:r>
    </w:p>
    <w:p w14:paraId="20A2A619">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污泥干化车间设有4台WDR1-1.0电热锅炉，总蒸发量：4t/h，锅炉额定蒸汽压力：1.0MPa，锅炉蒸汽温度：184℃。自来水经全自动软水器软化后进入软化水箱，经锅炉给水泵进入锅炉产生蒸汽。蒸汽从锅炉房分汽缸分两路经过减压后接管至干化车间2台超圆盘干燥机使用.冷凝水经疏水冷却器后进入凝结水箱后经泵接回锅炉房软化凝结水箱。目前污泥干化车间锅炉系统运行稳定，但在节能减排方面仍有提升空间。</w:t>
      </w:r>
    </w:p>
    <w:p w14:paraId="74E18BA1">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00FA839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二、项目主要技术要求</w:t>
      </w:r>
    </w:p>
    <w:p w14:paraId="7CCD291A">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1.1 一般要求</w:t>
      </w:r>
    </w:p>
    <w:p w14:paraId="3835AA26">
      <w:pPr>
        <w:keepNext w:val="0"/>
        <w:keepLines w:val="0"/>
        <w:widowControl/>
        <w:numPr>
          <w:ilvl w:val="0"/>
          <w:numId w:val="1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中标单位按设计图纸要求，提供蒸汽管道系统设备、阀门、管道及配件等以完善系统，保证系统的正常运行。</w:t>
      </w:r>
    </w:p>
    <w:p w14:paraId="17DA93A9">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ind w:left="0" w:leftChars="0" w:right="0" w:firstLine="480" w:firstLineChars="200"/>
        <w:jc w:val="left"/>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2"/>
          <w:sz w:val="24"/>
          <w:szCs w:val="24"/>
          <w:highlight w:val="none"/>
          <w:lang w:val="en-US" w:eastAsia="zh-CN" w:bidi="ar"/>
        </w:rPr>
        <w:t>本项目在锅炉、蒸汽系统及冷凝水管道系统上所采用的</w:t>
      </w:r>
      <w:r>
        <w:rPr>
          <w:rFonts w:hint="eastAsia" w:ascii="宋体" w:hAnsi="宋体" w:eastAsia="宋体" w:cs="宋体"/>
          <w:color w:val="auto"/>
          <w:kern w:val="0"/>
          <w:sz w:val="24"/>
          <w:szCs w:val="24"/>
          <w:highlight w:val="none"/>
          <w:lang w:val="en-US" w:eastAsia="zh-CN" w:bidi="ar"/>
        </w:rPr>
        <w:t>疏水阀（组）、止回阀、冷凝水热回收水箱、表面排污装置、排污阀、减压阀、</w:t>
      </w:r>
      <w:r>
        <w:rPr>
          <w:rFonts w:hint="eastAsia" w:ascii="宋体" w:hAnsi="宋体" w:eastAsia="宋体" w:cs="宋体"/>
          <w:b w:val="0"/>
          <w:bCs w:val="0"/>
          <w:color w:val="auto"/>
          <w:kern w:val="2"/>
          <w:sz w:val="24"/>
          <w:szCs w:val="24"/>
          <w:highlight w:val="none"/>
          <w:lang w:val="en-US" w:eastAsia="zh-CN" w:bidi="ar"/>
        </w:rPr>
        <w:t>疏水阀检测组件、蒸汽流量计、冷凝水提升装置等等应充分考虑蒸汽锅炉及冷凝水回收系统改造后的运行稳定性和可靠性，发包人对设备的使用管理和维修维护的便利性、统一性，以及自控平台的兼容性，系统设备整体品牌参照或相当于斯派莎克、上海沪工、杰斯特拉等品牌或相当于同档次及以上品牌的产品，严禁采用贴牌产品。</w:t>
      </w:r>
      <w:r>
        <w:rPr>
          <w:rFonts w:hint="eastAsia" w:ascii="宋体" w:hAnsi="宋体" w:eastAsia="宋体" w:cs="宋体"/>
          <w:color w:val="auto"/>
          <w:kern w:val="0"/>
          <w:sz w:val="24"/>
          <w:szCs w:val="24"/>
          <w:highlight w:val="none"/>
          <w:lang w:val="en-US" w:eastAsia="zh-CN" w:bidi="ar"/>
        </w:rPr>
        <w:t>设备订货前中标人应向招标人报审，招标人确认后方可订货。</w:t>
      </w:r>
    </w:p>
    <w:p w14:paraId="54149F6F">
      <w:pPr>
        <w:keepNext w:val="0"/>
        <w:keepLines w:val="0"/>
        <w:widowControl/>
        <w:numPr>
          <w:ilvl w:val="0"/>
          <w:numId w:val="14"/>
        </w:numPr>
        <w:suppressLineNumbers w:val="0"/>
        <w:snapToGrid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所有送抵工地的设备、阀门及配件均应是全新制成品，在储存、运送期间应采取正确的保护设施，以确保设备、阀门及配件在任何情况下不受损坏。</w:t>
      </w:r>
      <w:r>
        <w:rPr>
          <w:rFonts w:hint="eastAsia" w:ascii="宋体" w:hAnsi="宋体" w:eastAsia="宋体" w:cs="宋体"/>
          <w:b w:val="0"/>
          <w:bCs w:val="0"/>
          <w:color w:val="auto"/>
          <w:kern w:val="2"/>
          <w:sz w:val="24"/>
          <w:szCs w:val="24"/>
          <w:highlight w:val="none"/>
          <w:lang w:val="en-US" w:eastAsia="zh-CN" w:bidi="ar"/>
        </w:rPr>
        <w:t>中标人所供货的上述设备，在供货时</w:t>
      </w:r>
      <w:r>
        <w:rPr>
          <w:rFonts w:hint="eastAsia" w:ascii="宋体" w:hAnsi="宋体" w:eastAsia="宋体" w:cs="宋体"/>
          <w:bCs w:val="0"/>
          <w:color w:val="auto"/>
          <w:kern w:val="2"/>
          <w:sz w:val="24"/>
          <w:szCs w:val="24"/>
          <w:highlight w:val="none"/>
          <w:lang w:val="en-US" w:eastAsia="zh-CN" w:bidi="ar"/>
        </w:rPr>
        <w:t>均需提供出厂文件，包括但不限于合格证、说明书、</w:t>
      </w:r>
      <w:r>
        <w:rPr>
          <w:rFonts w:hint="eastAsia" w:ascii="宋体" w:hAnsi="宋体" w:eastAsia="宋体" w:cs="宋体"/>
          <w:b w:val="0"/>
          <w:bCs w:val="0"/>
          <w:color w:val="auto"/>
          <w:kern w:val="2"/>
          <w:sz w:val="24"/>
          <w:szCs w:val="24"/>
          <w:highlight w:val="none"/>
          <w:lang w:val="en-US" w:eastAsia="zh-CN" w:bidi="ar"/>
        </w:rPr>
        <w:t>安装维修指南和产品技术资料（如有外文资料，需同步提供中文译文资料）；</w:t>
      </w:r>
      <w:r>
        <w:rPr>
          <w:rFonts w:hint="eastAsia" w:ascii="宋体" w:hAnsi="宋体" w:eastAsia="宋体" w:cs="宋体"/>
          <w:color w:val="auto"/>
          <w:kern w:val="0"/>
          <w:sz w:val="24"/>
          <w:szCs w:val="24"/>
          <w:highlight w:val="none"/>
          <w:lang w:val="en-US" w:eastAsia="zh-CN" w:bidi="ar"/>
        </w:rPr>
        <w:t>所有蒸汽系统之设备，须配以吊装设施，以方便设备的运送及安装。</w:t>
      </w:r>
    </w:p>
    <w:p w14:paraId="50CCA127">
      <w:pPr>
        <w:keepNext w:val="0"/>
        <w:keepLines w:val="0"/>
        <w:widowControl/>
        <w:numPr>
          <w:ilvl w:val="0"/>
          <w:numId w:val="1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2"/>
          <w:sz w:val="24"/>
          <w:szCs w:val="24"/>
          <w:highlight w:val="none"/>
          <w:lang w:val="en-US" w:eastAsia="zh-CN" w:bidi="ar"/>
        </w:rPr>
        <w:t>所有设备、材料</w:t>
      </w:r>
      <w:r>
        <w:rPr>
          <w:rFonts w:hint="eastAsia" w:ascii="宋体" w:hAnsi="宋体" w:eastAsia="宋体" w:cs="宋体"/>
          <w:color w:val="auto"/>
          <w:kern w:val="0"/>
          <w:sz w:val="24"/>
          <w:szCs w:val="24"/>
          <w:highlight w:val="none"/>
          <w:lang w:val="en-US" w:eastAsia="zh-CN" w:bidi="ar"/>
        </w:rPr>
        <w:t>投标单位必须准备足够使用的围蔽施工场所需要使用的物资，包括但不限于红色高水码等。</w:t>
      </w:r>
    </w:p>
    <w:p w14:paraId="6B4636DB">
      <w:pPr>
        <w:keepNext w:val="0"/>
        <w:keepLines w:val="0"/>
        <w:widowControl/>
        <w:numPr>
          <w:ilvl w:val="0"/>
          <w:numId w:val="1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新控制系统要求与原有系统可对接读取数据，做到中控室有数据可监控。</w:t>
      </w:r>
    </w:p>
    <w:p w14:paraId="04C2846C">
      <w:pPr>
        <w:keepNext w:val="0"/>
        <w:keepLines w:val="0"/>
        <w:widowControl w:val="0"/>
        <w:numPr>
          <w:ilvl w:val="0"/>
          <w:numId w:val="14"/>
        </w:numPr>
        <w:suppressLineNumbers w:val="0"/>
        <w:spacing w:before="0" w:beforeAutospacing="0" w:after="0" w:afterAutospacing="0"/>
        <w:ind w:left="5"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2"/>
          <w:sz w:val="24"/>
          <w:szCs w:val="24"/>
          <w:highlight w:val="none"/>
          <w:lang w:val="en-US" w:eastAsia="zh-CN" w:bidi="ar"/>
        </w:rPr>
        <w:t>质量要求：</w:t>
      </w:r>
      <w:r>
        <w:rPr>
          <w:rFonts w:hint="eastAsia" w:ascii="宋体" w:hAnsi="宋体" w:eastAsia="宋体" w:cs="宋体"/>
          <w:color w:val="auto"/>
          <w:kern w:val="2"/>
          <w:sz w:val="24"/>
          <w:szCs w:val="24"/>
          <w:highlight w:val="none"/>
          <w:lang w:val="en-US" w:eastAsia="zh-CN" w:bidi="ar"/>
        </w:rPr>
        <w:t>按合同条款和有关技术标准规范进行验收。使用的各种材料必须符合设计和有关技术标准规范要求。</w:t>
      </w:r>
    </w:p>
    <w:p w14:paraId="3B220BB8">
      <w:pPr>
        <w:pStyle w:val="7"/>
        <w:widowControl/>
        <w:numPr>
          <w:ilvl w:val="0"/>
          <w:numId w:val="14"/>
        </w:numPr>
        <w:spacing w:before="0" w:beforeAutospacing="1" w:after="0" w:afterAutospacing="0"/>
        <w:ind w:left="5"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bCs w:val="0"/>
          <w:color w:val="auto"/>
          <w:kern w:val="0"/>
          <w:sz w:val="24"/>
          <w:szCs w:val="24"/>
          <w:highlight w:val="none"/>
        </w:rPr>
        <w:t>质量保修期期间，</w:t>
      </w:r>
      <w:r>
        <w:rPr>
          <w:rFonts w:hint="eastAsia" w:ascii="宋体" w:hAnsi="宋体" w:eastAsia="宋体" w:cs="宋体"/>
          <w:i w:val="0"/>
          <w:iCs w:val="0"/>
          <w:color w:val="auto"/>
          <w:kern w:val="0"/>
          <w:sz w:val="24"/>
          <w:szCs w:val="24"/>
          <w:highlight w:val="none"/>
        </w:rPr>
        <w:t>中标人须提供48小时质保响应服务；项目实施范围内的设备、系统及管道出现突发故障，中标人在接到招标人电话通知后，中标人应在48小时内到场对故障设备进行检查，属于</w:t>
      </w:r>
      <w:r>
        <w:rPr>
          <w:rFonts w:hint="eastAsia" w:ascii="宋体" w:hAnsi="宋体" w:eastAsia="宋体" w:cs="宋体"/>
          <w:bCs w:val="0"/>
          <w:color w:val="auto"/>
          <w:kern w:val="0"/>
          <w:sz w:val="24"/>
          <w:szCs w:val="24"/>
          <w:highlight w:val="none"/>
        </w:rPr>
        <w:t>本项目的质量问题由中标人免费提供保修服务， 7 日内派人员负责解决及维修。</w:t>
      </w:r>
    </w:p>
    <w:p w14:paraId="2748AAAC">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3D02652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1.2 </w:t>
      </w:r>
      <w:r>
        <w:rPr>
          <w:rFonts w:hint="eastAsia" w:ascii="宋体" w:hAnsi="宋体" w:eastAsia="宋体" w:cs="宋体"/>
          <w:color w:val="auto"/>
          <w:kern w:val="0"/>
          <w:sz w:val="24"/>
          <w:szCs w:val="24"/>
          <w:highlight w:val="none"/>
        </w:rPr>
        <w:t>中标单位所提供的产品及安装、验收须国家标准和部颁行业标准：</w:t>
      </w:r>
    </w:p>
    <w:p w14:paraId="1BD3390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（1）当地政府有关部门所制定之条例及规范。</w:t>
      </w:r>
    </w:p>
    <w:p w14:paraId="2FD12518">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（2）国家现行相关标准规范：</w:t>
      </w:r>
    </w:p>
    <w:p w14:paraId="037E0C7D">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《机械设备安装工程施工及验收通用规范》GB50231-2009</w:t>
      </w:r>
    </w:p>
    <w:p w14:paraId="2EB0116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《工业金属管道工程施工规范》GB50235-2010</w:t>
      </w:r>
    </w:p>
    <w:p w14:paraId="58B2C87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《现场设备、工业管道焊接工程施工规范》GB50236-2011</w:t>
      </w:r>
    </w:p>
    <w:p w14:paraId="0C20460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《工业金属管道工程施工质量验收规范》GB50184-2011</w:t>
      </w:r>
    </w:p>
    <w:p w14:paraId="371E7A2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《工业设备及管道绝热工程施工质量验收标准》GB50185-2019</w:t>
      </w:r>
    </w:p>
    <w:p w14:paraId="655E1EE1">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《压力管道规范-工业管道》GB/T20801-2020</w:t>
      </w:r>
    </w:p>
    <w:p w14:paraId="7E0FA59B">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1A6A2150">
      <w:pPr>
        <w:keepNext w:val="0"/>
        <w:keepLines w:val="0"/>
        <w:widowControl/>
        <w:suppressLineNumbers w:val="0"/>
        <w:kinsoku w:val="0"/>
        <w:autoSpaceDE w:val="0"/>
        <w:autoSpaceDN w:val="0"/>
        <w:adjustRightInd w:val="0"/>
        <w:snapToGrid w:val="0"/>
        <w:spacing w:before="0" w:beforeAutospacing="0" w:after="0" w:afterAutospacing="0"/>
        <w:ind w:left="0" w:right="0" w:firstLine="510" w:firstLineChars="200"/>
        <w:jc w:val="left"/>
        <w:textAlignment w:val="baseline"/>
        <w:outlineLvl w:val="0"/>
        <w:rPr>
          <w:rFonts w:hint="eastAsia" w:ascii="宋体" w:hAnsi="宋体" w:eastAsia="宋体" w:cs="宋体"/>
          <w:b/>
          <w:bCs/>
          <w:color w:val="auto"/>
          <w:spacing w:val="7"/>
          <w:kern w:val="0"/>
          <w:position w:val="1"/>
          <w:sz w:val="24"/>
          <w:szCs w:val="24"/>
          <w:highlight w:val="none"/>
          <w:vertAlign w:val="baseline"/>
        </w:rPr>
      </w:pPr>
      <w:r>
        <w:rPr>
          <w:rFonts w:hint="eastAsia" w:ascii="宋体" w:hAnsi="宋体" w:eastAsia="宋体" w:cs="宋体"/>
          <w:b/>
          <w:bCs/>
          <w:color w:val="auto"/>
          <w:spacing w:val="7"/>
          <w:kern w:val="0"/>
          <w:position w:val="1"/>
          <w:sz w:val="24"/>
          <w:szCs w:val="24"/>
          <w:highlight w:val="none"/>
          <w:vertAlign w:val="baseline"/>
          <w:lang w:val="en-US" w:eastAsia="zh-CN" w:bidi="ar"/>
        </w:rPr>
        <w:t>三、项目改造内容</w:t>
      </w:r>
    </w:p>
    <w:p w14:paraId="04504D92">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outlineLvl w:val="1"/>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（一）锅炉部分改造措施：</w:t>
      </w:r>
    </w:p>
    <w:p w14:paraId="3DD9AE33">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锅炉表面手动排污：改造为采用自动表面排污系统。</w:t>
      </w:r>
    </w:p>
    <w:p w14:paraId="2F45BA33">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锅炉底部手动排污：改造为采用自动底部排污阀，并增加排污泄漏监测。</w:t>
      </w:r>
    </w:p>
    <w:p w14:paraId="1A6456A7">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锅炉排污管道：更换为一根DN65不锈钢管道。</w:t>
      </w:r>
    </w:p>
    <w:p w14:paraId="1CC29E87">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锅炉给水箱：新增2m³不锈钢冷凝水热回收水箱，作为锅炉高温给水箱，集成化设计保证水箱温度维持在100℃高温。</w:t>
      </w:r>
    </w:p>
    <w:p w14:paraId="35946594">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软水箱直接供锅炉给水泵：软水箱增加DN32供水管道和泵组，供水至新增的冷凝水热回收水箱。</w:t>
      </w:r>
    </w:p>
    <w:p w14:paraId="6A5FFC3F">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 锅炉供水主管道：改造为新做一根DN100不锈钢供水管道。</w:t>
      </w:r>
    </w:p>
    <w:p w14:paraId="65CC2F02">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 锅炉给水泵布置：新增2m³不锈钢冷凝水热回收水箱架高布置，提高锅炉给水泵静压。</w:t>
      </w:r>
    </w:p>
    <w:p w14:paraId="4A224EDE">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 干化机供汽计量：更换2台蒸汽流量计，采用高量程差压型流量计，不受涡街频率影响，高低负荷都可以稳定计量。</w:t>
      </w:r>
    </w:p>
    <w:p w14:paraId="0B3282EC">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 干化机减压阀：更换为比例阀自动控制干化机用汽压力。</w:t>
      </w:r>
    </w:p>
    <w:p w14:paraId="05548821">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 锅炉分汽缸疏水阀：更换高质量疏水阀组，分汽缸疏水接入锅炉排污管道，增加泄漏监测，旁通现场直排，便于后续使用管理。</w:t>
      </w:r>
    </w:p>
    <w:p w14:paraId="5BEDA951">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 软水至高温凝结水箱：增加软水计量水表。</w:t>
      </w:r>
    </w:p>
    <w:p w14:paraId="123BF489">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 排污降温罐：增加排污降温罐。</w:t>
      </w:r>
    </w:p>
    <w:p w14:paraId="6AA5058C">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10E76ECB">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outlineLvl w:val="1"/>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（二）干化机部分改造措施：</w:t>
      </w:r>
    </w:p>
    <w:p w14:paraId="5F373EFD">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圆盘干化机内外进汽：疏水阀优化为2组DN40疏水阀组，增加泄漏监测，疏水旁路直排现场地沟，避免不能及时发现旁通泄漏。</w:t>
      </w:r>
    </w:p>
    <w:p w14:paraId="2C966AAE">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干化机凝结水回收管道：全部更换为不锈钢管道，调整安装坡度。</w:t>
      </w:r>
    </w:p>
    <w:p w14:paraId="260050A0">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冷凝水排放：采用冷凝水提升装置，直接回收至锅炉房。</w:t>
      </w:r>
    </w:p>
    <w:p w14:paraId="5D8BDE34">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冷凝水通过板换降温：直接回收至锅炉房，在锅炉房凝结水热回收水箱处处理二次蒸汽。</w:t>
      </w:r>
    </w:p>
    <w:p w14:paraId="667F9B75">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回收水箱至锅炉房软水箱管道：重做不锈钢管道，安装高度和坡度调整。</w:t>
      </w:r>
    </w:p>
    <w:p w14:paraId="2D0C0C2C">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outlineLvl w:val="1"/>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5465F805">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outlineLvl w:val="1"/>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（三）控制系统改造措施：</w:t>
      </w:r>
    </w:p>
    <w:p w14:paraId="4B1E4B49">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控制系统：本地部署控制系统，系统化的监测锅炉房和干化机的蒸汽和凝结水系统。通过计量水、天然气、蒸汽，各部分管道温度压力，各疏水排放点泄漏监测等措施，保证系统高效稳定运行。</w:t>
      </w:r>
    </w:p>
    <w:p w14:paraId="17413DAE">
      <w:pPr>
        <w:keepNext w:val="0"/>
        <w:keepLines w:val="0"/>
        <w:widowControl w:val="0"/>
        <w:suppressLineNumbers w:val="0"/>
        <w:autoSpaceDE w:val="0"/>
        <w:autoSpaceDN w:val="0"/>
        <w:adjustRightInd w:val="0"/>
        <w:snapToGrid w:val="0"/>
        <w:spacing w:before="0" w:beforeAutospacing="0"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这些改造措施旨在提高系统的自动化水平、稳定性和效率，同时增加监测和控制能力，确保设备运行更加安全和高效。</w:t>
      </w:r>
    </w:p>
    <w:p w14:paraId="34CF207E">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229F11BD">
      <w:pPr>
        <w:keepNext w:val="0"/>
        <w:keepLines w:val="0"/>
        <w:widowControl/>
        <w:suppressLineNumbers w:val="0"/>
        <w:kinsoku w:val="0"/>
        <w:autoSpaceDE w:val="0"/>
        <w:autoSpaceDN w:val="0"/>
        <w:adjustRightInd w:val="0"/>
        <w:snapToGrid w:val="0"/>
        <w:spacing w:before="0" w:beforeAutospacing="0" w:after="0" w:afterAutospacing="0"/>
        <w:ind w:left="0" w:right="0" w:firstLine="0" w:firstLineChars="0"/>
        <w:jc w:val="left"/>
        <w:textAlignment w:val="baseline"/>
        <w:outlineLvl w:val="0"/>
        <w:rPr>
          <w:rFonts w:hint="eastAsia" w:ascii="宋体" w:hAnsi="宋体" w:eastAsia="宋体" w:cs="宋体"/>
          <w:b/>
          <w:bCs/>
          <w:color w:val="auto"/>
          <w:spacing w:val="7"/>
          <w:kern w:val="0"/>
          <w:position w:val="1"/>
          <w:sz w:val="24"/>
          <w:szCs w:val="24"/>
          <w:highlight w:val="none"/>
          <w:vertAlign w:val="baseline"/>
        </w:rPr>
      </w:pPr>
      <w:r>
        <w:rPr>
          <w:rFonts w:hint="eastAsia" w:ascii="宋体" w:hAnsi="宋体" w:eastAsia="宋体" w:cs="宋体"/>
          <w:b/>
          <w:bCs/>
          <w:color w:val="auto"/>
          <w:spacing w:val="7"/>
          <w:kern w:val="0"/>
          <w:position w:val="1"/>
          <w:sz w:val="24"/>
          <w:szCs w:val="24"/>
          <w:highlight w:val="none"/>
          <w:vertAlign w:val="baseline"/>
          <w:lang w:val="en-US" w:eastAsia="zh-CN" w:bidi="ar"/>
        </w:rPr>
        <w:t>四、项目主要要求</w:t>
      </w:r>
    </w:p>
    <w:p w14:paraId="2D4089DE">
      <w:pPr>
        <w:keepNext w:val="0"/>
        <w:keepLines w:val="0"/>
        <w:widowControl w:val="0"/>
        <w:suppressLineNumbers w:val="0"/>
        <w:autoSpaceDE w:val="0"/>
        <w:autoSpaceDN w:val="0"/>
        <w:adjustRightInd w:val="0"/>
        <w:snapToGrid w:val="0"/>
        <w:spacing w:before="0" w:beforeAutospacing="0" w:after="0" w:afterAutospacing="0"/>
        <w:ind w:left="0" w:right="0" w:firstLine="482" w:firstLineChars="200"/>
        <w:jc w:val="left"/>
        <w:outlineLvl w:val="1"/>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（一）工艺专业技术要求</w:t>
      </w:r>
    </w:p>
    <w:p w14:paraId="7CC6DFE5">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1 冷凝水热回收水箱 </w:t>
      </w:r>
    </w:p>
    <w:p w14:paraId="6511736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系统基本说明</w:t>
      </w:r>
    </w:p>
    <w:p w14:paraId="0E68ADC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回收干化机的高温冷凝水至此冷凝水热回收水箱，热回收水箱由不锈钢水箱、闪蒸冷凝除氧头、破真空器、排气阀、再循环喷雾系统和排空冷凝换热器等组成，回收后的高温冷凝水直接供应至锅炉。冷凝水热回收水箱按常压模式运行，避免冷凝水管道背压，影响前端干化机加热疏水效率。</w:t>
      </w:r>
    </w:p>
    <w:p w14:paraId="3A1D82F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系统功能要求</w:t>
      </w:r>
    </w:p>
    <w:p w14:paraId="08C9F18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1)水箱本体采用奥氏体不锈钢材质整体式通大气水箱，使用寿命长、免维护、不生锈、外部焊接加强框架，抗振动，水箱有效容积不低于2m³。</w:t>
      </w:r>
    </w:p>
    <w:p w14:paraId="06BCB91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装置可回收冷凝水与其热量，引入中水和锅炉冷补水吸收闪蒸汽和废汽的热量，其中中水为间接换热，锅炉冷补水为直接吸热，减少排汽，并回收闪蒸汽的冷凝水,闪蒸汽设计值为0.2t/h，中水进口温度25℃设计，水量3.0t/h，需预留至少50%回收余量。</w:t>
      </w:r>
    </w:p>
    <w:p w14:paraId="124E2C5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闪蒸冷凝除氧头设计用于混合进入锅炉给水箱的补充冷水、回收冷凝水和闪蒸蒸汽。混合的过程是通过组件内折流板完成的，从补给冷水中释放出来的溶解性气体从排空气阀排至大气。补给冷水进口装了喷雾网可以分配水流，扩大水流表面及以增加其与冷凝水和闪蒸蒸气的混合。</w:t>
      </w:r>
    </w:p>
    <w:p w14:paraId="3B8ED7F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4)排气阀采用独特设计的压力平衡液囊设计，可以自动排除系统中的空气和其它气体，同时又能够及时关闭，以阻止蒸汽的泄漏。</w:t>
      </w:r>
    </w:p>
    <w:p w14:paraId="53451AA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5)破真空器可以保护闪蒸冷凝除氧头免受真空的损坏，平时紧密关闭，以阻止出现蒸汽泄漏。</w:t>
      </w:r>
    </w:p>
    <w:p w14:paraId="76FD2CC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再循环喷雾系统设计用于增加闪蒸蒸气的冷凝能力。为确保闪蒸蒸汽的充分利用，把除氧水箱中相对较冷的水泵到除氧头喷雾口，重新进入除氧头，以吸收掉多出的闪蒸蒸汽，充分利用热量。每小时大约有20%的除氧水箱中的水被循环以增加闪蒸蒸汽的冷凝能力。</w:t>
      </w:r>
    </w:p>
    <w:p w14:paraId="274D90A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7)通过排气帽与大气相通，冷凝水热回收水箱不属于压力容器，工作安全可靠。</w:t>
      </w:r>
    </w:p>
    <w:p w14:paraId="1D280E77">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8)装置含有液位和温度传感器并与控制柜实现锅炉补水控制，高低液位报警功能。</w:t>
      </w:r>
    </w:p>
    <w:p w14:paraId="3CED8E0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9)系统需带控制，采用PLC控制，电子元器件参照或相当于西门子，施耐德、ABB等品牌或相当于同档次及以上品牌的产品，运行状态需可远传显示在上位机端。</w:t>
      </w:r>
    </w:p>
    <w:p w14:paraId="20CC4C9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9）中标人在供货时需提供冷凝水回水装置设备图纸和设备关键部件原厂相关测试证明。</w:t>
      </w:r>
    </w:p>
    <w:p w14:paraId="7FBA746D">
      <w:pPr>
        <w:pStyle w:val="34"/>
        <w:keepNext w:val="0"/>
        <w:keepLines w:val="0"/>
        <w:widowControl w:val="0"/>
        <w:suppressLineNumbers w:val="0"/>
        <w:spacing w:before="0" w:beforeAutospacing="0" w:after="0" w:afterAutospacing="0"/>
        <w:ind w:left="420" w:leftChars="200" w:right="0" w:firstLine="0" w:firstLineChars="0"/>
        <w:jc w:val="both"/>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 </w:t>
      </w:r>
    </w:p>
    <w:p w14:paraId="24EEBD67">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2 锅炉表面排污系统</w:t>
      </w:r>
    </w:p>
    <w:p w14:paraId="1A1EDAE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系统基本说明</w:t>
      </w:r>
    </w:p>
    <w:p w14:paraId="1EFF531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所有锅炉水含有一些溶解的固体。这些杂质由于蒸发过程而不断地被浓缩，即总溶解固体（TDS）水平增加。如果TDS水平超过锅炉制造商规定的允许最大值，则会引起锅水发泡和携带污染，导致蒸汽分配系统受到污染。最终，设备的操作可靠性将受到损害，并且锅炉和蒸汽系统可能被严重损坏。本表面排污系统提供精确、稳定、自动化的锅炉炉水可溶性固形物（TDS）浓度控制，将锅炉的排污量降至最低，避免炉水热量的浪费，并有效降低汽水共腾和杂质携带的风险。</w:t>
      </w:r>
    </w:p>
    <w:p w14:paraId="421393F5">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2）检测锅炉水的电导率，并将测值与控制器内的设定值相比较，以准确调节排污阀的开度，使锅炉的排污量最小，以达到确保蒸汽品质及减少能量损失之目的。</w:t>
      </w:r>
    </w:p>
    <w:p w14:paraId="2225BCF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系统功能要求</w:t>
      </w:r>
    </w:p>
    <w:p w14:paraId="13CAD82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1)通过对炉水中电导率进行检测，当电导率过高时，开启排污控制阀排除高浓度炉水。</w:t>
      </w:r>
    </w:p>
    <w:p w14:paraId="77C2942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2)根据锅炉负荷情况自动调整排污阀开启的时间间隔。</w:t>
      </w:r>
    </w:p>
    <w:p w14:paraId="27FB541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3)根据实测锅炉水的电导率大小，自动调节排污阀的开度，准确控制排污量。</w:t>
      </w:r>
    </w:p>
    <w:p w14:paraId="26078E2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4)高电导率或TDS值报警。</w:t>
      </w:r>
    </w:p>
    <w:p w14:paraId="3E07541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5)探头为外置，无需插入锅炉，一体化的产品撬装设计，方便现场安装和调试。</w:t>
      </w:r>
    </w:p>
    <w:p w14:paraId="2652401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6)提供两种不同的炉水电导率检测方式，能对炉水电导率间歇性的检测和连续在线检测。</w:t>
      </w:r>
    </w:p>
    <w:p w14:paraId="3BE16BC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7)电导率探头带温度补偿和探头结垢检测，具备定时冲洗功能，将电导率感应器进行清洗。</w:t>
      </w:r>
    </w:p>
    <w:p w14:paraId="6FAD90B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8)可现场显示锅炉系统当前电导率，最小电导率 0.5μS / cm。</w:t>
      </w:r>
    </w:p>
    <w:p w14:paraId="27F111F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9)输出要求：MODBUS RS485通讯远传输出，便于与中控室通讯。</w:t>
      </w:r>
    </w:p>
    <w:p w14:paraId="4956B865">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10)电源规格：220V 50HZ。</w:t>
      </w:r>
    </w:p>
    <w:p w14:paraId="2C8AE3B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11)适配1t/h 1.00MPa蒸汽锅炉</w:t>
      </w:r>
    </w:p>
    <w:p w14:paraId="32B5AC3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系统中截止阀要求必须为双层波纹管密封型截止阀，具有操作力矩小，无阀杆填料泄漏风险；阀门必须配附有清楚的开/关位置指示；手轮采用符合人工力学，采用压制钢。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压力等级：PN25级 最大设计温度：300℃ 阀门必须配附有清楚的开关指示。</w:t>
      </w:r>
    </w:p>
    <w:p w14:paraId="3870ADE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（3）自动表面连续排污阀 </w:t>
      </w:r>
    </w:p>
    <w:p w14:paraId="7BAA179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规格 DN20 带可调节喷嘴的阀门，带电动执行器220VAC。</w:t>
      </w:r>
    </w:p>
    <w:p w14:paraId="070256D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材质</w:t>
      </w:r>
    </w:p>
    <w:p w14:paraId="035B6BF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阀体：碳钢。</w:t>
      </w:r>
    </w:p>
    <w:p w14:paraId="6F8D5E3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阀芯：不锈钢+硬质合金钢。</w:t>
      </w:r>
    </w:p>
    <w:p w14:paraId="724A4C3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阀座：不锈钢+硬质合金钢。</w:t>
      </w:r>
    </w:p>
    <w:p w14:paraId="6E1764F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压力等级：PN40</w:t>
      </w:r>
    </w:p>
    <w:p w14:paraId="1473B9A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最大设计压力：102bar g</w:t>
      </w:r>
    </w:p>
    <w:p w14:paraId="1AF703E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最大设计温度：400℃</w:t>
      </w:r>
    </w:p>
    <w:p w14:paraId="7ADB367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 连接方式：阀门为法兰连接，感应器为螺纹连接。</w:t>
      </w:r>
    </w:p>
    <w:p w14:paraId="06D9665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 </w:t>
      </w:r>
    </w:p>
    <w:p w14:paraId="0B4476F8">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3 锅炉底部自动排污系统</w:t>
      </w:r>
      <w:r>
        <w:rPr>
          <w:rFonts w:hint="eastAsia" w:ascii="宋体" w:hAnsi="宋体" w:eastAsia="宋体" w:cs="宋体"/>
          <w:color w:val="auto"/>
          <w:kern w:val="2"/>
          <w:sz w:val="24"/>
          <w:szCs w:val="24"/>
          <w:highlight w:val="none"/>
          <w:lang w:val="en-US" w:eastAsia="zh-CN" w:bidi="ar"/>
        </w:rPr>
        <w:t xml:space="preserve"> </w:t>
      </w:r>
    </w:p>
    <w:p w14:paraId="3D1F246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产品基本说明</w:t>
      </w:r>
    </w:p>
    <w:p w14:paraId="0D74483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1)专门设计用于锅炉排污应用，可用于定时自动排污。</w:t>
      </w:r>
    </w:p>
    <w:p w14:paraId="4E49E6C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2）通过快速打开排污阀来执行短期锅炉排污，在锅炉底部的喷出开口周围产生短期低压区域，进而产生抽吸效应，移除在锅炉下部沉降而积聚的污泥和沉淀物。间歇排污的抽吸作用仅在阀打开时有效。阀门操作最短可打开约4秒钟， 较长的开放时间会浪费锅炉水。间歇排污阀的弹簧关闭力随着锅炉压力增加，阀处于能够破坏沉积在阀座/塞子上的任何污垢颗粒的良好状态，从而确保正向关闭。通过在安装在阀下游的径向级喷嘴中产生的压力降进一步增加阀座/塞的使用寿命。底部排污过程之间的时间间隔能通过锅炉效率、给水质量和允许的锅炉水质来间接计算。   </w:t>
      </w:r>
    </w:p>
    <w:p w14:paraId="32F62A5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3）排污系统带泄漏检测装置，通过检测阀后温度和超声值，自动判断排污阀门工作情况，避免出现泄漏无法及时发现，从而导致能源浪费和安全隐患。</w:t>
      </w:r>
    </w:p>
    <w:p w14:paraId="2BCFF82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系统中截止阀要求必须为双层波纹管密封型截止阀，具有操作力矩小，无阀杆填料泄漏风险；阀门必须配附有清楚的开/关位置指示；手轮采用符合人工力学，采用压制钢。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1C4015B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（2）底部自动排污阀 </w:t>
      </w:r>
    </w:p>
    <w:p w14:paraId="5A15600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阀门结构设计需满足以下要求</w:t>
      </w:r>
    </w:p>
    <w:p w14:paraId="10CE4B8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1)通过阀体出口部分的集成压力室提高排污效率</w:t>
      </w:r>
    </w:p>
    <w:p w14:paraId="4EE3900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2)通过填料密封件之间的附加清洁环获得更高的密封性</w:t>
      </w:r>
    </w:p>
    <w:p w14:paraId="399D77D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3)通过阀座下游的径向级喷嘴实现更长的使用寿命和可用性</w:t>
      </w:r>
    </w:p>
    <w:p w14:paraId="344B6CC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4)不使用大机身盖从而增强抗水锤</w:t>
      </w:r>
    </w:p>
    <w:p w14:paraId="62AC647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5)通过在低压侧上的新密封布置减少磨损</w:t>
      </w:r>
    </w:p>
    <w:p w14:paraId="4D38AC9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6)通过新型隔离套管实现工作安全规定的一致性</w:t>
      </w:r>
    </w:p>
    <w:p w14:paraId="2EEF511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7)通过多功能部件快捷方便地安装</w:t>
      </w:r>
    </w:p>
    <w:p w14:paraId="1D6A5D0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8)通过作用在压缩弹簧上的附加盘簧以及通过从外部张紧密封件的可能性，减少维护和维修工作</w:t>
      </w:r>
    </w:p>
    <w:p w14:paraId="4A3AB48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9)通过减压通气管更好地检查功能，以便从外部检测泄漏</w:t>
      </w:r>
    </w:p>
    <w:p w14:paraId="2028AF5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阀体：碳钢。</w:t>
      </w:r>
    </w:p>
    <w:p w14:paraId="05A6683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阀芯：不锈钢+硬质合金钢。</w:t>
      </w:r>
    </w:p>
    <w:p w14:paraId="5FE5D4D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阀座：不锈钢+硬质合金钢。</w:t>
      </w:r>
    </w:p>
    <w:p w14:paraId="06401BD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适配1t/h 1.00MPa蒸汽锅炉</w:t>
      </w:r>
    </w:p>
    <w:p w14:paraId="6F7E44E6">
      <w:pPr>
        <w:pStyle w:val="34"/>
        <w:keepNext w:val="0"/>
        <w:keepLines w:val="0"/>
        <w:widowControl w:val="0"/>
        <w:suppressLineNumbers w:val="0"/>
        <w:spacing w:before="0" w:beforeAutospacing="0" w:after="0" w:afterAutospacing="0"/>
        <w:ind w:left="420" w:leftChars="200" w:right="0" w:firstLine="0" w:firstLineChars="0"/>
        <w:jc w:val="both"/>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 </w:t>
      </w:r>
    </w:p>
    <w:p w14:paraId="0BF8BB72">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4 锅炉房非标控制柜</w:t>
      </w:r>
    </w:p>
    <w:p w14:paraId="55CB0B42">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为实现系统稳定的排污调节控制和报警连锁保护，具有完善的通讯功能，界面友好，操作人性化，自动控制系统采用PLC+触摸屏设计，电气元器件参照或相当于西门子、施耐德、ABB等品牌或相当于同档次及以上品牌的产品。整合锅炉运行数据，需包含以下功能：</w:t>
      </w:r>
    </w:p>
    <w:p w14:paraId="1849D4A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1)锅炉炉水水质监测；</w:t>
      </w:r>
    </w:p>
    <w:p w14:paraId="38FA1F3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2)锅炉表面排污和底部排污自动控制，每台锅炉额外独立排污控制器；</w:t>
      </w:r>
    </w:p>
    <w:p w14:paraId="6FBECBA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3)锅炉底部排污阀泄漏监测；</w:t>
      </w:r>
    </w:p>
    <w:p w14:paraId="6D40E4E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4)每台干化机使用蒸汽流量监测；</w:t>
      </w:r>
    </w:p>
    <w:p w14:paraId="0040B85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5)冷凝水热回收系统监测；</w:t>
      </w:r>
    </w:p>
    <w:p w14:paraId="26CC35D5">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6)冷凝水回收率分析；</w:t>
      </w:r>
    </w:p>
    <w:p w14:paraId="41E9787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7)锅炉效率分析</w:t>
      </w:r>
    </w:p>
    <w:p w14:paraId="6FEFFB0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8)数字化服务，可提供Modbus RTU通信和云服务。</w:t>
      </w:r>
    </w:p>
    <w:p w14:paraId="05A7468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4C3D562">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5 干化车间中控室显示 软件及调试</w:t>
      </w:r>
    </w:p>
    <w:p w14:paraId="4CCFCD49">
      <w:pPr>
        <w:pStyle w:val="34"/>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 </w:t>
      </w:r>
    </w:p>
    <w:p w14:paraId="4A634A3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将项4锅炉房非标控制柜的运行界面和功能适配显示至目前干化车间中控室控制界面中，包含现场调试和培训服务。</w:t>
      </w:r>
    </w:p>
    <w:p w14:paraId="2032ADA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D3A02E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41E0A40B">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6 自动加药设备</w:t>
      </w:r>
    </w:p>
    <w:p w14:paraId="3FEF6D72">
      <w:pPr>
        <w:pStyle w:val="34"/>
        <w:keepNext w:val="0"/>
        <w:keepLines w:val="0"/>
        <w:widowControl w:val="0"/>
        <w:numPr>
          <w:ilvl w:val="0"/>
          <w:numId w:val="15"/>
        </w:numPr>
        <w:suppressLineNumbers w:val="0"/>
        <w:spacing w:before="0" w:beforeAutospacing="0" w:after="0" w:afterAutospacing="0"/>
        <w:ind w:left="425" w:leftChars="0" w:right="0" w:hanging="425" w:firstLineChars="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自动加药设备精准定量向锅炉给水中补给蒸汽管路缓蚀剂，降低蒸汽和冷凝水管道腐蚀，避免冷凝水铁离子超标和管道穿孔泄漏风险。中标人应提供蒸汽管道缓蚀剂的化学品安全技术说明书和项目调试、试运行期间及项目验收后至少满足项目3个月运行所需要的药剂。</w:t>
      </w:r>
    </w:p>
    <w:p w14:paraId="24CAE4B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569C4C3D">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7 分汽缸疏水阀组</w:t>
      </w:r>
    </w:p>
    <w:p w14:paraId="1FECEB3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2D548C5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DN25过滤器要求为Y型过滤器，材质阀体球墨铸铁，滤芯不锈钢，滤芯规格0.8mm网孔, 压力等级：≥PN16级 最大设计温度：300℃ 法兰连接。</w:t>
      </w:r>
    </w:p>
    <w:p w14:paraId="51FE55A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DN25止回阀采用对夹式止回阀，在水平安装并且无流量情况下的开启压力必须小于27mbar。材质不锈钢，压力等级：PN40级 最大设计温度：400℃ 法兰连接，中标人供货时应提供阀门原厂相关测试证明。</w:t>
      </w:r>
    </w:p>
    <w:p w14:paraId="0D170A8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自动疏水阀要求 </w:t>
      </w:r>
    </w:p>
    <w:p w14:paraId="33E80F6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规格：DN25 浮球式疏水阀</w:t>
      </w:r>
    </w:p>
    <w:p w14:paraId="2D54592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5BF150A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27E16DE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6C88DB85">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4A4D419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2B07F00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6CC2AD0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70F7572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中标人供货时应提供阀门原厂相关测试证明</w:t>
      </w:r>
      <w:r>
        <w:rPr>
          <w:rFonts w:hint="eastAsia" w:ascii="宋体" w:hAnsi="宋体" w:eastAsia="宋体" w:cs="宋体"/>
          <w:color w:val="auto"/>
          <w:kern w:val="2"/>
          <w:sz w:val="21"/>
          <w:szCs w:val="21"/>
          <w:highlight w:val="none"/>
          <w:lang w:val="en-US" w:eastAsia="zh-CN" w:bidi="ar"/>
        </w:rPr>
        <w:t>。</w:t>
      </w:r>
    </w:p>
    <w:p w14:paraId="782FA70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 </w:t>
      </w:r>
    </w:p>
    <w:p w14:paraId="341665DC">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8 管路疏水阀组*2  </w:t>
      </w:r>
    </w:p>
    <w:p w14:paraId="21098B7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压力等级：PN25级 最大设计温度：300℃ 阀门必须配附有清楚的开关指示。</w:t>
      </w:r>
    </w:p>
    <w:p w14:paraId="0C1EDD4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DN25过滤器要求为Y型过滤器，材质阀体球墨铸铁，滤芯不锈钢，滤芯规格0.8mm网孔, 压力等级：≥PN16级 最大设计温度：300℃ 法兰连接。</w:t>
      </w:r>
    </w:p>
    <w:p w14:paraId="455FB8A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DN25止回阀采用对夹式止回阀，在水平安装并且无流量情况下的开启压力必须小于27mbar。材质不锈钢，压力等级：PN40级 最大设计温度：400℃ 法兰连接，中标人供货时应提供阀门原厂相关测试证明。</w:t>
      </w:r>
    </w:p>
    <w:p w14:paraId="2D5A5A85">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自动疏水阀要求 </w:t>
      </w:r>
    </w:p>
    <w:p w14:paraId="5948533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规格：DN25 浮球式疏水阀</w:t>
      </w:r>
    </w:p>
    <w:p w14:paraId="5A5D6B4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5B9D1AB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10C9288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14878F3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597068D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595FAA9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3CDD7BB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210DFB2F">
      <w:pPr>
        <w:pStyle w:val="34"/>
        <w:keepNext w:val="0"/>
        <w:keepLines w:val="0"/>
        <w:widowControl w:val="0"/>
        <w:suppressLineNumbers w:val="0"/>
        <w:spacing w:before="0" w:beforeAutospacing="0" w:after="0" w:afterAutospacing="0"/>
        <w:ind w:left="0" w:leftChars="0" w:right="0" w:firstLine="480" w:firstLineChars="20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中标人供货时应提供阀门原厂相关测试证明。</w:t>
      </w:r>
    </w:p>
    <w:p w14:paraId="4702437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41A65134">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9 流量计站*2 </w:t>
      </w:r>
    </w:p>
    <w:p w14:paraId="2795ED2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规格参数 DN100</w:t>
      </w:r>
    </w:p>
    <w:p w14:paraId="09163AD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产品基本说明</w:t>
      </w:r>
    </w:p>
    <w:p w14:paraId="238E7FA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蒸汽流量计采用变截面式差压测量方式，本体安装于待测蒸汽管道上。</w:t>
      </w:r>
    </w:p>
    <w:p w14:paraId="6167242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1)蒸汽流量积分仪可计算和显示瞬间流量、累积流量、功率、温度、压力和热量。</w:t>
      </w:r>
    </w:p>
    <w:p w14:paraId="115783B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产品基本构造</w:t>
      </w:r>
    </w:p>
    <w:p w14:paraId="05B5E01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1)蒸汽流量计由流量计本体管道单元、压差变送器、压力补偿或者温度补偿、流量积分计算仪、流量计前后直管段等分体式产品组成流量计站,现场需要具备在线显示功能。</w:t>
      </w:r>
    </w:p>
    <w:p w14:paraId="6DD3CFC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2)蒸汽流量计本体内部件为可活动的锥体结构，本体连接方式为法兰夹持型。</w:t>
      </w:r>
    </w:p>
    <w:p w14:paraId="3DF2541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3)蒸汽流量计应具备RS485远传通讯端口，用于连接中控室显示流量计计量参数。</w:t>
      </w:r>
    </w:p>
    <w:p w14:paraId="49274555">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4)需要有密度补偿功能</w:t>
      </w:r>
    </w:p>
    <w:p w14:paraId="4FF30E3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产品功能要求</w:t>
      </w:r>
    </w:p>
    <w:p w14:paraId="2D38E14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1)适用于饱和、过热蒸汽系统、大多数工业流体、气体等。</w:t>
      </w:r>
    </w:p>
    <w:p w14:paraId="61B8222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2)量程比要求：须达100: 1，满足不同负载变化的要求。</w:t>
      </w:r>
    </w:p>
    <w:p w14:paraId="7DE121C7">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3)精度要求:±1.5%测量误差，在5%~100%最大流量时；</w:t>
      </w:r>
    </w:p>
    <w:p w14:paraId="0E89457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±0.1%满量程误差，在1%~5%最大流量时。</w:t>
      </w:r>
    </w:p>
    <w:p w14:paraId="62F5451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4)重复性要求：重复性优于0.25%。</w:t>
      </w:r>
    </w:p>
    <w:p w14:paraId="3EEFD16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5)安装要求：紧凑的对夹式安装，上下游分别需6D和3D的直管道。</w:t>
      </w:r>
    </w:p>
    <w:p w14:paraId="59946997">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6)补偿功能：具备自动蒸汽密度补偿功能。</w:t>
      </w:r>
    </w:p>
    <w:p w14:paraId="486EA7A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7)输出要求：MODBUS RS485通讯远传输出，便于与上位机通讯。</w:t>
      </w:r>
    </w:p>
    <w:p w14:paraId="1D8F50E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材质</w:t>
      </w:r>
    </w:p>
    <w:p w14:paraId="5222A8E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流量计本体：不锈钢</w:t>
      </w:r>
    </w:p>
    <w:p w14:paraId="6C2A547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压力等级：≥PN16</w:t>
      </w:r>
    </w:p>
    <w:p w14:paraId="0DE66205">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 最大设计压力：102bar g</w:t>
      </w:r>
    </w:p>
    <w:p w14:paraId="4D113FB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  最大设计温度：400℃</w:t>
      </w:r>
    </w:p>
    <w:p w14:paraId="5F9CF2B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 连接方式：流量计整体按站提供，带前后安装所需直管段，避免因现场安装不规范导致的计量误差。</w:t>
      </w:r>
    </w:p>
    <w:p w14:paraId="0796800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59CBBA11">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10 气动减压阀站*2   </w:t>
      </w:r>
    </w:p>
    <w:p w14:paraId="2078FBD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按照图纸及选型要求供应及安装蒸汽减压阀组，蒸汽减压阀组应包括减压阀、安全阀、蒸汽过滤器、压力表及其它所需的截止阀等；</w:t>
      </w:r>
    </w:p>
    <w:p w14:paraId="001003B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蒸汽减压阀组应设有应急旁通手阀，旁通管道及手阀口径与减压阀同口径，截止阀需具备流量调节功能，带锁止；蒸汽减压阀前Y型过滤器需为100目不锈钢滤网，过滤器侧装，避免积水；</w:t>
      </w:r>
    </w:p>
    <w:p w14:paraId="59C14B8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减压阀须为气动等百分比调节阀，气动膜片式，气开型，执行器失效时保持常闭安全位置，气动执行器采用多弹簧全滚动式膜片设计，提供了更好的膜片支撑和稳定的有效面积，减小了迟滞性；阀门定位器应为智能定位器，具备一键自动调试功能，本体自带液晶屏，实时显示阀门开度；阀体顶部和底部阀杆导向，保证精确对中和更长的阀杆密封使用寿命自带防刮环和防尘环，确保阀杆密封不会被流体或大气中的的小颗粒杂质损坏“O”型环为低压、低温介质提供良好的密封，加粗的阀杆设计，提高阀杆强度。</w:t>
      </w:r>
    </w:p>
    <w:p w14:paraId="4BBD4B6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压力表应包括U型或环型管及不锈钢切断阀，压力表的读数单位应为MPa，压力表应分别设置在蒸汽减压阀组的高、低压力管段上，压力表的最大读数应为额定工作压力的1.5~2倍；</w:t>
      </w:r>
    </w:p>
    <w:p w14:paraId="15DA854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安全阀应为全启式安全阀，设有排水管，排水管应以安全方式接往排水地漏；</w:t>
      </w:r>
    </w:p>
    <w:p w14:paraId="548330B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 减压站应保证完善的疏水功能，任何情况下都不能存在积水现象，避免阀门因水锤造成损害；</w:t>
      </w:r>
    </w:p>
    <w:p w14:paraId="264A714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 减压阀需安装在水平管道上，安装位置需考虑调试及检修便利 。</w:t>
      </w:r>
    </w:p>
    <w:p w14:paraId="57F6411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0A52841A">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11 设备疏水阀组*4  </w:t>
      </w:r>
      <w:r>
        <w:rPr>
          <w:rFonts w:hint="eastAsia" w:ascii="宋体" w:hAnsi="宋体" w:eastAsia="宋体" w:cs="宋体"/>
          <w:color w:val="auto"/>
          <w:kern w:val="2"/>
          <w:sz w:val="24"/>
          <w:szCs w:val="24"/>
          <w:highlight w:val="none"/>
          <w:lang w:val="en-US" w:eastAsia="zh-CN" w:bidi="ar"/>
        </w:rPr>
        <w:t xml:space="preserve">  </w:t>
      </w:r>
    </w:p>
    <w:p w14:paraId="740AEBA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2A24EBA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DN25旁通阀采用波纹管密封截止阀和高温球阀串联安装，DN25 PN16法兰连接，截止阀要求和上述一致，高温球阀采用碳/石墨强化PTFE密封，极限耐温260℃。</w:t>
      </w:r>
    </w:p>
    <w:p w14:paraId="7DEC833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DN40过滤器要求为Y型过滤器，材质阀体球墨铸铁，滤芯不锈钢，滤芯规格0.8mm网孔, 压力等级：≥PN16级 最大设计温度：300℃ 法兰连接。</w:t>
      </w:r>
    </w:p>
    <w:p w14:paraId="486A79B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DN40止回阀采用对夹式止回阀，在水平安装并且无流量情况下的开启压力必须小于27mbar。材质不锈钢，压力等级：PN40级 最大设计温度：400℃ 法兰连接，中标人供货时应提供阀门原厂相关测试证明。</w:t>
      </w:r>
    </w:p>
    <w:p w14:paraId="60EFEB3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 观视镜，材质球墨铸铁/碳钢，采用双窗观视镜，视窗采用硼硅酸玻璃，整体耐温280℃，≥PN16法兰连接。</w:t>
      </w:r>
    </w:p>
    <w:p w14:paraId="7F63887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自动疏水阀要求 </w:t>
      </w:r>
    </w:p>
    <w:p w14:paraId="19CF4F9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规格：DN40 浮球式疏水阀</w:t>
      </w:r>
    </w:p>
    <w:p w14:paraId="3224B2D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4DD4EDF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2526DC2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6C4B612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45C21BB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5B3F140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754B3A1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270FF65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中标人供货时应提供阀门原厂相关测试证明。</w:t>
      </w:r>
    </w:p>
    <w:p w14:paraId="1483A4A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10CF4C47">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12 设备疏水阀组*2 (尾气除尘)</w:t>
      </w:r>
    </w:p>
    <w:p w14:paraId="4216411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0DD3FDB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DN20过滤器要求为Y型过滤器，材质阀体球墨铸铁，滤芯不锈钢，滤芯规格0.8mm网孔, 压力等级：≥PN16级 最大设计温度：300℃ 法兰连接。</w:t>
      </w:r>
    </w:p>
    <w:p w14:paraId="7F1926D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DN20止回阀采用对夹式止回阀，在水平安装并且无流量情况下的开启压力必须小于27mbar。材质不锈钢，压力等级：PN40级 最大设计温度：400℃ 法兰连接，中标人供货时应提供阀门原厂相关测试证明。</w:t>
      </w:r>
    </w:p>
    <w:p w14:paraId="5D1C7DA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自动疏水阀要求 </w:t>
      </w:r>
    </w:p>
    <w:p w14:paraId="38E8B27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规格：DN20 浮球式疏水阀</w:t>
      </w:r>
    </w:p>
    <w:p w14:paraId="3DC866B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253255E5">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7AF45C4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3474707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70885DD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19E75D3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05FE10F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0FDB05C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中标人供货时应提供阀门原厂相关测试证明。</w:t>
      </w:r>
    </w:p>
    <w:p w14:paraId="0328798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0249E2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744560E4">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13 疏水阀检测组件*9  疏水阀检测装置 </w:t>
      </w:r>
    </w:p>
    <w:p w14:paraId="2404875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疏水阀检测组件由适配头、传感器、前置放大器、节点四部分组成，其本体可以直接安装在疏水阀阀体的螺栓上，通过传感器测量超声波信号及温度，对不同类型疏水阀采用不同模型及内置算法对其工作状态进行判定（正常，泄漏，积水，未工作），并将所测量的数据和边缘侧处理后的结果，通过无线传输的方式上传至控制柜平台展示。疏水阀检测组件内置可更换锂电池进行供电，无需单独供电，电池寿命根据数据传输频率的不同，拥有2-10年的寿命。 </w:t>
      </w:r>
    </w:p>
    <w:p w14:paraId="7FC1ABF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疏水阀监测界面</w:t>
      </w:r>
    </w:p>
    <w:p w14:paraId="3461720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（1）设备疏水阀状态实时监测看板</w:t>
      </w:r>
    </w:p>
    <w:p w14:paraId="7AE5389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采集厂区内关键疏水点位数据，实时监测疏水阀运行状态。利用设备看板，全厂不同区域疏水阀状态一目了然，快捷方便管理。具体界面可根据需求进行定制。</w:t>
      </w:r>
    </w:p>
    <w:p w14:paraId="327810E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（2）设备异常警报及报警跟踪</w:t>
      </w:r>
    </w:p>
    <w:p w14:paraId="5396A98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设置数据警报以立即通知疏水阀泄漏、堵塞等状态，支持查看、跟踪、评论或设置警报调查的当前状态，以帮助量化警报原因和问题。</w:t>
      </w:r>
    </w:p>
    <w:p w14:paraId="6E28E39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疏水阀状态分为四种，正常运行，未使用，堵塞，泄漏，并通过颜色进行区分，方便用户快速了解疏水阀当前运行状态。</w:t>
      </w:r>
    </w:p>
    <w:p w14:paraId="052C67FA">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 </w:t>
      </w:r>
    </w:p>
    <w:p w14:paraId="6CCC06E6">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14 冷凝水提升装置 </w:t>
      </w:r>
    </w:p>
    <w:p w14:paraId="6BDBD94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为了保证用汽设备正常运行，并降低设备的冷凝水出口背压并防止回收泵汽蚀，冷凝水回收采用专用于高温冷凝水系统的闭式冷凝水提升装置。该装置配有以下接口或配件：</w:t>
      </w:r>
    </w:p>
    <w:p w14:paraId="7094B50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1)进出口切断阀及止回阀；</w:t>
      </w:r>
    </w:p>
    <w:p w14:paraId="2234A23F">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2)辅助压缩空气驱动阀组；</w:t>
      </w:r>
    </w:p>
    <w:p w14:paraId="04E9B20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3)不锈钢本体；</w:t>
      </w:r>
    </w:p>
    <w:p w14:paraId="7131F7B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4)液位计和压力温度探头；</w:t>
      </w:r>
    </w:p>
    <w:p w14:paraId="6261BE4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5)低温直排，自排尽阀组，避免冷凝水系统积液。</w:t>
      </w:r>
    </w:p>
    <w:p w14:paraId="41D4840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冷凝水提升装置进出口止回阀应采用中间导承阀杆定位，以减少维护，增加寿命。</w:t>
      </w:r>
    </w:p>
    <w:p w14:paraId="6131D63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回收装置的选型流量为4t/h，扬程至少为20m。</w:t>
      </w:r>
    </w:p>
    <w:p w14:paraId="2EB5C49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PLC控制，连续在线监测，可通过上位机通讯监控，判断回收装置运行情况，提高可维护性。</w:t>
      </w:r>
    </w:p>
    <w:p w14:paraId="65170A3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 </w:t>
      </w:r>
    </w:p>
    <w:p w14:paraId="54FBB8F8">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15 软水电泵组</w:t>
      </w:r>
      <w:r>
        <w:rPr>
          <w:rFonts w:hint="eastAsia" w:ascii="宋体" w:hAnsi="宋体" w:eastAsia="宋体" w:cs="宋体"/>
          <w:color w:val="auto"/>
          <w:kern w:val="2"/>
          <w:sz w:val="24"/>
          <w:szCs w:val="24"/>
          <w:highlight w:val="none"/>
          <w:lang w:val="en-US" w:eastAsia="zh-CN" w:bidi="ar"/>
        </w:rPr>
        <w:t xml:space="preserve"> </w:t>
      </w:r>
    </w:p>
    <w:p w14:paraId="43EC005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1404F4A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DN40过滤器要求为Y型过滤器，材质阀体球墨铸铁，滤芯不锈钢，滤芯规格0.8mm网孔, 压力等级：≥PN16级 最大设计温度：300℃ 法兰连接。</w:t>
      </w:r>
    </w:p>
    <w:p w14:paraId="2FCBDB7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DN40止回阀采用对夹式止回阀，在水平安装并且无流量情况下的开启压力必须小于27mbar。材质不锈钢，压力等级：PN40级 最大设计温度：400℃ 法兰连接，中标人供货时应提供阀门原厂相关测试证明。</w:t>
      </w:r>
    </w:p>
    <w:p w14:paraId="27B313A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478BAD80">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16 软水流量计 </w:t>
      </w:r>
    </w:p>
    <w:p w14:paraId="297A23D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采用涡街型流量计，带流量信号输出功能，RS485通讯。精度±1.0%。</w:t>
      </w:r>
    </w:p>
    <w:p w14:paraId="77C6341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0E7C5D35">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17 压缩空气阀门</w:t>
      </w:r>
    </w:p>
    <w:p w14:paraId="42CD9F2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精密过滤器 </w:t>
      </w:r>
    </w:p>
    <w:p w14:paraId="5FF9B78B">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规格：DN25</w:t>
      </w:r>
    </w:p>
    <w:p w14:paraId="465FFB08">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公称压力：1.6MPa</w:t>
      </w:r>
    </w:p>
    <w:p w14:paraId="21C3C2A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材质 不锈钢</w:t>
      </w:r>
    </w:p>
    <w:p w14:paraId="03862AE3">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连接方式 法兰连接</w:t>
      </w:r>
    </w:p>
    <w:p w14:paraId="6F78D45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处理后的气体固体微粒数量应小于0.1g/m³，且微粒直径应不大于3μm，含油量应少于1ppm</w:t>
      </w:r>
    </w:p>
    <w:p w14:paraId="2F005DB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（6）法兰球阀 </w:t>
      </w:r>
    </w:p>
    <w:p w14:paraId="3788A99C">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规格：DN25</w:t>
      </w:r>
    </w:p>
    <w:p w14:paraId="7868E9C1">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公称压力：1.6MPa</w:t>
      </w:r>
    </w:p>
    <w:p w14:paraId="1EAA3F29">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材质 不锈钢</w:t>
      </w:r>
    </w:p>
    <w:p w14:paraId="2D85006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连接方式 法兰连接</w:t>
      </w:r>
    </w:p>
    <w:p w14:paraId="1BD0DE8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5E4C10EC">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18 管材</w:t>
      </w:r>
    </w:p>
    <w:p w14:paraId="6D02549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不锈钢管选用材质O6Cr19Ni10(GB/T14976-2012)，可用304替代。规格包括：φ273×7（DN250）、φ219×6（DN200）、φ159×5（DN150）、φ108×4（DN100）、φ89×4（DN80）、φ76×4（DN65）、φ57×3.5（DN50）、φ45×3（DN40）、φ38×3（DN32）、φ32×3（DN25）、φ25×3（DN20）。</w:t>
      </w:r>
    </w:p>
    <w:p w14:paraId="45E7A63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碳钢无缝钢管选用材质20(GB/T8163-2018)。规格包括：φ273×7（DN250）、φ219×6（DN200）、φ159×5（DN150）、φ108×4（DN100）、φ89×4（DN80）、φ76×4（DN65）、φ57×3.5（DN50）、φ45×3（DN40）、φ38×3（DN32）、φ32×3（DN25）、φ25×3（DN20）。</w:t>
      </w:r>
    </w:p>
    <w:p w14:paraId="12B449E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（3）弯头、等径三通、异径三通、大小头管件采用钢制对焊管件，其类型和参数符合GB/T12459-2017中的规定。</w:t>
      </w:r>
    </w:p>
    <w:p w14:paraId="0B64A72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572F3FE4">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19 电缆</w:t>
      </w:r>
    </w:p>
    <w:p w14:paraId="65642296">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动力电缆：进线电缆采用阻燃型铜芯交联聚氯乙烯绝缘聚乙烯护套铠装电力电缆（ZR-YJV22-0.6/1kV）；设备配电线缆采用阻燃型铜芯聚氯乙烯绝缘聚乙烯护套电力电缆（ZR-YJV-0.6/1kV）。额定电压等级均为0.6/1.0千伏。</w:t>
      </w:r>
    </w:p>
    <w:p w14:paraId="712DCBD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控制电缆：控制器、流量计控制等选用阻燃型铜芯聚乙烯绝缘屏蔽聚氯乙烯护套控制电缆（ZR-DJYPVP-0.45/0.75kV）；温度、液位信号等选用阻燃型铜芯聚氯绝缘聚氯护套控制电缆（ZR-KVVP-0.45/0.75kV）；控制阀、切断阀选用阻燃型铜芯聚氯乙烯绝缘聚氯乙烯护套圆形连接软电缆,（ZR-RVVP-0.45/0.75kV）。额定电压等级均为0.45/0.75千伏。</w:t>
      </w:r>
    </w:p>
    <w:p w14:paraId="1762800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（3）各种线缆应有出厂合格证、安装技术文件，技术文件应包括额定电压、额定容量、试验报告等技术数据。型号、规格、电压等级、应符合设计要求。</w:t>
      </w:r>
    </w:p>
    <w:p w14:paraId="161EB530">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28A05C88">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20 电缆保护管</w:t>
      </w:r>
    </w:p>
    <w:p w14:paraId="32B319A4">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镀锌焊接钢管：SC32、SC25、SC20</w:t>
      </w:r>
    </w:p>
    <w:p w14:paraId="2839350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（1）、各种规格的型钢应无明显锈蚀，卡件、各种螺栓、垫圈应符合设计要求,应是热镀锌制品。</w:t>
      </w:r>
    </w:p>
    <w:p w14:paraId="1FB5BFBE">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（2)、其它材料:防腐油漆、面漆、电焊条等应有出厂合格证。</w:t>
      </w:r>
    </w:p>
    <w:p w14:paraId="3B4F4CA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4379FCFB">
      <w:pPr>
        <w:pStyle w:val="34"/>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21 接地线</w:t>
      </w:r>
    </w:p>
    <w:p w14:paraId="1FA9F83D">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镀锌扁钢：-40*4</w:t>
      </w:r>
    </w:p>
    <w:p w14:paraId="4B64E287">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（1）40x4镀锌扁钢的厚度偏差值为上偏差0.2mm，下偏差0.4mm，宽度偏差值为上偏差0.5mm，下偏差1.0mm。各连接均采用焊接，并在焊点处作防腐处理。所有防雷金属材料均采用热镀锌处理，且锌层均匀。</w:t>
      </w:r>
    </w:p>
    <w:p w14:paraId="02D7BBA7">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（2)其它材料:防腐油漆、面漆、电焊条等应有出厂合格证。</w:t>
      </w:r>
    </w:p>
    <w:p w14:paraId="02E54BF2">
      <w:pPr>
        <w:pStyle w:val="34"/>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7BD299F8">
      <w:pPr>
        <w:keepNext w:val="0"/>
        <w:keepLines w:val="0"/>
        <w:widowControl w:val="0"/>
        <w:suppressLineNumbers w:val="0"/>
        <w:kinsoku w:val="0"/>
        <w:autoSpaceDE w:val="0"/>
        <w:autoSpaceDN w:val="0"/>
        <w:spacing w:before="0" w:beforeAutospacing="0" w:after="0" w:afterAutospacing="0"/>
        <w:ind w:left="0" w:right="0"/>
        <w:jc w:val="both"/>
        <w:textAlignment w:val="baseline"/>
        <w:outlineLvl w:val="0"/>
        <w:rPr>
          <w:rFonts w:hint="eastAsia" w:ascii="宋体" w:hAnsi="宋体" w:eastAsia="宋体" w:cs="宋体"/>
          <w:b/>
          <w:bCs/>
          <w:color w:val="auto"/>
          <w:spacing w:val="7"/>
          <w:kern w:val="0"/>
          <w:position w:val="1"/>
          <w:sz w:val="24"/>
          <w:szCs w:val="24"/>
          <w:highlight w:val="none"/>
          <w:vertAlign w:val="baseline"/>
        </w:rPr>
      </w:pPr>
      <w:r>
        <w:rPr>
          <w:rFonts w:hint="eastAsia" w:ascii="宋体" w:hAnsi="宋体" w:eastAsia="宋体" w:cs="宋体"/>
          <w:b/>
          <w:bCs/>
          <w:color w:val="auto"/>
          <w:spacing w:val="7"/>
          <w:kern w:val="0"/>
          <w:position w:val="1"/>
          <w:sz w:val="24"/>
          <w:szCs w:val="24"/>
          <w:highlight w:val="none"/>
          <w:vertAlign w:val="baseline"/>
          <w:lang w:val="en-US" w:eastAsia="zh-CN" w:bidi="ar"/>
        </w:rPr>
        <w:t>四、项目试运行考核；</w:t>
      </w:r>
    </w:p>
    <w:p w14:paraId="444571E3">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（1）安装调试完毕后，具备开展现场稳定连续稳定试运行的条件，由中标人向招标人递交书面试运行申请书，招标人审核同意后方可开展试运行。</w:t>
      </w:r>
    </w:p>
    <w:p w14:paraId="36D75E37">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（2）试运行期为30天，期间当天运行的锅炉在加药、排污系统自动运行下，锅炉水质进行检测，具体要求如下：</w:t>
      </w:r>
    </w:p>
    <w:p w14:paraId="6D4D7647">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1）检测项目、频次、限值见锅炉水水质检测表。</w:t>
      </w:r>
    </w:p>
    <w:p w14:paraId="061CB4CB">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2）检测方法按《GB/T 1576-2018 工业锅炉水质》引用的检测方法进行检测。</w:t>
      </w:r>
    </w:p>
    <w:p w14:paraId="160B9E36">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3）锅炉水质样品由招标人随机时间取样，取样分为两份，一份作为当日水质送检样品、一份为留样样品。</w:t>
      </w:r>
    </w:p>
    <w:p w14:paraId="5A247B6B">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4）每日锅炉水质检测：每日水质检测由招标人或招标人下属的分公司负责完成。</w:t>
      </w:r>
    </w:p>
    <w:p w14:paraId="22BE1F9E">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5）随机锅炉水质检测：试运行期间，招标人有权随机开展锅炉水质抽检。</w:t>
      </w:r>
    </w:p>
    <w:p w14:paraId="4D9087F6">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6）每日锅炉及随机锅炉水样检测不合格时，招标人将当天留样样品进行复测，若复测结果仍为不及格，则判定该锅炉水质为不达标。</w:t>
      </w:r>
    </w:p>
    <w:p w14:paraId="713D9069">
      <w:pPr>
        <w:keepNext w:val="0"/>
        <w:keepLines w:val="0"/>
        <w:widowControl w:val="0"/>
        <w:suppressLineNumbers w:val="0"/>
        <w:autoSpaceDE w:val="0"/>
        <w:autoSpaceDN/>
        <w:spacing w:before="0" w:beforeAutospacing="0" w:after="0" w:afterAutospacing="0"/>
        <w:ind w:left="0" w:leftChars="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（3）整套系统试运行期间，项目所安装的设备设施无故障稳定运行30天且期间抽检的锅炉水质均达标为合格。若试运行失败，中标人重新调试后，可再次申请试运行。</w:t>
      </w:r>
    </w:p>
    <w:p w14:paraId="6B0F9740">
      <w:pPr>
        <w:keepNext w:val="0"/>
        <w:keepLines w:val="0"/>
        <w:widowControl w:val="0"/>
        <w:suppressLineNumbers w:val="0"/>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（4）项目的试运行以及试运行失败所需的整改时间均计入工期内。</w:t>
      </w:r>
    </w:p>
    <w:p w14:paraId="53C00CE2">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 </w:t>
      </w:r>
    </w:p>
    <w:p w14:paraId="06CC3C99">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锅炉水水质检测表</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89"/>
        <w:gridCol w:w="2320"/>
        <w:gridCol w:w="2120"/>
        <w:gridCol w:w="2120"/>
        <w:gridCol w:w="2011"/>
      </w:tblGrid>
      <w:tr w14:paraId="6854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F54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水样</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15C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项目</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D56C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频次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6E3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限值</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58CD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单位</w:t>
            </w:r>
          </w:p>
        </w:tc>
      </w:tr>
      <w:tr w14:paraId="0AEA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7B04B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给水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4E3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浊度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CCD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D177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≤5.0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567F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63BE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08F2E35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217A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总硬度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90C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E5B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≤0.03</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E37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189F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2C93C5D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72A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252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78C7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7.0-10.5</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7C73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0474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15C6828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7D48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铁含量</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1E0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645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≤0.30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05F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mg/L</w:t>
            </w:r>
          </w:p>
        </w:tc>
      </w:tr>
      <w:tr w14:paraId="1028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6E2536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锅炉水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6BB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溶解性固形物</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353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76B5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w:t>
            </w:r>
            <w:r>
              <w:rPr>
                <w:rFonts w:hint="eastAsia" w:ascii="宋体" w:hAnsi="宋体" w:eastAsia="宋体" w:cs="宋体"/>
                <w:i w:val="0"/>
                <w:iCs w:val="0"/>
                <w:color w:val="auto"/>
                <w:kern w:val="2"/>
                <w:sz w:val="22"/>
                <w:szCs w:val="22"/>
                <w:highlight w:val="none"/>
                <w:lang w:val="en-US" w:eastAsia="zh-CN" w:bidi="ar"/>
              </w:rPr>
              <w:t>4000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B3E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ppm</w:t>
            </w:r>
          </w:p>
        </w:tc>
      </w:tr>
      <w:tr w14:paraId="0DA0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333397D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6EB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酚酞碱度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9678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704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2.0-18.0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C3C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1824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51827B9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558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E48E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A321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4.0-26.0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6320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25C7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117DB95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E14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349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29F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10.0-12.0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FD61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bl>
    <w:p w14:paraId="5353965D">
      <w:pPr>
        <w:rPr>
          <w:vanish/>
          <w:color w:val="auto"/>
          <w:sz w:val="24"/>
          <w:szCs w:val="24"/>
          <w:highlight w:val="none"/>
        </w:rPr>
      </w:pP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89"/>
        <w:gridCol w:w="2320"/>
        <w:gridCol w:w="2120"/>
        <w:gridCol w:w="2120"/>
        <w:gridCol w:w="2011"/>
      </w:tblGrid>
      <w:tr w14:paraId="596D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2B7F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水样</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BD4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项目</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8C47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频次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8B7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限值</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147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单位</w:t>
            </w:r>
          </w:p>
        </w:tc>
      </w:tr>
      <w:tr w14:paraId="4EAB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6FE27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给水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318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浊度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373C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89CA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≤5.0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2378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1B80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6A546C5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FBF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总硬度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6E8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AB19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≤0.03</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252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3480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04BD2A8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38FF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4234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0652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7.0-10.5</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2542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7366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1DEFA48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E4B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铁含量</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E121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3D75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≤0.30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ED0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mg/L</w:t>
            </w:r>
          </w:p>
        </w:tc>
      </w:tr>
      <w:tr w14:paraId="6C73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530218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锅炉水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735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溶解性固形物</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1BD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5E2C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w:t>
            </w:r>
            <w:r>
              <w:rPr>
                <w:rFonts w:hint="eastAsia" w:ascii="宋体" w:hAnsi="宋体" w:eastAsia="宋体" w:cs="宋体"/>
                <w:i w:val="0"/>
                <w:iCs w:val="0"/>
                <w:color w:val="auto"/>
                <w:kern w:val="2"/>
                <w:sz w:val="22"/>
                <w:szCs w:val="22"/>
                <w:highlight w:val="none"/>
                <w:lang w:val="en-US" w:eastAsia="zh-CN" w:bidi="ar"/>
              </w:rPr>
              <w:t>4000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01FC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ppm</w:t>
            </w:r>
          </w:p>
        </w:tc>
      </w:tr>
      <w:tr w14:paraId="36E1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723459E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F834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酚酞碱度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AFE0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410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2.0-18.0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793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3552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72E02DC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EA1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D81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9E1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4.0-26.0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A64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5F8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4601A92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FCF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14DA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F487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10.0-12.0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AF4F5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bl>
    <w:p w14:paraId="4AF0E403">
      <w:pPr>
        <w:keepNext w:val="0"/>
        <w:keepLines w:val="0"/>
        <w:widowControl w:val="0"/>
        <w:suppressLineNumbers w:val="0"/>
        <w:autoSpaceDE w:val="0"/>
        <w:autoSpaceDN w:val="0"/>
        <w:adjustRightInd w:val="0"/>
        <w:snapToGrid w:val="0"/>
        <w:spacing w:before="0" w:beforeAutospacing="0" w:after="0" w:afterAutospacing="0"/>
        <w:ind w:left="0" w:right="0" w:firstLine="482" w:firstLineChars="200"/>
        <w:jc w:val="left"/>
        <w:outlineLvl w:val="1"/>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 </w:t>
      </w:r>
    </w:p>
    <w:p w14:paraId="1BEFB22E">
      <w:pPr>
        <w:pStyle w:val="34"/>
        <w:keepNext w:val="0"/>
        <w:keepLines w:val="0"/>
        <w:widowControl w:val="0"/>
        <w:suppressLineNumbers w:val="0"/>
        <w:spacing w:before="0" w:beforeAutospacing="1" w:after="120" w:afterAutospacing="0" w:line="480" w:lineRule="auto"/>
        <w:ind w:left="0" w:right="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 xml:space="preserve"> </w:t>
      </w:r>
    </w:p>
    <w:p w14:paraId="3BEFBC16">
      <w:pPr>
        <w:rPr>
          <w:rFonts w:hint="eastAsia" w:ascii="宋体" w:hAnsi="宋体" w:eastAsia="宋体" w:cs="宋体"/>
          <w:b/>
          <w:bCs/>
          <w:color w:val="auto"/>
          <w:kern w:val="2"/>
          <w:sz w:val="28"/>
          <w:szCs w:val="28"/>
          <w:highlight w:val="none"/>
        </w:rPr>
        <w:sectPr>
          <w:pgSz w:w="11906" w:h="16838"/>
          <w:pgMar w:top="1440" w:right="1080" w:bottom="1440" w:left="1080" w:header="851" w:footer="992" w:gutter="0"/>
          <w:cols w:space="720" w:num="1"/>
          <w:docGrid w:type="lines" w:linePitch="312" w:charSpace="0"/>
        </w:sectPr>
      </w:pPr>
    </w:p>
    <w:p w14:paraId="6EE0E3AB">
      <w:pPr>
        <w:pStyle w:val="34"/>
        <w:keepNext w:val="0"/>
        <w:keepLines w:val="0"/>
        <w:widowControl w:val="0"/>
        <w:suppressLineNumbers w:val="0"/>
        <w:spacing w:before="0" w:beforeAutospacing="1" w:after="120" w:afterAutospacing="0" w:line="480" w:lineRule="auto"/>
        <w:ind w:left="0" w:right="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项目三 大沙地分公司2024年二期干化车间蒸汽锅炉及冷凝水回收系统</w:t>
      </w:r>
    </w:p>
    <w:p w14:paraId="3BD57EDA">
      <w:pPr>
        <w:pStyle w:val="34"/>
        <w:keepNext w:val="0"/>
        <w:keepLines w:val="0"/>
        <w:widowControl w:val="0"/>
        <w:suppressLineNumbers w:val="0"/>
        <w:spacing w:before="0" w:beforeAutospacing="1" w:after="120" w:afterAutospacing="0" w:line="480" w:lineRule="auto"/>
        <w:ind w:left="0" w:right="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改造项目</w:t>
      </w:r>
    </w:p>
    <w:p w14:paraId="27C92D97">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345A8328">
      <w:pPr>
        <w:pStyle w:val="5"/>
        <w:keepNext w:val="0"/>
        <w:keepLines w:val="0"/>
        <w:widowControl w:val="0"/>
        <w:numPr>
          <w:ilvl w:val="0"/>
          <w:numId w:val="16"/>
        </w:numPr>
        <w:suppressLineNumbers w:val="0"/>
        <w:autoSpaceDE w:val="0"/>
        <w:autoSpaceDN w:val="0"/>
        <w:ind w:left="0" w:leftChars="0" w:firstLine="0" w:firstLineChars="0"/>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color w:val="auto"/>
          <w:kern w:val="0"/>
          <w:sz w:val="24"/>
          <w:szCs w:val="24"/>
          <w:highlight w:val="none"/>
          <w:vertAlign w:val="baseline"/>
        </w:rPr>
        <w:t>总则</w:t>
      </w:r>
    </w:p>
    <w:p w14:paraId="175F874E">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概况：大沙地分公司有4台WDR1-1.0电热锅炉，总蒸发量：4t/h，锅炉额定蒸汽压力：1.0MPa，锅炉蒸汽温度：184℃。自来水经全自动软水器软化后进入软化水箱，经锅炉给水泵进入锅炉产生蒸汽，蒸汽从锅炉房分汽缸分两路经过减压后接管至干化间2台污泥干化装置使用，冷凝水经疏水冷却器后进入凝结水箱后经泵接回锅炉房软化凝结水箱。本项目对现有工艺管道等进行优化改造，达到节能降耗目的。</w:t>
      </w:r>
    </w:p>
    <w:p w14:paraId="0F476843">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52F320B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二、项目主要技术要求</w:t>
      </w:r>
    </w:p>
    <w:p w14:paraId="0F74F2EE">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2.1 一般要求</w:t>
      </w:r>
    </w:p>
    <w:p w14:paraId="5C57784F">
      <w:pPr>
        <w:keepNext w:val="0"/>
        <w:keepLines w:val="0"/>
        <w:widowControl/>
        <w:numPr>
          <w:ilvl w:val="0"/>
          <w:numId w:val="17"/>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中标单位按设计图纸要求，提供蒸汽管道系统设备、阀门、管道及配件等以完善系统，保证系统的正常运行。</w:t>
      </w:r>
    </w:p>
    <w:p w14:paraId="425FAA28">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ind w:left="0" w:leftChars="0" w:right="0" w:firstLine="480" w:firstLineChars="200"/>
        <w:jc w:val="left"/>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2"/>
          <w:sz w:val="24"/>
          <w:szCs w:val="24"/>
          <w:highlight w:val="none"/>
          <w:lang w:val="en-US" w:eastAsia="zh-CN" w:bidi="ar"/>
        </w:rPr>
        <w:t>本项目在锅炉、蒸汽系统及冷凝水管道系统上所采用的</w:t>
      </w:r>
      <w:r>
        <w:rPr>
          <w:rFonts w:hint="eastAsia" w:ascii="宋体" w:hAnsi="宋体" w:eastAsia="宋体" w:cs="宋体"/>
          <w:color w:val="auto"/>
          <w:kern w:val="0"/>
          <w:sz w:val="24"/>
          <w:szCs w:val="24"/>
          <w:highlight w:val="none"/>
          <w:lang w:val="en-US" w:eastAsia="zh-CN" w:bidi="ar"/>
        </w:rPr>
        <w:t>疏水阀（组）、止回阀、冷凝水热回收水箱、表面排污装置、排污阀、减压阀、</w:t>
      </w:r>
      <w:r>
        <w:rPr>
          <w:rFonts w:hint="eastAsia" w:ascii="宋体" w:hAnsi="宋体" w:eastAsia="宋体" w:cs="宋体"/>
          <w:b w:val="0"/>
          <w:bCs w:val="0"/>
          <w:color w:val="auto"/>
          <w:kern w:val="2"/>
          <w:sz w:val="24"/>
          <w:szCs w:val="24"/>
          <w:highlight w:val="none"/>
          <w:lang w:val="en-US" w:eastAsia="zh-CN" w:bidi="ar"/>
        </w:rPr>
        <w:t>疏水阀检测组件、蒸汽流量计、冷凝水提升装置等应充分考虑蒸汽锅炉及冷凝水回收系统改造后的运行稳定性和可靠性，发包人对设备的使用管理和维修维护的便利性、统一性，以及自控平台的兼容性，系统设备整体品牌参照或相当于斯派莎克、上海沪工、杰斯特拉等品牌或相当于同档次及以上品牌的产品，严禁采用贴牌产品。</w:t>
      </w:r>
      <w:r>
        <w:rPr>
          <w:rFonts w:hint="eastAsia" w:ascii="宋体" w:hAnsi="宋体" w:eastAsia="宋体" w:cs="宋体"/>
          <w:color w:val="auto"/>
          <w:kern w:val="0"/>
          <w:sz w:val="24"/>
          <w:szCs w:val="24"/>
          <w:highlight w:val="none"/>
          <w:lang w:val="en-US" w:eastAsia="zh-CN" w:bidi="ar"/>
        </w:rPr>
        <w:t>设备订货前中标人应向招标人报审，招标人确认后方可订货。</w:t>
      </w:r>
    </w:p>
    <w:p w14:paraId="1E18CAA6">
      <w:pPr>
        <w:keepNext w:val="0"/>
        <w:keepLines w:val="0"/>
        <w:widowControl/>
        <w:numPr>
          <w:ilvl w:val="0"/>
          <w:numId w:val="17"/>
        </w:numPr>
        <w:suppressLineNumbers w:val="0"/>
        <w:snapToGrid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所有送抵工地的设备、阀门及配件均应是全新制成品，在储存、运送期间应采取正确的保护设施，以确保设备、阀门及配件在任何情况下不受损坏。</w:t>
      </w:r>
      <w:r>
        <w:rPr>
          <w:rFonts w:hint="eastAsia" w:ascii="宋体" w:hAnsi="宋体" w:eastAsia="宋体" w:cs="宋体"/>
          <w:b w:val="0"/>
          <w:bCs w:val="0"/>
          <w:color w:val="auto"/>
          <w:kern w:val="2"/>
          <w:sz w:val="24"/>
          <w:szCs w:val="24"/>
          <w:highlight w:val="none"/>
          <w:lang w:val="en-US" w:eastAsia="zh-CN" w:bidi="ar"/>
        </w:rPr>
        <w:t>中标人所供货的上述设备，在供货时</w:t>
      </w:r>
      <w:r>
        <w:rPr>
          <w:rFonts w:hint="eastAsia" w:ascii="宋体" w:hAnsi="宋体" w:eastAsia="宋体" w:cs="宋体"/>
          <w:bCs w:val="0"/>
          <w:color w:val="auto"/>
          <w:kern w:val="2"/>
          <w:sz w:val="24"/>
          <w:szCs w:val="24"/>
          <w:highlight w:val="none"/>
          <w:lang w:val="en-US" w:eastAsia="zh-CN" w:bidi="ar"/>
        </w:rPr>
        <w:t>均需提供出厂文件，包括但不限于合格证、说明书、</w:t>
      </w:r>
      <w:r>
        <w:rPr>
          <w:rFonts w:hint="eastAsia" w:ascii="宋体" w:hAnsi="宋体" w:eastAsia="宋体" w:cs="宋体"/>
          <w:b w:val="0"/>
          <w:bCs w:val="0"/>
          <w:color w:val="auto"/>
          <w:kern w:val="2"/>
          <w:sz w:val="24"/>
          <w:szCs w:val="24"/>
          <w:highlight w:val="none"/>
          <w:lang w:val="en-US" w:eastAsia="zh-CN" w:bidi="ar"/>
        </w:rPr>
        <w:t>安装维修指南和产品技术资料（如有外文资料，需同步提供中文译文资料）；</w:t>
      </w:r>
      <w:r>
        <w:rPr>
          <w:rFonts w:hint="eastAsia" w:ascii="宋体" w:hAnsi="宋体" w:eastAsia="宋体" w:cs="宋体"/>
          <w:color w:val="auto"/>
          <w:kern w:val="0"/>
          <w:sz w:val="24"/>
          <w:szCs w:val="24"/>
          <w:highlight w:val="none"/>
          <w:lang w:val="en-US" w:eastAsia="zh-CN" w:bidi="ar"/>
        </w:rPr>
        <w:t>所有蒸汽系统之设备，须配以吊装设施，以方便设备的运送及安装。</w:t>
      </w:r>
    </w:p>
    <w:p w14:paraId="036182F3">
      <w:pPr>
        <w:keepNext w:val="0"/>
        <w:keepLines w:val="0"/>
        <w:widowControl/>
        <w:numPr>
          <w:ilvl w:val="0"/>
          <w:numId w:val="17"/>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2"/>
          <w:sz w:val="24"/>
          <w:szCs w:val="24"/>
          <w:highlight w:val="none"/>
          <w:lang w:val="en-US" w:eastAsia="zh-CN" w:bidi="ar"/>
        </w:rPr>
        <w:t>所有设备、材料</w:t>
      </w:r>
      <w:r>
        <w:rPr>
          <w:rFonts w:hint="eastAsia" w:ascii="宋体" w:hAnsi="宋体" w:eastAsia="宋体" w:cs="宋体"/>
          <w:color w:val="auto"/>
          <w:kern w:val="0"/>
          <w:sz w:val="24"/>
          <w:szCs w:val="24"/>
          <w:highlight w:val="none"/>
          <w:lang w:val="en-US" w:eastAsia="zh-CN" w:bidi="ar"/>
        </w:rPr>
        <w:t>投标单位必须准备足够使用的围蔽施工场所需要使用的物资，包括但不限于红色高水码等。</w:t>
      </w:r>
    </w:p>
    <w:p w14:paraId="7FE8B5B6">
      <w:pPr>
        <w:keepNext w:val="0"/>
        <w:keepLines w:val="0"/>
        <w:widowControl/>
        <w:numPr>
          <w:ilvl w:val="0"/>
          <w:numId w:val="17"/>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新控制系统要求与原有系统可对接读取数据，做到中控室有数据可监控。</w:t>
      </w:r>
    </w:p>
    <w:p w14:paraId="0D4C75A1">
      <w:pPr>
        <w:keepNext w:val="0"/>
        <w:keepLines w:val="0"/>
        <w:widowControl w:val="0"/>
        <w:numPr>
          <w:ilvl w:val="0"/>
          <w:numId w:val="17"/>
        </w:numPr>
        <w:suppressLineNumbers w:val="0"/>
        <w:spacing w:before="0" w:beforeAutospacing="0" w:after="0" w:afterAutospacing="0"/>
        <w:ind w:left="425"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2"/>
          <w:sz w:val="24"/>
          <w:szCs w:val="24"/>
          <w:highlight w:val="none"/>
          <w:lang w:val="en-US" w:eastAsia="zh-CN" w:bidi="ar"/>
        </w:rPr>
        <w:t>质量要求：</w:t>
      </w:r>
      <w:r>
        <w:rPr>
          <w:rFonts w:hint="eastAsia" w:ascii="宋体" w:hAnsi="宋体" w:eastAsia="宋体" w:cs="宋体"/>
          <w:color w:val="auto"/>
          <w:kern w:val="2"/>
          <w:sz w:val="24"/>
          <w:szCs w:val="24"/>
          <w:highlight w:val="none"/>
          <w:lang w:val="en-US" w:eastAsia="zh-CN" w:bidi="ar"/>
        </w:rPr>
        <w:t>按合同条款和有关技术标准规范进行验收。中标单位使用的各种材料必须符合设计和有关技术标准规范要求。</w:t>
      </w:r>
    </w:p>
    <w:p w14:paraId="2F688378">
      <w:pPr>
        <w:pStyle w:val="7"/>
        <w:widowControl/>
        <w:spacing w:before="0" w:beforeAutospacing="1" w:after="0" w:afterAutospacing="0"/>
        <w:ind w:left="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bCs w:val="0"/>
          <w:color w:val="auto"/>
          <w:kern w:val="0"/>
          <w:sz w:val="24"/>
          <w:szCs w:val="24"/>
          <w:highlight w:val="none"/>
        </w:rPr>
        <w:t>质量保修期期间，</w:t>
      </w:r>
      <w:r>
        <w:rPr>
          <w:rFonts w:hint="eastAsia" w:ascii="宋体" w:hAnsi="宋体" w:eastAsia="宋体" w:cs="宋体"/>
          <w:i w:val="0"/>
          <w:iCs w:val="0"/>
          <w:color w:val="auto"/>
          <w:kern w:val="0"/>
          <w:sz w:val="24"/>
          <w:szCs w:val="24"/>
          <w:highlight w:val="none"/>
        </w:rPr>
        <w:t>中标人须提供48小时质保响应服务；项目实施范围内的设备、系统及管道出现突发故障，中标人在接到招标人电话通知后，中标人应在48小时内到场对故障设备进行检查，属于</w:t>
      </w:r>
      <w:r>
        <w:rPr>
          <w:rFonts w:hint="eastAsia" w:ascii="宋体" w:hAnsi="宋体" w:eastAsia="宋体" w:cs="宋体"/>
          <w:bCs w:val="0"/>
          <w:color w:val="auto"/>
          <w:kern w:val="0"/>
          <w:sz w:val="24"/>
          <w:szCs w:val="24"/>
          <w:highlight w:val="none"/>
        </w:rPr>
        <w:t>本项目的质量问题由中标人免费提供保修服务， 7 日内派人员负责解决及维修。</w:t>
      </w:r>
    </w:p>
    <w:p w14:paraId="18077F69">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6C852429">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2.2 </w:t>
      </w:r>
      <w:r>
        <w:rPr>
          <w:rFonts w:hint="eastAsia" w:ascii="宋体" w:hAnsi="宋体" w:eastAsia="宋体" w:cs="宋体"/>
          <w:color w:val="auto"/>
          <w:kern w:val="0"/>
          <w:sz w:val="24"/>
          <w:szCs w:val="24"/>
          <w:highlight w:val="none"/>
        </w:rPr>
        <w:t>中标单位所提供的产品及安装、验收须国家标准和部颁行业标准：</w:t>
      </w:r>
    </w:p>
    <w:p w14:paraId="56CEFBA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（1）当地政府有关部门所制定之条例及规范。</w:t>
      </w:r>
    </w:p>
    <w:p w14:paraId="1B23B02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（2）国家现行相关标准规范：</w:t>
      </w:r>
    </w:p>
    <w:p w14:paraId="53F6DD48">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《机械设备安装工程施工及验收通用规范》GB50231-2009</w:t>
      </w:r>
    </w:p>
    <w:p w14:paraId="0155A82E">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《工业金属管道工程施工规范》GB50235-2010</w:t>
      </w:r>
    </w:p>
    <w:p w14:paraId="0E7F27E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《现场设备、工业管道焊接工程施工规范》GB50236-2011</w:t>
      </w:r>
    </w:p>
    <w:p w14:paraId="1107947E">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《工业金属管道工程施工质量验收规范》GB50184-2011</w:t>
      </w:r>
    </w:p>
    <w:p w14:paraId="60D69DEA">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《工业设备及管道绝热工程施工质量验收标准》GB50185-2019</w:t>
      </w:r>
    </w:p>
    <w:p w14:paraId="673A9BE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《压力管道规范-工业管道》GB/T20801-2020</w:t>
      </w:r>
    </w:p>
    <w:p w14:paraId="3D4675A1">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63F4C0E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Cs/>
          <w:color w:val="auto"/>
          <w:kern w:val="0"/>
          <w:sz w:val="24"/>
          <w:szCs w:val="24"/>
          <w:highlight w:val="none"/>
        </w:rPr>
        <w:t xml:space="preserve">三 </w:t>
      </w:r>
      <w:r>
        <w:rPr>
          <w:rFonts w:hint="eastAsia" w:ascii="宋体" w:hAnsi="宋体" w:eastAsia="宋体" w:cs="宋体"/>
          <w:color w:val="auto"/>
          <w:kern w:val="0"/>
          <w:sz w:val="24"/>
          <w:szCs w:val="24"/>
          <w:highlight w:val="none"/>
        </w:rPr>
        <w:t xml:space="preserve"> </w:t>
      </w:r>
      <w:r>
        <w:rPr>
          <w:rFonts w:hint="eastAsia" w:ascii="宋体" w:hAnsi="宋体" w:eastAsia="宋体" w:cs="宋体"/>
          <w:b/>
          <w:bCs/>
          <w:color w:val="auto"/>
          <w:kern w:val="0"/>
          <w:sz w:val="24"/>
          <w:szCs w:val="24"/>
          <w:highlight w:val="none"/>
        </w:rPr>
        <w:t>、技术要求</w:t>
      </w:r>
    </w:p>
    <w:p w14:paraId="22BA2CA4">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 冷凝水热回收水箱 </w:t>
      </w:r>
    </w:p>
    <w:p w14:paraId="7AB63201">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系统基本说明</w:t>
      </w:r>
    </w:p>
    <w:p w14:paraId="38C9A231">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回收干化机的高温冷凝水至此冷凝水热回收水箱，热回收水箱由不锈钢水箱、闪蒸冷凝除氧头、破真空器、排气阀、再循环喷雾系统和排空冷凝换热器等组成，回收后的高温冷凝水直接供应至锅炉。冷凝水热回收水箱按常压模式运行，避免冷凝水管道背压，影响前端干化机加热疏水效率。</w:t>
      </w:r>
    </w:p>
    <w:p w14:paraId="5EE26CA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系统功能要求</w:t>
      </w:r>
    </w:p>
    <w:p w14:paraId="6B99FC90">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水箱本体采用奥氏体不锈钢材质整体式通大气水箱，使用寿命长、免维护、不生锈、外部焊接加强框架，抗振动，水箱有效容积不低于2m³。</w:t>
      </w:r>
    </w:p>
    <w:p w14:paraId="61AB683F">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装置可回收冷凝水与其热量，引入中水和锅炉冷补水吸收闪蒸汽和废汽的热量，其中中水为间接换热，锅炉冷补水为直接吸热，减少排汽，并回收闪蒸汽的冷凝水,闪蒸汽设计值为0.4t/h，中水进口温度25℃设计，水量5.0t/h，需预留至少50%回收余量。</w:t>
      </w:r>
    </w:p>
    <w:p w14:paraId="64046FCA">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闪蒸冷凝除氧头设计用于混合进入锅炉给水箱的补充冷水、回收冷凝水和闪蒸蒸汽。混合的过程是通过组件内折流板完成的，从补给冷水中释放出来的溶解性气体从排空气阀排至大气。补给冷水进口装了喷雾网可以分配水流，扩大水流表面及以增加其与冷凝水和闪蒸蒸气的混合。</w:t>
      </w:r>
    </w:p>
    <w:p w14:paraId="4AE68B3C">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排气阀采用独特设计的压力平衡液囊设计，可以自动排除系统中的空气和其它气体，同时又能够及时关闭，以阻止蒸汽的泄漏。</w:t>
      </w:r>
    </w:p>
    <w:p w14:paraId="69D07038">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破真空器可以保护闪蒸冷凝除氧头免受真空的损坏，平时紧密关闭，以阻止出现蒸汽泄漏。</w:t>
      </w:r>
    </w:p>
    <w:p w14:paraId="4C329BA4">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再循环喷雾系统设计用于增加闪蒸蒸气的冷凝能力。当返回的冷凝水量大而冷的补给水间断供应时，有价值的闪蒸蒸汽就可能从排气口损失掉，造成热量的浪费。为确保闪蒸蒸汽的充分利用，通常把除氧水箱中相对较冷的水泵到除氧头喷雾口，重新进入除氧头，以吸收掉多出的闪蒸蒸汽，充分利用热量。每小时大约有20%的除氧水箱中的水被循环以增加闪蒸蒸汽的冷凝能力。</w:t>
      </w:r>
    </w:p>
    <w:p w14:paraId="0D34B89F">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通过排气帽与大气相通，冷凝水热回收水箱不属压力容器，工作安全可靠。</w:t>
      </w:r>
    </w:p>
    <w:p w14:paraId="0ECEBEA7">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装置含有液位和温度传感器并与控制柜实现锅炉补水控制，高低液位报警功能。</w:t>
      </w:r>
    </w:p>
    <w:p w14:paraId="2BFF6686">
      <w:pPr>
        <w:pStyle w:val="34"/>
        <w:keepNext w:val="0"/>
        <w:keepLines w:val="0"/>
        <w:widowControl w:val="0"/>
        <w:numPr>
          <w:ilvl w:val="0"/>
          <w:numId w:val="18"/>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系统需带控制，采用PLC控制，电子元器件参照或相当于西门子，施耐德、ABB等品牌或相当于同档次及以上品牌的产品，运行状态需可远传显示在上位机端。</w:t>
      </w:r>
    </w:p>
    <w:p w14:paraId="500B8919">
      <w:pPr>
        <w:keepNext w:val="0"/>
        <w:keepLines w:val="0"/>
        <w:widowControl/>
        <w:numPr>
          <w:ilvl w:val="0"/>
          <w:numId w:val="19"/>
        </w:numPr>
        <w:suppressLineNumbers w:val="0"/>
        <w:autoSpaceDE w:val="0"/>
        <w:autoSpaceDN/>
        <w:snapToGrid w:val="0"/>
        <w:spacing w:before="0" w:beforeAutospacing="0" w:after="0" w:afterAutospacing="0"/>
        <w:ind w:left="420" w:leftChars="20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新控制系统要求与原有系统可对接读取数据，做到中控室有数据可监控。</w:t>
      </w:r>
    </w:p>
    <w:p w14:paraId="57B89799">
      <w:pPr>
        <w:keepNext w:val="0"/>
        <w:keepLines w:val="0"/>
        <w:widowControl/>
        <w:numPr>
          <w:ilvl w:val="0"/>
          <w:numId w:val="19"/>
        </w:numPr>
        <w:suppressLineNumbers w:val="0"/>
        <w:snapToGrid w:val="0"/>
        <w:spacing w:before="0" w:beforeAutospacing="0" w:after="0" w:afterAutospacing="0"/>
        <w:ind w:left="420" w:leftChars="200" w:right="0" w:firstLine="0" w:firstLineChars="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中标人在供货时需提供</w:t>
      </w:r>
      <w:r>
        <w:rPr>
          <w:rFonts w:hint="eastAsia" w:ascii="宋体" w:hAnsi="宋体" w:eastAsia="宋体" w:cs="宋体"/>
          <w:b w:val="0"/>
          <w:bCs w:val="0"/>
          <w:color w:val="auto"/>
          <w:kern w:val="2"/>
          <w:sz w:val="24"/>
          <w:szCs w:val="24"/>
          <w:highlight w:val="none"/>
          <w:lang w:val="en-US" w:eastAsia="zh-CN" w:bidi="ar"/>
        </w:rPr>
        <w:t>冷凝水热回收水箱</w:t>
      </w:r>
      <w:r>
        <w:rPr>
          <w:rFonts w:hint="eastAsia" w:ascii="宋体" w:hAnsi="宋体" w:eastAsia="宋体" w:cs="宋体"/>
          <w:color w:val="auto"/>
          <w:kern w:val="2"/>
          <w:sz w:val="24"/>
          <w:szCs w:val="24"/>
          <w:highlight w:val="none"/>
          <w:lang w:val="en-US" w:eastAsia="zh-CN" w:bidi="ar"/>
        </w:rPr>
        <w:t>设备图纸和设备关键部件原厂相关测试证明。</w:t>
      </w:r>
    </w:p>
    <w:p w14:paraId="169E5E61">
      <w:pPr>
        <w:pStyle w:val="7"/>
        <w:keepNext w:val="0"/>
        <w:keepLines w:val="0"/>
        <w:widowControl w:val="0"/>
        <w:suppressLineNumbers w:val="0"/>
        <w:spacing w:before="0" w:beforeAutospacing="1" w:after="0" w:afterAutospacing="0"/>
        <w:ind w:left="0" w:leftChars="0" w:right="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797B8869">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 锅炉表面排污系统</w:t>
      </w:r>
    </w:p>
    <w:p w14:paraId="29DB5D3E">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系统基本说明</w:t>
      </w:r>
    </w:p>
    <w:p w14:paraId="762454A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所有锅炉水含有一些溶解的固体。这些杂质由于蒸发过程而不断地被浓缩，即总溶解固体（TDS）水平增加。如果TDS水平超过锅炉制造商规定的允许最大值，则会引起锅水发泡和携带污染，导致蒸汽分配系统受到污染。最终，设备的操作可靠性将受到损害，并且锅炉和蒸汽系统可能被严重损坏。本表面排污系统提供精确、稳定、自动化的锅炉炉水可溶性固形物（TDS）浓度控制，将锅炉的排污量降至最低，避免炉水热量的浪费，并有效降低汽水共腾和杂质携带的风险。</w:t>
      </w:r>
    </w:p>
    <w:p w14:paraId="03CC84F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2）检测锅炉水的电导率，并将测值与控制器内的设定值相比较，以准确调节排污阀的开度，使锅炉的排污量最小，以达到确保蒸汽品质及减少能量损失之目的。</w:t>
      </w:r>
    </w:p>
    <w:p w14:paraId="6C72956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（2）系统功能要求</w:t>
      </w:r>
    </w:p>
    <w:p w14:paraId="16B7445D">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通过对炉水中电导率进行检测，当电导率过高时，开启排污控制阀排除高浓度炉水。</w:t>
      </w:r>
    </w:p>
    <w:p w14:paraId="1DFEC393">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根据锅炉负荷情况自动调整排污阀开启的时间间隔。</w:t>
      </w:r>
    </w:p>
    <w:p w14:paraId="76BC2557">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根据实测锅炉水的电导率大小，自动调节排污阀的开度，准确控制排污量。</w:t>
      </w:r>
    </w:p>
    <w:p w14:paraId="643F047F">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高电导率或TDS值报警。</w:t>
      </w:r>
    </w:p>
    <w:p w14:paraId="741991D7">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探头为外置，无需插入锅炉，一体化的产品撬装设计，方便现场安装和调试。</w:t>
      </w:r>
    </w:p>
    <w:p w14:paraId="6EF52A6E">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提供两种不同的炉水电导率检测方式，能对炉水电导率间歇性的检测和连续在线检测。</w:t>
      </w:r>
    </w:p>
    <w:p w14:paraId="1067E1AB">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电导率探头带温度补偿和探头结垢检测，具备定时冲洗功能，将电导率感应器进行清洗。</w:t>
      </w:r>
    </w:p>
    <w:p w14:paraId="2B416697">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可现场显示锅炉系统当前电导率，最小电导率 0.5μS / cm。</w:t>
      </w:r>
    </w:p>
    <w:p w14:paraId="07D609FD">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输出要求：MODBUS RS485通讯远传输出，便于与中控室通讯。</w:t>
      </w:r>
    </w:p>
    <w:p w14:paraId="77121491">
      <w:pPr>
        <w:pStyle w:val="5"/>
        <w:keepNext w:val="0"/>
        <w:keepLines w:val="0"/>
        <w:widowControl w:val="0"/>
        <w:numPr>
          <w:ilvl w:val="0"/>
          <w:numId w:val="20"/>
        </w:numPr>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电源规格：220V 50HZ。</w:t>
      </w:r>
    </w:p>
    <w:p w14:paraId="19A43A5A">
      <w:pPr>
        <w:pStyle w:val="7"/>
        <w:keepNext w:val="0"/>
        <w:keepLines w:val="0"/>
        <w:widowControl w:val="0"/>
        <w:numPr>
          <w:ilvl w:val="0"/>
          <w:numId w:val="20"/>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适配1t/h 1.00MPa蒸汽锅炉</w:t>
      </w:r>
    </w:p>
    <w:p w14:paraId="7AC95718">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系统中截止阀要求必须为双层波纹管密封型截止阀，具有操作力矩小，无阀杆填料泄漏风险；阀门必须配附有清楚的开/关位置指示；手轮采用符合人工力学，采用压制钢。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5FA561F6">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（3）自动表面连续排污阀 </w:t>
      </w:r>
    </w:p>
    <w:p w14:paraId="7E27F68F">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规格 DN20 带可调节喷嘴的阀门，带电动执行器220VAC。</w:t>
      </w:r>
    </w:p>
    <w:p w14:paraId="6EB6F3D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材质</w:t>
      </w:r>
    </w:p>
    <w:p w14:paraId="7F9675A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阀体：碳钢。</w:t>
      </w:r>
    </w:p>
    <w:p w14:paraId="6BFADA9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阀芯：不锈钢+硬质合金钢。</w:t>
      </w:r>
    </w:p>
    <w:p w14:paraId="3BF73EC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阀座：不锈钢+硬质合金钢。</w:t>
      </w:r>
    </w:p>
    <w:p w14:paraId="4303EB61">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压力等级：PN40</w:t>
      </w:r>
    </w:p>
    <w:p w14:paraId="5457660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最大设计压力：102bar g</w:t>
      </w:r>
    </w:p>
    <w:p w14:paraId="7E76BC1F">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最大设计温度：400℃</w:t>
      </w:r>
    </w:p>
    <w:p w14:paraId="68F0DDA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连接方式：阀门为法兰连接，感应器为螺纹连接。</w:t>
      </w:r>
    </w:p>
    <w:p w14:paraId="79D62902">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 xml:space="preserve"> </w:t>
      </w:r>
    </w:p>
    <w:p w14:paraId="58CC8AEC">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3 锅炉底部自动排污系统 </w:t>
      </w:r>
    </w:p>
    <w:p w14:paraId="58C079B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产品基本说明</w:t>
      </w:r>
    </w:p>
    <w:p w14:paraId="4C46C682">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1）专门设计用于锅炉排污应用，可用于定时自动排污。</w:t>
      </w:r>
    </w:p>
    <w:p w14:paraId="706FE04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通过快速打开排污阀来执行短期锅炉排污，在锅炉底部的喷出开口周围产生短期低压区域，进而产生抽吸效应，移除在锅炉下部沉降而积聚的污泥和沉淀物。间歇排污的抽吸作用仅在阀打开时有效。阀门操作最短可打开约4秒钟，较长的开放时间会浪费锅炉水。间歇排污阀的弹簧关闭力随着锅炉压力增加，阀处于能够破坏沉积在阀座/塞子上的任何污垢颗粒的良好状态，从而确保正向关闭。通过在安装在阀下游的径向级喷嘴中产生的压力降进一步增加阀座/塞的使用寿命。底部排污过程之间的时间间隔能通过锅炉效率、给水质量和允许的锅炉水质来间接计算。</w:t>
      </w:r>
      <w:r>
        <w:rPr>
          <w:rFonts w:hint="eastAsia" w:ascii="宋体" w:hAnsi="宋体" w:eastAsia="宋体" w:cs="宋体"/>
          <w:b/>
          <w:bCs/>
          <w:color w:val="auto"/>
          <w:kern w:val="0"/>
          <w:sz w:val="24"/>
          <w:szCs w:val="24"/>
          <w:highlight w:val="none"/>
        </w:rPr>
        <w:t xml:space="preserve">   </w:t>
      </w:r>
    </w:p>
    <w:p w14:paraId="716F8BA4">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3）排污系统带泄漏检测装置，通过检测阀后温度和超声值，自动判断排污阀门工作情况，避免出现泄漏无法及时发现，从而导致能源浪费和安全隐患。</w:t>
      </w:r>
    </w:p>
    <w:p w14:paraId="7507CCB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xml:space="preserve"> </w:t>
      </w:r>
      <w:r>
        <w:rPr>
          <w:rFonts w:hint="eastAsia" w:ascii="宋体" w:hAnsi="宋体" w:eastAsia="宋体" w:cs="宋体"/>
          <w:color w:val="auto"/>
          <w:kern w:val="0"/>
          <w:sz w:val="24"/>
          <w:szCs w:val="24"/>
          <w:highlight w:val="none"/>
        </w:rPr>
        <w:t>系统中截止阀要求必须为双层波纹管密封型截止阀，具有操作力矩小，无阀杆填料泄漏风险；阀门必须配附有清楚的开/关位置指示；手轮采用符合人工力学，采用压制钢。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42F15E5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（3）底部自动排污阀 </w:t>
      </w:r>
    </w:p>
    <w:p w14:paraId="31CF64E9">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规格DN40 阀门结构设计需满足以下要求</w:t>
      </w:r>
    </w:p>
    <w:p w14:paraId="5D6E351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1）通过阀体出口部分的集成压力室提高排污效率</w:t>
      </w:r>
    </w:p>
    <w:p w14:paraId="79BD8749">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2）通过填料密封件之间的附加清洁环获得更高的密封性</w:t>
      </w:r>
    </w:p>
    <w:p w14:paraId="21EEBE17">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3）通过阀座下游的径向级喷嘴实现更长的使用寿命和可用性</w:t>
      </w:r>
    </w:p>
    <w:p w14:paraId="1A3B9755">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4）不使用大机身盖从而增强抗水锤</w:t>
      </w:r>
    </w:p>
    <w:p w14:paraId="7C213412">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5）通过在低压侧上的新密封布置减少磨损</w:t>
      </w:r>
    </w:p>
    <w:p w14:paraId="580D291F">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6）通过新型隔离套管实现工作安全规定的一致性</w:t>
      </w:r>
    </w:p>
    <w:p w14:paraId="3A016555">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7）通过多功能部件快捷方便地安装</w:t>
      </w:r>
    </w:p>
    <w:p w14:paraId="09F5F18A">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8）通过作用在压缩弹簧上的附加盘簧以及通过从外部张紧密封件的可能性，减少维护和维修工作</w:t>
      </w:r>
    </w:p>
    <w:p w14:paraId="40E1F5C8">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9）通过减压通气管更好地检查功能，以便从外部检测泄漏</w:t>
      </w:r>
    </w:p>
    <w:p w14:paraId="76E2C29B">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阀体：碳钢。</w:t>
      </w:r>
    </w:p>
    <w:p w14:paraId="169BE1A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阀芯：不锈钢+硬质合金钢。</w:t>
      </w:r>
    </w:p>
    <w:p w14:paraId="011DBF48">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阀座：不锈钢+硬质合金钢。</w:t>
      </w:r>
    </w:p>
    <w:p w14:paraId="0906BC20">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适配1t/h 1.00MPa蒸汽锅炉</w:t>
      </w:r>
    </w:p>
    <w:p w14:paraId="36F2CA81">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63910A42">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4 锅炉房非标控制柜 </w:t>
      </w:r>
    </w:p>
    <w:p w14:paraId="42F1DEA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为实现系统稳定的排污调节控制和报警连锁保护，具有完善的通讯功能，界面友好，操作人性化，自动控制系统采用PLC+触摸屏设计，电气元器件参照或相当于西门子、施耐德、ABB等品牌或相当于同档次及以上品牌的产品。整合锅炉运行数据，需包含以下功能：</w:t>
      </w:r>
    </w:p>
    <w:p w14:paraId="04BB20AC">
      <w:pPr>
        <w:pStyle w:val="7"/>
        <w:keepNext w:val="0"/>
        <w:keepLines w:val="0"/>
        <w:widowControl w:val="0"/>
        <w:numPr>
          <w:ilvl w:val="0"/>
          <w:numId w:val="21"/>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锅炉炉水水质监测；</w:t>
      </w:r>
    </w:p>
    <w:p w14:paraId="766D3AE1">
      <w:pPr>
        <w:pStyle w:val="7"/>
        <w:keepNext w:val="0"/>
        <w:keepLines w:val="0"/>
        <w:widowControl w:val="0"/>
        <w:numPr>
          <w:ilvl w:val="0"/>
          <w:numId w:val="21"/>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锅炉表面排污和底部排污自动控制，每台锅炉额外独立排污控制器；</w:t>
      </w:r>
    </w:p>
    <w:p w14:paraId="009A01FE">
      <w:pPr>
        <w:pStyle w:val="7"/>
        <w:keepNext w:val="0"/>
        <w:keepLines w:val="0"/>
        <w:widowControl w:val="0"/>
        <w:numPr>
          <w:ilvl w:val="0"/>
          <w:numId w:val="21"/>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锅炉底部排污阀泄漏监测；</w:t>
      </w:r>
    </w:p>
    <w:p w14:paraId="28C4EA60">
      <w:pPr>
        <w:pStyle w:val="7"/>
        <w:keepNext w:val="0"/>
        <w:keepLines w:val="0"/>
        <w:widowControl w:val="0"/>
        <w:numPr>
          <w:ilvl w:val="0"/>
          <w:numId w:val="21"/>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每台干化机使用蒸汽流量监测；</w:t>
      </w:r>
    </w:p>
    <w:p w14:paraId="0E1DFA70">
      <w:pPr>
        <w:pStyle w:val="7"/>
        <w:keepNext w:val="0"/>
        <w:keepLines w:val="0"/>
        <w:widowControl w:val="0"/>
        <w:numPr>
          <w:ilvl w:val="0"/>
          <w:numId w:val="21"/>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冷凝水热回收系统监测；</w:t>
      </w:r>
    </w:p>
    <w:p w14:paraId="4FFA31D0">
      <w:pPr>
        <w:pStyle w:val="7"/>
        <w:keepNext w:val="0"/>
        <w:keepLines w:val="0"/>
        <w:widowControl w:val="0"/>
        <w:numPr>
          <w:ilvl w:val="0"/>
          <w:numId w:val="21"/>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冷凝水回收率分析；</w:t>
      </w:r>
    </w:p>
    <w:p w14:paraId="3CC9763C">
      <w:pPr>
        <w:pStyle w:val="7"/>
        <w:keepNext w:val="0"/>
        <w:keepLines w:val="0"/>
        <w:widowControl w:val="0"/>
        <w:numPr>
          <w:ilvl w:val="0"/>
          <w:numId w:val="21"/>
        </w:numPr>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锅炉效率分析</w:t>
      </w:r>
    </w:p>
    <w:p w14:paraId="76B53CC0">
      <w:pPr>
        <w:pStyle w:val="34"/>
        <w:keepNext w:val="0"/>
        <w:keepLines w:val="0"/>
        <w:widowControl w:val="0"/>
        <w:numPr>
          <w:ilvl w:val="0"/>
          <w:numId w:val="21"/>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数字化服务，可提供Modbus RTU通信和云服务。</w:t>
      </w:r>
    </w:p>
    <w:p w14:paraId="09CBC7CF">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4134B4B9">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5 干化车间中控室显示 软件及调试</w:t>
      </w:r>
    </w:p>
    <w:p w14:paraId="1DFD5670">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将项4锅炉房非标控制柜的运行界面和功能适配显示至目前干化车间中控室控制界面中，包含现场调试和培训服务。</w:t>
      </w:r>
    </w:p>
    <w:p w14:paraId="168D914B">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797BB200">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6 自动加药设备  </w:t>
      </w:r>
    </w:p>
    <w:p w14:paraId="0602C0B9">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加药设备精准定量向锅炉给水中补给蒸汽管路缓蚀剂，降低蒸汽和冷凝水管道腐蚀，避免冷凝水铁离子超标和管道穿孔泄漏风险。中标人应提供蒸汽管道缓蚀剂的化学品安全技术说明书和项目调试、试运行期间及项目验收后至少满足项目3个月运行所需要的药剂。</w:t>
      </w:r>
    </w:p>
    <w:p w14:paraId="219917F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4C17D02F">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7 分汽缸疏水阀组</w:t>
      </w:r>
    </w:p>
    <w:p w14:paraId="29B54ABD">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51A408D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DN25过滤器要求为Y型过滤器，材质阀体球墨铸铁，滤芯不锈钢，滤芯规格0.8mm网孔, 压力等级：≥PN16级 最大设计温度：300℃ 法兰连接。</w:t>
      </w:r>
    </w:p>
    <w:p w14:paraId="3603EDC0">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DN25止回阀采用对夹式止回阀，在水平安装并且无流量情况下的开启压力必须小于27mbar。材质不锈钢，压力等级PN40级 最大设计温度：400℃ 法兰连接，中标人供货时应提供阀门原厂相关测试证明。</w:t>
      </w:r>
    </w:p>
    <w:p w14:paraId="5F18B881">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自动疏水阀要求 </w:t>
      </w:r>
    </w:p>
    <w:p w14:paraId="5F4CC64A">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规格：DN25 浮球式疏水阀</w:t>
      </w:r>
    </w:p>
    <w:p w14:paraId="1D72D71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5164B5F9">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4C62B9E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21A8E9D2">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3DB88D7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01FFD40A">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783BC1C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45633AE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中标人供货时应提供阀门原厂相关测试证明。</w:t>
      </w:r>
    </w:p>
    <w:p w14:paraId="0F6317BC">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28FCE504">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8 管路疏水阀组*2  </w:t>
      </w:r>
    </w:p>
    <w:p w14:paraId="5172E9C5">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084A280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DN25过滤器要求为Y型过滤器，材质阀体球墨铸铁，滤芯不锈钢，滤芯规格0.8mm网孔, 压力等级：≥PN16级 最大设计温度：300℃ 法兰连接。</w:t>
      </w:r>
    </w:p>
    <w:p w14:paraId="14C1B09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DN25止回阀采用对夹式止回阀，在水平安装并且无流量情况下的开启压力必须小于27mbar。材质不锈钢，压力等级：PN40级 最大设计温度：400℃ 法兰连接，中标人供货时应提供阀门原厂相关测试证明。</w:t>
      </w:r>
    </w:p>
    <w:p w14:paraId="68DDBF5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自动疏水阀要求 </w:t>
      </w:r>
    </w:p>
    <w:p w14:paraId="3FBDA229">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规格：DN25 浮球式疏水阀</w:t>
      </w:r>
    </w:p>
    <w:p w14:paraId="4BA45E6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74EB5E5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2926A9C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7E6F917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6B2B4B5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0DA65F30">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3EEA30A0">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34690C4B">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中标人供货时应提供阀门原厂相关测试证明</w:t>
      </w:r>
    </w:p>
    <w:p w14:paraId="18B4B2B1">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 xml:space="preserve"> </w:t>
      </w:r>
    </w:p>
    <w:p w14:paraId="3F178BC5">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9 流量计站*2 </w:t>
      </w:r>
    </w:p>
    <w:p w14:paraId="6EEAD91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规格参数 DN100</w:t>
      </w:r>
    </w:p>
    <w:p w14:paraId="5FDC679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产品基本说明</w:t>
      </w:r>
    </w:p>
    <w:p w14:paraId="69C9BAE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蒸汽流量计采用变截面式差压测量方式，本体安装于待测蒸汽管道上。</w:t>
      </w:r>
    </w:p>
    <w:p w14:paraId="6A76C578">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1）蒸汽流量积分仪可计算和显示瞬间流量、累积流量、功率、温度、压力和热量。</w:t>
      </w:r>
    </w:p>
    <w:p w14:paraId="02A899D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（2）产品基本构造</w:t>
      </w:r>
    </w:p>
    <w:p w14:paraId="723EC9D2">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1）蒸汽流量计由流量计本体管道单元、压差变送器、压力补偿或者温度补偿、流量积分计算仪、流量计前后直管段等分体式产品组成流量计站,现场需要具备在线显示功能。</w:t>
      </w:r>
    </w:p>
    <w:p w14:paraId="55AE4A84">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2）蒸汽流量计本体内部件为可活动的锥体结构，本体连接方式为法兰夹持型。</w:t>
      </w:r>
    </w:p>
    <w:p w14:paraId="6A1BBFCB">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3）蒸汽流量计应具备RS485远传通讯端口，用于连接中控室显示流量计计量参数。</w:t>
      </w:r>
    </w:p>
    <w:p w14:paraId="795F7B76">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4）需要有密度补偿功能</w:t>
      </w:r>
    </w:p>
    <w:p w14:paraId="2D6AA9EA">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（3）产品功能要求</w:t>
      </w:r>
    </w:p>
    <w:p w14:paraId="547626AD">
      <w:pPr>
        <w:pStyle w:val="5"/>
        <w:keepNext w:val="0"/>
        <w:keepLines w:val="0"/>
        <w:widowControl w:val="0"/>
        <w:suppressLineNumbers w:val="0"/>
        <w:ind w:left="63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1）适用于饱和、过热蒸汽系统、大多数工业流体、气体等。</w:t>
      </w:r>
    </w:p>
    <w:p w14:paraId="1FEA5969">
      <w:pPr>
        <w:pStyle w:val="5"/>
        <w:keepNext w:val="0"/>
        <w:keepLines w:val="0"/>
        <w:widowControl w:val="0"/>
        <w:suppressLineNumbers w:val="0"/>
        <w:ind w:left="63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2）量程比要求：须达100: 1，满足不同负载变化的要求。</w:t>
      </w:r>
    </w:p>
    <w:p w14:paraId="63277429">
      <w:pPr>
        <w:pStyle w:val="5"/>
        <w:keepNext w:val="0"/>
        <w:keepLines w:val="0"/>
        <w:widowControl w:val="0"/>
        <w:suppressLineNumbers w:val="0"/>
        <w:ind w:left="63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3）精度要求:±1.5%测量误差，在5%~100%最大流量时；</w:t>
      </w:r>
    </w:p>
    <w:p w14:paraId="0F9B622F">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±0.1%满量程误差，在1%~5%最大流量时。</w:t>
      </w:r>
    </w:p>
    <w:p w14:paraId="527A2C3B">
      <w:pPr>
        <w:pStyle w:val="5"/>
        <w:keepNext w:val="0"/>
        <w:keepLines w:val="0"/>
        <w:widowControl w:val="0"/>
        <w:suppressLineNumbers w:val="0"/>
        <w:ind w:left="63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4）重复性要求：重复性优于0.25%。</w:t>
      </w:r>
    </w:p>
    <w:p w14:paraId="308B50F0">
      <w:pPr>
        <w:pStyle w:val="5"/>
        <w:keepNext w:val="0"/>
        <w:keepLines w:val="0"/>
        <w:widowControl w:val="0"/>
        <w:suppressLineNumbers w:val="0"/>
        <w:ind w:left="63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5）安装要求：紧凑的对夹式安装，上下游分别需6D和3D的直管道。</w:t>
      </w:r>
    </w:p>
    <w:p w14:paraId="7B86648E">
      <w:pPr>
        <w:pStyle w:val="5"/>
        <w:keepNext w:val="0"/>
        <w:keepLines w:val="0"/>
        <w:widowControl w:val="0"/>
        <w:suppressLineNumbers w:val="0"/>
        <w:ind w:left="63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6）补偿功能：具备自动蒸汽密度补偿功能。</w:t>
      </w:r>
    </w:p>
    <w:p w14:paraId="26D65684">
      <w:pPr>
        <w:pStyle w:val="5"/>
        <w:keepNext w:val="0"/>
        <w:keepLines w:val="0"/>
        <w:widowControl w:val="0"/>
        <w:suppressLineNumbers w:val="0"/>
        <w:ind w:left="63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7）输出要求：MODBUS RS485通讯远传输出，便于与上位机通讯。</w:t>
      </w:r>
    </w:p>
    <w:p w14:paraId="2192508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（4）材质</w:t>
      </w:r>
    </w:p>
    <w:p w14:paraId="1108645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流量计本体：不锈钢</w:t>
      </w:r>
    </w:p>
    <w:p w14:paraId="74398CA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压力等级：≥PN16</w:t>
      </w:r>
    </w:p>
    <w:p w14:paraId="604F24A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（6）最大设计压力：102bar g</w:t>
      </w:r>
    </w:p>
    <w:p w14:paraId="4350060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 最大设计温度：400℃</w:t>
      </w:r>
    </w:p>
    <w:p w14:paraId="3555B79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（8）连接方式：流量计整体按站提供，带前后安装所需直管段，避免因现场安装不规范导致的计量误差。</w:t>
      </w:r>
    </w:p>
    <w:p w14:paraId="25BD2B61">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 xml:space="preserve"> </w:t>
      </w:r>
    </w:p>
    <w:p w14:paraId="3395C5F0">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10 气动减压阀站*2   </w:t>
      </w:r>
    </w:p>
    <w:p w14:paraId="3D78787A">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按照图纸及选型要求供应及安装蒸汽减压阀组，蒸汽减压阀组应包括减压阀、安全阀、蒸汽过滤器、压力表及其它所需的截止阀等；</w:t>
      </w:r>
    </w:p>
    <w:p w14:paraId="31C1CFB5">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蒸汽减压阀组应设有应急旁通手阀，旁通管道及手阀口径与减压阀同口径，截止阀需具备流量调节功能，带锁止；蒸汽减压阀前Y型过滤器需为100目不锈钢滤网，过滤器侧装，避免积水；</w:t>
      </w:r>
    </w:p>
    <w:p w14:paraId="73D2A97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减压阀须为气动等百分比调节阀，气动膜片式，气开型，执行器失效时保持常闭安全位置，气动执行器采用多弹簧全滚动式膜片设计，提供了更好的膜片支撑和稳定的有效面积，减小了迟滞性；阀门定位器应为智能定位器，具备一键自动调试功能，本体自带液晶屏，实时显示阀门开度；阀体顶部和底部阀杆导向，保证精确对中和更长的阀杆密封使用寿命自带防刮环和防尘环，确保阀杆密封不会被流体或大气中的的小颗粒杂质损坏“O”型环为低压、低温介质提供良好的密封，加粗的阀杆设计，提高阀杆强度。</w:t>
      </w:r>
    </w:p>
    <w:p w14:paraId="10D88B8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压力表应包括U型或环型管及不锈钢切断阀，压力表的读数单位应为MPa，压力表应分别设置在蒸汽减压阀组的高、低压力管段上，压力表的最大读数应为额定工作压力的1.5~2倍；</w:t>
      </w:r>
    </w:p>
    <w:p w14:paraId="56652E1D">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安全阀应为全启式安全阀，设有排水管，排水管应以安全方式接往排水地漏；</w:t>
      </w:r>
    </w:p>
    <w:p w14:paraId="749675C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 减压站应保证完善的疏水功能，任何情况下都不能存在积水现象，避免阀门因水锤造成损害；</w:t>
      </w:r>
    </w:p>
    <w:p w14:paraId="13CF933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 减压阀需安装在水平管道上，安装位置需考虑调试及检修便利 。</w:t>
      </w:r>
    </w:p>
    <w:p w14:paraId="1EDC5478">
      <w:pPr>
        <w:pStyle w:val="34"/>
        <w:keepNext w:val="0"/>
        <w:keepLines w:val="0"/>
        <w:widowControl w:val="0"/>
        <w:suppressLineNumbers w:val="0"/>
        <w:adjustRightInd w:val="0"/>
        <w:spacing w:before="0" w:beforeAutospacing="1" w:after="120" w:afterAutospacing="0" w:line="480" w:lineRule="auto"/>
        <w:ind w:left="0" w:right="0"/>
        <w:jc w:val="both"/>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w:t>
      </w:r>
    </w:p>
    <w:p w14:paraId="2CC763D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11 设备疏水阀组*4    </w:t>
      </w:r>
    </w:p>
    <w:p w14:paraId="0C24CC3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08F6A04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DN25旁通阀采用波纹管密封截止阀和高温球阀串联安装，DN25 PN16法兰连接，截止阀要求和上述一致，高温球阀采用碳/石墨强化PTFE密封，极限耐温260℃。</w:t>
      </w:r>
    </w:p>
    <w:p w14:paraId="4A8515B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DN40过滤器要求为Y型过滤器，材质阀体球墨铸铁，滤芯不锈钢，滤芯规格0.8mm网孔, 压力等级：≥PN16级 最大设计温度：300℃ 法兰连接。</w:t>
      </w:r>
    </w:p>
    <w:p w14:paraId="0A20F54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DN40止回阀采用对夹式止回阀，在水平安装并且无流量情况下的开启压力必须小于27mbar。材质不锈钢，压力等级：PN40级 最大设计温度：400℃ 法兰连接，中标人供货时应提供阀门原厂相关测试证明。</w:t>
      </w:r>
    </w:p>
    <w:p w14:paraId="3B7968FD">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 观视镜，材质球墨铸铁/碳钢，采用双窗观视镜，视窗采用硼硅酸玻璃，整体耐温280℃，≥PN16级 法兰连接。</w:t>
      </w:r>
    </w:p>
    <w:p w14:paraId="410724C5">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自动疏水阀要求 </w:t>
      </w:r>
    </w:p>
    <w:p w14:paraId="648996E3">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规格：DN40 浮球式疏水阀</w:t>
      </w:r>
    </w:p>
    <w:p w14:paraId="68788B2A">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2958C4B0">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762445B2">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28136692">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726634CB">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7CC85B8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2CCB714A">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113EE9EB">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中标人供货时应提供阀门原厂相关测试证明.</w:t>
      </w:r>
    </w:p>
    <w:p w14:paraId="35669CE9">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5D43CEE9">
      <w:pPr>
        <w:keepNext w:val="0"/>
        <w:keepLines w:val="0"/>
        <w:widowControl w:val="0"/>
        <w:suppressLineNumbers w:val="0"/>
        <w:spacing w:before="0" w:beforeAutospacing="0" w:after="0" w:afterAutospacing="0"/>
        <w:ind w:left="0" w:right="0" w:firstLine="48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12 设备疏水阀组*2 (尾气除尘)</w:t>
      </w:r>
    </w:p>
    <w:p w14:paraId="275CE4A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158C2C7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DN20过滤器要求为Y型过滤器，材质阀体球墨铸铁，滤芯不锈钢，滤芯规格0.8mm网孔, 压力等级：≥PN16级 最大设计温度：300℃ 法兰连接。</w:t>
      </w:r>
    </w:p>
    <w:p w14:paraId="6CBFA9AA">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DN20止回阀采用对夹式止回阀，在水平安装并且无流量情况下的开启压力必须小于27mbar。材质不锈钢，压力等级：PN40级 最大设计温度：400℃ 法兰连接，中标人供货时应提供阀门原厂相关测试证明。</w:t>
      </w:r>
    </w:p>
    <w:p w14:paraId="48DC5094">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自动疏水阀要求 </w:t>
      </w:r>
    </w:p>
    <w:p w14:paraId="1D4A500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规格：DN20 浮球式疏水阀</w:t>
      </w:r>
    </w:p>
    <w:p w14:paraId="4998DEE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7F23DB5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4E1480F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7CBF9B5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191A7F2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74EC16E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1CB2207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6FBF693D">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中标人供货时应提供阀门原厂相关测试证明</w:t>
      </w:r>
    </w:p>
    <w:p w14:paraId="44279EE9">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2E34472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13 疏水阀检测组件*9  疏水阀检测装置 </w:t>
      </w:r>
    </w:p>
    <w:p w14:paraId="061C4EE6">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疏水阀检测组件由适配头、传感器、前置放大器、节点四部分组成，其本体可以直接安装在疏水阀阀体的螺栓上，通过传感器测量超声波信号及温度，对不同类型疏水阀采用不同模型及内置算法对其工作状态进行判定（正常，泄漏，积水，未工作），并将所测量的数据和边缘侧处理后的结果，通过无线传输的方式上传至控制柜平台展示。疏水阀检测组件内置可更换锂电池进行供电，无需单独供电，电池寿命根据数据传输频率的不同，拥有2-10年的寿命。 </w:t>
      </w:r>
    </w:p>
    <w:p w14:paraId="675ED563">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疏水阀监测界面</w:t>
      </w:r>
    </w:p>
    <w:p w14:paraId="7EFC0D8B">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（1）设备疏水阀状态实时监测看板</w:t>
      </w:r>
    </w:p>
    <w:p w14:paraId="07A9A77C">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采集厂区内关键疏水点位数据，实时监测疏水阀运行状态。利用设备看板，全厂不同区域疏水阀状态一目了然，快捷方便管理。具体界面可根据需求进行定制。</w:t>
      </w:r>
    </w:p>
    <w:p w14:paraId="5A2A0C02">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（2）设备异常警报及报警跟踪</w:t>
      </w:r>
    </w:p>
    <w:p w14:paraId="5DC83B59">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设置数据警报以立即通知疏水阀泄漏、堵塞等状态，支持查看、跟踪、评论或设置警报调查的当前状态，以帮助量化警报原因和问题。</w:t>
      </w:r>
    </w:p>
    <w:p w14:paraId="7809F230">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疏水阀状态分为四种，正常运行，未使用，堵塞，泄漏，并通过颜色进行区分，方便用户快速了解疏水阀当前运行状态。</w:t>
      </w:r>
    </w:p>
    <w:p w14:paraId="0D39FD55">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 xml:space="preserve"> </w:t>
      </w:r>
    </w:p>
    <w:p w14:paraId="12F16987">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14 冷凝水提升装置 </w:t>
      </w:r>
    </w:p>
    <w:p w14:paraId="6D7D68D3">
      <w:pPr>
        <w:keepNext w:val="0"/>
        <w:keepLines w:val="0"/>
        <w:widowControl w:val="0"/>
        <w:suppressLineNumbers w:val="0"/>
        <w:spacing w:before="0" w:beforeAutospacing="0" w:after="0" w:afterAutospacing="0"/>
        <w:ind w:left="0" w:leftChars="0" w:right="0" w:firstLine="56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spacing w:val="20"/>
          <w:kern w:val="2"/>
          <w:position w:val="6"/>
          <w:sz w:val="24"/>
          <w:szCs w:val="24"/>
          <w:highlight w:val="none"/>
          <w:lang w:val="en-US" w:eastAsia="zh-CN" w:bidi="ar"/>
        </w:rPr>
        <w:t>（1）</w:t>
      </w:r>
      <w:r>
        <w:rPr>
          <w:rFonts w:hint="eastAsia" w:ascii="宋体" w:hAnsi="宋体" w:eastAsia="宋体" w:cs="宋体"/>
          <w:color w:val="auto"/>
          <w:spacing w:val="20"/>
          <w:kern w:val="2"/>
          <w:position w:val="6"/>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为了保证用汽设备正常运行，并降低设备的冷凝水出口背压并防止回收泵汽蚀，冷凝水回收采用专用于高温冷凝水系统的闭式冷凝水提升装置。该装置配有以下接口或配件：</w:t>
      </w:r>
    </w:p>
    <w:p w14:paraId="0898243D">
      <w:pPr>
        <w:pStyle w:val="34"/>
        <w:keepNext w:val="0"/>
        <w:keepLines w:val="0"/>
        <w:widowControl w:val="0"/>
        <w:numPr>
          <w:ilvl w:val="2"/>
          <w:numId w:val="22"/>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进出口切断阀及止回阀；</w:t>
      </w:r>
    </w:p>
    <w:p w14:paraId="6B35CE36">
      <w:pPr>
        <w:pStyle w:val="34"/>
        <w:keepNext w:val="0"/>
        <w:keepLines w:val="0"/>
        <w:widowControl w:val="0"/>
        <w:numPr>
          <w:ilvl w:val="2"/>
          <w:numId w:val="22"/>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辅助压缩空气驱动阀组；</w:t>
      </w:r>
    </w:p>
    <w:p w14:paraId="4F0AAA91">
      <w:pPr>
        <w:pStyle w:val="34"/>
        <w:keepNext w:val="0"/>
        <w:keepLines w:val="0"/>
        <w:widowControl w:val="0"/>
        <w:numPr>
          <w:ilvl w:val="2"/>
          <w:numId w:val="22"/>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不锈钢本体；</w:t>
      </w:r>
    </w:p>
    <w:p w14:paraId="26AB497F">
      <w:pPr>
        <w:pStyle w:val="34"/>
        <w:keepNext w:val="0"/>
        <w:keepLines w:val="0"/>
        <w:widowControl w:val="0"/>
        <w:numPr>
          <w:ilvl w:val="2"/>
          <w:numId w:val="22"/>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液位计和压力温度探头；</w:t>
      </w:r>
    </w:p>
    <w:p w14:paraId="421E116C">
      <w:pPr>
        <w:pStyle w:val="34"/>
        <w:keepNext w:val="0"/>
        <w:keepLines w:val="0"/>
        <w:widowControl w:val="0"/>
        <w:numPr>
          <w:ilvl w:val="2"/>
          <w:numId w:val="22"/>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低温直排，自排尽阀组，避免冷凝水系统积液。</w:t>
      </w:r>
    </w:p>
    <w:p w14:paraId="1EF1C06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冷凝水提升装置进出口止回阀应采用中间导承阀杆定位，以减少维护，增加寿命。</w:t>
      </w:r>
    </w:p>
    <w:p w14:paraId="795B1D9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回收装置的选型流量为4t/h，扬程至少为20m。</w:t>
      </w:r>
    </w:p>
    <w:p w14:paraId="0008BE2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PLC控制，连续在线监测，可通过上位机通讯监控，判断回收装置运行情况，提高可维护性。</w:t>
      </w:r>
    </w:p>
    <w:p w14:paraId="25A1935F">
      <w:pPr>
        <w:pStyle w:val="34"/>
        <w:keepNext w:val="0"/>
        <w:keepLines w:val="0"/>
        <w:widowControl w:val="0"/>
        <w:suppressLineNumbers w:val="0"/>
        <w:spacing w:before="0" w:beforeAutospacing="0" w:after="0" w:afterAutospacing="0"/>
        <w:ind w:left="0" w:right="0" w:firstLine="560" w:firstLineChars="200"/>
        <w:jc w:val="both"/>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bidi="ar"/>
        </w:rPr>
        <w:t xml:space="preserve"> </w:t>
      </w:r>
    </w:p>
    <w:p w14:paraId="3015DAB6">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15 软水电泵组 </w:t>
      </w:r>
    </w:p>
    <w:p w14:paraId="6B6667E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 级 最大设计温度：300℃ 阀门必须配附有清楚的开关指示。</w:t>
      </w:r>
    </w:p>
    <w:p w14:paraId="391D162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DN40过滤器要求为Y型过滤器，材质阀体球墨铸铁，滤芯不锈钢，滤芯规格0.8mm网孔, 压力等级：≥PN16 级 最大设计温度：300℃ 法兰连接。</w:t>
      </w:r>
    </w:p>
    <w:p w14:paraId="7F37413B">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DN40止回阀采用对夹式止回阀，在水平安装并且无流量情况下的开启压力必须小于27mbar。材质不锈钢，压力等级：PN40级 最大设计温度：400℃ 法兰连接，中标人供货时应提供阀门原厂相关测试证明。</w:t>
      </w:r>
    </w:p>
    <w:p w14:paraId="1F71C381">
      <w:pPr>
        <w:keepNext w:val="0"/>
        <w:keepLines w:val="0"/>
        <w:widowControl w:val="0"/>
        <w:suppressLineNumbers w:val="0"/>
        <w:spacing w:before="0" w:beforeAutospacing="0" w:after="0" w:afterAutospacing="0"/>
        <w:ind w:left="0" w:leftChars="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电泵  </w:t>
      </w:r>
    </w:p>
    <w:p w14:paraId="106DEC9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水泵参照或相当于格兰富，KSB，飞力等品牌或相当于同档次及以上品牌的产品，流量10m³/h，扬程30m，工频，开关控制。</w:t>
      </w:r>
    </w:p>
    <w:p w14:paraId="016F807B">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1492E6E7">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16 软水流量计 </w:t>
      </w:r>
    </w:p>
    <w:p w14:paraId="7D127E88">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采用涡街型流量计，带流量信号输出功能，RS485通讯。精度±1.0%。</w:t>
      </w:r>
    </w:p>
    <w:p w14:paraId="71B304A7">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6FDC648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17 给水泵前后阀组</w:t>
      </w:r>
    </w:p>
    <w:p w14:paraId="257235D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截止阀要求必须为双层波纹管密封型截止阀，具有操作力矩小，无阀杆填料泄漏风险；阀门必须配附有清楚的开/关位置指示；手轮采用符合人工力学，采用压制钢。 材质阀体：不锈钢 阀芯：不锈钢 阀杆：不锈钢 波纹管：不锈钢 压力等级：≥PN16 级 最大设计温度：300℃ 阀门必须配附有清楚的开关指示。</w:t>
      </w:r>
    </w:p>
    <w:p w14:paraId="380EDFE5">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过滤器要求为Y型过滤器，材质阀体不锈钢，滤芯不锈钢，滤芯规格0.8mm网孔, 压力等级：≥PN16 级 最大设计温度：300℃ 法兰连接。</w:t>
      </w:r>
    </w:p>
    <w:p w14:paraId="5F446D8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止回阀采用对夹式止回阀，采用重型弹簧，在水平安装并且无流量情况下的开启压力700mbar。材质不锈钢，压力等级：PN40级 最大设计温度：400℃ 法兰连接，中标人供货时应提供阀门原厂相关测试证明</w:t>
      </w:r>
    </w:p>
    <w:p w14:paraId="381CA86C">
      <w:pPr>
        <w:pStyle w:val="34"/>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 </w:t>
      </w:r>
    </w:p>
    <w:p w14:paraId="677D46E9">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18 压缩空气阀门</w:t>
      </w:r>
    </w:p>
    <w:p w14:paraId="5BDD0EA9">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精密过滤器 </w:t>
      </w:r>
    </w:p>
    <w:p w14:paraId="5561D57A">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规格：DN25</w:t>
      </w:r>
    </w:p>
    <w:p w14:paraId="14D69CAA">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公称压力：1.6MPa</w:t>
      </w:r>
    </w:p>
    <w:p w14:paraId="3DAB59AA">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材质 不锈钢</w:t>
      </w:r>
    </w:p>
    <w:p w14:paraId="60471D1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连接方式 法兰连接</w:t>
      </w:r>
    </w:p>
    <w:p w14:paraId="495A1AD5">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处理后的气体固体微粒数量应小于0.1g/m³，且微粒直径应不大于3μm，含油量应少于1ppm</w:t>
      </w:r>
    </w:p>
    <w:p w14:paraId="081DA21C">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法兰球阀 </w:t>
      </w:r>
    </w:p>
    <w:p w14:paraId="275F232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规格：DN25</w:t>
      </w:r>
    </w:p>
    <w:p w14:paraId="241F2B8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公称压力：1.6MPa</w:t>
      </w:r>
    </w:p>
    <w:p w14:paraId="67B0AB9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材质 不锈钢</w:t>
      </w:r>
    </w:p>
    <w:p w14:paraId="2AC5981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连接方式 法兰连接</w:t>
      </w:r>
    </w:p>
    <w:p w14:paraId="2CD5D732">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72DDF54C">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19 管材</w:t>
      </w:r>
    </w:p>
    <w:p w14:paraId="7FD8587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不锈钢管选用材质O6Cr19Ni10(GB/T14976-2012)，可用304替代。规格包括：φ273×7（DN250）、φ219×6（DN200）、φ159×5（DN150）、φ108×4（DN100）、φ89×4（DN80）、φ76×4（DN65）、φ57×3.5（DN50）、φ45×3（DN40）、φ38×3（DN32）、φ32×3（DN25）、φ25×3（DN20）。</w:t>
      </w:r>
    </w:p>
    <w:p w14:paraId="5DEC60A9">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碳钢无缝钢管选用材质20(GB/T8163-2018)。规格包括：φ273×7（DN250）、φ219×6（DN200）、φ159×5（DN150）、φ108×4（DN100）、φ89×4（DN80）、φ76×4（DN65）、φ57×3.5（DN50）、φ45×3（DN40）、φ38×3（DN32）、φ32×3（DN25）、φ25×3（DN20）。</w:t>
      </w:r>
    </w:p>
    <w:p w14:paraId="10B67BBE">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（3）弯头、等径三通、异径三通、大小头管件采用钢制对焊管件，其类型和参数符合GB/T12459-2017中的规定。</w:t>
      </w:r>
    </w:p>
    <w:p w14:paraId="4ECDEFC1">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43F8045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20 电缆</w:t>
      </w:r>
    </w:p>
    <w:p w14:paraId="62F2B74A">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动力电缆：进线电缆采用阻燃型铜芯交联聚氯乙烯绝缘聚乙烯护套铠装电力电缆（ZR-YJV22-0.6/1kV）；设备配电线缆采用阻燃型铜芯聚氯乙烯绝缘聚乙烯护套电力电缆（ZR-YJV-0.6/1kV）。额定电压等级均为0.6/1.0千伏。</w:t>
      </w:r>
    </w:p>
    <w:p w14:paraId="6D14430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控制电缆：控制器、流量计控制等选用阻燃型铜芯聚乙烯绝缘屏蔽聚氯乙烯护套控制电缆（ZR-DJYPVP-0.45/0.75kV）；温度、液位信号等选用阻燃型铜芯聚氯绝缘聚氯护套控制电缆（ZR-KVVP-0.45/0.75kV）；控制阀、切断阀选用阻燃型铜芯聚氯乙烯绝缘聚氯乙烯护套圆形连接软电缆,（ZR-RVVP-0.45/0.75kV）。额定电压等级均为0.45/0.75千伏。</w:t>
      </w:r>
    </w:p>
    <w:p w14:paraId="0228D2F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（3）各种线缆应有出厂合格证、安装技术文件，技术文件应包括额定电压、额定容量、试验报告等技术数据。型号、规格、电压等级、应符合设计要求。</w:t>
      </w:r>
    </w:p>
    <w:p w14:paraId="4F636D5E">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4F5A21C3">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21 电缆保护管</w:t>
      </w:r>
    </w:p>
    <w:p w14:paraId="1FC15598">
      <w:pPr>
        <w:pStyle w:val="5"/>
        <w:keepNext w:val="0"/>
        <w:keepLines w:val="0"/>
        <w:widowControl w:val="0"/>
        <w:suppressLineNumbers w:val="0"/>
        <w:ind w:left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镀锌焊接钢管：SC40、SC32、SC25、SC20</w:t>
      </w:r>
    </w:p>
    <w:p w14:paraId="74C5222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（1）各种规格的型钢应无明显锈蚀，卡件、各种螺栓、垫圈应符合设计要求,应是热镀锌制品。</w:t>
      </w:r>
    </w:p>
    <w:p w14:paraId="7AABC68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（2)其它材料:防腐油漆、面漆、电焊条等应有出厂合格证。</w:t>
      </w:r>
    </w:p>
    <w:p w14:paraId="27BC33E7">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181B848E">
      <w:pPr>
        <w:pStyle w:val="7"/>
        <w:keepNext w:val="0"/>
        <w:keepLines w:val="0"/>
        <w:widowControl w:val="0"/>
        <w:suppressLineNumbers w:val="0"/>
        <w:spacing w:before="0" w:beforeAutospacing="1" w:after="0" w:afterAutospacing="0"/>
        <w:ind w:left="0" w:leftChars="0" w:right="0"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22 接地线</w:t>
      </w:r>
    </w:p>
    <w:p w14:paraId="6ADDB6F8">
      <w:pPr>
        <w:pStyle w:val="5"/>
        <w:keepNext w:val="0"/>
        <w:keepLines w:val="0"/>
        <w:widowControl w:val="0"/>
        <w:suppressLineNumbers w:val="0"/>
        <w:ind w:left="420" w:leftChars="20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镀锌扁钢：-40*4</w:t>
      </w:r>
    </w:p>
    <w:p w14:paraId="214F915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（1）40x4镀锌扁钢的厚度偏差值为上偏差0.2mm，下偏差0.4mm，宽度偏差值为上偏差0.5mm，下偏差1.0mm。各连接均采用焊接，并在焊点处作防腐处理。所有防雷金属材料均采用热镀锌处理，且锌层均匀。</w:t>
      </w:r>
    </w:p>
    <w:p w14:paraId="4324BDA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（2)其它材料:防腐油漆、面漆、电焊条等应有出厂合格证。</w:t>
      </w:r>
    </w:p>
    <w:p w14:paraId="4E7F47DC">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4C5A70A3">
      <w:pPr>
        <w:pStyle w:val="7"/>
        <w:widowControl/>
        <w:spacing w:before="0" w:beforeAutospacing="1"/>
        <w:ind w:left="0" w:right="0" w:firstLine="0"/>
        <w:rPr>
          <w:rFonts w:hint="eastAsia" w:ascii="Times New Roman" w:hAnsi="Times New Roman" w:eastAsia="宋体" w:cs="Tahoma"/>
          <w:b/>
          <w:bCs/>
          <w:color w:val="auto"/>
          <w:kern w:val="0"/>
          <w:sz w:val="22"/>
          <w:szCs w:val="22"/>
          <w:highlight w:val="none"/>
        </w:rPr>
      </w:pPr>
      <w:r>
        <w:rPr>
          <w:rFonts w:hint="eastAsia" w:ascii="宋体" w:hAnsi="宋体" w:eastAsia="宋体" w:cs="宋体"/>
          <w:b/>
          <w:bCs/>
          <w:color w:val="auto"/>
          <w:kern w:val="0"/>
          <w:sz w:val="24"/>
          <w:szCs w:val="24"/>
          <w:highlight w:val="none"/>
        </w:rPr>
        <w:t>三、项目试运行考核；</w:t>
      </w:r>
    </w:p>
    <w:p w14:paraId="7AE3EBC6">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（1）安装调试完毕后，具备开展现场稳定连续稳定试运行的条件，由中标人向招标人递交书面试运行申请书，招标人审核同意后方可开展试运行。</w:t>
      </w:r>
    </w:p>
    <w:p w14:paraId="04319F52">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（2）试运行期为30天，期间当天运行的锅炉在加药、排污系统自动运行下，锅炉水质进行检测，具体要求如下：</w:t>
      </w:r>
    </w:p>
    <w:p w14:paraId="7F80AC85">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1）检测项目、频次、限值见锅炉水水质检测表。</w:t>
      </w:r>
    </w:p>
    <w:p w14:paraId="590309C3">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2）检测方法按《GB/T 1576-2018 工业锅炉水质》引用的检测方法进行检测。</w:t>
      </w:r>
    </w:p>
    <w:p w14:paraId="26B8C423">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3）锅炉水质样品由招标人随机时间取样，取样分为两份，一份作为当日水质送检样品、一份为留样样品。</w:t>
      </w:r>
    </w:p>
    <w:p w14:paraId="3799EFEA">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4）每日锅炉水质检测：每日水质检测由招标人或招标人下属的分公司负责完成。</w:t>
      </w:r>
    </w:p>
    <w:p w14:paraId="7DE652D0">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5）随机锅炉水质检测：试运行期间，招标人有权随机开展锅炉水质抽检。</w:t>
      </w:r>
    </w:p>
    <w:p w14:paraId="2C5D3F43">
      <w:pPr>
        <w:keepNext w:val="0"/>
        <w:keepLines w:val="0"/>
        <w:widowControl w:val="0"/>
        <w:suppressLineNumbers w:val="0"/>
        <w:autoSpaceDE w:val="0"/>
        <w:autoSpaceDN/>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6）每日锅炉及随机锅炉水样检测不合格时，招标人将当天留样样品进行复测，若复测结果仍为不及格，则判定该锅炉水质为不达标。</w:t>
      </w:r>
    </w:p>
    <w:p w14:paraId="1E5A0520">
      <w:pPr>
        <w:keepNext w:val="0"/>
        <w:keepLines w:val="0"/>
        <w:widowControl w:val="0"/>
        <w:suppressLineNumbers w:val="0"/>
        <w:autoSpaceDE w:val="0"/>
        <w:autoSpaceDN/>
        <w:spacing w:before="0" w:beforeAutospacing="0" w:after="0" w:afterAutospacing="0"/>
        <w:ind w:left="0" w:leftChars="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（3）整套系统试运行期间，项目所安装的设备设施无故障稳定运行30天且期间抽检的锅炉水质均达标为合格。若试运行失败，中标人重新调试后，可再次申请试运行。</w:t>
      </w:r>
    </w:p>
    <w:p w14:paraId="2128C28D">
      <w:pPr>
        <w:keepNext w:val="0"/>
        <w:keepLines w:val="0"/>
        <w:widowControl w:val="0"/>
        <w:suppressLineNumbers w:val="0"/>
        <w:spacing w:before="0" w:beforeAutospacing="0" w:after="0" w:afterAutospacing="0"/>
        <w:ind w:left="0" w:right="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（4）项目的试运行以及试运行失败所需的整改时间均计入工期内。</w:t>
      </w:r>
    </w:p>
    <w:p w14:paraId="4C4AC7E0">
      <w:pPr>
        <w:pStyle w:val="7"/>
        <w:widowControl/>
        <w:spacing w:before="0" w:beforeAutospacing="1"/>
        <w:ind w:left="0" w:right="0"/>
        <w:rPr>
          <w:rFonts w:hint="eastAsia" w:ascii="宋体" w:hAnsi="宋体" w:eastAsia="微软雅黑" w:cs="Tahoma"/>
          <w:color w:val="auto"/>
          <w:kern w:val="0"/>
          <w:sz w:val="22"/>
          <w:szCs w:val="22"/>
          <w:highlight w:val="none"/>
        </w:rPr>
      </w:pPr>
      <w:r>
        <w:rPr>
          <w:rFonts w:hint="eastAsia" w:ascii="宋体" w:hAnsi="宋体" w:eastAsia="微软雅黑" w:cs="Tahoma"/>
          <w:color w:val="auto"/>
          <w:kern w:val="0"/>
          <w:sz w:val="22"/>
          <w:szCs w:val="22"/>
          <w:highlight w:val="none"/>
        </w:rPr>
        <w:t xml:space="preserve"> </w:t>
      </w:r>
    </w:p>
    <w:p w14:paraId="500BC7A9">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锅炉水水质检测表</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89"/>
        <w:gridCol w:w="2320"/>
        <w:gridCol w:w="2120"/>
        <w:gridCol w:w="2120"/>
        <w:gridCol w:w="2011"/>
      </w:tblGrid>
      <w:tr w14:paraId="3D30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C52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水样</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F63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项目</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56F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频次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38E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限值</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EBB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单位</w:t>
            </w:r>
          </w:p>
        </w:tc>
      </w:tr>
      <w:tr w14:paraId="23D0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20C8DD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给水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869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浊度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B32B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FA67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≤5.0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3736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79AD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2C25461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F91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总硬度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818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C8BB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≤0.03</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CE6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7C1D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765A2CE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D70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F570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635D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7.0-10.5</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2F62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0386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12C7C5B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2B2E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铁含量</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57C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EBC8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≤0.30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7FEC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mg/L</w:t>
            </w:r>
          </w:p>
        </w:tc>
      </w:tr>
      <w:tr w14:paraId="0287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26483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锅炉水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D1A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溶解性固形物</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0F88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2596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w:t>
            </w:r>
            <w:r>
              <w:rPr>
                <w:rFonts w:hint="eastAsia" w:ascii="宋体" w:hAnsi="宋体" w:eastAsia="宋体" w:cs="宋体"/>
                <w:i w:val="0"/>
                <w:iCs w:val="0"/>
                <w:color w:val="auto"/>
                <w:kern w:val="2"/>
                <w:sz w:val="22"/>
                <w:szCs w:val="22"/>
                <w:highlight w:val="none"/>
                <w:lang w:val="en-US" w:eastAsia="zh-CN" w:bidi="ar"/>
              </w:rPr>
              <w:t>4000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2B65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ppm</w:t>
            </w:r>
          </w:p>
        </w:tc>
      </w:tr>
      <w:tr w14:paraId="37D9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7D35AF4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1F5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酚酞碱度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C18D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DE8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2.0-18.0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1BDE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62EF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19D901A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F991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5493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3ED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4.0-26.0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DBF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1273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5824FB9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290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719C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B48E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10.0-12.0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E136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bl>
    <w:p w14:paraId="3D5D0B8C">
      <w:pPr>
        <w:rPr>
          <w:vanish/>
          <w:color w:val="auto"/>
          <w:sz w:val="24"/>
          <w:szCs w:val="24"/>
          <w:highlight w:val="none"/>
        </w:rPr>
      </w:pP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89"/>
        <w:gridCol w:w="2320"/>
        <w:gridCol w:w="2120"/>
        <w:gridCol w:w="2120"/>
        <w:gridCol w:w="2011"/>
      </w:tblGrid>
      <w:tr w14:paraId="0627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F0A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水样</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72A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项目</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E926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频次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242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限值</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0A5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单位</w:t>
            </w:r>
          </w:p>
        </w:tc>
      </w:tr>
      <w:tr w14:paraId="1869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48DB48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给水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A000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浊度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B62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7D9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≤5.0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7C243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24E7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3D1BCA2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6551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总硬度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A079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7C1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≤0.03</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DBFA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4C29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16B1D5C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E87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33E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DA39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7.0-10.5</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606F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r w14:paraId="15F9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158751D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6AE5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铁含量</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936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884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≤0.30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7800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mg/L</w:t>
            </w:r>
          </w:p>
        </w:tc>
      </w:tr>
      <w:tr w14:paraId="195C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restart"/>
            <w:tcBorders>
              <w:top w:val="nil"/>
              <w:left w:val="single" w:color="auto" w:sz="4" w:space="0"/>
              <w:bottom w:val="single" w:color="auto" w:sz="4" w:space="0"/>
              <w:right w:val="single" w:color="auto" w:sz="4" w:space="0"/>
            </w:tcBorders>
            <w:shd w:val="clear" w:color="auto" w:fill="auto"/>
            <w:noWrap/>
            <w:vAlign w:val="center"/>
          </w:tcPr>
          <w:p w14:paraId="19E79B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锅炉水</w:t>
            </w: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A82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溶解性固形物</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C7B1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EC5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w:t>
            </w:r>
            <w:r>
              <w:rPr>
                <w:rFonts w:hint="eastAsia" w:ascii="宋体" w:hAnsi="宋体" w:eastAsia="宋体" w:cs="宋体"/>
                <w:i w:val="0"/>
                <w:iCs w:val="0"/>
                <w:color w:val="auto"/>
                <w:kern w:val="2"/>
                <w:sz w:val="22"/>
                <w:szCs w:val="22"/>
                <w:highlight w:val="none"/>
                <w:lang w:val="en-US" w:eastAsia="zh-CN" w:bidi="ar"/>
              </w:rPr>
              <w:t>4000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F078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ppm</w:t>
            </w:r>
          </w:p>
        </w:tc>
      </w:tr>
      <w:tr w14:paraId="4206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321A986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45D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酚酞碱度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060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6A11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2.0-18.0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344C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525F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72491AE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0B59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总碱度</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A36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一天1次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70A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4.0-26.0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535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mmol/L</w:t>
            </w:r>
          </w:p>
        </w:tc>
      </w:tr>
      <w:tr w14:paraId="0B9B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697" w:type="pct"/>
            <w:vMerge w:val="continue"/>
            <w:tcBorders>
              <w:top w:val="nil"/>
              <w:left w:val="single" w:color="auto" w:sz="4" w:space="0"/>
              <w:bottom w:val="single" w:color="auto" w:sz="4" w:space="0"/>
              <w:right w:val="single" w:color="auto" w:sz="4" w:space="0"/>
            </w:tcBorders>
            <w:shd w:val="clear" w:color="auto" w:fill="auto"/>
            <w:noWrap/>
            <w:vAlign w:val="center"/>
          </w:tcPr>
          <w:p w14:paraId="4248F67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08B3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pH</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EFA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一天3次</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BDBA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2"/>
                <w:szCs w:val="22"/>
                <w:highlight w:val="none"/>
              </w:rPr>
            </w:pPr>
            <w:r>
              <w:rPr>
                <w:rFonts w:hint="eastAsia" w:ascii="宋体" w:hAnsi="宋体" w:eastAsia="宋体" w:cs="宋体"/>
                <w:i w:val="0"/>
                <w:iCs w:val="0"/>
                <w:color w:val="auto"/>
                <w:kern w:val="0"/>
                <w:sz w:val="22"/>
                <w:szCs w:val="22"/>
                <w:highlight w:val="none"/>
                <w:lang w:val="en-US" w:eastAsia="zh-CN" w:bidi="ar"/>
              </w:rPr>
              <w:t>10.0-12.0</w:t>
            </w:r>
          </w:p>
        </w:tc>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74D4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rPr>
            </w:pPr>
          </w:p>
        </w:tc>
      </w:tr>
    </w:tbl>
    <w:p w14:paraId="34A98251">
      <w:pPr>
        <w:rPr>
          <w:rFonts w:hint="default" w:ascii="Times New Roman" w:hAnsi="Times New Roman" w:eastAsia="微软雅黑" w:cs="Tahoma"/>
          <w:color w:val="auto"/>
          <w:kern w:val="0"/>
          <w:sz w:val="22"/>
          <w:szCs w:val="22"/>
          <w:highlight w:val="none"/>
        </w:rPr>
        <w:sectPr>
          <w:pgSz w:w="11906" w:h="16838"/>
          <w:pgMar w:top="1440" w:right="1080" w:bottom="1440" w:left="1080" w:header="851" w:footer="992" w:gutter="0"/>
          <w:cols w:space="720" w:num="1"/>
          <w:docGrid w:type="lines" w:linePitch="312" w:charSpace="0"/>
        </w:sectPr>
      </w:pPr>
    </w:p>
    <w:p w14:paraId="54210417">
      <w:pPr>
        <w:pStyle w:val="34"/>
        <w:keepNext w:val="0"/>
        <w:keepLines w:val="0"/>
        <w:widowControl w:val="0"/>
        <w:suppressLineNumbers w:val="0"/>
        <w:spacing w:before="0" w:beforeAutospacing="1" w:after="120" w:afterAutospacing="0" w:line="480" w:lineRule="auto"/>
        <w:ind w:left="0" w:right="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项目四 健康城分公司2024年干化车间蒸汽锅炉及冷凝水回收系统改造项目</w:t>
      </w:r>
    </w:p>
    <w:p w14:paraId="193CC2F1">
      <w:pPr>
        <w:keepNext w:val="0"/>
        <w:keepLines w:val="0"/>
        <w:widowControl w:val="0"/>
        <w:numPr>
          <w:ilvl w:val="0"/>
          <w:numId w:val="23"/>
        </w:numPr>
        <w:suppressLineNumbers w:val="0"/>
        <w:autoSpaceDE w:val="0"/>
        <w:autoSpaceDN/>
        <w:spacing w:before="0" w:beforeAutospacing="0" w:after="0" w:afterAutospacing="0"/>
        <w:ind w:left="0" w:leftChars="0" w:right="0" w:firstLine="0" w:firstLineChars="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项目情况介绍</w:t>
      </w:r>
    </w:p>
    <w:p w14:paraId="5025EB11">
      <w:pPr>
        <w:pStyle w:val="132"/>
        <w:keepNext w:val="0"/>
        <w:keepLines w:val="0"/>
        <w:widowControl w:val="0"/>
        <w:suppressLineNumbers w:val="0"/>
        <w:spacing w:before="0" w:beforeAutospacing="1" w:after="0" w:afterAutospacing="0"/>
        <w:ind w:left="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健康城分公司位于广州市白云区钟落潭镇，厂区干化车间污泥处理规模为14tDS/d，高温间接热干化工艺段为2台圆盘干化机,配置1台锅炉，锅炉产生的蒸汽进入圆盘干化机外层夹套和内层旋转筒，与中间污泥层通过金属热传导，将含水率约65%的污泥烘干至含水率30-40%。，目前计划对干化车间蒸汽锅炉及冷凝水回收利用，计划如下：</w:t>
      </w:r>
    </w:p>
    <w:p w14:paraId="1A0B0E19">
      <w:pPr>
        <w:pStyle w:val="34"/>
        <w:keepNext w:val="0"/>
        <w:keepLines w:val="0"/>
        <w:widowControl w:val="0"/>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1.锅炉房部分</w:t>
      </w:r>
    </w:p>
    <w:p w14:paraId="6DD5DB93">
      <w:pPr>
        <w:pStyle w:val="34"/>
        <w:keepNext w:val="0"/>
        <w:keepLines w:val="0"/>
        <w:widowControl w:val="0"/>
        <w:suppressLineNumbers w:val="0"/>
        <w:spacing w:before="0" w:beforeAutospacing="1" w:after="0" w:afterAutospacing="0"/>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从锅炉液位计下方炉水取样口处增加电导率检测仪和自动表面排污系统；采用自动表面连续排污和锅炉底部定时排污相结合的系统，通过监测锅炉水质连续排除锅炉蒸发面的高浓度炉水和定时排放定量底部炉水清除炉底沉渣。</w:t>
      </w:r>
    </w:p>
    <w:p w14:paraId="3334371C">
      <w:pPr>
        <w:pStyle w:val="34"/>
        <w:keepNext w:val="0"/>
        <w:keepLines w:val="0"/>
        <w:widowControl w:val="0"/>
        <w:suppressLineNumbers w:val="0"/>
        <w:spacing w:before="0" w:beforeAutospacing="1" w:after="0" w:afterAutospacing="0"/>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（2）新增一条不锈钢管道，避免表排底排共用管道出现水锤问题。</w:t>
      </w:r>
    </w:p>
    <w:p w14:paraId="0F00FF30">
      <w:pPr>
        <w:pStyle w:val="34"/>
        <w:keepNext w:val="0"/>
        <w:keepLines w:val="0"/>
        <w:widowControl w:val="0"/>
        <w:suppressLineNumbers w:val="0"/>
        <w:spacing w:before="0" w:beforeAutospacing="1" w:after="0" w:afterAutospacing="0"/>
        <w:ind w:left="0" w:right="0" w:rightChars="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（3）整体更换电容式液位计和液位控制器。</w:t>
      </w:r>
    </w:p>
    <w:p w14:paraId="7F41345F">
      <w:pPr>
        <w:pStyle w:val="34"/>
        <w:keepNext w:val="0"/>
        <w:keepLines w:val="0"/>
        <w:widowControl w:val="0"/>
        <w:suppressLineNumbers w:val="0"/>
        <w:spacing w:before="0" w:beforeAutospacing="1" w:after="0" w:afterAutospacing="0"/>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（4）更换原蒸汽减压阀为电气动的比例阀通过控制器设定自动PID控制干化机用汽压力，可在控制室设定压力，无需人员接触高温管道阀门；提高锅炉运行压力避免锅炉频繁启停。</w:t>
      </w:r>
    </w:p>
    <w:p w14:paraId="16AEAC9B">
      <w:pPr>
        <w:pStyle w:val="34"/>
        <w:keepNext w:val="0"/>
        <w:keepLines w:val="0"/>
        <w:widowControl w:val="0"/>
        <w:suppressLineNumbers w:val="0"/>
        <w:spacing w:before="0" w:beforeAutospacing="1" w:after="0" w:afterAutospacing="0"/>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（5）</w:t>
      </w:r>
      <w:r>
        <w:rPr>
          <w:rFonts w:hint="eastAsia" w:ascii="宋体" w:hAnsi="宋体" w:eastAsia="宋体" w:cs="宋体"/>
          <w:b w:val="0"/>
          <w:bCs w:val="0"/>
          <w:color w:val="auto"/>
          <w:kern w:val="2"/>
          <w:sz w:val="24"/>
          <w:szCs w:val="24"/>
          <w:highlight w:val="none"/>
          <w:lang w:val="en-US" w:eastAsia="zh-CN" w:bidi="ar"/>
        </w:rPr>
        <w:t>锅炉分汽缸疏水阀</w:t>
      </w:r>
      <w:r>
        <w:rPr>
          <w:rFonts w:hint="eastAsia" w:ascii="宋体" w:hAnsi="宋体" w:eastAsia="宋体" w:cs="宋体"/>
          <w:color w:val="auto"/>
          <w:kern w:val="2"/>
          <w:sz w:val="24"/>
          <w:szCs w:val="24"/>
          <w:highlight w:val="none"/>
          <w:lang w:val="en-US" w:eastAsia="zh-CN" w:bidi="ar"/>
        </w:rPr>
        <w:t>更换为杠杆浮球式疏水阀组，内置热静力排空装置，可快速排放大量低温冷凝水，无需人员操作旁通。分汽缸疏水接入锅炉排污管道，疏水阀增加泄漏监测，旁通现场直排，便于后续使用管理，排水管道与锅炉表排管道合并。</w:t>
      </w:r>
    </w:p>
    <w:p w14:paraId="53604D07">
      <w:pPr>
        <w:pStyle w:val="34"/>
        <w:keepNext w:val="0"/>
        <w:keepLines w:val="0"/>
        <w:widowControl w:val="0"/>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2.污泥干化车间部分</w:t>
      </w:r>
    </w:p>
    <w:p w14:paraId="5D052A89">
      <w:pPr>
        <w:pStyle w:val="34"/>
        <w:keepNext w:val="0"/>
        <w:keepLines w:val="0"/>
        <w:widowControl w:val="0"/>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调整板式换热器换热降温，提高冷凝水温度。</w:t>
      </w:r>
    </w:p>
    <w:p w14:paraId="7E8B7C6F">
      <w:pPr>
        <w:pStyle w:val="34"/>
        <w:keepNext w:val="0"/>
        <w:keepLines w:val="0"/>
        <w:widowControl w:val="0"/>
        <w:suppressLineNumbers w:val="0"/>
        <w:spacing w:before="0" w:beforeAutospacing="1" w:after="0" w:afterAutospacing="0"/>
        <w:ind w:left="0" w:right="0" w:rightChars="0" w:firstLine="480" w:firstLineChars="200"/>
        <w:jc w:val="left"/>
        <w:rPr>
          <w:rFonts w:hint="eastAsia" w:ascii="宋体" w:hAnsi="宋体" w:eastAsia="宋体" w:cs="宋体"/>
          <w:b w:val="0"/>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3.排污控制部分</w:t>
      </w:r>
    </w:p>
    <w:p w14:paraId="3B9816EA">
      <w:pPr>
        <w:pStyle w:val="34"/>
        <w:keepNext w:val="0"/>
        <w:keepLines w:val="0"/>
        <w:widowControl w:val="0"/>
        <w:suppressLineNumbers w:val="0"/>
        <w:spacing w:before="0" w:beforeAutospacing="1"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排污控制系统实时根据锅炉水质电导率检测结果控制排污量，保证锅炉水质合格，长期稳定运行。</w:t>
      </w:r>
    </w:p>
    <w:p w14:paraId="1BCCE403">
      <w:pPr>
        <w:pStyle w:val="34"/>
        <w:keepNext w:val="0"/>
        <w:keepLines w:val="0"/>
        <w:widowControl w:val="0"/>
        <w:suppressLineNumbers w:val="0"/>
        <w:spacing w:before="0" w:beforeAutospacing="1"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4.其他</w:t>
      </w:r>
    </w:p>
    <w:p w14:paraId="25457893">
      <w:pPr>
        <w:pStyle w:val="34"/>
        <w:keepNext w:val="0"/>
        <w:keepLines w:val="0"/>
        <w:widowControl w:val="0"/>
        <w:suppressLineNumbers w:val="0"/>
        <w:spacing w:before="0" w:beforeAutospacing="1"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从厂区自来水总进水管处，驳接一条约150米DN150 PE材质自来水管道，接到原干化车间自来水管，形成环形供水，保障厂区干化正常运行。</w:t>
      </w:r>
    </w:p>
    <w:p w14:paraId="07E1AA16">
      <w:pPr>
        <w:pStyle w:val="34"/>
        <w:keepNext w:val="0"/>
        <w:keepLines w:val="0"/>
        <w:widowControl w:val="0"/>
        <w:suppressLineNumbers w:val="0"/>
        <w:spacing w:before="0" w:beforeAutospacing="1" w:after="0" w:afterAutospacing="0"/>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1F3ADAAE">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二、项目施工要求：</w:t>
      </w:r>
    </w:p>
    <w:p w14:paraId="47CFDD6D">
      <w:pPr>
        <w:pStyle w:val="7"/>
        <w:keepNext w:val="0"/>
        <w:keepLines w:val="0"/>
        <w:widowControl w:val="0"/>
        <w:suppressLineNumbers w:val="0"/>
        <w:spacing w:before="0" w:beforeAutospacing="1" w:after="0" w:afterAutospacing="0"/>
        <w:ind w:left="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rPr>
        <w:t>2.1一般要求：</w:t>
      </w:r>
    </w:p>
    <w:p w14:paraId="7BC33B04">
      <w:pPr>
        <w:keepNext w:val="0"/>
        <w:keepLines w:val="0"/>
        <w:widowControl/>
        <w:numPr>
          <w:ilvl w:val="0"/>
          <w:numId w:val="2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中标单位按设计图纸要求，提供蒸汽管道系统设备、阀门、管道及配件等以完善系统，保证系统的正常运行。</w:t>
      </w:r>
    </w:p>
    <w:p w14:paraId="24A13114">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ind w:left="0" w:leftChars="0" w:right="0" w:firstLine="480" w:firstLineChars="200"/>
        <w:jc w:val="left"/>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2"/>
          <w:sz w:val="24"/>
          <w:szCs w:val="24"/>
          <w:highlight w:val="none"/>
          <w:lang w:val="en-US" w:eastAsia="zh-CN" w:bidi="ar"/>
        </w:rPr>
        <w:t>本项目在锅炉、蒸汽系统及冷凝水管道系统上所采用的</w:t>
      </w:r>
      <w:r>
        <w:rPr>
          <w:rFonts w:hint="eastAsia" w:ascii="宋体" w:hAnsi="宋体" w:eastAsia="宋体" w:cs="宋体"/>
          <w:color w:val="auto"/>
          <w:kern w:val="0"/>
          <w:sz w:val="24"/>
          <w:szCs w:val="24"/>
          <w:highlight w:val="none"/>
          <w:lang w:val="en-US" w:eastAsia="zh-CN" w:bidi="ar"/>
        </w:rPr>
        <w:t>疏水阀（组）、止回阀、表面排污装置、排污阀、减压阀、</w:t>
      </w:r>
      <w:r>
        <w:rPr>
          <w:rFonts w:hint="eastAsia" w:ascii="宋体" w:hAnsi="宋体" w:eastAsia="宋体" w:cs="宋体"/>
          <w:b w:val="0"/>
          <w:bCs w:val="0"/>
          <w:color w:val="auto"/>
          <w:kern w:val="2"/>
          <w:sz w:val="24"/>
          <w:szCs w:val="24"/>
          <w:highlight w:val="none"/>
          <w:lang w:val="en-US" w:eastAsia="zh-CN" w:bidi="ar"/>
        </w:rPr>
        <w:t>疏水阀、检测组件等等应充分考虑蒸汽锅炉及冷凝水回收系统改造后的运行稳定性和可靠性，发包人对设备的使用管理和维修维护的便利性、统一性，以及自控平台的兼容性，系统设备整体品牌参照或相当于斯派莎克、上海沪工、杰斯特拉等品牌或相当于同档次及以上品牌的产品，严禁采用贴牌产品。</w:t>
      </w:r>
      <w:r>
        <w:rPr>
          <w:rFonts w:hint="eastAsia" w:ascii="宋体" w:hAnsi="宋体" w:eastAsia="宋体" w:cs="宋体"/>
          <w:color w:val="auto"/>
          <w:kern w:val="0"/>
          <w:sz w:val="24"/>
          <w:szCs w:val="24"/>
          <w:highlight w:val="none"/>
          <w:lang w:val="en-US" w:eastAsia="zh-CN" w:bidi="ar"/>
        </w:rPr>
        <w:t>设备订货前中标人应向招标人报审，招标人确认后方可订货。</w:t>
      </w:r>
    </w:p>
    <w:p w14:paraId="4E651A18">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80" w:firstLineChars="200"/>
        <w:jc w:val="left"/>
        <w:rPr>
          <w:rFonts w:hint="eastAsia" w:ascii="宋体" w:hAnsi="宋体" w:eastAsia="宋体" w:cs="宋体"/>
          <w:color w:val="auto"/>
          <w:kern w:val="2"/>
          <w:sz w:val="24"/>
          <w:szCs w:val="24"/>
          <w:highlight w:val="none"/>
          <w:shd w:val="clear" w:fill="FFFFFF"/>
        </w:rPr>
      </w:pPr>
      <w:r>
        <w:rPr>
          <w:rFonts w:hint="eastAsia" w:ascii="宋体" w:hAnsi="宋体" w:eastAsia="宋体" w:cs="宋体"/>
          <w:color w:val="auto"/>
          <w:kern w:val="2"/>
          <w:sz w:val="24"/>
          <w:szCs w:val="24"/>
          <w:highlight w:val="none"/>
          <w:shd w:val="clear" w:fill="FFFFFF"/>
          <w:lang w:val="en-US" w:eastAsia="zh-CN" w:bidi="ar"/>
        </w:rPr>
        <w:t>所有送抵工地的设备、阀门及配件均应是全新制成品，在储存、运送期间应采取正确的保护设施，以确保设备、阀门及配件在任何情况下不受损坏。</w:t>
      </w:r>
      <w:r>
        <w:rPr>
          <w:rFonts w:hint="eastAsia" w:ascii="宋体" w:hAnsi="宋体" w:eastAsia="宋体" w:cs="宋体"/>
          <w:b w:val="0"/>
          <w:bCs w:val="0"/>
          <w:color w:val="auto"/>
          <w:kern w:val="2"/>
          <w:sz w:val="24"/>
          <w:szCs w:val="24"/>
          <w:highlight w:val="none"/>
          <w:shd w:val="clear" w:fill="FFFFFF"/>
          <w:lang w:val="en-US" w:eastAsia="zh-CN" w:bidi="ar"/>
        </w:rPr>
        <w:t>中标人所供货的上述设备，在供货时</w:t>
      </w:r>
      <w:r>
        <w:rPr>
          <w:rFonts w:hint="eastAsia" w:ascii="宋体" w:hAnsi="宋体" w:eastAsia="宋体" w:cs="宋体"/>
          <w:bCs w:val="0"/>
          <w:color w:val="auto"/>
          <w:kern w:val="2"/>
          <w:sz w:val="24"/>
          <w:szCs w:val="24"/>
          <w:highlight w:val="none"/>
          <w:shd w:val="clear" w:fill="FFFFFF"/>
          <w:lang w:val="en-US" w:eastAsia="zh-CN" w:bidi="ar"/>
        </w:rPr>
        <w:t>均需提供出厂文件，包括但不限于合格证、说明书、</w:t>
      </w:r>
      <w:r>
        <w:rPr>
          <w:rFonts w:hint="eastAsia" w:ascii="宋体" w:hAnsi="宋体" w:eastAsia="宋体" w:cs="宋体"/>
          <w:b w:val="0"/>
          <w:bCs w:val="0"/>
          <w:color w:val="auto"/>
          <w:kern w:val="2"/>
          <w:sz w:val="24"/>
          <w:szCs w:val="24"/>
          <w:highlight w:val="none"/>
          <w:shd w:val="clear" w:fill="FFFFFF"/>
          <w:lang w:val="en-US" w:eastAsia="zh-CN" w:bidi="ar"/>
        </w:rPr>
        <w:t>安装维修指南和产品技术资料（如有外文资料，需同步提供中文译文资料）；</w:t>
      </w:r>
      <w:r>
        <w:rPr>
          <w:rFonts w:hint="eastAsia" w:ascii="宋体" w:hAnsi="宋体" w:eastAsia="宋体" w:cs="宋体"/>
          <w:color w:val="auto"/>
          <w:kern w:val="2"/>
          <w:sz w:val="24"/>
          <w:szCs w:val="24"/>
          <w:highlight w:val="none"/>
          <w:shd w:val="clear" w:fill="FFFFFF"/>
          <w:lang w:val="en-US" w:eastAsia="zh-CN" w:bidi="ar"/>
        </w:rPr>
        <w:t>所有蒸汽系统之设备，须配以吊装设施，以方便设备的运送及安装。</w:t>
      </w:r>
    </w:p>
    <w:p w14:paraId="77CE163F">
      <w:pPr>
        <w:keepNext w:val="0"/>
        <w:keepLines w:val="0"/>
        <w:widowControl/>
        <w:numPr>
          <w:ilvl w:val="0"/>
          <w:numId w:val="2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2"/>
          <w:sz w:val="24"/>
          <w:szCs w:val="24"/>
          <w:highlight w:val="none"/>
          <w:lang w:val="en-US" w:eastAsia="zh-CN" w:bidi="ar"/>
        </w:rPr>
        <w:t>所有设备、材料</w:t>
      </w:r>
      <w:r>
        <w:rPr>
          <w:rFonts w:hint="eastAsia" w:ascii="宋体" w:hAnsi="宋体" w:eastAsia="宋体" w:cs="宋体"/>
          <w:color w:val="auto"/>
          <w:kern w:val="0"/>
          <w:sz w:val="24"/>
          <w:szCs w:val="24"/>
          <w:highlight w:val="none"/>
          <w:lang w:val="en-US" w:eastAsia="zh-CN" w:bidi="ar"/>
        </w:rPr>
        <w:t>投标单位必须准备足够使用的围蔽施工场所需要使用的物资，包括但不限于红色高水码等。</w:t>
      </w:r>
    </w:p>
    <w:p w14:paraId="6FE1AFF9">
      <w:pPr>
        <w:keepNext w:val="0"/>
        <w:keepLines w:val="0"/>
        <w:widowControl/>
        <w:numPr>
          <w:ilvl w:val="0"/>
          <w:numId w:val="24"/>
        </w:numPr>
        <w:suppressLineNumbers w:val="0"/>
        <w:autoSpaceDE w:val="0"/>
        <w:autoSpaceDN/>
        <w:snapToGrid w:val="0"/>
        <w:spacing w:before="0" w:beforeAutospacing="0" w:after="0" w:afterAutospacing="0"/>
        <w:ind w:left="0" w:leftChars="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新控制系统要求与原有系统可对接读取数据，做到中控室有数据可监控。</w:t>
      </w:r>
    </w:p>
    <w:p w14:paraId="5E01764E">
      <w:pPr>
        <w:pStyle w:val="7"/>
        <w:widowControl/>
        <w:numPr>
          <w:ilvl w:val="0"/>
          <w:numId w:val="24"/>
        </w:numPr>
        <w:spacing w:before="0" w:beforeAutospacing="1"/>
        <w:ind w:left="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rPr>
        <w:t>质量要求：</w:t>
      </w:r>
      <w:r>
        <w:rPr>
          <w:rFonts w:hint="eastAsia" w:ascii="宋体" w:hAnsi="宋体" w:eastAsia="宋体" w:cs="宋体"/>
          <w:color w:val="auto"/>
          <w:kern w:val="0"/>
          <w:sz w:val="24"/>
          <w:szCs w:val="24"/>
          <w:highlight w:val="none"/>
        </w:rPr>
        <w:t>按合同条款和有关技术标准规范进行验收。使用的各种材料必须符合设计和有关技术标准规范要求。</w:t>
      </w:r>
    </w:p>
    <w:p w14:paraId="45F3D576">
      <w:pPr>
        <w:pStyle w:val="7"/>
        <w:widowControl/>
        <w:numPr>
          <w:ilvl w:val="0"/>
          <w:numId w:val="24"/>
        </w:numPr>
        <w:spacing w:before="0" w:beforeAutospacing="1"/>
        <w:ind w:left="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自来水驳接、锅炉改造施工时需要搭建脚手架，按照要求做好备案资料方案报甲方审核。</w:t>
      </w:r>
    </w:p>
    <w:p w14:paraId="45E6E585">
      <w:pPr>
        <w:pStyle w:val="7"/>
        <w:widowControl/>
        <w:numPr>
          <w:ilvl w:val="0"/>
          <w:numId w:val="24"/>
        </w:numPr>
        <w:spacing w:before="0" w:beforeAutospacing="1"/>
        <w:ind w:left="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bCs w:val="0"/>
          <w:color w:val="auto"/>
          <w:kern w:val="0"/>
          <w:sz w:val="24"/>
          <w:szCs w:val="24"/>
          <w:highlight w:val="none"/>
        </w:rPr>
        <w:t>质量保修期期间，</w:t>
      </w:r>
      <w:r>
        <w:rPr>
          <w:rFonts w:hint="eastAsia" w:ascii="宋体" w:hAnsi="宋体" w:eastAsia="宋体" w:cs="宋体"/>
          <w:i w:val="0"/>
          <w:iCs w:val="0"/>
          <w:color w:val="auto"/>
          <w:kern w:val="0"/>
          <w:sz w:val="24"/>
          <w:szCs w:val="24"/>
          <w:highlight w:val="none"/>
        </w:rPr>
        <w:t>中标人须提供48小时质保响应服务；项目实施范围内的设备、系统及管道出现突发故障，中标人在接到招标人电话通知后，中标人应在48小时内到场对故障设备进行检查，属于</w:t>
      </w:r>
      <w:r>
        <w:rPr>
          <w:rFonts w:hint="eastAsia" w:ascii="宋体" w:hAnsi="宋体" w:eastAsia="宋体" w:cs="宋体"/>
          <w:bCs w:val="0"/>
          <w:color w:val="auto"/>
          <w:kern w:val="0"/>
          <w:sz w:val="24"/>
          <w:szCs w:val="24"/>
          <w:highlight w:val="none"/>
        </w:rPr>
        <w:t>本项目的质量问题由中标人免费提供保修服务， 7 日内派人员负责解决及维修。</w:t>
      </w:r>
    </w:p>
    <w:p w14:paraId="346D5456">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79AC95A8">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2.2 </w:t>
      </w:r>
      <w:r>
        <w:rPr>
          <w:rFonts w:hint="eastAsia" w:ascii="宋体" w:hAnsi="宋体" w:eastAsia="宋体" w:cs="宋体"/>
          <w:color w:val="auto"/>
          <w:kern w:val="0"/>
          <w:sz w:val="24"/>
          <w:szCs w:val="24"/>
          <w:highlight w:val="none"/>
        </w:rPr>
        <w:t>中标单位所提供的产品及安装、验收须国家标准和部颁行业标准：</w:t>
      </w:r>
    </w:p>
    <w:p w14:paraId="759AD19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（1）当地政府有关部门所制定之条例及规范。</w:t>
      </w:r>
    </w:p>
    <w:p w14:paraId="182FF241">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（2）国家现行相关标准规范：</w:t>
      </w:r>
    </w:p>
    <w:p w14:paraId="043620B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《机械设备安装工程施工及验收通用规范》GB50231-2009</w:t>
      </w:r>
    </w:p>
    <w:p w14:paraId="6886EB44">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《工业金属管道工程施工规范》GB50235-2010</w:t>
      </w:r>
    </w:p>
    <w:p w14:paraId="7BEB6D5F">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《现场设备、工业管道焊接工程施工规范》GB50236-2011</w:t>
      </w:r>
    </w:p>
    <w:p w14:paraId="73AAE852">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《工业金属管道工程施工质量验收规范》GB50184-2011</w:t>
      </w:r>
    </w:p>
    <w:p w14:paraId="626B3BC0">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《工业设备及管道绝热工程施工质量验收标准》GB50185-2019</w:t>
      </w:r>
    </w:p>
    <w:p w14:paraId="61002903">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《压力管道规范-工业管道》GB/T20801-2020</w:t>
      </w:r>
    </w:p>
    <w:p w14:paraId="19CCC746">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5DAB06CA">
      <w:pPr>
        <w:pStyle w:val="5"/>
        <w:keepNext w:val="0"/>
        <w:keepLines w:val="0"/>
        <w:widowControl w:val="0"/>
        <w:suppressLineNumbers w:val="0"/>
        <w:autoSpaceDE w:val="0"/>
        <w:autoSpaceDN w:val="0"/>
        <w:ind w:left="0" w:leftChars="0" w:firstLine="0" w:firstLineChars="0"/>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color w:val="auto"/>
          <w:kern w:val="0"/>
          <w:sz w:val="24"/>
          <w:szCs w:val="24"/>
          <w:highlight w:val="none"/>
          <w:vertAlign w:val="baseline"/>
        </w:rPr>
        <w:t>三、技术要求</w:t>
      </w:r>
    </w:p>
    <w:p w14:paraId="2A421F51">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1、锅炉表面排污系统 </w:t>
      </w:r>
    </w:p>
    <w:p w14:paraId="4F3BB8D6">
      <w:pPr>
        <w:pStyle w:val="5"/>
        <w:keepNext w:val="0"/>
        <w:keepLines w:val="0"/>
        <w:widowControl w:val="0"/>
        <w:suppressLineNumbers w:val="0"/>
        <w:ind w:left="0" w:leftChars="0" w:firstLine="482"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（1）系统基本说明</w:t>
      </w:r>
    </w:p>
    <w:p w14:paraId="4D1E150D">
      <w:pPr>
        <w:pStyle w:val="5"/>
        <w:keepNext w:val="0"/>
        <w:keepLines w:val="0"/>
        <w:widowControl w:val="0"/>
        <w:suppressLineNumbers w:val="0"/>
        <w:ind w:left="420" w:leftChars="200" w:firstLine="0" w:firstLineChars="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所有锅炉水含有一些溶解的固体。这些杂质由于蒸发过程而不断地被浓缩，即总溶解固体（TDS）水平增加。如果TDS水平超过锅炉制造商规定的允许最大值，则会引起锅水发泡和携带污染，导致蒸汽分配系统受到污染。最终，设备的操作可靠性将受到损害，并且锅炉和蒸汽系统可能被严重损坏。本表面排污系统提供精确、稳定、自动化的锅炉炉水可溶性固形物（TDS）浓度控制，将锅炉的排污量降至最低，避免炉水热量的浪费，并有效降低汽水共腾和杂质携带的风险。</w:t>
      </w:r>
    </w:p>
    <w:p w14:paraId="1E09E2CD">
      <w:pPr>
        <w:pStyle w:val="5"/>
        <w:keepNext w:val="0"/>
        <w:keepLines w:val="0"/>
        <w:widowControl w:val="0"/>
        <w:suppressLineNumbers w:val="0"/>
        <w:ind w:left="420" w:leftChars="200" w:firstLine="0" w:firstLineChars="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2）检测锅炉水的电导率，并将测值与控制器内的设定值相比较，以准确调节排污阀的开度，使锅炉的排污量最小，以达到确保蒸汽品质及减少能量损失之目的。</w:t>
      </w:r>
    </w:p>
    <w:p w14:paraId="53736FE5">
      <w:pPr>
        <w:pStyle w:val="5"/>
        <w:keepNext w:val="0"/>
        <w:keepLines w:val="0"/>
        <w:widowControl w:val="0"/>
        <w:suppressLineNumbers w:val="0"/>
        <w:ind w:left="0" w:leftChars="0" w:firstLine="482"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（2）系统功能要求</w:t>
      </w:r>
    </w:p>
    <w:p w14:paraId="17DEAD33">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1）通过对炉水中电导率进行检测，当电导率过高时，开启排污控制阀排除高浓度炉水。</w:t>
      </w:r>
    </w:p>
    <w:p w14:paraId="1C0FBC88">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2）根据锅炉负荷情况自动调整排污阀开启的时间间隔。</w:t>
      </w:r>
    </w:p>
    <w:p w14:paraId="7AB8EA62">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3）根据实测锅炉水的电导率大小，自动调节排污阀的开度，准确控制排污量。</w:t>
      </w:r>
    </w:p>
    <w:p w14:paraId="27940A08">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4）高电导率或TDS值报警。</w:t>
      </w:r>
    </w:p>
    <w:p w14:paraId="2C9EF38E">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5）探头为外置，无需插入锅炉，一体化的产品撬装设计，方便现场安装和调试。</w:t>
      </w:r>
    </w:p>
    <w:p w14:paraId="1AE8038D">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6）提供两种不同的炉水电导率检测方式，能对炉水电导率间歇性的检测和连续在线检测。</w:t>
      </w:r>
    </w:p>
    <w:p w14:paraId="2FBABABB">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7）电导率探头带温度补偿和探头结垢检测，具备定时冲洗功能，将电导率感应器进行清洗。</w:t>
      </w:r>
    </w:p>
    <w:p w14:paraId="2839472D">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8）可现场显示锅炉系统当前电导率，最小电导率 0.5μS / cm。</w:t>
      </w:r>
    </w:p>
    <w:p w14:paraId="0A046327">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9）输出要求：MODBUS RS485通讯远传输出，便于与中控室通讯。</w:t>
      </w:r>
    </w:p>
    <w:p w14:paraId="26C45654">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10）电源规格：220V 50HZ。</w:t>
      </w:r>
    </w:p>
    <w:p w14:paraId="524BEBF0">
      <w:pPr>
        <w:pStyle w:val="7"/>
        <w:keepNext w:val="0"/>
        <w:keepLines w:val="0"/>
        <w:widowControl w:val="0"/>
        <w:suppressLineNumbers w:val="0"/>
        <w:spacing w:before="0" w:beforeAutospacing="1" w:after="0" w:afterAutospacing="0"/>
        <w:ind w:left="420" w:leftChars="200" w:right="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11）适配1.5t/h 1.00MPa蒸汽锅炉</w:t>
      </w:r>
    </w:p>
    <w:p w14:paraId="2CCC2499">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系统中截止阀要求必须为双层波纹管密封型截止阀，具有操作力矩小，无阀杆填料泄漏风险；阀门必须配附有清楚的开/关位置指示；手轮采用符合人工力学，采用压制钢。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5801EEA3">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（3）自动表面连续排污阀 </w:t>
      </w:r>
    </w:p>
    <w:p w14:paraId="60A79431">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1）规格 DN20 带可调节喷嘴的阀门，带电动执行器220VAC。</w:t>
      </w:r>
    </w:p>
    <w:p w14:paraId="0DA7297A">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2）材质</w:t>
      </w:r>
    </w:p>
    <w:p w14:paraId="519AF081">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阀体：碳钢。</w:t>
      </w:r>
    </w:p>
    <w:p w14:paraId="4FE56553">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阀芯：不锈钢+硬质合金钢。</w:t>
      </w:r>
    </w:p>
    <w:p w14:paraId="069E0E3D">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阀座：不锈钢+硬质合金钢。</w:t>
      </w:r>
    </w:p>
    <w:p w14:paraId="3534B132">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3）压力等级：PN40</w:t>
      </w:r>
    </w:p>
    <w:p w14:paraId="6199FE42">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4）最大设计压力：102bar g</w:t>
      </w:r>
    </w:p>
    <w:p w14:paraId="57D8A551">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5）最大设计温度：400℃</w:t>
      </w:r>
    </w:p>
    <w:p w14:paraId="3ABE2724">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6）连接方式：阀门为法兰连接，感应器为螺纹连接。</w:t>
      </w:r>
    </w:p>
    <w:p w14:paraId="07FB5EE2">
      <w:pPr>
        <w:pStyle w:val="7"/>
        <w:keepNext w:val="0"/>
        <w:keepLines w:val="0"/>
        <w:widowControl w:val="0"/>
        <w:suppressLineNumbers w:val="0"/>
        <w:spacing w:before="0" w:beforeAutospacing="1" w:after="0" w:afterAutospacing="0"/>
        <w:ind w:left="0" w:leftChars="0" w:right="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515A523D">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 锅炉底部自动排污系统 </w:t>
      </w:r>
    </w:p>
    <w:p w14:paraId="4573272E">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2"/>
          <w:sz w:val="24"/>
          <w:szCs w:val="24"/>
          <w:highlight w:val="none"/>
          <w:vertAlign w:val="baseline"/>
        </w:rPr>
        <w:t>（1）  产品基本说明。</w:t>
      </w:r>
    </w:p>
    <w:p w14:paraId="4D1B4D1F">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2"/>
          <w:sz w:val="24"/>
          <w:szCs w:val="24"/>
          <w:highlight w:val="none"/>
          <w:vertAlign w:val="baseline"/>
        </w:rPr>
        <w:t>专门设计用于锅炉排污应用，可用于定时自动排污。</w:t>
      </w:r>
    </w:p>
    <w:p w14:paraId="62D68F95">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2"/>
          <w:sz w:val="24"/>
          <w:szCs w:val="24"/>
          <w:highlight w:val="none"/>
          <w:vertAlign w:val="baseline"/>
        </w:rPr>
        <w:t xml:space="preserve">1）通过快速打开排污阀来执行短期锅炉排污。在锅炉底部的喷出开口周围产生短期低压区域，进而产生抽吸效应，移除在锅炉下部沉降而积聚的污泥和沉淀物。间歇排污的抽吸作用仅在阀打开时有效。阀门操作最短可打开约4秒钟。，较长的开放时间会浪费锅炉水。间歇排污阀的弹簧关闭力随着锅炉压力增加，阀处于能够破坏沉积在阀座/塞子上的任何污垢颗粒的良好状态，从而确保正向关闭。通过在安装在阀下游的径向级喷嘴中产生的压力降进一步增加阀座/塞的使用寿命。底部排污过程之间的时间间隔能通过锅炉效率、给水质量和允许的锅炉水质来间接计算。   </w:t>
      </w:r>
    </w:p>
    <w:p w14:paraId="77D46AA0">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2"/>
          <w:sz w:val="24"/>
          <w:szCs w:val="24"/>
          <w:highlight w:val="none"/>
          <w:vertAlign w:val="baseline"/>
        </w:rPr>
        <w:t>2）排污系统带泄漏检测装置，通过检测阀后温度和超声值，自动判断排污阀门工作情况，避免出现泄漏无法及时发现，从而导致能源浪费和安全隐患。</w:t>
      </w:r>
    </w:p>
    <w:p w14:paraId="7E3BF7BC">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2"/>
          <w:sz w:val="24"/>
          <w:szCs w:val="24"/>
          <w:highlight w:val="none"/>
          <w:vertAlign w:val="baseline"/>
        </w:rPr>
        <w:t xml:space="preserve"> 系统中截止阀要求必须为双层波纹管密封型截止阀，具有操作力矩小，无阀杆填料泄漏风险；阀门必须配附有清楚的开/关位置指示；手轮采用符合人工力学，采用压制钢。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压力等级：≥PN16级 最大设计温度：300℃ 阀门必须配附有清楚的开关指示。</w:t>
      </w:r>
    </w:p>
    <w:p w14:paraId="58E9BC53">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（2）底部自动排污阀 </w:t>
      </w:r>
    </w:p>
    <w:p w14:paraId="3074B103">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规格DN40 阀门结构设计需满足以下要求</w:t>
      </w:r>
    </w:p>
    <w:p w14:paraId="36908B24">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1）通过阀体出口部分的集成压力室提高排污效率</w:t>
      </w:r>
    </w:p>
    <w:p w14:paraId="426D8171">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2）通过填料密封件之间的附加清洁环获得更高的密封性</w:t>
      </w:r>
    </w:p>
    <w:p w14:paraId="57A166E0">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3）通过阀座下游的径向级喷嘴实现更长的使用寿命和可用性</w:t>
      </w:r>
    </w:p>
    <w:p w14:paraId="1FAD1416">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4）不使用大机身盖从而增强抗水锤</w:t>
      </w:r>
    </w:p>
    <w:p w14:paraId="29D67A53">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5）通过在低压侧上的新密封布置减少磨损</w:t>
      </w:r>
    </w:p>
    <w:p w14:paraId="7DFB413D">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6）通过新型隔离套管实现工作安全规定的一致性</w:t>
      </w:r>
    </w:p>
    <w:p w14:paraId="4F38363E">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7）通过多功能部件快捷方便地安装</w:t>
      </w:r>
    </w:p>
    <w:p w14:paraId="68EE0253">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8）通过作用在压缩弹簧上的附加盘簧以及通过从外部张紧密封件的可能性，减少维护和维修工作</w:t>
      </w:r>
    </w:p>
    <w:p w14:paraId="42B4AA15">
      <w:pPr>
        <w:pStyle w:val="5"/>
        <w:keepNext w:val="0"/>
        <w:keepLines w:val="0"/>
        <w:widowControl w:val="0"/>
        <w:suppressLineNumbers w:val="0"/>
        <w:ind w:left="420" w:leftChars="200"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9）通过减压通气管更好地检查功能，以便从外部检测泄漏</w:t>
      </w:r>
    </w:p>
    <w:p w14:paraId="772DD7CA">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阀体：碳钢。</w:t>
      </w:r>
    </w:p>
    <w:p w14:paraId="1EFBB8EB">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阀芯：不锈钢+硬质合金钢。</w:t>
      </w:r>
    </w:p>
    <w:p w14:paraId="276DC84D">
      <w:pPr>
        <w:pStyle w:val="5"/>
        <w:keepNext w:val="0"/>
        <w:keepLines w:val="0"/>
        <w:widowControl w:val="0"/>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阀座：不锈钢+硬质合金钢。</w:t>
      </w:r>
    </w:p>
    <w:p w14:paraId="4F476BB6">
      <w:pPr>
        <w:pStyle w:val="7"/>
        <w:keepNext w:val="0"/>
        <w:keepLines w:val="0"/>
        <w:widowControl w:val="0"/>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适配1.5t/h 1.00MPa蒸汽锅炉</w:t>
      </w:r>
    </w:p>
    <w:p w14:paraId="2A2ADFC6">
      <w:pPr>
        <w:pStyle w:val="7"/>
        <w:widowControl/>
        <w:spacing w:before="0" w:beforeAutospacing="1"/>
        <w:ind w:left="0" w:right="0" w:firstLine="0" w:firstLineChars="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0D65690C">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3 锅炉房非标控制柜  </w:t>
      </w:r>
    </w:p>
    <w:p w14:paraId="2632CA4D">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为实现系统稳定的排污调节控制和报警连锁保护，具有完善的通讯功能，界面友好，操作人性化，自动控制系统采用PLC+触摸屏设计，电气元器件</w:t>
      </w:r>
      <w:r>
        <w:rPr>
          <w:rFonts w:hint="eastAsia" w:ascii="宋体" w:hAnsi="宋体" w:eastAsia="宋体" w:cs="宋体"/>
          <w:color w:val="auto"/>
          <w:kern w:val="0"/>
          <w:sz w:val="24"/>
          <w:szCs w:val="24"/>
          <w:highlight w:val="none"/>
        </w:rPr>
        <w:t>参照或相当于</w:t>
      </w:r>
      <w:r>
        <w:rPr>
          <w:rFonts w:hint="eastAsia" w:ascii="宋体" w:hAnsi="宋体" w:eastAsia="宋体" w:cs="宋体"/>
          <w:color w:val="auto"/>
          <w:kern w:val="2"/>
          <w:sz w:val="24"/>
          <w:szCs w:val="24"/>
          <w:highlight w:val="none"/>
        </w:rPr>
        <w:t>西门子、施耐德、ABB</w:t>
      </w:r>
      <w:r>
        <w:rPr>
          <w:rFonts w:hint="eastAsia" w:ascii="宋体" w:hAnsi="宋体" w:eastAsia="宋体" w:cs="宋体"/>
          <w:color w:val="auto"/>
          <w:kern w:val="0"/>
          <w:sz w:val="24"/>
          <w:szCs w:val="24"/>
          <w:highlight w:val="none"/>
        </w:rPr>
        <w:t>或相当于同档次及以上品牌的产品</w:t>
      </w:r>
      <w:r>
        <w:rPr>
          <w:rFonts w:hint="eastAsia" w:ascii="宋体" w:hAnsi="宋体" w:eastAsia="宋体" w:cs="宋体"/>
          <w:color w:val="auto"/>
          <w:kern w:val="2"/>
          <w:sz w:val="24"/>
          <w:szCs w:val="24"/>
          <w:highlight w:val="none"/>
        </w:rPr>
        <w:t>。整合锅炉运行数据，需包含以下功能：</w:t>
      </w:r>
    </w:p>
    <w:p w14:paraId="0DEDEECD">
      <w:pPr>
        <w:pStyle w:val="7"/>
        <w:keepNext w:val="0"/>
        <w:keepLines w:val="0"/>
        <w:widowControl w:val="0"/>
        <w:numPr>
          <w:ilvl w:val="0"/>
          <w:numId w:val="25"/>
        </w:numPr>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锅炉炉水水质监测；</w:t>
      </w:r>
    </w:p>
    <w:p w14:paraId="7E0F9ECD">
      <w:pPr>
        <w:pStyle w:val="7"/>
        <w:keepNext w:val="0"/>
        <w:keepLines w:val="0"/>
        <w:widowControl w:val="0"/>
        <w:numPr>
          <w:ilvl w:val="0"/>
          <w:numId w:val="25"/>
        </w:numPr>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锅炉表面排污和底部排污自动控制，每台锅炉额外独立排污控制器；</w:t>
      </w:r>
    </w:p>
    <w:p w14:paraId="463E2F9F">
      <w:pPr>
        <w:pStyle w:val="7"/>
        <w:keepNext w:val="0"/>
        <w:keepLines w:val="0"/>
        <w:widowControl w:val="0"/>
        <w:numPr>
          <w:ilvl w:val="0"/>
          <w:numId w:val="25"/>
        </w:numPr>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锅炉底部排污阀泄漏监测；</w:t>
      </w:r>
    </w:p>
    <w:p w14:paraId="4EBF3415">
      <w:pPr>
        <w:pStyle w:val="34"/>
        <w:keepNext w:val="0"/>
        <w:keepLines w:val="0"/>
        <w:widowControl w:val="0"/>
        <w:numPr>
          <w:ilvl w:val="0"/>
          <w:numId w:val="25"/>
        </w:numPr>
        <w:suppressLineNumbers w:val="0"/>
        <w:spacing w:before="0" w:beforeAutospacing="1"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数字化服务，可提供Modbus RTU通信和云服务。</w:t>
      </w:r>
    </w:p>
    <w:p w14:paraId="2A7CC556">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06CFD276">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 干化车间中控室显示 软件及调试</w:t>
      </w:r>
    </w:p>
    <w:p w14:paraId="43C397DD">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将项3锅炉房非标控制柜的运行界面和功能适配显示至目前干化车间中控室控制界面中，包含现场调试和培训服务。</w:t>
      </w:r>
    </w:p>
    <w:p w14:paraId="3E1E9FBC">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15AFCD4A">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5 锅炉液位控制优化  </w:t>
      </w:r>
    </w:p>
    <w:p w14:paraId="1CF99023">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此优化包含以下3部分</w:t>
      </w:r>
    </w:p>
    <w:p w14:paraId="6F99E6AE">
      <w:pPr>
        <w:pStyle w:val="5"/>
        <w:keepNext w:val="0"/>
        <w:keepLines w:val="0"/>
        <w:widowControl w:val="0"/>
        <w:numPr>
          <w:ilvl w:val="0"/>
          <w:numId w:val="26"/>
        </w:numPr>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锅炉给水泵手动启停 ，根据现场运维人员使用要求，通过新增手动启泵开关，强制开启锅炉给水泵；</w:t>
      </w:r>
    </w:p>
    <w:p w14:paraId="7E08A229">
      <w:pPr>
        <w:pStyle w:val="5"/>
        <w:keepNext w:val="0"/>
        <w:keepLines w:val="0"/>
        <w:widowControl w:val="0"/>
        <w:numPr>
          <w:ilvl w:val="0"/>
          <w:numId w:val="26"/>
        </w:numPr>
        <w:suppressLineNumbers w:val="0"/>
        <w:ind w:left="0" w:leftChars="0" w:firstLine="482"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液位控制继电器，更换新的同类型继电器，安装至新增的附属控制柜中，避免现场控制柜内频繁振动导致的继电器故障问题；</w:t>
      </w:r>
    </w:p>
    <w:p w14:paraId="68F93D66">
      <w:pPr>
        <w:pStyle w:val="5"/>
        <w:keepNext w:val="0"/>
        <w:keepLines w:val="0"/>
        <w:widowControl w:val="0"/>
        <w:numPr>
          <w:ilvl w:val="0"/>
          <w:numId w:val="26"/>
        </w:numPr>
        <w:suppressLineNumbers w:val="0"/>
        <w:ind w:left="0" w:leftChars="0" w:firstLine="482"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锅炉液位和电泵附属控制电柜，采用独立电柜，含继电器和断路保护开关等，</w:t>
      </w:r>
      <w:r>
        <w:rPr>
          <w:rFonts w:hint="eastAsia" w:ascii="宋体" w:hAnsi="宋体" w:eastAsia="宋体" w:cs="宋体"/>
          <w:color w:val="auto"/>
          <w:kern w:val="0"/>
          <w:sz w:val="24"/>
          <w:szCs w:val="24"/>
          <w:highlight w:val="none"/>
        </w:rPr>
        <w:t>参照或相当于</w:t>
      </w:r>
      <w:r>
        <w:rPr>
          <w:rFonts w:hint="eastAsia" w:ascii="宋体" w:hAnsi="宋体" w:eastAsia="宋体" w:cs="宋体"/>
          <w:color w:val="auto"/>
          <w:kern w:val="2"/>
          <w:sz w:val="24"/>
          <w:szCs w:val="24"/>
          <w:highlight w:val="none"/>
        </w:rPr>
        <w:t>西门子、施耐德、ABB</w:t>
      </w:r>
      <w:r>
        <w:rPr>
          <w:rFonts w:hint="eastAsia" w:ascii="宋体" w:hAnsi="宋体" w:eastAsia="宋体" w:cs="宋体"/>
          <w:color w:val="auto"/>
          <w:kern w:val="0"/>
          <w:sz w:val="24"/>
          <w:szCs w:val="24"/>
          <w:highlight w:val="none"/>
        </w:rPr>
        <w:t>或相当于同档次及以上品牌的产品</w:t>
      </w:r>
      <w:r>
        <w:rPr>
          <w:rFonts w:hint="eastAsia" w:ascii="宋体" w:hAnsi="宋体" w:eastAsia="宋体" w:cs="宋体"/>
          <w:color w:val="auto"/>
          <w:kern w:val="2"/>
          <w:sz w:val="24"/>
          <w:szCs w:val="24"/>
          <w:highlight w:val="none"/>
        </w:rPr>
        <w:t>。集成锅炉房非标控制柜取电切换断路器。</w:t>
      </w:r>
    </w:p>
    <w:p w14:paraId="5B6893E2">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606CFE88">
      <w:pPr>
        <w:pStyle w:val="5"/>
        <w:keepNext w:val="0"/>
        <w:keepLines w:val="0"/>
        <w:widowControl w:val="0"/>
        <w:suppressLineNumbers w:val="0"/>
        <w:ind w:left="0" w:leftChars="0"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6 分汽缸疏水  </w:t>
      </w:r>
    </w:p>
    <w:p w14:paraId="718AC6A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DN25截止阀要求必须为双层波纹管密封型截止阀，具有操作力矩小，无阀杆填料泄漏风险；阀门必须配附有清楚的开/关位置指示；手轮采用符合人工力学，采用压制钢。 材质阀体：球墨铸铁 阀芯：不锈钢 阀杆：不锈钢 波纹管：不锈钢 压力等级：PN25级 最大设计温度：300℃ 阀门必须配附有清楚的开关指示。</w:t>
      </w:r>
    </w:p>
    <w:p w14:paraId="746E28B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DN25过滤器要求为Y型过滤器，材质阀体球墨铸铁，滤芯不锈钢，滤芯规格0.8mm网孔, 压力等级：≥PN16级 最大设计温度：300℃ 法兰连接。</w:t>
      </w:r>
    </w:p>
    <w:p w14:paraId="16678389">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DN25止回阀采用对夹式止回阀，在水平安装并且无流量情况下的开启压力必须小于27mbar。材质不锈钢，压力等级：PN40级 最大设计温度：400℃ 法兰连接，中标人在供货时应提供阀门原厂相关测试证明。</w:t>
      </w:r>
    </w:p>
    <w:p w14:paraId="05FC8020">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自动疏水阀要求 </w:t>
      </w:r>
    </w:p>
    <w:p w14:paraId="7820577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规格：DN25 浮球式疏水阀</w:t>
      </w:r>
    </w:p>
    <w:p w14:paraId="2D687DD3">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功能性要求</w:t>
      </w:r>
    </w:p>
    <w:p w14:paraId="33585FC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疏水阀的额定流量不应少于设备正常运作时所产生凝结水量的200%。疏水阀应便于维护，可在不拆下阀体的情况下清洗和更换内部元件；</w:t>
      </w:r>
    </w:p>
    <w:p w14:paraId="13F5D9CE">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自动疏水阀应在压力波动状况下，确保冷凝水和空气的排放；疏水阀应不受上游和背压影响，可完全抵受水锤；</w:t>
      </w:r>
    </w:p>
    <w:p w14:paraId="5E61363F">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该型疏水阀应为杠杆浮球机械式连续排放设计，内置自动排汽阀。</w:t>
      </w:r>
    </w:p>
    <w:p w14:paraId="5DB24EF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疏水阀组需设有在线检测装置和观视镜，避免泄漏，及时维护，保证能源利用最优。疏水阀的无线监测采用非破管式安装，采用快捷接头，安装以及检修维护无需停产停汽。疏水阀出现泄漏或故障时，系统自动记录故障时间、故障点位、持续时长等信息，同时可以自动生成维保报告。</w:t>
      </w:r>
    </w:p>
    <w:p w14:paraId="6ED4187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最大设计温度：250℃ 压力等级：PN16级</w:t>
      </w:r>
    </w:p>
    <w:p w14:paraId="110C174B">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连接方式：法兰连接</w:t>
      </w:r>
    </w:p>
    <w:p w14:paraId="12B8DBC1">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中标人在供货时应提供阀门原厂相关测试证明</w:t>
      </w:r>
    </w:p>
    <w:p w14:paraId="377BFECC">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7 气动减压阀站*2   </w:t>
      </w:r>
    </w:p>
    <w:p w14:paraId="4BDE110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按照图纸及选型要求供应及安装蒸汽减压阀组，蒸汽减压阀组应包括减压阀、安全阀、蒸汽过滤器、压力表及其它所需的截止阀等；</w:t>
      </w:r>
    </w:p>
    <w:p w14:paraId="362266DC">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蒸汽减压阀组应设有应急旁通手阀，旁通管道及手阀口径与减压阀同口径，截止阀需具备流量调节功能，带锁止；蒸汽减压阀前Y型过滤器需为100目不锈钢滤网，过滤器侧装，避免积水；</w:t>
      </w:r>
    </w:p>
    <w:p w14:paraId="353A46C9">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减压阀须为气动等百分比调节阀，气动膜片式，气开型，执行器失效时保持常闭安全位置，气动执行器采用多弹簧全滚动式膜片设计，提供了更好的膜片支撑和稳定的有效面积，减小了迟滞性；阀门定位器应为智能定位器，具备一键自动调试功能，本体自带液晶屏，实时显示阀门开度；阀体顶部和底部阀杆导向，保证精确对中和更长的阀杆密封使用寿命自带防刮环和防尘环，确保阀杆密封不会被流体或大气中的的小颗粒杂质损坏“O”型环为低压、低温介质提供良好的密封，加粗的阀杆设计，提高阀杆强度。</w:t>
      </w:r>
    </w:p>
    <w:p w14:paraId="1C972188">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压力表应包括U型或环型管及不锈钢切断阀，压力表的读数单位应为MPa，压力表应分别设置在蒸汽减压阀组的高、低压力管段上，压力表的最大读数应为额定工作压力的1.5~2倍；</w:t>
      </w:r>
    </w:p>
    <w:p w14:paraId="2CDC0415">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安全阀应为全启式安全阀，设有排水管，排水管应以安全方式接往排水地漏；</w:t>
      </w:r>
    </w:p>
    <w:p w14:paraId="173798F6">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 减压站应保证完善的疏水功能，任何情况下都不能存在积水现象，避免阀门因水锤造成损害；</w:t>
      </w:r>
    </w:p>
    <w:p w14:paraId="6CFEE707">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 减压阀需安装在水平管道上，安装位置需考虑调试及检修便利 。</w:t>
      </w:r>
    </w:p>
    <w:p w14:paraId="0AB4801B">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8 检测组件*2  检测装置 现有凝结水箱温度在线检测 </w:t>
      </w:r>
    </w:p>
    <w:p w14:paraId="20982EEB">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检测组件由适配头、传感器、前置放大器、节点四部分组成，其本体可以直接安装在疏水阀或管道的螺栓上，通过传感器测量超声波信号及温度，对不同类型疏水阀采用不同模型及内置算法对其工作状态进行判定（正常，泄漏，积水，未工作），并将所测量的数据和边缘侧处理后的结果，通过无线传输的方式上传至控制柜平台展示。疏水阀检测组件内置可更换锂电池进行供电，无需单独供电，电池寿命根据数据传输频率的不同，拥有2-10年的寿命。 </w:t>
      </w:r>
    </w:p>
    <w:p w14:paraId="447EF5D9">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 </w:t>
      </w:r>
    </w:p>
    <w:p w14:paraId="6195A707">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9 现有板换温度调节，现有电泵回收控制，调试 </w:t>
      </w:r>
    </w:p>
    <w:p w14:paraId="7EE9E98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按图纸新增电动调节阀门和附属管道附件，调节降温中水流量，控制冷凝水箱温度。</w:t>
      </w:r>
    </w:p>
    <w:p w14:paraId="42BA524B">
      <w:pPr>
        <w:pStyle w:val="7"/>
        <w:keepNext w:val="0"/>
        <w:keepLines w:val="0"/>
        <w:widowControl w:val="0"/>
        <w:suppressLineNumbers w:val="0"/>
        <w:spacing w:before="0" w:beforeAutospacing="1" w:after="0" w:afterAutospacing="0"/>
        <w:ind w:left="0" w:leftChars="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新增磁翻板液位计和控制柜，控制目前冷凝水回收电泵运行。</w:t>
      </w:r>
    </w:p>
    <w:p w14:paraId="39DB1254">
      <w:pPr>
        <w:keepNext w:val="0"/>
        <w:keepLines w:val="0"/>
        <w:widowControl w:val="0"/>
        <w:suppressLineNumbers w:val="0"/>
        <w:spacing w:before="0" w:beforeAutospacing="0" w:after="0" w:afterAutospacing="0"/>
        <w:ind w:left="0" w:leftChars="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DN50电动调节阀采用线性阀芯，24V电动,介质4barg中水，材质球墨铸铁/碳钢。</w:t>
      </w:r>
    </w:p>
    <w:p w14:paraId="41B4261C">
      <w:pPr>
        <w:pStyle w:val="34"/>
        <w:keepNext w:val="0"/>
        <w:keepLines w:val="0"/>
        <w:widowControl w:val="0"/>
        <w:suppressLineNumbers w:val="0"/>
        <w:spacing w:before="0" w:beforeAutospacing="0" w:after="0" w:afterAutospacing="0"/>
        <w:ind w:left="0" w:right="0" w:firstLine="640" w:firstLineChars="200"/>
        <w:jc w:val="both"/>
        <w:rPr>
          <w:rFonts w:hint="eastAsia" w:ascii="Times New Roman" w:hAnsi="Times New Roman" w:eastAsia="宋体" w:cs="Times New Roman"/>
          <w:color w:val="auto"/>
          <w:kern w:val="2"/>
          <w:sz w:val="32"/>
          <w:szCs w:val="32"/>
          <w:highlight w:val="none"/>
        </w:rPr>
      </w:pPr>
      <w:r>
        <w:rPr>
          <w:rFonts w:hint="eastAsia" w:ascii="Times New Roman" w:hAnsi="Times New Roman" w:eastAsia="宋体" w:cs="Times New Roman"/>
          <w:color w:val="auto"/>
          <w:kern w:val="2"/>
          <w:sz w:val="32"/>
          <w:szCs w:val="32"/>
          <w:highlight w:val="none"/>
          <w:lang w:val="en-US" w:eastAsia="zh-CN" w:bidi="ar"/>
        </w:rPr>
        <w:t xml:space="preserve"> </w:t>
      </w:r>
    </w:p>
    <w:p w14:paraId="6A221725">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10 管材</w:t>
      </w:r>
    </w:p>
    <w:p w14:paraId="6C352C98">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2"/>
          <w:sz w:val="24"/>
          <w:szCs w:val="24"/>
          <w:highlight w:val="none"/>
          <w:vertAlign w:val="baseline"/>
        </w:rPr>
        <w:t>（1）不锈钢管选用材质O6Cr19Ni10(GB/T14976-2012)，可用304替代。规格包括：φ273×7</w:t>
      </w:r>
      <w:r>
        <w:rPr>
          <w:rFonts w:hint="eastAsia" w:ascii="宋体" w:hAnsi="宋体" w:eastAsia="宋体" w:cs="宋体"/>
          <w:color w:val="auto"/>
          <w:kern w:val="0"/>
          <w:sz w:val="24"/>
          <w:szCs w:val="24"/>
          <w:highlight w:val="none"/>
          <w:vertAlign w:val="baseline"/>
        </w:rPr>
        <w:t>（DN250）</w:t>
      </w:r>
      <w:r>
        <w:rPr>
          <w:rFonts w:hint="eastAsia" w:ascii="宋体" w:hAnsi="宋体" w:eastAsia="宋体" w:cs="宋体"/>
          <w:color w:val="auto"/>
          <w:kern w:val="2"/>
          <w:sz w:val="24"/>
          <w:szCs w:val="24"/>
          <w:highlight w:val="none"/>
          <w:vertAlign w:val="baseline"/>
        </w:rPr>
        <w:t>、</w:t>
      </w:r>
      <w:r>
        <w:rPr>
          <w:rFonts w:hint="eastAsia" w:ascii="宋体" w:hAnsi="宋体" w:eastAsia="宋体" w:cs="宋体"/>
          <w:color w:val="auto"/>
          <w:kern w:val="0"/>
          <w:sz w:val="24"/>
          <w:szCs w:val="24"/>
          <w:highlight w:val="none"/>
          <w:vertAlign w:val="baseline"/>
        </w:rPr>
        <w:t>φ219×6（DN200）、φ159×5（DN150）、φ108×4（DN100）、φ89×4（DN80）、φ76×4（DN65）、φ57×3.5（DN50）、φ45×3（DN40）、φ38×3（DN32）、φ32×3（DN25）、φ25×3（DN20）。</w:t>
      </w:r>
    </w:p>
    <w:p w14:paraId="7C1EC81D">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2）碳钢无缝钢管选用材质20(GB/T8163-2018)。规格包括：φ273×7（DN250）、φ219×6（DN200）、φ159×5（DN150）、φ108×4（DN100）、φ89×4（DN80）、φ76×4（DN65）、φ57×3.5（DN50）、φ45×3（DN40）、φ38×3（DN32）、φ32×3（DN25）、φ25×3（DN20）。</w:t>
      </w:r>
    </w:p>
    <w:p w14:paraId="5A131AA7">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（3）PP-R管选用材质PP-R(GB/T 18742.2-2017)。规格包括：S4 dn63x7.1。</w:t>
      </w:r>
    </w:p>
    <w:p w14:paraId="07AF8A44">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 xml:space="preserve">（4）PE给水管选用材质PE100(GB/T 13663.2-2018)。规格包括：SDR11 dn160、SDR11 dn63，PE管用手动闸阀采用DN150 PN16铸铁闸门。PE球阀采用SDR11 dn63 PE100球阀。 </w:t>
      </w:r>
    </w:p>
    <w:p w14:paraId="1EC2222B">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（5）钢管弯头、等径三通、异径三通、大小头管件采用钢制对焊管件，其类型和参数符合GB/T12459-2017中的规定。</w:t>
      </w:r>
    </w:p>
    <w:p w14:paraId="30918EEF">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3C7A504F">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11 电缆</w:t>
      </w:r>
    </w:p>
    <w:p w14:paraId="4E60DB01">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（1）动力电缆：设备现场启动控制线缆采用阻燃型铜芯交联聚乙烯绝缘聚氯乙烯护套控制电缆（ZR-KYJV-0.6/1kV）。额定电压等级均为0.6/1.0千伏。</w:t>
      </w:r>
    </w:p>
    <w:p w14:paraId="74A65FF5">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2）控制电缆：控制器、流量计控制等选用阻燃型铜芯聚乙烯绝缘屏蔽聚氯乙烯护套控制电缆（ZR-DJYPVP-0.45/0.75kV）；温度、液位信号等选用阻燃型铜芯聚氯绝缘聚氯护套控制电缆（ZR-KVVP-0.45/0.75kV）；控制阀、切断阀选用阻燃型铜芯聚氯乙烯绝缘聚氯乙烯护套圆形连接软电缆,（ZR-RVVP-0.45/0.75kV）。额定电压等级均为0.45/0.75千伏。</w:t>
      </w:r>
    </w:p>
    <w:p w14:paraId="7C13297B">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（3）各种线缆应有出厂合格证、安装技术文件，技术文件应包括额定电压、额定容量、试验报告等技术数据。型号、规格、电压等级、应符合设计要求。</w:t>
      </w:r>
    </w:p>
    <w:p w14:paraId="506B680B">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7D66ABDE">
      <w:pPr>
        <w:pStyle w:val="5"/>
        <w:keepNext w:val="0"/>
        <w:keepLines w:val="0"/>
        <w:widowControl w:val="0"/>
        <w:suppressLineNumbers w:val="0"/>
        <w:ind w:left="0" w:lef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12 电缆保护管</w:t>
      </w:r>
    </w:p>
    <w:p w14:paraId="0440C4D9">
      <w:pPr>
        <w:pStyle w:val="5"/>
        <w:keepNext w:val="0"/>
        <w:keepLines w:val="0"/>
        <w:widowControl w:val="0"/>
        <w:suppressLineNumbers w:val="0"/>
        <w:ind w:left="63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镀锌焊接钢管：SC32、SC20</w:t>
      </w:r>
    </w:p>
    <w:p w14:paraId="5CE66997">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（1）各种规格的型钢应无明显锈蚀，卡件、各种螺栓、垫圈应符合设计要求,应是热镀锌制品。</w:t>
      </w:r>
    </w:p>
    <w:p w14:paraId="4840050C">
      <w:pPr>
        <w:pStyle w:val="5"/>
        <w:keepNext w:val="0"/>
        <w:keepLines w:val="0"/>
        <w:widowControl w:val="0"/>
        <w:suppressLineNumbers w:val="0"/>
        <w:ind w:left="0" w:lef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（2)其它材料:防腐油漆、面漆、电焊条等应有出厂合格证。</w:t>
      </w:r>
    </w:p>
    <w:p w14:paraId="18E0B7BB">
      <w:pPr>
        <w:pStyle w:val="7"/>
        <w:widowControl/>
        <w:spacing w:before="0" w:beforeAutospacing="1"/>
        <w:ind w:left="0" w:right="0"/>
        <w:rPr>
          <w:rFonts w:hint="eastAsia" w:ascii="Times New Roman" w:hAnsi="Times New Roman" w:eastAsia="微软雅黑" w:cs="Tahoma"/>
          <w:color w:val="auto"/>
          <w:kern w:val="0"/>
          <w:sz w:val="22"/>
          <w:szCs w:val="22"/>
          <w:highlight w:val="none"/>
        </w:rPr>
      </w:pPr>
      <w:r>
        <w:rPr>
          <w:rFonts w:hint="eastAsia" w:ascii="Times New Roman" w:hAnsi="Times New Roman" w:eastAsia="微软雅黑" w:cs="Tahoma"/>
          <w:color w:val="auto"/>
          <w:kern w:val="0"/>
          <w:sz w:val="22"/>
          <w:szCs w:val="22"/>
          <w:highlight w:val="none"/>
        </w:rPr>
        <w:t xml:space="preserve"> </w:t>
      </w:r>
    </w:p>
    <w:p w14:paraId="7A8A6D11">
      <w:pPr>
        <w:pStyle w:val="7"/>
        <w:keepNext w:val="0"/>
        <w:keepLines w:val="0"/>
        <w:widowControl w:val="0"/>
        <w:suppressLineNumbers w:val="0"/>
        <w:spacing w:before="0" w:beforeAutospacing="1" w:after="0" w:afterAutospacing="0"/>
        <w:ind w:left="0" w:leftChars="0" w:right="0"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13 现场控制按钮盒</w:t>
      </w:r>
    </w:p>
    <w:p w14:paraId="3CD2E2B8">
      <w:pPr>
        <w:pStyle w:val="5"/>
        <w:keepNext w:val="0"/>
        <w:keepLines w:val="0"/>
        <w:widowControl w:val="0"/>
        <w:suppressLineNumbers w:val="0"/>
        <w:autoSpaceDE w:val="0"/>
        <w:autoSpaceDN w:val="0"/>
        <w:ind w:left="0" w:leftChars="0" w:firstLine="482" w:firstLineChars="20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材质：外壳采用优质铝合金压铸成型，‌表面通过高压静电喷塑处理。</w:t>
      </w:r>
    </w:p>
    <w:p w14:paraId="27B0BEC1">
      <w:pPr>
        <w:pStyle w:val="5"/>
        <w:keepNext w:val="0"/>
        <w:keepLines w:val="0"/>
        <w:widowControl w:val="0"/>
        <w:suppressLineNumbers w:val="0"/>
        <w:autoSpaceDE w:val="0"/>
        <w:autoSpaceDN w:val="0"/>
        <w:ind w:left="630" w:leftChars="0" w:firstLine="0" w:firstLineChars="0"/>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color w:val="auto"/>
          <w:kern w:val="0"/>
          <w:sz w:val="24"/>
          <w:szCs w:val="24"/>
          <w:highlight w:val="none"/>
          <w:vertAlign w:val="baseline"/>
        </w:rPr>
        <w:t>（1）防护等级：控制盒应具备足够的防护等级，应不低于IP55。</w:t>
      </w:r>
    </w:p>
    <w:p w14:paraId="5E58B974">
      <w:pPr>
        <w:pStyle w:val="34"/>
        <w:keepNext w:val="0"/>
        <w:keepLines w:val="0"/>
        <w:widowControl w:val="0"/>
        <w:suppressLineNumbers w:val="0"/>
        <w:spacing w:before="0" w:beforeAutospacing="1" w:after="120" w:afterAutospacing="0" w:line="480" w:lineRule="auto"/>
        <w:ind w:left="0" w:right="0"/>
        <w:jc w:val="both"/>
        <w:rPr>
          <w:rFonts w:hint="default" w:ascii="仿宋_GB2312" w:eastAsia="仿宋_GB2312" w:cs="仿宋_GB2312"/>
          <w:color w:val="auto"/>
          <w:kern w:val="2"/>
          <w:sz w:val="28"/>
          <w:szCs w:val="28"/>
          <w:highlight w:val="none"/>
          <w:u w:val="single"/>
        </w:rPr>
      </w:pPr>
      <w:r>
        <w:rPr>
          <w:rFonts w:hint="eastAsia" w:ascii="宋体" w:hAnsi="宋体" w:eastAsia="宋体" w:cs="宋体"/>
          <w:color w:val="auto"/>
          <w:kern w:val="2"/>
          <w:sz w:val="24"/>
          <w:szCs w:val="24"/>
          <w:highlight w:val="none"/>
          <w:lang w:val="en-US" w:eastAsia="zh-CN" w:bidi="ar"/>
        </w:rPr>
        <w:t>（2）配置：电压等级380V，额定电流8A，带转换开关，带启停指示灯。</w:t>
      </w:r>
    </w:p>
    <w:p w14:paraId="0D8EE879">
      <w:pPr>
        <w:widowControl w:val="0"/>
        <w:numPr>
          <w:ilvl w:val="0"/>
          <w:numId w:val="0"/>
        </w:numPr>
        <w:autoSpaceDE w:val="0"/>
        <w:autoSpaceDN w:val="0"/>
        <w:spacing w:after="0" w:line="240" w:lineRule="auto"/>
        <w:ind w:left="630"/>
        <w:jc w:val="both"/>
        <w:textAlignment w:val="baseline"/>
        <w:outlineLvl w:val="2"/>
        <w:rPr>
          <w:rFonts w:hint="eastAsia" w:ascii="宋体" w:hAnsi="宋体" w:eastAsia="宋体" w:cs="宋体"/>
          <w:color w:val="auto"/>
          <w:kern w:val="0"/>
          <w:sz w:val="24"/>
          <w:szCs w:val="24"/>
          <w:highlight w:val="none"/>
          <w:u w:val="none"/>
          <w:lang w:val="en-US" w:eastAsia="zh-CN" w:bidi="ar-SA"/>
        </w:rPr>
      </w:pPr>
    </w:p>
    <w:p w14:paraId="50EE1E72">
      <w:pPr>
        <w:rPr>
          <w:rFonts w:hint="eastAsia" w:ascii="宋体" w:hAnsi="宋体" w:eastAsia="宋体" w:cs="宋体"/>
          <w:color w:val="auto"/>
          <w:sz w:val="27"/>
          <w:szCs w:val="27"/>
          <w:highlight w:val="none"/>
          <w:u w:val="single"/>
        </w:rPr>
      </w:pPr>
      <w:r>
        <w:rPr>
          <w:rFonts w:hint="eastAsia" w:ascii="宋体" w:hAnsi="宋体" w:eastAsia="宋体" w:cs="宋体"/>
          <w:color w:val="auto"/>
          <w:sz w:val="27"/>
          <w:szCs w:val="27"/>
          <w:highlight w:val="none"/>
          <w:u w:val="single"/>
        </w:rPr>
        <w:br w:type="page"/>
      </w:r>
    </w:p>
    <w:p w14:paraId="03B10F85">
      <w:pPr>
        <w:pStyle w:val="4"/>
        <w:rPr>
          <w:rFonts w:hint="default" w:ascii="宋体" w:hAnsi="宋体" w:eastAsia="宋体" w:cs="宋体"/>
          <w:color w:val="auto"/>
          <w:highlight w:val="none"/>
          <w:lang w:val="en-US" w:eastAsia="zh-CN"/>
        </w:rPr>
      </w:pPr>
      <w:bookmarkStart w:id="236" w:name="_Toc2691"/>
      <w:r>
        <w:rPr>
          <w:rFonts w:hint="default"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default" w:ascii="宋体" w:hAnsi="宋体" w:eastAsia="宋体" w:cs="宋体"/>
          <w:color w:val="auto"/>
          <w:highlight w:val="none"/>
        </w:rPr>
        <w:t xml:space="preserve">章 </w:t>
      </w:r>
      <w:r>
        <w:rPr>
          <w:rFonts w:hint="eastAsia" w:ascii="宋体" w:hAnsi="宋体" w:eastAsia="宋体" w:cs="宋体"/>
          <w:color w:val="auto"/>
          <w:highlight w:val="none"/>
          <w:lang w:val="en-US" w:eastAsia="zh-CN"/>
        </w:rPr>
        <w:t>投标文件格式</w:t>
      </w:r>
      <w:bookmarkEnd w:id="236"/>
    </w:p>
    <w:p w14:paraId="1E596F0D">
      <w:pPr>
        <w:spacing w:line="400" w:lineRule="exact"/>
        <w:jc w:val="center"/>
        <w:rPr>
          <w:rFonts w:hint="eastAsia" w:ascii="宋体" w:hAnsi="宋体" w:eastAsia="宋体" w:cs="宋体"/>
          <w:color w:val="auto"/>
          <w:sz w:val="27"/>
          <w:szCs w:val="27"/>
          <w:highlight w:val="none"/>
          <w:u w:val="single"/>
        </w:rPr>
      </w:pPr>
    </w:p>
    <w:p w14:paraId="5D4FC400">
      <w:pPr>
        <w:pStyle w:val="2"/>
        <w:rPr>
          <w:rFonts w:hint="eastAsia" w:ascii="宋体" w:hAnsi="宋体" w:eastAsia="宋体" w:cs="宋体"/>
          <w:color w:val="auto"/>
          <w:sz w:val="27"/>
          <w:szCs w:val="27"/>
          <w:highlight w:val="none"/>
          <w:u w:val="single"/>
        </w:rPr>
      </w:pPr>
    </w:p>
    <w:p w14:paraId="0825B3C9">
      <w:pPr>
        <w:pStyle w:val="2"/>
        <w:rPr>
          <w:rFonts w:hint="eastAsia" w:ascii="宋体" w:hAnsi="宋体" w:eastAsia="宋体" w:cs="宋体"/>
          <w:color w:val="auto"/>
          <w:sz w:val="27"/>
          <w:szCs w:val="27"/>
          <w:highlight w:val="none"/>
          <w:u w:val="single"/>
        </w:rPr>
      </w:pPr>
    </w:p>
    <w:p w14:paraId="7FFCC066">
      <w:pPr>
        <w:pStyle w:val="2"/>
        <w:rPr>
          <w:rFonts w:hint="eastAsia" w:ascii="宋体" w:hAnsi="宋体" w:eastAsia="宋体" w:cs="宋体"/>
          <w:color w:val="auto"/>
          <w:sz w:val="27"/>
          <w:szCs w:val="27"/>
          <w:highlight w:val="none"/>
          <w:u w:val="single"/>
        </w:rPr>
      </w:pPr>
    </w:p>
    <w:p w14:paraId="65CA404E">
      <w:pPr>
        <w:pStyle w:val="2"/>
        <w:rPr>
          <w:rFonts w:hint="eastAsia" w:ascii="宋体" w:hAnsi="宋体" w:eastAsia="宋体" w:cs="宋体"/>
          <w:color w:val="auto"/>
          <w:sz w:val="27"/>
          <w:szCs w:val="27"/>
          <w:highlight w:val="none"/>
          <w:u w:val="single"/>
        </w:rPr>
      </w:pPr>
    </w:p>
    <w:p w14:paraId="7C322E3E">
      <w:pPr>
        <w:pStyle w:val="2"/>
        <w:rPr>
          <w:rFonts w:hint="eastAsia" w:ascii="宋体" w:hAnsi="宋体" w:eastAsia="宋体" w:cs="宋体"/>
          <w:color w:val="auto"/>
          <w:sz w:val="27"/>
          <w:szCs w:val="27"/>
          <w:highlight w:val="none"/>
          <w:u w:val="single"/>
        </w:rPr>
      </w:pPr>
    </w:p>
    <w:p w14:paraId="23258C76">
      <w:pPr>
        <w:pStyle w:val="2"/>
        <w:rPr>
          <w:rFonts w:hint="eastAsia" w:ascii="宋体" w:hAnsi="宋体" w:eastAsia="宋体" w:cs="宋体"/>
          <w:color w:val="auto"/>
          <w:sz w:val="27"/>
          <w:szCs w:val="27"/>
          <w:highlight w:val="none"/>
          <w:u w:val="single"/>
        </w:rPr>
      </w:pPr>
    </w:p>
    <w:p w14:paraId="10F9F826">
      <w:pPr>
        <w:pStyle w:val="2"/>
        <w:rPr>
          <w:rFonts w:hint="eastAsia" w:ascii="宋体" w:hAnsi="宋体" w:eastAsia="宋体" w:cs="宋体"/>
          <w:color w:val="auto"/>
          <w:sz w:val="27"/>
          <w:szCs w:val="27"/>
          <w:highlight w:val="none"/>
          <w:u w:val="single"/>
        </w:rPr>
      </w:pPr>
    </w:p>
    <w:p w14:paraId="46D98731">
      <w:pPr>
        <w:pStyle w:val="2"/>
        <w:rPr>
          <w:rFonts w:hint="eastAsia" w:ascii="宋体" w:hAnsi="宋体" w:eastAsia="宋体" w:cs="宋体"/>
          <w:color w:val="auto"/>
          <w:sz w:val="27"/>
          <w:szCs w:val="27"/>
          <w:highlight w:val="none"/>
          <w:u w:val="single"/>
        </w:rPr>
      </w:pPr>
    </w:p>
    <w:p w14:paraId="468D0D0C">
      <w:pPr>
        <w:spacing w:line="400" w:lineRule="exact"/>
        <w:jc w:val="center"/>
        <w:rPr>
          <w:rFonts w:hint="eastAsia" w:ascii="宋体" w:hAnsi="宋体" w:eastAsia="宋体" w:cs="宋体"/>
          <w:color w:val="auto"/>
          <w:sz w:val="27"/>
          <w:szCs w:val="27"/>
          <w:highlight w:val="none"/>
          <w:u w:val="single"/>
        </w:rPr>
      </w:pPr>
      <w:r>
        <w:rPr>
          <w:rFonts w:hint="eastAsia" w:ascii="宋体" w:hAnsi="宋体" w:eastAsia="宋体" w:cs="宋体"/>
          <w:color w:val="auto"/>
          <w:sz w:val="27"/>
          <w:szCs w:val="27"/>
          <w:highlight w:val="none"/>
          <w:u w:val="single"/>
        </w:rPr>
        <w:t xml:space="preserve">                   </w:t>
      </w:r>
      <w:r>
        <w:rPr>
          <w:rFonts w:hint="eastAsia" w:ascii="宋体" w:hAnsi="宋体" w:eastAsia="宋体" w:cs="宋体"/>
          <w:color w:val="auto"/>
          <w:sz w:val="27"/>
          <w:szCs w:val="27"/>
          <w:highlight w:val="none"/>
        </w:rPr>
        <w:t>（项目名称）</w:t>
      </w:r>
    </w:p>
    <w:p w14:paraId="4BFADE34">
      <w:pPr>
        <w:spacing w:line="400" w:lineRule="exact"/>
        <w:rPr>
          <w:rFonts w:hint="eastAsia" w:ascii="宋体" w:hAnsi="宋体" w:eastAsia="宋体" w:cs="宋体"/>
          <w:color w:val="auto"/>
          <w:sz w:val="19"/>
          <w:szCs w:val="19"/>
          <w:highlight w:val="none"/>
        </w:rPr>
      </w:pPr>
    </w:p>
    <w:p w14:paraId="034EB35D">
      <w:pPr>
        <w:spacing w:line="400" w:lineRule="exact"/>
        <w:rPr>
          <w:rFonts w:hint="eastAsia" w:ascii="宋体" w:hAnsi="宋体" w:eastAsia="宋体" w:cs="宋体"/>
          <w:color w:val="auto"/>
          <w:sz w:val="19"/>
          <w:szCs w:val="19"/>
          <w:highlight w:val="none"/>
        </w:rPr>
      </w:pPr>
    </w:p>
    <w:p w14:paraId="43578B32">
      <w:pPr>
        <w:spacing w:line="400" w:lineRule="exact"/>
        <w:jc w:val="center"/>
        <w:rPr>
          <w:rFonts w:hint="eastAsia" w:ascii="宋体" w:hAnsi="宋体" w:eastAsia="宋体" w:cs="宋体"/>
          <w:color w:val="auto"/>
          <w:sz w:val="42"/>
          <w:szCs w:val="42"/>
          <w:highlight w:val="none"/>
        </w:rPr>
      </w:pPr>
      <w:bookmarkStart w:id="237" w:name="_Toc221951911"/>
      <w:r>
        <w:rPr>
          <w:rFonts w:hint="eastAsia" w:ascii="宋体" w:hAnsi="宋体" w:eastAsia="宋体" w:cs="宋体"/>
          <w:color w:val="auto"/>
          <w:sz w:val="42"/>
          <w:szCs w:val="42"/>
          <w:highlight w:val="none"/>
        </w:rPr>
        <w:t>投  标  文  件</w:t>
      </w:r>
      <w:bookmarkEnd w:id="237"/>
    </w:p>
    <w:p w14:paraId="41389AF3">
      <w:pPr>
        <w:spacing w:line="400" w:lineRule="exact"/>
        <w:rPr>
          <w:rFonts w:hint="eastAsia" w:ascii="宋体" w:hAnsi="宋体" w:eastAsia="宋体" w:cs="宋体"/>
          <w:color w:val="auto"/>
          <w:sz w:val="27"/>
          <w:szCs w:val="27"/>
          <w:highlight w:val="none"/>
        </w:rPr>
      </w:pPr>
    </w:p>
    <w:p w14:paraId="192EAE84">
      <w:pPr>
        <w:spacing w:line="400" w:lineRule="exact"/>
        <w:rPr>
          <w:rFonts w:hint="eastAsia" w:ascii="宋体" w:hAnsi="宋体" w:eastAsia="宋体" w:cs="宋体"/>
          <w:color w:val="auto"/>
          <w:sz w:val="27"/>
          <w:szCs w:val="27"/>
          <w:highlight w:val="none"/>
        </w:rPr>
      </w:pPr>
    </w:p>
    <w:p w14:paraId="2120413D">
      <w:pPr>
        <w:spacing w:line="400" w:lineRule="exact"/>
        <w:rPr>
          <w:rFonts w:hint="eastAsia" w:ascii="宋体" w:hAnsi="宋体" w:eastAsia="宋体" w:cs="宋体"/>
          <w:color w:val="auto"/>
          <w:sz w:val="27"/>
          <w:szCs w:val="27"/>
          <w:highlight w:val="none"/>
        </w:rPr>
      </w:pPr>
    </w:p>
    <w:p w14:paraId="3932053F">
      <w:pPr>
        <w:spacing w:line="400" w:lineRule="exact"/>
        <w:rPr>
          <w:rFonts w:hint="eastAsia" w:ascii="宋体" w:hAnsi="宋体" w:eastAsia="宋体" w:cs="宋体"/>
          <w:color w:val="auto"/>
          <w:sz w:val="27"/>
          <w:szCs w:val="27"/>
          <w:highlight w:val="none"/>
        </w:rPr>
      </w:pPr>
    </w:p>
    <w:p w14:paraId="29F47C5B">
      <w:pPr>
        <w:spacing w:line="400" w:lineRule="exact"/>
        <w:rPr>
          <w:rFonts w:hint="eastAsia" w:ascii="宋体" w:hAnsi="宋体" w:eastAsia="宋体" w:cs="宋体"/>
          <w:color w:val="auto"/>
          <w:sz w:val="27"/>
          <w:szCs w:val="27"/>
          <w:highlight w:val="none"/>
        </w:rPr>
      </w:pPr>
    </w:p>
    <w:p w14:paraId="000068F7">
      <w:pPr>
        <w:spacing w:line="400" w:lineRule="exact"/>
        <w:rPr>
          <w:rFonts w:hint="eastAsia" w:ascii="宋体" w:hAnsi="宋体" w:eastAsia="宋体" w:cs="宋体"/>
          <w:color w:val="auto"/>
          <w:sz w:val="27"/>
          <w:szCs w:val="27"/>
          <w:highlight w:val="none"/>
        </w:rPr>
      </w:pPr>
    </w:p>
    <w:p w14:paraId="1E6F0AEC">
      <w:pPr>
        <w:spacing w:line="400" w:lineRule="exact"/>
        <w:rPr>
          <w:rFonts w:hint="eastAsia" w:ascii="宋体" w:hAnsi="宋体" w:eastAsia="宋体" w:cs="宋体"/>
          <w:color w:val="auto"/>
          <w:sz w:val="27"/>
          <w:szCs w:val="27"/>
          <w:highlight w:val="none"/>
        </w:rPr>
      </w:pPr>
    </w:p>
    <w:p w14:paraId="03C95194">
      <w:pPr>
        <w:spacing w:line="400" w:lineRule="exact"/>
        <w:rPr>
          <w:rFonts w:hint="eastAsia" w:ascii="宋体" w:hAnsi="宋体" w:eastAsia="宋体" w:cs="宋体"/>
          <w:color w:val="auto"/>
          <w:sz w:val="27"/>
          <w:szCs w:val="27"/>
          <w:highlight w:val="none"/>
        </w:rPr>
      </w:pPr>
    </w:p>
    <w:p w14:paraId="3382D8C7">
      <w:pPr>
        <w:spacing w:line="400" w:lineRule="exact"/>
        <w:rPr>
          <w:rFonts w:hint="eastAsia" w:ascii="宋体" w:hAnsi="宋体" w:eastAsia="宋体" w:cs="宋体"/>
          <w:color w:val="auto"/>
          <w:sz w:val="27"/>
          <w:szCs w:val="27"/>
          <w:highlight w:val="none"/>
        </w:rPr>
      </w:pPr>
    </w:p>
    <w:p w14:paraId="666B9258">
      <w:pPr>
        <w:spacing w:line="400" w:lineRule="exact"/>
        <w:rPr>
          <w:rFonts w:hint="eastAsia" w:ascii="宋体" w:hAnsi="宋体" w:eastAsia="宋体" w:cs="宋体"/>
          <w:color w:val="auto"/>
          <w:sz w:val="27"/>
          <w:szCs w:val="27"/>
          <w:highlight w:val="none"/>
        </w:rPr>
      </w:pPr>
    </w:p>
    <w:p w14:paraId="3EAB986B">
      <w:pPr>
        <w:spacing w:line="400" w:lineRule="exact"/>
        <w:rPr>
          <w:rFonts w:hint="eastAsia" w:ascii="宋体" w:hAnsi="宋体" w:eastAsia="宋体" w:cs="宋体"/>
          <w:color w:val="auto"/>
          <w:sz w:val="27"/>
          <w:szCs w:val="27"/>
          <w:highlight w:val="none"/>
        </w:rPr>
      </w:pPr>
    </w:p>
    <w:p w14:paraId="1E1D082E">
      <w:pPr>
        <w:spacing w:line="400" w:lineRule="exact"/>
        <w:jc w:val="center"/>
        <w:rPr>
          <w:rFonts w:hint="eastAsia" w:ascii="宋体" w:hAnsi="宋体" w:eastAsia="宋体" w:cs="宋体"/>
          <w:color w:val="auto"/>
          <w:sz w:val="27"/>
          <w:szCs w:val="27"/>
          <w:highlight w:val="none"/>
        </w:rPr>
      </w:pPr>
      <w:bookmarkStart w:id="238" w:name="_Toc221951912"/>
      <w:r>
        <w:rPr>
          <w:rFonts w:hint="eastAsia" w:ascii="宋体" w:hAnsi="宋体" w:eastAsia="宋体" w:cs="宋体"/>
          <w:color w:val="auto"/>
          <w:sz w:val="27"/>
          <w:szCs w:val="27"/>
          <w:highlight w:val="none"/>
        </w:rPr>
        <w:t>投标人：</w:t>
      </w:r>
      <w:r>
        <w:rPr>
          <w:rFonts w:hint="eastAsia" w:ascii="宋体" w:hAnsi="宋体" w:eastAsia="宋体" w:cs="宋体"/>
          <w:color w:val="auto"/>
          <w:sz w:val="27"/>
          <w:szCs w:val="27"/>
          <w:highlight w:val="none"/>
          <w:u w:val="single"/>
        </w:rPr>
        <w:t xml:space="preserve">                              </w:t>
      </w:r>
      <w:r>
        <w:rPr>
          <w:rFonts w:hint="eastAsia" w:ascii="宋体" w:hAnsi="宋体" w:eastAsia="宋体" w:cs="宋体"/>
          <w:color w:val="auto"/>
          <w:sz w:val="27"/>
          <w:szCs w:val="27"/>
          <w:highlight w:val="none"/>
        </w:rPr>
        <w:t>（盖单位章）</w:t>
      </w:r>
      <w:bookmarkEnd w:id="238"/>
    </w:p>
    <w:p w14:paraId="05A74ABB">
      <w:pPr>
        <w:spacing w:line="400" w:lineRule="exact"/>
        <w:jc w:val="center"/>
        <w:rPr>
          <w:rFonts w:hint="eastAsia" w:ascii="宋体" w:hAnsi="宋体" w:eastAsia="宋体" w:cs="宋体"/>
          <w:color w:val="auto"/>
          <w:sz w:val="27"/>
          <w:szCs w:val="27"/>
          <w:highlight w:val="none"/>
          <w:u w:val="single"/>
        </w:rPr>
      </w:pPr>
    </w:p>
    <w:p w14:paraId="1EBC7334">
      <w:pPr>
        <w:spacing w:line="400" w:lineRule="exact"/>
        <w:jc w:val="center"/>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u w:val="single"/>
        </w:rPr>
        <w:t xml:space="preserve">        </w:t>
      </w:r>
      <w:bookmarkStart w:id="239" w:name="_Toc221951914"/>
      <w:r>
        <w:rPr>
          <w:rFonts w:hint="eastAsia" w:ascii="宋体" w:hAnsi="宋体" w:eastAsia="宋体" w:cs="宋体"/>
          <w:color w:val="auto"/>
          <w:sz w:val="27"/>
          <w:szCs w:val="27"/>
          <w:highlight w:val="none"/>
        </w:rPr>
        <w:t>年</w:t>
      </w:r>
      <w:r>
        <w:rPr>
          <w:rFonts w:hint="eastAsia" w:ascii="宋体" w:hAnsi="宋体" w:eastAsia="宋体" w:cs="宋体"/>
          <w:color w:val="auto"/>
          <w:sz w:val="27"/>
          <w:szCs w:val="27"/>
          <w:highlight w:val="none"/>
          <w:u w:val="single"/>
        </w:rPr>
        <w:t xml:space="preserve">        </w:t>
      </w:r>
      <w:r>
        <w:rPr>
          <w:rFonts w:hint="eastAsia" w:ascii="宋体" w:hAnsi="宋体" w:eastAsia="宋体" w:cs="宋体"/>
          <w:color w:val="auto"/>
          <w:sz w:val="27"/>
          <w:szCs w:val="27"/>
          <w:highlight w:val="none"/>
        </w:rPr>
        <w:t>月</w:t>
      </w:r>
      <w:r>
        <w:rPr>
          <w:rFonts w:hint="eastAsia" w:ascii="宋体" w:hAnsi="宋体" w:eastAsia="宋体" w:cs="宋体"/>
          <w:color w:val="auto"/>
          <w:sz w:val="27"/>
          <w:szCs w:val="27"/>
          <w:highlight w:val="none"/>
          <w:u w:val="single"/>
        </w:rPr>
        <w:t xml:space="preserve">         </w:t>
      </w:r>
      <w:r>
        <w:rPr>
          <w:rFonts w:hint="eastAsia" w:ascii="宋体" w:hAnsi="宋体" w:eastAsia="宋体" w:cs="宋体"/>
          <w:color w:val="auto"/>
          <w:sz w:val="27"/>
          <w:szCs w:val="27"/>
          <w:highlight w:val="none"/>
        </w:rPr>
        <w:t>日</w:t>
      </w:r>
      <w:bookmarkEnd w:id="239"/>
    </w:p>
    <w:p w14:paraId="0018A1D7">
      <w:pPr>
        <w:spacing w:line="400" w:lineRule="exac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br w:type="page"/>
      </w:r>
    </w:p>
    <w:p w14:paraId="07BF226A">
      <w:pPr>
        <w:spacing w:line="360" w:lineRule="auto"/>
        <w:jc w:val="center"/>
        <w:outlineLvl w:val="2"/>
        <w:rPr>
          <w:rFonts w:hint="eastAsia" w:ascii="宋体" w:hAnsi="宋体" w:eastAsia="宋体" w:cs="宋体"/>
          <w:color w:val="auto"/>
          <w:sz w:val="28"/>
          <w:szCs w:val="27"/>
          <w:highlight w:val="none"/>
        </w:rPr>
      </w:pPr>
      <w:bookmarkStart w:id="240" w:name="_Toc259524413"/>
      <w:bookmarkStart w:id="241" w:name="_Toc229305419"/>
      <w:bookmarkStart w:id="242" w:name="_Toc17556904"/>
      <w:bookmarkStart w:id="243" w:name="_Toc17556959"/>
      <w:bookmarkStart w:id="244" w:name="_Toc17452692"/>
      <w:bookmarkStart w:id="245" w:name="_Toc17454950"/>
      <w:bookmarkStart w:id="246" w:name="_Toc17451606"/>
      <w:bookmarkStart w:id="247" w:name="_Toc17451651"/>
      <w:bookmarkStart w:id="248" w:name="_Toc20258"/>
      <w:bookmarkStart w:id="249" w:name="_Toc78985265"/>
      <w:bookmarkStart w:id="250" w:name="_Toc17451129"/>
      <w:bookmarkStart w:id="251" w:name="_Toc17454899"/>
      <w:bookmarkStart w:id="252" w:name="_Toc53669178"/>
      <w:r>
        <w:rPr>
          <w:rFonts w:hint="eastAsia" w:ascii="宋体" w:hAnsi="宋体" w:eastAsia="宋体" w:cs="宋体"/>
          <w:color w:val="auto"/>
          <w:sz w:val="28"/>
          <w:szCs w:val="27"/>
          <w:highlight w:val="none"/>
        </w:rPr>
        <w:t>目    录</w:t>
      </w:r>
      <w:bookmarkEnd w:id="240"/>
      <w:bookmarkEnd w:id="241"/>
      <w:r>
        <w:rPr>
          <w:rFonts w:hint="eastAsia" w:ascii="宋体" w:hAnsi="宋体" w:eastAsia="宋体" w:cs="宋体"/>
          <w:color w:val="auto"/>
          <w:szCs w:val="21"/>
          <w:highlight w:val="none"/>
        </w:rPr>
        <w:t>（可加上二级目录）</w:t>
      </w:r>
      <w:bookmarkEnd w:id="242"/>
      <w:bookmarkEnd w:id="243"/>
      <w:bookmarkEnd w:id="244"/>
      <w:bookmarkEnd w:id="245"/>
      <w:bookmarkEnd w:id="246"/>
      <w:bookmarkEnd w:id="247"/>
      <w:bookmarkEnd w:id="248"/>
      <w:bookmarkEnd w:id="249"/>
      <w:bookmarkEnd w:id="250"/>
      <w:bookmarkEnd w:id="251"/>
      <w:bookmarkEnd w:id="252"/>
    </w:p>
    <w:p w14:paraId="41F112A4">
      <w:pPr>
        <w:spacing w:line="400" w:lineRule="exact"/>
        <w:rPr>
          <w:rFonts w:hint="eastAsia" w:ascii="宋体" w:hAnsi="宋体" w:eastAsia="宋体" w:cs="宋体"/>
          <w:color w:val="auto"/>
          <w:sz w:val="20"/>
          <w:szCs w:val="20"/>
          <w:highlight w:val="none"/>
        </w:rPr>
      </w:pPr>
    </w:p>
    <w:p w14:paraId="31CF4E93">
      <w:pPr>
        <w:spacing w:line="276" w:lineRule="auto"/>
        <w:rPr>
          <w:rFonts w:hint="eastAsia" w:ascii="宋体" w:hAnsi="宋体" w:eastAsia="宋体" w:cs="宋体"/>
          <w:color w:val="auto"/>
          <w:sz w:val="27"/>
          <w:szCs w:val="27"/>
          <w:highlight w:val="none"/>
        </w:rPr>
      </w:pPr>
      <w:bookmarkStart w:id="253" w:name="_Toc221951916"/>
      <w:r>
        <w:rPr>
          <w:rFonts w:hint="eastAsia" w:ascii="宋体" w:hAnsi="宋体" w:eastAsia="宋体" w:cs="宋体"/>
          <w:color w:val="auto"/>
          <w:sz w:val="27"/>
          <w:szCs w:val="27"/>
          <w:highlight w:val="none"/>
        </w:rPr>
        <w:t>一、投标函及投标函附录</w:t>
      </w:r>
      <w:bookmarkEnd w:id="253"/>
    </w:p>
    <w:p w14:paraId="60B347E6">
      <w:pPr>
        <w:spacing w:line="276" w:lineRule="auto"/>
        <w:rPr>
          <w:rFonts w:hint="eastAsia" w:ascii="宋体" w:hAnsi="宋体" w:eastAsia="宋体" w:cs="宋体"/>
          <w:color w:val="auto"/>
          <w:sz w:val="27"/>
          <w:szCs w:val="27"/>
          <w:highlight w:val="none"/>
        </w:rPr>
      </w:pPr>
      <w:bookmarkStart w:id="254" w:name="_Toc221951917"/>
      <w:r>
        <w:rPr>
          <w:rFonts w:hint="eastAsia" w:ascii="宋体" w:hAnsi="宋体" w:eastAsia="宋体" w:cs="宋体"/>
          <w:color w:val="auto"/>
          <w:sz w:val="27"/>
          <w:szCs w:val="27"/>
          <w:highlight w:val="none"/>
        </w:rPr>
        <w:t>二、法定代表人身份证明</w:t>
      </w:r>
    </w:p>
    <w:p w14:paraId="6F7510B4">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三、授权委托书</w:t>
      </w:r>
      <w:bookmarkEnd w:id="254"/>
    </w:p>
    <w:p w14:paraId="313DC926">
      <w:pPr>
        <w:spacing w:line="276" w:lineRule="auto"/>
        <w:rPr>
          <w:rFonts w:hint="eastAsia" w:ascii="宋体" w:hAnsi="宋体" w:eastAsia="宋体" w:cs="宋体"/>
          <w:strike/>
          <w:color w:val="auto"/>
          <w:sz w:val="27"/>
          <w:szCs w:val="27"/>
          <w:highlight w:val="none"/>
        </w:rPr>
      </w:pPr>
      <w:r>
        <w:rPr>
          <w:rFonts w:hint="eastAsia" w:ascii="宋体" w:hAnsi="宋体" w:eastAsia="宋体" w:cs="宋体"/>
          <w:strike/>
          <w:color w:val="auto"/>
          <w:sz w:val="27"/>
          <w:szCs w:val="27"/>
          <w:highlight w:val="none"/>
        </w:rPr>
        <w:t>四、联合体协议书（若有）</w:t>
      </w:r>
    </w:p>
    <w:p w14:paraId="1AB19558">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 xml:space="preserve">五、投标保证金 </w:t>
      </w:r>
    </w:p>
    <w:p w14:paraId="785705D0">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六、已标价工程量清单</w:t>
      </w:r>
    </w:p>
    <w:p w14:paraId="0390E81D">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七、施工组织设计（或施工组织设计要点）</w:t>
      </w:r>
    </w:p>
    <w:p w14:paraId="391B10D8">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八、技术部分资料</w:t>
      </w:r>
    </w:p>
    <w:p w14:paraId="56A5BB80">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九、商务部分资料</w:t>
      </w:r>
    </w:p>
    <w:p w14:paraId="4FCFE7C2">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十、项目管理机构</w:t>
      </w:r>
    </w:p>
    <w:p w14:paraId="407A8C1D">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十一、资格审查资料</w:t>
      </w:r>
    </w:p>
    <w:p w14:paraId="44413A03">
      <w:pPr>
        <w:spacing w:line="276" w:lineRule="auto"/>
        <w:rPr>
          <w:rFonts w:hint="eastAsia" w:ascii="宋体" w:hAnsi="宋体" w:eastAsia="宋体" w:cs="宋体"/>
          <w:color w:val="auto"/>
          <w:sz w:val="19"/>
          <w:szCs w:val="19"/>
          <w:highlight w:val="none"/>
        </w:rPr>
      </w:pPr>
      <w:r>
        <w:rPr>
          <w:rFonts w:hint="eastAsia" w:ascii="宋体" w:hAnsi="宋体" w:eastAsia="宋体" w:cs="宋体"/>
          <w:color w:val="auto"/>
          <w:sz w:val="27"/>
          <w:szCs w:val="27"/>
          <w:highlight w:val="none"/>
        </w:rPr>
        <w:t>十二、投标人须知前附表规定的其他材料</w:t>
      </w:r>
      <w:r>
        <w:rPr>
          <w:rFonts w:hint="eastAsia" w:ascii="宋体" w:hAnsi="宋体" w:eastAsia="宋体" w:cs="宋体"/>
          <w:color w:val="auto"/>
          <w:sz w:val="20"/>
          <w:szCs w:val="20"/>
          <w:highlight w:val="none"/>
        </w:rPr>
        <w:br w:type="page"/>
      </w:r>
    </w:p>
    <w:p w14:paraId="52215F18">
      <w:pPr>
        <w:spacing w:line="360" w:lineRule="auto"/>
        <w:jc w:val="center"/>
        <w:outlineLvl w:val="2"/>
        <w:rPr>
          <w:rFonts w:hint="eastAsia" w:ascii="宋体" w:hAnsi="宋体" w:eastAsia="宋体" w:cs="宋体"/>
          <w:color w:val="auto"/>
          <w:sz w:val="28"/>
          <w:szCs w:val="27"/>
          <w:highlight w:val="none"/>
        </w:rPr>
      </w:pPr>
      <w:bookmarkStart w:id="255" w:name="_Toc144974857"/>
      <w:bookmarkStart w:id="256" w:name="_Toc168476318"/>
      <w:bookmarkStart w:id="257" w:name="_Toc78985266"/>
      <w:bookmarkStart w:id="258" w:name="_Toc17454951"/>
      <w:bookmarkStart w:id="259" w:name="_Toc17451607"/>
      <w:bookmarkStart w:id="260" w:name="_Toc17556960"/>
      <w:bookmarkStart w:id="261" w:name="_Toc222031062"/>
      <w:bookmarkStart w:id="262" w:name="_Toc8755"/>
      <w:bookmarkStart w:id="263" w:name="_Toc222033911"/>
      <w:bookmarkStart w:id="264" w:name="_Toc222032729"/>
      <w:bookmarkStart w:id="265" w:name="_Toc229305420"/>
      <w:bookmarkStart w:id="266" w:name="_Toc17451652"/>
      <w:bookmarkStart w:id="267" w:name="_Toc259524414"/>
      <w:bookmarkStart w:id="268" w:name="_Toc17556905"/>
      <w:bookmarkStart w:id="269" w:name="_Toc168475915"/>
      <w:bookmarkStart w:id="270" w:name="_Toc222029560"/>
      <w:bookmarkStart w:id="271" w:name="_Toc17451130"/>
      <w:bookmarkStart w:id="272" w:name="_Toc53669179"/>
      <w:bookmarkStart w:id="273" w:name="_Toc17452693"/>
      <w:bookmarkStart w:id="274" w:name="_Toc17454900"/>
      <w:bookmarkStart w:id="275" w:name="_Toc221951926"/>
      <w:r>
        <w:rPr>
          <w:rFonts w:hint="eastAsia" w:ascii="宋体" w:hAnsi="宋体" w:eastAsia="宋体" w:cs="宋体"/>
          <w:color w:val="auto"/>
          <w:sz w:val="28"/>
          <w:szCs w:val="27"/>
          <w:highlight w:val="none"/>
        </w:rPr>
        <w:t>一、投标函及投标函附录</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53A870FE">
      <w:pPr>
        <w:spacing w:line="400" w:lineRule="exact"/>
        <w:outlineLvl w:val="3"/>
        <w:rPr>
          <w:rFonts w:hint="eastAsia" w:ascii="宋体" w:hAnsi="宋体" w:eastAsia="宋体" w:cs="宋体"/>
          <w:b/>
          <w:color w:val="auto"/>
          <w:sz w:val="24"/>
          <w:szCs w:val="31"/>
          <w:highlight w:val="none"/>
        </w:rPr>
      </w:pPr>
      <w:bookmarkStart w:id="276" w:name="_Toc168476319"/>
      <w:bookmarkStart w:id="277" w:name="_Toc221951927"/>
      <w:bookmarkStart w:id="278" w:name="_Toc168475916"/>
      <w:bookmarkStart w:id="279" w:name="_Toc144974858"/>
      <w:r>
        <w:rPr>
          <w:rFonts w:hint="eastAsia" w:ascii="宋体" w:hAnsi="宋体" w:eastAsia="宋体" w:cs="宋体"/>
          <w:b/>
          <w:color w:val="auto"/>
          <w:sz w:val="24"/>
          <w:szCs w:val="31"/>
          <w:highlight w:val="none"/>
        </w:rPr>
        <w:t>（一）投标函</w:t>
      </w:r>
      <w:bookmarkEnd w:id="276"/>
      <w:bookmarkEnd w:id="277"/>
      <w:bookmarkEnd w:id="278"/>
      <w:bookmarkEnd w:id="279"/>
    </w:p>
    <w:p w14:paraId="679350CE">
      <w:pPr>
        <w:spacing w:line="400" w:lineRule="exact"/>
        <w:rPr>
          <w:rFonts w:hint="eastAsia" w:ascii="宋体" w:hAnsi="宋体" w:eastAsia="宋体" w:cs="宋体"/>
          <w:color w:val="auto"/>
          <w:sz w:val="19"/>
          <w:szCs w:val="19"/>
          <w:highlight w:val="none"/>
        </w:rPr>
      </w:pPr>
    </w:p>
    <w:p w14:paraId="48B4A084">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bookmarkStart w:id="280" w:name="_Toc221951928"/>
      <w:r>
        <w:rPr>
          <w:rFonts w:hint="eastAsia" w:ascii="宋体" w:hAnsi="宋体" w:eastAsia="宋体" w:cs="宋体"/>
          <w:color w:val="auto"/>
          <w:szCs w:val="21"/>
          <w:highlight w:val="none"/>
        </w:rPr>
        <w:t>（招标人名称）：</w:t>
      </w:r>
      <w:bookmarkEnd w:id="280"/>
    </w:p>
    <w:p w14:paraId="1210A0AD">
      <w:pPr>
        <w:spacing w:line="400" w:lineRule="exact"/>
        <w:rPr>
          <w:rFonts w:hint="eastAsia" w:ascii="宋体" w:hAnsi="宋体" w:eastAsia="宋体" w:cs="宋体"/>
          <w:color w:val="auto"/>
          <w:szCs w:val="21"/>
          <w:highlight w:val="none"/>
        </w:rPr>
      </w:pPr>
    </w:p>
    <w:p w14:paraId="20701B06">
      <w:pPr>
        <w:spacing w:line="400" w:lineRule="exact"/>
        <w:ind w:firstLine="420" w:firstLineChars="200"/>
        <w:rPr>
          <w:rFonts w:hint="eastAsia" w:ascii="宋体" w:hAnsi="宋体" w:eastAsia="宋体" w:cs="宋体"/>
          <w:color w:val="auto"/>
          <w:szCs w:val="21"/>
          <w:highlight w:val="none"/>
        </w:rPr>
      </w:pPr>
      <w:bookmarkStart w:id="281" w:name="_Toc221951929"/>
      <w:r>
        <w:rPr>
          <w:rFonts w:hint="eastAsia" w:ascii="宋体" w:hAnsi="宋体" w:eastAsia="宋体" w:cs="宋体"/>
          <w:color w:val="auto"/>
          <w:szCs w:val="21"/>
          <w:highlight w:val="none"/>
        </w:rPr>
        <w:t>1．我方已仔细研究了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（项目名称）招标文件的全部内容，愿意以人民币（大写）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）的投标总报价，工期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日历天，按合同约定实施和完成承包工程，修补工程中的任何缺陷，工程质量达到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bookmarkEnd w:id="281"/>
    </w:p>
    <w:p w14:paraId="49DE1FA1">
      <w:pPr>
        <w:spacing w:line="400" w:lineRule="exact"/>
        <w:ind w:firstLine="420" w:firstLineChars="200"/>
        <w:jc w:val="left"/>
        <w:rPr>
          <w:rFonts w:hint="eastAsia" w:ascii="宋体" w:hAnsi="宋体" w:eastAsia="宋体" w:cs="宋体"/>
          <w:color w:val="auto"/>
          <w:szCs w:val="21"/>
          <w:highlight w:val="none"/>
        </w:rPr>
      </w:pPr>
      <w:bookmarkStart w:id="282" w:name="_Toc221951930"/>
      <w:r>
        <w:rPr>
          <w:rFonts w:hint="eastAsia" w:ascii="宋体" w:hAnsi="宋体" w:eastAsia="宋体" w:cs="宋体"/>
          <w:color w:val="auto"/>
          <w:szCs w:val="21"/>
          <w:highlight w:val="none"/>
        </w:rPr>
        <w:t>2．我方承诺在投标有效期内不补充、修改、替代或撤回本投标文件。</w:t>
      </w:r>
      <w:bookmarkEnd w:id="282"/>
    </w:p>
    <w:p w14:paraId="0F97261F">
      <w:pPr>
        <w:spacing w:line="400" w:lineRule="exact"/>
        <w:ind w:firstLine="420" w:firstLineChars="200"/>
        <w:rPr>
          <w:rFonts w:hint="eastAsia" w:ascii="宋体" w:hAnsi="宋体" w:eastAsia="宋体" w:cs="宋体"/>
          <w:color w:val="auto"/>
          <w:szCs w:val="21"/>
          <w:highlight w:val="none"/>
        </w:rPr>
      </w:pPr>
      <w:bookmarkStart w:id="283" w:name="_Toc221951931"/>
      <w:r>
        <w:rPr>
          <w:rFonts w:hint="eastAsia" w:ascii="宋体" w:hAnsi="宋体" w:eastAsia="宋体" w:cs="宋体"/>
          <w:color w:val="auto"/>
          <w:szCs w:val="21"/>
          <w:highlight w:val="none"/>
        </w:rPr>
        <w:t>3． 随同本投标函提交投标保证金一份，金额为人民币（大写）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 ）。</w:t>
      </w:r>
      <w:bookmarkEnd w:id="283"/>
    </w:p>
    <w:p w14:paraId="2C25339C">
      <w:pPr>
        <w:spacing w:line="400" w:lineRule="exact"/>
        <w:ind w:firstLine="420" w:firstLineChars="200"/>
        <w:rPr>
          <w:rFonts w:hint="eastAsia" w:ascii="宋体" w:hAnsi="宋体" w:eastAsia="宋体" w:cs="宋体"/>
          <w:color w:val="auto"/>
          <w:szCs w:val="21"/>
          <w:highlight w:val="none"/>
        </w:rPr>
      </w:pPr>
      <w:bookmarkStart w:id="284" w:name="_Toc221951932"/>
      <w:r>
        <w:rPr>
          <w:rFonts w:hint="eastAsia" w:ascii="宋体" w:hAnsi="宋体" w:eastAsia="宋体" w:cs="宋体"/>
          <w:color w:val="auto"/>
          <w:szCs w:val="21"/>
          <w:highlight w:val="none"/>
        </w:rPr>
        <w:t>4．如我方中标：</w:t>
      </w:r>
      <w:bookmarkEnd w:id="284"/>
    </w:p>
    <w:p w14:paraId="1EAE5D6D">
      <w:pPr>
        <w:spacing w:line="400" w:lineRule="exact"/>
        <w:ind w:firstLine="718" w:firstLineChars="342"/>
        <w:rPr>
          <w:rFonts w:hint="eastAsia" w:ascii="宋体" w:hAnsi="宋体" w:eastAsia="宋体" w:cs="宋体"/>
          <w:color w:val="auto"/>
          <w:szCs w:val="21"/>
          <w:highlight w:val="none"/>
        </w:rPr>
      </w:pPr>
      <w:bookmarkStart w:id="285" w:name="_Toc221951933"/>
      <w:r>
        <w:rPr>
          <w:rFonts w:hint="eastAsia" w:ascii="宋体" w:hAnsi="宋体" w:eastAsia="宋体" w:cs="宋体"/>
          <w:color w:val="auto"/>
          <w:szCs w:val="21"/>
          <w:highlight w:val="none"/>
        </w:rPr>
        <w:t>（1）我方承诺在收到中标通知书后，在中标通知书规定的期限内与你方签订合同。</w:t>
      </w:r>
      <w:bookmarkEnd w:id="285"/>
    </w:p>
    <w:p w14:paraId="078DD410">
      <w:pPr>
        <w:spacing w:line="400" w:lineRule="exact"/>
        <w:ind w:firstLine="718" w:firstLineChars="342"/>
        <w:rPr>
          <w:rFonts w:hint="eastAsia" w:ascii="宋体" w:hAnsi="宋体" w:eastAsia="宋体" w:cs="宋体"/>
          <w:color w:val="auto"/>
          <w:szCs w:val="21"/>
          <w:highlight w:val="none"/>
        </w:rPr>
      </w:pPr>
      <w:bookmarkStart w:id="286" w:name="_Toc221951934"/>
      <w:r>
        <w:rPr>
          <w:rFonts w:hint="eastAsia" w:ascii="宋体" w:hAnsi="宋体" w:eastAsia="宋体" w:cs="宋体"/>
          <w:color w:val="auto"/>
          <w:szCs w:val="21"/>
          <w:highlight w:val="none"/>
        </w:rPr>
        <w:t>（2）随同本投标函递交的投标函附录属于合同文件的组成部分。</w:t>
      </w:r>
      <w:bookmarkEnd w:id="286"/>
    </w:p>
    <w:p w14:paraId="6139F9B6">
      <w:pPr>
        <w:spacing w:line="400" w:lineRule="exact"/>
        <w:ind w:firstLine="718" w:firstLineChars="342"/>
        <w:rPr>
          <w:rFonts w:hint="eastAsia" w:ascii="宋体" w:hAnsi="宋体" w:eastAsia="宋体" w:cs="宋体"/>
          <w:color w:val="auto"/>
          <w:szCs w:val="21"/>
          <w:highlight w:val="none"/>
        </w:rPr>
      </w:pPr>
      <w:bookmarkStart w:id="287" w:name="_Toc221951935"/>
      <w:r>
        <w:rPr>
          <w:rFonts w:hint="eastAsia" w:ascii="宋体" w:hAnsi="宋体" w:eastAsia="宋体" w:cs="宋体"/>
          <w:color w:val="auto"/>
          <w:szCs w:val="21"/>
          <w:highlight w:val="none"/>
        </w:rPr>
        <w:t>（3）我方承诺按照招标文件规定向你方递交履约担保。</w:t>
      </w:r>
      <w:bookmarkEnd w:id="287"/>
    </w:p>
    <w:p w14:paraId="57F6D8FF">
      <w:pPr>
        <w:spacing w:line="400" w:lineRule="exact"/>
        <w:ind w:firstLine="718" w:firstLineChars="342"/>
        <w:rPr>
          <w:rFonts w:hint="eastAsia" w:ascii="宋体" w:hAnsi="宋体" w:eastAsia="宋体" w:cs="宋体"/>
          <w:color w:val="auto"/>
          <w:szCs w:val="21"/>
          <w:highlight w:val="none"/>
        </w:rPr>
      </w:pPr>
      <w:bookmarkStart w:id="288" w:name="_Toc221951936"/>
      <w:r>
        <w:rPr>
          <w:rFonts w:hint="eastAsia" w:ascii="宋体" w:hAnsi="宋体" w:eastAsia="宋体" w:cs="宋体"/>
          <w:color w:val="auto"/>
          <w:szCs w:val="21"/>
          <w:highlight w:val="none"/>
        </w:rPr>
        <w:t>（4）我方承诺在合同约定的期限内完成并移交全部合同工程。</w:t>
      </w:r>
      <w:bookmarkEnd w:id="288"/>
    </w:p>
    <w:p w14:paraId="53313B07">
      <w:pPr>
        <w:spacing w:line="400" w:lineRule="exact"/>
        <w:ind w:firstLine="420" w:firstLineChars="200"/>
        <w:rPr>
          <w:rFonts w:hint="eastAsia" w:ascii="宋体" w:hAnsi="宋体" w:eastAsia="宋体" w:cs="宋体"/>
          <w:color w:val="auto"/>
          <w:szCs w:val="21"/>
          <w:highlight w:val="none"/>
        </w:rPr>
      </w:pPr>
      <w:bookmarkStart w:id="289" w:name="_Toc221951937"/>
      <w:r>
        <w:rPr>
          <w:rFonts w:hint="eastAsia" w:ascii="宋体" w:hAnsi="宋体" w:eastAsia="宋体" w:cs="宋体"/>
          <w:color w:val="auto"/>
          <w:szCs w:val="21"/>
          <w:highlight w:val="none"/>
        </w:rPr>
        <w:t>5．我方在此声明，所递交的投标文件及有关资料内容完整、真实和准确，且不存在第二章“投标人须知”第1.4.2和第1.4.3项规定的任何一种情形。</w:t>
      </w:r>
      <w:bookmarkEnd w:id="289"/>
    </w:p>
    <w:p w14:paraId="5CBEF521">
      <w:pPr>
        <w:spacing w:line="400" w:lineRule="exact"/>
        <w:ind w:firstLine="420" w:firstLineChars="200"/>
        <w:rPr>
          <w:rFonts w:hint="eastAsia" w:ascii="宋体" w:hAnsi="宋体" w:eastAsia="宋体" w:cs="宋体"/>
          <w:color w:val="auto"/>
          <w:szCs w:val="21"/>
          <w:highlight w:val="none"/>
        </w:rPr>
      </w:pPr>
      <w:bookmarkStart w:id="290" w:name="_Toc221951938"/>
      <w:r>
        <w:rPr>
          <w:rFonts w:hint="eastAsia" w:ascii="宋体" w:hAnsi="宋体" w:eastAsia="宋体" w:cs="宋体"/>
          <w:color w:val="auto"/>
          <w:szCs w:val="21"/>
          <w:highlight w:val="none"/>
        </w:rPr>
        <w:t>6．</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（其他补充说明）。</w:t>
      </w:r>
      <w:bookmarkEnd w:id="290"/>
    </w:p>
    <w:p w14:paraId="7D291DCD">
      <w:pPr>
        <w:spacing w:line="400" w:lineRule="exact"/>
        <w:rPr>
          <w:rFonts w:hint="eastAsia" w:ascii="宋体" w:hAnsi="宋体" w:eastAsia="宋体" w:cs="宋体"/>
          <w:color w:val="auto"/>
          <w:szCs w:val="21"/>
          <w:highlight w:val="none"/>
        </w:rPr>
      </w:pPr>
    </w:p>
    <w:p w14:paraId="6955D561">
      <w:pPr>
        <w:spacing w:line="400" w:lineRule="exact"/>
        <w:ind w:firstLine="3675" w:firstLineChars="1750"/>
        <w:rPr>
          <w:rFonts w:hint="eastAsia" w:ascii="宋体" w:hAnsi="宋体" w:eastAsia="宋体" w:cs="宋体"/>
          <w:color w:val="auto"/>
          <w:szCs w:val="21"/>
          <w:highlight w:val="none"/>
        </w:rPr>
      </w:pPr>
      <w:bookmarkStart w:id="291" w:name="_Toc221951939"/>
      <w:r>
        <w:rPr>
          <w:rFonts w:hint="eastAsia" w:ascii="宋体" w:hAnsi="宋体" w:eastAsia="宋体" w:cs="宋体"/>
          <w:color w:val="auto"/>
          <w:szCs w:val="21"/>
          <w:highlight w:val="none"/>
        </w:rPr>
        <w:t>投 标 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bookmarkEnd w:id="291"/>
    </w:p>
    <w:p w14:paraId="06B4D6F3">
      <w:pPr>
        <w:spacing w:line="400" w:lineRule="exact"/>
        <w:ind w:firstLine="3675" w:firstLineChars="1750"/>
        <w:rPr>
          <w:rFonts w:hint="eastAsia" w:ascii="宋体" w:hAnsi="宋体" w:eastAsia="宋体" w:cs="宋体"/>
          <w:color w:val="auto"/>
          <w:szCs w:val="21"/>
          <w:highlight w:val="none"/>
        </w:rPr>
      </w:pPr>
      <w:bookmarkStart w:id="292" w:name="_Toc221951941"/>
      <w:r>
        <w:rPr>
          <w:rFonts w:hint="eastAsia" w:ascii="宋体" w:hAnsi="宋体" w:eastAsia="宋体" w:cs="宋体"/>
          <w:color w:val="auto"/>
          <w:szCs w:val="21"/>
          <w:highlight w:val="none"/>
        </w:rPr>
        <w:t>地址：</w:t>
      </w:r>
      <w:bookmarkEnd w:id="292"/>
      <w:r>
        <w:rPr>
          <w:rFonts w:hint="eastAsia" w:ascii="宋体" w:hAnsi="宋体" w:eastAsia="宋体" w:cs="宋体"/>
          <w:color w:val="auto"/>
          <w:szCs w:val="21"/>
          <w:highlight w:val="none"/>
          <w:u w:val="single"/>
        </w:rPr>
        <w:t xml:space="preserve">                                     </w:t>
      </w:r>
    </w:p>
    <w:p w14:paraId="4F5695E4">
      <w:pPr>
        <w:spacing w:line="400" w:lineRule="exact"/>
        <w:ind w:firstLine="3675" w:firstLineChars="1750"/>
        <w:rPr>
          <w:rFonts w:hint="eastAsia" w:ascii="宋体" w:hAnsi="宋体" w:eastAsia="宋体" w:cs="宋体"/>
          <w:color w:val="auto"/>
          <w:szCs w:val="21"/>
          <w:highlight w:val="none"/>
        </w:rPr>
      </w:pPr>
      <w:bookmarkStart w:id="293" w:name="_Toc221951942"/>
      <w:r>
        <w:rPr>
          <w:rFonts w:hint="eastAsia" w:ascii="宋体" w:hAnsi="宋体" w:eastAsia="宋体" w:cs="宋体"/>
          <w:color w:val="auto"/>
          <w:szCs w:val="21"/>
          <w:highlight w:val="none"/>
        </w:rPr>
        <w:t>网址：</w:t>
      </w:r>
      <w:bookmarkEnd w:id="293"/>
      <w:r>
        <w:rPr>
          <w:rFonts w:hint="eastAsia" w:ascii="宋体" w:hAnsi="宋体" w:eastAsia="宋体" w:cs="宋体"/>
          <w:color w:val="auto"/>
          <w:szCs w:val="21"/>
          <w:highlight w:val="none"/>
          <w:u w:val="single"/>
        </w:rPr>
        <w:t xml:space="preserve">                                     </w:t>
      </w:r>
    </w:p>
    <w:p w14:paraId="74E1513C">
      <w:pPr>
        <w:spacing w:line="400" w:lineRule="exact"/>
        <w:ind w:firstLine="3675" w:firstLineChars="1750"/>
        <w:rPr>
          <w:rFonts w:hint="eastAsia" w:ascii="宋体" w:hAnsi="宋体" w:eastAsia="宋体" w:cs="宋体"/>
          <w:color w:val="auto"/>
          <w:szCs w:val="21"/>
          <w:highlight w:val="none"/>
        </w:rPr>
      </w:pPr>
      <w:bookmarkStart w:id="294" w:name="_Toc221951943"/>
      <w:r>
        <w:rPr>
          <w:rFonts w:hint="eastAsia" w:ascii="宋体" w:hAnsi="宋体" w:eastAsia="宋体" w:cs="宋体"/>
          <w:color w:val="auto"/>
          <w:szCs w:val="21"/>
          <w:highlight w:val="none"/>
        </w:rPr>
        <w:t>电话：</w:t>
      </w:r>
      <w:bookmarkEnd w:id="294"/>
      <w:r>
        <w:rPr>
          <w:rFonts w:hint="eastAsia" w:ascii="宋体" w:hAnsi="宋体" w:eastAsia="宋体" w:cs="宋体"/>
          <w:color w:val="auto"/>
          <w:szCs w:val="21"/>
          <w:highlight w:val="none"/>
          <w:u w:val="single"/>
        </w:rPr>
        <w:t xml:space="preserve">                                     </w:t>
      </w:r>
    </w:p>
    <w:p w14:paraId="4863B01F">
      <w:pPr>
        <w:spacing w:line="400" w:lineRule="exact"/>
        <w:ind w:firstLine="3675" w:firstLineChars="1750"/>
        <w:rPr>
          <w:rFonts w:hint="eastAsia" w:ascii="宋体" w:hAnsi="宋体" w:eastAsia="宋体" w:cs="宋体"/>
          <w:color w:val="auto"/>
          <w:szCs w:val="21"/>
          <w:highlight w:val="none"/>
        </w:rPr>
      </w:pPr>
      <w:bookmarkStart w:id="295" w:name="_Toc221951944"/>
      <w:r>
        <w:rPr>
          <w:rFonts w:hint="eastAsia" w:ascii="宋体" w:hAnsi="宋体" w:eastAsia="宋体" w:cs="宋体"/>
          <w:color w:val="auto"/>
          <w:szCs w:val="21"/>
          <w:highlight w:val="none"/>
        </w:rPr>
        <w:t>传真：</w:t>
      </w:r>
      <w:bookmarkEnd w:id="295"/>
      <w:r>
        <w:rPr>
          <w:rFonts w:hint="eastAsia" w:ascii="宋体" w:hAnsi="宋体" w:eastAsia="宋体" w:cs="宋体"/>
          <w:color w:val="auto"/>
          <w:szCs w:val="21"/>
          <w:highlight w:val="none"/>
          <w:u w:val="single"/>
        </w:rPr>
        <w:t xml:space="preserve">                                     </w:t>
      </w:r>
    </w:p>
    <w:p w14:paraId="0B5926AC">
      <w:pPr>
        <w:spacing w:line="400" w:lineRule="exact"/>
        <w:ind w:firstLine="3675" w:firstLineChars="1750"/>
        <w:rPr>
          <w:rFonts w:hint="eastAsia" w:ascii="宋体" w:hAnsi="宋体" w:eastAsia="宋体" w:cs="宋体"/>
          <w:color w:val="auto"/>
          <w:szCs w:val="21"/>
          <w:highlight w:val="none"/>
        </w:rPr>
      </w:pPr>
      <w:bookmarkStart w:id="296" w:name="_Toc221951945"/>
      <w:r>
        <w:rPr>
          <w:rFonts w:hint="eastAsia" w:ascii="宋体" w:hAnsi="宋体" w:eastAsia="宋体" w:cs="宋体"/>
          <w:color w:val="auto"/>
          <w:szCs w:val="21"/>
          <w:highlight w:val="none"/>
        </w:rPr>
        <w:t>邮政编码：</w:t>
      </w:r>
      <w:bookmarkEnd w:id="296"/>
      <w:r>
        <w:rPr>
          <w:rFonts w:hint="eastAsia" w:ascii="宋体" w:hAnsi="宋体" w:eastAsia="宋体" w:cs="宋体"/>
          <w:color w:val="auto"/>
          <w:szCs w:val="21"/>
          <w:highlight w:val="none"/>
          <w:u w:val="single"/>
        </w:rPr>
        <w:t xml:space="preserve">                                 </w:t>
      </w:r>
    </w:p>
    <w:p w14:paraId="5F330958">
      <w:pPr>
        <w:spacing w:line="400" w:lineRule="exact"/>
        <w:ind w:firstLine="3675" w:firstLineChars="1750"/>
        <w:rPr>
          <w:rFonts w:hint="eastAsia" w:ascii="宋体" w:hAnsi="宋体" w:eastAsia="宋体" w:cs="宋体"/>
          <w:color w:val="auto"/>
          <w:szCs w:val="21"/>
          <w:highlight w:val="none"/>
        </w:rPr>
      </w:pPr>
    </w:p>
    <w:p w14:paraId="0310ED08">
      <w:pPr>
        <w:spacing w:line="400" w:lineRule="exact"/>
        <w:ind w:firstLine="4725" w:firstLineChars="2250"/>
        <w:jc w:val="right"/>
        <w:rPr>
          <w:rFonts w:hint="eastAsia" w:ascii="宋体" w:hAnsi="宋体" w:eastAsia="宋体" w:cs="宋体"/>
          <w:color w:val="auto"/>
          <w:szCs w:val="21"/>
          <w:highlight w:val="none"/>
        </w:rPr>
      </w:pPr>
      <w:bookmarkStart w:id="297" w:name="_Toc221951946"/>
      <w:r>
        <w:rPr>
          <w:rFonts w:hint="eastAsia" w:ascii="宋体" w:hAnsi="宋体" w:eastAsia="宋体" w:cs="宋体"/>
          <w:color w:val="auto"/>
          <w:szCs w:val="21"/>
          <w:highlight w:val="none"/>
          <w:u w:val="single"/>
        </w:rPr>
        <w:t>___   __</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__   __</w:t>
      </w:r>
      <w:r>
        <w:rPr>
          <w:rFonts w:hint="eastAsia" w:ascii="宋体" w:hAnsi="宋体" w:eastAsia="宋体" w:cs="宋体"/>
          <w:color w:val="auto"/>
          <w:szCs w:val="21"/>
          <w:highlight w:val="none"/>
        </w:rPr>
        <w:t>月__</w:t>
      </w:r>
      <w:r>
        <w:rPr>
          <w:rFonts w:hint="eastAsia" w:ascii="宋体" w:hAnsi="宋体" w:eastAsia="宋体" w:cs="宋体"/>
          <w:color w:val="auto"/>
          <w:szCs w:val="21"/>
          <w:highlight w:val="none"/>
          <w:u w:val="single"/>
        </w:rPr>
        <w:t>_  _</w:t>
      </w:r>
      <w:r>
        <w:rPr>
          <w:rFonts w:hint="eastAsia" w:ascii="宋体" w:hAnsi="宋体" w:eastAsia="宋体" w:cs="宋体"/>
          <w:color w:val="auto"/>
          <w:szCs w:val="21"/>
          <w:highlight w:val="none"/>
        </w:rPr>
        <w:t>日</w:t>
      </w:r>
      <w:bookmarkEnd w:id="297"/>
    </w:p>
    <w:p w14:paraId="6BAEAA8C">
      <w:pPr>
        <w:spacing w:line="400" w:lineRule="exact"/>
        <w:rPr>
          <w:rFonts w:hint="eastAsia" w:ascii="宋体" w:hAnsi="宋体" w:eastAsia="宋体" w:cs="宋体"/>
          <w:color w:val="auto"/>
          <w:sz w:val="20"/>
          <w:szCs w:val="20"/>
          <w:highlight w:val="none"/>
        </w:rPr>
      </w:pPr>
    </w:p>
    <w:p w14:paraId="7EDEC690">
      <w:pPr>
        <w:spacing w:line="400" w:lineRule="exact"/>
        <w:outlineLvl w:val="3"/>
        <w:rPr>
          <w:rFonts w:hint="eastAsia" w:ascii="宋体" w:hAnsi="宋体" w:eastAsia="宋体" w:cs="宋体"/>
          <w:b/>
          <w:color w:val="auto"/>
          <w:sz w:val="24"/>
          <w:szCs w:val="31"/>
          <w:highlight w:val="none"/>
        </w:rPr>
      </w:pPr>
      <w:r>
        <w:rPr>
          <w:rFonts w:hint="eastAsia" w:ascii="宋体" w:hAnsi="宋体" w:eastAsia="宋体" w:cs="宋体"/>
          <w:color w:val="auto"/>
          <w:sz w:val="19"/>
          <w:szCs w:val="19"/>
          <w:highlight w:val="none"/>
        </w:rPr>
        <w:br w:type="page"/>
      </w:r>
      <w:bookmarkStart w:id="298" w:name="_Toc221951947"/>
      <w:bookmarkStart w:id="299" w:name="_Toc168476320"/>
      <w:bookmarkStart w:id="300" w:name="_Toc168475917"/>
      <w:bookmarkStart w:id="301" w:name="_Toc144974859"/>
      <w:r>
        <w:rPr>
          <w:rFonts w:hint="eastAsia" w:ascii="宋体" w:hAnsi="宋体" w:eastAsia="宋体" w:cs="宋体"/>
          <w:b/>
          <w:color w:val="auto"/>
          <w:sz w:val="24"/>
          <w:szCs w:val="31"/>
          <w:highlight w:val="none"/>
        </w:rPr>
        <w:t>（二）投标函附录</w:t>
      </w:r>
    </w:p>
    <w:p w14:paraId="4BBF7535">
      <w:pPr>
        <w:autoSpaceDE w:val="0"/>
        <w:autoSpaceDN w:val="0"/>
        <w:adjustRightInd w:val="0"/>
        <w:jc w:val="left"/>
        <w:rPr>
          <w:rFonts w:hint="eastAsia" w:ascii="宋体" w:hAnsi="宋体" w:eastAsia="宋体" w:cs="宋体"/>
          <w:b/>
          <w:color w:val="auto"/>
          <w:sz w:val="24"/>
          <w:szCs w:val="24"/>
          <w:highlight w:val="none"/>
          <w:lang w:val="zh-CN"/>
        </w:rPr>
      </w:pPr>
    </w:p>
    <w:tbl>
      <w:tblPr>
        <w:tblStyle w:val="40"/>
        <w:tblpPr w:leftFromText="180" w:rightFromText="180" w:vertAnchor="text" w:horzAnchor="margin" w:tblpXSpec="center" w:tblpY="-8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028"/>
        <w:gridCol w:w="3823"/>
      </w:tblGrid>
      <w:tr w14:paraId="00B1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528" w:type="dxa"/>
            <w:tcBorders>
              <w:top w:val="single" w:color="auto" w:sz="4" w:space="0"/>
              <w:left w:val="single" w:color="auto" w:sz="4" w:space="0"/>
              <w:bottom w:val="single" w:color="auto" w:sz="4" w:space="0"/>
              <w:right w:val="single" w:color="auto" w:sz="4" w:space="0"/>
            </w:tcBorders>
            <w:vAlign w:val="center"/>
          </w:tcPr>
          <w:p w14:paraId="56117D67">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工 程 名 称</w:t>
            </w: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1372C3D0">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（项目名称）</w:t>
            </w:r>
          </w:p>
        </w:tc>
      </w:tr>
      <w:tr w14:paraId="59C2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28" w:type="dxa"/>
            <w:vMerge w:val="restart"/>
            <w:tcBorders>
              <w:top w:val="single" w:color="auto" w:sz="4" w:space="0"/>
              <w:left w:val="single" w:color="auto" w:sz="4" w:space="0"/>
              <w:bottom w:val="single" w:color="auto" w:sz="4" w:space="0"/>
              <w:right w:val="single" w:color="auto" w:sz="4" w:space="0"/>
            </w:tcBorders>
            <w:vAlign w:val="center"/>
          </w:tcPr>
          <w:p w14:paraId="558D59EC">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投标总报价（元）</w:t>
            </w: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2226D462">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大写：</w:t>
            </w:r>
          </w:p>
        </w:tc>
      </w:tr>
      <w:tr w14:paraId="1DF2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14:paraId="23387C3D">
            <w:pPr>
              <w:keepNext w:val="0"/>
              <w:keepLines w:val="0"/>
              <w:widowControl/>
              <w:suppressLineNumbers w:val="0"/>
              <w:spacing w:before="0" w:beforeAutospacing="0" w:after="0" w:afterAutospacing="0"/>
              <w:ind w:left="0" w:right="0"/>
              <w:jc w:val="left"/>
              <w:rPr>
                <w:rFonts w:hint="eastAsia" w:ascii="宋体" w:hAnsi="宋体" w:eastAsia="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608E043A">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小写：</w:t>
            </w:r>
          </w:p>
        </w:tc>
      </w:tr>
      <w:tr w14:paraId="5CA2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528" w:type="dxa"/>
            <w:vMerge w:val="restart"/>
            <w:tcBorders>
              <w:top w:val="single" w:color="auto" w:sz="4" w:space="0"/>
              <w:left w:val="single" w:color="auto" w:sz="4" w:space="0"/>
              <w:bottom w:val="single" w:color="auto" w:sz="4" w:space="0"/>
              <w:right w:val="single" w:color="auto" w:sz="4" w:space="0"/>
            </w:tcBorders>
            <w:vAlign w:val="center"/>
          </w:tcPr>
          <w:p w14:paraId="43C3A1EB">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其中：</w:t>
            </w:r>
            <w:r>
              <w:rPr>
                <w:rFonts w:hint="eastAsia" w:ascii="宋体" w:hAnsi="宋体" w:eastAsia="宋体" w:cs="宋体"/>
                <w:bCs/>
                <w:color w:val="auto"/>
                <w:sz w:val="24"/>
                <w:szCs w:val="24"/>
                <w:highlight w:val="none"/>
                <w:lang w:val="zh-CN"/>
              </w:rPr>
              <w:t>人工费</w:t>
            </w:r>
            <w:r>
              <w:rPr>
                <w:rFonts w:hint="eastAsia" w:ascii="宋体" w:hAnsi="宋体" w:eastAsia="宋体" w:cs="宋体"/>
                <w:color w:val="auto"/>
                <w:sz w:val="24"/>
                <w:szCs w:val="24"/>
                <w:highlight w:val="none"/>
                <w:lang w:val="zh-CN"/>
              </w:rPr>
              <w:t>（元）</w:t>
            </w: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49766501">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大写：</w:t>
            </w:r>
          </w:p>
        </w:tc>
      </w:tr>
      <w:tr w14:paraId="6F42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14:paraId="01E007AB">
            <w:pPr>
              <w:keepNext w:val="0"/>
              <w:keepLines w:val="0"/>
              <w:widowControl/>
              <w:suppressLineNumbers w:val="0"/>
              <w:spacing w:before="0" w:beforeAutospacing="0" w:after="0" w:afterAutospacing="0"/>
              <w:ind w:left="0" w:right="0"/>
              <w:jc w:val="left"/>
              <w:rPr>
                <w:rFonts w:hint="eastAsia" w:ascii="宋体" w:hAnsi="宋体" w:eastAsia="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37E944C6">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小写：</w:t>
            </w:r>
          </w:p>
        </w:tc>
      </w:tr>
      <w:tr w14:paraId="07E4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528" w:type="dxa"/>
            <w:vMerge w:val="restart"/>
            <w:tcBorders>
              <w:top w:val="single" w:color="auto" w:sz="4" w:space="0"/>
              <w:left w:val="single" w:color="auto" w:sz="4" w:space="0"/>
              <w:right w:val="single" w:color="auto" w:sz="4" w:space="0"/>
            </w:tcBorders>
            <w:vAlign w:val="center"/>
          </w:tcPr>
          <w:p w14:paraId="08D9ADB9">
            <w:pPr>
              <w:keepNext w:val="0"/>
              <w:keepLines w:val="0"/>
              <w:widowControl/>
              <w:suppressLineNumbers w:val="0"/>
              <w:spacing w:before="0" w:beforeAutospacing="0" w:after="0" w:afterAutospacing="0"/>
              <w:ind w:left="0" w:right="0"/>
              <w:jc w:val="lef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其中：绿色施工安全防护措施费（元）</w:t>
            </w: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6A9DFB18">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大写：</w:t>
            </w:r>
          </w:p>
        </w:tc>
      </w:tr>
      <w:tr w14:paraId="7390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528" w:type="dxa"/>
            <w:vMerge w:val="continue"/>
            <w:tcBorders>
              <w:left w:val="single" w:color="auto" w:sz="4" w:space="0"/>
              <w:bottom w:val="single" w:color="auto" w:sz="4" w:space="0"/>
              <w:right w:val="single" w:color="auto" w:sz="4" w:space="0"/>
            </w:tcBorders>
            <w:vAlign w:val="center"/>
          </w:tcPr>
          <w:p w14:paraId="1EA4CD9B">
            <w:pPr>
              <w:keepNext w:val="0"/>
              <w:keepLines w:val="0"/>
              <w:widowControl/>
              <w:suppressLineNumbers w:val="0"/>
              <w:spacing w:before="0" w:beforeAutospacing="0" w:after="0" w:afterAutospacing="0"/>
              <w:ind w:left="0" w:right="0"/>
              <w:jc w:val="left"/>
              <w:rPr>
                <w:rFonts w:hint="eastAsia" w:ascii="宋体" w:hAnsi="宋体" w:eastAsia="宋体" w:cs="宋体"/>
                <w:bCs/>
                <w:color w:val="auto"/>
                <w:sz w:val="24"/>
                <w:szCs w:val="24"/>
                <w:highlight w:val="none"/>
                <w:lang w:val="zh-CN"/>
              </w:rPr>
            </w:pPr>
          </w:p>
        </w:tc>
        <w:tc>
          <w:tcPr>
            <w:tcW w:w="5851" w:type="dxa"/>
            <w:gridSpan w:val="2"/>
            <w:tcBorders>
              <w:top w:val="single" w:color="auto" w:sz="4" w:space="0"/>
              <w:left w:val="single" w:color="auto" w:sz="4" w:space="0"/>
              <w:right w:val="single" w:color="auto" w:sz="4" w:space="0"/>
            </w:tcBorders>
            <w:vAlign w:val="center"/>
          </w:tcPr>
          <w:p w14:paraId="03570B66">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小写：</w:t>
            </w:r>
          </w:p>
        </w:tc>
      </w:tr>
      <w:tr w14:paraId="6E1D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28" w:type="dxa"/>
            <w:tcBorders>
              <w:top w:val="single" w:color="auto" w:sz="4" w:space="0"/>
              <w:left w:val="single" w:color="auto" w:sz="4" w:space="0"/>
              <w:bottom w:val="single" w:color="auto" w:sz="4" w:space="0"/>
              <w:right w:val="single" w:color="auto" w:sz="4" w:space="0"/>
            </w:tcBorders>
            <w:vAlign w:val="center"/>
          </w:tcPr>
          <w:p w14:paraId="3B2E810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投 标 总工 期</w:t>
            </w: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43EBD4CC">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p>
        </w:tc>
      </w:tr>
      <w:tr w14:paraId="67F3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28" w:type="dxa"/>
            <w:tcBorders>
              <w:top w:val="single" w:color="auto" w:sz="4" w:space="0"/>
              <w:left w:val="single" w:color="auto" w:sz="4" w:space="0"/>
              <w:bottom w:val="single" w:color="auto" w:sz="4" w:space="0"/>
              <w:right w:val="single" w:color="auto" w:sz="4" w:space="0"/>
            </w:tcBorders>
            <w:vAlign w:val="center"/>
          </w:tcPr>
          <w:p w14:paraId="22F1809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工程质量标准</w:t>
            </w: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7AF0B626">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p>
        </w:tc>
      </w:tr>
      <w:tr w14:paraId="20E0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vAlign w:val="center"/>
          </w:tcPr>
          <w:p w14:paraId="7011C3EE">
            <w:pPr>
              <w:keepNext w:val="0"/>
              <w:keepLines w:val="0"/>
              <w:suppressLineNumbers w:val="0"/>
              <w:autoSpaceDE w:val="0"/>
              <w:autoSpaceDN w:val="0"/>
              <w:adjustRightInd w:val="0"/>
              <w:spacing w:before="0" w:beforeAutospacing="0" w:after="0" w:afterAutospacing="0"/>
              <w:ind w:left="0" w:right="0" w:firstLine="470" w:firstLineChars="196"/>
              <w:jc w:val="center"/>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保 修 期 限</w:t>
            </w:r>
          </w:p>
        </w:tc>
        <w:tc>
          <w:tcPr>
            <w:tcW w:w="5851" w:type="dxa"/>
            <w:gridSpan w:val="2"/>
            <w:tcBorders>
              <w:top w:val="single" w:color="auto" w:sz="4" w:space="0"/>
              <w:left w:val="single" w:color="auto" w:sz="4" w:space="0"/>
              <w:bottom w:val="single" w:color="auto" w:sz="4" w:space="0"/>
              <w:right w:val="single" w:color="auto" w:sz="4" w:space="0"/>
            </w:tcBorders>
            <w:vAlign w:val="center"/>
          </w:tcPr>
          <w:p w14:paraId="3C47163F">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Cs/>
                <w:color w:val="auto"/>
                <w:sz w:val="24"/>
                <w:szCs w:val="24"/>
                <w:highlight w:val="none"/>
                <w:lang w:val="zh-CN"/>
              </w:rPr>
            </w:pPr>
          </w:p>
        </w:tc>
      </w:tr>
      <w:tr w14:paraId="2E29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528" w:type="dxa"/>
            <w:vMerge w:val="restart"/>
            <w:tcBorders>
              <w:top w:val="single" w:color="auto" w:sz="4" w:space="0"/>
              <w:left w:val="single" w:color="auto" w:sz="4" w:space="0"/>
              <w:bottom w:val="single" w:color="auto" w:sz="4" w:space="0"/>
              <w:right w:val="single" w:color="auto" w:sz="4" w:space="0"/>
            </w:tcBorders>
            <w:vAlign w:val="center"/>
          </w:tcPr>
          <w:p w14:paraId="44AE26C2">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委派的项目负责人</w:t>
            </w:r>
          </w:p>
        </w:tc>
        <w:tc>
          <w:tcPr>
            <w:tcW w:w="2028" w:type="dxa"/>
            <w:tcBorders>
              <w:top w:val="single" w:color="auto" w:sz="4" w:space="0"/>
              <w:left w:val="single" w:color="auto" w:sz="4" w:space="0"/>
              <w:bottom w:val="single" w:color="auto" w:sz="4" w:space="0"/>
              <w:right w:val="single" w:color="auto" w:sz="4" w:space="0"/>
            </w:tcBorders>
            <w:vAlign w:val="center"/>
          </w:tcPr>
          <w:p w14:paraId="07AA359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3823" w:type="dxa"/>
            <w:tcBorders>
              <w:top w:val="single" w:color="auto" w:sz="4" w:space="0"/>
              <w:left w:val="single" w:color="auto" w:sz="4" w:space="0"/>
              <w:bottom w:val="single" w:color="auto" w:sz="4" w:space="0"/>
              <w:right w:val="single" w:color="auto" w:sz="4" w:space="0"/>
            </w:tcBorders>
          </w:tcPr>
          <w:p w14:paraId="34835744">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
                <w:bCs/>
                <w:color w:val="auto"/>
                <w:sz w:val="24"/>
                <w:szCs w:val="24"/>
                <w:highlight w:val="none"/>
                <w:lang w:val="zh-CN"/>
              </w:rPr>
            </w:pPr>
          </w:p>
        </w:tc>
      </w:tr>
      <w:tr w14:paraId="4ED3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14:paraId="7054D61F">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vAlign w:val="center"/>
          </w:tcPr>
          <w:p w14:paraId="46D61DE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建造师的注册编号</w:t>
            </w:r>
          </w:p>
        </w:tc>
        <w:tc>
          <w:tcPr>
            <w:tcW w:w="3823" w:type="dxa"/>
            <w:tcBorders>
              <w:top w:val="single" w:color="auto" w:sz="4" w:space="0"/>
              <w:left w:val="single" w:color="auto" w:sz="4" w:space="0"/>
              <w:bottom w:val="single" w:color="auto" w:sz="4" w:space="0"/>
              <w:right w:val="single" w:color="auto" w:sz="4" w:space="0"/>
            </w:tcBorders>
          </w:tcPr>
          <w:p w14:paraId="5796E974">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
                <w:bCs/>
                <w:color w:val="auto"/>
                <w:sz w:val="24"/>
                <w:szCs w:val="24"/>
                <w:highlight w:val="none"/>
                <w:lang w:val="zh-CN"/>
              </w:rPr>
            </w:pPr>
          </w:p>
        </w:tc>
      </w:tr>
      <w:tr w14:paraId="46D3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restart"/>
            <w:tcBorders>
              <w:top w:val="single" w:color="auto" w:sz="4" w:space="0"/>
              <w:left w:val="single" w:color="auto" w:sz="4" w:space="0"/>
              <w:bottom w:val="single" w:color="auto" w:sz="4" w:space="0"/>
              <w:right w:val="single" w:color="auto" w:sz="4" w:space="0"/>
            </w:tcBorders>
            <w:vAlign w:val="center"/>
          </w:tcPr>
          <w:p w14:paraId="56F09E29">
            <w:pPr>
              <w:keepNext w:val="0"/>
              <w:keepLines w:val="0"/>
              <w:suppressLineNumbers w:val="0"/>
              <w:autoSpaceDE w:val="0"/>
              <w:autoSpaceDN w:val="0"/>
              <w:adjustRightInd w:val="0"/>
              <w:spacing w:before="0" w:beforeAutospacing="0" w:after="0" w:afterAutospacing="0"/>
              <w:ind w:left="0" w:right="0" w:firstLine="235" w:firstLineChars="98"/>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委派的安全员</w:t>
            </w:r>
          </w:p>
        </w:tc>
        <w:tc>
          <w:tcPr>
            <w:tcW w:w="2028" w:type="dxa"/>
            <w:tcBorders>
              <w:top w:val="single" w:color="auto" w:sz="4" w:space="0"/>
              <w:left w:val="single" w:color="auto" w:sz="4" w:space="0"/>
              <w:bottom w:val="single" w:color="auto" w:sz="4" w:space="0"/>
              <w:right w:val="single" w:color="auto" w:sz="4" w:space="0"/>
            </w:tcBorders>
            <w:vAlign w:val="center"/>
          </w:tcPr>
          <w:p w14:paraId="6B93C134">
            <w:pPr>
              <w:keepNext w:val="0"/>
              <w:keepLines w:val="0"/>
              <w:suppressLineNumbers w:val="0"/>
              <w:autoSpaceDE w:val="0"/>
              <w:autoSpaceDN w:val="0"/>
              <w:adjustRightInd w:val="0"/>
              <w:spacing w:before="0" w:beforeAutospacing="0" w:after="0" w:afterAutospacing="0"/>
              <w:ind w:left="0" w:right="0" w:firstLine="352" w:firstLineChars="147"/>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姓   名</w:t>
            </w:r>
          </w:p>
        </w:tc>
        <w:tc>
          <w:tcPr>
            <w:tcW w:w="3823" w:type="dxa"/>
            <w:tcBorders>
              <w:top w:val="single" w:color="auto" w:sz="4" w:space="0"/>
              <w:left w:val="single" w:color="auto" w:sz="4" w:space="0"/>
              <w:bottom w:val="single" w:color="auto" w:sz="4" w:space="0"/>
              <w:right w:val="single" w:color="auto" w:sz="4" w:space="0"/>
            </w:tcBorders>
          </w:tcPr>
          <w:p w14:paraId="6C6ED216">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
                <w:bCs/>
                <w:color w:val="auto"/>
                <w:sz w:val="24"/>
                <w:szCs w:val="24"/>
                <w:highlight w:val="none"/>
                <w:lang w:val="zh-CN"/>
              </w:rPr>
            </w:pPr>
          </w:p>
        </w:tc>
      </w:tr>
      <w:tr w14:paraId="0611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14:paraId="20ED63D8">
            <w:pPr>
              <w:keepNext w:val="0"/>
              <w:keepLines w:val="0"/>
              <w:widowControl/>
              <w:suppressLineNumbers w:val="0"/>
              <w:spacing w:before="0" w:beforeAutospacing="0" w:after="0" w:afterAutospacing="0"/>
              <w:ind w:left="0" w:right="0"/>
              <w:jc w:val="left"/>
              <w:rPr>
                <w:rFonts w:hint="eastAsia" w:ascii="宋体" w:hAnsi="宋体" w:eastAsia="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vAlign w:val="center"/>
          </w:tcPr>
          <w:p w14:paraId="520C75F5">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w:t>
            </w:r>
          </w:p>
          <w:p w14:paraId="51F80728">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合格证（C类）编号</w:t>
            </w:r>
          </w:p>
        </w:tc>
        <w:tc>
          <w:tcPr>
            <w:tcW w:w="3823" w:type="dxa"/>
            <w:tcBorders>
              <w:top w:val="single" w:color="auto" w:sz="4" w:space="0"/>
              <w:left w:val="single" w:color="auto" w:sz="4" w:space="0"/>
              <w:bottom w:val="single" w:color="auto" w:sz="4" w:space="0"/>
              <w:right w:val="single" w:color="auto" w:sz="4" w:space="0"/>
            </w:tcBorders>
          </w:tcPr>
          <w:p w14:paraId="5986F55E">
            <w:pPr>
              <w:keepNext w:val="0"/>
              <w:keepLines w:val="0"/>
              <w:suppressLineNumbers w:val="0"/>
              <w:autoSpaceDE w:val="0"/>
              <w:autoSpaceDN w:val="0"/>
              <w:adjustRightInd w:val="0"/>
              <w:spacing w:before="0" w:beforeAutospacing="0" w:after="0" w:afterAutospacing="0"/>
              <w:ind w:left="0" w:right="0"/>
              <w:rPr>
                <w:rFonts w:hint="eastAsia" w:ascii="宋体" w:hAnsi="宋体" w:eastAsia="宋体" w:cs="宋体"/>
                <w:b/>
                <w:bCs/>
                <w:color w:val="auto"/>
                <w:sz w:val="24"/>
                <w:szCs w:val="24"/>
                <w:highlight w:val="none"/>
                <w:lang w:val="zh-CN"/>
              </w:rPr>
            </w:pPr>
          </w:p>
        </w:tc>
      </w:tr>
    </w:tbl>
    <w:p w14:paraId="244B124C">
      <w:pPr>
        <w:autoSpaceDE w:val="0"/>
        <w:autoSpaceDN w:val="0"/>
        <w:adjustRightInd w:val="0"/>
        <w:jc w:val="right"/>
        <w:rPr>
          <w:rFonts w:hint="eastAsia" w:ascii="宋体" w:hAnsi="宋体" w:eastAsia="宋体" w:cs="宋体"/>
          <w:bCs/>
          <w:color w:val="auto"/>
          <w:sz w:val="52"/>
          <w:szCs w:val="52"/>
          <w:highlight w:val="none"/>
        </w:rPr>
      </w:pPr>
      <w:r>
        <w:rPr>
          <w:rFonts w:hint="eastAsia" w:ascii="宋体" w:hAnsi="宋体" w:eastAsia="宋体" w:cs="宋体"/>
          <w:color w:val="auto"/>
          <w:sz w:val="24"/>
          <w:szCs w:val="24"/>
          <w:highlight w:val="none"/>
          <w:lang w:val="zh-CN"/>
        </w:rPr>
        <w:t>投标日期：   年  月  日</w:t>
      </w:r>
    </w:p>
    <w:p w14:paraId="5F3E8911">
      <w:pPr>
        <w:autoSpaceDE w:val="0"/>
        <w:autoSpaceDN w:val="0"/>
        <w:adjustRightInd w:val="0"/>
        <w:rPr>
          <w:rFonts w:hint="eastAsia" w:ascii="宋体" w:hAnsi="宋体" w:eastAsia="宋体" w:cs="宋体"/>
          <w:color w:val="auto"/>
          <w:szCs w:val="21"/>
          <w:highlight w:val="none"/>
          <w:lang w:val="zh-CN"/>
        </w:rPr>
      </w:pPr>
    </w:p>
    <w:p w14:paraId="53DE89CD">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Cs w:val="21"/>
          <w:highlight w:val="none"/>
          <w:lang w:val="zh-CN"/>
        </w:rPr>
        <w:t>注：1.本表所报委派的项目负责人、安全员的姓名及相关资料，须与本企业在广州交易集团有限公司（广州公共资源交易中心）企业库记录的相应信息一致，评审时，委派的项目负责人、安全员以投标人在广州交易集团有限公司（广州公共资源交易中心）企业库登记的信息为准。</w:t>
      </w:r>
    </w:p>
    <w:p w14:paraId="0625FD98">
      <w:pPr>
        <w:spacing w:line="400" w:lineRule="exact"/>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.本投标函附录由投标文件管理软件生成，投标人可直接在上面填写相关内容。</w:t>
      </w:r>
      <w:bookmarkEnd w:id="298"/>
      <w:bookmarkEnd w:id="299"/>
      <w:bookmarkEnd w:id="300"/>
      <w:bookmarkEnd w:id="301"/>
    </w:p>
    <w:p w14:paraId="4548D1DA">
      <w:pPr>
        <w:pStyle w:val="39"/>
        <w:ind w:left="0" w:leftChars="0" w:firstLine="0" w:firstLineChars="0"/>
        <w:rPr>
          <w:rFonts w:hint="eastAsia" w:ascii="宋体" w:hAnsi="宋体" w:eastAsia="宋体" w:cs="宋体"/>
          <w:color w:val="auto"/>
          <w:highlight w:val="none"/>
          <w:lang w:val="zh-CN"/>
        </w:rPr>
      </w:pPr>
    </w:p>
    <w:p w14:paraId="6B58E761">
      <w:pPr>
        <w:widowControl/>
        <w:jc w:val="left"/>
        <w:rPr>
          <w:rFonts w:hint="eastAsia" w:ascii="宋体" w:hAnsi="宋体" w:eastAsia="宋体" w:cs="宋体"/>
          <w:color w:val="auto"/>
          <w:highlight w:val="none"/>
          <w:lang w:val="zh-CN"/>
        </w:rPr>
      </w:pPr>
    </w:p>
    <w:p w14:paraId="1064CB42">
      <w:pPr>
        <w:pageBreakBefore/>
        <w:spacing w:line="360" w:lineRule="auto"/>
        <w:jc w:val="center"/>
        <w:outlineLvl w:val="2"/>
        <w:rPr>
          <w:rFonts w:hint="eastAsia" w:ascii="宋体" w:hAnsi="宋体" w:eastAsia="宋体" w:cs="宋体"/>
          <w:color w:val="auto"/>
          <w:sz w:val="28"/>
          <w:szCs w:val="27"/>
          <w:highlight w:val="none"/>
        </w:rPr>
      </w:pPr>
      <w:bookmarkStart w:id="302" w:name="_Toc168475918"/>
      <w:bookmarkStart w:id="303" w:name="_Toc53669180"/>
      <w:bookmarkStart w:id="304" w:name="_Toc259524415"/>
      <w:bookmarkStart w:id="305" w:name="_Toc221952013"/>
      <w:bookmarkStart w:id="306" w:name="_Toc32294"/>
      <w:bookmarkStart w:id="307" w:name="_Toc222033912"/>
      <w:bookmarkStart w:id="308" w:name="_Toc17556961"/>
      <w:bookmarkStart w:id="309" w:name="_Toc78985267"/>
      <w:bookmarkStart w:id="310" w:name="_Toc17452694"/>
      <w:bookmarkStart w:id="311" w:name="_Toc222032730"/>
      <w:bookmarkStart w:id="312" w:name="_Toc17454901"/>
      <w:bookmarkStart w:id="313" w:name="_Toc229305421"/>
      <w:bookmarkStart w:id="314" w:name="_Toc17454952"/>
      <w:bookmarkStart w:id="315" w:name="_Toc144974860"/>
      <w:bookmarkStart w:id="316" w:name="_Toc168476321"/>
      <w:bookmarkStart w:id="317" w:name="_Toc17451608"/>
      <w:bookmarkStart w:id="318" w:name="_Toc222031063"/>
      <w:bookmarkStart w:id="319" w:name="_Toc17556906"/>
      <w:bookmarkStart w:id="320" w:name="_Toc17451131"/>
      <w:bookmarkStart w:id="321" w:name="_Toc222029561"/>
      <w:bookmarkStart w:id="322" w:name="_Toc17451653"/>
      <w:r>
        <w:rPr>
          <w:rFonts w:hint="eastAsia" w:ascii="宋体" w:hAnsi="宋体" w:eastAsia="宋体" w:cs="宋体"/>
          <w:color w:val="auto"/>
          <w:sz w:val="28"/>
          <w:szCs w:val="27"/>
          <w:highlight w:val="none"/>
        </w:rPr>
        <w:t>二、法定代表人身份证明</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6BB398AA">
      <w:pPr>
        <w:spacing w:line="400" w:lineRule="exact"/>
        <w:rPr>
          <w:rFonts w:hint="eastAsia" w:ascii="宋体" w:hAnsi="宋体" w:eastAsia="宋体" w:cs="宋体"/>
          <w:color w:val="auto"/>
          <w:sz w:val="19"/>
          <w:szCs w:val="19"/>
          <w:highlight w:val="none"/>
        </w:rPr>
      </w:pPr>
    </w:p>
    <w:p w14:paraId="16CE744A">
      <w:pPr>
        <w:spacing w:line="400" w:lineRule="exact"/>
        <w:rPr>
          <w:rFonts w:hint="eastAsia" w:ascii="宋体" w:hAnsi="宋体" w:eastAsia="宋体" w:cs="宋体"/>
          <w:color w:val="auto"/>
          <w:szCs w:val="21"/>
          <w:highlight w:val="none"/>
        </w:rPr>
      </w:pPr>
    </w:p>
    <w:p w14:paraId="518B89B1">
      <w:pPr>
        <w:spacing w:line="400" w:lineRule="exact"/>
        <w:rPr>
          <w:rFonts w:hint="eastAsia" w:ascii="宋体" w:hAnsi="宋体" w:eastAsia="宋体" w:cs="宋体"/>
          <w:color w:val="auto"/>
          <w:szCs w:val="21"/>
          <w:highlight w:val="none"/>
        </w:rPr>
      </w:pPr>
      <w:bookmarkStart w:id="323" w:name="_Toc221952014"/>
      <w:r>
        <w:rPr>
          <w:rFonts w:hint="eastAsia" w:ascii="宋体" w:hAnsi="宋体" w:eastAsia="宋体" w:cs="宋体"/>
          <w:color w:val="auto"/>
          <w:szCs w:val="21"/>
          <w:highlight w:val="none"/>
        </w:rPr>
        <w:t>投标人名称：</w:t>
      </w:r>
      <w:bookmarkEnd w:id="323"/>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5202E41">
      <w:pPr>
        <w:spacing w:line="400" w:lineRule="exact"/>
        <w:rPr>
          <w:rFonts w:hint="eastAsia" w:ascii="宋体" w:hAnsi="宋体" w:eastAsia="宋体" w:cs="宋体"/>
          <w:color w:val="auto"/>
          <w:szCs w:val="21"/>
          <w:highlight w:val="none"/>
        </w:rPr>
      </w:pPr>
      <w:bookmarkStart w:id="324" w:name="_Toc221952015"/>
      <w:r>
        <w:rPr>
          <w:rFonts w:hint="eastAsia" w:ascii="宋体" w:hAnsi="宋体" w:eastAsia="宋体" w:cs="宋体"/>
          <w:color w:val="auto"/>
          <w:szCs w:val="21"/>
          <w:highlight w:val="none"/>
        </w:rPr>
        <w:t>单位性质：</w:t>
      </w:r>
      <w:bookmarkEnd w:id="324"/>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2C5E998">
      <w:pPr>
        <w:spacing w:line="400" w:lineRule="exact"/>
        <w:rPr>
          <w:rFonts w:hint="eastAsia" w:ascii="宋体" w:hAnsi="宋体" w:eastAsia="宋体" w:cs="宋体"/>
          <w:color w:val="auto"/>
          <w:szCs w:val="21"/>
          <w:highlight w:val="none"/>
        </w:rPr>
      </w:pPr>
      <w:bookmarkStart w:id="325" w:name="_Toc221952016"/>
      <w:r>
        <w:rPr>
          <w:rFonts w:hint="eastAsia" w:ascii="宋体" w:hAnsi="宋体" w:eastAsia="宋体" w:cs="宋体"/>
          <w:color w:val="auto"/>
          <w:szCs w:val="21"/>
          <w:highlight w:val="none"/>
        </w:rPr>
        <w:t>地址：</w:t>
      </w:r>
      <w:bookmarkEnd w:id="325"/>
      <w:r>
        <w:rPr>
          <w:rFonts w:hint="eastAsia" w:ascii="宋体" w:hAnsi="宋体" w:eastAsia="宋体" w:cs="宋体"/>
          <w:color w:val="auto"/>
          <w:szCs w:val="21"/>
          <w:highlight w:val="none"/>
          <w:u w:val="single"/>
        </w:rPr>
        <w:t xml:space="preserve">                                   </w:t>
      </w:r>
    </w:p>
    <w:p w14:paraId="512AECD7">
      <w:pPr>
        <w:spacing w:line="400" w:lineRule="exact"/>
        <w:rPr>
          <w:rFonts w:hint="eastAsia" w:ascii="宋体" w:hAnsi="宋体" w:eastAsia="宋体" w:cs="宋体"/>
          <w:color w:val="auto"/>
          <w:szCs w:val="21"/>
          <w:highlight w:val="none"/>
        </w:rPr>
      </w:pPr>
      <w:bookmarkStart w:id="326" w:name="_Toc221952017"/>
      <w:r>
        <w:rPr>
          <w:rFonts w:hint="eastAsia" w:ascii="宋体" w:hAnsi="宋体" w:eastAsia="宋体" w:cs="宋体"/>
          <w:color w:val="auto"/>
          <w:szCs w:val="21"/>
          <w:highlight w:val="none"/>
        </w:rPr>
        <w:t>成立时间：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bookmarkEnd w:id="326"/>
    </w:p>
    <w:p w14:paraId="504F2485">
      <w:pPr>
        <w:spacing w:line="400" w:lineRule="exact"/>
        <w:rPr>
          <w:rFonts w:hint="eastAsia" w:ascii="宋体" w:hAnsi="宋体" w:eastAsia="宋体" w:cs="宋体"/>
          <w:color w:val="auto"/>
          <w:szCs w:val="21"/>
          <w:highlight w:val="none"/>
        </w:rPr>
      </w:pPr>
      <w:bookmarkStart w:id="327" w:name="_Toc221952018"/>
      <w:r>
        <w:rPr>
          <w:rFonts w:hint="eastAsia" w:ascii="宋体" w:hAnsi="宋体" w:eastAsia="宋体" w:cs="宋体"/>
          <w:color w:val="auto"/>
          <w:szCs w:val="21"/>
          <w:highlight w:val="none"/>
        </w:rPr>
        <w:t>经营期限：</w:t>
      </w:r>
      <w:bookmarkEnd w:id="327"/>
      <w:r>
        <w:rPr>
          <w:rFonts w:hint="eastAsia" w:ascii="宋体" w:hAnsi="宋体" w:eastAsia="宋体" w:cs="宋体"/>
          <w:color w:val="auto"/>
          <w:szCs w:val="21"/>
          <w:highlight w:val="none"/>
          <w:u w:val="single"/>
        </w:rPr>
        <w:t xml:space="preserve">                               </w:t>
      </w:r>
    </w:p>
    <w:p w14:paraId="56A08EBB">
      <w:pPr>
        <w:spacing w:line="400" w:lineRule="exact"/>
        <w:rPr>
          <w:rFonts w:hint="eastAsia" w:ascii="宋体" w:hAnsi="宋体" w:eastAsia="宋体" w:cs="宋体"/>
          <w:color w:val="auto"/>
          <w:szCs w:val="21"/>
          <w:highlight w:val="none"/>
        </w:rPr>
      </w:pPr>
      <w:bookmarkStart w:id="328" w:name="_Toc221952019"/>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性别：</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职务：</w:t>
      </w:r>
      <w:bookmarkEnd w:id="328"/>
      <w:r>
        <w:rPr>
          <w:rFonts w:hint="eastAsia" w:ascii="宋体" w:hAnsi="宋体" w:eastAsia="宋体" w:cs="宋体"/>
          <w:color w:val="auto"/>
          <w:szCs w:val="21"/>
          <w:highlight w:val="none"/>
          <w:u w:val="single"/>
        </w:rPr>
        <w:t xml:space="preserve">             </w:t>
      </w:r>
      <w:bookmarkStart w:id="329" w:name="_Toc221952020"/>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(投标人名称)的法定代表人。</w:t>
      </w:r>
      <w:bookmarkEnd w:id="329"/>
    </w:p>
    <w:p w14:paraId="23FC1377">
      <w:pPr>
        <w:spacing w:line="400" w:lineRule="exact"/>
        <w:ind w:firstLine="420" w:firstLineChars="200"/>
        <w:rPr>
          <w:rFonts w:hint="eastAsia" w:ascii="宋体" w:hAnsi="宋体" w:eastAsia="宋体" w:cs="宋体"/>
          <w:color w:val="auto"/>
          <w:szCs w:val="21"/>
          <w:highlight w:val="none"/>
        </w:rPr>
      </w:pPr>
      <w:bookmarkStart w:id="330" w:name="_Toc221952021"/>
      <w:r>
        <w:rPr>
          <w:rFonts w:hint="eastAsia" w:ascii="宋体" w:hAnsi="宋体" w:eastAsia="宋体" w:cs="宋体"/>
          <w:color w:val="auto"/>
          <w:szCs w:val="21"/>
          <w:highlight w:val="none"/>
        </w:rPr>
        <w:t>特此证明。</w:t>
      </w:r>
      <w:bookmarkEnd w:id="330"/>
    </w:p>
    <w:p w14:paraId="5D349DBE">
      <w:pPr>
        <w:spacing w:line="400" w:lineRule="exact"/>
        <w:rPr>
          <w:rFonts w:hint="eastAsia" w:ascii="宋体" w:hAnsi="宋体" w:eastAsia="宋体" w:cs="宋体"/>
          <w:color w:val="auto"/>
          <w:szCs w:val="21"/>
          <w:highlight w:val="none"/>
        </w:rPr>
      </w:pPr>
    </w:p>
    <w:p w14:paraId="33D53AA3">
      <w:pPr>
        <w:spacing w:line="400" w:lineRule="exact"/>
        <w:rPr>
          <w:rFonts w:hint="eastAsia" w:ascii="宋体" w:hAnsi="宋体" w:eastAsia="宋体" w:cs="宋体"/>
          <w:color w:val="auto"/>
          <w:szCs w:val="21"/>
          <w:highlight w:val="none"/>
        </w:rPr>
      </w:pPr>
    </w:p>
    <w:p w14:paraId="2A3F681C">
      <w:pPr>
        <w:spacing w:line="400" w:lineRule="exact"/>
        <w:rPr>
          <w:rFonts w:hint="eastAsia" w:ascii="宋体" w:hAnsi="宋体" w:eastAsia="宋体" w:cs="宋体"/>
          <w:color w:val="auto"/>
          <w:szCs w:val="21"/>
          <w:highlight w:val="none"/>
        </w:rPr>
      </w:pPr>
    </w:p>
    <w:p w14:paraId="09233AD2">
      <w:pPr>
        <w:spacing w:line="400" w:lineRule="exact"/>
        <w:jc w:val="right"/>
        <w:rPr>
          <w:rFonts w:hint="eastAsia" w:ascii="宋体" w:hAnsi="宋体" w:eastAsia="宋体" w:cs="宋体"/>
          <w:color w:val="auto"/>
          <w:szCs w:val="21"/>
          <w:highlight w:val="none"/>
        </w:rPr>
      </w:pPr>
      <w:bookmarkStart w:id="331" w:name="_Toc221952022"/>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bookmarkEnd w:id="331"/>
    </w:p>
    <w:p w14:paraId="1BB95B79">
      <w:pPr>
        <w:spacing w:line="400" w:lineRule="exact"/>
        <w:jc w:val="right"/>
        <w:rPr>
          <w:rFonts w:hint="eastAsia" w:ascii="宋体" w:hAnsi="宋体" w:eastAsia="宋体" w:cs="宋体"/>
          <w:color w:val="auto"/>
          <w:szCs w:val="21"/>
          <w:highlight w:val="none"/>
        </w:rPr>
      </w:pPr>
    </w:p>
    <w:p w14:paraId="73240BDA">
      <w:pPr>
        <w:spacing w:line="40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bookmarkStart w:id="332" w:name="_Toc221952023"/>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bookmarkEnd w:id="332"/>
      <w:r>
        <w:rPr>
          <w:rFonts w:hint="eastAsia" w:ascii="宋体" w:hAnsi="宋体" w:eastAsia="宋体" w:cs="宋体"/>
          <w:color w:val="auto"/>
          <w:szCs w:val="21"/>
          <w:highlight w:val="none"/>
        </w:rPr>
        <w:t xml:space="preserve"> </w:t>
      </w:r>
    </w:p>
    <w:p w14:paraId="30474CF8">
      <w:pPr>
        <w:spacing w:line="400" w:lineRule="exact"/>
        <w:jc w:val="center"/>
        <w:rPr>
          <w:rFonts w:hint="eastAsia" w:ascii="宋体" w:hAnsi="宋体" w:eastAsia="宋体" w:cs="宋体"/>
          <w:color w:val="auto"/>
          <w:sz w:val="19"/>
          <w:szCs w:val="19"/>
          <w:highlight w:val="none"/>
        </w:rPr>
      </w:pPr>
      <w:r>
        <w:rPr>
          <w:rFonts w:hint="eastAsia" w:ascii="宋体" w:hAnsi="宋体" w:eastAsia="宋体" w:cs="宋体"/>
          <w:color w:val="auto"/>
          <w:szCs w:val="21"/>
          <w:highlight w:val="none"/>
        </w:rPr>
        <w:br w:type="page"/>
      </w:r>
    </w:p>
    <w:p w14:paraId="2FEACE40">
      <w:pPr>
        <w:spacing w:line="360" w:lineRule="auto"/>
        <w:jc w:val="center"/>
        <w:outlineLvl w:val="2"/>
        <w:rPr>
          <w:rFonts w:hint="eastAsia" w:ascii="宋体" w:hAnsi="宋体" w:eastAsia="宋体" w:cs="宋体"/>
          <w:color w:val="auto"/>
          <w:sz w:val="28"/>
          <w:szCs w:val="27"/>
          <w:highlight w:val="none"/>
        </w:rPr>
      </w:pPr>
      <w:bookmarkStart w:id="333" w:name="_Toc144974861"/>
      <w:bookmarkStart w:id="334" w:name="_Toc78985268"/>
      <w:bookmarkStart w:id="335" w:name="_Toc17556962"/>
      <w:bookmarkStart w:id="336" w:name="_Toc222031064"/>
      <w:bookmarkStart w:id="337" w:name="_Toc259524416"/>
      <w:bookmarkStart w:id="338" w:name="_Toc17454902"/>
      <w:bookmarkStart w:id="339" w:name="_Toc229305422"/>
      <w:bookmarkStart w:id="340" w:name="_Toc168476322"/>
      <w:bookmarkStart w:id="341" w:name="_Toc17451609"/>
      <w:bookmarkStart w:id="342" w:name="_Toc17451132"/>
      <w:bookmarkStart w:id="343" w:name="_Toc17556907"/>
      <w:bookmarkStart w:id="344" w:name="_Toc168475919"/>
      <w:bookmarkStart w:id="345" w:name="_Toc222029562"/>
      <w:bookmarkStart w:id="346" w:name="_Toc222033913"/>
      <w:bookmarkStart w:id="347" w:name="_Toc53669181"/>
      <w:bookmarkStart w:id="348" w:name="_Toc17451654"/>
      <w:bookmarkStart w:id="349" w:name="_Toc17452695"/>
      <w:bookmarkStart w:id="350" w:name="_Toc17454953"/>
      <w:bookmarkStart w:id="351" w:name="_Toc221952024"/>
      <w:bookmarkStart w:id="352" w:name="_Toc772"/>
      <w:bookmarkStart w:id="353" w:name="_Toc222032731"/>
      <w:r>
        <w:rPr>
          <w:rFonts w:hint="eastAsia" w:ascii="宋体" w:hAnsi="宋体" w:eastAsia="宋体" w:cs="宋体"/>
          <w:color w:val="auto"/>
          <w:sz w:val="28"/>
          <w:szCs w:val="27"/>
          <w:highlight w:val="none"/>
        </w:rPr>
        <w:t>三、授权委托书</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4595EAC7">
      <w:pPr>
        <w:spacing w:line="400" w:lineRule="exact"/>
        <w:rPr>
          <w:rFonts w:hint="eastAsia" w:ascii="宋体" w:hAnsi="宋体" w:eastAsia="宋体" w:cs="宋体"/>
          <w:color w:val="auto"/>
          <w:sz w:val="20"/>
          <w:szCs w:val="20"/>
          <w:highlight w:val="none"/>
        </w:rPr>
      </w:pPr>
    </w:p>
    <w:p w14:paraId="12DF8412">
      <w:pPr>
        <w:topLinePunct/>
        <w:spacing w:line="400" w:lineRule="exact"/>
        <w:ind w:firstLine="420" w:firstLineChars="200"/>
        <w:rPr>
          <w:rFonts w:hint="eastAsia" w:ascii="宋体" w:hAnsi="宋体" w:eastAsia="宋体" w:cs="宋体"/>
          <w:color w:val="auto"/>
          <w:szCs w:val="21"/>
          <w:highlight w:val="none"/>
        </w:rPr>
      </w:pPr>
      <w:bookmarkStart w:id="354" w:name="_Toc221952025"/>
      <w:r>
        <w:rPr>
          <w:rFonts w:hint="eastAsia" w:ascii="宋体" w:hAnsi="宋体" w:eastAsia="宋体" w:cs="宋体"/>
          <w:color w:val="auto"/>
          <w:szCs w:val="21"/>
          <w:highlight w:val="none"/>
        </w:rPr>
        <w:t>本人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（姓名）系</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（投标人名称）的法定代表人，现委托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（姓名）为我方代理人。代理人根据授权，以我方名义签署、澄清、说明、补正、递交、撤回、修改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（标段名称）投标文件、签订合同和处理有关事宜，其法律后果由我方承担。</w:t>
      </w:r>
      <w:bookmarkEnd w:id="354"/>
    </w:p>
    <w:p w14:paraId="5AD256C8">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bookmarkStart w:id="355" w:name="_Toc221952026"/>
      <w:r>
        <w:rPr>
          <w:rFonts w:hint="eastAsia" w:ascii="宋体" w:hAnsi="宋体" w:eastAsia="宋体" w:cs="宋体"/>
          <w:color w:val="auto"/>
          <w:szCs w:val="21"/>
          <w:highlight w:val="none"/>
        </w:rPr>
        <w:t>委托期限：</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bookmarkEnd w:id="355"/>
    </w:p>
    <w:p w14:paraId="1E7E9779">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代理人无转委托权。代理人为投标人正式职工（提供离投标截止时间最近1个月的社保证明）</w:t>
      </w:r>
    </w:p>
    <w:p w14:paraId="2213EB29">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附：法定代表人身份证明和社保证明</w:t>
      </w:r>
    </w:p>
    <w:p w14:paraId="6B912507">
      <w:pPr>
        <w:spacing w:line="400" w:lineRule="exact"/>
        <w:rPr>
          <w:rFonts w:hint="eastAsia" w:ascii="宋体" w:hAnsi="宋体" w:eastAsia="宋体" w:cs="宋体"/>
          <w:color w:val="auto"/>
          <w:szCs w:val="21"/>
          <w:highlight w:val="none"/>
        </w:rPr>
      </w:pPr>
    </w:p>
    <w:p w14:paraId="6E1BC757">
      <w:pPr>
        <w:spacing w:line="400" w:lineRule="exact"/>
        <w:rPr>
          <w:rFonts w:hint="eastAsia" w:ascii="宋体" w:hAnsi="宋体" w:eastAsia="宋体" w:cs="宋体"/>
          <w:color w:val="auto"/>
          <w:szCs w:val="21"/>
          <w:highlight w:val="none"/>
        </w:rPr>
      </w:pPr>
    </w:p>
    <w:p w14:paraId="60AD251D">
      <w:pPr>
        <w:spacing w:line="400" w:lineRule="exact"/>
        <w:jc w:val="right"/>
        <w:rPr>
          <w:rFonts w:hint="eastAsia" w:ascii="宋体" w:hAnsi="宋体" w:eastAsia="宋体" w:cs="宋体"/>
          <w:color w:val="auto"/>
          <w:szCs w:val="21"/>
          <w:highlight w:val="none"/>
        </w:rPr>
      </w:pPr>
      <w:bookmarkStart w:id="356" w:name="_Toc221952029"/>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bookmarkEnd w:id="356"/>
    </w:p>
    <w:p w14:paraId="23EACCA0">
      <w:pPr>
        <w:spacing w:line="400" w:lineRule="exact"/>
        <w:jc w:val="right"/>
        <w:rPr>
          <w:rFonts w:hint="eastAsia" w:ascii="宋体" w:hAnsi="宋体" w:eastAsia="宋体" w:cs="宋体"/>
          <w:color w:val="auto"/>
          <w:szCs w:val="21"/>
          <w:highlight w:val="none"/>
        </w:rPr>
      </w:pPr>
    </w:p>
    <w:p w14:paraId="3D9D798F">
      <w:pPr>
        <w:wordWrap w:val="0"/>
        <w:spacing w:line="400" w:lineRule="exact"/>
        <w:jc w:val="right"/>
        <w:rPr>
          <w:rFonts w:hint="eastAsia" w:ascii="宋体" w:hAnsi="宋体" w:eastAsia="宋体" w:cs="宋体"/>
          <w:color w:val="auto"/>
          <w:szCs w:val="21"/>
          <w:highlight w:val="none"/>
        </w:rPr>
      </w:pPr>
      <w:bookmarkStart w:id="357" w:name="_Toc221952030"/>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w:t>
      </w:r>
      <w:bookmarkEnd w:id="357"/>
    </w:p>
    <w:p w14:paraId="3C90FE00">
      <w:pPr>
        <w:spacing w:line="400" w:lineRule="exact"/>
        <w:jc w:val="right"/>
        <w:rPr>
          <w:rFonts w:hint="eastAsia" w:ascii="宋体" w:hAnsi="宋体" w:eastAsia="宋体" w:cs="宋体"/>
          <w:color w:val="auto"/>
          <w:szCs w:val="21"/>
          <w:highlight w:val="none"/>
        </w:rPr>
      </w:pPr>
    </w:p>
    <w:p w14:paraId="0CF6BF1E">
      <w:pPr>
        <w:spacing w:line="400" w:lineRule="exact"/>
        <w:ind w:right="420" w:firstLine="2940" w:firstLineChars="1400"/>
        <w:rPr>
          <w:rFonts w:hint="eastAsia" w:ascii="宋体" w:hAnsi="宋体" w:eastAsia="宋体" w:cs="宋体"/>
          <w:color w:val="auto"/>
          <w:szCs w:val="21"/>
          <w:highlight w:val="none"/>
        </w:rPr>
      </w:pPr>
      <w:bookmarkStart w:id="358" w:name="_Toc221952031"/>
      <w:r>
        <w:rPr>
          <w:rFonts w:hint="eastAsia" w:ascii="宋体" w:hAnsi="宋体" w:eastAsia="宋体" w:cs="宋体"/>
          <w:color w:val="auto"/>
          <w:szCs w:val="21"/>
          <w:highlight w:val="none"/>
        </w:rPr>
        <w:t>身份证号码：</w:t>
      </w:r>
      <w:bookmarkEnd w:id="358"/>
      <w:r>
        <w:rPr>
          <w:rFonts w:hint="eastAsia" w:ascii="宋体" w:hAnsi="宋体" w:eastAsia="宋体" w:cs="宋体"/>
          <w:color w:val="auto"/>
          <w:szCs w:val="21"/>
          <w:highlight w:val="none"/>
          <w:u w:val="single"/>
        </w:rPr>
        <w:t xml:space="preserve">                                   </w:t>
      </w:r>
    </w:p>
    <w:p w14:paraId="1F99475D">
      <w:pPr>
        <w:spacing w:line="400" w:lineRule="exact"/>
        <w:jc w:val="right"/>
        <w:rPr>
          <w:rFonts w:hint="eastAsia" w:ascii="宋体" w:hAnsi="宋体" w:eastAsia="宋体" w:cs="宋体"/>
          <w:color w:val="auto"/>
          <w:szCs w:val="21"/>
          <w:highlight w:val="none"/>
        </w:rPr>
      </w:pPr>
    </w:p>
    <w:p w14:paraId="3BB463E3">
      <w:pPr>
        <w:wordWrap w:val="0"/>
        <w:spacing w:line="400" w:lineRule="exact"/>
        <w:jc w:val="right"/>
        <w:rPr>
          <w:rFonts w:hint="eastAsia" w:ascii="宋体" w:hAnsi="宋体" w:eastAsia="宋体" w:cs="宋体"/>
          <w:color w:val="auto"/>
          <w:szCs w:val="21"/>
          <w:highlight w:val="none"/>
        </w:rPr>
      </w:pPr>
      <w:bookmarkStart w:id="359" w:name="_Toc221952032"/>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w:t>
      </w:r>
      <w:bookmarkEnd w:id="359"/>
      <w:r>
        <w:rPr>
          <w:rFonts w:hint="eastAsia" w:ascii="宋体" w:hAnsi="宋体" w:eastAsia="宋体" w:cs="宋体"/>
          <w:color w:val="auto"/>
          <w:szCs w:val="21"/>
          <w:highlight w:val="none"/>
        </w:rPr>
        <w:t xml:space="preserve"> </w:t>
      </w:r>
    </w:p>
    <w:p w14:paraId="1E899497">
      <w:pPr>
        <w:wordWrap w:val="0"/>
        <w:spacing w:line="40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713950C2">
      <w:pPr>
        <w:spacing w:line="400" w:lineRule="exact"/>
        <w:ind w:right="420" w:firstLine="2940" w:firstLineChars="1400"/>
        <w:rPr>
          <w:rFonts w:hint="eastAsia" w:ascii="宋体" w:hAnsi="宋体" w:eastAsia="宋体" w:cs="宋体"/>
          <w:color w:val="auto"/>
          <w:szCs w:val="21"/>
          <w:highlight w:val="none"/>
        </w:rPr>
      </w:pPr>
      <w:bookmarkStart w:id="360" w:name="_Toc221952033"/>
      <w:r>
        <w:rPr>
          <w:rFonts w:hint="eastAsia" w:ascii="宋体" w:hAnsi="宋体" w:eastAsia="宋体" w:cs="宋体"/>
          <w:color w:val="auto"/>
          <w:szCs w:val="21"/>
          <w:highlight w:val="none"/>
        </w:rPr>
        <w:t>身份证号码：</w:t>
      </w:r>
      <w:bookmarkEnd w:id="360"/>
      <w:r>
        <w:rPr>
          <w:rFonts w:hint="eastAsia" w:ascii="宋体" w:hAnsi="宋体" w:eastAsia="宋体" w:cs="宋体"/>
          <w:color w:val="auto"/>
          <w:szCs w:val="21"/>
          <w:highlight w:val="none"/>
          <w:u w:val="single"/>
        </w:rPr>
        <w:t xml:space="preserve">                                    </w:t>
      </w:r>
    </w:p>
    <w:p w14:paraId="0FDCA3BC">
      <w:pPr>
        <w:spacing w:line="400" w:lineRule="exact"/>
        <w:jc w:val="right"/>
        <w:rPr>
          <w:rFonts w:hint="eastAsia" w:ascii="宋体" w:hAnsi="宋体" w:eastAsia="宋体" w:cs="宋体"/>
          <w:color w:val="auto"/>
          <w:szCs w:val="21"/>
          <w:highlight w:val="none"/>
        </w:rPr>
      </w:pPr>
    </w:p>
    <w:p w14:paraId="0B07409A">
      <w:pPr>
        <w:spacing w:line="400" w:lineRule="exact"/>
        <w:ind w:firstLine="1575" w:firstLineChars="75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bookmarkStart w:id="361" w:name="_Toc221952034"/>
      <w:r>
        <w:rPr>
          <w:rFonts w:hint="eastAsia" w:ascii="宋体" w:hAnsi="宋体" w:eastAsia="宋体" w:cs="宋体"/>
          <w:color w:val="auto"/>
          <w:szCs w:val="21"/>
          <w:highlight w:val="none"/>
        </w:rPr>
        <w:t xml:space="preserve">年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bookmarkEnd w:id="361"/>
    </w:p>
    <w:p w14:paraId="7E37B8B2">
      <w:pPr>
        <w:spacing w:line="400" w:lineRule="exact"/>
        <w:jc w:val="center"/>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br w:type="page"/>
      </w:r>
    </w:p>
    <w:p w14:paraId="0AEEAACD">
      <w:pPr>
        <w:spacing w:line="360" w:lineRule="auto"/>
        <w:jc w:val="center"/>
        <w:outlineLvl w:val="2"/>
        <w:rPr>
          <w:rFonts w:hint="eastAsia" w:ascii="宋体" w:hAnsi="宋体" w:eastAsia="宋体" w:cs="宋体"/>
          <w:color w:val="auto"/>
          <w:sz w:val="28"/>
          <w:szCs w:val="27"/>
          <w:highlight w:val="none"/>
        </w:rPr>
      </w:pPr>
      <w:bookmarkStart w:id="362" w:name="_Toc144974862"/>
      <w:bookmarkStart w:id="363" w:name="_Toc168475920"/>
      <w:bookmarkStart w:id="364" w:name="_Toc259524417"/>
      <w:bookmarkStart w:id="365" w:name="_Toc17556908"/>
      <w:bookmarkStart w:id="366" w:name="_Toc168476323"/>
      <w:bookmarkStart w:id="367" w:name="_Toc17454954"/>
      <w:bookmarkStart w:id="368" w:name="_Toc17454903"/>
      <w:bookmarkStart w:id="369" w:name="_Toc17451655"/>
      <w:bookmarkStart w:id="370" w:name="_Toc229305423"/>
      <w:bookmarkStart w:id="371" w:name="_Toc17451610"/>
      <w:bookmarkStart w:id="372" w:name="_Toc222033914"/>
      <w:bookmarkStart w:id="373" w:name="_Toc222032732"/>
      <w:bookmarkStart w:id="374" w:name="_Toc222031065"/>
      <w:bookmarkStart w:id="375" w:name="_Toc17556963"/>
      <w:bookmarkStart w:id="376" w:name="_Toc8630"/>
      <w:bookmarkStart w:id="377" w:name="_Toc17452696"/>
      <w:bookmarkStart w:id="378" w:name="_Toc78985269"/>
      <w:bookmarkStart w:id="379" w:name="_Toc221952035"/>
      <w:bookmarkStart w:id="380" w:name="_Toc17451133"/>
      <w:bookmarkStart w:id="381" w:name="_Toc222029563"/>
      <w:r>
        <w:rPr>
          <w:rFonts w:hint="eastAsia" w:ascii="宋体" w:hAnsi="宋体" w:eastAsia="宋体" w:cs="宋体"/>
          <w:color w:val="auto"/>
          <w:sz w:val="28"/>
          <w:szCs w:val="27"/>
          <w:highlight w:val="none"/>
        </w:rPr>
        <w:t>四、</w:t>
      </w:r>
      <w:bookmarkEnd w:id="362"/>
      <w:r>
        <w:rPr>
          <w:rFonts w:hint="eastAsia" w:ascii="宋体" w:hAnsi="宋体" w:eastAsia="宋体" w:cs="宋体"/>
          <w:color w:val="auto"/>
          <w:sz w:val="28"/>
          <w:szCs w:val="27"/>
          <w:highlight w:val="none"/>
        </w:rPr>
        <w:t>联合体协议书</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0FA03BD4">
      <w:pPr>
        <w:spacing w:line="276" w:lineRule="auto"/>
        <w:jc w:val="left"/>
        <w:rPr>
          <w:rFonts w:hint="eastAsia" w:ascii="宋体" w:hAnsi="宋体" w:eastAsia="宋体" w:cs="宋体"/>
          <w:color w:val="auto"/>
          <w:szCs w:val="21"/>
          <w:highlight w:val="none"/>
        </w:rPr>
      </w:pPr>
    </w:p>
    <w:p w14:paraId="1F32795D">
      <w:pPr>
        <w:spacing w:line="400" w:lineRule="exact"/>
        <w:ind w:firstLine="435"/>
        <w:jc w:val="center"/>
        <w:rPr>
          <w:rFonts w:hint="eastAsia" w:ascii="宋体" w:hAnsi="宋体" w:eastAsia="宋体" w:cs="宋体"/>
          <w:color w:val="auto"/>
          <w:szCs w:val="21"/>
          <w:highlight w:val="none"/>
        </w:rPr>
      </w:pPr>
      <w:bookmarkStart w:id="382" w:name="_Toc221952043"/>
      <w:r>
        <w:rPr>
          <w:rFonts w:hint="eastAsia" w:ascii="宋体" w:hAnsi="宋体" w:eastAsia="宋体" w:cs="宋体"/>
          <w:color w:val="auto"/>
          <w:szCs w:val="21"/>
          <w:highlight w:val="none"/>
        </w:rPr>
        <w:t>注：</w:t>
      </w:r>
      <w:bookmarkEnd w:id="382"/>
      <w:r>
        <w:rPr>
          <w:rFonts w:hint="eastAsia" w:ascii="宋体" w:hAnsi="宋体" w:eastAsia="宋体" w:cs="宋体"/>
          <w:color w:val="auto"/>
          <w:szCs w:val="21"/>
          <w:highlight w:val="none"/>
        </w:rPr>
        <w:t>本项目不接受联合体投标，无需提供。</w:t>
      </w:r>
    </w:p>
    <w:p w14:paraId="214B105A">
      <w:pPr>
        <w:spacing w:line="400" w:lineRule="exact"/>
        <w:jc w:val="center"/>
        <w:rPr>
          <w:rFonts w:hint="eastAsia" w:ascii="宋体" w:hAnsi="宋体" w:eastAsia="宋体" w:cs="宋体"/>
          <w:color w:val="auto"/>
          <w:sz w:val="20"/>
          <w:szCs w:val="20"/>
          <w:highlight w:val="none"/>
        </w:rPr>
      </w:pPr>
      <w:r>
        <w:rPr>
          <w:rFonts w:hint="eastAsia" w:ascii="宋体" w:hAnsi="宋体" w:eastAsia="宋体" w:cs="宋体"/>
          <w:color w:val="auto"/>
          <w:sz w:val="19"/>
          <w:szCs w:val="19"/>
          <w:highlight w:val="none"/>
        </w:rPr>
        <w:br w:type="page"/>
      </w:r>
    </w:p>
    <w:p w14:paraId="63DDD33F">
      <w:pPr>
        <w:spacing w:line="360" w:lineRule="auto"/>
        <w:jc w:val="center"/>
        <w:outlineLvl w:val="2"/>
        <w:rPr>
          <w:rFonts w:hint="eastAsia" w:ascii="宋体" w:hAnsi="宋体" w:eastAsia="宋体" w:cs="宋体"/>
          <w:color w:val="auto"/>
          <w:sz w:val="28"/>
          <w:szCs w:val="27"/>
          <w:highlight w:val="none"/>
        </w:rPr>
      </w:pPr>
      <w:bookmarkStart w:id="383" w:name="_Toc17451134"/>
      <w:bookmarkStart w:id="384" w:name="_Toc221952052"/>
      <w:bookmarkStart w:id="385" w:name="_Toc17451611"/>
      <w:bookmarkStart w:id="386" w:name="_Toc17454955"/>
      <w:bookmarkStart w:id="387" w:name="_Toc17454904"/>
      <w:bookmarkStart w:id="388" w:name="_Toc17452697"/>
      <w:bookmarkStart w:id="389" w:name="_Toc168476324"/>
      <w:bookmarkStart w:id="390" w:name="_Toc17556964"/>
      <w:bookmarkStart w:id="391" w:name="_Toc17556909"/>
      <w:bookmarkStart w:id="392" w:name="_Toc222031066"/>
      <w:bookmarkStart w:id="393" w:name="_Toc17451656"/>
      <w:bookmarkStart w:id="394" w:name="_Toc78985270"/>
      <w:bookmarkStart w:id="395" w:name="_Toc222032733"/>
      <w:bookmarkStart w:id="396" w:name="_Toc222033915"/>
      <w:bookmarkStart w:id="397" w:name="_Toc222029564"/>
      <w:bookmarkStart w:id="398" w:name="_Toc6000"/>
      <w:bookmarkStart w:id="399" w:name="_Toc53669182"/>
      <w:bookmarkStart w:id="400" w:name="_Toc168475921"/>
      <w:bookmarkStart w:id="401" w:name="_Toc259524418"/>
      <w:bookmarkStart w:id="402" w:name="_Toc229305424"/>
      <w:r>
        <w:rPr>
          <w:rFonts w:hint="eastAsia" w:ascii="宋体" w:hAnsi="宋体" w:eastAsia="宋体" w:cs="宋体"/>
          <w:color w:val="auto"/>
          <w:sz w:val="28"/>
          <w:szCs w:val="27"/>
          <w:highlight w:val="none"/>
        </w:rPr>
        <w:t>五、投标保证金</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3C9844E7">
      <w:pPr>
        <w:spacing w:line="400" w:lineRule="exact"/>
        <w:jc w:val="left"/>
        <w:rPr>
          <w:rFonts w:hint="eastAsia" w:ascii="宋体" w:hAnsi="宋体" w:eastAsia="宋体" w:cs="宋体"/>
          <w:color w:val="auto"/>
          <w:szCs w:val="21"/>
          <w:highlight w:val="none"/>
          <w:u w:val="single"/>
        </w:rPr>
      </w:pPr>
    </w:p>
    <w:p w14:paraId="722B975A">
      <w:pPr>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bookmarkStart w:id="403" w:name="_Toc221952054"/>
      <w:r>
        <w:rPr>
          <w:rFonts w:hint="eastAsia" w:ascii="宋体" w:hAnsi="宋体" w:eastAsia="宋体" w:cs="宋体"/>
          <w:color w:val="auto"/>
          <w:szCs w:val="21"/>
          <w:highlight w:val="none"/>
        </w:rPr>
        <w:t>（招标人名称）：</w:t>
      </w:r>
      <w:bookmarkEnd w:id="403"/>
    </w:p>
    <w:p w14:paraId="04078D17">
      <w:pPr>
        <w:spacing w:line="400" w:lineRule="exact"/>
        <w:jc w:val="left"/>
        <w:rPr>
          <w:rFonts w:hint="eastAsia" w:ascii="宋体" w:hAnsi="宋体" w:eastAsia="宋体" w:cs="宋体"/>
          <w:color w:val="auto"/>
          <w:szCs w:val="21"/>
          <w:highlight w:val="none"/>
        </w:rPr>
      </w:pPr>
    </w:p>
    <w:p w14:paraId="088B4DDF">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鉴于</w:t>
      </w:r>
      <w:r>
        <w:rPr>
          <w:rFonts w:hint="eastAsia" w:ascii="宋体" w:hAnsi="宋体" w:eastAsia="宋体" w:cs="宋体"/>
          <w:color w:val="auto"/>
          <w:szCs w:val="21"/>
          <w:highlight w:val="none"/>
          <w:u w:val="single"/>
        </w:rPr>
        <w:t xml:space="preserve">       （投标人名称）</w:t>
      </w:r>
      <w:r>
        <w:rPr>
          <w:rFonts w:hint="eastAsia" w:ascii="宋体" w:hAnsi="宋体" w:eastAsia="宋体" w:cs="宋体"/>
          <w:color w:val="auto"/>
          <w:szCs w:val="21"/>
          <w:highlight w:val="none"/>
        </w:rPr>
        <w:t>（以下称“投标人”）于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日参加</w:t>
      </w:r>
      <w:r>
        <w:rPr>
          <w:rFonts w:hint="eastAsia" w:ascii="宋体" w:hAnsi="宋体" w:eastAsia="宋体" w:cs="宋体"/>
          <w:color w:val="auto"/>
          <w:szCs w:val="21"/>
          <w:highlight w:val="none"/>
          <w:u w:val="single"/>
        </w:rPr>
        <w:t xml:space="preserve">         （项目名称）</w:t>
      </w:r>
      <w:r>
        <w:rPr>
          <w:rFonts w:hint="eastAsia" w:ascii="宋体" w:hAnsi="宋体" w:eastAsia="宋体" w:cs="宋体"/>
          <w:color w:val="auto"/>
          <w:szCs w:val="21"/>
          <w:highlight w:val="none"/>
        </w:rPr>
        <w:t>的投标，</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担保人名称，以下简称“我方”）保证：投标人在规定的投标文件有效期内撤销或修改其投标文件的，或者投标人在收到中标通知书后无正当理由拒签合同或拒交规定履约担保的，我方承担保证责任。收到你方书面通知后，在7日内向你方支付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408F499E">
      <w:pPr>
        <w:spacing w:line="400" w:lineRule="exact"/>
        <w:ind w:firstLine="420" w:firstLineChars="200"/>
        <w:jc w:val="left"/>
        <w:rPr>
          <w:rFonts w:hint="eastAsia" w:ascii="宋体" w:hAnsi="宋体" w:eastAsia="宋体" w:cs="宋体"/>
          <w:color w:val="auto"/>
          <w:szCs w:val="21"/>
          <w:highlight w:val="none"/>
        </w:rPr>
      </w:pPr>
      <w:bookmarkStart w:id="404" w:name="_Toc221952056"/>
      <w:r>
        <w:rPr>
          <w:rFonts w:hint="eastAsia" w:ascii="宋体" w:hAnsi="宋体" w:eastAsia="宋体" w:cs="宋体"/>
          <w:color w:val="auto"/>
          <w:szCs w:val="21"/>
          <w:highlight w:val="none"/>
        </w:rPr>
        <w:t>本担保在投标有效期内保持有效。要求我方承担保证责任的书面通知应在投标有效期内送达我方。</w:t>
      </w:r>
      <w:bookmarkEnd w:id="404"/>
    </w:p>
    <w:p w14:paraId="5F3016FA">
      <w:pPr>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2834B48">
      <w:pPr>
        <w:spacing w:line="400" w:lineRule="exact"/>
        <w:jc w:val="left"/>
        <w:rPr>
          <w:rFonts w:hint="eastAsia" w:ascii="宋体" w:hAnsi="宋体" w:eastAsia="宋体" w:cs="宋体"/>
          <w:color w:val="auto"/>
          <w:szCs w:val="21"/>
          <w:highlight w:val="none"/>
        </w:rPr>
      </w:pPr>
    </w:p>
    <w:p w14:paraId="5FDB0C06">
      <w:pPr>
        <w:spacing w:line="400" w:lineRule="exact"/>
        <w:jc w:val="left"/>
        <w:rPr>
          <w:rFonts w:hint="eastAsia" w:ascii="宋体" w:hAnsi="宋体" w:eastAsia="宋体" w:cs="宋体"/>
          <w:color w:val="auto"/>
          <w:szCs w:val="21"/>
          <w:highlight w:val="none"/>
        </w:rPr>
      </w:pPr>
    </w:p>
    <w:p w14:paraId="7F5CB2EA">
      <w:pPr>
        <w:spacing w:line="400" w:lineRule="exact"/>
        <w:jc w:val="left"/>
        <w:rPr>
          <w:rFonts w:hint="eastAsia" w:ascii="宋体" w:hAnsi="宋体" w:eastAsia="宋体" w:cs="宋体"/>
          <w:color w:val="auto"/>
          <w:szCs w:val="21"/>
          <w:highlight w:val="none"/>
        </w:rPr>
      </w:pPr>
    </w:p>
    <w:p w14:paraId="4F32056E">
      <w:pPr>
        <w:spacing w:line="400" w:lineRule="exact"/>
        <w:ind w:firstLine="2158" w:firstLineChars="1028"/>
        <w:jc w:val="left"/>
        <w:rPr>
          <w:rFonts w:hint="eastAsia" w:ascii="宋体" w:hAnsi="宋体" w:eastAsia="宋体" w:cs="宋体"/>
          <w:color w:val="auto"/>
          <w:szCs w:val="21"/>
          <w:highlight w:val="none"/>
        </w:rPr>
      </w:pPr>
      <w:bookmarkStart w:id="405" w:name="_Toc221952057"/>
      <w:r>
        <w:rPr>
          <w:rFonts w:hint="eastAsia" w:ascii="宋体" w:hAnsi="宋体" w:eastAsia="宋体" w:cs="宋体"/>
          <w:color w:val="auto"/>
          <w:szCs w:val="21"/>
          <w:highlight w:val="none"/>
        </w:rPr>
        <w:t>担保人：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bookmarkEnd w:id="405"/>
    </w:p>
    <w:p w14:paraId="060AD099">
      <w:pPr>
        <w:spacing w:line="400" w:lineRule="exact"/>
        <w:ind w:firstLine="2158" w:firstLineChars="1028"/>
        <w:jc w:val="left"/>
        <w:rPr>
          <w:rFonts w:hint="eastAsia" w:ascii="宋体" w:hAnsi="宋体" w:eastAsia="宋体" w:cs="宋体"/>
          <w:color w:val="auto"/>
          <w:szCs w:val="21"/>
          <w:highlight w:val="none"/>
        </w:rPr>
      </w:pPr>
      <w:bookmarkStart w:id="406" w:name="_Toc221952058"/>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w:t>
      </w:r>
      <w:bookmarkEnd w:id="406"/>
    </w:p>
    <w:p w14:paraId="4B070296">
      <w:pPr>
        <w:spacing w:line="400" w:lineRule="exact"/>
        <w:ind w:firstLine="2158" w:firstLineChars="1028"/>
        <w:jc w:val="left"/>
        <w:rPr>
          <w:rFonts w:hint="eastAsia" w:ascii="宋体" w:hAnsi="宋体" w:eastAsia="宋体" w:cs="宋体"/>
          <w:color w:val="auto"/>
          <w:szCs w:val="21"/>
          <w:highlight w:val="none"/>
        </w:rPr>
      </w:pPr>
      <w:bookmarkStart w:id="407" w:name="_Toc221952059"/>
      <w:r>
        <w:rPr>
          <w:rFonts w:hint="eastAsia" w:ascii="宋体" w:hAnsi="宋体" w:eastAsia="宋体" w:cs="宋体"/>
          <w:color w:val="auto"/>
          <w:szCs w:val="21"/>
          <w:highlight w:val="none"/>
        </w:rPr>
        <w:t>地    址：</w:t>
      </w:r>
      <w:bookmarkEnd w:id="407"/>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p>
    <w:p w14:paraId="67761B11">
      <w:pPr>
        <w:spacing w:line="400" w:lineRule="exact"/>
        <w:ind w:firstLine="2158" w:firstLineChars="1028"/>
        <w:jc w:val="left"/>
        <w:rPr>
          <w:rFonts w:hint="eastAsia" w:ascii="宋体" w:hAnsi="宋体" w:eastAsia="宋体" w:cs="宋体"/>
          <w:color w:val="auto"/>
          <w:szCs w:val="21"/>
          <w:highlight w:val="none"/>
          <w:u w:val="single"/>
        </w:rPr>
      </w:pPr>
      <w:bookmarkStart w:id="408" w:name="_Toc221952060"/>
      <w:r>
        <w:rPr>
          <w:rFonts w:hint="eastAsia" w:ascii="宋体" w:hAnsi="宋体" w:eastAsia="宋体" w:cs="宋体"/>
          <w:color w:val="auto"/>
          <w:szCs w:val="21"/>
          <w:highlight w:val="none"/>
        </w:rPr>
        <w:t>邮政编码：</w:t>
      </w:r>
      <w:bookmarkEnd w:id="408"/>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p>
    <w:p w14:paraId="5B33219B">
      <w:pPr>
        <w:spacing w:line="400" w:lineRule="exact"/>
        <w:ind w:firstLine="2158" w:firstLineChars="1028"/>
        <w:jc w:val="left"/>
        <w:rPr>
          <w:rFonts w:hint="eastAsia" w:ascii="宋体" w:hAnsi="宋体" w:eastAsia="宋体" w:cs="宋体"/>
          <w:color w:val="auto"/>
          <w:szCs w:val="21"/>
          <w:highlight w:val="none"/>
        </w:rPr>
      </w:pPr>
      <w:bookmarkStart w:id="409" w:name="_Toc221952061"/>
      <w:r>
        <w:rPr>
          <w:rFonts w:hint="eastAsia" w:ascii="宋体" w:hAnsi="宋体" w:eastAsia="宋体" w:cs="宋体"/>
          <w:color w:val="auto"/>
          <w:szCs w:val="21"/>
          <w:highlight w:val="none"/>
        </w:rPr>
        <w:t>电    话：</w:t>
      </w:r>
      <w:bookmarkEnd w:id="409"/>
      <w:r>
        <w:rPr>
          <w:rFonts w:hint="eastAsia" w:ascii="宋体" w:hAnsi="宋体" w:eastAsia="宋体" w:cs="宋体"/>
          <w:color w:val="auto"/>
          <w:szCs w:val="21"/>
          <w:highlight w:val="none"/>
          <w:u w:val="single"/>
        </w:rPr>
        <w:t xml:space="preserve">                                          </w:t>
      </w:r>
    </w:p>
    <w:p w14:paraId="4B3187C3">
      <w:pPr>
        <w:spacing w:line="400" w:lineRule="exact"/>
        <w:ind w:firstLine="3313" w:firstLineChars="1578"/>
        <w:jc w:val="center"/>
        <w:rPr>
          <w:rFonts w:hint="eastAsia" w:ascii="宋体" w:hAnsi="宋体" w:eastAsia="宋体" w:cs="宋体"/>
          <w:color w:val="auto"/>
          <w:szCs w:val="21"/>
          <w:highlight w:val="none"/>
        </w:rPr>
      </w:pPr>
      <w:bookmarkStart w:id="410" w:name="_Toc221952062"/>
      <w:r>
        <w:rPr>
          <w:rFonts w:hint="eastAsia" w:ascii="宋体" w:hAnsi="宋体" w:eastAsia="宋体" w:cs="宋体"/>
          <w:color w:val="auto"/>
          <w:szCs w:val="21"/>
          <w:highlight w:val="none"/>
        </w:rPr>
        <w:t>______年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bookmarkEnd w:id="410"/>
    </w:p>
    <w:p w14:paraId="095E9C25">
      <w:pPr>
        <w:spacing w:line="400" w:lineRule="exact"/>
        <w:jc w:val="left"/>
        <w:rPr>
          <w:rFonts w:hint="eastAsia" w:ascii="宋体" w:hAnsi="宋体" w:eastAsia="宋体" w:cs="宋体"/>
          <w:color w:val="auto"/>
          <w:szCs w:val="21"/>
          <w:highlight w:val="none"/>
        </w:rPr>
      </w:pPr>
    </w:p>
    <w:p w14:paraId="70D6A396">
      <w:pPr>
        <w:spacing w:line="400" w:lineRule="exact"/>
        <w:jc w:val="left"/>
        <w:rPr>
          <w:rFonts w:hint="eastAsia" w:ascii="宋体" w:hAnsi="宋体" w:eastAsia="宋体" w:cs="宋体"/>
          <w:color w:val="auto"/>
          <w:szCs w:val="21"/>
          <w:highlight w:val="none"/>
        </w:rPr>
      </w:pPr>
    </w:p>
    <w:p w14:paraId="038DB712">
      <w:pPr>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4A69E10A">
      <w:pPr>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1、投标保证金由广州公共资源交易平台代收的，以开标记录表记录的结果为准。（</w:t>
      </w:r>
      <w:r>
        <w:rPr>
          <w:rFonts w:hint="eastAsia" w:ascii="宋体" w:hAnsi="宋体" w:eastAsia="宋体" w:cs="宋体"/>
          <w:bCs/>
          <w:color w:val="auto"/>
          <w:szCs w:val="21"/>
          <w:highlight w:val="none"/>
          <w:u w:val="single"/>
        </w:rPr>
        <w:t>投标人应在此处提供广州交易集团有限公司（广州公共资源交易中心）出具的投标保证金回执扫描件</w:t>
      </w:r>
      <w:r>
        <w:rPr>
          <w:rFonts w:hint="eastAsia" w:ascii="宋体" w:hAnsi="宋体" w:eastAsia="宋体" w:cs="宋体"/>
          <w:color w:val="auto"/>
          <w:szCs w:val="21"/>
          <w:highlight w:val="none"/>
          <w:u w:val="single"/>
        </w:rPr>
        <w:t>）；</w:t>
      </w:r>
    </w:p>
    <w:p w14:paraId="49CF0565">
      <w:pPr>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2、若采用银行保函形式提交的，应采用上述格式或银行保函的格式。（</w:t>
      </w:r>
      <w:r>
        <w:rPr>
          <w:rFonts w:hint="eastAsia" w:ascii="宋体" w:hAnsi="宋体" w:eastAsia="宋体" w:cs="宋体"/>
          <w:bCs/>
          <w:color w:val="auto"/>
          <w:szCs w:val="21"/>
          <w:highlight w:val="none"/>
          <w:u w:val="single"/>
        </w:rPr>
        <w:t>投标人应在此处提供银行出具的保函原件的扫描件</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w:t>
      </w:r>
    </w:p>
    <w:p w14:paraId="6CF57AB8">
      <w:pPr>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u w:val="single"/>
        </w:rPr>
        <w:t>3、</w:t>
      </w:r>
      <w:r>
        <w:rPr>
          <w:rFonts w:hint="eastAsia" w:ascii="宋体" w:hAnsi="宋体" w:eastAsia="宋体" w:cs="宋体"/>
          <w:bCs/>
          <w:color w:val="auto"/>
          <w:szCs w:val="21"/>
          <w:highlight w:val="none"/>
          <w:u w:val="single"/>
        </w:rPr>
        <w:t>若采用保证保险形式提交的，投标人应在此处提供保险公司出具的保单原件的扫描件；</w:t>
      </w:r>
    </w:p>
    <w:p w14:paraId="1A8F182B">
      <w:pPr>
        <w:jc w:val="left"/>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u w:val="single"/>
        </w:rPr>
        <w:t>4、若采用担保保函形式提交的，</w:t>
      </w:r>
      <w:r>
        <w:rPr>
          <w:rFonts w:hint="eastAsia" w:ascii="宋体" w:hAnsi="宋体" w:eastAsia="宋体" w:cs="宋体"/>
          <w:color w:val="auto"/>
          <w:szCs w:val="21"/>
          <w:highlight w:val="none"/>
          <w:u w:val="single"/>
        </w:rPr>
        <w:t>应采用上述格式或担保保函的格式。（</w:t>
      </w:r>
      <w:r>
        <w:rPr>
          <w:rFonts w:hint="eastAsia" w:ascii="宋体" w:hAnsi="宋体" w:eastAsia="宋体" w:cs="宋体"/>
          <w:bCs/>
          <w:color w:val="auto"/>
          <w:szCs w:val="21"/>
          <w:highlight w:val="none"/>
          <w:u w:val="single"/>
        </w:rPr>
        <w:t>投标人应在此处提供担保机构出具的保函原件的扫描件</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w:t>
      </w:r>
    </w:p>
    <w:p w14:paraId="1374CFAE">
      <w:pPr>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u w:val="single"/>
        </w:rPr>
        <w:t>5、</w:t>
      </w:r>
      <w:r>
        <w:rPr>
          <w:rFonts w:hint="eastAsia" w:ascii="宋体" w:hAnsi="宋体" w:eastAsia="宋体" w:cs="宋体"/>
          <w:color w:val="auto"/>
          <w:szCs w:val="21"/>
          <w:highlight w:val="none"/>
          <w:u w:val="single"/>
        </w:rPr>
        <w:t>委托代理人应附授权委托书。</w:t>
      </w:r>
    </w:p>
    <w:p w14:paraId="667D61E2">
      <w:pPr>
        <w:spacing w:line="400" w:lineRule="exact"/>
        <w:jc w:val="left"/>
        <w:rPr>
          <w:rFonts w:hint="eastAsia" w:ascii="宋体" w:hAnsi="宋体" w:eastAsia="宋体" w:cs="宋体"/>
          <w:color w:val="auto"/>
          <w:sz w:val="20"/>
          <w:szCs w:val="20"/>
          <w:highlight w:val="none"/>
        </w:rPr>
      </w:pPr>
      <w:r>
        <w:rPr>
          <w:rFonts w:hint="eastAsia" w:ascii="宋体" w:hAnsi="宋体" w:eastAsia="宋体" w:cs="宋体"/>
          <w:color w:val="auto"/>
          <w:szCs w:val="21"/>
          <w:highlight w:val="none"/>
        </w:rPr>
        <w:br w:type="page"/>
      </w:r>
      <w:bookmarkStart w:id="411" w:name="_Toc168476325"/>
      <w:bookmarkStart w:id="412" w:name="_Toc144974863"/>
      <w:bookmarkStart w:id="413" w:name="_Toc221952063"/>
      <w:bookmarkStart w:id="414" w:name="_Toc222031067"/>
      <w:bookmarkStart w:id="415" w:name="_Toc168475922"/>
      <w:bookmarkStart w:id="416" w:name="_Toc222029565"/>
    </w:p>
    <w:p w14:paraId="4EA318BE">
      <w:pPr>
        <w:spacing w:line="360" w:lineRule="auto"/>
        <w:jc w:val="center"/>
        <w:outlineLvl w:val="2"/>
        <w:rPr>
          <w:rFonts w:hint="eastAsia" w:ascii="宋体" w:hAnsi="宋体" w:eastAsia="宋体" w:cs="宋体"/>
          <w:color w:val="auto"/>
          <w:sz w:val="28"/>
          <w:szCs w:val="27"/>
          <w:highlight w:val="none"/>
        </w:rPr>
      </w:pPr>
      <w:bookmarkStart w:id="417" w:name="_Toc17454956"/>
      <w:bookmarkStart w:id="418" w:name="_Toc17451135"/>
      <w:bookmarkStart w:id="419" w:name="_Toc17556910"/>
      <w:bookmarkStart w:id="420" w:name="_Toc78985271"/>
      <w:bookmarkStart w:id="421" w:name="_Toc17452698"/>
      <w:bookmarkStart w:id="422" w:name="_Toc17556965"/>
      <w:bookmarkStart w:id="423" w:name="_Toc229305425"/>
      <w:bookmarkStart w:id="424" w:name="_Toc259524419"/>
      <w:bookmarkStart w:id="425" w:name="_Toc29633"/>
      <w:bookmarkStart w:id="426" w:name="_Toc17451657"/>
      <w:bookmarkStart w:id="427" w:name="_Toc17451612"/>
      <w:bookmarkStart w:id="428" w:name="_Toc222033916"/>
      <w:bookmarkStart w:id="429" w:name="_Toc17454905"/>
      <w:bookmarkStart w:id="430" w:name="_Toc222032734"/>
      <w:r>
        <w:rPr>
          <w:rFonts w:hint="eastAsia" w:ascii="宋体" w:hAnsi="宋体" w:eastAsia="宋体" w:cs="宋体"/>
          <w:color w:val="auto"/>
          <w:sz w:val="28"/>
          <w:szCs w:val="27"/>
          <w:highlight w:val="none"/>
        </w:rPr>
        <w:t>六、已标价工程量清单</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7A529F0">
      <w:pPr>
        <w:spacing w:line="400" w:lineRule="exact"/>
        <w:jc w:val="center"/>
        <w:rPr>
          <w:rFonts w:hint="eastAsia" w:ascii="宋体" w:hAnsi="宋体" w:eastAsia="宋体" w:cs="宋体"/>
          <w:color w:val="auto"/>
          <w:szCs w:val="21"/>
          <w:highlight w:val="none"/>
        </w:rPr>
      </w:pPr>
    </w:p>
    <w:p w14:paraId="3BD7D4DA">
      <w:pPr>
        <w:spacing w:line="400" w:lineRule="exact"/>
        <w:jc w:val="left"/>
        <w:rPr>
          <w:rFonts w:hint="eastAsia" w:ascii="宋体" w:hAnsi="宋体" w:eastAsia="宋体" w:cs="宋体"/>
          <w:color w:val="auto"/>
          <w:sz w:val="28"/>
          <w:szCs w:val="27"/>
          <w:highlight w:val="none"/>
        </w:rPr>
      </w:pPr>
      <w:r>
        <w:rPr>
          <w:rFonts w:hint="eastAsia" w:ascii="宋体" w:hAnsi="宋体" w:eastAsia="宋体" w:cs="宋体"/>
          <w:color w:val="auto"/>
          <w:szCs w:val="21"/>
          <w:highlight w:val="none"/>
        </w:rPr>
        <w:br w:type="page"/>
      </w:r>
    </w:p>
    <w:p w14:paraId="13E67D1F">
      <w:pPr>
        <w:spacing w:line="360" w:lineRule="auto"/>
        <w:jc w:val="center"/>
        <w:outlineLvl w:val="2"/>
        <w:rPr>
          <w:rFonts w:hint="eastAsia" w:ascii="宋体" w:hAnsi="宋体" w:eastAsia="宋体" w:cs="宋体"/>
          <w:color w:val="auto"/>
          <w:sz w:val="28"/>
          <w:szCs w:val="27"/>
          <w:highlight w:val="none"/>
        </w:rPr>
      </w:pPr>
      <w:bookmarkStart w:id="431" w:name="_Toc17451659"/>
      <w:bookmarkStart w:id="432" w:name="_Toc17452700"/>
      <w:bookmarkStart w:id="433" w:name="_Toc222029566"/>
      <w:bookmarkStart w:id="434" w:name="_Toc222031068"/>
      <w:bookmarkStart w:id="435" w:name="_Toc17556967"/>
      <w:bookmarkStart w:id="436" w:name="_Toc144974864"/>
      <w:bookmarkStart w:id="437" w:name="_Toc259524420"/>
      <w:bookmarkStart w:id="438" w:name="_Toc17451614"/>
      <w:bookmarkStart w:id="439" w:name="_Toc19838"/>
      <w:bookmarkStart w:id="440" w:name="_Toc53669184"/>
      <w:bookmarkStart w:id="441" w:name="_Toc78985272"/>
      <w:bookmarkStart w:id="442" w:name="_Toc17556912"/>
      <w:bookmarkStart w:id="443" w:name="_Toc17454958"/>
      <w:bookmarkStart w:id="444" w:name="_Toc229305426"/>
      <w:bookmarkStart w:id="445" w:name="_Toc222033917"/>
      <w:bookmarkStart w:id="446" w:name="_Toc221952064"/>
      <w:bookmarkStart w:id="447" w:name="_Toc222032735"/>
      <w:bookmarkStart w:id="448" w:name="_Toc17451137"/>
      <w:bookmarkStart w:id="449" w:name="_Toc168476326"/>
      <w:bookmarkStart w:id="450" w:name="_Toc168475923"/>
      <w:bookmarkStart w:id="451" w:name="_Toc17454907"/>
      <w:r>
        <w:rPr>
          <w:rFonts w:hint="eastAsia" w:ascii="宋体" w:hAnsi="宋体" w:eastAsia="宋体" w:cs="宋体"/>
          <w:color w:val="auto"/>
          <w:sz w:val="28"/>
          <w:szCs w:val="27"/>
          <w:highlight w:val="none"/>
        </w:rPr>
        <w:t>七、施工组织设计</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A6BA6AE">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 </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投标人编制施工组织设计的要求：编制时应简明扼要地说明施工方法，工程质量、安全生产、文明施工、环境保护、冬雨季施工、工程进度、技术组织等主要措施。进度计划以及拟投入主要施工设备、劳动力、项目管理机构等。</w:t>
      </w:r>
    </w:p>
    <w:p w14:paraId="1186B480">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图表及格式要求：</w:t>
      </w:r>
    </w:p>
    <w:p w14:paraId="6EDFED9C">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附表一 拟投入本标段的主要施工设备表</w:t>
      </w:r>
    </w:p>
    <w:p w14:paraId="012FF96E">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附表二 拟投入本标段的试验和检测仪器设备表</w:t>
      </w:r>
    </w:p>
    <w:p w14:paraId="2C704BCD">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附表三 拟投入本标段的劳动力计划表</w:t>
      </w:r>
    </w:p>
    <w:p w14:paraId="1C318261">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附表四 计划开工日期、完工日期和施工进度网络图</w:t>
      </w:r>
    </w:p>
    <w:p w14:paraId="53903F52">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附表五  施工总平面图（如有）                                                           </w:t>
      </w:r>
    </w:p>
    <w:p w14:paraId="2EEDA4EA">
      <w:pPr>
        <w:pStyle w:val="39"/>
        <w:ind w:left="0" w:leftChars="0"/>
        <w:rPr>
          <w:rFonts w:hint="eastAsia" w:ascii="宋体" w:hAnsi="宋体" w:eastAsia="宋体" w:cs="宋体"/>
          <w:color w:val="auto"/>
          <w:highlight w:val="none"/>
        </w:rPr>
      </w:pPr>
      <w:r>
        <w:rPr>
          <w:rFonts w:hint="eastAsia" w:ascii="宋体" w:hAnsi="宋体" w:eastAsia="宋体" w:cs="宋体"/>
          <w:color w:val="auto"/>
          <w:szCs w:val="21"/>
          <w:highlight w:val="none"/>
        </w:rPr>
        <w:t>附表六  临时用地表（如有）</w:t>
      </w:r>
      <w:r>
        <w:rPr>
          <w:rFonts w:hint="eastAsia" w:ascii="宋体" w:hAnsi="宋体" w:eastAsia="宋体" w:cs="宋体"/>
          <w:color w:val="auto"/>
          <w:sz w:val="19"/>
          <w:szCs w:val="19"/>
          <w:highlight w:val="none"/>
        </w:rPr>
        <w:br w:type="page"/>
      </w:r>
    </w:p>
    <w:p w14:paraId="0300FA32">
      <w:pPr>
        <w:spacing w:line="400" w:lineRule="exact"/>
        <w:jc w:val="center"/>
        <w:outlineLvl w:val="3"/>
        <w:rPr>
          <w:rFonts w:hint="eastAsia" w:ascii="宋体" w:hAnsi="宋体" w:eastAsia="宋体" w:cs="宋体"/>
          <w:b/>
          <w:color w:val="auto"/>
          <w:sz w:val="24"/>
          <w:szCs w:val="31"/>
          <w:highlight w:val="none"/>
        </w:rPr>
      </w:pPr>
      <w:bookmarkStart w:id="452" w:name="_Toc144974865"/>
      <w:bookmarkStart w:id="453" w:name="_Toc168476327"/>
      <w:bookmarkStart w:id="454" w:name="_Toc168475924"/>
      <w:bookmarkStart w:id="455" w:name="_Toc221952073"/>
      <w:r>
        <w:rPr>
          <w:rFonts w:hint="eastAsia" w:ascii="宋体" w:hAnsi="宋体" w:eastAsia="宋体" w:cs="宋体"/>
          <w:b/>
          <w:color w:val="auto"/>
          <w:sz w:val="24"/>
          <w:szCs w:val="31"/>
          <w:highlight w:val="none"/>
        </w:rPr>
        <w:t>附表一：拟投入本标段的主要施工设备表</w:t>
      </w:r>
      <w:bookmarkEnd w:id="452"/>
      <w:bookmarkEnd w:id="453"/>
      <w:bookmarkEnd w:id="454"/>
      <w:bookmarkEnd w:id="455"/>
    </w:p>
    <w:p w14:paraId="3A0B268F">
      <w:pPr>
        <w:spacing w:line="400" w:lineRule="exact"/>
        <w:rPr>
          <w:rFonts w:hint="eastAsia" w:ascii="宋体" w:hAnsi="宋体" w:eastAsia="宋体" w:cs="宋体"/>
          <w:color w:val="auto"/>
          <w:sz w:val="19"/>
          <w:szCs w:val="19"/>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59"/>
        <w:gridCol w:w="742"/>
        <w:gridCol w:w="965"/>
        <w:gridCol w:w="655"/>
        <w:gridCol w:w="720"/>
        <w:gridCol w:w="1182"/>
        <w:gridCol w:w="853"/>
        <w:gridCol w:w="1028"/>
        <w:gridCol w:w="674"/>
      </w:tblGrid>
      <w:tr w14:paraId="0560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6025576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56" w:name="_Toc221952074"/>
            <w:r>
              <w:rPr>
                <w:rFonts w:hint="eastAsia" w:ascii="宋体" w:hAnsi="宋体" w:eastAsia="宋体" w:cs="宋体"/>
                <w:color w:val="auto"/>
                <w:szCs w:val="21"/>
                <w:highlight w:val="none"/>
              </w:rPr>
              <w:t>序号</w:t>
            </w:r>
            <w:bookmarkEnd w:id="456"/>
          </w:p>
        </w:tc>
        <w:tc>
          <w:tcPr>
            <w:tcW w:w="1059" w:type="dxa"/>
          </w:tcPr>
          <w:p w14:paraId="74D931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57" w:name="_Toc221952075"/>
            <w:r>
              <w:rPr>
                <w:rFonts w:hint="eastAsia" w:ascii="宋体" w:hAnsi="宋体" w:eastAsia="宋体" w:cs="宋体"/>
                <w:color w:val="auto"/>
                <w:szCs w:val="21"/>
                <w:highlight w:val="none"/>
              </w:rPr>
              <w:t>设备名称</w:t>
            </w:r>
            <w:bookmarkEnd w:id="457"/>
          </w:p>
        </w:tc>
        <w:tc>
          <w:tcPr>
            <w:tcW w:w="742" w:type="dxa"/>
          </w:tcPr>
          <w:p w14:paraId="19E36F4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58" w:name="_Toc221952076"/>
            <w:r>
              <w:rPr>
                <w:rFonts w:hint="eastAsia" w:ascii="宋体" w:hAnsi="宋体" w:eastAsia="宋体" w:cs="宋体"/>
                <w:color w:val="auto"/>
                <w:szCs w:val="21"/>
                <w:highlight w:val="none"/>
              </w:rPr>
              <w:t>型号</w:t>
            </w:r>
            <w:bookmarkEnd w:id="458"/>
          </w:p>
          <w:p w14:paraId="567EDD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59" w:name="_Toc221952077"/>
            <w:r>
              <w:rPr>
                <w:rFonts w:hint="eastAsia" w:ascii="宋体" w:hAnsi="宋体" w:eastAsia="宋体" w:cs="宋体"/>
                <w:color w:val="auto"/>
                <w:szCs w:val="21"/>
                <w:highlight w:val="none"/>
              </w:rPr>
              <w:t>规格</w:t>
            </w:r>
            <w:bookmarkEnd w:id="459"/>
          </w:p>
        </w:tc>
        <w:tc>
          <w:tcPr>
            <w:tcW w:w="965" w:type="dxa"/>
          </w:tcPr>
          <w:p w14:paraId="0144B50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0" w:name="_Toc221952078"/>
            <w:r>
              <w:rPr>
                <w:rFonts w:hint="eastAsia" w:ascii="宋体" w:hAnsi="宋体" w:eastAsia="宋体" w:cs="宋体"/>
                <w:color w:val="auto"/>
                <w:szCs w:val="21"/>
                <w:highlight w:val="none"/>
              </w:rPr>
              <w:t>数量</w:t>
            </w:r>
            <w:bookmarkEnd w:id="460"/>
          </w:p>
        </w:tc>
        <w:tc>
          <w:tcPr>
            <w:tcW w:w="655" w:type="dxa"/>
          </w:tcPr>
          <w:p w14:paraId="2C1756F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1" w:name="_Toc221952079"/>
            <w:r>
              <w:rPr>
                <w:rFonts w:hint="eastAsia" w:ascii="宋体" w:hAnsi="宋体" w:eastAsia="宋体" w:cs="宋体"/>
                <w:color w:val="auto"/>
                <w:szCs w:val="21"/>
                <w:highlight w:val="none"/>
              </w:rPr>
              <w:t>国别</w:t>
            </w:r>
            <w:bookmarkEnd w:id="461"/>
          </w:p>
          <w:p w14:paraId="37AFA3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2" w:name="_Toc221952080"/>
            <w:r>
              <w:rPr>
                <w:rFonts w:hint="eastAsia" w:ascii="宋体" w:hAnsi="宋体" w:eastAsia="宋体" w:cs="宋体"/>
                <w:color w:val="auto"/>
                <w:szCs w:val="21"/>
                <w:highlight w:val="none"/>
              </w:rPr>
              <w:t>产地</w:t>
            </w:r>
            <w:bookmarkEnd w:id="462"/>
          </w:p>
        </w:tc>
        <w:tc>
          <w:tcPr>
            <w:tcW w:w="720" w:type="dxa"/>
          </w:tcPr>
          <w:p w14:paraId="2D91647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3" w:name="_Toc221952081"/>
            <w:r>
              <w:rPr>
                <w:rFonts w:hint="eastAsia" w:ascii="宋体" w:hAnsi="宋体" w:eastAsia="宋体" w:cs="宋体"/>
                <w:color w:val="auto"/>
                <w:szCs w:val="21"/>
                <w:highlight w:val="none"/>
              </w:rPr>
              <w:t>制造</w:t>
            </w:r>
            <w:bookmarkEnd w:id="463"/>
          </w:p>
          <w:p w14:paraId="1C6CFE1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4" w:name="_Toc221952082"/>
            <w:r>
              <w:rPr>
                <w:rFonts w:hint="eastAsia" w:ascii="宋体" w:hAnsi="宋体" w:eastAsia="宋体" w:cs="宋体"/>
                <w:color w:val="auto"/>
                <w:szCs w:val="21"/>
                <w:highlight w:val="none"/>
              </w:rPr>
              <w:t>年份</w:t>
            </w:r>
            <w:bookmarkEnd w:id="464"/>
          </w:p>
        </w:tc>
        <w:tc>
          <w:tcPr>
            <w:tcW w:w="1182" w:type="dxa"/>
          </w:tcPr>
          <w:p w14:paraId="25B5A0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5" w:name="_Toc221952083"/>
            <w:r>
              <w:rPr>
                <w:rFonts w:hint="eastAsia" w:ascii="宋体" w:hAnsi="宋体" w:eastAsia="宋体" w:cs="宋体"/>
                <w:color w:val="auto"/>
                <w:szCs w:val="21"/>
                <w:highlight w:val="none"/>
              </w:rPr>
              <w:t>额定功率（KW）</w:t>
            </w:r>
            <w:bookmarkEnd w:id="465"/>
          </w:p>
        </w:tc>
        <w:tc>
          <w:tcPr>
            <w:tcW w:w="853" w:type="dxa"/>
          </w:tcPr>
          <w:p w14:paraId="33AF1D3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6" w:name="_Toc221952084"/>
            <w:r>
              <w:rPr>
                <w:rFonts w:hint="eastAsia" w:ascii="宋体" w:hAnsi="宋体" w:eastAsia="宋体" w:cs="宋体"/>
                <w:color w:val="auto"/>
                <w:szCs w:val="21"/>
                <w:highlight w:val="none"/>
              </w:rPr>
              <w:t>生产</w:t>
            </w:r>
            <w:bookmarkEnd w:id="466"/>
          </w:p>
          <w:p w14:paraId="1D70A2E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7" w:name="_Toc221952085"/>
            <w:r>
              <w:rPr>
                <w:rFonts w:hint="eastAsia" w:ascii="宋体" w:hAnsi="宋体" w:eastAsia="宋体" w:cs="宋体"/>
                <w:color w:val="auto"/>
                <w:szCs w:val="21"/>
                <w:highlight w:val="none"/>
              </w:rPr>
              <w:t>能力</w:t>
            </w:r>
            <w:bookmarkEnd w:id="467"/>
          </w:p>
        </w:tc>
        <w:tc>
          <w:tcPr>
            <w:tcW w:w="1028" w:type="dxa"/>
          </w:tcPr>
          <w:p w14:paraId="6DFC109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8" w:name="_Toc221952086"/>
            <w:r>
              <w:rPr>
                <w:rFonts w:hint="eastAsia" w:ascii="宋体" w:hAnsi="宋体" w:eastAsia="宋体" w:cs="宋体"/>
                <w:color w:val="auto"/>
                <w:szCs w:val="21"/>
                <w:highlight w:val="none"/>
              </w:rPr>
              <w:t>用于施工部位</w:t>
            </w:r>
            <w:bookmarkEnd w:id="468"/>
          </w:p>
        </w:tc>
        <w:tc>
          <w:tcPr>
            <w:tcW w:w="674" w:type="dxa"/>
          </w:tcPr>
          <w:p w14:paraId="6EDBF48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69" w:name="_Toc221952087"/>
            <w:r>
              <w:rPr>
                <w:rFonts w:hint="eastAsia" w:ascii="宋体" w:hAnsi="宋体" w:eastAsia="宋体" w:cs="宋体"/>
                <w:color w:val="auto"/>
                <w:szCs w:val="21"/>
                <w:highlight w:val="none"/>
              </w:rPr>
              <w:t>备注</w:t>
            </w:r>
            <w:bookmarkEnd w:id="469"/>
          </w:p>
        </w:tc>
      </w:tr>
      <w:tr w14:paraId="3828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078EBAE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1B7160C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445094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2A18C87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26874FA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009E3E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752FF4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2EC5165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03E2E54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5B942D8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618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1D44472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79620EB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3719CFB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60BBD5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072D2D5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532BFA5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3EF317E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6EAEBCE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7A3E77D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105AA8D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73C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2A80704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2F1E85B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6043E78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7B225A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2DA6021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23B61D2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74B596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45FAEDF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08782B2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685F933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CE1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0ADCD21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5F30B0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0075AF5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202AE35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0F2CA70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4348135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1D57950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794438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441596C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4BCC1B5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73E9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380EE7D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035608E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07FDF7B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6FF9C7A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2347ED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7E79445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1674184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6C5507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53C8E3C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1554A2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B91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61C3BB3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7FF65F1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0E3A4D9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74EC567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210FA1E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0E6B8A4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68A86F2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785140E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5D3215E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61DBDFA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AF9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60153A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16970EC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665874F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6CEE451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75B61EE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5440CE5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0669466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2507D62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12F6230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26A879F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7F2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6B2289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14BA75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0A3F640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08279F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6DC59C0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598BBCF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2039074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60FBE88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0F2C938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0ED370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485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24435A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06B72DF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4C5A979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4EBFE7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1164FF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53A3AD5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136011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06A55E0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0D12500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21DAE0D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8F7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793955B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77BA81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3A8A78C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47ECBE1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749AAC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0AFE580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5D05DB9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0BB922B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222A210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1FB2EE8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7838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217C70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38D1236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291DCFD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3B4C3FC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47AB8C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661600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5074DA3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5A8BF5E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5DE7A68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27CFA73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73E2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3276DAA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6C45F5F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7DF3F68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74D3C8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5DF866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408F691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4FA0743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0FC1E4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34C4DDC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776FDC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8D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077567A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458755B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7C9C5F0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17E4516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140075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40C94C5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1D41D6B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106556D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6B3DF65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0259566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6A8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273E701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222A35A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7D7B77C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02C32A4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475CF2B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4AE6FC5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45C679A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7C73FB9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4A106EF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062A75C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014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2FBC7F5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340B5AA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49AED3F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7D9FE8E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52F28E7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18C1B00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331A25D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736BC8C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088693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44F9D98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90B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126B9AC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5744C3F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6456B2E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61B03D0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0DD652A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5F2410A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47C7AA2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788A1AC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6EB00A9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5D9D490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1C5F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32F1087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4F76D76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0705DBE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228ED00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31A6DE4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730DEE9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37901C6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664CF2A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01D604F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22B5D49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8EF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700D1A5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7ABBD90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1103AB6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4A4646D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4E803EF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4FA4466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60844F1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60B7295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120A7CA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3DF58DE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129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2155683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7F488A9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41E217A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11F0804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6075FF7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1EE47C5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60854AA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0D39A42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1AB0E67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493970A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22D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50CDFAF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57465F5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1089F57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64D6D74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74CA628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4524630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797067D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33A22EB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219CDFB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1655491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75B7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64FA965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00422F4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178290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6DFB84A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291857C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5B95FA4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1372DC6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1443D0B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1B29900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2359929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DD6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69FD6B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30100A6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63A270A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287EA2B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03400B3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12AF703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557A118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1D66A4A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7958E66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176096F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6DE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14:paraId="0592E6B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59" w:type="dxa"/>
          </w:tcPr>
          <w:p w14:paraId="2B1A3C8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2" w:type="dxa"/>
          </w:tcPr>
          <w:p w14:paraId="261F5A9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965" w:type="dxa"/>
          </w:tcPr>
          <w:p w14:paraId="08BA4B5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55" w:type="dxa"/>
          </w:tcPr>
          <w:p w14:paraId="433F11E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20" w:type="dxa"/>
          </w:tcPr>
          <w:p w14:paraId="38939B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182" w:type="dxa"/>
          </w:tcPr>
          <w:p w14:paraId="594F686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53" w:type="dxa"/>
          </w:tcPr>
          <w:p w14:paraId="00AECE1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28" w:type="dxa"/>
          </w:tcPr>
          <w:p w14:paraId="3E9826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4" w:type="dxa"/>
          </w:tcPr>
          <w:p w14:paraId="012C99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bl>
    <w:p w14:paraId="35D1DF16">
      <w:pPr>
        <w:spacing w:line="400" w:lineRule="exact"/>
        <w:rPr>
          <w:rFonts w:hint="eastAsia" w:ascii="宋体" w:hAnsi="宋体" w:eastAsia="宋体" w:cs="宋体"/>
          <w:color w:val="auto"/>
          <w:sz w:val="19"/>
          <w:szCs w:val="19"/>
          <w:highlight w:val="none"/>
        </w:rPr>
      </w:pPr>
    </w:p>
    <w:p w14:paraId="0E309B75">
      <w:pPr>
        <w:spacing w:line="400" w:lineRule="exact"/>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br w:type="page"/>
      </w:r>
    </w:p>
    <w:p w14:paraId="6394E67B">
      <w:pPr>
        <w:spacing w:line="400" w:lineRule="exact"/>
        <w:jc w:val="center"/>
        <w:outlineLvl w:val="3"/>
        <w:rPr>
          <w:rFonts w:hint="eastAsia" w:ascii="宋体" w:hAnsi="宋体" w:eastAsia="宋体" w:cs="宋体"/>
          <w:b/>
          <w:color w:val="auto"/>
          <w:sz w:val="24"/>
          <w:szCs w:val="31"/>
          <w:highlight w:val="none"/>
        </w:rPr>
      </w:pPr>
      <w:bookmarkStart w:id="470" w:name="_Toc168475925"/>
      <w:bookmarkStart w:id="471" w:name="_Toc221952088"/>
      <w:bookmarkStart w:id="472" w:name="_Toc144974866"/>
      <w:bookmarkStart w:id="473" w:name="_Toc168476328"/>
      <w:r>
        <w:rPr>
          <w:rFonts w:hint="eastAsia" w:ascii="宋体" w:hAnsi="宋体" w:eastAsia="宋体" w:cs="宋体"/>
          <w:b/>
          <w:color w:val="auto"/>
          <w:sz w:val="24"/>
          <w:szCs w:val="31"/>
          <w:highlight w:val="none"/>
        </w:rPr>
        <w:t>附表二：拟投入本标段的试验和检测仪器设备表</w:t>
      </w:r>
      <w:bookmarkEnd w:id="470"/>
      <w:bookmarkEnd w:id="471"/>
      <w:bookmarkEnd w:id="472"/>
      <w:bookmarkEnd w:id="473"/>
    </w:p>
    <w:p w14:paraId="2A062BEC">
      <w:pPr>
        <w:spacing w:line="400" w:lineRule="exact"/>
        <w:rPr>
          <w:rFonts w:hint="eastAsia" w:ascii="宋体" w:hAnsi="宋体" w:eastAsia="宋体" w:cs="宋体"/>
          <w:color w:val="auto"/>
          <w:sz w:val="19"/>
          <w:szCs w:val="19"/>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95"/>
        <w:gridCol w:w="882"/>
        <w:gridCol w:w="882"/>
        <w:gridCol w:w="677"/>
        <w:gridCol w:w="744"/>
        <w:gridCol w:w="1221"/>
        <w:gridCol w:w="1665"/>
        <w:gridCol w:w="691"/>
      </w:tblGrid>
      <w:tr w14:paraId="44AB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6D4ED61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74" w:name="_Toc221952089"/>
            <w:r>
              <w:rPr>
                <w:rFonts w:hint="eastAsia" w:ascii="宋体" w:hAnsi="宋体" w:eastAsia="宋体" w:cs="宋体"/>
                <w:color w:val="auto"/>
                <w:szCs w:val="21"/>
                <w:highlight w:val="none"/>
              </w:rPr>
              <w:t>序号</w:t>
            </w:r>
            <w:bookmarkEnd w:id="474"/>
          </w:p>
        </w:tc>
        <w:tc>
          <w:tcPr>
            <w:tcW w:w="1095" w:type="dxa"/>
          </w:tcPr>
          <w:p w14:paraId="6B8E90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75" w:name="_Toc221952090"/>
            <w:r>
              <w:rPr>
                <w:rFonts w:hint="eastAsia" w:ascii="宋体" w:hAnsi="宋体" w:eastAsia="宋体" w:cs="宋体"/>
                <w:color w:val="auto"/>
                <w:szCs w:val="21"/>
                <w:highlight w:val="none"/>
              </w:rPr>
              <w:t>仪器设备名称</w:t>
            </w:r>
            <w:bookmarkEnd w:id="475"/>
          </w:p>
        </w:tc>
        <w:tc>
          <w:tcPr>
            <w:tcW w:w="882" w:type="dxa"/>
          </w:tcPr>
          <w:p w14:paraId="07A0B23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76" w:name="_Toc221952091"/>
            <w:r>
              <w:rPr>
                <w:rFonts w:hint="eastAsia" w:ascii="宋体" w:hAnsi="宋体" w:eastAsia="宋体" w:cs="宋体"/>
                <w:color w:val="auto"/>
                <w:szCs w:val="21"/>
                <w:highlight w:val="none"/>
              </w:rPr>
              <w:t>型号</w:t>
            </w:r>
            <w:bookmarkEnd w:id="476"/>
          </w:p>
          <w:p w14:paraId="3710B5E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77" w:name="_Toc221952092"/>
            <w:r>
              <w:rPr>
                <w:rFonts w:hint="eastAsia" w:ascii="宋体" w:hAnsi="宋体" w:eastAsia="宋体" w:cs="宋体"/>
                <w:color w:val="auto"/>
                <w:szCs w:val="21"/>
                <w:highlight w:val="none"/>
              </w:rPr>
              <w:t>规格</w:t>
            </w:r>
            <w:bookmarkEnd w:id="477"/>
          </w:p>
        </w:tc>
        <w:tc>
          <w:tcPr>
            <w:tcW w:w="882" w:type="dxa"/>
          </w:tcPr>
          <w:p w14:paraId="0ED7B88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78" w:name="_Toc221952093"/>
            <w:r>
              <w:rPr>
                <w:rFonts w:hint="eastAsia" w:ascii="宋体" w:hAnsi="宋体" w:eastAsia="宋体" w:cs="宋体"/>
                <w:color w:val="auto"/>
                <w:szCs w:val="21"/>
                <w:highlight w:val="none"/>
              </w:rPr>
              <w:t>数量</w:t>
            </w:r>
            <w:bookmarkEnd w:id="478"/>
          </w:p>
        </w:tc>
        <w:tc>
          <w:tcPr>
            <w:tcW w:w="677" w:type="dxa"/>
          </w:tcPr>
          <w:p w14:paraId="726D486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79" w:name="_Toc221952094"/>
            <w:r>
              <w:rPr>
                <w:rFonts w:hint="eastAsia" w:ascii="宋体" w:hAnsi="宋体" w:eastAsia="宋体" w:cs="宋体"/>
                <w:color w:val="auto"/>
                <w:szCs w:val="21"/>
                <w:highlight w:val="none"/>
              </w:rPr>
              <w:t>国别</w:t>
            </w:r>
            <w:bookmarkEnd w:id="479"/>
          </w:p>
          <w:p w14:paraId="00B712F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80" w:name="_Toc221952095"/>
            <w:r>
              <w:rPr>
                <w:rFonts w:hint="eastAsia" w:ascii="宋体" w:hAnsi="宋体" w:eastAsia="宋体" w:cs="宋体"/>
                <w:color w:val="auto"/>
                <w:szCs w:val="21"/>
                <w:highlight w:val="none"/>
              </w:rPr>
              <w:t>产地</w:t>
            </w:r>
            <w:bookmarkEnd w:id="480"/>
          </w:p>
        </w:tc>
        <w:tc>
          <w:tcPr>
            <w:tcW w:w="744" w:type="dxa"/>
          </w:tcPr>
          <w:p w14:paraId="2E7543E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81" w:name="_Toc221952096"/>
            <w:r>
              <w:rPr>
                <w:rFonts w:hint="eastAsia" w:ascii="宋体" w:hAnsi="宋体" w:eastAsia="宋体" w:cs="宋体"/>
                <w:color w:val="auto"/>
                <w:szCs w:val="21"/>
                <w:highlight w:val="none"/>
              </w:rPr>
              <w:t>制造</w:t>
            </w:r>
            <w:bookmarkEnd w:id="481"/>
          </w:p>
          <w:p w14:paraId="2D5FBFA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82" w:name="_Toc221952097"/>
            <w:r>
              <w:rPr>
                <w:rFonts w:hint="eastAsia" w:ascii="宋体" w:hAnsi="宋体" w:eastAsia="宋体" w:cs="宋体"/>
                <w:color w:val="auto"/>
                <w:szCs w:val="21"/>
                <w:highlight w:val="none"/>
              </w:rPr>
              <w:t>年份</w:t>
            </w:r>
            <w:bookmarkEnd w:id="482"/>
          </w:p>
        </w:tc>
        <w:tc>
          <w:tcPr>
            <w:tcW w:w="1221" w:type="dxa"/>
          </w:tcPr>
          <w:p w14:paraId="0AF0FC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83" w:name="_Toc221952098"/>
            <w:r>
              <w:rPr>
                <w:rFonts w:hint="eastAsia" w:ascii="宋体" w:hAnsi="宋体" w:eastAsia="宋体" w:cs="宋体"/>
                <w:color w:val="auto"/>
                <w:szCs w:val="21"/>
                <w:highlight w:val="none"/>
              </w:rPr>
              <w:t>已使用台时数</w:t>
            </w:r>
            <w:bookmarkEnd w:id="483"/>
          </w:p>
        </w:tc>
        <w:tc>
          <w:tcPr>
            <w:tcW w:w="1665" w:type="dxa"/>
          </w:tcPr>
          <w:p w14:paraId="6E45B05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84" w:name="_Toc221952099"/>
            <w:r>
              <w:rPr>
                <w:rFonts w:hint="eastAsia" w:ascii="宋体" w:hAnsi="宋体" w:eastAsia="宋体" w:cs="宋体"/>
                <w:color w:val="auto"/>
                <w:szCs w:val="21"/>
                <w:highlight w:val="none"/>
              </w:rPr>
              <w:t>用途</w:t>
            </w:r>
            <w:bookmarkEnd w:id="484"/>
          </w:p>
        </w:tc>
        <w:tc>
          <w:tcPr>
            <w:tcW w:w="691" w:type="dxa"/>
          </w:tcPr>
          <w:p w14:paraId="6ABB04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85" w:name="_Toc221952100"/>
            <w:r>
              <w:rPr>
                <w:rFonts w:hint="eastAsia" w:ascii="宋体" w:hAnsi="宋体" w:eastAsia="宋体" w:cs="宋体"/>
                <w:color w:val="auto"/>
                <w:szCs w:val="21"/>
                <w:highlight w:val="none"/>
              </w:rPr>
              <w:t>备注</w:t>
            </w:r>
            <w:bookmarkEnd w:id="485"/>
          </w:p>
        </w:tc>
      </w:tr>
      <w:tr w14:paraId="776A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551F53D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763A61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0C5A7D7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1A69D6D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3854213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211DC2B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1FB07DA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5EEDE11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4116BA1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1AD8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7CA1A05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02F47BD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3F8429A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6C1DBCE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6824E20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12B8D83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5CF03E7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3E6C5EA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585FDEE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30E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4DF3A9D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39BFB90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0BCA1AE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6CE5DC5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00073B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3442DD5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7673EFA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7D3054C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4E8FE31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D88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5208B67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2D3FAF0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65583FF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733E6C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7709D5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4726E17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0AFD050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6DA0925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3A14676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2AD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4F425A5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1771F8C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6B1E428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4A0B1F5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3576583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6302EBA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3E2D080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215F997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4835660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1193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7847A4B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7B639E1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2C2B2B8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24A63A1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40F9031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51DE8F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28BF4F4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562A2D9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53BFB61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E13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57513BE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4CF6B4B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57FB3F9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3192C3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1AB974E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29F3EAB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1546D2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4B531E7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18C5C86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58D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5B060FA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0F7FF41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0CCCF46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60B43E4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56ACB6E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43B2157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72CEE13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3A419B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44750E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08C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4D8ED1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472EF4C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399E272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4E2605C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11855C7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74F011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119DE22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133FF0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0002B47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71D1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738DC91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1489E0A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7E1AC5E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40ED13E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430F9DE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6796A37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74B75CF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4476B30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45FE5F1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F20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0403100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60A8F99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0577239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19091BA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524474E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2D377DE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276B764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504C008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2C34D8F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7A9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0EABBFF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3C401CB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6450EEB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58AFDCC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14C3283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0259EE3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11C47F2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213F3A0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5ADE06A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1A57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335AB7D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58C2CE4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7A6BBEF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3A0C386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4F73B8D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33E2AE9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7A3747D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20024FD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635440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3E0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7031D14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21CC41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753C725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0160C27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39391BF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15969D1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33D697A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2E2A91A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60064CD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1D9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2B2FC0E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0FDCC00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44F8E4F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39D9F02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72B7898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43278BD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69762A0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1903306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3CB3EC4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2FC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1EECD0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2046BCD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0077C2A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677EDAF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32BD03B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16FD6FD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556E506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6A01F63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1D692A3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EE0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6E2FCF5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1F6C51C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3B7BE6A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17A4125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52DE93E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1D49E5D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71FB2B7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48DF864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066BC3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D23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51756A7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73AFE20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52CB5C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7B17AC3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17DE40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2ABAC22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3D3FD1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274583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35FF65F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7599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6CAB388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5D8EF2F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4C37AC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5281F54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788C64D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36B6593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1425C41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30BC9B8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37DAEA9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19B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3EA814B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57AF6C4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1E39EDB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66B7C7D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396D633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79763DB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58F35CA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193A91C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4BECCD2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66F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7E8BCA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23E0F3D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269ADC4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1F7CE51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3706623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3CFEF6E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587197F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5F7E74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5BBDAFA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1D5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6C413B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73EE459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407A16A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55BA87E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5E7ADDB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12447D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1D10E76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471A695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74FF4B5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046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4F84C2E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95" w:type="dxa"/>
          </w:tcPr>
          <w:p w14:paraId="26B5B06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407D15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882" w:type="dxa"/>
          </w:tcPr>
          <w:p w14:paraId="2BDFC7A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77" w:type="dxa"/>
          </w:tcPr>
          <w:p w14:paraId="25DFC52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744" w:type="dxa"/>
          </w:tcPr>
          <w:p w14:paraId="3D5D590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21" w:type="dxa"/>
          </w:tcPr>
          <w:p w14:paraId="08753DE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665" w:type="dxa"/>
          </w:tcPr>
          <w:p w14:paraId="2BA206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691" w:type="dxa"/>
          </w:tcPr>
          <w:p w14:paraId="3FA374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bl>
    <w:p w14:paraId="4572B385">
      <w:pPr>
        <w:spacing w:line="400" w:lineRule="exact"/>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br w:type="page"/>
      </w:r>
    </w:p>
    <w:p w14:paraId="369B4335">
      <w:pPr>
        <w:spacing w:line="400" w:lineRule="exact"/>
        <w:jc w:val="center"/>
        <w:outlineLvl w:val="3"/>
        <w:rPr>
          <w:rFonts w:hint="eastAsia" w:ascii="宋体" w:hAnsi="宋体" w:eastAsia="宋体" w:cs="宋体"/>
          <w:b/>
          <w:color w:val="auto"/>
          <w:sz w:val="24"/>
          <w:szCs w:val="31"/>
          <w:highlight w:val="none"/>
        </w:rPr>
      </w:pPr>
      <w:bookmarkStart w:id="486" w:name="_Toc144974867"/>
      <w:bookmarkStart w:id="487" w:name="_Toc168476329"/>
      <w:bookmarkStart w:id="488" w:name="_Toc168475926"/>
      <w:bookmarkStart w:id="489" w:name="_Toc221952101"/>
      <w:r>
        <w:rPr>
          <w:rFonts w:hint="eastAsia" w:ascii="宋体" w:hAnsi="宋体" w:eastAsia="宋体" w:cs="宋体"/>
          <w:b/>
          <w:color w:val="auto"/>
          <w:sz w:val="24"/>
          <w:szCs w:val="31"/>
          <w:highlight w:val="none"/>
        </w:rPr>
        <w:t>附表三：拟投入本标段的劳动力计划表</w:t>
      </w:r>
      <w:bookmarkEnd w:id="486"/>
      <w:bookmarkEnd w:id="487"/>
      <w:bookmarkEnd w:id="488"/>
      <w:bookmarkEnd w:id="489"/>
    </w:p>
    <w:p w14:paraId="1FA3F283">
      <w:pPr>
        <w:spacing w:line="400" w:lineRule="exact"/>
        <w:ind w:right="200"/>
        <w:jc w:val="right"/>
        <w:rPr>
          <w:rFonts w:hint="eastAsia" w:ascii="宋体" w:hAnsi="宋体" w:eastAsia="宋体" w:cs="宋体"/>
          <w:color w:val="auto"/>
          <w:szCs w:val="21"/>
          <w:highlight w:val="none"/>
        </w:rPr>
      </w:pPr>
      <w:bookmarkStart w:id="490" w:name="_Toc221952102"/>
      <w:r>
        <w:rPr>
          <w:rFonts w:hint="eastAsia" w:ascii="宋体" w:hAnsi="宋体" w:eastAsia="宋体" w:cs="宋体"/>
          <w:color w:val="auto"/>
          <w:szCs w:val="21"/>
          <w:highlight w:val="none"/>
        </w:rPr>
        <w:t>单位：人</w:t>
      </w:r>
      <w:bookmarkEnd w:id="490"/>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5"/>
        <w:gridCol w:w="1066"/>
        <w:gridCol w:w="1066"/>
        <w:gridCol w:w="1066"/>
        <w:gridCol w:w="1066"/>
        <w:gridCol w:w="1066"/>
        <w:gridCol w:w="1064"/>
      </w:tblGrid>
      <w:tr w14:paraId="66F6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1F2FA04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91" w:name="_Toc221952103"/>
            <w:r>
              <w:rPr>
                <w:rFonts w:hint="eastAsia" w:ascii="宋体" w:hAnsi="宋体" w:eastAsia="宋体" w:cs="宋体"/>
                <w:color w:val="auto"/>
                <w:szCs w:val="21"/>
                <w:highlight w:val="none"/>
              </w:rPr>
              <w:t>工种</w:t>
            </w:r>
            <w:bookmarkEnd w:id="491"/>
          </w:p>
        </w:tc>
        <w:tc>
          <w:tcPr>
            <w:tcW w:w="7699" w:type="dxa"/>
            <w:gridSpan w:val="7"/>
          </w:tcPr>
          <w:p w14:paraId="723C047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492" w:name="_Toc221952104"/>
            <w:r>
              <w:rPr>
                <w:rFonts w:hint="eastAsia" w:ascii="宋体" w:hAnsi="宋体" w:eastAsia="宋体" w:cs="宋体"/>
                <w:color w:val="auto"/>
                <w:szCs w:val="21"/>
                <w:highlight w:val="none"/>
              </w:rPr>
              <w:t>按工程施工阶段投入劳动力情况</w:t>
            </w:r>
            <w:bookmarkEnd w:id="492"/>
          </w:p>
        </w:tc>
      </w:tr>
      <w:tr w14:paraId="55E8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0AEA134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32AFDE5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93DE98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C24BF4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A8FEA2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D2AC1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12E477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221C578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6E0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25786FC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724CB88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CE2E1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0EFC4B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121511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A617EA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44630B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68BB8EE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AEE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5DAFAB8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4ED84C9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7949BF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125766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193844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F332FB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FB78D9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33685A5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614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7B7233F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13F3E9B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E5DD12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017F1A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7B64D1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9C8F08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D8A17F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506779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39E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4B5356D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5A0AB5A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2A529F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38C396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82FD45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FDA25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9CB6B9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7E94543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2A1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3166197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5877BB5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3CFAF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D5EEE2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3797C2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C794CB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9B8398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2203728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1E5E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496838D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313BEBE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6871A5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53037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950859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816AB9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A110A6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08B71A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1525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dxa"/>
          </w:tcPr>
          <w:p w14:paraId="33F9209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2EF75EA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1C0EA6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81BAAE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F84EA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1E3FCD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349E95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089C595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E82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1EC4160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345051D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B778FE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D1B05B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A81CDD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BE8090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EEBF7B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0AFB6A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0F2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222D01C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4EE105E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9DC74D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8F3DA7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36A451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8B0124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213B5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460712F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28F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0142F19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756275A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646D3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D3E1F5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E40EA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DB03AC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2AA7D9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06805BE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73C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0E482F8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7E2D707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EF56AB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B0FFF4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922C3E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AF76E1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244EA7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2949C5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884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5A0F1F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5231C54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F7F200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38A283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A685B4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9E8C1B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7A445D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4AE3C78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301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783CB62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61944A1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FF9A78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A12D19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2EE4D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7BEE93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65D290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7D1C8D8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A45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0E5C902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072F671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5F0DF3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B79FBB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7539AE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111350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2E5BBA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368C9BA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265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133E8FE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1B2D1C6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7B4FF5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4DCF4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FEF9C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ACA018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C2979D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35604B3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6FB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74AE7FF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00491C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3B9770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3C661E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A22498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814666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56D4971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70A7CB8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E12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1A068FE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767FFBC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E1DBC0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0C1698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EB63A2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1E6F2D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11526A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476C29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117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409B64E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5A6F9CB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469BB1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9232F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0E13E5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B5DE8E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17F1A2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3A2E22C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B1D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5C3EE48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05EE30F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699D69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3A3ECC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870379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5965F6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2E357D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5AC8F8E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720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204B0F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00FA6DD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AA791A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6BBB91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96E456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ED848F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36408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480FDE4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299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638082A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069C789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9A2B85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4E9D97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735DC7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26A1C4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766D53D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44B9F9F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B48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481B1A9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09AC003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8A23CB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D9472D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298CF2B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50BB62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4CEAFD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0FD25EF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E87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0B02FDA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557BCE6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DBF035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1A12B3F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D5E69D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D8BF6B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47971A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7C89CFA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19F8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4A93FED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305" w:type="dxa"/>
          </w:tcPr>
          <w:p w14:paraId="5F3CA55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E27D04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6E953A3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4D2023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30B3ED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6" w:type="dxa"/>
          </w:tcPr>
          <w:p w14:paraId="0A39D45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064" w:type="dxa"/>
          </w:tcPr>
          <w:p w14:paraId="11C2DFB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bl>
    <w:p w14:paraId="61AEC31C">
      <w:pPr>
        <w:topLinePunct/>
        <w:spacing w:line="400" w:lineRule="exact"/>
        <w:rPr>
          <w:rFonts w:hint="eastAsia" w:ascii="宋体" w:hAnsi="宋体" w:eastAsia="宋体" w:cs="宋体"/>
          <w:color w:val="auto"/>
          <w:sz w:val="20"/>
          <w:szCs w:val="20"/>
          <w:highlight w:val="none"/>
        </w:rPr>
      </w:pPr>
    </w:p>
    <w:p w14:paraId="46DCAE09">
      <w:pPr>
        <w:widowControl/>
        <w:jc w:val="left"/>
        <w:rPr>
          <w:rFonts w:hint="eastAsia" w:ascii="宋体" w:hAnsi="宋体" w:eastAsia="宋体" w:cs="宋体"/>
          <w:b/>
          <w:color w:val="auto"/>
          <w:sz w:val="24"/>
          <w:szCs w:val="31"/>
          <w:highlight w:val="none"/>
        </w:rPr>
      </w:pPr>
      <w:bookmarkStart w:id="493" w:name="_Toc221952105"/>
      <w:bookmarkStart w:id="494" w:name="_Toc144974868"/>
      <w:bookmarkStart w:id="495" w:name="_Toc168475927"/>
      <w:bookmarkStart w:id="496" w:name="_Toc168476330"/>
      <w:r>
        <w:rPr>
          <w:rFonts w:hint="eastAsia" w:ascii="宋体" w:hAnsi="宋体" w:eastAsia="宋体" w:cs="宋体"/>
          <w:b/>
          <w:color w:val="auto"/>
          <w:sz w:val="24"/>
          <w:szCs w:val="31"/>
          <w:highlight w:val="none"/>
        </w:rPr>
        <w:br w:type="page"/>
      </w:r>
    </w:p>
    <w:p w14:paraId="37F395E0">
      <w:pPr>
        <w:spacing w:line="400" w:lineRule="exact"/>
        <w:jc w:val="center"/>
        <w:outlineLvl w:val="3"/>
        <w:rPr>
          <w:rFonts w:hint="eastAsia" w:ascii="宋体" w:hAnsi="宋体" w:eastAsia="宋体" w:cs="宋体"/>
          <w:b/>
          <w:color w:val="auto"/>
          <w:sz w:val="24"/>
          <w:szCs w:val="31"/>
          <w:highlight w:val="none"/>
        </w:rPr>
      </w:pPr>
      <w:r>
        <w:rPr>
          <w:rFonts w:hint="eastAsia" w:ascii="宋体" w:hAnsi="宋体" w:eastAsia="宋体" w:cs="宋体"/>
          <w:b/>
          <w:color w:val="auto"/>
          <w:sz w:val="24"/>
          <w:szCs w:val="31"/>
          <w:highlight w:val="none"/>
        </w:rPr>
        <w:t>附表四：计划开工日期、完工日期和施工进度网络图</w:t>
      </w:r>
      <w:bookmarkEnd w:id="493"/>
      <w:bookmarkEnd w:id="494"/>
      <w:bookmarkEnd w:id="495"/>
      <w:bookmarkEnd w:id="496"/>
    </w:p>
    <w:p w14:paraId="4D09B082">
      <w:pPr>
        <w:spacing w:line="400" w:lineRule="exact"/>
        <w:rPr>
          <w:rFonts w:hint="eastAsia" w:ascii="宋体" w:hAnsi="宋体" w:eastAsia="宋体" w:cs="宋体"/>
          <w:color w:val="auto"/>
          <w:sz w:val="19"/>
          <w:szCs w:val="19"/>
          <w:highlight w:val="none"/>
        </w:rPr>
      </w:pPr>
    </w:p>
    <w:p w14:paraId="64A482C7">
      <w:pPr>
        <w:spacing w:line="400" w:lineRule="exact"/>
        <w:ind w:firstLine="420" w:firstLineChars="200"/>
        <w:rPr>
          <w:rFonts w:hint="eastAsia" w:ascii="宋体" w:hAnsi="宋体" w:eastAsia="宋体" w:cs="宋体"/>
          <w:color w:val="auto"/>
          <w:szCs w:val="21"/>
          <w:highlight w:val="none"/>
        </w:rPr>
      </w:pPr>
      <w:bookmarkStart w:id="497" w:name="_Toc221952106"/>
      <w:r>
        <w:rPr>
          <w:rFonts w:hint="eastAsia" w:ascii="宋体" w:hAnsi="宋体" w:eastAsia="宋体" w:cs="宋体"/>
          <w:color w:val="auto"/>
          <w:szCs w:val="21"/>
          <w:highlight w:val="none"/>
        </w:rPr>
        <w:t>1. 投标人应递交施工进度网络图或施工进度表，说明按招标文件要求的计划工期进行施工的各个关键日期。</w:t>
      </w:r>
    </w:p>
    <w:p w14:paraId="7776FBC1">
      <w:pPr>
        <w:spacing w:line="400" w:lineRule="exact"/>
        <w:ind w:firstLine="420" w:firstLineChars="200"/>
        <w:rPr>
          <w:rFonts w:hint="eastAsia" w:ascii="宋体" w:hAnsi="宋体" w:eastAsia="宋体" w:cs="宋体"/>
          <w:color w:val="auto"/>
          <w:szCs w:val="21"/>
          <w:highlight w:val="none"/>
        </w:rPr>
        <w:sectPr>
          <w:headerReference r:id="rId7" w:type="default"/>
          <w:footerReference r:id="rId8" w:type="default"/>
          <w:pgSz w:w="11906" w:h="16838"/>
          <w:pgMar w:top="1440" w:right="1797" w:bottom="1440" w:left="1797" w:header="851" w:footer="992" w:gutter="0"/>
          <w:cols w:space="720" w:num="1"/>
          <w:docGrid w:linePitch="312" w:charSpace="0"/>
        </w:sectPr>
      </w:pPr>
      <w:r>
        <w:rPr>
          <w:rFonts w:hint="eastAsia" w:ascii="宋体" w:hAnsi="宋体" w:eastAsia="宋体" w:cs="宋体"/>
          <w:color w:val="auto"/>
          <w:szCs w:val="21"/>
          <w:highlight w:val="none"/>
        </w:rPr>
        <w:t>2. 施工进度表可采用网络图（或横道图）表示。</w:t>
      </w:r>
    </w:p>
    <w:p w14:paraId="4494822B">
      <w:pPr>
        <w:spacing w:line="400" w:lineRule="exact"/>
        <w:jc w:val="center"/>
        <w:outlineLvl w:val="3"/>
        <w:rPr>
          <w:rFonts w:hint="eastAsia" w:ascii="宋体" w:hAnsi="宋体" w:eastAsia="宋体" w:cs="宋体"/>
          <w:b/>
          <w:color w:val="auto"/>
          <w:sz w:val="24"/>
          <w:szCs w:val="31"/>
          <w:highlight w:val="none"/>
        </w:rPr>
      </w:pPr>
      <w:bookmarkStart w:id="498" w:name="_Toc168475928"/>
      <w:bookmarkStart w:id="499" w:name="_Toc221952108"/>
      <w:bookmarkStart w:id="500" w:name="_Toc168476331"/>
      <w:bookmarkStart w:id="501" w:name="_Toc144974869"/>
      <w:r>
        <w:rPr>
          <w:rFonts w:hint="eastAsia" w:ascii="宋体" w:hAnsi="宋体" w:eastAsia="宋体" w:cs="宋体"/>
          <w:b/>
          <w:color w:val="auto"/>
          <w:sz w:val="24"/>
          <w:szCs w:val="31"/>
          <w:highlight w:val="none"/>
        </w:rPr>
        <w:t>附表五：施工总平面图</w:t>
      </w:r>
      <w:bookmarkEnd w:id="498"/>
      <w:bookmarkEnd w:id="499"/>
      <w:bookmarkEnd w:id="500"/>
      <w:bookmarkEnd w:id="501"/>
      <w:r>
        <w:rPr>
          <w:rFonts w:hint="eastAsia" w:ascii="宋体" w:hAnsi="宋体" w:eastAsia="宋体" w:cs="宋体"/>
          <w:b/>
          <w:color w:val="auto"/>
          <w:sz w:val="24"/>
          <w:szCs w:val="31"/>
          <w:highlight w:val="none"/>
        </w:rPr>
        <w:t>（如有）</w:t>
      </w:r>
    </w:p>
    <w:p w14:paraId="292895F9">
      <w:pPr>
        <w:spacing w:line="400" w:lineRule="exact"/>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tab/>
      </w:r>
    </w:p>
    <w:p w14:paraId="64AFB9BC">
      <w:pPr>
        <w:spacing w:line="400" w:lineRule="exact"/>
        <w:ind w:firstLine="420" w:firstLineChars="200"/>
        <w:rPr>
          <w:rFonts w:hint="eastAsia" w:ascii="宋体" w:hAnsi="宋体" w:eastAsia="宋体" w:cs="宋体"/>
          <w:color w:val="auto"/>
          <w:szCs w:val="21"/>
          <w:highlight w:val="none"/>
        </w:rPr>
      </w:pPr>
      <w:bookmarkStart w:id="502" w:name="_Toc221952109"/>
      <w:r>
        <w:rPr>
          <w:rFonts w:hint="eastAsia" w:ascii="宋体" w:hAnsi="宋体" w:eastAsia="宋体" w:cs="宋体"/>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bookmarkEnd w:id="502"/>
    </w:p>
    <w:p w14:paraId="10DEE339">
      <w:pPr>
        <w:spacing w:line="400" w:lineRule="exact"/>
        <w:rPr>
          <w:rFonts w:hint="eastAsia" w:ascii="宋体" w:hAnsi="宋体" w:eastAsia="宋体" w:cs="宋体"/>
          <w:color w:val="auto"/>
          <w:sz w:val="19"/>
          <w:szCs w:val="19"/>
          <w:highlight w:val="none"/>
        </w:rPr>
      </w:pPr>
    </w:p>
    <w:p w14:paraId="5F818859">
      <w:pPr>
        <w:pStyle w:val="7"/>
        <w:ind w:firstLine="380"/>
        <w:rPr>
          <w:rFonts w:hint="eastAsia" w:ascii="宋体" w:hAnsi="宋体" w:eastAsia="宋体" w:cs="宋体"/>
          <w:color w:val="auto"/>
          <w:highlight w:val="none"/>
        </w:rPr>
      </w:pPr>
      <w:r>
        <w:rPr>
          <w:rFonts w:hint="eastAsia" w:ascii="宋体" w:hAnsi="宋体" w:eastAsia="宋体" w:cs="宋体"/>
          <w:color w:val="auto"/>
          <w:sz w:val="19"/>
          <w:szCs w:val="19"/>
          <w:highlight w:val="none"/>
        </w:rPr>
        <w:br w:type="page"/>
      </w:r>
    </w:p>
    <w:bookmarkEnd w:id="497"/>
    <w:p w14:paraId="2529B01F">
      <w:pPr>
        <w:spacing w:line="400" w:lineRule="exact"/>
        <w:jc w:val="center"/>
        <w:outlineLvl w:val="3"/>
        <w:rPr>
          <w:rFonts w:hint="eastAsia" w:ascii="宋体" w:hAnsi="宋体" w:eastAsia="宋体" w:cs="宋体"/>
          <w:b/>
          <w:color w:val="auto"/>
          <w:sz w:val="24"/>
          <w:szCs w:val="31"/>
          <w:highlight w:val="none"/>
        </w:rPr>
      </w:pPr>
      <w:bookmarkStart w:id="503" w:name="_Toc168476332"/>
      <w:bookmarkStart w:id="504" w:name="_Toc168475929"/>
      <w:bookmarkStart w:id="505" w:name="_Toc221952110"/>
      <w:bookmarkStart w:id="506" w:name="_Toc144974870"/>
      <w:r>
        <w:rPr>
          <w:rFonts w:hint="eastAsia" w:ascii="宋体" w:hAnsi="宋体" w:eastAsia="宋体" w:cs="宋体"/>
          <w:b/>
          <w:color w:val="auto"/>
          <w:sz w:val="24"/>
          <w:szCs w:val="31"/>
          <w:highlight w:val="none"/>
        </w:rPr>
        <w:t>附表六：临时用地表</w:t>
      </w:r>
      <w:bookmarkEnd w:id="503"/>
      <w:bookmarkEnd w:id="504"/>
      <w:bookmarkEnd w:id="505"/>
      <w:bookmarkEnd w:id="506"/>
      <w:r>
        <w:rPr>
          <w:rFonts w:hint="eastAsia" w:ascii="宋体" w:hAnsi="宋体" w:eastAsia="宋体" w:cs="宋体"/>
          <w:b/>
          <w:color w:val="auto"/>
          <w:sz w:val="24"/>
          <w:szCs w:val="31"/>
          <w:highlight w:val="none"/>
        </w:rPr>
        <w:t>（如有）</w:t>
      </w:r>
    </w:p>
    <w:p w14:paraId="139CF073">
      <w:pPr>
        <w:spacing w:line="400" w:lineRule="exact"/>
        <w:jc w:val="left"/>
        <w:rPr>
          <w:rFonts w:hint="eastAsia" w:ascii="宋体" w:hAnsi="宋体" w:eastAsia="宋体" w:cs="宋体"/>
          <w:color w:val="auto"/>
          <w:sz w:val="22"/>
          <w:highlight w:val="none"/>
        </w:r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14:paraId="069A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5A1AD7E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507" w:name="_Toc221952111"/>
            <w:r>
              <w:rPr>
                <w:rFonts w:hint="eastAsia" w:ascii="宋体" w:hAnsi="宋体" w:eastAsia="宋体" w:cs="宋体"/>
                <w:color w:val="auto"/>
                <w:szCs w:val="21"/>
                <w:highlight w:val="none"/>
              </w:rPr>
              <w:t>用 途</w:t>
            </w:r>
            <w:bookmarkEnd w:id="507"/>
          </w:p>
        </w:tc>
        <w:tc>
          <w:tcPr>
            <w:tcW w:w="1250" w:type="pct"/>
          </w:tcPr>
          <w:p w14:paraId="4F08F06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508" w:name="_Toc221952112"/>
            <w:r>
              <w:rPr>
                <w:rFonts w:hint="eastAsia" w:ascii="宋体" w:hAnsi="宋体" w:eastAsia="宋体" w:cs="宋体"/>
                <w:color w:val="auto"/>
                <w:szCs w:val="21"/>
                <w:highlight w:val="none"/>
              </w:rPr>
              <w:t>面 积（㎡）</w:t>
            </w:r>
            <w:bookmarkEnd w:id="508"/>
          </w:p>
        </w:tc>
        <w:tc>
          <w:tcPr>
            <w:tcW w:w="1250" w:type="pct"/>
          </w:tcPr>
          <w:p w14:paraId="3138778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509" w:name="_Toc221952113"/>
            <w:r>
              <w:rPr>
                <w:rFonts w:hint="eastAsia" w:ascii="宋体" w:hAnsi="宋体" w:eastAsia="宋体" w:cs="宋体"/>
                <w:color w:val="auto"/>
                <w:szCs w:val="21"/>
                <w:highlight w:val="none"/>
              </w:rPr>
              <w:t>位 置</w:t>
            </w:r>
            <w:bookmarkEnd w:id="509"/>
          </w:p>
        </w:tc>
        <w:tc>
          <w:tcPr>
            <w:tcW w:w="1250" w:type="pct"/>
          </w:tcPr>
          <w:p w14:paraId="775025B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bookmarkStart w:id="510" w:name="_Toc221952114"/>
            <w:r>
              <w:rPr>
                <w:rFonts w:hint="eastAsia" w:ascii="宋体" w:hAnsi="宋体" w:eastAsia="宋体" w:cs="宋体"/>
                <w:color w:val="auto"/>
                <w:szCs w:val="21"/>
                <w:highlight w:val="none"/>
              </w:rPr>
              <w:t>需用时间</w:t>
            </w:r>
            <w:bookmarkEnd w:id="510"/>
          </w:p>
        </w:tc>
      </w:tr>
      <w:tr w14:paraId="7CAA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0B3E401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A951CC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717D4E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957725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3A0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47831B0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58BBF8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B1ACE2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B292E9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41E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51DB12B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78EE50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3355A82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CBBB1D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3F4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7959AD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1EF0116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2784A1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444DD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6AD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7A3C6E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0752E0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5FC731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1C1AC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D74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23278A0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141344D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24BDD7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34012E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38B0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648B67F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E8E948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142AF0F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6DA94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4A9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0842232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3058D95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BA3B1E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BBCF94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E73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67F08E7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1E9023F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479524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88680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523F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446DB92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8261A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E3BFDD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0EEE8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082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6C82D20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1FA821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7D1E67F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FB9EC8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3B4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03ADA74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02E25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53E437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FF1395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F45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465F8E7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090909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1FD7FD1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B72E42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495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3A14CD7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FE3488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3B7A51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17AB5C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15A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593D70C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23E60E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BB1C9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3A042A9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7220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022F2A9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392BB5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A0DE62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03CB5FD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D5B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359E176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3EE7E0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74EBA2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CABC57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7F3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009F472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DD3B8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3C04816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0B4F87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0934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48360B5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E7C97C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28F5B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9596E0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6237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4F6BE5F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75F716B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ADB244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109B84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FB5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72E4616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B43826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EEBA6F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7102249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0C1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1D870DE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2133F67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11D5A8B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4900FC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2072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540986F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1B438C5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4673A8C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7C205E6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168B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3CD508B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344F4B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C44C01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67CF40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r w14:paraId="4FD7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3C721C7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38592AC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1D17043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c>
          <w:tcPr>
            <w:tcW w:w="1250" w:type="pct"/>
          </w:tcPr>
          <w:p w14:paraId="59D1D2F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1"/>
                <w:highlight w:val="none"/>
              </w:rPr>
            </w:pPr>
          </w:p>
        </w:tc>
      </w:tr>
    </w:tbl>
    <w:p w14:paraId="4861DA49">
      <w:pPr>
        <w:spacing w:line="400" w:lineRule="exact"/>
        <w:rPr>
          <w:rFonts w:hint="eastAsia" w:ascii="宋体" w:hAnsi="宋体" w:eastAsia="宋体" w:cs="宋体"/>
          <w:color w:val="auto"/>
          <w:sz w:val="19"/>
          <w:szCs w:val="19"/>
          <w:highlight w:val="none"/>
        </w:rPr>
      </w:pPr>
    </w:p>
    <w:p w14:paraId="36802BB3">
      <w:pPr>
        <w:spacing w:line="400" w:lineRule="exact"/>
        <w:rPr>
          <w:rFonts w:hint="eastAsia" w:ascii="宋体" w:hAnsi="宋体" w:eastAsia="宋体" w:cs="宋体"/>
          <w:color w:val="auto"/>
          <w:sz w:val="19"/>
          <w:szCs w:val="19"/>
          <w:highlight w:val="none"/>
        </w:rPr>
      </w:pPr>
    </w:p>
    <w:p w14:paraId="5D122F27">
      <w:pPr>
        <w:spacing w:line="400" w:lineRule="exact"/>
        <w:rPr>
          <w:rFonts w:hint="eastAsia" w:ascii="宋体" w:hAnsi="宋体" w:eastAsia="宋体" w:cs="宋体"/>
          <w:color w:val="auto"/>
          <w:sz w:val="19"/>
          <w:szCs w:val="19"/>
          <w:highlight w:val="none"/>
        </w:rPr>
      </w:pPr>
      <w:r>
        <w:rPr>
          <w:rFonts w:hint="eastAsia" w:ascii="宋体" w:hAnsi="宋体" w:eastAsia="宋体" w:cs="宋体"/>
          <w:color w:val="auto"/>
          <w:sz w:val="19"/>
          <w:szCs w:val="19"/>
          <w:highlight w:val="none"/>
        </w:rPr>
        <w:br w:type="page"/>
      </w:r>
    </w:p>
    <w:p w14:paraId="02D2E01A">
      <w:pPr>
        <w:spacing w:line="360" w:lineRule="auto"/>
        <w:jc w:val="center"/>
        <w:outlineLvl w:val="2"/>
        <w:rPr>
          <w:rFonts w:hint="eastAsia" w:ascii="宋体" w:hAnsi="宋体" w:eastAsia="宋体" w:cs="宋体"/>
          <w:color w:val="auto"/>
          <w:sz w:val="28"/>
          <w:szCs w:val="27"/>
          <w:highlight w:val="none"/>
        </w:rPr>
      </w:pPr>
      <w:bookmarkStart w:id="511" w:name="_Toc16039"/>
      <w:bookmarkStart w:id="512" w:name="_Toc2655"/>
      <w:r>
        <w:rPr>
          <w:rFonts w:hint="eastAsia" w:ascii="宋体" w:hAnsi="宋体" w:eastAsia="宋体" w:cs="宋体"/>
          <w:color w:val="auto"/>
          <w:sz w:val="28"/>
          <w:szCs w:val="27"/>
          <w:highlight w:val="none"/>
        </w:rPr>
        <w:t>八、技术部分资料</w:t>
      </w:r>
      <w:bookmarkEnd w:id="511"/>
      <w:bookmarkEnd w:id="512"/>
    </w:p>
    <w:p w14:paraId="6F02E3C7">
      <w:pPr>
        <w:spacing w:line="360" w:lineRule="auto"/>
        <w:jc w:val="center"/>
        <w:rPr>
          <w:rFonts w:hint="eastAsia" w:ascii="宋体" w:hAnsi="宋体" w:eastAsia="宋体" w:cs="宋体"/>
          <w:color w:val="auto"/>
          <w:sz w:val="24"/>
          <w:szCs w:val="24"/>
          <w:highlight w:val="none"/>
        </w:rPr>
      </w:pPr>
      <w:bookmarkStart w:id="513" w:name="_Toc63097437"/>
      <w:bookmarkStart w:id="514" w:name="_Toc383078823"/>
      <w:bookmarkStart w:id="515" w:name="_Toc22025"/>
      <w:bookmarkStart w:id="516" w:name="_Toc27967"/>
    </w:p>
    <w:p w14:paraId="745AB7E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技术需求书偏差声明函</w:t>
      </w:r>
      <w:bookmarkEnd w:id="513"/>
      <w:bookmarkEnd w:id="514"/>
      <w:bookmarkEnd w:id="515"/>
      <w:bookmarkEnd w:id="516"/>
    </w:p>
    <w:p w14:paraId="5C5E4B36">
      <w:pPr>
        <w:spacing w:line="360" w:lineRule="auto"/>
        <w:rPr>
          <w:rFonts w:hint="eastAsia" w:ascii="宋体" w:hAnsi="宋体" w:eastAsia="宋体" w:cs="宋体"/>
          <w:color w:val="auto"/>
          <w:szCs w:val="21"/>
          <w:highlight w:val="none"/>
        </w:rPr>
      </w:pPr>
    </w:p>
    <w:p w14:paraId="7E8835A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 xml:space="preserve">（招标人） </w:t>
      </w:r>
    </w:p>
    <w:p w14:paraId="6A07EC2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我方在研究了</w:t>
      </w:r>
      <w:r>
        <w:rPr>
          <w:rFonts w:hint="eastAsia" w:ascii="宋体" w:hAnsi="宋体" w:eastAsia="宋体" w:cs="宋体"/>
          <w:color w:val="auto"/>
          <w:szCs w:val="21"/>
          <w:highlight w:val="none"/>
          <w:u w:val="single"/>
        </w:rPr>
        <w:t xml:space="preserve">                        项目</w:t>
      </w:r>
      <w:r>
        <w:rPr>
          <w:rFonts w:hint="eastAsia" w:ascii="宋体" w:hAnsi="宋体" w:eastAsia="宋体" w:cs="宋体"/>
          <w:color w:val="auto"/>
          <w:szCs w:val="21"/>
          <w:highlight w:val="none"/>
        </w:rPr>
        <w:t>招标文件技术需求书要求和项目澄清修改文件（若有）后，在此提出我方投标文件的偏差（若有，详见下表）。</w:t>
      </w:r>
    </w:p>
    <w:p w14:paraId="36593A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除下表所列的偏差外，我方承诺放弃在此方面提出含糊意见或误解的一切权利，招标人可以认为我方完全接受招标文件技术要求和项目澄清修改文件（若有）其他部分的约定。</w:t>
      </w:r>
    </w:p>
    <w:tbl>
      <w:tblPr>
        <w:tblStyle w:val="40"/>
        <w:tblW w:w="9085"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500"/>
        <w:gridCol w:w="5123"/>
        <w:gridCol w:w="1131"/>
        <w:gridCol w:w="1777"/>
        <w:gridCol w:w="554"/>
      </w:tblGrid>
      <w:tr w14:paraId="60C2988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500" w:type="dxa"/>
            <w:tcBorders>
              <w:top w:val="single" w:color="auto" w:sz="4" w:space="0"/>
              <w:left w:val="single" w:color="auto" w:sz="4" w:space="0"/>
              <w:bottom w:val="single" w:color="auto" w:sz="4" w:space="0"/>
              <w:right w:val="single" w:color="auto" w:sz="4" w:space="0"/>
            </w:tcBorders>
            <w:vAlign w:val="center"/>
          </w:tcPr>
          <w:p w14:paraId="54EDF0FD">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5123" w:type="dxa"/>
            <w:tcBorders>
              <w:top w:val="single" w:color="auto" w:sz="4" w:space="0"/>
              <w:left w:val="single" w:color="auto" w:sz="4" w:space="0"/>
              <w:bottom w:val="single" w:color="auto" w:sz="4" w:space="0"/>
              <w:right w:val="single" w:color="auto" w:sz="4" w:space="0"/>
            </w:tcBorders>
            <w:vAlign w:val="center"/>
          </w:tcPr>
          <w:p w14:paraId="26F43BCC">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招标文件</w:t>
            </w:r>
          </w:p>
          <w:p w14:paraId="1928D938">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实质性</w:t>
            </w:r>
            <w:r>
              <w:rPr>
                <w:rFonts w:hint="eastAsia" w:ascii="宋体" w:hAnsi="宋体" w:eastAsia="宋体" w:cs="宋体"/>
                <w:b/>
                <w:color w:val="auto"/>
                <w:szCs w:val="21"/>
                <w:highlight w:val="none"/>
              </w:rPr>
              <w:t>条款</w:t>
            </w:r>
          </w:p>
        </w:tc>
        <w:tc>
          <w:tcPr>
            <w:tcW w:w="1131" w:type="dxa"/>
            <w:tcBorders>
              <w:top w:val="single" w:color="auto" w:sz="4" w:space="0"/>
              <w:left w:val="single" w:color="auto" w:sz="4" w:space="0"/>
              <w:bottom w:val="single" w:color="auto" w:sz="4" w:space="0"/>
              <w:right w:val="single" w:color="auto" w:sz="4" w:space="0"/>
            </w:tcBorders>
            <w:vAlign w:val="center"/>
          </w:tcPr>
          <w:p w14:paraId="275EECDE">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投标文件响应情况</w:t>
            </w:r>
          </w:p>
        </w:tc>
        <w:tc>
          <w:tcPr>
            <w:tcW w:w="1777" w:type="dxa"/>
            <w:tcBorders>
              <w:top w:val="single" w:color="auto" w:sz="4" w:space="0"/>
              <w:left w:val="single" w:color="auto" w:sz="4" w:space="0"/>
              <w:bottom w:val="single" w:color="auto" w:sz="4" w:space="0"/>
              <w:right w:val="single" w:color="auto" w:sz="4" w:space="0"/>
            </w:tcBorders>
            <w:vAlign w:val="center"/>
          </w:tcPr>
          <w:p w14:paraId="16B9F85C">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提出偏差的理由</w:t>
            </w:r>
          </w:p>
        </w:tc>
        <w:tc>
          <w:tcPr>
            <w:tcW w:w="554" w:type="dxa"/>
            <w:tcBorders>
              <w:top w:val="single" w:color="auto" w:sz="4" w:space="0"/>
              <w:left w:val="single" w:color="auto" w:sz="4" w:space="0"/>
              <w:bottom w:val="single" w:color="auto" w:sz="4" w:space="0"/>
              <w:right w:val="single" w:color="auto" w:sz="4" w:space="0"/>
            </w:tcBorders>
            <w:vAlign w:val="center"/>
          </w:tcPr>
          <w:p w14:paraId="41F7782F">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w:t>
            </w:r>
          </w:p>
        </w:tc>
      </w:tr>
      <w:tr w14:paraId="51C3024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500" w:type="dxa"/>
            <w:tcBorders>
              <w:top w:val="single" w:color="auto" w:sz="4" w:space="0"/>
              <w:left w:val="single" w:color="auto" w:sz="4" w:space="0"/>
              <w:bottom w:val="single" w:color="auto" w:sz="4" w:space="0"/>
              <w:right w:val="single" w:color="auto" w:sz="4" w:space="0"/>
            </w:tcBorders>
            <w:vAlign w:val="center"/>
          </w:tcPr>
          <w:p w14:paraId="077EB23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123" w:type="dxa"/>
            <w:tcBorders>
              <w:top w:val="single" w:color="auto" w:sz="4" w:space="0"/>
              <w:left w:val="single" w:color="auto" w:sz="4" w:space="0"/>
              <w:bottom w:val="single" w:color="auto" w:sz="4" w:space="0"/>
              <w:right w:val="single" w:color="auto" w:sz="4" w:space="0"/>
            </w:tcBorders>
          </w:tcPr>
          <w:p w14:paraId="73095058">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w:t>
            </w:r>
            <w:r>
              <w:rPr>
                <w:rFonts w:hint="default" w:ascii="宋体" w:hAnsi="宋体" w:eastAsia="宋体" w:cs="宋体"/>
                <w:color w:val="auto"/>
                <w:sz w:val="18"/>
                <w:szCs w:val="18"/>
                <w:highlight w:val="none"/>
                <w:lang w:val="en-US" w:eastAsia="zh-CN"/>
              </w:rPr>
              <w:t>广州净水公司2024年干化车间蒸汽锅炉及冷凝水回收系统改造项目技术需求书</w:t>
            </w:r>
            <w:r>
              <w:rPr>
                <w:rFonts w:hint="eastAsia" w:ascii="宋体" w:hAnsi="宋体" w:cs="宋体"/>
                <w:color w:val="auto"/>
                <w:sz w:val="18"/>
                <w:szCs w:val="18"/>
                <w:highlight w:val="none"/>
                <w:lang w:val="en-US" w:eastAsia="zh-CN"/>
              </w:rPr>
              <w:t>》</w:t>
            </w:r>
          </w:p>
        </w:tc>
        <w:tc>
          <w:tcPr>
            <w:tcW w:w="1131" w:type="dxa"/>
            <w:tcBorders>
              <w:top w:val="single" w:color="auto" w:sz="4" w:space="0"/>
              <w:left w:val="single" w:color="auto" w:sz="4" w:space="0"/>
              <w:bottom w:val="single" w:color="auto" w:sz="4" w:space="0"/>
              <w:right w:val="single" w:color="auto" w:sz="4" w:space="0"/>
            </w:tcBorders>
            <w:vAlign w:val="center"/>
          </w:tcPr>
          <w:p w14:paraId="0163C08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777" w:type="dxa"/>
            <w:tcBorders>
              <w:top w:val="single" w:color="auto" w:sz="4" w:space="0"/>
              <w:left w:val="single" w:color="auto" w:sz="4" w:space="0"/>
              <w:bottom w:val="single" w:color="auto" w:sz="4" w:space="0"/>
              <w:right w:val="single" w:color="auto" w:sz="4" w:space="0"/>
            </w:tcBorders>
            <w:vAlign w:val="center"/>
          </w:tcPr>
          <w:p w14:paraId="12B69D9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554" w:type="dxa"/>
            <w:tcBorders>
              <w:top w:val="single" w:color="auto" w:sz="4" w:space="0"/>
              <w:left w:val="single" w:color="auto" w:sz="4" w:space="0"/>
              <w:bottom w:val="single" w:color="auto" w:sz="4" w:space="0"/>
              <w:right w:val="single" w:color="auto" w:sz="4" w:space="0"/>
            </w:tcBorders>
            <w:vAlign w:val="center"/>
          </w:tcPr>
          <w:p w14:paraId="0AC6148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1A361BA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500" w:type="dxa"/>
            <w:tcBorders>
              <w:top w:val="single" w:color="auto" w:sz="4" w:space="0"/>
              <w:left w:val="single" w:color="auto" w:sz="4" w:space="0"/>
              <w:bottom w:val="single" w:color="auto" w:sz="4" w:space="0"/>
              <w:right w:val="single" w:color="auto" w:sz="4" w:space="0"/>
            </w:tcBorders>
            <w:vAlign w:val="center"/>
          </w:tcPr>
          <w:p w14:paraId="68792D3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序号</w:t>
            </w:r>
          </w:p>
        </w:tc>
        <w:tc>
          <w:tcPr>
            <w:tcW w:w="5123" w:type="dxa"/>
            <w:tcBorders>
              <w:top w:val="single" w:color="auto" w:sz="4" w:space="0"/>
              <w:left w:val="single" w:color="auto" w:sz="4" w:space="0"/>
              <w:bottom w:val="single" w:color="auto" w:sz="4" w:space="0"/>
              <w:right w:val="single" w:color="auto" w:sz="4" w:space="0"/>
            </w:tcBorders>
            <w:vAlign w:val="center"/>
          </w:tcPr>
          <w:p w14:paraId="7C7709BC">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招标文件</w:t>
            </w:r>
          </w:p>
          <w:p w14:paraId="454B56F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非★条款</w:t>
            </w:r>
          </w:p>
        </w:tc>
        <w:tc>
          <w:tcPr>
            <w:tcW w:w="1131" w:type="dxa"/>
            <w:tcBorders>
              <w:top w:val="single" w:color="auto" w:sz="4" w:space="0"/>
              <w:left w:val="single" w:color="auto" w:sz="4" w:space="0"/>
              <w:bottom w:val="single" w:color="auto" w:sz="4" w:space="0"/>
              <w:right w:val="single" w:color="auto" w:sz="4" w:space="0"/>
            </w:tcBorders>
            <w:vAlign w:val="center"/>
          </w:tcPr>
          <w:p w14:paraId="31775AEF">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投标文件响应情况</w:t>
            </w:r>
          </w:p>
        </w:tc>
        <w:tc>
          <w:tcPr>
            <w:tcW w:w="1777" w:type="dxa"/>
            <w:tcBorders>
              <w:top w:val="single" w:color="auto" w:sz="4" w:space="0"/>
              <w:left w:val="single" w:color="auto" w:sz="4" w:space="0"/>
              <w:bottom w:val="single" w:color="auto" w:sz="4" w:space="0"/>
              <w:right w:val="single" w:color="auto" w:sz="4" w:space="0"/>
            </w:tcBorders>
            <w:vAlign w:val="center"/>
          </w:tcPr>
          <w:p w14:paraId="03E94D50">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提出偏差的理由</w:t>
            </w:r>
          </w:p>
        </w:tc>
        <w:tc>
          <w:tcPr>
            <w:tcW w:w="554" w:type="dxa"/>
            <w:tcBorders>
              <w:top w:val="single" w:color="auto" w:sz="4" w:space="0"/>
              <w:left w:val="single" w:color="auto" w:sz="4" w:space="0"/>
              <w:bottom w:val="single" w:color="auto" w:sz="4" w:space="0"/>
              <w:right w:val="single" w:color="auto" w:sz="4" w:space="0"/>
            </w:tcBorders>
            <w:vAlign w:val="center"/>
          </w:tcPr>
          <w:p w14:paraId="7A06BAC8">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备注</w:t>
            </w:r>
          </w:p>
        </w:tc>
      </w:tr>
      <w:tr w14:paraId="6A8C3D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500" w:type="dxa"/>
            <w:tcBorders>
              <w:top w:val="single" w:color="auto" w:sz="4" w:space="0"/>
              <w:left w:val="single" w:color="auto" w:sz="4" w:space="0"/>
              <w:bottom w:val="single" w:color="auto" w:sz="4" w:space="0"/>
              <w:right w:val="single" w:color="auto" w:sz="4" w:space="0"/>
            </w:tcBorders>
          </w:tcPr>
          <w:p w14:paraId="59D4EA5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5123" w:type="dxa"/>
            <w:tcBorders>
              <w:top w:val="single" w:color="auto" w:sz="4" w:space="0"/>
              <w:left w:val="single" w:color="auto" w:sz="4" w:space="0"/>
              <w:bottom w:val="single" w:color="auto" w:sz="4" w:space="0"/>
              <w:right w:val="single" w:color="auto" w:sz="4" w:space="0"/>
            </w:tcBorders>
          </w:tcPr>
          <w:p w14:paraId="7E1FC2A3">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p>
        </w:tc>
        <w:tc>
          <w:tcPr>
            <w:tcW w:w="1131" w:type="dxa"/>
            <w:tcBorders>
              <w:top w:val="single" w:color="auto" w:sz="4" w:space="0"/>
              <w:left w:val="single" w:color="auto" w:sz="4" w:space="0"/>
              <w:bottom w:val="single" w:color="auto" w:sz="4" w:space="0"/>
              <w:right w:val="single" w:color="auto" w:sz="4" w:space="0"/>
            </w:tcBorders>
          </w:tcPr>
          <w:p w14:paraId="7F124722">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p>
        </w:tc>
        <w:tc>
          <w:tcPr>
            <w:tcW w:w="1777" w:type="dxa"/>
            <w:tcBorders>
              <w:top w:val="single" w:color="auto" w:sz="4" w:space="0"/>
              <w:left w:val="single" w:color="auto" w:sz="4" w:space="0"/>
              <w:bottom w:val="single" w:color="auto" w:sz="4" w:space="0"/>
              <w:right w:val="single" w:color="auto" w:sz="4" w:space="0"/>
            </w:tcBorders>
          </w:tcPr>
          <w:p w14:paraId="6E03F3A2">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p>
        </w:tc>
        <w:tc>
          <w:tcPr>
            <w:tcW w:w="554" w:type="dxa"/>
            <w:tcBorders>
              <w:top w:val="single" w:color="auto" w:sz="4" w:space="0"/>
              <w:left w:val="single" w:color="auto" w:sz="4" w:space="0"/>
              <w:bottom w:val="single" w:color="auto" w:sz="4" w:space="0"/>
              <w:right w:val="single" w:color="auto" w:sz="4" w:space="0"/>
            </w:tcBorders>
          </w:tcPr>
          <w:p w14:paraId="4FDFFA75">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p>
        </w:tc>
      </w:tr>
      <w:tr w14:paraId="66720D7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500" w:type="dxa"/>
            <w:tcBorders>
              <w:top w:val="single" w:color="auto" w:sz="4" w:space="0"/>
              <w:left w:val="single" w:color="auto" w:sz="4" w:space="0"/>
              <w:bottom w:val="single" w:color="auto" w:sz="4" w:space="0"/>
              <w:right w:val="single" w:color="auto" w:sz="4" w:space="0"/>
            </w:tcBorders>
          </w:tcPr>
          <w:p w14:paraId="4E715B3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5123" w:type="dxa"/>
            <w:tcBorders>
              <w:top w:val="single" w:color="auto" w:sz="4" w:space="0"/>
              <w:left w:val="single" w:color="auto" w:sz="4" w:space="0"/>
              <w:bottom w:val="single" w:color="auto" w:sz="4" w:space="0"/>
              <w:right w:val="single" w:color="auto" w:sz="4" w:space="0"/>
            </w:tcBorders>
          </w:tcPr>
          <w:p w14:paraId="6F198CB4">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p>
        </w:tc>
        <w:tc>
          <w:tcPr>
            <w:tcW w:w="1131" w:type="dxa"/>
            <w:tcBorders>
              <w:top w:val="single" w:color="auto" w:sz="4" w:space="0"/>
              <w:left w:val="single" w:color="auto" w:sz="4" w:space="0"/>
              <w:bottom w:val="single" w:color="auto" w:sz="4" w:space="0"/>
              <w:right w:val="single" w:color="auto" w:sz="4" w:space="0"/>
            </w:tcBorders>
          </w:tcPr>
          <w:p w14:paraId="226D223B">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p>
        </w:tc>
        <w:tc>
          <w:tcPr>
            <w:tcW w:w="1777" w:type="dxa"/>
            <w:tcBorders>
              <w:top w:val="single" w:color="auto" w:sz="4" w:space="0"/>
              <w:left w:val="single" w:color="auto" w:sz="4" w:space="0"/>
              <w:bottom w:val="single" w:color="auto" w:sz="4" w:space="0"/>
              <w:right w:val="single" w:color="auto" w:sz="4" w:space="0"/>
            </w:tcBorders>
          </w:tcPr>
          <w:p w14:paraId="3B001AA4">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p>
        </w:tc>
        <w:tc>
          <w:tcPr>
            <w:tcW w:w="554" w:type="dxa"/>
            <w:tcBorders>
              <w:top w:val="single" w:color="auto" w:sz="4" w:space="0"/>
              <w:left w:val="single" w:color="auto" w:sz="4" w:space="0"/>
              <w:bottom w:val="single" w:color="auto" w:sz="4" w:space="0"/>
              <w:right w:val="single" w:color="auto" w:sz="4" w:space="0"/>
            </w:tcBorders>
          </w:tcPr>
          <w:p w14:paraId="02D215FB">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p>
        </w:tc>
      </w:tr>
      <w:tr w14:paraId="40CF53C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500" w:type="dxa"/>
            <w:tcBorders>
              <w:top w:val="single" w:color="auto" w:sz="4" w:space="0"/>
              <w:left w:val="single" w:color="auto" w:sz="4" w:space="0"/>
              <w:bottom w:val="single" w:color="auto" w:sz="4" w:space="0"/>
              <w:right w:val="single" w:color="auto" w:sz="4" w:space="0"/>
            </w:tcBorders>
          </w:tcPr>
          <w:p w14:paraId="175BF73E">
            <w:pPr>
              <w:keepNext w:val="0"/>
              <w:keepLines w:val="0"/>
              <w:suppressLineNumbers w:val="0"/>
              <w:spacing w:before="120" w:beforeLines="50" w:beforeAutospacing="0" w:after="120" w:afterLines="5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c>
          <w:tcPr>
            <w:tcW w:w="8585" w:type="dxa"/>
            <w:gridSpan w:val="4"/>
            <w:tcBorders>
              <w:top w:val="single" w:color="auto" w:sz="4" w:space="0"/>
              <w:left w:val="single" w:color="auto" w:sz="4" w:space="0"/>
              <w:bottom w:val="single" w:color="auto" w:sz="4" w:space="0"/>
              <w:right w:val="single" w:color="auto" w:sz="4" w:space="0"/>
            </w:tcBorders>
          </w:tcPr>
          <w:p w14:paraId="602A28EA">
            <w:pPr>
              <w:keepNext w:val="0"/>
              <w:keepLines w:val="0"/>
              <w:suppressLineNumbers w:val="0"/>
              <w:spacing w:before="120" w:beforeLines="50" w:beforeAutospacing="0" w:after="120" w:afterLines="5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我司承诺，除上述列出的技术偏差外，完全满足招标文件技术部分的要求。</w:t>
            </w:r>
          </w:p>
        </w:tc>
      </w:tr>
    </w:tbl>
    <w:p w14:paraId="3633391D">
      <w:pPr>
        <w:adjustRightInd w:val="0"/>
        <w:snapToGrid w:val="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注：</w:t>
      </w:r>
    </w:p>
    <w:p w14:paraId="5C3ABE14">
      <w:pPr>
        <w:adjustRightInd w:val="0"/>
        <w:snapToGrid w:val="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1.如投标人对招标文件技术要求提出异议，应在表格中清楚地指明修改后的条款及理由。</w:t>
      </w:r>
    </w:p>
    <w:p w14:paraId="5964DDC1">
      <w:pPr>
        <w:adjustRightInd w:val="0"/>
        <w:snapToGrid w:val="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2.投标人按招标文件技术需求书中的条款进行填写，需求书全文为实质性条款，若有任何一条负偏离或不满足则导致投标无效。</w:t>
      </w:r>
    </w:p>
    <w:p w14:paraId="2150F83C">
      <w:pPr>
        <w:adjustRightInd w:val="0"/>
        <w:snapToGrid w:val="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3.“投标文件响应情况”项下应按下列规定填写：优于的，填写“正偏离”；符合的，填写“无偏离”；低于的，填写“负偏离”。</w:t>
      </w:r>
    </w:p>
    <w:p w14:paraId="742449B8">
      <w:pPr>
        <w:rPr>
          <w:rFonts w:hint="eastAsia" w:ascii="宋体" w:hAnsi="宋体" w:eastAsia="宋体" w:cs="宋体"/>
          <w:color w:val="auto"/>
          <w:sz w:val="18"/>
          <w:szCs w:val="18"/>
          <w:highlight w:val="none"/>
        </w:rPr>
      </w:pPr>
    </w:p>
    <w:p w14:paraId="13F9C25C">
      <w:pPr>
        <w:autoSpaceDE w:val="0"/>
        <w:autoSpaceDN w:val="0"/>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投标人名称及公章：</w:t>
      </w:r>
      <w:r>
        <w:rPr>
          <w:rFonts w:hint="eastAsia" w:ascii="宋体" w:hAnsi="宋体" w:eastAsia="宋体" w:cs="宋体"/>
          <w:color w:val="auto"/>
          <w:szCs w:val="21"/>
          <w:highlight w:val="none"/>
          <w:u w:val="single"/>
        </w:rPr>
        <w:t xml:space="preserve">                                                 </w:t>
      </w:r>
    </w:p>
    <w:p w14:paraId="55B41329">
      <w:pPr>
        <w:autoSpaceDE w:val="0"/>
        <w:autoSpaceDN w:val="0"/>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法定代表人（或授权代表）签字或盖章：</w:t>
      </w:r>
      <w:r>
        <w:rPr>
          <w:rFonts w:hint="eastAsia" w:ascii="宋体" w:hAnsi="宋体" w:eastAsia="宋体" w:cs="宋体"/>
          <w:color w:val="auto"/>
          <w:szCs w:val="21"/>
          <w:highlight w:val="none"/>
          <w:u w:val="single"/>
        </w:rPr>
        <w:t xml:space="preserve">                                    </w:t>
      </w:r>
    </w:p>
    <w:p w14:paraId="2C6FB520">
      <w:pPr>
        <w:autoSpaceDE w:val="0"/>
        <w:autoSpaceDN w:val="0"/>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lang w:val="zh-CN"/>
        </w:rPr>
        <w:t>：</w:t>
      </w:r>
      <w:r>
        <w:rPr>
          <w:rFonts w:hint="eastAsia" w:ascii="宋体" w:hAnsi="宋体" w:eastAsia="宋体" w:cs="宋体"/>
          <w:color w:val="auto"/>
          <w:kern w:val="24"/>
          <w:szCs w:val="21"/>
          <w:highlight w:val="none"/>
          <w:u w:val="single"/>
          <w:lang w:val="zh-CN"/>
        </w:rPr>
        <w:t xml:space="preserve">         </w:t>
      </w:r>
      <w:r>
        <w:rPr>
          <w:rFonts w:hint="eastAsia" w:ascii="宋体" w:hAnsi="宋体" w:eastAsia="宋体" w:cs="宋体"/>
          <w:color w:val="auto"/>
          <w:kern w:val="24"/>
          <w:szCs w:val="21"/>
          <w:highlight w:val="none"/>
          <w:lang w:val="zh-CN"/>
        </w:rPr>
        <w:t>年</w:t>
      </w:r>
      <w:r>
        <w:rPr>
          <w:rFonts w:hint="eastAsia" w:ascii="宋体" w:hAnsi="宋体" w:eastAsia="宋体" w:cs="宋体"/>
          <w:color w:val="auto"/>
          <w:kern w:val="24"/>
          <w:szCs w:val="21"/>
          <w:highlight w:val="none"/>
          <w:u w:val="single"/>
          <w:lang w:val="zh-CN"/>
        </w:rPr>
        <w:t xml:space="preserve">       </w:t>
      </w:r>
      <w:r>
        <w:rPr>
          <w:rFonts w:hint="eastAsia" w:ascii="宋体" w:hAnsi="宋体" w:eastAsia="宋体" w:cs="宋体"/>
          <w:color w:val="auto"/>
          <w:kern w:val="24"/>
          <w:szCs w:val="21"/>
          <w:highlight w:val="none"/>
          <w:lang w:val="zh-CN"/>
        </w:rPr>
        <w:t>月</w:t>
      </w:r>
      <w:r>
        <w:rPr>
          <w:rFonts w:hint="eastAsia" w:ascii="宋体" w:hAnsi="宋体" w:eastAsia="宋体" w:cs="宋体"/>
          <w:color w:val="auto"/>
          <w:kern w:val="24"/>
          <w:szCs w:val="21"/>
          <w:highlight w:val="none"/>
          <w:u w:val="single"/>
          <w:lang w:val="zh-CN"/>
        </w:rPr>
        <w:t xml:space="preserve">        </w:t>
      </w:r>
      <w:r>
        <w:rPr>
          <w:rFonts w:hint="eastAsia" w:ascii="宋体" w:hAnsi="宋体" w:eastAsia="宋体" w:cs="宋体"/>
          <w:color w:val="auto"/>
          <w:kern w:val="24"/>
          <w:szCs w:val="21"/>
          <w:highlight w:val="none"/>
          <w:lang w:val="zh-CN"/>
        </w:rPr>
        <w:t>日</w:t>
      </w:r>
    </w:p>
    <w:p w14:paraId="017398A4">
      <w:pPr>
        <w:spacing w:line="276" w:lineRule="auto"/>
        <w:rPr>
          <w:rFonts w:hint="eastAsia" w:ascii="宋体" w:hAnsi="宋体" w:eastAsia="宋体" w:cs="宋体"/>
          <w:color w:val="auto"/>
          <w:sz w:val="27"/>
          <w:szCs w:val="27"/>
          <w:highlight w:val="none"/>
        </w:rPr>
      </w:pPr>
    </w:p>
    <w:p w14:paraId="31CD42B4">
      <w:pPr>
        <w:spacing w:line="276" w:lineRule="auto"/>
        <w:rPr>
          <w:rFonts w:hint="eastAsia" w:ascii="宋体" w:hAnsi="宋体" w:eastAsia="宋体" w:cs="宋体"/>
          <w:color w:val="auto"/>
          <w:sz w:val="27"/>
          <w:szCs w:val="27"/>
          <w:highlight w:val="none"/>
        </w:rPr>
      </w:pPr>
    </w:p>
    <w:p w14:paraId="162CEAB1">
      <w:pPr>
        <w:widowControl/>
        <w:jc w:val="left"/>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br w:type="page"/>
      </w:r>
    </w:p>
    <w:p w14:paraId="4A62088E">
      <w:pPr>
        <w:spacing w:line="276" w:lineRule="auto"/>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1.按照技术部分评分表提供相应证明资料</w:t>
      </w:r>
    </w:p>
    <w:p w14:paraId="05346D11">
      <w:pPr>
        <w:pStyle w:val="39"/>
        <w:ind w:left="0" w:leftChars="0" w:firstLine="0" w:firstLineChars="0"/>
        <w:rPr>
          <w:rFonts w:hint="eastAsia" w:ascii="宋体" w:hAnsi="宋体" w:eastAsia="宋体" w:cs="宋体"/>
          <w:color w:val="auto"/>
          <w:sz w:val="20"/>
          <w:szCs w:val="20"/>
          <w:highlight w:val="none"/>
        </w:rPr>
      </w:pPr>
    </w:p>
    <w:p w14:paraId="3A168FB1">
      <w:pPr>
        <w:pStyle w:val="39"/>
        <w:ind w:left="0" w:leftChars="0" w:firstLine="0" w:firstLineChars="0"/>
        <w:rPr>
          <w:rFonts w:hint="eastAsia" w:ascii="宋体" w:hAnsi="宋体" w:eastAsia="宋体" w:cs="宋体"/>
          <w:color w:val="auto"/>
          <w:sz w:val="20"/>
          <w:szCs w:val="20"/>
          <w:highlight w:val="none"/>
        </w:rPr>
      </w:pPr>
    </w:p>
    <w:p w14:paraId="545B8FDF">
      <w:pPr>
        <w:widowControl/>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br w:type="page"/>
      </w:r>
    </w:p>
    <w:p w14:paraId="3ECD62FF">
      <w:pPr>
        <w:spacing w:line="360" w:lineRule="auto"/>
        <w:jc w:val="center"/>
        <w:outlineLvl w:val="2"/>
        <w:rPr>
          <w:rFonts w:hint="eastAsia" w:ascii="宋体" w:hAnsi="宋体" w:eastAsia="宋体" w:cs="宋体"/>
          <w:color w:val="auto"/>
          <w:sz w:val="28"/>
          <w:szCs w:val="27"/>
          <w:highlight w:val="none"/>
        </w:rPr>
      </w:pPr>
      <w:bookmarkStart w:id="517" w:name="_Toc20669"/>
      <w:bookmarkStart w:id="518" w:name="_Toc2634"/>
      <w:r>
        <w:rPr>
          <w:rFonts w:hint="eastAsia" w:ascii="宋体" w:hAnsi="宋体" w:eastAsia="宋体" w:cs="宋体"/>
          <w:color w:val="auto"/>
          <w:sz w:val="28"/>
          <w:szCs w:val="27"/>
          <w:highlight w:val="none"/>
        </w:rPr>
        <w:t>九、商务部分资料</w:t>
      </w:r>
      <w:bookmarkEnd w:id="517"/>
      <w:bookmarkEnd w:id="518"/>
    </w:p>
    <w:p w14:paraId="23686F3B">
      <w:pPr>
        <w:spacing w:line="276" w:lineRule="auto"/>
        <w:jc w:val="center"/>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rPr>
        <w:t>（按照商务部分评分表提供相应证明资料）</w:t>
      </w:r>
    </w:p>
    <w:p w14:paraId="4C1B4C4C">
      <w:pPr>
        <w:topLinePunct/>
        <w:spacing w:line="400" w:lineRule="exact"/>
        <w:rPr>
          <w:rFonts w:hint="eastAsia" w:ascii="宋体" w:hAnsi="宋体" w:eastAsia="宋体" w:cs="宋体"/>
          <w:color w:val="auto"/>
          <w:sz w:val="20"/>
          <w:szCs w:val="20"/>
          <w:highlight w:val="none"/>
        </w:rPr>
      </w:pPr>
    </w:p>
    <w:p w14:paraId="1CBFE837">
      <w:pPr>
        <w:pStyle w:val="39"/>
        <w:ind w:left="0" w:leftChars="0" w:firstLine="0" w:firstLineChars="0"/>
        <w:rPr>
          <w:rFonts w:hint="eastAsia" w:ascii="宋体" w:hAnsi="宋体" w:eastAsia="宋体" w:cs="宋体"/>
          <w:color w:val="auto"/>
          <w:highlight w:val="none"/>
        </w:rPr>
      </w:pPr>
    </w:p>
    <w:p w14:paraId="78F82806">
      <w:pPr>
        <w:pStyle w:val="39"/>
        <w:ind w:left="0" w:leftChars="0" w:firstLine="0" w:firstLineChars="0"/>
        <w:rPr>
          <w:rFonts w:hint="eastAsia" w:ascii="宋体" w:hAnsi="宋体" w:eastAsia="宋体" w:cs="宋体"/>
          <w:color w:val="auto"/>
          <w:highlight w:val="none"/>
        </w:rPr>
      </w:pPr>
    </w:p>
    <w:p w14:paraId="712C3793">
      <w:pPr>
        <w:spacing w:line="400" w:lineRule="exact"/>
        <w:jc w:val="left"/>
        <w:rPr>
          <w:rFonts w:hint="eastAsia" w:ascii="宋体" w:hAnsi="宋体" w:eastAsia="宋体" w:cs="宋体"/>
          <w:color w:val="auto"/>
          <w:sz w:val="20"/>
          <w:szCs w:val="20"/>
          <w:highlight w:val="none"/>
        </w:rPr>
      </w:pPr>
      <w:r>
        <w:rPr>
          <w:rFonts w:hint="eastAsia" w:ascii="宋体" w:hAnsi="宋体" w:eastAsia="宋体" w:cs="宋体"/>
          <w:i/>
          <w:color w:val="auto"/>
          <w:szCs w:val="21"/>
          <w:highlight w:val="none"/>
        </w:rPr>
        <w:t xml:space="preserve"> </w:t>
      </w:r>
      <w:r>
        <w:rPr>
          <w:rFonts w:hint="eastAsia" w:ascii="宋体" w:hAnsi="宋体" w:eastAsia="宋体" w:cs="宋体"/>
          <w:color w:val="auto"/>
          <w:sz w:val="19"/>
          <w:szCs w:val="19"/>
          <w:highlight w:val="none"/>
        </w:rPr>
        <w:br w:type="page"/>
      </w:r>
    </w:p>
    <w:p w14:paraId="676E5967">
      <w:pPr>
        <w:spacing w:line="360" w:lineRule="auto"/>
        <w:jc w:val="center"/>
        <w:outlineLvl w:val="2"/>
        <w:rPr>
          <w:rFonts w:hint="eastAsia" w:ascii="宋体" w:hAnsi="宋体" w:eastAsia="宋体" w:cs="宋体"/>
          <w:color w:val="auto"/>
          <w:sz w:val="28"/>
          <w:szCs w:val="27"/>
          <w:highlight w:val="none"/>
        </w:rPr>
      </w:pPr>
      <w:bookmarkStart w:id="519" w:name="_Toc53669185"/>
      <w:bookmarkStart w:id="520" w:name="_Toc78985273"/>
      <w:bookmarkStart w:id="521" w:name="_Toc17451660"/>
      <w:bookmarkStart w:id="522" w:name="_Toc168475930"/>
      <w:bookmarkStart w:id="523" w:name="_Toc259524421"/>
      <w:bookmarkStart w:id="524" w:name="_Toc17451615"/>
      <w:bookmarkStart w:id="525" w:name="_Toc144974871"/>
      <w:bookmarkStart w:id="526" w:name="_Toc222031069"/>
      <w:bookmarkStart w:id="527" w:name="_Toc222033918"/>
      <w:bookmarkStart w:id="528" w:name="_Toc229305427"/>
      <w:bookmarkStart w:id="529" w:name="_Toc1982"/>
      <w:bookmarkStart w:id="530" w:name="_Toc17454959"/>
      <w:bookmarkStart w:id="531" w:name="_Toc17556968"/>
      <w:bookmarkStart w:id="532" w:name="_Toc168476333"/>
      <w:bookmarkStart w:id="533" w:name="_Toc222032736"/>
      <w:bookmarkStart w:id="534" w:name="_Toc17451138"/>
      <w:bookmarkStart w:id="535" w:name="_Toc221952115"/>
      <w:bookmarkStart w:id="536" w:name="_Toc222029567"/>
      <w:bookmarkStart w:id="537" w:name="_Toc17454908"/>
      <w:bookmarkStart w:id="538" w:name="_Toc17556913"/>
      <w:bookmarkStart w:id="539" w:name="_Toc17452701"/>
      <w:r>
        <w:rPr>
          <w:rFonts w:hint="eastAsia" w:ascii="宋体" w:hAnsi="宋体" w:eastAsia="宋体" w:cs="宋体"/>
          <w:color w:val="auto"/>
          <w:sz w:val="28"/>
          <w:szCs w:val="27"/>
          <w:highlight w:val="none"/>
        </w:rPr>
        <w:t>十、项目管理机构</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7294668E">
      <w:pPr>
        <w:pStyle w:val="39"/>
        <w:ind w:left="0" w:leftChars="0" w:firstLine="0" w:firstLineChars="0"/>
        <w:rPr>
          <w:rFonts w:hint="eastAsia" w:ascii="宋体" w:hAnsi="宋体" w:eastAsia="宋体" w:cs="宋体"/>
          <w:color w:val="auto"/>
          <w:highlight w:val="none"/>
        </w:rPr>
      </w:pPr>
    </w:p>
    <w:p w14:paraId="16954147">
      <w:pPr>
        <w:spacing w:line="400" w:lineRule="exact"/>
        <w:jc w:val="center"/>
        <w:outlineLvl w:val="3"/>
        <w:rPr>
          <w:rFonts w:hint="eastAsia" w:ascii="宋体" w:hAnsi="宋体" w:eastAsia="宋体" w:cs="宋体"/>
          <w:b/>
          <w:color w:val="auto"/>
          <w:sz w:val="24"/>
          <w:szCs w:val="31"/>
          <w:highlight w:val="none"/>
        </w:rPr>
      </w:pPr>
      <w:bookmarkStart w:id="540" w:name="_Toc221952116"/>
      <w:bookmarkStart w:id="541" w:name="_Toc168476334"/>
      <w:bookmarkStart w:id="542" w:name="_Toc168475931"/>
      <w:bookmarkStart w:id="543" w:name="_Toc144974872"/>
      <w:r>
        <w:rPr>
          <w:rFonts w:hint="eastAsia" w:ascii="宋体" w:hAnsi="宋体" w:eastAsia="宋体" w:cs="宋体"/>
          <w:b/>
          <w:color w:val="auto"/>
          <w:sz w:val="24"/>
          <w:szCs w:val="31"/>
          <w:highlight w:val="none"/>
        </w:rPr>
        <w:t>（一）项目管理机构组成表</w:t>
      </w:r>
      <w:bookmarkEnd w:id="540"/>
      <w:bookmarkEnd w:id="541"/>
      <w:bookmarkEnd w:id="542"/>
      <w:bookmarkEnd w:id="543"/>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21"/>
        <w:gridCol w:w="720"/>
        <w:gridCol w:w="1081"/>
        <w:gridCol w:w="720"/>
        <w:gridCol w:w="721"/>
        <w:gridCol w:w="720"/>
        <w:gridCol w:w="2524"/>
        <w:gridCol w:w="670"/>
      </w:tblGrid>
      <w:tr w14:paraId="2AE1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vAlign w:val="center"/>
          </w:tcPr>
          <w:p w14:paraId="21EA3E9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44" w:name="_Toc221952117"/>
            <w:r>
              <w:rPr>
                <w:rFonts w:hint="eastAsia" w:ascii="宋体" w:hAnsi="宋体" w:eastAsia="宋体" w:cs="宋体"/>
                <w:color w:val="auto"/>
                <w:szCs w:val="21"/>
                <w:highlight w:val="none"/>
              </w:rPr>
              <w:t>职务</w:t>
            </w:r>
            <w:bookmarkEnd w:id="544"/>
          </w:p>
        </w:tc>
        <w:tc>
          <w:tcPr>
            <w:tcW w:w="721" w:type="dxa"/>
            <w:vMerge w:val="restart"/>
            <w:vAlign w:val="center"/>
          </w:tcPr>
          <w:p w14:paraId="12BF926E">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45" w:name="_Toc221952118"/>
            <w:r>
              <w:rPr>
                <w:rFonts w:hint="eastAsia" w:ascii="宋体" w:hAnsi="宋体" w:eastAsia="宋体" w:cs="宋体"/>
                <w:color w:val="auto"/>
                <w:szCs w:val="21"/>
                <w:highlight w:val="none"/>
              </w:rPr>
              <w:t>姓名</w:t>
            </w:r>
            <w:bookmarkEnd w:id="545"/>
          </w:p>
        </w:tc>
        <w:tc>
          <w:tcPr>
            <w:tcW w:w="720" w:type="dxa"/>
            <w:vMerge w:val="restart"/>
            <w:vAlign w:val="center"/>
          </w:tcPr>
          <w:p w14:paraId="64BF2F7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46" w:name="_Toc221952119"/>
            <w:r>
              <w:rPr>
                <w:rFonts w:hint="eastAsia" w:ascii="宋体" w:hAnsi="宋体" w:eastAsia="宋体" w:cs="宋体"/>
                <w:color w:val="auto"/>
                <w:szCs w:val="21"/>
                <w:highlight w:val="none"/>
              </w:rPr>
              <w:t>职称</w:t>
            </w:r>
            <w:bookmarkEnd w:id="546"/>
          </w:p>
        </w:tc>
        <w:tc>
          <w:tcPr>
            <w:tcW w:w="5766" w:type="dxa"/>
            <w:gridSpan w:val="5"/>
            <w:vAlign w:val="center"/>
          </w:tcPr>
          <w:p w14:paraId="6841BAD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47" w:name="_Toc221952120"/>
            <w:r>
              <w:rPr>
                <w:rFonts w:hint="eastAsia" w:ascii="宋体" w:hAnsi="宋体" w:eastAsia="宋体" w:cs="宋体"/>
                <w:color w:val="auto"/>
                <w:szCs w:val="21"/>
                <w:highlight w:val="none"/>
              </w:rPr>
              <w:t>执业或职业资格证明</w:t>
            </w:r>
            <w:bookmarkEnd w:id="547"/>
          </w:p>
        </w:tc>
        <w:tc>
          <w:tcPr>
            <w:tcW w:w="670" w:type="dxa"/>
            <w:vAlign w:val="center"/>
          </w:tcPr>
          <w:p w14:paraId="388DB6A0">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48" w:name="_Toc221952121"/>
            <w:r>
              <w:rPr>
                <w:rFonts w:hint="eastAsia" w:ascii="宋体" w:hAnsi="宋体" w:eastAsia="宋体" w:cs="宋体"/>
                <w:color w:val="auto"/>
                <w:szCs w:val="21"/>
                <w:highlight w:val="none"/>
              </w:rPr>
              <w:t>备注</w:t>
            </w:r>
            <w:bookmarkEnd w:id="548"/>
          </w:p>
        </w:tc>
      </w:tr>
      <w:tr w14:paraId="0D3D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14:paraId="63AB595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Merge w:val="continue"/>
            <w:vAlign w:val="center"/>
          </w:tcPr>
          <w:p w14:paraId="69E2386F">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Merge w:val="continue"/>
            <w:vAlign w:val="center"/>
          </w:tcPr>
          <w:p w14:paraId="4D784AE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507C0CF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49" w:name="_Toc221952122"/>
            <w:r>
              <w:rPr>
                <w:rFonts w:hint="eastAsia" w:ascii="宋体" w:hAnsi="宋体" w:eastAsia="宋体" w:cs="宋体"/>
                <w:color w:val="auto"/>
                <w:szCs w:val="21"/>
                <w:highlight w:val="none"/>
              </w:rPr>
              <w:t>证书名称</w:t>
            </w:r>
            <w:bookmarkEnd w:id="549"/>
          </w:p>
        </w:tc>
        <w:tc>
          <w:tcPr>
            <w:tcW w:w="720" w:type="dxa"/>
            <w:vAlign w:val="center"/>
          </w:tcPr>
          <w:p w14:paraId="30040F3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50" w:name="_Toc221952123"/>
            <w:r>
              <w:rPr>
                <w:rFonts w:hint="eastAsia" w:ascii="宋体" w:hAnsi="宋体" w:eastAsia="宋体" w:cs="宋体"/>
                <w:color w:val="auto"/>
                <w:szCs w:val="21"/>
                <w:highlight w:val="none"/>
              </w:rPr>
              <w:t>级别</w:t>
            </w:r>
            <w:bookmarkEnd w:id="550"/>
          </w:p>
        </w:tc>
        <w:tc>
          <w:tcPr>
            <w:tcW w:w="721" w:type="dxa"/>
            <w:vAlign w:val="center"/>
          </w:tcPr>
          <w:p w14:paraId="50D6858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51" w:name="_Toc221952124"/>
            <w:r>
              <w:rPr>
                <w:rFonts w:hint="eastAsia" w:ascii="宋体" w:hAnsi="宋体" w:eastAsia="宋体" w:cs="宋体"/>
                <w:color w:val="auto"/>
                <w:szCs w:val="21"/>
                <w:highlight w:val="none"/>
              </w:rPr>
              <w:t>证号</w:t>
            </w:r>
            <w:bookmarkEnd w:id="551"/>
          </w:p>
        </w:tc>
        <w:tc>
          <w:tcPr>
            <w:tcW w:w="720" w:type="dxa"/>
            <w:vAlign w:val="center"/>
          </w:tcPr>
          <w:p w14:paraId="577ED0A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52" w:name="_Toc221952125"/>
            <w:r>
              <w:rPr>
                <w:rFonts w:hint="eastAsia" w:ascii="宋体" w:hAnsi="宋体" w:eastAsia="宋体" w:cs="宋体"/>
                <w:color w:val="auto"/>
                <w:szCs w:val="21"/>
                <w:highlight w:val="none"/>
              </w:rPr>
              <w:t>职称专业</w:t>
            </w:r>
            <w:bookmarkEnd w:id="552"/>
          </w:p>
        </w:tc>
        <w:tc>
          <w:tcPr>
            <w:tcW w:w="2524" w:type="dxa"/>
            <w:vAlign w:val="center"/>
          </w:tcPr>
          <w:p w14:paraId="05CF40DE">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53" w:name="_Toc221952126"/>
            <w:r>
              <w:rPr>
                <w:rFonts w:hint="eastAsia" w:ascii="宋体" w:hAnsi="宋体" w:eastAsia="宋体" w:cs="宋体"/>
                <w:color w:val="auto"/>
                <w:szCs w:val="21"/>
                <w:highlight w:val="none"/>
              </w:rPr>
              <w:t>社会保险</w:t>
            </w:r>
            <w:bookmarkEnd w:id="553"/>
          </w:p>
        </w:tc>
        <w:tc>
          <w:tcPr>
            <w:tcW w:w="670" w:type="dxa"/>
            <w:vAlign w:val="center"/>
          </w:tcPr>
          <w:p w14:paraId="604FC75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390D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F92254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50BB4E9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654C5C0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4AE462E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323D136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04D3B204">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044CE4C6">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1FBF2DA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19A1CDA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567A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0AAD69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3874088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0B489C03">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36E11B5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2C6F5B4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41001114">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1BB3A923">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221BFEA3">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757ABEE4">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7DE8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7D25F8C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5DF147B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6F83DBEE">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3C14AEB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51C8A22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0299C57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10F3BF6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21BC2C56">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28AE7BD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67F4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09C9E43">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5E232B2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1750482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0FFA51C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0F89973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669327E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0246B51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790ED12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1BAA3C0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6BF2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F8C16BF">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4F2E0DC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7E55F5A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48436D90">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44331D6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40204DB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3FB5EBE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3B81A69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078C4E2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303E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 w:type="dxa"/>
            <w:vAlign w:val="center"/>
          </w:tcPr>
          <w:p w14:paraId="2F8314FE">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27557E2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27712F6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6137A2A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24323D0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5A1BBD60">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583689A4">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07B8136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7F0E9E8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3D5B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83DD50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229F1DD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47916E0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230D181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70043BC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41B67D9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6B9F6CD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07C1510F">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11D9354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4AED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34EE3BAE">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7EDCADF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4C07B27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7FBC5EA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4438926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3F4AE5A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5A3675E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1A9F02B3">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3BA2FBA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4BEA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51" w:type="dxa"/>
            <w:vAlign w:val="center"/>
          </w:tcPr>
          <w:p w14:paraId="43D99E4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069F2574">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276C202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659AFB6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48302016">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10F185B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0F35BEEE">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3C01507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5D2343D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2CBA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00E025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32E66D56">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46D4DB0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010678A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28FFA66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0E49D5F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0D5409D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0C776FA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7EA2E0C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41C1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9D1A05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692EF810">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4BED7CD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06B2376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69A1ACA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7EC2E9D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6D7F8B24">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353E17D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3C416FB0">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455F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50E9F2BF">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570F771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74A7122F">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430685F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236C0F1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1B90FE8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523C41C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24F0215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607EB19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0E64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729F1CA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474B645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1B79AF9E">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1081" w:type="dxa"/>
            <w:vAlign w:val="center"/>
          </w:tcPr>
          <w:p w14:paraId="7A0D2D7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3B0CB31C">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1" w:type="dxa"/>
            <w:vAlign w:val="center"/>
          </w:tcPr>
          <w:p w14:paraId="6B052B9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720" w:type="dxa"/>
            <w:vAlign w:val="center"/>
          </w:tcPr>
          <w:p w14:paraId="0E9BE29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524" w:type="dxa"/>
            <w:vAlign w:val="center"/>
          </w:tcPr>
          <w:p w14:paraId="3859BEE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670" w:type="dxa"/>
            <w:vAlign w:val="center"/>
          </w:tcPr>
          <w:p w14:paraId="7EE650B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bl>
    <w:p w14:paraId="34787C61">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注：投标人应根据商务部分评审标准的要求在本表后附相关证明材料</w:t>
      </w:r>
    </w:p>
    <w:p w14:paraId="512D3C7E">
      <w:pPr>
        <w:topLinePunct/>
        <w:spacing w:line="400" w:lineRule="exact"/>
        <w:rPr>
          <w:rFonts w:hint="eastAsia" w:ascii="宋体" w:hAnsi="宋体" w:eastAsia="宋体" w:cs="宋体"/>
          <w:color w:val="auto"/>
          <w:sz w:val="19"/>
          <w:szCs w:val="19"/>
          <w:highlight w:val="none"/>
        </w:rPr>
      </w:pPr>
    </w:p>
    <w:p w14:paraId="107F5379">
      <w:pPr>
        <w:widowControl/>
        <w:ind w:firstLine="482" w:firstLineChars="200"/>
        <w:jc w:val="left"/>
        <w:rPr>
          <w:rFonts w:hint="eastAsia" w:ascii="宋体" w:hAnsi="宋体" w:eastAsia="宋体" w:cs="宋体"/>
          <w:b/>
          <w:color w:val="auto"/>
          <w:sz w:val="24"/>
          <w:szCs w:val="31"/>
          <w:highlight w:val="none"/>
        </w:rPr>
      </w:pPr>
      <w:bookmarkStart w:id="554" w:name="_Toc168475932"/>
      <w:bookmarkStart w:id="555" w:name="_Toc221952127"/>
      <w:bookmarkStart w:id="556" w:name="_Toc168476335"/>
      <w:bookmarkStart w:id="557" w:name="_Toc144974873"/>
      <w:r>
        <w:rPr>
          <w:rFonts w:hint="eastAsia" w:ascii="宋体" w:hAnsi="宋体" w:eastAsia="宋体" w:cs="宋体"/>
          <w:b/>
          <w:color w:val="auto"/>
          <w:sz w:val="24"/>
          <w:szCs w:val="31"/>
          <w:highlight w:val="none"/>
        </w:rPr>
        <w:br w:type="page"/>
      </w:r>
    </w:p>
    <w:p w14:paraId="7EEFCB00">
      <w:pPr>
        <w:spacing w:line="400" w:lineRule="exact"/>
        <w:jc w:val="center"/>
        <w:outlineLvl w:val="3"/>
        <w:rPr>
          <w:rFonts w:hint="eastAsia" w:ascii="宋体" w:hAnsi="宋体" w:eastAsia="宋体" w:cs="宋体"/>
          <w:b/>
          <w:color w:val="auto"/>
          <w:sz w:val="24"/>
          <w:szCs w:val="31"/>
          <w:highlight w:val="none"/>
        </w:rPr>
      </w:pPr>
      <w:r>
        <w:rPr>
          <w:rFonts w:hint="eastAsia" w:ascii="宋体" w:hAnsi="宋体" w:eastAsia="宋体" w:cs="宋体"/>
          <w:b/>
          <w:color w:val="auto"/>
          <w:sz w:val="24"/>
          <w:szCs w:val="31"/>
          <w:highlight w:val="none"/>
        </w:rPr>
        <w:t>（二）主要人员简历表</w:t>
      </w:r>
      <w:bookmarkEnd w:id="554"/>
      <w:bookmarkEnd w:id="555"/>
      <w:bookmarkEnd w:id="556"/>
      <w:bookmarkEnd w:id="557"/>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350"/>
        <w:gridCol w:w="701"/>
        <w:gridCol w:w="902"/>
        <w:gridCol w:w="1037"/>
        <w:gridCol w:w="691"/>
        <w:gridCol w:w="1228"/>
        <w:gridCol w:w="490"/>
        <w:gridCol w:w="1977"/>
      </w:tblGrid>
      <w:tr w14:paraId="52FA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Align w:val="center"/>
          </w:tcPr>
          <w:p w14:paraId="7DF7E27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58" w:name="_Toc221952129"/>
            <w:r>
              <w:rPr>
                <w:rFonts w:hint="eastAsia" w:ascii="宋体" w:hAnsi="宋体" w:eastAsia="宋体" w:cs="宋体"/>
                <w:color w:val="auto"/>
                <w:szCs w:val="21"/>
                <w:highlight w:val="none"/>
              </w:rPr>
              <w:t>姓  名</w:t>
            </w:r>
            <w:bookmarkEnd w:id="558"/>
          </w:p>
        </w:tc>
        <w:tc>
          <w:tcPr>
            <w:tcW w:w="1051" w:type="dxa"/>
            <w:gridSpan w:val="2"/>
            <w:vAlign w:val="center"/>
          </w:tcPr>
          <w:p w14:paraId="66F1F7B7">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02" w:type="dxa"/>
            <w:vAlign w:val="center"/>
          </w:tcPr>
          <w:p w14:paraId="58DEA1BB">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59" w:name="_Toc221952130"/>
            <w:r>
              <w:rPr>
                <w:rFonts w:hint="eastAsia" w:ascii="宋体" w:hAnsi="宋体" w:eastAsia="宋体" w:cs="宋体"/>
                <w:color w:val="auto"/>
                <w:szCs w:val="21"/>
                <w:highlight w:val="none"/>
              </w:rPr>
              <w:t>年 龄</w:t>
            </w:r>
            <w:bookmarkEnd w:id="559"/>
          </w:p>
        </w:tc>
        <w:tc>
          <w:tcPr>
            <w:tcW w:w="1037" w:type="dxa"/>
            <w:vAlign w:val="center"/>
          </w:tcPr>
          <w:p w14:paraId="339D072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409" w:type="dxa"/>
            <w:gridSpan w:val="3"/>
            <w:vAlign w:val="center"/>
          </w:tcPr>
          <w:p w14:paraId="6750554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0" w:name="_Toc221952131"/>
            <w:r>
              <w:rPr>
                <w:rFonts w:hint="eastAsia" w:ascii="宋体" w:hAnsi="宋体" w:eastAsia="宋体" w:cs="宋体"/>
                <w:color w:val="auto"/>
                <w:szCs w:val="21"/>
                <w:highlight w:val="none"/>
              </w:rPr>
              <w:t>学历</w:t>
            </w:r>
            <w:bookmarkEnd w:id="560"/>
          </w:p>
        </w:tc>
        <w:tc>
          <w:tcPr>
            <w:tcW w:w="1977" w:type="dxa"/>
            <w:vAlign w:val="center"/>
          </w:tcPr>
          <w:p w14:paraId="4027184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5557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Align w:val="center"/>
          </w:tcPr>
          <w:p w14:paraId="782CD516">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执业资格</w:t>
            </w:r>
          </w:p>
        </w:tc>
        <w:tc>
          <w:tcPr>
            <w:tcW w:w="2990" w:type="dxa"/>
            <w:gridSpan w:val="4"/>
            <w:vAlign w:val="center"/>
          </w:tcPr>
          <w:p w14:paraId="2E889D9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409" w:type="dxa"/>
            <w:gridSpan w:val="3"/>
            <w:vAlign w:val="center"/>
          </w:tcPr>
          <w:p w14:paraId="18D8B62D">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安全生产考核合格证书</w:t>
            </w:r>
          </w:p>
        </w:tc>
        <w:tc>
          <w:tcPr>
            <w:tcW w:w="1977" w:type="dxa"/>
            <w:vAlign w:val="center"/>
          </w:tcPr>
          <w:p w14:paraId="45E70283">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1589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Align w:val="center"/>
          </w:tcPr>
          <w:p w14:paraId="58D527C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1" w:name="_Toc221952132"/>
            <w:r>
              <w:rPr>
                <w:rFonts w:hint="eastAsia" w:ascii="宋体" w:hAnsi="宋体" w:eastAsia="宋体" w:cs="宋体"/>
                <w:color w:val="auto"/>
                <w:szCs w:val="21"/>
                <w:highlight w:val="none"/>
              </w:rPr>
              <w:t>职  称</w:t>
            </w:r>
            <w:bookmarkEnd w:id="561"/>
          </w:p>
        </w:tc>
        <w:tc>
          <w:tcPr>
            <w:tcW w:w="1051" w:type="dxa"/>
            <w:gridSpan w:val="2"/>
            <w:vAlign w:val="center"/>
          </w:tcPr>
          <w:p w14:paraId="66327F5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902" w:type="dxa"/>
            <w:vAlign w:val="center"/>
          </w:tcPr>
          <w:p w14:paraId="09C531B2">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2" w:name="_Toc221952133"/>
            <w:r>
              <w:rPr>
                <w:rFonts w:hint="eastAsia" w:ascii="宋体" w:hAnsi="宋体" w:eastAsia="宋体" w:cs="宋体"/>
                <w:color w:val="auto"/>
                <w:szCs w:val="21"/>
                <w:highlight w:val="none"/>
              </w:rPr>
              <w:t>职 务</w:t>
            </w:r>
            <w:bookmarkEnd w:id="562"/>
          </w:p>
        </w:tc>
        <w:tc>
          <w:tcPr>
            <w:tcW w:w="1037" w:type="dxa"/>
            <w:vAlign w:val="center"/>
          </w:tcPr>
          <w:p w14:paraId="74D44F4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c>
          <w:tcPr>
            <w:tcW w:w="2409" w:type="dxa"/>
            <w:gridSpan w:val="3"/>
            <w:vAlign w:val="center"/>
          </w:tcPr>
          <w:p w14:paraId="4FC98B31">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3" w:name="_Toc221952134"/>
            <w:r>
              <w:rPr>
                <w:rFonts w:hint="eastAsia" w:ascii="宋体" w:hAnsi="宋体" w:eastAsia="宋体" w:cs="宋体"/>
                <w:color w:val="auto"/>
                <w:szCs w:val="21"/>
                <w:highlight w:val="none"/>
              </w:rPr>
              <w:t>拟在本合同任职</w:t>
            </w:r>
            <w:bookmarkEnd w:id="563"/>
          </w:p>
        </w:tc>
        <w:tc>
          <w:tcPr>
            <w:tcW w:w="1977" w:type="dxa"/>
            <w:vAlign w:val="center"/>
          </w:tcPr>
          <w:p w14:paraId="61EF1188">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p>
        </w:tc>
      </w:tr>
      <w:tr w14:paraId="664C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Align w:val="center"/>
          </w:tcPr>
          <w:p w14:paraId="4B161EF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4" w:name="_Toc221952135"/>
            <w:r>
              <w:rPr>
                <w:rFonts w:hint="eastAsia" w:ascii="宋体" w:hAnsi="宋体" w:eastAsia="宋体" w:cs="宋体"/>
                <w:color w:val="auto"/>
                <w:szCs w:val="21"/>
                <w:highlight w:val="none"/>
              </w:rPr>
              <w:t>毕业学校</w:t>
            </w:r>
            <w:bookmarkEnd w:id="564"/>
          </w:p>
        </w:tc>
        <w:tc>
          <w:tcPr>
            <w:tcW w:w="7376" w:type="dxa"/>
            <w:gridSpan w:val="8"/>
            <w:vAlign w:val="center"/>
          </w:tcPr>
          <w:p w14:paraId="1AA4F9A4">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5" w:name="_Toc221952136"/>
            <w:r>
              <w:rPr>
                <w:rFonts w:hint="eastAsia" w:ascii="宋体" w:hAnsi="宋体" w:eastAsia="宋体" w:cs="宋体"/>
                <w:color w:val="auto"/>
                <w:szCs w:val="21"/>
                <w:highlight w:val="none"/>
              </w:rPr>
              <w:t>年毕业于            学校        专业</w:t>
            </w:r>
            <w:bookmarkEnd w:id="565"/>
          </w:p>
        </w:tc>
      </w:tr>
      <w:tr w14:paraId="1EB2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9"/>
            <w:vAlign w:val="center"/>
          </w:tcPr>
          <w:p w14:paraId="2176430A">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6" w:name="_Toc221952137"/>
            <w:r>
              <w:rPr>
                <w:rFonts w:hint="eastAsia" w:ascii="宋体" w:hAnsi="宋体" w:eastAsia="宋体" w:cs="宋体"/>
                <w:color w:val="auto"/>
                <w:szCs w:val="21"/>
                <w:highlight w:val="none"/>
              </w:rPr>
              <w:t>主要施工管理经历</w:t>
            </w:r>
            <w:bookmarkEnd w:id="566"/>
          </w:p>
        </w:tc>
      </w:tr>
      <w:tr w14:paraId="58D1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2" w:type="dxa"/>
            <w:gridSpan w:val="2"/>
            <w:vAlign w:val="center"/>
          </w:tcPr>
          <w:p w14:paraId="0002B59F">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7" w:name="_Toc221952138"/>
            <w:r>
              <w:rPr>
                <w:rFonts w:hint="eastAsia" w:ascii="宋体" w:hAnsi="宋体" w:eastAsia="宋体" w:cs="宋体"/>
                <w:color w:val="auto"/>
                <w:szCs w:val="21"/>
                <w:highlight w:val="none"/>
              </w:rPr>
              <w:t>时  间</w:t>
            </w:r>
            <w:bookmarkEnd w:id="567"/>
          </w:p>
        </w:tc>
        <w:tc>
          <w:tcPr>
            <w:tcW w:w="3331" w:type="dxa"/>
            <w:gridSpan w:val="4"/>
            <w:vAlign w:val="center"/>
          </w:tcPr>
          <w:p w14:paraId="6342F399">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8" w:name="_Toc221952139"/>
            <w:r>
              <w:rPr>
                <w:rFonts w:hint="eastAsia" w:ascii="宋体" w:hAnsi="宋体" w:eastAsia="宋体" w:cs="宋体"/>
                <w:color w:val="auto"/>
                <w:szCs w:val="21"/>
                <w:highlight w:val="none"/>
              </w:rPr>
              <w:t>参加过的类似项目</w:t>
            </w:r>
            <w:bookmarkEnd w:id="568"/>
          </w:p>
        </w:tc>
        <w:tc>
          <w:tcPr>
            <w:tcW w:w="1228" w:type="dxa"/>
            <w:vAlign w:val="center"/>
          </w:tcPr>
          <w:p w14:paraId="60442C85">
            <w:pPr>
              <w:keepNext w:val="0"/>
              <w:keepLines w:val="0"/>
              <w:suppressLineNumbers w:val="0"/>
              <w:spacing w:before="120" w:beforeLines="50" w:beforeAutospacing="0" w:after="0" w:afterAutospacing="0" w:line="360" w:lineRule="auto"/>
              <w:ind w:left="0" w:right="0"/>
              <w:jc w:val="center"/>
              <w:rPr>
                <w:rFonts w:hint="eastAsia" w:ascii="宋体" w:hAnsi="宋体" w:eastAsia="宋体" w:cs="宋体"/>
                <w:color w:val="auto"/>
                <w:szCs w:val="21"/>
                <w:highlight w:val="none"/>
              </w:rPr>
            </w:pPr>
            <w:bookmarkStart w:id="569" w:name="_Toc221952140"/>
            <w:r>
              <w:rPr>
                <w:rFonts w:hint="eastAsia" w:ascii="宋体" w:hAnsi="宋体" w:eastAsia="宋体" w:cs="宋体"/>
                <w:color w:val="auto"/>
                <w:szCs w:val="21"/>
                <w:highlight w:val="none"/>
              </w:rPr>
              <w:t>担任职务</w:t>
            </w:r>
            <w:bookmarkEnd w:id="569"/>
          </w:p>
        </w:tc>
        <w:tc>
          <w:tcPr>
            <w:tcW w:w="2467" w:type="dxa"/>
            <w:gridSpan w:val="2"/>
            <w:vAlign w:val="center"/>
          </w:tcPr>
          <w:p w14:paraId="0D9C78E6">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bookmarkStart w:id="570" w:name="_Toc221952141"/>
            <w:r>
              <w:rPr>
                <w:rFonts w:hint="eastAsia" w:ascii="宋体" w:hAnsi="宋体" w:eastAsia="宋体" w:cs="宋体"/>
                <w:color w:val="auto"/>
                <w:szCs w:val="21"/>
                <w:highlight w:val="none"/>
              </w:rPr>
              <w:t>发包人及联系电话</w:t>
            </w:r>
            <w:bookmarkEnd w:id="570"/>
          </w:p>
        </w:tc>
      </w:tr>
      <w:tr w14:paraId="386E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tcPr>
          <w:p w14:paraId="16251991">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tcPr>
          <w:p w14:paraId="7141E3EC">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tcPr>
          <w:p w14:paraId="305B4BBC">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tcPr>
          <w:p w14:paraId="70A8983B">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471B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tcPr>
          <w:p w14:paraId="4473FED5">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tcPr>
          <w:p w14:paraId="66BCF04E">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tcPr>
          <w:p w14:paraId="79FACCF9">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tcPr>
          <w:p w14:paraId="3DE04614">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5ADE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tcPr>
          <w:p w14:paraId="01AB5E15">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tcPr>
          <w:p w14:paraId="01FB402C">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tcPr>
          <w:p w14:paraId="5D4F2A67">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tcPr>
          <w:p w14:paraId="60EAB92B">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098E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734FAFDF">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0BFE6144">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2EF63A98">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019A2258">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637A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0503BCB1">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317FB464">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37F5978B">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2783DBB1">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7A0A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743C6A11">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4D3C252D">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26B32A6F">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546DA976">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7DFD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1AD07B30">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0B3C2A96">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0BA489B2">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367F0653">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15CE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0754C281">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286879AA">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12A293DA">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52B07ED4">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34E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42689DA6">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632DB962">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1D01BD49">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037CBA33">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46F8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5D9D2520">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7EAF830C">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651EDA87">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7F303FEC">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5489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5071617A">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187B933D">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27718E9F">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16C83C50">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r w14:paraId="56ED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vAlign w:val="center"/>
          </w:tcPr>
          <w:p w14:paraId="550BFCD4">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3331" w:type="dxa"/>
            <w:gridSpan w:val="4"/>
            <w:vAlign w:val="center"/>
          </w:tcPr>
          <w:p w14:paraId="671D8517">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1228" w:type="dxa"/>
            <w:vAlign w:val="center"/>
          </w:tcPr>
          <w:p w14:paraId="5AE43E5C">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c>
          <w:tcPr>
            <w:tcW w:w="2467" w:type="dxa"/>
            <w:gridSpan w:val="2"/>
            <w:vAlign w:val="center"/>
          </w:tcPr>
          <w:p w14:paraId="188E0051">
            <w:pPr>
              <w:keepNext w:val="0"/>
              <w:keepLines w:val="0"/>
              <w:suppressLineNumbers w:val="0"/>
              <w:spacing w:before="120" w:beforeLines="50" w:beforeAutospacing="0" w:after="0" w:afterAutospacing="0" w:line="360" w:lineRule="auto"/>
              <w:ind w:left="0" w:right="0"/>
              <w:rPr>
                <w:rFonts w:hint="eastAsia" w:ascii="宋体" w:hAnsi="宋体" w:eastAsia="宋体" w:cs="宋体"/>
                <w:color w:val="auto"/>
                <w:szCs w:val="21"/>
                <w:highlight w:val="none"/>
              </w:rPr>
            </w:pPr>
          </w:p>
        </w:tc>
      </w:tr>
    </w:tbl>
    <w:p w14:paraId="3F2E1AF5">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注：投标人应根据商务部分评审标准的要求在本表后附相关证明材料</w:t>
      </w:r>
    </w:p>
    <w:p w14:paraId="04177D26">
      <w:pPr>
        <w:pStyle w:val="39"/>
        <w:ind w:left="0" w:leftChars="0" w:firstLine="0" w:firstLineChars="0"/>
        <w:rPr>
          <w:rFonts w:hint="eastAsia" w:ascii="宋体" w:hAnsi="宋体" w:eastAsia="宋体" w:cs="宋体"/>
          <w:color w:val="auto"/>
          <w:highlight w:val="none"/>
        </w:rPr>
      </w:pPr>
    </w:p>
    <w:p w14:paraId="4AE074DD">
      <w:pPr>
        <w:widowControl/>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54A977A">
      <w:pPr>
        <w:spacing w:line="400" w:lineRule="exact"/>
        <w:jc w:val="center"/>
        <w:outlineLvl w:val="3"/>
        <w:rPr>
          <w:rFonts w:hint="eastAsia" w:ascii="宋体" w:hAnsi="宋体" w:eastAsia="宋体" w:cs="宋体"/>
          <w:b/>
          <w:color w:val="auto"/>
          <w:sz w:val="24"/>
          <w:szCs w:val="31"/>
          <w:highlight w:val="none"/>
        </w:rPr>
      </w:pPr>
      <w:r>
        <w:rPr>
          <w:rFonts w:hint="eastAsia" w:ascii="宋体" w:hAnsi="宋体" w:eastAsia="宋体" w:cs="宋体"/>
          <w:b/>
          <w:color w:val="auto"/>
          <w:sz w:val="24"/>
          <w:szCs w:val="31"/>
          <w:highlight w:val="none"/>
        </w:rPr>
        <w:t>（三）项目管理架构人员最低配置承诺书</w:t>
      </w:r>
    </w:p>
    <w:p w14:paraId="44CEBF54">
      <w:pPr>
        <w:spacing w:before="120" w:line="520" w:lineRule="exact"/>
        <w:ind w:left="960" w:hanging="9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（招标人）：</w:t>
      </w:r>
    </w:p>
    <w:p w14:paraId="682607AD">
      <w:pPr>
        <w:spacing w:before="120" w:line="520" w:lineRule="exact"/>
        <w:ind w:left="6" w:leftChars="3"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我公司参与</w:t>
      </w:r>
      <w:r>
        <w:rPr>
          <w:rFonts w:hint="eastAsia" w:ascii="宋体" w:hAnsi="宋体" w:eastAsia="宋体" w:cs="宋体"/>
          <w:color w:val="auto"/>
          <w:sz w:val="24"/>
          <w:szCs w:val="24"/>
          <w:highlight w:val="none"/>
          <w:u w:val="single"/>
        </w:rPr>
        <w:t xml:space="preserve">                （项目）</w:t>
      </w:r>
      <w:r>
        <w:rPr>
          <w:rFonts w:hint="eastAsia" w:ascii="宋体" w:hAnsi="宋体" w:eastAsia="宋体" w:cs="宋体"/>
          <w:color w:val="auto"/>
          <w:sz w:val="24"/>
          <w:szCs w:val="24"/>
          <w:highlight w:val="none"/>
        </w:rPr>
        <w:t>投标，郑重承诺如下(具体要求请招标人根据项目特点确定)：</w:t>
      </w:r>
    </w:p>
    <w:tbl>
      <w:tblPr>
        <w:tblStyle w:val="40"/>
        <w:tblW w:w="10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282"/>
        <w:gridCol w:w="3405"/>
        <w:gridCol w:w="1358"/>
        <w:gridCol w:w="1645"/>
        <w:gridCol w:w="2338"/>
      </w:tblGrid>
      <w:tr w14:paraId="71F9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68A54C7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282" w:type="dxa"/>
            <w:tcBorders>
              <w:top w:val="single" w:color="auto" w:sz="4" w:space="0"/>
              <w:left w:val="single" w:color="auto" w:sz="4" w:space="0"/>
              <w:bottom w:val="single" w:color="auto" w:sz="4" w:space="0"/>
              <w:right w:val="single" w:color="auto" w:sz="4" w:space="0"/>
            </w:tcBorders>
            <w:vAlign w:val="center"/>
          </w:tcPr>
          <w:p w14:paraId="343B012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岗位</w:t>
            </w:r>
          </w:p>
        </w:tc>
        <w:tc>
          <w:tcPr>
            <w:tcW w:w="3405" w:type="dxa"/>
            <w:tcBorders>
              <w:top w:val="single" w:color="auto" w:sz="4" w:space="0"/>
              <w:left w:val="single" w:color="auto" w:sz="4" w:space="0"/>
              <w:bottom w:val="single" w:color="auto" w:sz="4" w:space="0"/>
              <w:right w:val="single" w:color="auto" w:sz="4" w:space="0"/>
            </w:tcBorders>
            <w:vAlign w:val="center"/>
          </w:tcPr>
          <w:p w14:paraId="27A2599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资格要求</w:t>
            </w:r>
          </w:p>
        </w:tc>
        <w:tc>
          <w:tcPr>
            <w:tcW w:w="1358" w:type="dxa"/>
            <w:tcBorders>
              <w:top w:val="single" w:color="auto" w:sz="4" w:space="0"/>
              <w:left w:val="single" w:color="auto" w:sz="4" w:space="0"/>
              <w:bottom w:val="single" w:color="auto" w:sz="4" w:space="0"/>
              <w:right w:val="single" w:color="auto" w:sz="4" w:space="0"/>
            </w:tcBorders>
            <w:vAlign w:val="center"/>
          </w:tcPr>
          <w:p w14:paraId="0C4B3FE6">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最低人员数量</w:t>
            </w:r>
          </w:p>
        </w:tc>
        <w:tc>
          <w:tcPr>
            <w:tcW w:w="1645" w:type="dxa"/>
            <w:tcBorders>
              <w:top w:val="single" w:color="auto" w:sz="4" w:space="0"/>
              <w:left w:val="single" w:color="auto" w:sz="4" w:space="0"/>
              <w:bottom w:val="single" w:color="auto" w:sz="4" w:space="0"/>
              <w:right w:val="single" w:color="auto" w:sz="4" w:space="0"/>
            </w:tcBorders>
            <w:vAlign w:val="center"/>
          </w:tcPr>
          <w:p w14:paraId="5C4D6195">
            <w:pPr>
              <w:keepNext w:val="0"/>
              <w:keepLines w:val="0"/>
              <w:suppressLineNumbers w:val="0"/>
              <w:spacing w:before="0" w:beforeLines="0" w:beforeAutospacing="0" w:after="0" w:afterLines="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拟投人员数量</w:t>
            </w:r>
          </w:p>
        </w:tc>
        <w:tc>
          <w:tcPr>
            <w:tcW w:w="2338" w:type="dxa"/>
            <w:tcBorders>
              <w:top w:val="single" w:color="auto" w:sz="4" w:space="0"/>
              <w:left w:val="single" w:color="auto" w:sz="4" w:space="0"/>
              <w:bottom w:val="single" w:color="auto" w:sz="4" w:space="0"/>
              <w:right w:val="single" w:color="auto" w:sz="4" w:space="0"/>
            </w:tcBorders>
            <w:vAlign w:val="center"/>
          </w:tcPr>
          <w:p w14:paraId="4164898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72F7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4991A22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82" w:type="dxa"/>
            <w:tcBorders>
              <w:top w:val="single" w:color="auto" w:sz="4" w:space="0"/>
              <w:left w:val="single" w:color="auto" w:sz="4" w:space="0"/>
              <w:bottom w:val="single" w:color="auto" w:sz="4" w:space="0"/>
              <w:right w:val="single" w:color="auto" w:sz="4" w:space="0"/>
            </w:tcBorders>
            <w:vAlign w:val="center"/>
          </w:tcPr>
          <w:p w14:paraId="62E59AD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w:t>
            </w:r>
          </w:p>
        </w:tc>
        <w:tc>
          <w:tcPr>
            <w:tcW w:w="3405" w:type="dxa"/>
            <w:tcBorders>
              <w:top w:val="single" w:color="auto" w:sz="4" w:space="0"/>
              <w:left w:val="single" w:color="auto" w:sz="4" w:space="0"/>
              <w:bottom w:val="single" w:color="auto" w:sz="4" w:space="0"/>
              <w:right w:val="single" w:color="auto" w:sz="4" w:space="0"/>
            </w:tcBorders>
            <w:vAlign w:val="center"/>
          </w:tcPr>
          <w:p w14:paraId="23F4B670">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与招标公告要求一致</w:t>
            </w:r>
          </w:p>
        </w:tc>
        <w:tc>
          <w:tcPr>
            <w:tcW w:w="1358" w:type="dxa"/>
            <w:tcBorders>
              <w:top w:val="single" w:color="auto" w:sz="4" w:space="0"/>
              <w:left w:val="single" w:color="auto" w:sz="4" w:space="0"/>
              <w:bottom w:val="single" w:color="auto" w:sz="4" w:space="0"/>
              <w:right w:val="single" w:color="auto" w:sz="4" w:space="0"/>
            </w:tcBorders>
            <w:vAlign w:val="center"/>
          </w:tcPr>
          <w:p w14:paraId="18DBFA7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645" w:type="dxa"/>
            <w:tcBorders>
              <w:top w:val="single" w:color="auto" w:sz="4" w:space="0"/>
              <w:left w:val="single" w:color="auto" w:sz="4" w:space="0"/>
              <w:bottom w:val="single" w:color="auto" w:sz="4" w:space="0"/>
              <w:right w:val="single" w:color="auto" w:sz="4" w:space="0"/>
            </w:tcBorders>
            <w:vAlign w:val="center"/>
          </w:tcPr>
          <w:p w14:paraId="627CEA9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338" w:type="dxa"/>
            <w:tcBorders>
              <w:top w:val="single" w:color="auto" w:sz="4" w:space="0"/>
              <w:left w:val="single" w:color="auto" w:sz="4" w:space="0"/>
              <w:bottom w:val="single" w:color="auto" w:sz="4" w:space="0"/>
              <w:right w:val="single" w:color="auto" w:sz="4" w:space="0"/>
            </w:tcBorders>
            <w:vAlign w:val="center"/>
          </w:tcPr>
          <w:p w14:paraId="10AD242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填报人员与资格审查提供的人员一致。</w:t>
            </w:r>
          </w:p>
        </w:tc>
      </w:tr>
      <w:tr w14:paraId="4C1A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122CB1F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82" w:type="dxa"/>
            <w:tcBorders>
              <w:top w:val="single" w:color="auto" w:sz="4" w:space="0"/>
              <w:left w:val="single" w:color="auto" w:sz="4" w:space="0"/>
              <w:bottom w:val="single" w:color="auto" w:sz="4" w:space="0"/>
              <w:right w:val="single" w:color="auto" w:sz="4" w:space="0"/>
            </w:tcBorders>
            <w:vAlign w:val="center"/>
          </w:tcPr>
          <w:p w14:paraId="7B5C7D4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技术负责人</w:t>
            </w:r>
          </w:p>
        </w:tc>
        <w:tc>
          <w:tcPr>
            <w:tcW w:w="3405" w:type="dxa"/>
            <w:tcBorders>
              <w:top w:val="single" w:color="auto" w:sz="4" w:space="0"/>
              <w:left w:val="single" w:color="auto" w:sz="4" w:space="0"/>
              <w:bottom w:val="single" w:color="auto" w:sz="4" w:space="0"/>
              <w:right w:val="single" w:color="auto" w:sz="4" w:space="0"/>
            </w:tcBorders>
            <w:vAlign w:val="center"/>
          </w:tcPr>
          <w:p w14:paraId="1FEB97F0">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具有机电类相关专业中级（或以上）工程师职称</w:t>
            </w:r>
          </w:p>
        </w:tc>
        <w:tc>
          <w:tcPr>
            <w:tcW w:w="1358" w:type="dxa"/>
            <w:tcBorders>
              <w:top w:val="single" w:color="auto" w:sz="4" w:space="0"/>
              <w:left w:val="single" w:color="auto" w:sz="4" w:space="0"/>
              <w:bottom w:val="single" w:color="auto" w:sz="4" w:space="0"/>
              <w:right w:val="single" w:color="auto" w:sz="4" w:space="0"/>
            </w:tcBorders>
            <w:vAlign w:val="center"/>
          </w:tcPr>
          <w:p w14:paraId="64AA4D9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645" w:type="dxa"/>
            <w:tcBorders>
              <w:top w:val="single" w:color="auto" w:sz="4" w:space="0"/>
              <w:left w:val="single" w:color="auto" w:sz="4" w:space="0"/>
              <w:bottom w:val="single" w:color="auto" w:sz="4" w:space="0"/>
              <w:right w:val="single" w:color="auto" w:sz="4" w:space="0"/>
            </w:tcBorders>
            <w:vAlign w:val="center"/>
          </w:tcPr>
          <w:p w14:paraId="30AA040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338" w:type="dxa"/>
            <w:tcBorders>
              <w:top w:val="single" w:color="auto" w:sz="4" w:space="0"/>
              <w:left w:val="single" w:color="auto" w:sz="4" w:space="0"/>
              <w:bottom w:val="single" w:color="auto" w:sz="4" w:space="0"/>
              <w:right w:val="single" w:color="auto" w:sz="4" w:space="0"/>
            </w:tcBorders>
            <w:vAlign w:val="center"/>
          </w:tcPr>
          <w:p w14:paraId="7BBBBD9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不得由项目负责人或专职安全员兼职</w:t>
            </w:r>
          </w:p>
        </w:tc>
      </w:tr>
      <w:tr w14:paraId="1BF2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C7368D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282" w:type="dxa"/>
            <w:tcBorders>
              <w:top w:val="single" w:color="auto" w:sz="4" w:space="0"/>
              <w:left w:val="single" w:color="auto" w:sz="4" w:space="0"/>
              <w:bottom w:val="single" w:color="auto" w:sz="4" w:space="0"/>
              <w:right w:val="single" w:color="auto" w:sz="4" w:space="0"/>
            </w:tcBorders>
            <w:vAlign w:val="center"/>
          </w:tcPr>
          <w:p w14:paraId="43D7431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专职安全员</w:t>
            </w:r>
          </w:p>
        </w:tc>
        <w:tc>
          <w:tcPr>
            <w:tcW w:w="3405" w:type="dxa"/>
            <w:tcBorders>
              <w:top w:val="single" w:color="auto" w:sz="4" w:space="0"/>
              <w:left w:val="single" w:color="auto" w:sz="4" w:space="0"/>
              <w:bottom w:val="single" w:color="auto" w:sz="4" w:space="0"/>
              <w:right w:val="single" w:color="auto" w:sz="4" w:space="0"/>
            </w:tcBorders>
            <w:vAlign w:val="center"/>
          </w:tcPr>
          <w:p w14:paraId="0F9B7A6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与招标公告要求一致</w:t>
            </w:r>
          </w:p>
        </w:tc>
        <w:tc>
          <w:tcPr>
            <w:tcW w:w="1358" w:type="dxa"/>
            <w:tcBorders>
              <w:top w:val="single" w:color="auto" w:sz="4" w:space="0"/>
              <w:left w:val="single" w:color="auto" w:sz="4" w:space="0"/>
              <w:bottom w:val="single" w:color="auto" w:sz="4" w:space="0"/>
              <w:right w:val="single" w:color="auto" w:sz="4" w:space="0"/>
            </w:tcBorders>
            <w:vAlign w:val="center"/>
          </w:tcPr>
          <w:p w14:paraId="05B9DB7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c>
          <w:tcPr>
            <w:tcW w:w="1645" w:type="dxa"/>
            <w:tcBorders>
              <w:top w:val="single" w:color="auto" w:sz="4" w:space="0"/>
              <w:left w:val="single" w:color="auto" w:sz="4" w:space="0"/>
              <w:bottom w:val="single" w:color="auto" w:sz="4" w:space="0"/>
              <w:right w:val="single" w:color="auto" w:sz="4" w:space="0"/>
            </w:tcBorders>
            <w:vAlign w:val="center"/>
          </w:tcPr>
          <w:p w14:paraId="6F8119D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338" w:type="dxa"/>
            <w:tcBorders>
              <w:top w:val="single" w:color="auto" w:sz="4" w:space="0"/>
              <w:left w:val="single" w:color="auto" w:sz="4" w:space="0"/>
              <w:bottom w:val="single" w:color="auto" w:sz="4" w:space="0"/>
              <w:right w:val="single" w:color="auto" w:sz="4" w:space="0"/>
            </w:tcBorders>
            <w:vAlign w:val="center"/>
          </w:tcPr>
          <w:p w14:paraId="4AD6F0B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投标时至少明确一人，其余人员可在签订合同前提供</w:t>
            </w:r>
            <w:r>
              <w:rPr>
                <w:rFonts w:hint="eastAsia" w:ascii="宋体" w:hAnsi="宋体" w:eastAsia="宋体" w:cs="宋体"/>
                <w:color w:val="auto"/>
                <w:szCs w:val="21"/>
                <w:highlight w:val="none"/>
                <w:lang w:eastAsia="zh-CN"/>
              </w:rPr>
              <w:t>。</w:t>
            </w:r>
          </w:p>
        </w:tc>
      </w:tr>
      <w:tr w14:paraId="258D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155B8CD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1282" w:type="dxa"/>
            <w:tcBorders>
              <w:top w:val="single" w:color="auto" w:sz="4" w:space="0"/>
              <w:left w:val="single" w:color="auto" w:sz="4" w:space="0"/>
              <w:bottom w:val="single" w:color="auto" w:sz="4" w:space="0"/>
              <w:right w:val="single" w:color="auto" w:sz="4" w:space="0"/>
            </w:tcBorders>
            <w:vAlign w:val="center"/>
          </w:tcPr>
          <w:p w14:paraId="5D5121E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项目现场负责人</w:t>
            </w:r>
          </w:p>
        </w:tc>
        <w:tc>
          <w:tcPr>
            <w:tcW w:w="3405" w:type="dxa"/>
            <w:tcBorders>
              <w:top w:val="single" w:color="auto" w:sz="4" w:space="0"/>
              <w:left w:val="single" w:color="auto" w:sz="4" w:space="0"/>
              <w:bottom w:val="single" w:color="auto" w:sz="4" w:space="0"/>
              <w:right w:val="single" w:color="auto" w:sz="4" w:space="0"/>
            </w:tcBorders>
            <w:vAlign w:val="center"/>
          </w:tcPr>
          <w:p w14:paraId="63E2A068">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c>
          <w:tcPr>
            <w:tcW w:w="1358" w:type="dxa"/>
            <w:tcBorders>
              <w:top w:val="single" w:color="auto" w:sz="4" w:space="0"/>
              <w:left w:val="single" w:color="auto" w:sz="4" w:space="0"/>
              <w:bottom w:val="single" w:color="auto" w:sz="4" w:space="0"/>
              <w:right w:val="single" w:color="auto" w:sz="4" w:space="0"/>
            </w:tcBorders>
            <w:vAlign w:val="center"/>
          </w:tcPr>
          <w:p w14:paraId="5CCB34E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c>
          <w:tcPr>
            <w:tcW w:w="1645" w:type="dxa"/>
            <w:tcBorders>
              <w:top w:val="single" w:color="auto" w:sz="4" w:space="0"/>
              <w:left w:val="single" w:color="auto" w:sz="4" w:space="0"/>
              <w:right w:val="single" w:color="auto" w:sz="4" w:space="0"/>
            </w:tcBorders>
            <w:vAlign w:val="center"/>
          </w:tcPr>
          <w:p w14:paraId="7EC10F95">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2338" w:type="dxa"/>
            <w:vMerge w:val="restart"/>
            <w:tcBorders>
              <w:top w:val="single" w:color="auto" w:sz="4" w:space="0"/>
              <w:left w:val="single" w:color="auto" w:sz="4" w:space="0"/>
              <w:right w:val="single" w:color="auto" w:sz="4" w:space="0"/>
            </w:tcBorders>
            <w:vAlign w:val="center"/>
          </w:tcPr>
          <w:p w14:paraId="2DF9223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highlight w:val="none"/>
              </w:rPr>
              <w:t>项目现场负责人、电工、焊工、</w:t>
            </w:r>
            <w:r>
              <w:rPr>
                <w:rFonts w:hint="eastAsia" w:ascii="宋体" w:hAnsi="宋体" w:cs="宋体"/>
                <w:color w:val="auto"/>
                <w:highlight w:val="none"/>
                <w:lang w:val="en-US" w:eastAsia="zh-CN"/>
              </w:rPr>
              <w:t>架子工、</w:t>
            </w:r>
            <w:r>
              <w:rPr>
                <w:rFonts w:hint="eastAsia" w:ascii="宋体" w:hAnsi="宋体" w:eastAsia="宋体" w:cs="宋体"/>
                <w:color w:val="auto"/>
                <w:highlight w:val="none"/>
              </w:rPr>
              <w:t>普工可以互相兼任，但四类人员总人数不得低于</w:t>
            </w:r>
            <w:r>
              <w:rPr>
                <w:rFonts w:hint="eastAsia" w:ascii="宋体" w:hAnsi="宋体" w:cs="宋体"/>
                <w:color w:val="auto"/>
                <w:highlight w:val="none"/>
                <w:lang w:val="en-US" w:eastAsia="zh-CN"/>
              </w:rPr>
              <w:t>10</w:t>
            </w:r>
            <w:r>
              <w:rPr>
                <w:rFonts w:hint="eastAsia" w:ascii="宋体" w:hAnsi="宋体" w:eastAsia="宋体" w:cs="宋体"/>
                <w:color w:val="auto"/>
                <w:highlight w:val="none"/>
              </w:rPr>
              <w:t>人</w:t>
            </w:r>
          </w:p>
        </w:tc>
      </w:tr>
      <w:tr w14:paraId="12D0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1D49860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1282" w:type="dxa"/>
            <w:tcBorders>
              <w:top w:val="single" w:color="auto" w:sz="4" w:space="0"/>
              <w:left w:val="single" w:color="auto" w:sz="4" w:space="0"/>
              <w:bottom w:val="single" w:color="auto" w:sz="4" w:space="0"/>
              <w:right w:val="single" w:color="auto" w:sz="4" w:space="0"/>
            </w:tcBorders>
            <w:vAlign w:val="center"/>
          </w:tcPr>
          <w:p w14:paraId="30500CE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低压电工</w:t>
            </w:r>
          </w:p>
        </w:tc>
        <w:tc>
          <w:tcPr>
            <w:tcW w:w="3405" w:type="dxa"/>
            <w:tcBorders>
              <w:top w:val="single" w:color="auto" w:sz="4" w:space="0"/>
              <w:left w:val="single" w:color="auto" w:sz="4" w:space="0"/>
              <w:right w:val="single" w:color="auto" w:sz="4" w:space="0"/>
            </w:tcBorders>
          </w:tcPr>
          <w:p w14:paraId="2D58548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建设厅颁发的建筑电工证或应急管理局（原安监局）颁发的低压电工特种作业证均可</w:t>
            </w:r>
          </w:p>
        </w:tc>
        <w:tc>
          <w:tcPr>
            <w:tcW w:w="1358" w:type="dxa"/>
            <w:tcBorders>
              <w:top w:val="single" w:color="auto" w:sz="4" w:space="0"/>
              <w:left w:val="single" w:color="auto" w:sz="4" w:space="0"/>
              <w:bottom w:val="single" w:color="auto" w:sz="4" w:space="0"/>
              <w:right w:val="single" w:color="auto" w:sz="4" w:space="0"/>
            </w:tcBorders>
            <w:vAlign w:val="center"/>
          </w:tcPr>
          <w:p w14:paraId="573FF69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c>
          <w:tcPr>
            <w:tcW w:w="1645" w:type="dxa"/>
            <w:tcBorders>
              <w:left w:val="single" w:color="auto" w:sz="4" w:space="0"/>
              <w:right w:val="single" w:color="auto" w:sz="4" w:space="0"/>
            </w:tcBorders>
            <w:vAlign w:val="center"/>
          </w:tcPr>
          <w:p w14:paraId="68E637B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338" w:type="dxa"/>
            <w:vMerge w:val="continue"/>
            <w:tcBorders>
              <w:left w:val="single" w:color="auto" w:sz="4" w:space="0"/>
              <w:right w:val="single" w:color="auto" w:sz="4" w:space="0"/>
            </w:tcBorders>
            <w:vAlign w:val="center"/>
          </w:tcPr>
          <w:p w14:paraId="7643A7D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26AB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8A6E23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1282" w:type="dxa"/>
            <w:tcBorders>
              <w:top w:val="single" w:color="auto" w:sz="4" w:space="0"/>
              <w:left w:val="single" w:color="auto" w:sz="4" w:space="0"/>
              <w:bottom w:val="single" w:color="auto" w:sz="4" w:space="0"/>
              <w:right w:val="single" w:color="auto" w:sz="4" w:space="0"/>
            </w:tcBorders>
            <w:vAlign w:val="center"/>
          </w:tcPr>
          <w:p w14:paraId="21F3BC4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焊工</w:t>
            </w:r>
          </w:p>
        </w:tc>
        <w:tc>
          <w:tcPr>
            <w:tcW w:w="3405" w:type="dxa"/>
            <w:tcBorders>
              <w:left w:val="single" w:color="auto" w:sz="4" w:space="0"/>
              <w:bottom w:val="single" w:color="auto" w:sz="4" w:space="0"/>
              <w:right w:val="single" w:color="auto" w:sz="4" w:space="0"/>
            </w:tcBorders>
          </w:tcPr>
          <w:p w14:paraId="61830C7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color w:val="auto"/>
                <w:highlight w:val="none"/>
              </w:rPr>
              <w:t>建设厅颁发的建筑焊工证或应急管理局（原安监局）颁发的熔化焊接与热切割作业证均可</w:t>
            </w:r>
          </w:p>
        </w:tc>
        <w:tc>
          <w:tcPr>
            <w:tcW w:w="1358" w:type="dxa"/>
            <w:tcBorders>
              <w:top w:val="single" w:color="auto" w:sz="4" w:space="0"/>
              <w:left w:val="single" w:color="auto" w:sz="4" w:space="0"/>
              <w:bottom w:val="single" w:color="auto" w:sz="4" w:space="0"/>
              <w:right w:val="single" w:color="auto" w:sz="4" w:space="0"/>
            </w:tcBorders>
            <w:vAlign w:val="center"/>
          </w:tcPr>
          <w:p w14:paraId="0D74ACD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c>
          <w:tcPr>
            <w:tcW w:w="1645" w:type="dxa"/>
            <w:tcBorders>
              <w:left w:val="single" w:color="auto" w:sz="4" w:space="0"/>
              <w:right w:val="single" w:color="auto" w:sz="4" w:space="0"/>
            </w:tcBorders>
            <w:vAlign w:val="center"/>
          </w:tcPr>
          <w:p w14:paraId="5E98E06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338" w:type="dxa"/>
            <w:vMerge w:val="continue"/>
            <w:tcBorders>
              <w:left w:val="single" w:color="auto" w:sz="4" w:space="0"/>
              <w:right w:val="single" w:color="auto" w:sz="4" w:space="0"/>
            </w:tcBorders>
            <w:vAlign w:val="center"/>
          </w:tcPr>
          <w:p w14:paraId="0B02A86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5441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757598E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p>
        </w:tc>
        <w:tc>
          <w:tcPr>
            <w:tcW w:w="1282" w:type="dxa"/>
            <w:tcBorders>
              <w:top w:val="single" w:color="auto" w:sz="4" w:space="0"/>
              <w:left w:val="single" w:color="auto" w:sz="4" w:space="0"/>
              <w:bottom w:val="single" w:color="auto" w:sz="4" w:space="0"/>
              <w:right w:val="single" w:color="auto" w:sz="4" w:space="0"/>
            </w:tcBorders>
            <w:vAlign w:val="center"/>
          </w:tcPr>
          <w:p w14:paraId="1616586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架子工</w:t>
            </w:r>
          </w:p>
        </w:tc>
        <w:tc>
          <w:tcPr>
            <w:tcW w:w="3405" w:type="dxa"/>
            <w:tcBorders>
              <w:left w:val="single" w:color="auto" w:sz="4" w:space="0"/>
              <w:bottom w:val="single" w:color="auto" w:sz="4" w:space="0"/>
              <w:right w:val="single" w:color="auto" w:sz="4" w:space="0"/>
            </w:tcBorders>
          </w:tcPr>
          <w:p w14:paraId="07DC151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建设厅颁发的建筑架子工或应急管理局（原安监局）颁发的登高架设作业证均可</w:t>
            </w:r>
          </w:p>
        </w:tc>
        <w:tc>
          <w:tcPr>
            <w:tcW w:w="1358" w:type="dxa"/>
            <w:tcBorders>
              <w:top w:val="single" w:color="auto" w:sz="4" w:space="0"/>
              <w:left w:val="single" w:color="auto" w:sz="4" w:space="0"/>
              <w:bottom w:val="single" w:color="auto" w:sz="4" w:space="0"/>
              <w:right w:val="single" w:color="auto" w:sz="4" w:space="0"/>
            </w:tcBorders>
            <w:vAlign w:val="center"/>
          </w:tcPr>
          <w:p w14:paraId="7965164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645" w:type="dxa"/>
            <w:tcBorders>
              <w:left w:val="single" w:color="auto" w:sz="4" w:space="0"/>
              <w:right w:val="single" w:color="auto" w:sz="4" w:space="0"/>
            </w:tcBorders>
            <w:vAlign w:val="center"/>
          </w:tcPr>
          <w:p w14:paraId="58CAC37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338" w:type="dxa"/>
            <w:vMerge w:val="continue"/>
            <w:tcBorders>
              <w:left w:val="single" w:color="auto" w:sz="4" w:space="0"/>
              <w:right w:val="single" w:color="auto" w:sz="4" w:space="0"/>
            </w:tcBorders>
            <w:vAlign w:val="center"/>
          </w:tcPr>
          <w:p w14:paraId="6DCB385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0A3F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65EA493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1282" w:type="dxa"/>
            <w:tcBorders>
              <w:top w:val="single" w:color="auto" w:sz="4" w:space="0"/>
              <w:left w:val="single" w:color="auto" w:sz="4" w:space="0"/>
              <w:bottom w:val="single" w:color="auto" w:sz="4" w:space="0"/>
              <w:right w:val="single" w:color="auto" w:sz="4" w:space="0"/>
            </w:tcBorders>
            <w:vAlign w:val="center"/>
          </w:tcPr>
          <w:p w14:paraId="7FE7236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普工</w:t>
            </w:r>
          </w:p>
        </w:tc>
        <w:tc>
          <w:tcPr>
            <w:tcW w:w="3405" w:type="dxa"/>
            <w:tcBorders>
              <w:top w:val="single" w:color="auto" w:sz="4" w:space="0"/>
              <w:left w:val="single" w:color="auto" w:sz="4" w:space="0"/>
              <w:bottom w:val="single" w:color="auto" w:sz="4" w:space="0"/>
              <w:right w:val="single" w:color="auto" w:sz="4" w:space="0"/>
            </w:tcBorders>
            <w:vAlign w:val="center"/>
          </w:tcPr>
          <w:p w14:paraId="67D2C5F8">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c>
          <w:tcPr>
            <w:tcW w:w="1358" w:type="dxa"/>
            <w:tcBorders>
              <w:top w:val="single" w:color="auto" w:sz="4" w:space="0"/>
              <w:left w:val="single" w:color="auto" w:sz="4" w:space="0"/>
              <w:bottom w:val="single" w:color="auto" w:sz="4" w:space="0"/>
              <w:right w:val="single" w:color="auto" w:sz="4" w:space="0"/>
            </w:tcBorders>
            <w:vAlign w:val="center"/>
          </w:tcPr>
          <w:p w14:paraId="4866E10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1645" w:type="dxa"/>
            <w:tcBorders>
              <w:left w:val="single" w:color="auto" w:sz="4" w:space="0"/>
              <w:right w:val="single" w:color="auto" w:sz="4" w:space="0"/>
            </w:tcBorders>
            <w:vAlign w:val="center"/>
          </w:tcPr>
          <w:p w14:paraId="6FA2BD0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338" w:type="dxa"/>
            <w:vMerge w:val="continue"/>
            <w:tcBorders>
              <w:left w:val="single" w:color="auto" w:sz="4" w:space="0"/>
              <w:right w:val="single" w:color="auto" w:sz="4" w:space="0"/>
            </w:tcBorders>
            <w:vAlign w:val="center"/>
          </w:tcPr>
          <w:p w14:paraId="597DA4E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bl>
    <w:p w14:paraId="2855175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公司承诺，若我公司中标，将在合同签订前按照工程需要配备管理和施工技术人员并向业主递交《项目管理架构组成表》，其内容是准确、真实的，且不低于上表所列最低要求，同时提供所投入人员资格证书原件及相关人员社保缴费记录予业主核实。</w:t>
      </w:r>
    </w:p>
    <w:p w14:paraId="1357500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如我公司违反上述承诺，我公司自愿放弃本项目中标资格。</w:t>
      </w:r>
    </w:p>
    <w:p w14:paraId="53A23E7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若因人员不足或人员素质不能满足工程实际需要时，我方将无条件按照业主和监理工程师的要求更换或增加相关人员。</w:t>
      </w:r>
    </w:p>
    <w:p w14:paraId="242F8654">
      <w:pPr>
        <w:spacing w:line="360" w:lineRule="auto"/>
        <w:ind w:firstLine="200"/>
        <w:jc w:val="right"/>
        <w:rPr>
          <w:rFonts w:hint="eastAsia" w:ascii="宋体" w:hAnsi="宋体" w:eastAsia="宋体" w:cs="宋体"/>
          <w:color w:val="auto"/>
          <w:sz w:val="24"/>
          <w:highlight w:val="none"/>
        </w:rPr>
      </w:pPr>
    </w:p>
    <w:p w14:paraId="590A8CF2">
      <w:pPr>
        <w:spacing w:line="360" w:lineRule="auto"/>
        <w:ind w:right="960"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法定代表人或其委托代理人：（签字）</w:t>
      </w:r>
    </w:p>
    <w:p w14:paraId="5449FA04">
      <w:pPr>
        <w:spacing w:line="360" w:lineRule="auto"/>
        <w:ind w:right="960" w:firstLine="5040" w:firstLineChars="2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单位名称：（盖单位章）  </w:t>
      </w:r>
    </w:p>
    <w:p w14:paraId="0533AF94">
      <w:pPr>
        <w:topLinePunct w:val="0"/>
        <w:spacing w:line="240" w:lineRule="auto"/>
        <w:jc w:val="left"/>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br w:type="page"/>
      </w:r>
    </w:p>
    <w:p w14:paraId="04F724BB">
      <w:pPr>
        <w:spacing w:line="360" w:lineRule="auto"/>
        <w:jc w:val="center"/>
        <w:outlineLvl w:val="3"/>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（四）拟投入人员配备响应表</w:t>
      </w:r>
    </w:p>
    <w:p w14:paraId="79492009">
      <w:pPr>
        <w:pStyle w:val="39"/>
        <w:ind w:left="0" w:lef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885"/>
        <w:gridCol w:w="805"/>
        <w:gridCol w:w="2060"/>
        <w:gridCol w:w="2055"/>
        <w:gridCol w:w="996"/>
      </w:tblGrid>
      <w:tr w14:paraId="3C5D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633B3C1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岗位</w:t>
            </w:r>
          </w:p>
        </w:tc>
        <w:tc>
          <w:tcPr>
            <w:tcW w:w="519" w:type="pct"/>
            <w:tcBorders>
              <w:top w:val="single" w:color="auto" w:sz="4" w:space="0"/>
              <w:left w:val="single" w:color="auto" w:sz="4" w:space="0"/>
              <w:bottom w:val="single" w:color="auto" w:sz="4" w:space="0"/>
              <w:right w:val="single" w:color="auto" w:sz="4" w:space="0"/>
              <w:tl2br w:val="nil"/>
              <w:tr2bl w:val="nil"/>
            </w:tcBorders>
            <w:vAlign w:val="center"/>
          </w:tcPr>
          <w:p w14:paraId="4966DE0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472" w:type="pct"/>
            <w:tcBorders>
              <w:top w:val="single" w:color="auto" w:sz="4" w:space="0"/>
              <w:left w:val="single" w:color="auto" w:sz="4" w:space="0"/>
              <w:bottom w:val="single" w:color="auto" w:sz="4" w:space="0"/>
              <w:right w:val="single" w:color="auto" w:sz="4" w:space="0"/>
              <w:tl2br w:val="nil"/>
              <w:tr2bl w:val="nil"/>
            </w:tcBorders>
            <w:vAlign w:val="center"/>
          </w:tcPr>
          <w:p w14:paraId="36A1220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1208" w:type="pct"/>
            <w:tcBorders>
              <w:top w:val="single" w:color="auto" w:sz="4" w:space="0"/>
              <w:left w:val="single" w:color="auto" w:sz="4" w:space="0"/>
              <w:bottom w:val="single" w:color="auto" w:sz="4" w:space="0"/>
              <w:right w:val="single" w:color="auto" w:sz="4" w:space="0"/>
              <w:tl2br w:val="nil"/>
              <w:tr2bl w:val="nil"/>
            </w:tcBorders>
            <w:vAlign w:val="center"/>
          </w:tcPr>
          <w:p w14:paraId="7BEC39C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w:t>
            </w:r>
          </w:p>
        </w:tc>
        <w:tc>
          <w:tcPr>
            <w:tcW w:w="1205" w:type="pct"/>
            <w:tcBorders>
              <w:top w:val="single" w:color="auto" w:sz="4" w:space="0"/>
              <w:left w:val="single" w:color="auto" w:sz="4" w:space="0"/>
              <w:bottom w:val="single" w:color="auto" w:sz="4" w:space="0"/>
              <w:right w:val="single" w:color="auto" w:sz="4" w:space="0"/>
              <w:tl2br w:val="nil"/>
              <w:tr2bl w:val="nil"/>
            </w:tcBorders>
            <w:vAlign w:val="center"/>
          </w:tcPr>
          <w:p w14:paraId="48BE4D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执业或职业资格证明</w:t>
            </w:r>
          </w:p>
        </w:tc>
        <w:tc>
          <w:tcPr>
            <w:tcW w:w="582" w:type="pct"/>
            <w:tcBorders>
              <w:top w:val="single" w:color="auto" w:sz="4" w:space="0"/>
              <w:left w:val="single" w:color="auto" w:sz="4" w:space="0"/>
              <w:bottom w:val="single" w:color="auto" w:sz="4" w:space="0"/>
              <w:right w:val="single" w:color="auto" w:sz="4" w:space="0"/>
              <w:tl2br w:val="nil"/>
              <w:tr2bl w:val="nil"/>
            </w:tcBorders>
            <w:vAlign w:val="center"/>
          </w:tcPr>
          <w:p w14:paraId="6F16BFF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1821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0897792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w:t>
            </w:r>
          </w:p>
        </w:tc>
        <w:tc>
          <w:tcPr>
            <w:tcW w:w="519" w:type="pct"/>
            <w:tcBorders>
              <w:top w:val="single" w:color="auto" w:sz="4" w:space="0"/>
              <w:left w:val="single" w:color="auto" w:sz="4" w:space="0"/>
              <w:bottom w:val="single" w:color="auto" w:sz="4" w:space="0"/>
              <w:right w:val="single" w:color="auto" w:sz="4" w:space="0"/>
              <w:tl2br w:val="nil"/>
              <w:tr2bl w:val="nil"/>
            </w:tcBorders>
            <w:vAlign w:val="center"/>
          </w:tcPr>
          <w:p w14:paraId="4AF257D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472" w:type="pct"/>
            <w:tcBorders>
              <w:top w:val="single" w:color="auto" w:sz="4" w:space="0"/>
              <w:left w:val="single" w:color="auto" w:sz="4" w:space="0"/>
              <w:bottom w:val="single" w:color="auto" w:sz="4" w:space="0"/>
              <w:right w:val="single" w:color="auto" w:sz="4" w:space="0"/>
              <w:tl2br w:val="nil"/>
              <w:tr2bl w:val="nil"/>
            </w:tcBorders>
            <w:vAlign w:val="center"/>
          </w:tcPr>
          <w:p w14:paraId="745C74E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08" w:type="pct"/>
            <w:tcBorders>
              <w:top w:val="single" w:color="auto" w:sz="4" w:space="0"/>
              <w:left w:val="single" w:color="auto" w:sz="4" w:space="0"/>
              <w:bottom w:val="single" w:color="auto" w:sz="4" w:space="0"/>
              <w:right w:val="single" w:color="auto" w:sz="4" w:space="0"/>
              <w:tl2br w:val="nil"/>
              <w:tr2bl w:val="nil"/>
            </w:tcBorders>
            <w:vAlign w:val="center"/>
          </w:tcPr>
          <w:p w14:paraId="62B5C81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05" w:type="pct"/>
            <w:tcBorders>
              <w:top w:val="single" w:color="auto" w:sz="4" w:space="0"/>
              <w:left w:val="single" w:color="auto" w:sz="4" w:space="0"/>
              <w:bottom w:val="single" w:color="auto" w:sz="4" w:space="0"/>
              <w:right w:val="single" w:color="auto" w:sz="4" w:space="0"/>
              <w:tl2br w:val="nil"/>
              <w:tr2bl w:val="nil"/>
            </w:tcBorders>
            <w:vAlign w:val="center"/>
          </w:tcPr>
          <w:p w14:paraId="3B5781E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582" w:type="pct"/>
            <w:tcBorders>
              <w:top w:val="single" w:color="auto" w:sz="4" w:space="0"/>
              <w:left w:val="single" w:color="auto" w:sz="4" w:space="0"/>
              <w:bottom w:val="single" w:color="auto" w:sz="4" w:space="0"/>
              <w:right w:val="single" w:color="auto" w:sz="4" w:space="0"/>
              <w:tl2br w:val="nil"/>
              <w:tr2bl w:val="nil"/>
            </w:tcBorders>
            <w:vAlign w:val="center"/>
          </w:tcPr>
          <w:p w14:paraId="6A03C3F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118F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71E9F12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技术负责人</w:t>
            </w:r>
          </w:p>
        </w:tc>
        <w:tc>
          <w:tcPr>
            <w:tcW w:w="519" w:type="pct"/>
            <w:tcBorders>
              <w:top w:val="single" w:color="auto" w:sz="4" w:space="0"/>
              <w:left w:val="single" w:color="auto" w:sz="4" w:space="0"/>
              <w:bottom w:val="single" w:color="auto" w:sz="4" w:space="0"/>
              <w:right w:val="single" w:color="auto" w:sz="4" w:space="0"/>
              <w:tl2br w:val="nil"/>
              <w:tr2bl w:val="nil"/>
            </w:tcBorders>
            <w:vAlign w:val="center"/>
          </w:tcPr>
          <w:p w14:paraId="3AD301B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472" w:type="pct"/>
            <w:tcBorders>
              <w:top w:val="single" w:color="auto" w:sz="4" w:space="0"/>
              <w:left w:val="single" w:color="auto" w:sz="4" w:space="0"/>
              <w:bottom w:val="single" w:color="auto" w:sz="4" w:space="0"/>
              <w:right w:val="single" w:color="auto" w:sz="4" w:space="0"/>
              <w:tl2br w:val="nil"/>
              <w:tr2bl w:val="nil"/>
            </w:tcBorders>
            <w:vAlign w:val="center"/>
          </w:tcPr>
          <w:p w14:paraId="4AFA67F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08" w:type="pct"/>
            <w:tcBorders>
              <w:top w:val="single" w:color="auto" w:sz="4" w:space="0"/>
              <w:left w:val="single" w:color="auto" w:sz="4" w:space="0"/>
              <w:bottom w:val="single" w:color="auto" w:sz="4" w:space="0"/>
              <w:right w:val="single" w:color="auto" w:sz="4" w:space="0"/>
              <w:tl2br w:val="nil"/>
              <w:tr2bl w:val="nil"/>
            </w:tcBorders>
            <w:vAlign w:val="center"/>
          </w:tcPr>
          <w:p w14:paraId="620680C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05" w:type="pct"/>
            <w:tcBorders>
              <w:top w:val="single" w:color="auto" w:sz="4" w:space="0"/>
              <w:left w:val="single" w:color="auto" w:sz="4" w:space="0"/>
              <w:bottom w:val="single" w:color="auto" w:sz="4" w:space="0"/>
              <w:right w:val="single" w:color="auto" w:sz="4" w:space="0"/>
              <w:tl2br w:val="nil"/>
              <w:tr2bl w:val="nil"/>
            </w:tcBorders>
            <w:vAlign w:val="center"/>
          </w:tcPr>
          <w:p w14:paraId="4A204D7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582" w:type="pct"/>
            <w:tcBorders>
              <w:top w:val="single" w:color="auto" w:sz="4" w:space="0"/>
              <w:left w:val="single" w:color="auto" w:sz="4" w:space="0"/>
              <w:bottom w:val="single" w:color="auto" w:sz="4" w:space="0"/>
              <w:right w:val="single" w:color="auto" w:sz="4" w:space="0"/>
              <w:tl2br w:val="nil"/>
              <w:tr2bl w:val="nil"/>
            </w:tcBorders>
            <w:vAlign w:val="center"/>
          </w:tcPr>
          <w:p w14:paraId="66A8C57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7F67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62A181F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专职安全员</w:t>
            </w:r>
          </w:p>
        </w:tc>
        <w:tc>
          <w:tcPr>
            <w:tcW w:w="519" w:type="pct"/>
            <w:tcBorders>
              <w:top w:val="single" w:color="auto" w:sz="4" w:space="0"/>
              <w:left w:val="single" w:color="auto" w:sz="4" w:space="0"/>
              <w:bottom w:val="single" w:color="auto" w:sz="4" w:space="0"/>
              <w:right w:val="single" w:color="auto" w:sz="4" w:space="0"/>
              <w:tl2br w:val="nil"/>
              <w:tr2bl w:val="nil"/>
            </w:tcBorders>
            <w:vAlign w:val="center"/>
          </w:tcPr>
          <w:p w14:paraId="70D328F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472" w:type="pct"/>
            <w:tcBorders>
              <w:top w:val="single" w:color="auto" w:sz="4" w:space="0"/>
              <w:left w:val="single" w:color="auto" w:sz="4" w:space="0"/>
              <w:bottom w:val="single" w:color="auto" w:sz="4" w:space="0"/>
              <w:right w:val="single" w:color="auto" w:sz="4" w:space="0"/>
              <w:tl2br w:val="nil"/>
              <w:tr2bl w:val="nil"/>
            </w:tcBorders>
            <w:vAlign w:val="center"/>
          </w:tcPr>
          <w:p w14:paraId="3A37105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08" w:type="pct"/>
            <w:tcBorders>
              <w:top w:val="single" w:color="auto" w:sz="4" w:space="0"/>
              <w:left w:val="single" w:color="auto" w:sz="4" w:space="0"/>
              <w:bottom w:val="single" w:color="auto" w:sz="4" w:space="0"/>
              <w:right w:val="single" w:color="auto" w:sz="4" w:space="0"/>
              <w:tl2br w:val="nil"/>
              <w:tr2bl w:val="nil"/>
            </w:tcBorders>
            <w:vAlign w:val="center"/>
          </w:tcPr>
          <w:p w14:paraId="38D555D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05" w:type="pct"/>
            <w:tcBorders>
              <w:top w:val="single" w:color="auto" w:sz="4" w:space="0"/>
              <w:left w:val="single" w:color="auto" w:sz="4" w:space="0"/>
              <w:bottom w:val="single" w:color="auto" w:sz="4" w:space="0"/>
              <w:right w:val="single" w:color="auto" w:sz="4" w:space="0"/>
              <w:tl2br w:val="nil"/>
              <w:tr2bl w:val="nil"/>
            </w:tcBorders>
            <w:vAlign w:val="center"/>
          </w:tcPr>
          <w:p w14:paraId="53695FA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582" w:type="pct"/>
            <w:tcBorders>
              <w:top w:val="single" w:color="auto" w:sz="4" w:space="0"/>
              <w:left w:val="single" w:color="auto" w:sz="4" w:space="0"/>
              <w:bottom w:val="single" w:color="auto" w:sz="4" w:space="0"/>
              <w:right w:val="single" w:color="auto" w:sz="4" w:space="0"/>
              <w:tl2br w:val="nil"/>
              <w:tr2bl w:val="nil"/>
            </w:tcBorders>
            <w:vAlign w:val="center"/>
          </w:tcPr>
          <w:p w14:paraId="484DBAE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投标时至少明确一人</w:t>
            </w:r>
          </w:p>
        </w:tc>
      </w:tr>
      <w:tr w14:paraId="134D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op w:val="single" w:color="auto" w:sz="4" w:space="0"/>
              <w:left w:val="single" w:color="auto" w:sz="4" w:space="0"/>
              <w:bottom w:val="single" w:color="auto" w:sz="4" w:space="0"/>
              <w:right w:val="single" w:color="auto" w:sz="4" w:space="0"/>
              <w:tl2br w:val="nil"/>
              <w:tr2bl w:val="nil"/>
            </w:tcBorders>
            <w:vAlign w:val="center"/>
          </w:tcPr>
          <w:p w14:paraId="5D3622A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3F16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3D0CEDC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岗位</w:t>
            </w:r>
          </w:p>
        </w:tc>
        <w:tc>
          <w:tcPr>
            <w:tcW w:w="3987" w:type="pct"/>
            <w:gridSpan w:val="5"/>
            <w:tcBorders>
              <w:top w:val="single" w:color="auto" w:sz="4" w:space="0"/>
              <w:left w:val="single" w:color="auto" w:sz="4" w:space="0"/>
              <w:bottom w:val="single" w:color="auto" w:sz="4" w:space="0"/>
              <w:right w:val="single" w:color="auto" w:sz="4" w:space="0"/>
              <w:tl2br w:val="nil"/>
              <w:tr2bl w:val="nil"/>
            </w:tcBorders>
            <w:vAlign w:val="center"/>
          </w:tcPr>
          <w:p w14:paraId="4E36DB0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拟投入人数</w:t>
            </w:r>
          </w:p>
        </w:tc>
      </w:tr>
      <w:tr w14:paraId="473D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339256D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专职安全员</w:t>
            </w:r>
          </w:p>
        </w:tc>
        <w:tc>
          <w:tcPr>
            <w:tcW w:w="3987" w:type="pct"/>
            <w:gridSpan w:val="5"/>
            <w:tcBorders>
              <w:top w:val="single" w:color="auto" w:sz="4" w:space="0"/>
              <w:left w:val="single" w:color="auto" w:sz="4" w:space="0"/>
              <w:bottom w:val="single" w:color="auto" w:sz="4" w:space="0"/>
              <w:right w:val="single" w:color="auto" w:sz="4" w:space="0"/>
              <w:tl2br w:val="nil"/>
              <w:tr2bl w:val="nil"/>
            </w:tcBorders>
            <w:vAlign w:val="center"/>
          </w:tcPr>
          <w:p w14:paraId="0C53845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12E4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62131C1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项目现场负责人</w:t>
            </w:r>
          </w:p>
        </w:tc>
        <w:tc>
          <w:tcPr>
            <w:tcW w:w="3987" w:type="pct"/>
            <w:gridSpan w:val="5"/>
            <w:tcBorders>
              <w:top w:val="single" w:color="auto" w:sz="4" w:space="0"/>
              <w:left w:val="single" w:color="auto" w:sz="4" w:space="0"/>
              <w:bottom w:val="single" w:color="auto" w:sz="4" w:space="0"/>
              <w:right w:val="single" w:color="auto" w:sz="4" w:space="0"/>
              <w:tl2br w:val="nil"/>
              <w:tr2bl w:val="nil"/>
            </w:tcBorders>
            <w:vAlign w:val="center"/>
          </w:tcPr>
          <w:p w14:paraId="0A19DF9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4533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7423277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低压电工</w:t>
            </w:r>
          </w:p>
        </w:tc>
        <w:tc>
          <w:tcPr>
            <w:tcW w:w="3987" w:type="pct"/>
            <w:gridSpan w:val="5"/>
            <w:tcBorders>
              <w:top w:val="single" w:color="auto" w:sz="4" w:space="0"/>
              <w:left w:val="single" w:color="auto" w:sz="4" w:space="0"/>
              <w:bottom w:val="single" w:color="auto" w:sz="4" w:space="0"/>
              <w:right w:val="single" w:color="auto" w:sz="4" w:space="0"/>
              <w:tl2br w:val="nil"/>
              <w:tr2bl w:val="nil"/>
            </w:tcBorders>
            <w:vAlign w:val="center"/>
          </w:tcPr>
          <w:p w14:paraId="12083CC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4B44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57EA5D1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焊工</w:t>
            </w:r>
          </w:p>
        </w:tc>
        <w:tc>
          <w:tcPr>
            <w:tcW w:w="3987" w:type="pct"/>
            <w:gridSpan w:val="5"/>
            <w:tcBorders>
              <w:top w:val="single" w:color="auto" w:sz="4" w:space="0"/>
              <w:left w:val="single" w:color="auto" w:sz="4" w:space="0"/>
              <w:bottom w:val="single" w:color="auto" w:sz="4" w:space="0"/>
              <w:right w:val="single" w:color="auto" w:sz="4" w:space="0"/>
              <w:tl2br w:val="nil"/>
              <w:tr2bl w:val="nil"/>
            </w:tcBorders>
            <w:vAlign w:val="center"/>
          </w:tcPr>
          <w:p w14:paraId="09D450F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76E9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7192D04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架子工</w:t>
            </w:r>
          </w:p>
        </w:tc>
        <w:tc>
          <w:tcPr>
            <w:tcW w:w="3987" w:type="pct"/>
            <w:gridSpan w:val="5"/>
            <w:tcBorders>
              <w:top w:val="single" w:color="auto" w:sz="4" w:space="0"/>
              <w:left w:val="single" w:color="auto" w:sz="4" w:space="0"/>
              <w:bottom w:val="single" w:color="auto" w:sz="4" w:space="0"/>
              <w:right w:val="single" w:color="auto" w:sz="4" w:space="0"/>
              <w:tl2br w:val="nil"/>
              <w:tr2bl w:val="nil"/>
            </w:tcBorders>
            <w:vAlign w:val="center"/>
          </w:tcPr>
          <w:p w14:paraId="5A8BA9E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1092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 w:type="pct"/>
            <w:tcBorders>
              <w:top w:val="single" w:color="auto" w:sz="4" w:space="0"/>
              <w:left w:val="single" w:color="auto" w:sz="4" w:space="0"/>
              <w:bottom w:val="single" w:color="auto" w:sz="4" w:space="0"/>
              <w:right w:val="single" w:color="auto" w:sz="4" w:space="0"/>
              <w:tl2br w:val="nil"/>
              <w:tr2bl w:val="nil"/>
            </w:tcBorders>
            <w:vAlign w:val="center"/>
          </w:tcPr>
          <w:p w14:paraId="0D371EC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普工</w:t>
            </w:r>
          </w:p>
        </w:tc>
        <w:tc>
          <w:tcPr>
            <w:tcW w:w="3987" w:type="pct"/>
            <w:gridSpan w:val="5"/>
            <w:tcBorders>
              <w:top w:val="single" w:color="auto" w:sz="4" w:space="0"/>
              <w:left w:val="single" w:color="auto" w:sz="4" w:space="0"/>
              <w:bottom w:val="single" w:color="auto" w:sz="4" w:space="0"/>
              <w:right w:val="single" w:color="auto" w:sz="4" w:space="0"/>
              <w:tl2br w:val="nil"/>
              <w:tr2bl w:val="nil"/>
            </w:tcBorders>
            <w:vAlign w:val="center"/>
          </w:tcPr>
          <w:p w14:paraId="170934C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bl>
    <w:p w14:paraId="1F2923A6">
      <w:pPr>
        <w:overflowPunct w:val="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w:t>
      </w:r>
    </w:p>
    <w:p w14:paraId="7B740C42">
      <w:pPr>
        <w:overflowPunct w:val="0"/>
        <w:spacing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1、投标人需按不低于招标公告及《项目管理架构人员最低配置承诺书》的人数及岗位要求，响应拓展填写的相关人员投入情况，同时提供项目负责人、技术负责人、</w:t>
      </w:r>
      <w:r>
        <w:rPr>
          <w:rFonts w:hint="eastAsia" w:ascii="宋体" w:hAnsi="宋体" w:eastAsia="宋体" w:cs="宋体"/>
          <w:bCs/>
          <w:color w:val="auto"/>
          <w:szCs w:val="21"/>
          <w:highlight w:val="none"/>
          <w:lang w:val="en-US" w:eastAsia="zh-CN"/>
        </w:rPr>
        <w:t>专职安全员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一名）</w:t>
      </w:r>
      <w:r>
        <w:rPr>
          <w:rFonts w:hint="eastAsia" w:ascii="宋体" w:hAnsi="宋体" w:eastAsia="宋体" w:cs="宋体"/>
          <w:bCs/>
          <w:color w:val="auto"/>
          <w:szCs w:val="21"/>
          <w:highlight w:val="none"/>
        </w:rPr>
        <w:t>资格证书原件扫描件及近3个月（2024年7月-9月）社保缴费记录。</w:t>
      </w:r>
    </w:p>
    <w:p w14:paraId="13483FC1">
      <w:pPr>
        <w:overflowPunct w:val="0"/>
        <w:spacing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cs="宋体"/>
          <w:bCs/>
          <w:color w:val="auto"/>
          <w:szCs w:val="21"/>
          <w:highlight w:val="none"/>
          <w:lang w:val="en-US" w:eastAsia="zh-CN"/>
        </w:rPr>
        <w:t>专职安全员</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除投标时需明确的一人外）</w:t>
      </w:r>
      <w:r>
        <w:rPr>
          <w:rFonts w:hint="eastAsia" w:ascii="宋体" w:hAnsi="宋体" w:cs="宋体"/>
          <w:bCs/>
          <w:color w:val="auto"/>
          <w:szCs w:val="21"/>
          <w:highlight w:val="none"/>
          <w:lang w:val="en-US" w:eastAsia="zh-CN"/>
        </w:rPr>
        <w:t>、</w:t>
      </w:r>
      <w:r>
        <w:rPr>
          <w:rFonts w:hint="eastAsia" w:ascii="宋体" w:hAnsi="宋体" w:eastAsia="宋体" w:cs="宋体"/>
          <w:bCs/>
          <w:color w:val="auto"/>
          <w:szCs w:val="21"/>
          <w:highlight w:val="none"/>
        </w:rPr>
        <w:t>项目现场负责人、低压电工</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电工、焊工、</w:t>
      </w:r>
      <w:r>
        <w:rPr>
          <w:rFonts w:hint="eastAsia" w:ascii="宋体" w:hAnsi="宋体" w:cs="宋体"/>
          <w:bCs/>
          <w:color w:val="auto"/>
          <w:szCs w:val="21"/>
          <w:highlight w:val="none"/>
          <w:lang w:val="en-US" w:eastAsia="zh-CN"/>
        </w:rPr>
        <w:t>架子工、</w:t>
      </w:r>
      <w:r>
        <w:rPr>
          <w:rFonts w:hint="eastAsia" w:ascii="宋体" w:hAnsi="宋体" w:eastAsia="宋体" w:cs="宋体"/>
          <w:bCs/>
          <w:color w:val="auto"/>
          <w:szCs w:val="21"/>
          <w:highlight w:val="none"/>
        </w:rPr>
        <w:t>普工投标时仅承诺人数</w:t>
      </w:r>
      <w:r>
        <w:rPr>
          <w:rFonts w:hint="eastAsia" w:ascii="宋体" w:hAnsi="宋体" w:eastAsia="宋体" w:cs="宋体"/>
          <w:bCs/>
          <w:color w:val="auto"/>
          <w:szCs w:val="21"/>
          <w:highlight w:val="none"/>
          <w:lang w:val="en-US" w:eastAsia="zh-CN"/>
        </w:rPr>
        <w:t>（不需提供证件及社保）</w:t>
      </w:r>
      <w:r>
        <w:rPr>
          <w:rFonts w:hint="eastAsia" w:ascii="宋体" w:hAnsi="宋体" w:eastAsia="宋体" w:cs="宋体"/>
          <w:bCs/>
          <w:color w:val="auto"/>
          <w:szCs w:val="21"/>
          <w:highlight w:val="none"/>
        </w:rPr>
        <w:t>，中标后在合同签订前提供所投入人员资格证书。</w:t>
      </w:r>
    </w:p>
    <w:p w14:paraId="35631DCC">
      <w:pPr>
        <w:overflowPunct w:val="0"/>
        <w:spacing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3、原则上服务期内上述人员不得变动，未经招标人许可不得删减或调动岗位。如违反上述承诺，由招标人按不诚信投标及合同相关条款处理。</w:t>
      </w:r>
    </w:p>
    <w:p w14:paraId="6A6FDDE5">
      <w:pPr>
        <w:overflowPunct w:val="0"/>
        <w:spacing w:line="360" w:lineRule="auto"/>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特种作业人员要求：特种作业人员均需要持有符合各项作业要求的特种作业证件，包括但不限于电工作业、焊工作业等，中标后在项目进场施工前提供的人员作业证件需按照我司印发的《特种作业人员、特种设备从业人员、潜水作业从业人员等四类人员持证查询指引》中的相关网址查验成功，并且按照我司要求提供查验证明。</w:t>
      </w:r>
    </w:p>
    <w:p w14:paraId="40DF7E1A">
      <w:pPr>
        <w:pStyle w:val="39"/>
        <w:tabs>
          <w:tab w:val="left" w:pos="4200"/>
        </w:tabs>
        <w:rPr>
          <w:rFonts w:hint="eastAsia" w:ascii="宋体" w:hAnsi="宋体" w:eastAsia="宋体" w:cs="宋体"/>
          <w:color w:val="auto"/>
          <w:highlight w:val="none"/>
        </w:rPr>
      </w:pPr>
    </w:p>
    <w:p w14:paraId="24C3423F">
      <w:pPr>
        <w:tabs>
          <w:tab w:val="left" w:pos="4200"/>
        </w:tabs>
        <w:wordWrap/>
        <w:spacing w:before="120" w:line="400" w:lineRule="exact"/>
        <w:ind w:left="720" w:hanging="72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法定代表人或其委托代理人：（签字或盖章）</w:t>
      </w:r>
    </w:p>
    <w:p w14:paraId="7FC26D89">
      <w:pPr>
        <w:topLinePunct/>
        <w:spacing w:line="400" w:lineRule="exact"/>
        <w:ind w:firstLine="1680" w:firstLineChars="700"/>
        <w:jc w:val="center"/>
        <w:outlineLvl w:val="2"/>
        <w:rPr>
          <w:rFonts w:hint="eastAsia" w:ascii="宋体" w:hAnsi="宋体" w:eastAsia="宋体" w:cs="宋体"/>
          <w:color w:val="auto"/>
          <w:sz w:val="20"/>
          <w:szCs w:val="20"/>
          <w:highlight w:val="none"/>
        </w:rPr>
      </w:pPr>
      <w:r>
        <w:rPr>
          <w:rFonts w:hint="eastAsia" w:ascii="宋体" w:hAnsi="宋体" w:eastAsia="宋体" w:cs="宋体"/>
          <w:color w:val="auto"/>
          <w:sz w:val="24"/>
          <w:highlight w:val="none"/>
        </w:rPr>
        <w:t>单位名称：（盖单位章）</w:t>
      </w:r>
    </w:p>
    <w:p w14:paraId="4F39FEA1">
      <w:pPr>
        <w:rPr>
          <w:rFonts w:hint="eastAsia" w:ascii="宋体" w:hAnsi="宋体" w:eastAsia="宋体" w:cs="宋体"/>
          <w:color w:val="auto"/>
          <w:highlight w:val="none"/>
        </w:rPr>
      </w:pPr>
    </w:p>
    <w:p w14:paraId="124263BE">
      <w:pPr>
        <w:tabs>
          <w:tab w:val="left" w:pos="2510"/>
        </w:tabs>
        <w:jc w:val="left"/>
        <w:rPr>
          <w:rFonts w:hint="eastAsia" w:ascii="宋体" w:hAnsi="宋体" w:eastAsia="宋体" w:cs="宋体"/>
          <w:color w:val="auto"/>
          <w:highlight w:val="none"/>
        </w:rPr>
        <w:sectPr>
          <w:pgSz w:w="11906" w:h="16838"/>
          <w:pgMar w:top="1440" w:right="1797" w:bottom="1440" w:left="1797" w:header="851" w:footer="992" w:gutter="0"/>
          <w:cols w:space="720" w:num="1"/>
          <w:docGrid w:linePitch="312" w:charSpace="0"/>
        </w:sectPr>
      </w:pPr>
    </w:p>
    <w:p w14:paraId="5DF020EF">
      <w:pPr>
        <w:spacing w:line="360" w:lineRule="auto"/>
        <w:jc w:val="center"/>
        <w:outlineLvl w:val="2"/>
        <w:rPr>
          <w:rFonts w:hint="eastAsia" w:ascii="宋体" w:hAnsi="宋体" w:eastAsia="宋体" w:cs="宋体"/>
          <w:color w:val="auto"/>
          <w:sz w:val="28"/>
          <w:szCs w:val="27"/>
          <w:highlight w:val="none"/>
        </w:rPr>
      </w:pPr>
      <w:bookmarkStart w:id="571" w:name="_Toc53669186"/>
      <w:bookmarkStart w:id="572" w:name="_Toc222033920"/>
      <w:bookmarkStart w:id="573" w:name="_Toc17451616"/>
      <w:bookmarkStart w:id="574" w:name="_Toc229305429"/>
      <w:bookmarkStart w:id="575" w:name="_Toc17451139"/>
      <w:bookmarkStart w:id="576" w:name="_Toc17451661"/>
      <w:bookmarkStart w:id="577" w:name="_Toc259524423"/>
      <w:bookmarkStart w:id="578" w:name="_Toc222031071"/>
      <w:bookmarkStart w:id="579" w:name="_Toc78985274"/>
      <w:bookmarkStart w:id="580" w:name="_Toc286"/>
      <w:bookmarkStart w:id="581" w:name="_Toc221948389"/>
      <w:bookmarkStart w:id="582" w:name="_Toc221952153"/>
      <w:bookmarkStart w:id="583" w:name="_Toc17454909"/>
      <w:bookmarkStart w:id="584" w:name="_Toc17556914"/>
      <w:bookmarkStart w:id="585" w:name="_Toc222032738"/>
      <w:bookmarkStart w:id="586" w:name="_Toc17556969"/>
      <w:bookmarkStart w:id="587" w:name="_Toc17454960"/>
      <w:bookmarkStart w:id="588" w:name="_Toc17452702"/>
      <w:bookmarkStart w:id="589" w:name="_Toc222029569"/>
      <w:r>
        <w:rPr>
          <w:rFonts w:hint="eastAsia" w:ascii="宋体" w:hAnsi="宋体" w:eastAsia="宋体" w:cs="宋体"/>
          <w:color w:val="auto"/>
          <w:sz w:val="28"/>
          <w:szCs w:val="27"/>
          <w:highlight w:val="none"/>
        </w:rPr>
        <w:t>十一、资格审查资料</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1857BD16">
      <w:pPr>
        <w:spacing w:line="400" w:lineRule="exact"/>
        <w:jc w:val="left"/>
        <w:outlineLvl w:val="3"/>
        <w:rPr>
          <w:rFonts w:hint="eastAsia" w:ascii="宋体" w:hAnsi="宋体" w:eastAsia="宋体" w:cs="宋体"/>
          <w:b/>
          <w:color w:val="auto"/>
          <w:sz w:val="24"/>
          <w:szCs w:val="31"/>
          <w:highlight w:val="none"/>
        </w:rPr>
      </w:pPr>
      <w:bookmarkStart w:id="590" w:name="_Toc221952154"/>
      <w:bookmarkStart w:id="591" w:name="_Toc179715759"/>
      <w:bookmarkStart w:id="592" w:name="_Toc259524424"/>
      <w:bookmarkStart w:id="593" w:name="_Toc152047266"/>
      <w:r>
        <w:rPr>
          <w:rFonts w:hint="eastAsia" w:ascii="宋体" w:hAnsi="宋体" w:eastAsia="宋体" w:cs="宋体"/>
          <w:b/>
          <w:color w:val="auto"/>
          <w:sz w:val="24"/>
          <w:szCs w:val="31"/>
          <w:highlight w:val="none"/>
        </w:rPr>
        <w:t>（一）投标人基本情况表</w:t>
      </w:r>
      <w:bookmarkEnd w:id="590"/>
      <w:bookmarkEnd w:id="591"/>
      <w:bookmarkEnd w:id="592"/>
      <w:bookmarkEnd w:id="593"/>
    </w:p>
    <w:tbl>
      <w:tblPr>
        <w:tblStyle w:val="4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17"/>
        <w:gridCol w:w="893"/>
        <w:gridCol w:w="947"/>
        <w:gridCol w:w="836"/>
        <w:gridCol w:w="418"/>
        <w:gridCol w:w="140"/>
        <w:gridCol w:w="1245"/>
        <w:gridCol w:w="181"/>
        <w:gridCol w:w="1163"/>
        <w:gridCol w:w="988"/>
      </w:tblGrid>
      <w:tr w14:paraId="651827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07" w:type="pct"/>
            <w:tcBorders>
              <w:top w:val="single" w:color="auto" w:sz="4" w:space="0"/>
              <w:left w:val="single" w:color="auto" w:sz="4" w:space="0"/>
              <w:bottom w:val="single" w:color="auto" w:sz="4" w:space="0"/>
              <w:right w:val="single" w:color="auto" w:sz="4" w:space="0"/>
            </w:tcBorders>
            <w:vAlign w:val="center"/>
          </w:tcPr>
          <w:p w14:paraId="7C1E64C7">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594" w:name="_Toc221952155"/>
            <w:r>
              <w:rPr>
                <w:rFonts w:hint="eastAsia" w:ascii="宋体" w:hAnsi="宋体" w:eastAsia="宋体" w:cs="宋体"/>
                <w:color w:val="auto"/>
                <w:szCs w:val="20"/>
                <w:highlight w:val="none"/>
              </w:rPr>
              <w:t>投标人名称</w:t>
            </w:r>
            <w:bookmarkEnd w:id="594"/>
          </w:p>
        </w:tc>
        <w:tc>
          <w:tcPr>
            <w:tcW w:w="3993" w:type="pct"/>
            <w:gridSpan w:val="9"/>
            <w:tcBorders>
              <w:top w:val="single" w:color="auto" w:sz="4" w:space="0"/>
              <w:left w:val="single" w:color="auto" w:sz="4" w:space="0"/>
              <w:bottom w:val="single" w:color="auto" w:sz="4" w:space="0"/>
              <w:right w:val="single" w:color="auto" w:sz="4" w:space="0"/>
            </w:tcBorders>
            <w:vAlign w:val="center"/>
          </w:tcPr>
          <w:p w14:paraId="1CAA8E6A">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3BECCE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007" w:type="pct"/>
            <w:tcBorders>
              <w:top w:val="single" w:color="auto" w:sz="4" w:space="0"/>
              <w:left w:val="single" w:color="auto" w:sz="4" w:space="0"/>
              <w:bottom w:val="single" w:color="auto" w:sz="4" w:space="0"/>
              <w:right w:val="single" w:color="auto" w:sz="4" w:space="0"/>
            </w:tcBorders>
            <w:vAlign w:val="center"/>
          </w:tcPr>
          <w:p w14:paraId="6D4EDA81">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595" w:name="_Toc221952156"/>
            <w:r>
              <w:rPr>
                <w:rFonts w:hint="eastAsia" w:ascii="宋体" w:hAnsi="宋体" w:eastAsia="宋体" w:cs="宋体"/>
                <w:color w:val="auto"/>
                <w:szCs w:val="20"/>
                <w:highlight w:val="none"/>
              </w:rPr>
              <w:t>注册地址</w:t>
            </w:r>
            <w:bookmarkEnd w:id="595"/>
          </w:p>
        </w:tc>
        <w:tc>
          <w:tcPr>
            <w:tcW w:w="1896" w:type="pct"/>
            <w:gridSpan w:val="5"/>
            <w:tcBorders>
              <w:top w:val="single" w:color="auto" w:sz="4" w:space="0"/>
              <w:left w:val="single" w:color="auto" w:sz="4" w:space="0"/>
              <w:bottom w:val="single" w:color="auto" w:sz="4" w:space="0"/>
              <w:right w:val="single" w:color="auto" w:sz="4" w:space="0"/>
            </w:tcBorders>
            <w:vAlign w:val="center"/>
          </w:tcPr>
          <w:p w14:paraId="72F3FDE1">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730" w:type="pct"/>
            <w:tcBorders>
              <w:top w:val="single" w:color="auto" w:sz="4" w:space="0"/>
              <w:left w:val="single" w:color="auto" w:sz="4" w:space="0"/>
              <w:bottom w:val="single" w:color="auto" w:sz="4" w:space="0"/>
              <w:right w:val="single" w:color="auto" w:sz="4" w:space="0"/>
            </w:tcBorders>
            <w:vAlign w:val="center"/>
          </w:tcPr>
          <w:p w14:paraId="70902555">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596" w:name="_Toc221952157"/>
            <w:r>
              <w:rPr>
                <w:rFonts w:hint="eastAsia" w:ascii="宋体" w:hAnsi="宋体" w:eastAsia="宋体" w:cs="宋体"/>
                <w:color w:val="auto"/>
                <w:szCs w:val="20"/>
                <w:highlight w:val="none"/>
              </w:rPr>
              <w:t>邮政编码</w:t>
            </w:r>
            <w:bookmarkEnd w:id="596"/>
          </w:p>
        </w:tc>
        <w:tc>
          <w:tcPr>
            <w:tcW w:w="1368" w:type="pct"/>
            <w:gridSpan w:val="3"/>
            <w:tcBorders>
              <w:top w:val="single" w:color="auto" w:sz="4" w:space="0"/>
              <w:left w:val="single" w:color="auto" w:sz="4" w:space="0"/>
              <w:bottom w:val="single" w:color="auto" w:sz="4" w:space="0"/>
              <w:right w:val="single" w:color="auto" w:sz="4" w:space="0"/>
            </w:tcBorders>
            <w:vAlign w:val="center"/>
          </w:tcPr>
          <w:p w14:paraId="135BAEB8">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296D5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007" w:type="pct"/>
            <w:vMerge w:val="restart"/>
            <w:tcBorders>
              <w:top w:val="single" w:color="auto" w:sz="4" w:space="0"/>
              <w:left w:val="single" w:color="auto" w:sz="4" w:space="0"/>
              <w:bottom w:val="single" w:color="auto" w:sz="4" w:space="0"/>
              <w:right w:val="single" w:color="auto" w:sz="4" w:space="0"/>
            </w:tcBorders>
            <w:vAlign w:val="center"/>
          </w:tcPr>
          <w:p w14:paraId="1B775899">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597" w:name="_Toc221952158"/>
            <w:r>
              <w:rPr>
                <w:rFonts w:hint="eastAsia" w:ascii="宋体" w:hAnsi="宋体" w:eastAsia="宋体" w:cs="宋体"/>
                <w:color w:val="auto"/>
                <w:szCs w:val="20"/>
                <w:highlight w:val="none"/>
              </w:rPr>
              <w:t>联系方式</w:t>
            </w:r>
            <w:bookmarkEnd w:id="597"/>
          </w:p>
        </w:tc>
        <w:tc>
          <w:tcPr>
            <w:tcW w:w="524" w:type="pct"/>
            <w:tcBorders>
              <w:top w:val="single" w:color="auto" w:sz="4" w:space="0"/>
              <w:left w:val="single" w:color="auto" w:sz="4" w:space="0"/>
              <w:bottom w:val="single" w:color="auto" w:sz="4" w:space="0"/>
              <w:right w:val="single" w:color="auto" w:sz="4" w:space="0"/>
            </w:tcBorders>
            <w:vAlign w:val="center"/>
          </w:tcPr>
          <w:p w14:paraId="5192D5BB">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598" w:name="_Toc221952159"/>
            <w:r>
              <w:rPr>
                <w:rFonts w:hint="eastAsia" w:ascii="宋体" w:hAnsi="宋体" w:eastAsia="宋体" w:cs="宋体"/>
                <w:color w:val="auto"/>
                <w:szCs w:val="20"/>
                <w:highlight w:val="none"/>
              </w:rPr>
              <w:t>联系人</w:t>
            </w:r>
            <w:bookmarkEnd w:id="598"/>
          </w:p>
        </w:tc>
        <w:tc>
          <w:tcPr>
            <w:tcW w:w="1371" w:type="pct"/>
            <w:gridSpan w:val="4"/>
            <w:tcBorders>
              <w:top w:val="single" w:color="auto" w:sz="4" w:space="0"/>
              <w:left w:val="single" w:color="auto" w:sz="4" w:space="0"/>
              <w:bottom w:val="single" w:color="auto" w:sz="4" w:space="0"/>
              <w:right w:val="single" w:color="auto" w:sz="4" w:space="0"/>
            </w:tcBorders>
            <w:vAlign w:val="center"/>
          </w:tcPr>
          <w:p w14:paraId="1FBA48B8">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730" w:type="pct"/>
            <w:tcBorders>
              <w:top w:val="single" w:color="auto" w:sz="4" w:space="0"/>
              <w:left w:val="single" w:color="auto" w:sz="4" w:space="0"/>
              <w:bottom w:val="single" w:color="auto" w:sz="4" w:space="0"/>
              <w:right w:val="single" w:color="auto" w:sz="4" w:space="0"/>
            </w:tcBorders>
            <w:vAlign w:val="center"/>
          </w:tcPr>
          <w:p w14:paraId="200F9EDC">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599" w:name="_Toc221952160"/>
            <w:r>
              <w:rPr>
                <w:rFonts w:hint="eastAsia" w:ascii="宋体" w:hAnsi="宋体" w:eastAsia="宋体" w:cs="宋体"/>
                <w:color w:val="auto"/>
                <w:szCs w:val="20"/>
                <w:highlight w:val="none"/>
              </w:rPr>
              <w:t>电 话</w:t>
            </w:r>
            <w:bookmarkEnd w:id="599"/>
          </w:p>
        </w:tc>
        <w:tc>
          <w:tcPr>
            <w:tcW w:w="1368" w:type="pct"/>
            <w:gridSpan w:val="3"/>
            <w:tcBorders>
              <w:top w:val="single" w:color="auto" w:sz="4" w:space="0"/>
              <w:left w:val="single" w:color="auto" w:sz="4" w:space="0"/>
              <w:bottom w:val="single" w:color="auto" w:sz="4" w:space="0"/>
              <w:right w:val="single" w:color="auto" w:sz="4" w:space="0"/>
            </w:tcBorders>
            <w:vAlign w:val="center"/>
          </w:tcPr>
          <w:p w14:paraId="67425444">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5F4769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007" w:type="pct"/>
            <w:vMerge w:val="continue"/>
            <w:tcBorders>
              <w:top w:val="single" w:color="auto" w:sz="4" w:space="0"/>
              <w:left w:val="single" w:color="auto" w:sz="4" w:space="0"/>
              <w:bottom w:val="single" w:color="auto" w:sz="4" w:space="0"/>
              <w:right w:val="single" w:color="auto" w:sz="4" w:space="0"/>
            </w:tcBorders>
            <w:vAlign w:val="center"/>
          </w:tcPr>
          <w:p w14:paraId="0CCFA835">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524" w:type="pct"/>
            <w:tcBorders>
              <w:top w:val="single" w:color="auto" w:sz="4" w:space="0"/>
              <w:left w:val="single" w:color="auto" w:sz="4" w:space="0"/>
              <w:bottom w:val="single" w:color="auto" w:sz="4" w:space="0"/>
              <w:right w:val="single" w:color="auto" w:sz="4" w:space="0"/>
            </w:tcBorders>
            <w:vAlign w:val="center"/>
          </w:tcPr>
          <w:p w14:paraId="754041F5">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0" w:name="_Toc221952161"/>
            <w:r>
              <w:rPr>
                <w:rFonts w:hint="eastAsia" w:ascii="宋体" w:hAnsi="宋体" w:eastAsia="宋体" w:cs="宋体"/>
                <w:color w:val="auto"/>
                <w:szCs w:val="20"/>
                <w:highlight w:val="none"/>
              </w:rPr>
              <w:t>传  真</w:t>
            </w:r>
            <w:bookmarkEnd w:id="600"/>
          </w:p>
        </w:tc>
        <w:tc>
          <w:tcPr>
            <w:tcW w:w="1371" w:type="pct"/>
            <w:gridSpan w:val="4"/>
            <w:tcBorders>
              <w:top w:val="single" w:color="auto" w:sz="4" w:space="0"/>
              <w:left w:val="single" w:color="auto" w:sz="4" w:space="0"/>
              <w:bottom w:val="single" w:color="auto" w:sz="4" w:space="0"/>
              <w:right w:val="single" w:color="auto" w:sz="4" w:space="0"/>
            </w:tcBorders>
            <w:vAlign w:val="center"/>
          </w:tcPr>
          <w:p w14:paraId="339646CC">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730" w:type="pct"/>
            <w:tcBorders>
              <w:top w:val="single" w:color="auto" w:sz="4" w:space="0"/>
              <w:left w:val="single" w:color="auto" w:sz="4" w:space="0"/>
              <w:bottom w:val="single" w:color="auto" w:sz="4" w:space="0"/>
              <w:right w:val="single" w:color="auto" w:sz="4" w:space="0"/>
            </w:tcBorders>
            <w:vAlign w:val="center"/>
          </w:tcPr>
          <w:p w14:paraId="2A25A996">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1" w:name="_Toc221952162"/>
            <w:r>
              <w:rPr>
                <w:rFonts w:hint="eastAsia" w:ascii="宋体" w:hAnsi="宋体" w:eastAsia="宋体" w:cs="宋体"/>
                <w:color w:val="auto"/>
                <w:szCs w:val="20"/>
                <w:highlight w:val="none"/>
              </w:rPr>
              <w:t>网 址</w:t>
            </w:r>
            <w:bookmarkEnd w:id="601"/>
          </w:p>
        </w:tc>
        <w:tc>
          <w:tcPr>
            <w:tcW w:w="1368" w:type="pct"/>
            <w:gridSpan w:val="3"/>
            <w:tcBorders>
              <w:top w:val="single" w:color="auto" w:sz="4" w:space="0"/>
              <w:left w:val="single" w:color="auto" w:sz="4" w:space="0"/>
              <w:bottom w:val="single" w:color="auto" w:sz="4" w:space="0"/>
              <w:right w:val="single" w:color="auto" w:sz="4" w:space="0"/>
            </w:tcBorders>
            <w:vAlign w:val="center"/>
          </w:tcPr>
          <w:p w14:paraId="1BD1E794">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6D028B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007" w:type="pct"/>
            <w:tcBorders>
              <w:top w:val="single" w:color="auto" w:sz="4" w:space="0"/>
              <w:left w:val="single" w:color="auto" w:sz="4" w:space="0"/>
              <w:bottom w:val="single" w:color="auto" w:sz="4" w:space="0"/>
              <w:right w:val="single" w:color="auto" w:sz="4" w:space="0"/>
            </w:tcBorders>
            <w:vAlign w:val="center"/>
          </w:tcPr>
          <w:p w14:paraId="58AA4574">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2" w:name="_Toc221952163"/>
            <w:r>
              <w:rPr>
                <w:rFonts w:hint="eastAsia" w:ascii="宋体" w:hAnsi="宋体" w:eastAsia="宋体" w:cs="宋体"/>
                <w:color w:val="auto"/>
                <w:szCs w:val="20"/>
                <w:highlight w:val="none"/>
              </w:rPr>
              <w:t>组织结构</w:t>
            </w:r>
            <w:bookmarkEnd w:id="602"/>
          </w:p>
        </w:tc>
        <w:tc>
          <w:tcPr>
            <w:tcW w:w="3993" w:type="pct"/>
            <w:gridSpan w:val="9"/>
            <w:tcBorders>
              <w:top w:val="single" w:color="auto" w:sz="4" w:space="0"/>
              <w:left w:val="single" w:color="auto" w:sz="4" w:space="0"/>
              <w:bottom w:val="single" w:color="auto" w:sz="4" w:space="0"/>
              <w:right w:val="single" w:color="auto" w:sz="4" w:space="0"/>
            </w:tcBorders>
            <w:vAlign w:val="center"/>
          </w:tcPr>
          <w:p w14:paraId="15621703">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66CBD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007" w:type="pct"/>
            <w:tcBorders>
              <w:top w:val="single" w:color="auto" w:sz="4" w:space="0"/>
              <w:left w:val="single" w:color="auto" w:sz="4" w:space="0"/>
              <w:bottom w:val="single" w:color="auto" w:sz="4" w:space="0"/>
              <w:right w:val="single" w:color="auto" w:sz="4" w:space="0"/>
            </w:tcBorders>
            <w:vAlign w:val="center"/>
          </w:tcPr>
          <w:p w14:paraId="22EAD221">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3" w:name="_Toc221952164"/>
            <w:r>
              <w:rPr>
                <w:rFonts w:hint="eastAsia" w:ascii="宋体" w:hAnsi="宋体" w:eastAsia="宋体" w:cs="宋体"/>
                <w:color w:val="auto"/>
                <w:szCs w:val="20"/>
                <w:highlight w:val="none"/>
              </w:rPr>
              <w:t>法定代表人</w:t>
            </w:r>
            <w:bookmarkEnd w:id="603"/>
          </w:p>
        </w:tc>
        <w:tc>
          <w:tcPr>
            <w:tcW w:w="524" w:type="pct"/>
            <w:tcBorders>
              <w:top w:val="single" w:color="auto" w:sz="4" w:space="0"/>
              <w:left w:val="single" w:color="auto" w:sz="4" w:space="0"/>
              <w:bottom w:val="single" w:color="auto" w:sz="4" w:space="0"/>
              <w:right w:val="single" w:color="auto" w:sz="4" w:space="0"/>
            </w:tcBorders>
            <w:vAlign w:val="center"/>
          </w:tcPr>
          <w:p w14:paraId="0CFECDC9">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4" w:name="_Toc221952165"/>
            <w:r>
              <w:rPr>
                <w:rFonts w:hint="eastAsia" w:ascii="宋体" w:hAnsi="宋体" w:eastAsia="宋体" w:cs="宋体"/>
                <w:color w:val="auto"/>
                <w:szCs w:val="20"/>
                <w:highlight w:val="none"/>
              </w:rPr>
              <w:t>姓名</w:t>
            </w:r>
            <w:bookmarkEnd w:id="604"/>
          </w:p>
        </w:tc>
        <w:tc>
          <w:tcPr>
            <w:tcW w:w="555" w:type="pct"/>
            <w:tcBorders>
              <w:top w:val="single" w:color="auto" w:sz="4" w:space="0"/>
              <w:left w:val="single" w:color="auto" w:sz="4" w:space="0"/>
              <w:bottom w:val="single" w:color="auto" w:sz="4" w:space="0"/>
              <w:right w:val="single" w:color="auto" w:sz="4" w:space="0"/>
            </w:tcBorders>
            <w:vAlign w:val="center"/>
          </w:tcPr>
          <w:p w14:paraId="73F52310">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735" w:type="pct"/>
            <w:gridSpan w:val="2"/>
            <w:tcBorders>
              <w:top w:val="single" w:color="auto" w:sz="4" w:space="0"/>
              <w:left w:val="single" w:color="auto" w:sz="4" w:space="0"/>
              <w:bottom w:val="single" w:color="auto" w:sz="4" w:space="0"/>
              <w:right w:val="single" w:color="auto" w:sz="4" w:space="0"/>
            </w:tcBorders>
            <w:vAlign w:val="center"/>
          </w:tcPr>
          <w:p w14:paraId="2D3DF223">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5" w:name="_Toc221952166"/>
            <w:r>
              <w:rPr>
                <w:rFonts w:hint="eastAsia" w:ascii="宋体" w:hAnsi="宋体" w:eastAsia="宋体" w:cs="宋体"/>
                <w:color w:val="auto"/>
                <w:szCs w:val="20"/>
                <w:highlight w:val="none"/>
              </w:rPr>
              <w:t>技术职称</w:t>
            </w:r>
            <w:bookmarkEnd w:id="605"/>
          </w:p>
        </w:tc>
        <w:tc>
          <w:tcPr>
            <w:tcW w:w="918" w:type="pct"/>
            <w:gridSpan w:val="3"/>
            <w:tcBorders>
              <w:top w:val="single" w:color="auto" w:sz="4" w:space="0"/>
              <w:left w:val="single" w:color="auto" w:sz="4" w:space="0"/>
              <w:bottom w:val="single" w:color="auto" w:sz="4" w:space="0"/>
              <w:right w:val="single" w:color="auto" w:sz="4" w:space="0"/>
            </w:tcBorders>
            <w:vAlign w:val="center"/>
          </w:tcPr>
          <w:p w14:paraId="098F36EF">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682" w:type="pct"/>
            <w:tcBorders>
              <w:top w:val="single" w:color="auto" w:sz="4" w:space="0"/>
              <w:left w:val="single" w:color="auto" w:sz="4" w:space="0"/>
              <w:bottom w:val="single" w:color="auto" w:sz="4" w:space="0"/>
              <w:right w:val="single" w:color="auto" w:sz="4" w:space="0"/>
            </w:tcBorders>
            <w:vAlign w:val="center"/>
          </w:tcPr>
          <w:p w14:paraId="1DE054E7">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6" w:name="_Toc221952167"/>
            <w:r>
              <w:rPr>
                <w:rFonts w:hint="eastAsia" w:ascii="宋体" w:hAnsi="宋体" w:eastAsia="宋体" w:cs="宋体"/>
                <w:color w:val="auto"/>
                <w:szCs w:val="20"/>
                <w:highlight w:val="none"/>
              </w:rPr>
              <w:t>电话</w:t>
            </w:r>
            <w:bookmarkEnd w:id="606"/>
          </w:p>
        </w:tc>
        <w:tc>
          <w:tcPr>
            <w:tcW w:w="579" w:type="pct"/>
            <w:tcBorders>
              <w:top w:val="single" w:color="auto" w:sz="4" w:space="0"/>
              <w:left w:val="single" w:color="auto" w:sz="4" w:space="0"/>
              <w:bottom w:val="single" w:color="auto" w:sz="4" w:space="0"/>
              <w:right w:val="single" w:color="auto" w:sz="4" w:space="0"/>
            </w:tcBorders>
            <w:vAlign w:val="center"/>
          </w:tcPr>
          <w:p w14:paraId="215BFAB1">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3167C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007" w:type="pct"/>
            <w:tcBorders>
              <w:top w:val="single" w:color="auto" w:sz="4" w:space="0"/>
              <w:left w:val="single" w:color="auto" w:sz="4" w:space="0"/>
              <w:bottom w:val="single" w:color="auto" w:sz="4" w:space="0"/>
              <w:right w:val="single" w:color="auto" w:sz="4" w:space="0"/>
            </w:tcBorders>
            <w:vAlign w:val="center"/>
          </w:tcPr>
          <w:p w14:paraId="0724E3C9">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7" w:name="_Toc221952168"/>
            <w:r>
              <w:rPr>
                <w:rFonts w:hint="eastAsia" w:ascii="宋体" w:hAnsi="宋体" w:eastAsia="宋体" w:cs="宋体"/>
                <w:color w:val="auto"/>
                <w:szCs w:val="20"/>
                <w:highlight w:val="none"/>
              </w:rPr>
              <w:t>技术负责人</w:t>
            </w:r>
            <w:bookmarkEnd w:id="607"/>
          </w:p>
        </w:tc>
        <w:tc>
          <w:tcPr>
            <w:tcW w:w="524" w:type="pct"/>
            <w:tcBorders>
              <w:top w:val="single" w:color="auto" w:sz="4" w:space="0"/>
              <w:left w:val="single" w:color="auto" w:sz="4" w:space="0"/>
              <w:bottom w:val="single" w:color="auto" w:sz="4" w:space="0"/>
              <w:right w:val="single" w:color="auto" w:sz="4" w:space="0"/>
            </w:tcBorders>
            <w:vAlign w:val="center"/>
          </w:tcPr>
          <w:p w14:paraId="30B1081C">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8" w:name="_Toc221952169"/>
            <w:r>
              <w:rPr>
                <w:rFonts w:hint="eastAsia" w:ascii="宋体" w:hAnsi="宋体" w:eastAsia="宋体" w:cs="宋体"/>
                <w:color w:val="auto"/>
                <w:szCs w:val="20"/>
                <w:highlight w:val="none"/>
              </w:rPr>
              <w:t>姓名</w:t>
            </w:r>
            <w:bookmarkEnd w:id="608"/>
          </w:p>
        </w:tc>
        <w:tc>
          <w:tcPr>
            <w:tcW w:w="555" w:type="pct"/>
            <w:tcBorders>
              <w:top w:val="single" w:color="auto" w:sz="4" w:space="0"/>
              <w:left w:val="single" w:color="auto" w:sz="4" w:space="0"/>
              <w:bottom w:val="single" w:color="auto" w:sz="4" w:space="0"/>
              <w:right w:val="single" w:color="auto" w:sz="4" w:space="0"/>
            </w:tcBorders>
            <w:vAlign w:val="center"/>
          </w:tcPr>
          <w:p w14:paraId="4851B504">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735" w:type="pct"/>
            <w:gridSpan w:val="2"/>
            <w:tcBorders>
              <w:top w:val="single" w:color="auto" w:sz="4" w:space="0"/>
              <w:left w:val="single" w:color="auto" w:sz="4" w:space="0"/>
              <w:bottom w:val="single" w:color="auto" w:sz="4" w:space="0"/>
              <w:right w:val="single" w:color="auto" w:sz="4" w:space="0"/>
            </w:tcBorders>
            <w:vAlign w:val="center"/>
          </w:tcPr>
          <w:p w14:paraId="26D96023">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09" w:name="_Toc221952170"/>
            <w:r>
              <w:rPr>
                <w:rFonts w:hint="eastAsia" w:ascii="宋体" w:hAnsi="宋体" w:eastAsia="宋体" w:cs="宋体"/>
                <w:color w:val="auto"/>
                <w:szCs w:val="20"/>
                <w:highlight w:val="none"/>
              </w:rPr>
              <w:t>技术职称</w:t>
            </w:r>
            <w:bookmarkEnd w:id="609"/>
          </w:p>
        </w:tc>
        <w:tc>
          <w:tcPr>
            <w:tcW w:w="918" w:type="pct"/>
            <w:gridSpan w:val="3"/>
            <w:tcBorders>
              <w:top w:val="single" w:color="auto" w:sz="4" w:space="0"/>
              <w:left w:val="single" w:color="auto" w:sz="4" w:space="0"/>
              <w:bottom w:val="single" w:color="auto" w:sz="4" w:space="0"/>
              <w:right w:val="single" w:color="auto" w:sz="4" w:space="0"/>
            </w:tcBorders>
            <w:vAlign w:val="center"/>
          </w:tcPr>
          <w:p w14:paraId="11FE4FDF">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682" w:type="pct"/>
            <w:tcBorders>
              <w:top w:val="single" w:color="auto" w:sz="4" w:space="0"/>
              <w:left w:val="single" w:color="auto" w:sz="4" w:space="0"/>
              <w:bottom w:val="single" w:color="auto" w:sz="4" w:space="0"/>
              <w:right w:val="single" w:color="auto" w:sz="4" w:space="0"/>
            </w:tcBorders>
            <w:vAlign w:val="center"/>
          </w:tcPr>
          <w:p w14:paraId="59C70D3A">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0" w:name="_Toc221952171"/>
            <w:r>
              <w:rPr>
                <w:rFonts w:hint="eastAsia" w:ascii="宋体" w:hAnsi="宋体" w:eastAsia="宋体" w:cs="宋体"/>
                <w:color w:val="auto"/>
                <w:szCs w:val="20"/>
                <w:highlight w:val="none"/>
              </w:rPr>
              <w:t>电话</w:t>
            </w:r>
            <w:bookmarkEnd w:id="610"/>
          </w:p>
        </w:tc>
        <w:tc>
          <w:tcPr>
            <w:tcW w:w="579" w:type="pct"/>
            <w:tcBorders>
              <w:top w:val="single" w:color="auto" w:sz="4" w:space="0"/>
              <w:left w:val="single" w:color="auto" w:sz="4" w:space="0"/>
              <w:bottom w:val="single" w:color="auto" w:sz="4" w:space="0"/>
              <w:right w:val="single" w:color="auto" w:sz="4" w:space="0"/>
            </w:tcBorders>
            <w:vAlign w:val="center"/>
          </w:tcPr>
          <w:p w14:paraId="7184832A">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70C9F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007" w:type="pct"/>
            <w:tcBorders>
              <w:top w:val="single" w:color="auto" w:sz="4" w:space="0"/>
              <w:left w:val="single" w:color="auto" w:sz="4" w:space="0"/>
              <w:bottom w:val="single" w:color="auto" w:sz="4" w:space="0"/>
              <w:right w:val="single" w:color="auto" w:sz="4" w:space="0"/>
            </w:tcBorders>
            <w:vAlign w:val="center"/>
          </w:tcPr>
          <w:p w14:paraId="4F25EF9B">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1" w:name="_Toc221952172"/>
            <w:r>
              <w:rPr>
                <w:rFonts w:hint="eastAsia" w:ascii="宋体" w:hAnsi="宋体" w:eastAsia="宋体" w:cs="宋体"/>
                <w:color w:val="auto"/>
                <w:szCs w:val="20"/>
                <w:highlight w:val="none"/>
              </w:rPr>
              <w:t>成立时间</w:t>
            </w:r>
            <w:bookmarkEnd w:id="611"/>
          </w:p>
        </w:tc>
        <w:tc>
          <w:tcPr>
            <w:tcW w:w="1079" w:type="pct"/>
            <w:gridSpan w:val="2"/>
            <w:tcBorders>
              <w:top w:val="single" w:color="auto" w:sz="4" w:space="0"/>
              <w:left w:val="single" w:color="auto" w:sz="4" w:space="0"/>
              <w:bottom w:val="single" w:color="auto" w:sz="4" w:space="0"/>
              <w:right w:val="single" w:color="auto" w:sz="4" w:space="0"/>
            </w:tcBorders>
            <w:vAlign w:val="center"/>
          </w:tcPr>
          <w:p w14:paraId="170EA3E3">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1653" w:type="pct"/>
            <w:gridSpan w:val="5"/>
            <w:tcBorders>
              <w:top w:val="single" w:color="auto" w:sz="4" w:space="0"/>
              <w:left w:val="single" w:color="auto" w:sz="4" w:space="0"/>
              <w:bottom w:val="single" w:color="auto" w:sz="4" w:space="0"/>
              <w:right w:val="single" w:color="auto" w:sz="4" w:space="0"/>
            </w:tcBorders>
            <w:vAlign w:val="center"/>
          </w:tcPr>
          <w:p w14:paraId="6906B646">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2" w:name="_Toc221952173"/>
            <w:r>
              <w:rPr>
                <w:rFonts w:hint="eastAsia" w:ascii="宋体" w:hAnsi="宋体" w:eastAsia="宋体" w:cs="宋体"/>
                <w:color w:val="auto"/>
                <w:szCs w:val="20"/>
                <w:highlight w:val="none"/>
              </w:rPr>
              <w:t>员工总人数：</w:t>
            </w:r>
            <w:bookmarkEnd w:id="612"/>
          </w:p>
        </w:tc>
        <w:tc>
          <w:tcPr>
            <w:tcW w:w="1261" w:type="pct"/>
            <w:gridSpan w:val="2"/>
            <w:tcBorders>
              <w:top w:val="single" w:color="auto" w:sz="4" w:space="0"/>
              <w:left w:val="single" w:color="auto" w:sz="4" w:space="0"/>
              <w:bottom w:val="single" w:color="auto" w:sz="4" w:space="0"/>
              <w:right w:val="single" w:color="auto" w:sz="4" w:space="0"/>
            </w:tcBorders>
            <w:vAlign w:val="center"/>
          </w:tcPr>
          <w:p w14:paraId="2AAE7826">
            <w:pPr>
              <w:keepNext w:val="0"/>
              <w:keepLines w:val="0"/>
              <w:suppressLineNumbers w:val="0"/>
              <w:topLinePunct/>
              <w:spacing w:before="0" w:beforeAutospacing="0" w:after="0" w:afterAutospacing="0" w:line="400" w:lineRule="exact"/>
              <w:ind w:left="0" w:right="0" w:firstLine="1050" w:firstLineChars="500"/>
              <w:rPr>
                <w:rFonts w:hint="eastAsia" w:ascii="宋体" w:hAnsi="宋体" w:eastAsia="宋体" w:cs="宋体"/>
                <w:color w:val="auto"/>
                <w:szCs w:val="20"/>
                <w:highlight w:val="none"/>
              </w:rPr>
            </w:pPr>
          </w:p>
        </w:tc>
      </w:tr>
      <w:tr w14:paraId="2E1B6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007" w:type="pct"/>
            <w:tcBorders>
              <w:top w:val="single" w:color="auto" w:sz="4" w:space="0"/>
              <w:left w:val="single" w:color="auto" w:sz="4" w:space="0"/>
              <w:bottom w:val="single" w:color="auto" w:sz="4" w:space="0"/>
              <w:right w:val="single" w:color="auto" w:sz="4" w:space="0"/>
            </w:tcBorders>
            <w:vAlign w:val="center"/>
          </w:tcPr>
          <w:p w14:paraId="57C8B35E">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3" w:name="_Toc221952174"/>
            <w:r>
              <w:rPr>
                <w:rFonts w:hint="eastAsia" w:ascii="宋体" w:hAnsi="宋体" w:eastAsia="宋体" w:cs="宋体"/>
                <w:color w:val="auto"/>
                <w:szCs w:val="20"/>
                <w:highlight w:val="none"/>
              </w:rPr>
              <w:t>企业资质等级</w:t>
            </w:r>
            <w:bookmarkEnd w:id="613"/>
          </w:p>
        </w:tc>
        <w:tc>
          <w:tcPr>
            <w:tcW w:w="1079" w:type="pct"/>
            <w:gridSpan w:val="2"/>
            <w:tcBorders>
              <w:top w:val="single" w:color="auto" w:sz="4" w:space="0"/>
              <w:left w:val="single" w:color="auto" w:sz="4" w:space="0"/>
              <w:bottom w:val="single" w:color="auto" w:sz="4" w:space="0"/>
              <w:right w:val="single" w:color="auto" w:sz="4" w:space="0"/>
            </w:tcBorders>
            <w:vAlign w:val="center"/>
          </w:tcPr>
          <w:p w14:paraId="09E98A3B">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490" w:type="pct"/>
            <w:vMerge w:val="restart"/>
            <w:tcBorders>
              <w:top w:val="single" w:color="auto" w:sz="4" w:space="0"/>
              <w:left w:val="single" w:color="auto" w:sz="4" w:space="0"/>
              <w:bottom w:val="single" w:color="auto" w:sz="4" w:space="0"/>
              <w:right w:val="single" w:color="auto" w:sz="4" w:space="0"/>
            </w:tcBorders>
            <w:vAlign w:val="center"/>
          </w:tcPr>
          <w:p w14:paraId="0F4554D6">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4" w:name="_Toc221952175"/>
            <w:r>
              <w:rPr>
                <w:rFonts w:hint="eastAsia" w:ascii="宋体" w:hAnsi="宋体" w:eastAsia="宋体" w:cs="宋体"/>
                <w:color w:val="auto"/>
                <w:szCs w:val="20"/>
                <w:highlight w:val="none"/>
              </w:rPr>
              <w:t>其中</w:t>
            </w:r>
            <w:bookmarkEnd w:id="614"/>
          </w:p>
        </w:tc>
        <w:tc>
          <w:tcPr>
            <w:tcW w:w="1163" w:type="pct"/>
            <w:gridSpan w:val="4"/>
            <w:tcBorders>
              <w:top w:val="single" w:color="auto" w:sz="4" w:space="0"/>
              <w:left w:val="single" w:color="auto" w:sz="4" w:space="0"/>
              <w:bottom w:val="single" w:color="auto" w:sz="4" w:space="0"/>
              <w:right w:val="single" w:color="auto" w:sz="4" w:space="0"/>
            </w:tcBorders>
            <w:vAlign w:val="center"/>
          </w:tcPr>
          <w:p w14:paraId="5FE52EB4">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项目负责人</w:t>
            </w:r>
          </w:p>
        </w:tc>
        <w:tc>
          <w:tcPr>
            <w:tcW w:w="1261" w:type="pct"/>
            <w:gridSpan w:val="2"/>
            <w:tcBorders>
              <w:top w:val="single" w:color="auto" w:sz="4" w:space="0"/>
              <w:left w:val="single" w:color="auto" w:sz="4" w:space="0"/>
              <w:bottom w:val="single" w:color="auto" w:sz="4" w:space="0"/>
              <w:right w:val="single" w:color="auto" w:sz="4" w:space="0"/>
            </w:tcBorders>
            <w:vAlign w:val="center"/>
          </w:tcPr>
          <w:p w14:paraId="5E9BCC38">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26235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007" w:type="pct"/>
            <w:tcBorders>
              <w:top w:val="single" w:color="auto" w:sz="4" w:space="0"/>
              <w:left w:val="single" w:color="auto" w:sz="4" w:space="0"/>
              <w:bottom w:val="single" w:color="auto" w:sz="4" w:space="0"/>
              <w:right w:val="single" w:color="auto" w:sz="4" w:space="0"/>
            </w:tcBorders>
            <w:vAlign w:val="center"/>
          </w:tcPr>
          <w:p w14:paraId="1A01B1BA">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5" w:name="_Toc221952177"/>
            <w:r>
              <w:rPr>
                <w:rFonts w:hint="eastAsia" w:ascii="宋体" w:hAnsi="宋体" w:eastAsia="宋体" w:cs="宋体"/>
                <w:color w:val="auto"/>
                <w:szCs w:val="20"/>
                <w:highlight w:val="none"/>
              </w:rPr>
              <w:t>营业执照号</w:t>
            </w:r>
            <w:bookmarkEnd w:id="615"/>
          </w:p>
        </w:tc>
        <w:tc>
          <w:tcPr>
            <w:tcW w:w="1079" w:type="pct"/>
            <w:gridSpan w:val="2"/>
            <w:tcBorders>
              <w:top w:val="single" w:color="auto" w:sz="4" w:space="0"/>
              <w:left w:val="single" w:color="auto" w:sz="4" w:space="0"/>
              <w:bottom w:val="single" w:color="auto" w:sz="4" w:space="0"/>
              <w:right w:val="single" w:color="auto" w:sz="4" w:space="0"/>
            </w:tcBorders>
            <w:vAlign w:val="center"/>
          </w:tcPr>
          <w:p w14:paraId="3112ED0F">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490" w:type="pct"/>
            <w:vMerge w:val="continue"/>
            <w:tcBorders>
              <w:top w:val="single" w:color="auto" w:sz="4" w:space="0"/>
              <w:left w:val="single" w:color="auto" w:sz="4" w:space="0"/>
              <w:bottom w:val="single" w:color="auto" w:sz="4" w:space="0"/>
              <w:right w:val="single" w:color="auto" w:sz="4" w:space="0"/>
            </w:tcBorders>
            <w:vAlign w:val="center"/>
          </w:tcPr>
          <w:p w14:paraId="5D4AC7D8">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1163" w:type="pct"/>
            <w:gridSpan w:val="4"/>
            <w:tcBorders>
              <w:top w:val="single" w:color="auto" w:sz="4" w:space="0"/>
              <w:left w:val="single" w:color="auto" w:sz="4" w:space="0"/>
              <w:bottom w:val="single" w:color="auto" w:sz="4" w:space="0"/>
              <w:right w:val="single" w:color="auto" w:sz="4" w:space="0"/>
            </w:tcBorders>
            <w:vAlign w:val="center"/>
          </w:tcPr>
          <w:p w14:paraId="78C5E3E3">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6" w:name="_Toc221952178"/>
            <w:r>
              <w:rPr>
                <w:rFonts w:hint="eastAsia" w:ascii="宋体" w:hAnsi="宋体" w:eastAsia="宋体" w:cs="宋体"/>
                <w:color w:val="auto"/>
                <w:szCs w:val="20"/>
                <w:highlight w:val="none"/>
              </w:rPr>
              <w:t>高级职称人员</w:t>
            </w:r>
            <w:bookmarkEnd w:id="616"/>
          </w:p>
        </w:tc>
        <w:tc>
          <w:tcPr>
            <w:tcW w:w="1261" w:type="pct"/>
            <w:gridSpan w:val="2"/>
            <w:tcBorders>
              <w:top w:val="single" w:color="auto" w:sz="4" w:space="0"/>
              <w:left w:val="single" w:color="auto" w:sz="4" w:space="0"/>
              <w:bottom w:val="single" w:color="auto" w:sz="4" w:space="0"/>
              <w:right w:val="single" w:color="auto" w:sz="4" w:space="0"/>
            </w:tcBorders>
            <w:vAlign w:val="center"/>
          </w:tcPr>
          <w:p w14:paraId="04CAB5C9">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1CB4AC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007" w:type="pct"/>
            <w:tcBorders>
              <w:top w:val="single" w:color="auto" w:sz="4" w:space="0"/>
              <w:left w:val="single" w:color="auto" w:sz="4" w:space="0"/>
              <w:bottom w:val="single" w:color="auto" w:sz="4" w:space="0"/>
              <w:right w:val="single" w:color="auto" w:sz="4" w:space="0"/>
            </w:tcBorders>
            <w:vAlign w:val="center"/>
          </w:tcPr>
          <w:p w14:paraId="4301DBBB">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7" w:name="_Toc221952179"/>
            <w:r>
              <w:rPr>
                <w:rFonts w:hint="eastAsia" w:ascii="宋体" w:hAnsi="宋体" w:eastAsia="宋体" w:cs="宋体"/>
                <w:color w:val="auto"/>
                <w:szCs w:val="20"/>
                <w:highlight w:val="none"/>
              </w:rPr>
              <w:t>注册资金</w:t>
            </w:r>
            <w:bookmarkEnd w:id="617"/>
          </w:p>
        </w:tc>
        <w:tc>
          <w:tcPr>
            <w:tcW w:w="1079" w:type="pct"/>
            <w:gridSpan w:val="2"/>
            <w:tcBorders>
              <w:top w:val="single" w:color="auto" w:sz="4" w:space="0"/>
              <w:left w:val="single" w:color="auto" w:sz="4" w:space="0"/>
              <w:bottom w:val="single" w:color="auto" w:sz="4" w:space="0"/>
              <w:right w:val="single" w:color="auto" w:sz="4" w:space="0"/>
            </w:tcBorders>
            <w:vAlign w:val="center"/>
          </w:tcPr>
          <w:p w14:paraId="31104D33">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490" w:type="pct"/>
            <w:vMerge w:val="continue"/>
            <w:tcBorders>
              <w:top w:val="single" w:color="auto" w:sz="4" w:space="0"/>
              <w:left w:val="single" w:color="auto" w:sz="4" w:space="0"/>
              <w:bottom w:val="single" w:color="auto" w:sz="4" w:space="0"/>
              <w:right w:val="single" w:color="auto" w:sz="4" w:space="0"/>
            </w:tcBorders>
            <w:vAlign w:val="center"/>
          </w:tcPr>
          <w:p w14:paraId="7937013D">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1163" w:type="pct"/>
            <w:gridSpan w:val="4"/>
            <w:tcBorders>
              <w:top w:val="single" w:color="auto" w:sz="4" w:space="0"/>
              <w:left w:val="single" w:color="auto" w:sz="4" w:space="0"/>
              <w:bottom w:val="single" w:color="auto" w:sz="4" w:space="0"/>
              <w:right w:val="single" w:color="auto" w:sz="4" w:space="0"/>
            </w:tcBorders>
            <w:vAlign w:val="center"/>
          </w:tcPr>
          <w:p w14:paraId="2B961A43">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8" w:name="_Toc221952180"/>
            <w:r>
              <w:rPr>
                <w:rFonts w:hint="eastAsia" w:ascii="宋体" w:hAnsi="宋体" w:eastAsia="宋体" w:cs="宋体"/>
                <w:color w:val="auto"/>
                <w:szCs w:val="20"/>
                <w:highlight w:val="none"/>
              </w:rPr>
              <w:t>中级职称人员</w:t>
            </w:r>
            <w:bookmarkEnd w:id="618"/>
          </w:p>
        </w:tc>
        <w:tc>
          <w:tcPr>
            <w:tcW w:w="1261" w:type="pct"/>
            <w:gridSpan w:val="2"/>
            <w:tcBorders>
              <w:top w:val="single" w:color="auto" w:sz="4" w:space="0"/>
              <w:left w:val="single" w:color="auto" w:sz="4" w:space="0"/>
              <w:bottom w:val="single" w:color="auto" w:sz="4" w:space="0"/>
              <w:right w:val="single" w:color="auto" w:sz="4" w:space="0"/>
            </w:tcBorders>
            <w:vAlign w:val="center"/>
          </w:tcPr>
          <w:p w14:paraId="382BAE1C">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5950C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007" w:type="pct"/>
            <w:tcBorders>
              <w:top w:val="single" w:color="auto" w:sz="4" w:space="0"/>
              <w:left w:val="single" w:color="auto" w:sz="4" w:space="0"/>
              <w:bottom w:val="single" w:color="auto" w:sz="4" w:space="0"/>
              <w:right w:val="single" w:color="auto" w:sz="4" w:space="0"/>
            </w:tcBorders>
            <w:vAlign w:val="center"/>
          </w:tcPr>
          <w:p w14:paraId="5E9308D4">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19" w:name="_Toc221952181"/>
            <w:r>
              <w:rPr>
                <w:rFonts w:hint="eastAsia" w:ascii="宋体" w:hAnsi="宋体" w:eastAsia="宋体" w:cs="宋体"/>
                <w:color w:val="auto"/>
                <w:szCs w:val="20"/>
                <w:highlight w:val="none"/>
              </w:rPr>
              <w:t>开户银行</w:t>
            </w:r>
            <w:bookmarkEnd w:id="619"/>
          </w:p>
        </w:tc>
        <w:tc>
          <w:tcPr>
            <w:tcW w:w="1079" w:type="pct"/>
            <w:gridSpan w:val="2"/>
            <w:tcBorders>
              <w:top w:val="single" w:color="auto" w:sz="4" w:space="0"/>
              <w:left w:val="single" w:color="auto" w:sz="4" w:space="0"/>
              <w:bottom w:val="single" w:color="auto" w:sz="4" w:space="0"/>
              <w:right w:val="single" w:color="auto" w:sz="4" w:space="0"/>
            </w:tcBorders>
            <w:vAlign w:val="center"/>
          </w:tcPr>
          <w:p w14:paraId="5C4EEFA3">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490" w:type="pct"/>
            <w:vMerge w:val="continue"/>
            <w:tcBorders>
              <w:top w:val="single" w:color="auto" w:sz="4" w:space="0"/>
              <w:left w:val="single" w:color="auto" w:sz="4" w:space="0"/>
              <w:bottom w:val="single" w:color="auto" w:sz="4" w:space="0"/>
              <w:right w:val="single" w:color="auto" w:sz="4" w:space="0"/>
            </w:tcBorders>
            <w:vAlign w:val="center"/>
          </w:tcPr>
          <w:p w14:paraId="49BD8576">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1163" w:type="pct"/>
            <w:gridSpan w:val="4"/>
            <w:tcBorders>
              <w:top w:val="single" w:color="auto" w:sz="4" w:space="0"/>
              <w:left w:val="single" w:color="auto" w:sz="4" w:space="0"/>
              <w:bottom w:val="single" w:color="auto" w:sz="4" w:space="0"/>
              <w:right w:val="single" w:color="auto" w:sz="4" w:space="0"/>
            </w:tcBorders>
            <w:vAlign w:val="center"/>
          </w:tcPr>
          <w:p w14:paraId="73D272D7">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20" w:name="_Toc221952182"/>
            <w:r>
              <w:rPr>
                <w:rFonts w:hint="eastAsia" w:ascii="宋体" w:hAnsi="宋体" w:eastAsia="宋体" w:cs="宋体"/>
                <w:color w:val="auto"/>
                <w:szCs w:val="20"/>
                <w:highlight w:val="none"/>
              </w:rPr>
              <w:t>初级职称人员</w:t>
            </w:r>
            <w:bookmarkEnd w:id="620"/>
          </w:p>
        </w:tc>
        <w:tc>
          <w:tcPr>
            <w:tcW w:w="1261" w:type="pct"/>
            <w:gridSpan w:val="2"/>
            <w:tcBorders>
              <w:top w:val="single" w:color="auto" w:sz="4" w:space="0"/>
              <w:left w:val="single" w:color="auto" w:sz="4" w:space="0"/>
              <w:bottom w:val="single" w:color="auto" w:sz="4" w:space="0"/>
              <w:right w:val="single" w:color="auto" w:sz="4" w:space="0"/>
            </w:tcBorders>
            <w:vAlign w:val="center"/>
          </w:tcPr>
          <w:p w14:paraId="130E5980">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7DE91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007" w:type="pct"/>
            <w:tcBorders>
              <w:top w:val="single" w:color="auto" w:sz="4" w:space="0"/>
              <w:left w:val="single" w:color="auto" w:sz="4" w:space="0"/>
              <w:bottom w:val="single" w:color="auto" w:sz="4" w:space="0"/>
              <w:right w:val="single" w:color="auto" w:sz="4" w:space="0"/>
            </w:tcBorders>
            <w:vAlign w:val="center"/>
          </w:tcPr>
          <w:p w14:paraId="490DABB7">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21" w:name="_Toc221952183"/>
            <w:r>
              <w:rPr>
                <w:rFonts w:hint="eastAsia" w:ascii="宋体" w:hAnsi="宋体" w:eastAsia="宋体" w:cs="宋体"/>
                <w:color w:val="auto"/>
                <w:szCs w:val="20"/>
                <w:highlight w:val="none"/>
              </w:rPr>
              <w:t>账号</w:t>
            </w:r>
            <w:bookmarkEnd w:id="621"/>
          </w:p>
        </w:tc>
        <w:tc>
          <w:tcPr>
            <w:tcW w:w="1079" w:type="pct"/>
            <w:gridSpan w:val="2"/>
            <w:tcBorders>
              <w:top w:val="single" w:color="auto" w:sz="4" w:space="0"/>
              <w:left w:val="single" w:color="auto" w:sz="4" w:space="0"/>
              <w:bottom w:val="single" w:color="auto" w:sz="4" w:space="0"/>
              <w:right w:val="single" w:color="auto" w:sz="4" w:space="0"/>
            </w:tcBorders>
            <w:vAlign w:val="center"/>
          </w:tcPr>
          <w:p w14:paraId="3B12F8DB">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490" w:type="pct"/>
            <w:vMerge w:val="continue"/>
            <w:tcBorders>
              <w:top w:val="single" w:color="auto" w:sz="4" w:space="0"/>
              <w:left w:val="single" w:color="auto" w:sz="4" w:space="0"/>
              <w:bottom w:val="single" w:color="auto" w:sz="4" w:space="0"/>
              <w:right w:val="single" w:color="auto" w:sz="4" w:space="0"/>
            </w:tcBorders>
            <w:vAlign w:val="center"/>
          </w:tcPr>
          <w:p w14:paraId="2B69D257">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c>
          <w:tcPr>
            <w:tcW w:w="1163" w:type="pct"/>
            <w:gridSpan w:val="4"/>
            <w:tcBorders>
              <w:top w:val="single" w:color="auto" w:sz="4" w:space="0"/>
              <w:left w:val="single" w:color="auto" w:sz="4" w:space="0"/>
              <w:bottom w:val="single" w:color="auto" w:sz="4" w:space="0"/>
              <w:right w:val="single" w:color="auto" w:sz="4" w:space="0"/>
            </w:tcBorders>
            <w:vAlign w:val="center"/>
          </w:tcPr>
          <w:p w14:paraId="7950387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22" w:name="_Toc221952184"/>
            <w:r>
              <w:rPr>
                <w:rFonts w:hint="eastAsia" w:ascii="宋体" w:hAnsi="宋体" w:eastAsia="宋体" w:cs="宋体"/>
                <w:color w:val="auto"/>
                <w:szCs w:val="20"/>
                <w:highlight w:val="none"/>
              </w:rPr>
              <w:t>技  工</w:t>
            </w:r>
            <w:bookmarkEnd w:id="622"/>
          </w:p>
        </w:tc>
        <w:tc>
          <w:tcPr>
            <w:tcW w:w="1261" w:type="pct"/>
            <w:gridSpan w:val="2"/>
            <w:tcBorders>
              <w:top w:val="single" w:color="auto" w:sz="4" w:space="0"/>
              <w:left w:val="single" w:color="auto" w:sz="4" w:space="0"/>
              <w:bottom w:val="single" w:color="auto" w:sz="4" w:space="0"/>
              <w:right w:val="single" w:color="auto" w:sz="4" w:space="0"/>
            </w:tcBorders>
            <w:vAlign w:val="center"/>
          </w:tcPr>
          <w:p w14:paraId="5498D0E2">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29C57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007" w:type="pct"/>
            <w:tcBorders>
              <w:top w:val="single" w:color="auto" w:sz="4" w:space="0"/>
              <w:left w:val="single" w:color="auto" w:sz="4" w:space="0"/>
              <w:right w:val="single" w:color="auto" w:sz="4" w:space="0"/>
            </w:tcBorders>
            <w:vAlign w:val="center"/>
          </w:tcPr>
          <w:p w14:paraId="56793560">
            <w:pPr>
              <w:keepNext w:val="0"/>
              <w:keepLines w:val="0"/>
              <w:suppressLineNumbers w:val="0"/>
              <w:topLinePunct/>
              <w:spacing w:before="0" w:beforeAutospacing="0" w:after="0" w:afterAutospacing="0" w:line="400" w:lineRule="exact"/>
              <w:ind w:left="0" w:right="0" w:firstLine="210" w:firstLineChars="100"/>
              <w:jc w:val="center"/>
              <w:rPr>
                <w:rFonts w:hint="eastAsia" w:ascii="宋体" w:hAnsi="宋体" w:eastAsia="宋体" w:cs="宋体"/>
                <w:color w:val="auto"/>
                <w:szCs w:val="20"/>
                <w:highlight w:val="none"/>
              </w:rPr>
            </w:pPr>
            <w:bookmarkStart w:id="623" w:name="_Toc221952185"/>
            <w:r>
              <w:rPr>
                <w:rFonts w:hint="eastAsia" w:ascii="宋体" w:hAnsi="宋体" w:eastAsia="宋体" w:cs="宋体"/>
                <w:color w:val="auto"/>
                <w:szCs w:val="20"/>
                <w:highlight w:val="none"/>
              </w:rPr>
              <w:t>经营范围</w:t>
            </w:r>
            <w:bookmarkEnd w:id="623"/>
          </w:p>
        </w:tc>
        <w:tc>
          <w:tcPr>
            <w:tcW w:w="3993" w:type="pct"/>
            <w:gridSpan w:val="9"/>
            <w:tcBorders>
              <w:top w:val="single" w:color="auto" w:sz="4" w:space="0"/>
              <w:left w:val="single" w:color="auto" w:sz="4" w:space="0"/>
              <w:right w:val="single" w:color="auto" w:sz="4" w:space="0"/>
            </w:tcBorders>
            <w:vAlign w:val="center"/>
          </w:tcPr>
          <w:p w14:paraId="2089AC76">
            <w:pPr>
              <w:keepNext w:val="0"/>
              <w:keepLines w:val="0"/>
              <w:suppressLineNumbers w:val="0"/>
              <w:topLinePunct/>
              <w:spacing w:before="0" w:beforeAutospacing="0" w:after="0" w:afterAutospacing="0" w:line="400" w:lineRule="exact"/>
              <w:ind w:left="0" w:right="0"/>
              <w:rPr>
                <w:rFonts w:hint="eastAsia" w:ascii="宋体" w:hAnsi="宋体" w:eastAsia="宋体" w:cs="宋体"/>
                <w:color w:val="auto"/>
                <w:szCs w:val="20"/>
                <w:highlight w:val="none"/>
              </w:rPr>
            </w:pPr>
          </w:p>
          <w:p w14:paraId="5075D6CC">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p w14:paraId="7477BB3B">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p w14:paraId="27A26841">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p w14:paraId="159C1750">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p w14:paraId="0497DE69">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p w14:paraId="01127A2C">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r w14:paraId="53305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007" w:type="pct"/>
            <w:tcBorders>
              <w:top w:val="single" w:color="auto" w:sz="4" w:space="0"/>
              <w:left w:val="single" w:color="auto" w:sz="4" w:space="0"/>
              <w:bottom w:val="single" w:color="auto" w:sz="4" w:space="0"/>
              <w:right w:val="single" w:color="auto" w:sz="4" w:space="0"/>
            </w:tcBorders>
            <w:vAlign w:val="center"/>
          </w:tcPr>
          <w:p w14:paraId="150AF72E">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bookmarkStart w:id="624" w:name="_Toc221952186"/>
            <w:r>
              <w:rPr>
                <w:rFonts w:hint="eastAsia" w:ascii="宋体" w:hAnsi="宋体" w:eastAsia="宋体" w:cs="宋体"/>
                <w:color w:val="auto"/>
                <w:szCs w:val="20"/>
                <w:highlight w:val="none"/>
              </w:rPr>
              <w:t>备注</w:t>
            </w:r>
            <w:bookmarkEnd w:id="624"/>
          </w:p>
        </w:tc>
        <w:tc>
          <w:tcPr>
            <w:tcW w:w="3993" w:type="pct"/>
            <w:gridSpan w:val="9"/>
            <w:tcBorders>
              <w:top w:val="single" w:color="auto" w:sz="4" w:space="0"/>
              <w:left w:val="single" w:color="auto" w:sz="4" w:space="0"/>
              <w:bottom w:val="single" w:color="auto" w:sz="4" w:space="0"/>
              <w:right w:val="single" w:color="auto" w:sz="4" w:space="0"/>
            </w:tcBorders>
            <w:vAlign w:val="center"/>
          </w:tcPr>
          <w:p w14:paraId="1111537E">
            <w:pPr>
              <w:keepNext w:val="0"/>
              <w:keepLines w:val="0"/>
              <w:suppressLineNumbers w:val="0"/>
              <w:topLinePunct/>
              <w:spacing w:before="0" w:beforeAutospacing="0" w:after="0" w:afterAutospacing="0" w:line="400" w:lineRule="exact"/>
              <w:ind w:left="0" w:right="0"/>
              <w:jc w:val="center"/>
              <w:rPr>
                <w:rFonts w:hint="eastAsia" w:ascii="宋体" w:hAnsi="宋体" w:eastAsia="宋体" w:cs="宋体"/>
                <w:color w:val="auto"/>
                <w:szCs w:val="20"/>
                <w:highlight w:val="none"/>
              </w:rPr>
            </w:pPr>
          </w:p>
        </w:tc>
      </w:tr>
    </w:tbl>
    <w:p w14:paraId="500B3C58">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注：相关材料扫描件在“十、投标人须知前附表规定的其他材料”中提供。</w:t>
      </w:r>
      <w:r>
        <w:rPr>
          <w:rFonts w:hint="eastAsia" w:ascii="宋体" w:hAnsi="宋体" w:eastAsia="宋体" w:cs="宋体"/>
          <w:color w:val="auto"/>
          <w:highlight w:val="none"/>
        </w:rPr>
        <w:br w:type="page"/>
      </w:r>
      <w:bookmarkStart w:id="625" w:name="_Toc222032739"/>
      <w:bookmarkStart w:id="626" w:name="_Toc229305430"/>
      <w:bookmarkStart w:id="627" w:name="_Toc221952187"/>
      <w:bookmarkStart w:id="628" w:name="_Toc222029570"/>
      <w:bookmarkStart w:id="629" w:name="_Toc259524425"/>
      <w:bookmarkStart w:id="630" w:name="_Toc179715760"/>
      <w:bookmarkStart w:id="631" w:name="_Toc152047267"/>
      <w:bookmarkStart w:id="632" w:name="_Toc222031072"/>
      <w:bookmarkStart w:id="633" w:name="_Toc222033921"/>
    </w:p>
    <w:p w14:paraId="2CE25DBD">
      <w:pPr>
        <w:spacing w:line="400" w:lineRule="exact"/>
        <w:jc w:val="left"/>
        <w:outlineLvl w:val="3"/>
        <w:rPr>
          <w:rFonts w:hint="eastAsia" w:ascii="宋体" w:hAnsi="宋体" w:eastAsia="宋体" w:cs="宋体"/>
          <w:b/>
          <w:color w:val="auto"/>
          <w:sz w:val="24"/>
          <w:szCs w:val="31"/>
          <w:highlight w:val="none"/>
        </w:rPr>
      </w:pPr>
      <w:bookmarkStart w:id="634" w:name="_Toc332641444"/>
      <w:bookmarkStart w:id="635" w:name="_Toc144974877"/>
      <w:bookmarkStart w:id="636" w:name="_Toc152042598"/>
      <w:bookmarkStart w:id="637" w:name="_Toc152045809"/>
      <w:bookmarkStart w:id="638" w:name="_Toc247514301"/>
      <w:bookmarkStart w:id="639" w:name="_Toc247527849"/>
      <w:bookmarkStart w:id="640" w:name="_Toc265953295"/>
      <w:r>
        <w:rPr>
          <w:rFonts w:hint="eastAsia" w:ascii="宋体" w:hAnsi="宋体" w:eastAsia="宋体" w:cs="宋体"/>
          <w:b/>
          <w:color w:val="auto"/>
          <w:sz w:val="24"/>
          <w:szCs w:val="31"/>
          <w:highlight w:val="none"/>
        </w:rPr>
        <w:t>（二）拟投入</w:t>
      </w:r>
      <w:bookmarkEnd w:id="634"/>
      <w:bookmarkEnd w:id="635"/>
      <w:bookmarkEnd w:id="636"/>
      <w:bookmarkEnd w:id="637"/>
      <w:bookmarkEnd w:id="638"/>
      <w:bookmarkEnd w:id="639"/>
      <w:bookmarkEnd w:id="640"/>
      <w:r>
        <w:rPr>
          <w:rFonts w:hint="eastAsia" w:ascii="宋体" w:hAnsi="宋体" w:eastAsia="宋体" w:cs="宋体"/>
          <w:b/>
          <w:color w:val="auto"/>
          <w:sz w:val="24"/>
          <w:szCs w:val="31"/>
          <w:highlight w:val="none"/>
        </w:rPr>
        <w:t>项目负责人</w:t>
      </w:r>
    </w:p>
    <w:p w14:paraId="630F9339">
      <w:pPr>
        <w:spacing w:before="260" w:after="260" w:line="415"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项目负责人简历表</w:t>
      </w:r>
    </w:p>
    <w:tbl>
      <w:tblPr>
        <w:tblStyle w:val="40"/>
        <w:tblpPr w:leftFromText="180" w:rightFromText="180" w:vertAnchor="text" w:horzAnchor="margin" w:tblpY="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56"/>
        <w:gridCol w:w="723"/>
        <w:gridCol w:w="928"/>
        <w:gridCol w:w="1066"/>
        <w:gridCol w:w="706"/>
        <w:gridCol w:w="1262"/>
        <w:gridCol w:w="164"/>
        <w:gridCol w:w="2134"/>
      </w:tblGrid>
      <w:tr w14:paraId="4950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460D334F">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633" w:type="pct"/>
            <w:gridSpan w:val="2"/>
            <w:vAlign w:val="center"/>
          </w:tcPr>
          <w:p w14:paraId="45868E61">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p>
        </w:tc>
        <w:tc>
          <w:tcPr>
            <w:tcW w:w="544" w:type="pct"/>
            <w:vAlign w:val="center"/>
          </w:tcPr>
          <w:p w14:paraId="099D42B5">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625" w:type="pct"/>
            <w:vAlign w:val="center"/>
          </w:tcPr>
          <w:p w14:paraId="1964A91D">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p>
        </w:tc>
        <w:tc>
          <w:tcPr>
            <w:tcW w:w="1250" w:type="pct"/>
            <w:gridSpan w:val="3"/>
            <w:vAlign w:val="center"/>
          </w:tcPr>
          <w:p w14:paraId="658ACF58">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252" w:type="pct"/>
            <w:vAlign w:val="center"/>
          </w:tcPr>
          <w:p w14:paraId="206DC47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4477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4A1BC81F">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633" w:type="pct"/>
            <w:gridSpan w:val="2"/>
            <w:vAlign w:val="center"/>
          </w:tcPr>
          <w:p w14:paraId="22A58042">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p>
        </w:tc>
        <w:tc>
          <w:tcPr>
            <w:tcW w:w="544" w:type="pct"/>
            <w:vAlign w:val="center"/>
          </w:tcPr>
          <w:p w14:paraId="6BD973A6">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625" w:type="pct"/>
            <w:vAlign w:val="center"/>
          </w:tcPr>
          <w:p w14:paraId="7E9DBB56">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p>
        </w:tc>
        <w:tc>
          <w:tcPr>
            <w:tcW w:w="1250" w:type="pct"/>
            <w:gridSpan w:val="3"/>
            <w:vAlign w:val="center"/>
          </w:tcPr>
          <w:p w14:paraId="10A66F4B">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1252" w:type="pct"/>
            <w:vAlign w:val="center"/>
          </w:tcPr>
          <w:p w14:paraId="51568B6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1C07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1FB60415">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4303" w:type="pct"/>
            <w:gridSpan w:val="8"/>
          </w:tcPr>
          <w:p w14:paraId="687F2524">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6282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4674F4EA">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3D8D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 w:type="pct"/>
            <w:gridSpan w:val="2"/>
            <w:vAlign w:val="center"/>
          </w:tcPr>
          <w:p w14:paraId="4B02AFA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2007" w:type="pct"/>
            <w:gridSpan w:val="4"/>
            <w:vAlign w:val="center"/>
          </w:tcPr>
          <w:p w14:paraId="1328DFD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740" w:type="pct"/>
            <w:vAlign w:val="center"/>
          </w:tcPr>
          <w:p w14:paraId="6F7CEDC5">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1347" w:type="pct"/>
            <w:gridSpan w:val="2"/>
            <w:vAlign w:val="center"/>
          </w:tcPr>
          <w:p w14:paraId="02DDC6BB">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发包人及联系电话</w:t>
            </w:r>
          </w:p>
        </w:tc>
      </w:tr>
      <w:tr w14:paraId="3440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08D99727">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01FB463F">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59295327">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5B309AE1">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490A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1185F0D9">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3C5AFA1A">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2FA6AFFB">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4E1D41A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2ED4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529F5857">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3F235C3F">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781F4A02">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0445F43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54B5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63FA080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6C88BF33">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3586E083">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0EF72D8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6318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63A4B157">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72D6518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3B4ADA3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3A764FB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0A08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15634873">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2A2535A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6149CB5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4CE442BD">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5ED6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6083167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0787C89D">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5F04EB19">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7131EE71">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7518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35521B58">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7237B7C5">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34A46C69">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0309912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17E3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7F780A95">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20C0DDB5">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4C26C3D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65A11D3F">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72B5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2B0204B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67342269">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0692092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09CA54BB">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2D48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4FE004D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0F0C9F12">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2256D6C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51EF7C9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2DE1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35B5D1DA">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259AEF9A">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30E3F42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2AB8C6F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bl>
    <w:p w14:paraId="5671B0B2">
      <w:pPr>
        <w:spacing w:line="40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应附注册建造师执业资格证书、养老保险、安全生产考核合格证（B证）扫描件。</w:t>
      </w:r>
    </w:p>
    <w:p w14:paraId="62FAEFD0">
      <w:pPr>
        <w:spacing w:before="260" w:after="260" w:line="415" w:lineRule="auto"/>
        <w:jc w:val="center"/>
        <w:rPr>
          <w:rFonts w:hint="eastAsia" w:ascii="宋体" w:hAnsi="宋体" w:eastAsia="宋体" w:cs="宋体"/>
          <w:b/>
          <w:color w:val="auto"/>
          <w:sz w:val="32"/>
          <w:szCs w:val="32"/>
          <w:highlight w:val="none"/>
        </w:rPr>
      </w:pPr>
      <w:bookmarkStart w:id="641" w:name="_Toc246996374"/>
      <w:bookmarkStart w:id="642" w:name="_Toc247085892"/>
      <w:bookmarkStart w:id="643" w:name="_Toc246997117"/>
      <w:bookmarkStart w:id="644" w:name="_Toc332641447"/>
      <w:r>
        <w:rPr>
          <w:rFonts w:hint="eastAsia" w:ascii="宋体" w:hAnsi="宋体" w:eastAsia="宋体" w:cs="宋体"/>
          <w:b/>
          <w:color w:val="auto"/>
          <w:sz w:val="24"/>
          <w:szCs w:val="31"/>
          <w:highlight w:val="none"/>
        </w:rPr>
        <w:br w:type="page"/>
      </w:r>
      <w:r>
        <w:rPr>
          <w:rFonts w:hint="eastAsia" w:ascii="宋体" w:hAnsi="宋体" w:eastAsia="宋体" w:cs="宋体"/>
          <w:b/>
          <w:color w:val="auto"/>
          <w:sz w:val="32"/>
          <w:szCs w:val="32"/>
          <w:highlight w:val="none"/>
        </w:rPr>
        <w:t>技术负责人简历表</w:t>
      </w:r>
    </w:p>
    <w:tbl>
      <w:tblPr>
        <w:tblStyle w:val="40"/>
        <w:tblpPr w:leftFromText="180" w:rightFromText="180" w:vertAnchor="text" w:horzAnchor="margin" w:tblpY="9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56"/>
        <w:gridCol w:w="723"/>
        <w:gridCol w:w="928"/>
        <w:gridCol w:w="1066"/>
        <w:gridCol w:w="706"/>
        <w:gridCol w:w="1262"/>
        <w:gridCol w:w="164"/>
        <w:gridCol w:w="2134"/>
      </w:tblGrid>
      <w:tr w14:paraId="52DD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5D793E3B">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633" w:type="pct"/>
            <w:gridSpan w:val="2"/>
            <w:vAlign w:val="center"/>
          </w:tcPr>
          <w:p w14:paraId="3A20E9F2">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p>
        </w:tc>
        <w:tc>
          <w:tcPr>
            <w:tcW w:w="544" w:type="pct"/>
            <w:vAlign w:val="center"/>
          </w:tcPr>
          <w:p w14:paraId="75872927">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625" w:type="pct"/>
            <w:vAlign w:val="center"/>
          </w:tcPr>
          <w:p w14:paraId="199E5391">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p>
        </w:tc>
        <w:tc>
          <w:tcPr>
            <w:tcW w:w="1250" w:type="pct"/>
            <w:gridSpan w:val="3"/>
            <w:vAlign w:val="center"/>
          </w:tcPr>
          <w:p w14:paraId="22A071BA">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251" w:type="pct"/>
            <w:vAlign w:val="center"/>
          </w:tcPr>
          <w:p w14:paraId="0F66F93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0B76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568A81F8">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633" w:type="pct"/>
            <w:gridSpan w:val="2"/>
            <w:vAlign w:val="center"/>
          </w:tcPr>
          <w:p w14:paraId="03706519">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p>
        </w:tc>
        <w:tc>
          <w:tcPr>
            <w:tcW w:w="544" w:type="pct"/>
            <w:vAlign w:val="center"/>
          </w:tcPr>
          <w:p w14:paraId="43A388BB">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625" w:type="pct"/>
            <w:vAlign w:val="center"/>
          </w:tcPr>
          <w:p w14:paraId="25B69F45">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p>
        </w:tc>
        <w:tc>
          <w:tcPr>
            <w:tcW w:w="1250" w:type="pct"/>
            <w:gridSpan w:val="3"/>
            <w:vAlign w:val="center"/>
          </w:tcPr>
          <w:p w14:paraId="04B073B7">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1251" w:type="pct"/>
            <w:vAlign w:val="center"/>
          </w:tcPr>
          <w:p w14:paraId="3CF894DB">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05BB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5EE091F7">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4303" w:type="pct"/>
            <w:gridSpan w:val="8"/>
          </w:tcPr>
          <w:p w14:paraId="081DE8EA">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11E5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4BE8026C">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36B6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 w:type="pct"/>
            <w:gridSpan w:val="2"/>
            <w:vAlign w:val="center"/>
          </w:tcPr>
          <w:p w14:paraId="2B51CBA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2007" w:type="pct"/>
            <w:gridSpan w:val="4"/>
            <w:vAlign w:val="center"/>
          </w:tcPr>
          <w:p w14:paraId="635F624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740" w:type="pct"/>
            <w:vAlign w:val="center"/>
          </w:tcPr>
          <w:p w14:paraId="28447D39">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1347" w:type="pct"/>
            <w:gridSpan w:val="2"/>
            <w:vAlign w:val="center"/>
          </w:tcPr>
          <w:p w14:paraId="7E378205">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发包人及联系电话</w:t>
            </w:r>
          </w:p>
        </w:tc>
      </w:tr>
      <w:tr w14:paraId="7473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5F78E408">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609F0F1A">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0687C6D7">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14984174">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1877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7C4E098A">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5C4B06C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07561EFF">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7AB78A39">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3624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2E25037F">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76200481">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2B0A3128">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6C69EC1D">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263A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43820221">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2A6787FD">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789BC25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35BE3EF4">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61F7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6D50348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20908291">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3A95849A">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3155F949">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7B69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6DD07029">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38CBDBBA">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189985B2">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68870AD3">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1BAB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59D5AF5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3EDF9A02">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00EF4CD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5B63F2A1">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0315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4D74805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315DCF4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09CEAF28">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3D122E6F">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7026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6F3F98C0">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5FEFC55C">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29CF0A18">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659FD203">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081C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4BF967A7">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01E8B938">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6EF052B2">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711D955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5805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0FE573E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2CC37DBE">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36057731">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43AC35D8">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r w14:paraId="4CC8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14:paraId="62D4DD47">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2007" w:type="pct"/>
            <w:gridSpan w:val="4"/>
          </w:tcPr>
          <w:p w14:paraId="743589F6">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740" w:type="pct"/>
          </w:tcPr>
          <w:p w14:paraId="6ECA1F1B">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c>
          <w:tcPr>
            <w:tcW w:w="1347" w:type="pct"/>
            <w:gridSpan w:val="2"/>
          </w:tcPr>
          <w:p w14:paraId="0A53E6F3">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rPr>
            </w:pPr>
          </w:p>
        </w:tc>
      </w:tr>
    </w:tbl>
    <w:p w14:paraId="17817455">
      <w:pPr>
        <w:spacing w:before="260" w:after="260" w:line="415"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应附职称证书扫描件、养老保险扫描件。</w:t>
      </w:r>
    </w:p>
    <w:p w14:paraId="4F6F6FB6">
      <w:pPr>
        <w:pageBreakBefore/>
        <w:widowControl/>
        <w:jc w:val="left"/>
        <w:rPr>
          <w:rFonts w:hint="eastAsia" w:ascii="宋体" w:hAnsi="宋体" w:eastAsia="宋体" w:cs="宋体"/>
          <w:b/>
          <w:color w:val="auto"/>
          <w:sz w:val="24"/>
          <w:szCs w:val="31"/>
          <w:highlight w:val="none"/>
        </w:rPr>
      </w:pPr>
    </w:p>
    <w:p w14:paraId="078AFA43">
      <w:pPr>
        <w:spacing w:line="400" w:lineRule="exact"/>
        <w:jc w:val="left"/>
        <w:outlineLvl w:val="3"/>
        <w:rPr>
          <w:rFonts w:hint="eastAsia" w:ascii="宋体" w:hAnsi="宋体" w:eastAsia="宋体" w:cs="宋体"/>
          <w:b/>
          <w:color w:val="auto"/>
          <w:sz w:val="24"/>
          <w:szCs w:val="31"/>
          <w:highlight w:val="none"/>
        </w:rPr>
      </w:pPr>
      <w:r>
        <w:rPr>
          <w:rFonts w:hint="eastAsia" w:ascii="宋体" w:hAnsi="宋体" w:eastAsia="宋体" w:cs="宋体"/>
          <w:b/>
          <w:color w:val="auto"/>
          <w:sz w:val="24"/>
          <w:szCs w:val="31"/>
          <w:highlight w:val="none"/>
        </w:rPr>
        <w:t>（三）专职安全管理员</w:t>
      </w:r>
      <w:bookmarkEnd w:id="641"/>
      <w:bookmarkEnd w:id="642"/>
      <w:bookmarkEnd w:id="643"/>
      <w:bookmarkEnd w:id="644"/>
    </w:p>
    <w:p w14:paraId="32EC6575">
      <w:pPr>
        <w:spacing w:before="260" w:after="260" w:line="415"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专职安全员简历表</w:t>
      </w:r>
    </w:p>
    <w:p w14:paraId="5CC8829B">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应附安全生产考核合格证（C类或C3）扫描件、养老保险扫描件。</w:t>
      </w:r>
    </w:p>
    <w:p w14:paraId="65D6F532">
      <w:pPr>
        <w:spacing w:line="400" w:lineRule="exact"/>
        <w:ind w:firstLine="420" w:firstLineChars="200"/>
        <w:rPr>
          <w:rFonts w:hint="eastAsia" w:ascii="宋体" w:hAnsi="宋体" w:eastAsia="宋体" w:cs="宋体"/>
          <w:color w:val="auto"/>
          <w:highlight w:val="none"/>
        </w:rPr>
      </w:pP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917"/>
        <w:gridCol w:w="1329"/>
        <w:gridCol w:w="1312"/>
        <w:gridCol w:w="1264"/>
        <w:gridCol w:w="1378"/>
      </w:tblGrid>
      <w:tr w14:paraId="15B21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79" w:type="pct"/>
            <w:vAlign w:val="center"/>
          </w:tcPr>
          <w:p w14:paraId="60B2B77B">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124" w:type="pct"/>
            <w:vAlign w:val="center"/>
          </w:tcPr>
          <w:p w14:paraId="74202368">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779" w:type="pct"/>
            <w:vAlign w:val="center"/>
          </w:tcPr>
          <w:p w14:paraId="0F24A4DD">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769" w:type="pct"/>
            <w:vAlign w:val="center"/>
          </w:tcPr>
          <w:p w14:paraId="4FA73669">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741" w:type="pct"/>
            <w:vAlign w:val="center"/>
          </w:tcPr>
          <w:p w14:paraId="0DB0F8CA">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808" w:type="pct"/>
            <w:vAlign w:val="center"/>
          </w:tcPr>
          <w:p w14:paraId="637275B5">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r>
      <w:tr w14:paraId="04DCD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79" w:type="pct"/>
            <w:vAlign w:val="center"/>
          </w:tcPr>
          <w:p w14:paraId="2AD67A3A">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从事本工作时间</w:t>
            </w:r>
          </w:p>
        </w:tc>
        <w:tc>
          <w:tcPr>
            <w:tcW w:w="1124" w:type="pct"/>
            <w:vAlign w:val="center"/>
          </w:tcPr>
          <w:p w14:paraId="79DBADD2">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779" w:type="pct"/>
            <w:vAlign w:val="center"/>
          </w:tcPr>
          <w:p w14:paraId="56136FA1">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769" w:type="pct"/>
            <w:vAlign w:val="center"/>
          </w:tcPr>
          <w:p w14:paraId="655FE7E6">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741" w:type="pct"/>
            <w:vAlign w:val="center"/>
          </w:tcPr>
          <w:p w14:paraId="3165FEF2">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tc>
        <w:tc>
          <w:tcPr>
            <w:tcW w:w="808" w:type="pct"/>
            <w:vAlign w:val="center"/>
          </w:tcPr>
          <w:p w14:paraId="5FA5382C">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r>
      <w:tr w14:paraId="4164D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9" w:type="pct"/>
            <w:vAlign w:val="center"/>
          </w:tcPr>
          <w:p w14:paraId="44632A12">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毕业院校</w:t>
            </w:r>
          </w:p>
        </w:tc>
        <w:tc>
          <w:tcPr>
            <w:tcW w:w="2672" w:type="pct"/>
            <w:gridSpan w:val="3"/>
            <w:vAlign w:val="center"/>
          </w:tcPr>
          <w:p w14:paraId="76BD1069">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741" w:type="pct"/>
            <w:vAlign w:val="center"/>
          </w:tcPr>
          <w:p w14:paraId="45CB3154">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毕业时间</w:t>
            </w:r>
          </w:p>
        </w:tc>
        <w:tc>
          <w:tcPr>
            <w:tcW w:w="808" w:type="pct"/>
            <w:vAlign w:val="center"/>
          </w:tcPr>
          <w:p w14:paraId="1C799BDD">
            <w:pPr>
              <w:pStyle w:val="59"/>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r>
      <w:bookmarkEnd w:id="625"/>
      <w:bookmarkEnd w:id="626"/>
      <w:bookmarkEnd w:id="627"/>
      <w:bookmarkEnd w:id="628"/>
      <w:bookmarkEnd w:id="629"/>
      <w:bookmarkEnd w:id="630"/>
      <w:bookmarkEnd w:id="631"/>
      <w:bookmarkEnd w:id="632"/>
      <w:bookmarkEnd w:id="633"/>
    </w:tbl>
    <w:p w14:paraId="3ECA3A1E">
      <w:pPr>
        <w:spacing w:line="400" w:lineRule="exact"/>
        <w:ind w:firstLine="420" w:firstLineChars="200"/>
        <w:rPr>
          <w:rFonts w:hint="eastAsia" w:ascii="宋体" w:hAnsi="宋体" w:eastAsia="宋体" w:cs="宋体"/>
          <w:color w:val="auto"/>
          <w:highlight w:val="none"/>
        </w:rPr>
      </w:pPr>
      <w:bookmarkStart w:id="645" w:name="_Toc229474023"/>
      <w:bookmarkStart w:id="646" w:name="_Toc227133887"/>
      <w:bookmarkStart w:id="647" w:name="_Toc179715764"/>
      <w:bookmarkStart w:id="648" w:name="_Toc152047271"/>
      <w:bookmarkStart w:id="649" w:name="_Toc222029460"/>
      <w:bookmarkStart w:id="650" w:name="_Toc221949894"/>
    </w:p>
    <w:p w14:paraId="2C64F110">
      <w:pPr>
        <w:spacing w:line="400" w:lineRule="exact"/>
        <w:ind w:firstLine="420" w:firstLineChars="200"/>
        <w:rPr>
          <w:rFonts w:hint="eastAsia" w:ascii="宋体" w:hAnsi="宋体" w:eastAsia="宋体" w:cs="宋体"/>
          <w:color w:val="auto"/>
          <w:highlight w:val="none"/>
        </w:rPr>
      </w:pPr>
    </w:p>
    <w:p w14:paraId="55BF2037">
      <w:pPr>
        <w:widowControl/>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DA786AE">
      <w:pPr>
        <w:spacing w:line="400" w:lineRule="exact"/>
        <w:jc w:val="left"/>
        <w:outlineLvl w:val="3"/>
        <w:rPr>
          <w:rFonts w:hint="eastAsia" w:ascii="宋体" w:hAnsi="宋体" w:eastAsia="宋体" w:cs="宋体"/>
          <w:b/>
          <w:color w:val="auto"/>
          <w:sz w:val="24"/>
          <w:szCs w:val="31"/>
          <w:highlight w:val="none"/>
        </w:rPr>
      </w:pPr>
      <w:r>
        <w:rPr>
          <w:rFonts w:hint="eastAsia" w:ascii="宋体" w:hAnsi="宋体" w:eastAsia="宋体" w:cs="宋体"/>
          <w:b/>
          <w:color w:val="auto"/>
          <w:sz w:val="24"/>
          <w:szCs w:val="31"/>
          <w:highlight w:val="none"/>
        </w:rPr>
        <w:t>（四）投标人声明</w:t>
      </w:r>
    </w:p>
    <w:p w14:paraId="22A82B73">
      <w:pPr>
        <w:spacing w:line="600" w:lineRule="exact"/>
        <w:ind w:firstLine="602" w:firstLineChars="200"/>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投标人声明</w:t>
      </w:r>
    </w:p>
    <w:p w14:paraId="1840C174">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本招标项目招标人及招标监管机构：</w:t>
      </w:r>
    </w:p>
    <w:p w14:paraId="6E78A3A5">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本公司就参加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投标工作，作出郑重声明：</w:t>
      </w:r>
    </w:p>
    <w:p w14:paraId="1C2F8AB1">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一、本公司保证投标登记</w:t>
      </w:r>
      <w:r>
        <w:rPr>
          <w:rFonts w:hint="eastAsia" w:ascii="宋体" w:hAnsi="宋体" w:eastAsia="宋体" w:cs="宋体"/>
          <w:color w:val="auto"/>
          <w:sz w:val="24"/>
          <w:szCs w:val="24"/>
          <w:highlight w:val="none"/>
        </w:rPr>
        <w:t>登记</w:t>
      </w:r>
      <w:r>
        <w:rPr>
          <w:rFonts w:hint="eastAsia" w:ascii="宋体" w:hAnsi="宋体" w:eastAsia="宋体" w:cs="宋体"/>
          <w:color w:val="auto"/>
          <w:kern w:val="0"/>
          <w:sz w:val="24"/>
          <w:szCs w:val="24"/>
          <w:highlight w:val="none"/>
        </w:rPr>
        <w:t>及其后提供的一切材料都是真实的。如我司通过本项目的资格审查或成为本项目中标候选人，我司同意并授权招标人将我司响应招标文件资格能力条件（资质、营业执照等证书名称、等级、编号，人员、业绩）、投标文件商务部分（施工方案等涉及商业秘密的内容除外）等资料进行公开。</w:t>
      </w:r>
    </w:p>
    <w:p w14:paraId="2E375CF7">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二、本公司保证在本项目投标中不与其他单位围标、串标，不出让投标资格，不向招标人或评标委员会成员行贿。</w:t>
      </w:r>
    </w:p>
    <w:p w14:paraId="21A2BDD8">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三、本公司不存在下列情形：</w:t>
      </w:r>
    </w:p>
    <w:p w14:paraId="7949A5D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（1）为招标人不具有独立法人资格的附属机构（单位）；</w:t>
      </w:r>
    </w:p>
    <w:p w14:paraId="39463D38">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（2）为本标段前期准备提供设计或咨询服务或者与本项目设计人或提供咨询服务的机构存在附属关系的；；</w:t>
      </w:r>
    </w:p>
    <w:p w14:paraId="489B4F67">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（3）为本标段监理人或者与本项目监理人存在隶属关系或者其他利害关系；</w:t>
      </w:r>
    </w:p>
    <w:p w14:paraId="0E7EE20D">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（4）为本标段的代建人；</w:t>
      </w:r>
    </w:p>
    <w:p w14:paraId="71563269">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（5）为本标段提供招标代理服务的； </w:t>
      </w:r>
    </w:p>
    <w:p w14:paraId="1CF1587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（6）与本标段的监理人或代建人或招标代理机构同为一个法定代表人的；</w:t>
      </w:r>
    </w:p>
    <w:p w14:paraId="19D0B80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（7）与本标段的监理人或代建人或招标代理机构相互控股或参股的；</w:t>
      </w:r>
    </w:p>
    <w:p w14:paraId="2E4691FC">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（8）与本标段的监理人或代建人或招标代理机构相互任职或工作的；</w:t>
      </w:r>
    </w:p>
    <w:p w14:paraId="15185CA8">
      <w:pPr>
        <w:pStyle w:val="63"/>
        <w:adjustRightInd w:val="0"/>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（9）与本标段的检测机构有隶属关系或者其他利害关系；</w:t>
      </w:r>
    </w:p>
    <w:p w14:paraId="3EE31A15">
      <w:pPr>
        <w:pStyle w:val="63"/>
        <w:adjustRightIn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（10）与招标人存在利害关系且可能影响招标公正性；</w:t>
      </w:r>
    </w:p>
    <w:p w14:paraId="6D8D30F5">
      <w:pPr>
        <w:pStyle w:val="66"/>
        <w:adjustRightInd w:val="0"/>
        <w:spacing w:before="0" w:after="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（11）被责令停产停业、暂扣或者吊销许可证、暂扣或者吊销执照的；</w:t>
      </w:r>
      <w:r>
        <w:rPr>
          <w:rFonts w:hint="eastAsia" w:ascii="宋体" w:hAnsi="宋体" w:eastAsia="宋体" w:cs="宋体"/>
          <w:b/>
          <w:color w:val="auto"/>
          <w:highlight w:val="none"/>
        </w:rPr>
        <w:t>（</w:t>
      </w:r>
      <w:r>
        <w:rPr>
          <w:rFonts w:hint="eastAsia" w:ascii="宋体" w:hAnsi="宋体" w:eastAsia="宋体" w:cs="宋体"/>
          <w:b/>
          <w:color w:val="auto"/>
          <w:highlight w:val="none"/>
          <w:lang w:val="zh-CN"/>
        </w:rPr>
        <w:t>本项事实应当以根据《中华人民共和国行政处罚法》依法作出并已经生效的行政处罚决定为认定依据。</w:t>
      </w:r>
      <w:r>
        <w:rPr>
          <w:rFonts w:hint="eastAsia" w:ascii="宋体" w:hAnsi="宋体" w:eastAsia="宋体" w:cs="宋体"/>
          <w:b/>
          <w:color w:val="auto"/>
          <w:highlight w:val="none"/>
        </w:rPr>
        <w:t>）</w:t>
      </w:r>
      <w:r>
        <w:rPr>
          <w:rFonts w:hint="eastAsia" w:ascii="宋体" w:hAnsi="宋体" w:eastAsia="宋体" w:cs="宋体"/>
          <w:bCs/>
          <w:color w:val="auto"/>
          <w:highlight w:val="none"/>
        </w:rPr>
        <w:t>；</w:t>
      </w:r>
    </w:p>
    <w:p w14:paraId="43D0055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（12）被暂停或取消投标资格的；</w:t>
      </w: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lang w:val="zh-CN"/>
        </w:rPr>
        <w:t xml:space="preserve">本项事实应当以根据《中华人民共和国行政处罚法》依法作出并已经生效的行政处罚决定为认定依据。行政处罚决定中已经明确的暂停或取消投标资格的区域范围不包含本标段建设地点的，不受该项规定限制） </w:t>
      </w:r>
    </w:p>
    <w:p w14:paraId="79766853">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（13）财产被接管或冻结的；</w:t>
      </w:r>
    </w:p>
    <w:p w14:paraId="276F13B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（14）单位负责人为同一人或者存在控股、管理关系的不同单位，同时参加本招标项目投标。</w:t>
      </w:r>
    </w:p>
    <w:p w14:paraId="779A110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（15）投标人、投标人主要负责人及拟投入人员在招标投标、合同履行、安全事故方面因违反有关法律、法规规定受到相关行政管理部门的行政处罚，被取消投标资格的。</w:t>
      </w:r>
    </w:p>
    <w:p w14:paraId="5AB522AF">
      <w:pPr>
        <w:pStyle w:val="39"/>
        <w:adjustRightInd w:val="0"/>
        <w:spacing w:after="0" w:line="360" w:lineRule="auto"/>
        <w:ind w:left="0" w:lef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（16）进入清算程序，或被宣布破产，或其他丧失履约能力的情形；</w:t>
      </w:r>
    </w:p>
    <w:p w14:paraId="794DBF22">
      <w:pPr>
        <w:pStyle w:val="39"/>
        <w:adjustRightInd w:val="0"/>
        <w:spacing w:after="0" w:line="360" w:lineRule="auto"/>
        <w:ind w:left="0" w:leftChars="0" w:firstLine="4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（17）</w:t>
      </w:r>
      <w:r>
        <w:rPr>
          <w:rFonts w:hint="eastAsia" w:ascii="宋体" w:hAnsi="宋体" w:eastAsia="宋体" w:cs="宋体"/>
          <w:color w:val="auto"/>
          <w:sz w:val="24"/>
          <w:szCs w:val="24"/>
          <w:highlight w:val="none"/>
        </w:rPr>
        <w:t>在最近三年内有严重违约或重大工程质量问题的；</w:t>
      </w:r>
      <w:r>
        <w:rPr>
          <w:rFonts w:hint="eastAsia" w:ascii="宋体" w:hAnsi="宋体" w:eastAsia="宋体" w:cs="宋体"/>
          <w:b/>
          <w:color w:val="auto"/>
          <w:kern w:val="0"/>
          <w:sz w:val="24"/>
          <w:szCs w:val="24"/>
          <w:highlight w:val="none"/>
        </w:rPr>
        <w:t>（</w:t>
      </w:r>
      <w:r>
        <w:rPr>
          <w:rFonts w:hint="eastAsia" w:ascii="宋体" w:hAnsi="宋体" w:eastAsia="宋体" w:cs="宋体"/>
          <w:b/>
          <w:color w:val="auto"/>
          <w:kern w:val="0"/>
          <w:sz w:val="24"/>
          <w:szCs w:val="24"/>
          <w:highlight w:val="none"/>
          <w:lang w:val="zh-CN"/>
        </w:rPr>
        <w:t>“严重违约”事实应当以</w:t>
      </w:r>
      <w:r>
        <w:rPr>
          <w:rFonts w:hint="eastAsia" w:ascii="宋体" w:hAnsi="宋体" w:eastAsia="宋体" w:cs="宋体"/>
          <w:b/>
          <w:color w:val="auto"/>
          <w:kern w:val="0"/>
          <w:sz w:val="24"/>
          <w:szCs w:val="24"/>
          <w:highlight w:val="none"/>
        </w:rPr>
        <w:t>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62DB9F06">
      <w:pPr>
        <w:adjustRightIn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（18）被“信用广州”网站纳入失信联合惩戒名单（失信黑名单）。</w:t>
      </w:r>
    </w:p>
    <w:p w14:paraId="5733FF69">
      <w:pPr>
        <w:pStyle w:val="63"/>
        <w:adjustRightInd w:val="0"/>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（19）在近三年内投标人或其法定代表人、拟委派的项目负责人有行贿犯罪行为的；</w:t>
      </w:r>
    </w:p>
    <w:p w14:paraId="7DDDD87D">
      <w:pPr>
        <w:pStyle w:val="63"/>
        <w:adjustRightIn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（20）法律法规规定的其他情形。</w:t>
      </w:r>
    </w:p>
    <w:p w14:paraId="03F21D16">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四、本公司保证本项目拟派的项目负责人和安全员没有在其他在建项目中任职。</w:t>
      </w:r>
    </w:p>
    <w:p w14:paraId="49B8C546">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14:paraId="40F2C28A">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本公司承诺，中标后将利用信息技术手段实施考勤管理，对施工现场人员建立基本信息档案、实行实名制管理的制度并完成工资支付，切实落实《广州市建筑施工实名制管理办法》（穗建规字〔2017〕4号）、《广州市建设领域工人工资支付分账管理实施细则》（穗建规字〔2017〕10号）等关于用工实名制和工人工资支付分账管理的各项规定。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水行政主管部门的监督、检查。</w:t>
      </w:r>
    </w:p>
    <w:p w14:paraId="0311A0D2">
      <w:pPr>
        <w:spacing w:line="360" w:lineRule="auto"/>
        <w:ind w:firstLine="482" w:firstLineChars="200"/>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七、与本公司单位负责人为同一人或者与本公司存在控股、管理关系的其他单位包括：</w:t>
      </w:r>
      <w:r>
        <w:rPr>
          <w:rFonts w:hint="eastAsia" w:ascii="宋体" w:hAnsi="宋体" w:eastAsia="宋体" w:cs="宋体"/>
          <w:b/>
          <w:color w:val="auto"/>
          <w:kern w:val="0"/>
          <w:sz w:val="24"/>
          <w:szCs w:val="24"/>
          <w:highlight w:val="none"/>
          <w:u w:val="single"/>
        </w:rPr>
        <w:t xml:space="preserve">       </w:t>
      </w:r>
      <w:r>
        <w:rPr>
          <w:rFonts w:hint="eastAsia" w:ascii="宋体" w:hAnsi="宋体" w:eastAsia="宋体" w:cs="宋体"/>
          <w:b/>
          <w:color w:val="auto"/>
          <w:kern w:val="0"/>
          <w:sz w:val="24"/>
          <w:szCs w:val="24"/>
          <w:highlight w:val="none"/>
        </w:rPr>
        <w:t>。（注：本条由投标人如实填写，如有，应列出全部满足招标公告资质要求的相关单位的名称；如无，则填写“无”。）</w:t>
      </w:r>
    </w:p>
    <w:p w14:paraId="3C3649BD">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公司违反上述保证，或本声明陈述与事实不符，经查实，本公司愿意接受公开通报，承担由此带来的法律后果，并自愿停止参加广州市行政辖区内的招标投标活动三个月。本声明陈述与事实不符，属于弄虚作假骗取中标，将依法接受监管部门的处罚。</w:t>
      </w:r>
    </w:p>
    <w:p w14:paraId="6B265BDE">
      <w:pPr>
        <w:spacing w:line="360" w:lineRule="auto"/>
        <w:ind w:firstLine="480" w:firstLineChars="200"/>
        <w:rPr>
          <w:rFonts w:hint="eastAsia" w:ascii="宋体" w:hAnsi="宋体" w:eastAsia="宋体" w:cs="宋体"/>
          <w:color w:val="auto"/>
          <w:kern w:val="0"/>
          <w:sz w:val="24"/>
          <w:szCs w:val="24"/>
          <w:highlight w:val="none"/>
        </w:rPr>
      </w:pPr>
    </w:p>
    <w:p w14:paraId="6CAEAAF6">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特此声明</w:t>
      </w:r>
    </w:p>
    <w:p w14:paraId="1FFB76C8">
      <w:pPr>
        <w:pStyle w:val="62"/>
        <w:ind w:left="0" w:right="960" w:firstLine="4536" w:firstLineChars="189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声明企业：</w:t>
      </w:r>
    </w:p>
    <w:p w14:paraId="59D88919">
      <w:pPr>
        <w:pStyle w:val="63"/>
        <w:ind w:right="960" w:firstLine="4536" w:firstLineChars="18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p>
    <w:p w14:paraId="744719D4">
      <w:pPr>
        <w:pStyle w:val="63"/>
        <w:ind w:right="960" w:firstLine="4536" w:firstLineChars="18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项目负责人（签字）：</w:t>
      </w:r>
    </w:p>
    <w:p w14:paraId="5949C9DB">
      <w:pPr>
        <w:pStyle w:val="63"/>
        <w:ind w:right="960" w:firstLine="4536" w:firstLineChars="18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技术负责人（签字）：</w:t>
      </w:r>
    </w:p>
    <w:p w14:paraId="1ECDB6E0">
      <w:pPr>
        <w:pStyle w:val="63"/>
        <w:ind w:firstLine="480" w:firstLineChars="2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（盖单位章）</w:t>
      </w:r>
    </w:p>
    <w:p w14:paraId="0423868C">
      <w:pPr>
        <w:spacing w:line="360" w:lineRule="auto"/>
        <w:ind w:firstLine="480" w:firstLineChars="2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358CC0A2">
      <w:pPr>
        <w:widowControl/>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A71DAAE">
      <w:pPr>
        <w:pStyle w:val="39"/>
        <w:ind w:left="0" w:leftChars="0" w:firstLine="0" w:firstLineChars="0"/>
        <w:rPr>
          <w:rFonts w:hint="eastAsia" w:ascii="宋体" w:hAnsi="宋体" w:eastAsia="宋体" w:cs="宋体"/>
          <w:color w:val="auto"/>
          <w:highlight w:val="none"/>
        </w:rPr>
      </w:pPr>
    </w:p>
    <w:p w14:paraId="59732857">
      <w:pPr>
        <w:spacing w:line="400" w:lineRule="exact"/>
        <w:jc w:val="left"/>
        <w:outlineLvl w:val="3"/>
        <w:rPr>
          <w:rFonts w:hint="eastAsia" w:ascii="宋体" w:hAnsi="宋体" w:eastAsia="宋体" w:cs="宋体"/>
          <w:b/>
          <w:color w:val="auto"/>
          <w:sz w:val="24"/>
          <w:szCs w:val="31"/>
          <w:highlight w:val="none"/>
        </w:rPr>
      </w:pPr>
      <w:r>
        <w:rPr>
          <w:rFonts w:hint="eastAsia" w:ascii="宋体" w:hAnsi="宋体" w:eastAsia="宋体" w:cs="宋体"/>
          <w:b/>
          <w:color w:val="auto"/>
          <w:sz w:val="24"/>
          <w:szCs w:val="31"/>
          <w:highlight w:val="none"/>
        </w:rPr>
        <w:t>（五）投标人廉洁承诺书</w:t>
      </w:r>
    </w:p>
    <w:p w14:paraId="691CF6BC">
      <w:pPr>
        <w:pStyle w:val="34"/>
        <w:spacing w:before="0" w:beforeAutospacing="0" w:after="0" w:afterAutospacing="0" w:line="360" w:lineRule="auto"/>
        <w:ind w:firstLine="480" w:firstLineChars="200"/>
        <w:jc w:val="center"/>
        <w:rPr>
          <w:rFonts w:hint="eastAsia" w:ascii="宋体" w:hAnsi="宋体" w:eastAsia="宋体" w:cs="宋体"/>
          <w:color w:val="auto"/>
          <w:highlight w:val="none"/>
        </w:rPr>
      </w:pPr>
    </w:p>
    <w:p w14:paraId="01BB0D79">
      <w:pPr>
        <w:pStyle w:val="34"/>
        <w:spacing w:before="0" w:beforeAutospacing="0" w:after="0" w:afterAutospacing="0" w:line="360" w:lineRule="auto"/>
        <w:ind w:firstLine="643" w:firstLineChars="20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投标人廉洁承诺书</w:t>
      </w:r>
    </w:p>
    <w:p w14:paraId="480EC1DF">
      <w:pPr>
        <w:pStyle w:val="34"/>
        <w:shd w:val="clear" w:color="auto" w:fill="FFFFFF"/>
        <w:spacing w:before="0" w:beforeAutospacing="0" w:after="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t>本招标项目招标人及招标监管机构：</w:t>
      </w:r>
    </w:p>
    <w:p w14:paraId="7835FF97">
      <w:pPr>
        <w:pStyle w:val="2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本公司参加了</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投标，为确保招标工作的公平、公正、公开、有序进行，我们保证遵守《中华人民共和国招标投标法》、《中华人民共和国招标投标法实施条例》、《广东省实施&lt;中华人民共和国招标投标法&gt;办法》等法律法规，特承诺如下事项：</w:t>
      </w:r>
    </w:p>
    <w:p w14:paraId="68F7D234">
      <w:pPr>
        <w:pStyle w:val="2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一、自觉遵守国家有关法律法规及廉洁规定。</w:t>
      </w:r>
    </w:p>
    <w:p w14:paraId="2E7B11B7">
      <w:pPr>
        <w:pStyle w:val="2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二、不与招标单位工作人员串通投标，损害国家利益、企业利益以及他人的合法利益；</w:t>
      </w:r>
    </w:p>
    <w:p w14:paraId="072BA689">
      <w:pPr>
        <w:pStyle w:val="2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三、不与其他单位围标、串标，不出让投标资格，不向招标人或评标委员会成员行贿。</w:t>
      </w:r>
    </w:p>
    <w:p w14:paraId="01BA8C27">
      <w:pPr>
        <w:pStyle w:val="2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四、不以任何名义向参与招标、评标工作的有关人员提供高消费宴请及娱乐活动和赠送回扣、红包、礼金、购物卡、有价证券、贵重物品和好处费、感谢费等； </w:t>
      </w:r>
    </w:p>
    <w:p w14:paraId="1E69B779">
      <w:pPr>
        <w:pStyle w:val="2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五、不以任何名义为参与招标、评标工作的有关人员装修住房、婚丧嫁取、配偶子女的工作安排以及境内外旅游等提供方便；</w:t>
      </w:r>
    </w:p>
    <w:p w14:paraId="1C1A2D7A">
      <w:pPr>
        <w:pStyle w:val="2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六、不以谋取非正当利益为目的，擅自与参与招标、评标工作的有关人员就业务问题进行私下商谈或者达成利益默契；</w:t>
      </w:r>
    </w:p>
    <w:p w14:paraId="7C22AC19">
      <w:pPr>
        <w:pStyle w:val="34"/>
        <w:shd w:val="clear" w:color="auto" w:fill="FFFFFF"/>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本公司违反上述承诺，或本承诺陈述与事实不符，经查实，本公司愿意接受公开通报，承担由此带来的法律后果，并自愿停止参加广州市行政辖区内的招标投标活动三个月。</w:t>
      </w:r>
    </w:p>
    <w:p w14:paraId="33EB89C5">
      <w:pPr>
        <w:pStyle w:val="34"/>
        <w:shd w:val="clear" w:color="auto" w:fill="FFFFFF"/>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特此承诺</w:t>
      </w:r>
    </w:p>
    <w:p w14:paraId="28C83046">
      <w:pPr>
        <w:pStyle w:val="34"/>
        <w:shd w:val="clear" w:color="auto" w:fill="FFFFFF"/>
        <w:spacing w:before="0" w:beforeAutospacing="0" w:after="0" w:afterAutospacing="0" w:line="360" w:lineRule="auto"/>
        <w:ind w:firstLine="480" w:firstLineChars="200"/>
        <w:jc w:val="right"/>
        <w:rPr>
          <w:rFonts w:hint="eastAsia" w:ascii="宋体" w:hAnsi="宋体" w:eastAsia="宋体" w:cs="宋体"/>
          <w:color w:val="auto"/>
          <w:highlight w:val="none"/>
        </w:rPr>
      </w:pPr>
      <w:r>
        <w:rPr>
          <w:rFonts w:hint="eastAsia" w:ascii="宋体" w:hAnsi="宋体" w:eastAsia="宋体" w:cs="宋体"/>
          <w:color w:val="auto"/>
          <w:highlight w:val="none"/>
        </w:rPr>
        <w:t>承诺企业（该单位章）：      </w:t>
      </w:r>
    </w:p>
    <w:p w14:paraId="44583FB6">
      <w:pPr>
        <w:pStyle w:val="34"/>
        <w:shd w:val="clear" w:color="auto" w:fill="FFFFFF"/>
        <w:spacing w:before="0" w:beforeAutospacing="0" w:after="0" w:afterAutospacing="0" w:line="360" w:lineRule="auto"/>
        <w:ind w:firstLine="480" w:firstLineChars="200"/>
        <w:jc w:val="right"/>
        <w:rPr>
          <w:rFonts w:hint="eastAsia" w:ascii="宋体" w:hAnsi="宋体" w:eastAsia="宋体" w:cs="宋体"/>
          <w:color w:val="auto"/>
          <w:highlight w:val="none"/>
        </w:rPr>
      </w:pPr>
      <w:r>
        <w:rPr>
          <w:rFonts w:hint="eastAsia" w:ascii="宋体" w:hAnsi="宋体" w:eastAsia="宋体" w:cs="宋体"/>
          <w:color w:val="auto"/>
          <w:highlight w:val="none"/>
        </w:rPr>
        <w:t xml:space="preserve">法定代表人签字：           </w:t>
      </w:r>
    </w:p>
    <w:p w14:paraId="1FBF11F2">
      <w:pPr>
        <w:pStyle w:val="34"/>
        <w:shd w:val="clear" w:color="auto" w:fill="FFFFFF"/>
        <w:spacing w:before="0" w:beforeAutospacing="0" w:after="0" w:afterAutospacing="0" w:line="360" w:lineRule="auto"/>
        <w:ind w:firstLine="480" w:firstLineChars="200"/>
        <w:jc w:val="right"/>
        <w:rPr>
          <w:rFonts w:hint="eastAsia" w:ascii="宋体" w:hAnsi="宋体" w:eastAsia="宋体" w:cs="宋体"/>
          <w:color w:val="auto"/>
          <w:highlight w:val="none"/>
        </w:rPr>
      </w:pPr>
      <w:r>
        <w:rPr>
          <w:rFonts w:hint="eastAsia" w:ascii="宋体" w:hAnsi="宋体" w:eastAsia="宋体" w:cs="宋体"/>
          <w:color w:val="auto"/>
          <w:highlight w:val="none"/>
        </w:rPr>
        <w:t>年   月   日</w:t>
      </w:r>
    </w:p>
    <w:p w14:paraId="53CA8557">
      <w:pPr>
        <w:pStyle w:val="34"/>
        <w:shd w:val="clear" w:color="auto" w:fill="FFFFFF"/>
        <w:spacing w:before="0" w:beforeAutospacing="0" w:after="0" w:afterAutospacing="0" w:line="360" w:lineRule="auto"/>
        <w:ind w:firstLine="480" w:firstLineChars="200"/>
        <w:jc w:val="right"/>
        <w:rPr>
          <w:rFonts w:hint="eastAsia" w:ascii="宋体" w:hAnsi="宋体" w:eastAsia="宋体" w:cs="宋体"/>
          <w:color w:val="auto"/>
          <w:highlight w:val="none"/>
        </w:rPr>
      </w:pPr>
    </w:p>
    <w:p w14:paraId="6D118585">
      <w:pPr>
        <w:pStyle w:val="34"/>
        <w:shd w:val="clear" w:color="auto" w:fill="FFFFFF"/>
        <w:spacing w:before="0" w:beforeAutospacing="0" w:after="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rPr>
        <w:br w:type="page"/>
      </w:r>
      <w:bookmarkEnd w:id="645"/>
      <w:bookmarkStart w:id="651" w:name="_Toc229474024"/>
    </w:p>
    <w:p w14:paraId="636AB234">
      <w:pPr>
        <w:spacing w:line="360" w:lineRule="auto"/>
        <w:jc w:val="center"/>
        <w:outlineLvl w:val="2"/>
        <w:rPr>
          <w:rFonts w:hint="eastAsia" w:ascii="宋体" w:hAnsi="宋体" w:eastAsia="宋体" w:cs="宋体"/>
          <w:color w:val="auto"/>
          <w:sz w:val="28"/>
          <w:szCs w:val="27"/>
          <w:highlight w:val="none"/>
        </w:rPr>
      </w:pPr>
      <w:bookmarkStart w:id="652" w:name="_Toc17452703"/>
      <w:bookmarkStart w:id="653" w:name="_Toc17454961"/>
      <w:bookmarkStart w:id="654" w:name="_Toc17556970"/>
      <w:bookmarkStart w:id="655" w:name="_Toc17451140"/>
      <w:bookmarkStart w:id="656" w:name="_Toc17454910"/>
      <w:bookmarkStart w:id="657" w:name="_Toc53669187"/>
      <w:bookmarkStart w:id="658" w:name="_Toc17556915"/>
      <w:bookmarkStart w:id="659" w:name="_Toc17451662"/>
      <w:bookmarkStart w:id="660" w:name="_Toc17451617"/>
      <w:bookmarkStart w:id="661" w:name="_Toc18242"/>
      <w:bookmarkStart w:id="662" w:name="_Toc78985275"/>
      <w:r>
        <w:rPr>
          <w:rFonts w:hint="eastAsia" w:ascii="宋体" w:hAnsi="宋体" w:eastAsia="宋体" w:cs="宋体"/>
          <w:color w:val="auto"/>
          <w:sz w:val="28"/>
          <w:szCs w:val="27"/>
          <w:highlight w:val="none"/>
        </w:rPr>
        <w:t>十二、</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Pr>
          <w:rFonts w:hint="eastAsia" w:ascii="宋体" w:hAnsi="宋体" w:eastAsia="宋体" w:cs="宋体"/>
          <w:color w:val="auto"/>
          <w:sz w:val="28"/>
          <w:szCs w:val="27"/>
          <w:highlight w:val="none"/>
        </w:rPr>
        <w:t>投标人须知前附表规定的其他材料</w:t>
      </w:r>
      <w:bookmarkEnd w:id="661"/>
      <w:bookmarkEnd w:id="662"/>
    </w:p>
    <w:p w14:paraId="3EFA530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（如投标报价低于工程成本警示价的，提供投标报价不低于成本价的证明材料。）</w:t>
      </w:r>
    </w:p>
    <w:p w14:paraId="359DB8DF">
      <w:pPr>
        <w:spacing w:line="360" w:lineRule="auto"/>
        <w:rPr>
          <w:rFonts w:hint="eastAsia" w:ascii="宋体" w:hAnsi="宋体" w:eastAsia="宋体" w:cs="宋体"/>
          <w:color w:val="auto"/>
          <w:sz w:val="24"/>
          <w:highlight w:val="none"/>
          <w:u w:val="single"/>
        </w:rPr>
      </w:pPr>
    </w:p>
    <w:p w14:paraId="03C1348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招标文件要求投标人递交的其他资料，包括但不限于：拟投入工程人员配备响应表、相关证书/证件、对应物资清单数量表等资料，具体要求详见“第七章技术标准和要求”。</w:t>
      </w:r>
    </w:p>
    <w:p w14:paraId="0F359BD4">
      <w:pPr>
        <w:pStyle w:val="39"/>
        <w:rPr>
          <w:rFonts w:hint="eastAsia" w:ascii="宋体" w:hAnsi="宋体" w:eastAsia="宋体" w:cs="宋体"/>
          <w:color w:val="auto"/>
          <w:highlight w:val="none"/>
        </w:rPr>
      </w:pPr>
    </w:p>
    <w:p w14:paraId="0ECB735B">
      <w:pPr>
        <w:spacing w:line="600" w:lineRule="exact"/>
        <w:jc w:val="left"/>
        <w:rPr>
          <w:rFonts w:hint="eastAsia" w:ascii="宋体" w:hAnsi="宋体" w:eastAsia="宋体" w:cs="宋体"/>
          <w:color w:val="auto"/>
          <w:sz w:val="30"/>
          <w:szCs w:val="30"/>
          <w:highlight w:val="none"/>
        </w:rPr>
      </w:pPr>
      <w:bookmarkStart w:id="663" w:name="_Toc249846232"/>
      <w:bookmarkStart w:id="664" w:name="_Toc416358163"/>
      <w:bookmarkStart w:id="665" w:name="_Toc253143224"/>
      <w:bookmarkStart w:id="666" w:name="_Toc249845977"/>
      <w:bookmarkStart w:id="667" w:name="_Toc266093553"/>
      <w:bookmarkStart w:id="668" w:name="_Toc245024005"/>
      <w:bookmarkStart w:id="669" w:name="_Toc266881405"/>
      <w:bookmarkStart w:id="670" w:name="_Toc416357992"/>
      <w:r>
        <w:rPr>
          <w:rFonts w:hint="eastAsia" w:ascii="宋体" w:hAnsi="宋体" w:eastAsia="宋体" w:cs="宋体"/>
          <w:bCs/>
          <w:color w:val="auto"/>
          <w:kern w:val="0"/>
          <w:sz w:val="24"/>
          <w:szCs w:val="24"/>
          <w:highlight w:val="none"/>
        </w:rPr>
        <w:t>附件1</w:t>
      </w:r>
      <w:bookmarkEnd w:id="663"/>
      <w:bookmarkEnd w:id="664"/>
      <w:bookmarkEnd w:id="665"/>
      <w:bookmarkEnd w:id="666"/>
      <w:bookmarkEnd w:id="667"/>
      <w:bookmarkEnd w:id="668"/>
      <w:bookmarkEnd w:id="669"/>
      <w:bookmarkEnd w:id="670"/>
    </w:p>
    <w:p w14:paraId="2547BBF6">
      <w:pPr>
        <w:tabs>
          <w:tab w:val="left" w:pos="720"/>
        </w:tabs>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投标文件编制人员名单</w:t>
      </w:r>
    </w:p>
    <w:p w14:paraId="494C37AB">
      <w:pPr>
        <w:tabs>
          <w:tab w:val="left" w:pos="720"/>
        </w:tabs>
        <w:snapToGrid w:val="0"/>
        <w:spacing w:line="360" w:lineRule="auto"/>
        <w:rPr>
          <w:rFonts w:hint="eastAsia" w:ascii="宋体" w:hAnsi="宋体" w:eastAsia="宋体" w:cs="宋体"/>
          <w:color w:val="auto"/>
          <w:sz w:val="24"/>
          <w:szCs w:val="24"/>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381"/>
        <w:gridCol w:w="2342"/>
        <w:gridCol w:w="2246"/>
        <w:gridCol w:w="1361"/>
      </w:tblGrid>
      <w:tr w14:paraId="2458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vAlign w:val="center"/>
          </w:tcPr>
          <w:p w14:paraId="6C2E3C99">
            <w:pPr>
              <w:keepNext w:val="0"/>
              <w:keepLines w:val="0"/>
              <w:suppressLineNumbers w:val="0"/>
              <w:tabs>
                <w:tab w:val="left" w:pos="720"/>
              </w:tabs>
              <w:snapToGrid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tc>
      </w:tr>
      <w:tr w14:paraId="6E99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vAlign w:val="center"/>
          </w:tcPr>
          <w:p w14:paraId="678F215A">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381" w:type="dxa"/>
            <w:vAlign w:val="center"/>
          </w:tcPr>
          <w:p w14:paraId="482D6CA5">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2342" w:type="dxa"/>
            <w:vAlign w:val="center"/>
          </w:tcPr>
          <w:p w14:paraId="0D6C9801">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所承担工作</w:t>
            </w:r>
          </w:p>
        </w:tc>
        <w:tc>
          <w:tcPr>
            <w:tcW w:w="2246" w:type="dxa"/>
            <w:vAlign w:val="center"/>
          </w:tcPr>
          <w:p w14:paraId="65E0EBB9">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身份证号码</w:t>
            </w:r>
          </w:p>
        </w:tc>
        <w:tc>
          <w:tcPr>
            <w:tcW w:w="1361" w:type="dxa"/>
            <w:vAlign w:val="center"/>
          </w:tcPr>
          <w:p w14:paraId="35FDCA64">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本人签名栏</w:t>
            </w:r>
          </w:p>
        </w:tc>
      </w:tr>
      <w:tr w14:paraId="1197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vAlign w:val="center"/>
          </w:tcPr>
          <w:p w14:paraId="0A45FDC4">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81" w:type="dxa"/>
            <w:vAlign w:val="center"/>
          </w:tcPr>
          <w:p w14:paraId="6FFF7C92">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342" w:type="dxa"/>
            <w:vAlign w:val="center"/>
          </w:tcPr>
          <w:p w14:paraId="5287F5FB">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246" w:type="dxa"/>
            <w:vAlign w:val="center"/>
          </w:tcPr>
          <w:p w14:paraId="468AF723">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61" w:type="dxa"/>
            <w:vAlign w:val="center"/>
          </w:tcPr>
          <w:p w14:paraId="7821D89C">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0731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vAlign w:val="center"/>
          </w:tcPr>
          <w:p w14:paraId="45403D4B">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81" w:type="dxa"/>
            <w:vAlign w:val="center"/>
          </w:tcPr>
          <w:p w14:paraId="1682282B">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342" w:type="dxa"/>
            <w:vAlign w:val="center"/>
          </w:tcPr>
          <w:p w14:paraId="1C589865">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246" w:type="dxa"/>
            <w:vAlign w:val="center"/>
          </w:tcPr>
          <w:p w14:paraId="5DE281E8">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61" w:type="dxa"/>
            <w:vAlign w:val="center"/>
          </w:tcPr>
          <w:p w14:paraId="0EA322AC">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23CC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vAlign w:val="center"/>
          </w:tcPr>
          <w:p w14:paraId="010F760C">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81" w:type="dxa"/>
            <w:vAlign w:val="center"/>
          </w:tcPr>
          <w:p w14:paraId="63D1650A">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342" w:type="dxa"/>
            <w:vAlign w:val="center"/>
          </w:tcPr>
          <w:p w14:paraId="6E558617">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246" w:type="dxa"/>
            <w:vAlign w:val="center"/>
          </w:tcPr>
          <w:p w14:paraId="15892A68">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61" w:type="dxa"/>
            <w:vAlign w:val="center"/>
          </w:tcPr>
          <w:p w14:paraId="65F99711">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762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vAlign w:val="center"/>
          </w:tcPr>
          <w:p w14:paraId="6C2BFA14">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81" w:type="dxa"/>
            <w:vAlign w:val="center"/>
          </w:tcPr>
          <w:p w14:paraId="2EA3FE03">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342" w:type="dxa"/>
            <w:vAlign w:val="center"/>
          </w:tcPr>
          <w:p w14:paraId="40B8C176">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246" w:type="dxa"/>
            <w:vAlign w:val="center"/>
          </w:tcPr>
          <w:p w14:paraId="01555D12">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61" w:type="dxa"/>
            <w:vAlign w:val="center"/>
          </w:tcPr>
          <w:p w14:paraId="07475149">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01EC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vAlign w:val="center"/>
          </w:tcPr>
          <w:p w14:paraId="74D9056A">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81" w:type="dxa"/>
            <w:vAlign w:val="center"/>
          </w:tcPr>
          <w:p w14:paraId="28D80CB1">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342" w:type="dxa"/>
            <w:vAlign w:val="center"/>
          </w:tcPr>
          <w:p w14:paraId="20F3019E">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246" w:type="dxa"/>
            <w:vAlign w:val="center"/>
          </w:tcPr>
          <w:p w14:paraId="247D149F">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61" w:type="dxa"/>
            <w:vAlign w:val="center"/>
          </w:tcPr>
          <w:p w14:paraId="4461394C">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3EFE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vAlign w:val="center"/>
          </w:tcPr>
          <w:p w14:paraId="0C7BFDF2">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81" w:type="dxa"/>
            <w:vAlign w:val="center"/>
          </w:tcPr>
          <w:p w14:paraId="62D4225E">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342" w:type="dxa"/>
            <w:vAlign w:val="center"/>
          </w:tcPr>
          <w:p w14:paraId="76D778E9">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246" w:type="dxa"/>
            <w:vAlign w:val="center"/>
          </w:tcPr>
          <w:p w14:paraId="46AC83CC">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61" w:type="dxa"/>
            <w:vAlign w:val="center"/>
          </w:tcPr>
          <w:p w14:paraId="30E2723C">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4A33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vAlign w:val="center"/>
          </w:tcPr>
          <w:p w14:paraId="0B5A4E3D">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81" w:type="dxa"/>
            <w:vAlign w:val="center"/>
          </w:tcPr>
          <w:p w14:paraId="0676F34F">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342" w:type="dxa"/>
            <w:vAlign w:val="center"/>
          </w:tcPr>
          <w:p w14:paraId="29F9EC20">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246" w:type="dxa"/>
            <w:vAlign w:val="center"/>
          </w:tcPr>
          <w:p w14:paraId="00160EBD">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61" w:type="dxa"/>
            <w:vAlign w:val="center"/>
          </w:tcPr>
          <w:p w14:paraId="037D57BD">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2B36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vAlign w:val="center"/>
          </w:tcPr>
          <w:p w14:paraId="15103C69">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81" w:type="dxa"/>
            <w:vAlign w:val="center"/>
          </w:tcPr>
          <w:p w14:paraId="201F08EA">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342" w:type="dxa"/>
            <w:vAlign w:val="center"/>
          </w:tcPr>
          <w:p w14:paraId="35465F3B">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246" w:type="dxa"/>
            <w:vAlign w:val="center"/>
          </w:tcPr>
          <w:p w14:paraId="1CDCF8EA">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361" w:type="dxa"/>
            <w:vAlign w:val="center"/>
          </w:tcPr>
          <w:p w14:paraId="3586147D">
            <w:pPr>
              <w:keepNext w:val="0"/>
              <w:keepLines w:val="0"/>
              <w:suppressLineNumbers w:val="0"/>
              <w:tabs>
                <w:tab w:val="left" w:pos="720"/>
              </w:tabs>
              <w:snapToGrid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bl>
    <w:p w14:paraId="39CC9433">
      <w:pPr>
        <w:pStyle w:val="38"/>
        <w:spacing w:line="360" w:lineRule="auto"/>
        <w:ind w:left="-2" w:leftChars="-1"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注：参与编制投标文件所有人员名单应包括如编制技术投标方案、编制各种专业工程量清单投标报价、负责清样校对、负责打印及复印等所有人员在内的人员名单。</w:t>
      </w:r>
    </w:p>
    <w:p w14:paraId="46C04EB7">
      <w:pPr>
        <w:pStyle w:val="38"/>
        <w:spacing w:line="360" w:lineRule="auto"/>
        <w:ind w:left="-2" w:leftChars="-1" w:firstLineChars="175"/>
        <w:jc w:val="center"/>
        <w:rPr>
          <w:rFonts w:hint="eastAsia" w:ascii="宋体" w:hAnsi="宋体" w:eastAsia="宋体" w:cs="宋体"/>
          <w:color w:val="auto"/>
          <w:sz w:val="24"/>
          <w:szCs w:val="24"/>
          <w:highlight w:val="none"/>
        </w:rPr>
      </w:pPr>
    </w:p>
    <w:p w14:paraId="07DF2CF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附件2</w:t>
      </w:r>
    </w:p>
    <w:p w14:paraId="18B859AC">
      <w:pPr>
        <w:pStyle w:val="38"/>
        <w:spacing w:line="360" w:lineRule="auto"/>
        <w:ind w:firstLine="0"/>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对投标文件编制的承诺</w:t>
      </w:r>
    </w:p>
    <w:p w14:paraId="1C110868">
      <w:pPr>
        <w:pStyle w:val="38"/>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本公司授权</w:t>
      </w:r>
      <w:r>
        <w:rPr>
          <w:rFonts w:hint="eastAsia" w:ascii="宋体" w:hAnsi="宋体" w:eastAsia="宋体" w:cs="宋体"/>
          <w:color w:val="auto"/>
          <w:sz w:val="24"/>
          <w:szCs w:val="24"/>
          <w:highlight w:val="none"/>
          <w:u w:val="single"/>
        </w:rPr>
        <w:t xml:space="preserve">         （身份证号：               ）</w:t>
      </w:r>
      <w:r>
        <w:rPr>
          <w:rFonts w:hint="eastAsia" w:ascii="宋体" w:hAnsi="宋体" w:eastAsia="宋体" w:cs="宋体"/>
          <w:color w:val="auto"/>
          <w:sz w:val="24"/>
          <w:szCs w:val="24"/>
          <w:highlight w:val="none"/>
        </w:rPr>
        <w:t>负责对投标文件的编制及内容进行解释、说明，并承诺以下事项：</w:t>
      </w:r>
    </w:p>
    <w:p w14:paraId="1BDFF2E7">
      <w:pPr>
        <w:pStyle w:val="38"/>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1.被授权人清楚投标文件编制的具体情况，包括技术方案文件、工程量清单、以及投标文件的加密打包的理解；</w:t>
      </w:r>
    </w:p>
    <w:p w14:paraId="11C1BBC0">
      <w:pPr>
        <w:pStyle w:val="38"/>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2.在本项目开标至评标结束前，努力确保被授权人在项目评标所在地附近；</w:t>
      </w:r>
    </w:p>
    <w:p w14:paraId="132F8332">
      <w:pPr>
        <w:pStyle w:val="38"/>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3.从评标委员会要求澄清起二小时内，被授权人应如实地书面澄清。</w:t>
      </w:r>
    </w:p>
    <w:p w14:paraId="07E94BBD">
      <w:pPr>
        <w:pStyle w:val="38"/>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如由于未遵守上述承诺内容之一导致无法进行澄清的，我公司认可和接受评标委员会作出的评审结论。</w:t>
      </w:r>
    </w:p>
    <w:p w14:paraId="4AB8CA79">
      <w:pPr>
        <w:pStyle w:val="38"/>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7A3D4737">
      <w:pPr>
        <w:pStyle w:val="38"/>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附件：《投标文件编制情况》</w:t>
      </w:r>
    </w:p>
    <w:p w14:paraId="5C5E56BE">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投标人名称（盖单位章）：</w:t>
      </w:r>
      <w:r>
        <w:rPr>
          <w:rFonts w:hint="eastAsia" w:ascii="宋体" w:hAnsi="宋体" w:eastAsia="宋体" w:cs="宋体"/>
          <w:color w:val="auto"/>
          <w:sz w:val="24"/>
          <w:szCs w:val="24"/>
          <w:highlight w:val="none"/>
          <w:u w:val="single"/>
        </w:rPr>
        <w:t xml:space="preserve">                  </w:t>
      </w:r>
    </w:p>
    <w:p w14:paraId="1A5D5F3A">
      <w:pPr>
        <w:spacing w:line="360" w:lineRule="auto"/>
        <w:ind w:firstLine="2880" w:firstLineChars="1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w:t>
      </w:r>
      <w:r>
        <w:rPr>
          <w:rFonts w:hint="eastAsia" w:ascii="宋体" w:hAnsi="宋体" w:eastAsia="宋体" w:cs="宋体"/>
          <w:color w:val="auto"/>
          <w:sz w:val="24"/>
          <w:szCs w:val="24"/>
          <w:highlight w:val="none"/>
          <w:u w:val="single"/>
        </w:rPr>
        <w:t xml:space="preserve">                  </w:t>
      </w:r>
    </w:p>
    <w:p w14:paraId="1580DB15">
      <w:pPr>
        <w:spacing w:line="360" w:lineRule="auto"/>
        <w:ind w:firstLine="4440" w:firstLineChars="18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 </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24"/>
          <w:szCs w:val="24"/>
          <w:highlight w:val="none"/>
        </w:rPr>
        <w:t xml:space="preserve">   </w:t>
      </w:r>
    </w:p>
    <w:p w14:paraId="3C3E12B3">
      <w:pPr>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附件3</w:t>
      </w:r>
    </w:p>
    <w:p w14:paraId="15B99C77">
      <w:pPr>
        <w:pStyle w:val="38"/>
        <w:spacing w:line="360" w:lineRule="auto"/>
        <w:ind w:firstLine="643" w:firstLineChars="200"/>
        <w:jc w:val="center"/>
        <w:rPr>
          <w:rFonts w:hint="eastAsia" w:ascii="宋体" w:hAnsi="宋体" w:eastAsia="宋体" w:cs="宋体"/>
          <w:color w:val="auto"/>
          <w:sz w:val="18"/>
          <w:szCs w:val="18"/>
          <w:highlight w:val="none"/>
        </w:rPr>
      </w:pPr>
      <w:r>
        <w:rPr>
          <w:rFonts w:hint="eastAsia" w:ascii="宋体" w:hAnsi="宋体" w:eastAsia="宋体" w:cs="宋体"/>
          <w:b/>
          <w:color w:val="auto"/>
          <w:sz w:val="32"/>
          <w:szCs w:val="32"/>
          <w:highlight w:val="none"/>
        </w:rPr>
        <w:t>投标文件编制情况</w:t>
      </w:r>
    </w:p>
    <w:p w14:paraId="283C74EA">
      <w:pPr>
        <w:pStyle w:val="38"/>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1.投标文件报价编制方式: □自行编制的，编制的负责人：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（盖造价工程师执业专用章或全国建设工程造价员章，执业单位应与投标人一致） </w:t>
      </w:r>
      <w:r>
        <w:rPr>
          <w:rFonts w:hint="eastAsia" w:ascii="宋体" w:hAnsi="宋体" w:eastAsia="宋体" w:cs="宋体"/>
          <w:color w:val="auto"/>
          <w:sz w:val="24"/>
          <w:szCs w:val="24"/>
          <w:highlight w:val="none"/>
        </w:rPr>
        <w:t>。□委托编制的，受委托单位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（盖造价工程师执业专用章或全国建设工程造价员章，执业单位应与受委托单位一致） </w:t>
      </w:r>
      <w:r>
        <w:rPr>
          <w:rFonts w:hint="eastAsia" w:ascii="宋体" w:hAnsi="宋体" w:eastAsia="宋体" w:cs="宋体"/>
          <w:color w:val="auto"/>
          <w:sz w:val="24"/>
          <w:szCs w:val="24"/>
          <w:highlight w:val="none"/>
        </w:rPr>
        <w:t>。</w:t>
      </w:r>
    </w:p>
    <w:p w14:paraId="7E39D2F6">
      <w:pPr>
        <w:pStyle w:val="38"/>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2.投标文件加密打包的电脑情况</w:t>
      </w:r>
    </w:p>
    <w:tbl>
      <w:tblPr>
        <w:tblStyle w:val="40"/>
        <w:tblW w:w="0" w:type="auto"/>
        <w:tblInd w:w="0" w:type="dxa"/>
        <w:tblLayout w:type="autofit"/>
        <w:tblCellMar>
          <w:top w:w="0" w:type="dxa"/>
          <w:left w:w="108" w:type="dxa"/>
          <w:bottom w:w="0" w:type="dxa"/>
          <w:right w:w="108" w:type="dxa"/>
        </w:tblCellMar>
      </w:tblPr>
      <w:tblGrid>
        <w:gridCol w:w="8528"/>
      </w:tblGrid>
      <w:tr w14:paraId="2EDC8CDC">
        <w:tblPrEx>
          <w:tblCellMar>
            <w:top w:w="0" w:type="dxa"/>
            <w:left w:w="108" w:type="dxa"/>
            <w:bottom w:w="0" w:type="dxa"/>
            <w:right w:w="108" w:type="dxa"/>
          </w:tblCellMar>
        </w:tblPrEx>
        <w:trPr>
          <w:trHeight w:val="2819" w:hRule="atLeast"/>
        </w:trPr>
        <w:tc>
          <w:tcPr>
            <w:tcW w:w="8919" w:type="dxa"/>
          </w:tcPr>
          <w:p w14:paraId="1E79F541">
            <w:pPr>
              <w:pStyle w:val="38"/>
              <w:keepNext w:val="0"/>
              <w:keepLines w:val="0"/>
              <w:suppressLineNumbers w:val="0"/>
              <w:spacing w:before="0" w:beforeAutospacing="0" w:after="0" w:afterAutospacing="0" w:line="36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投标文件加密打包的电脑     自有    □      外包    □     其他    □</w:t>
            </w:r>
          </w:p>
          <w:p w14:paraId="1625D462">
            <w:pPr>
              <w:pStyle w:val="38"/>
              <w:keepNext w:val="0"/>
              <w:keepLines w:val="0"/>
              <w:suppressLineNumbers w:val="0"/>
              <w:spacing w:before="0" w:beforeAutospacing="0" w:after="0" w:afterAutospacing="0" w:line="36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电脑类型</w:t>
            </w:r>
          </w:p>
          <w:p w14:paraId="6676051A">
            <w:pPr>
              <w:pStyle w:val="38"/>
              <w:keepNext w:val="0"/>
              <w:keepLines w:val="0"/>
              <w:suppressLineNumbers w:val="0"/>
              <w:spacing w:before="0" w:beforeAutospacing="0" w:after="0" w:afterAutospacing="0" w:line="36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电脑所属单位</w:t>
            </w:r>
          </w:p>
          <w:p w14:paraId="05353BDF">
            <w:pPr>
              <w:pStyle w:val="38"/>
              <w:keepNext w:val="0"/>
              <w:keepLines w:val="0"/>
              <w:suppressLineNumbers w:val="0"/>
              <w:spacing w:before="0" w:beforeAutospacing="0" w:after="0" w:afterAutospacing="0" w:line="360" w:lineRule="auto"/>
              <w:ind w:left="0" w:righ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电脑所在地址        （如××市××区(县) ××街（路）××号××大厦××房）</w:t>
            </w:r>
          </w:p>
        </w:tc>
      </w:tr>
    </w:tbl>
    <w:p w14:paraId="01888EC4">
      <w:pPr>
        <w:spacing w:line="360" w:lineRule="auto"/>
        <w:rPr>
          <w:rFonts w:hint="eastAsia" w:ascii="宋体" w:hAnsi="宋体" w:eastAsia="宋体" w:cs="宋体"/>
          <w:color w:val="auto"/>
          <w:sz w:val="24"/>
          <w:highlight w:val="none"/>
        </w:rPr>
      </w:pPr>
    </w:p>
    <w:p w14:paraId="5EAC4100">
      <w:pPr>
        <w:spacing w:line="360" w:lineRule="auto"/>
        <w:rPr>
          <w:rFonts w:hint="eastAsia" w:ascii="宋体" w:hAnsi="宋体" w:eastAsia="宋体" w:cs="宋体"/>
          <w:color w:val="auto"/>
          <w:sz w:val="24"/>
          <w:highlight w:val="none"/>
        </w:rPr>
      </w:pPr>
    </w:p>
    <w:p w14:paraId="43179FE2">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 w:val="32"/>
          <w:szCs w:val="27"/>
          <w:highlight w:val="none"/>
        </w:rPr>
        <w:br w:type="page"/>
      </w:r>
    </w:p>
    <w:p w14:paraId="6D011421">
      <w:pPr>
        <w:pStyle w:val="4"/>
        <w:rPr>
          <w:rFonts w:hint="eastAsia" w:ascii="宋体" w:hAnsi="宋体" w:eastAsia="宋体" w:cs="宋体"/>
          <w:color w:val="auto"/>
          <w:highlight w:val="none"/>
        </w:rPr>
      </w:pPr>
      <w:bookmarkStart w:id="671" w:name="_Toc17452704"/>
      <w:bookmarkStart w:id="672" w:name="_Toc17454911"/>
      <w:bookmarkStart w:id="673" w:name="_Toc17556916"/>
      <w:bookmarkStart w:id="674" w:name="_Toc30144"/>
      <w:bookmarkStart w:id="675" w:name="_Toc17451618"/>
      <w:bookmarkStart w:id="676" w:name="_Toc17451663"/>
      <w:bookmarkStart w:id="677" w:name="_Toc17454962"/>
      <w:bookmarkStart w:id="678" w:name="_Toc17451141"/>
      <w:r>
        <w:rPr>
          <w:rFonts w:hint="eastAsia" w:ascii="宋体" w:hAnsi="宋体" w:eastAsia="宋体" w:cs="宋体"/>
          <w:color w:val="auto"/>
          <w:highlight w:val="none"/>
        </w:rPr>
        <w:t>第九章 否决性条款汇总</w:t>
      </w:r>
      <w:bookmarkEnd w:id="671"/>
      <w:bookmarkEnd w:id="672"/>
      <w:bookmarkEnd w:id="673"/>
      <w:bookmarkEnd w:id="674"/>
      <w:bookmarkEnd w:id="675"/>
      <w:bookmarkEnd w:id="676"/>
      <w:bookmarkEnd w:id="677"/>
      <w:bookmarkEnd w:id="678"/>
    </w:p>
    <w:p w14:paraId="5F396BDF">
      <w:pPr>
        <w:widowControl/>
        <w:spacing w:line="360" w:lineRule="auto"/>
        <w:ind w:firstLine="480" w:firstLineChars="200"/>
        <w:jc w:val="left"/>
        <w:rPr>
          <w:rFonts w:hint="eastAsia" w:ascii="宋体" w:hAnsi="宋体" w:eastAsia="宋体" w:cs="宋体"/>
          <w:color w:val="auto"/>
          <w:kern w:val="0"/>
          <w:sz w:val="24"/>
          <w:szCs w:val="24"/>
          <w:highlight w:val="none"/>
        </w:rPr>
      </w:pPr>
      <w:bookmarkStart w:id="679" w:name="_Toc17472014"/>
      <w:bookmarkStart w:id="680" w:name="_Toc17556918"/>
      <w:r>
        <w:rPr>
          <w:rFonts w:hint="eastAsia" w:ascii="宋体" w:hAnsi="宋体" w:eastAsia="宋体" w:cs="宋体"/>
          <w:color w:val="auto"/>
          <w:kern w:val="0"/>
          <w:sz w:val="24"/>
          <w:szCs w:val="24"/>
          <w:highlight w:val="none"/>
        </w:rPr>
        <w:t>招标人应当在招标文件中将否决性条款单列，招标文件的其他条款与该单列的否决性条款不一致的，以单列的否决性条款为准。如招标文件澄清或修改的内容中增加否决性条款的，招标人应当重新单列完整的否决性条款，并依法发给潜在投标人或投标人。</w:t>
      </w:r>
    </w:p>
    <w:p w14:paraId="0C4EC7ED">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否决性条款指招标文件中规定的拒绝受理或者作无效标以及不合格标处理等否定投标文件效力的条款。</w:t>
      </w:r>
    </w:p>
    <w:p w14:paraId="6847ED05">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一、拒绝受理投标文件的情形</w:t>
      </w:r>
    </w:p>
    <w:p w14:paraId="7E6B2471">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 电子投标文件未在投标截止时间前完整上传并保存在广州交易集团有限公司（广州公共资源交易中心）电子评标系统且取得回执的； </w:t>
      </w:r>
    </w:p>
    <w:p w14:paraId="6EAAE07A">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投标文件未按招标文件要求进行电子签章，并进行加密的；</w:t>
      </w:r>
    </w:p>
    <w:p w14:paraId="50A18F09">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因投标人原因造成电子投标文件未解密或逾期解密的；</w:t>
      </w:r>
    </w:p>
    <w:p w14:paraId="04E8875C">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二、作无效投标的情形</w:t>
      </w:r>
    </w:p>
    <w:p w14:paraId="588AC116">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投标文件不符合招标文件评标办法中形式评审标准、资格评审标准、响应性评审标准的要求；</w:t>
      </w:r>
    </w:p>
    <w:p w14:paraId="00040112">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项目负责人和安全员为同一人的；</w:t>
      </w:r>
    </w:p>
    <w:p w14:paraId="0676F615">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投标文件中的投标人、项目负责人、安全员与投标登记时的信息不一致的；</w:t>
      </w:r>
    </w:p>
    <w:p w14:paraId="43F1937A">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第二章“投标人须知”第1.4.3项规定的任何一种情形的；</w:t>
      </w:r>
    </w:p>
    <w:p w14:paraId="692869A8">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不按评标委员会要求澄清、说明或补正的；</w:t>
      </w:r>
    </w:p>
    <w:p w14:paraId="554CFF29">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投标人的报价明显低于其他投标报价，或者低于成本警示价的报价，投标人不能合理说明或者不能提供相应证明材料的；</w:t>
      </w:r>
    </w:p>
    <w:p w14:paraId="5592EE4F">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 不对评标委员会修正后的价格进行书面确认。</w:t>
      </w:r>
    </w:p>
    <w:p w14:paraId="712238A2">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三、作不合格标处理的情形</w:t>
      </w:r>
    </w:p>
    <w:p w14:paraId="2950AB62">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1.资格评审标准：见评标办法前附表。</w:t>
      </w:r>
    </w:p>
    <w:p w14:paraId="57A006A0">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2.形式评审标准：见评标办法前附表。</w:t>
      </w:r>
    </w:p>
    <w:p w14:paraId="720DCD22">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3.响应性评审标准：见评标办法前附表。</w:t>
      </w:r>
    </w:p>
    <w:p w14:paraId="1A436805">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四、其他否定投标文件效力情形</w:t>
      </w:r>
    </w:p>
    <w:p w14:paraId="5738C164">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两个（含两个）以上的投标人加密打包投标文件电脑机器码一致的；</w:t>
      </w:r>
    </w:p>
    <w:p w14:paraId="6E4B5887">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串通投标或弄虚作假或有其他违法行为的。</w:t>
      </w:r>
    </w:p>
    <w:p w14:paraId="42B4464F">
      <w:pPr>
        <w:pStyle w:val="7"/>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两个（含两个）以上的投标人投标文件工程量清单编制机器硬件信息一致的。</w:t>
      </w:r>
      <w:r>
        <w:rPr>
          <w:rFonts w:hint="eastAsia" w:ascii="宋体" w:hAnsi="宋体" w:eastAsia="宋体" w:cs="宋体"/>
          <w:color w:val="auto"/>
          <w:kern w:val="0"/>
          <w:sz w:val="24"/>
          <w:szCs w:val="24"/>
          <w:highlight w:val="none"/>
        </w:rPr>
        <w:br w:type="page"/>
      </w:r>
    </w:p>
    <w:p w14:paraId="54523E41">
      <w:pPr>
        <w:pStyle w:val="4"/>
        <w:rPr>
          <w:rFonts w:hint="eastAsia" w:ascii="宋体" w:hAnsi="宋体" w:eastAsia="宋体" w:cs="宋体"/>
          <w:color w:val="auto"/>
          <w:highlight w:val="none"/>
        </w:rPr>
      </w:pPr>
      <w:bookmarkStart w:id="681" w:name="_Toc24697"/>
      <w:r>
        <w:rPr>
          <w:rFonts w:hint="eastAsia" w:ascii="宋体" w:hAnsi="宋体" w:eastAsia="宋体" w:cs="宋体"/>
          <w:color w:val="auto"/>
          <w:highlight w:val="none"/>
        </w:rPr>
        <w:t>第十章 最高投标限价（招标控制价）</w:t>
      </w:r>
      <w:bookmarkEnd w:id="679"/>
      <w:bookmarkEnd w:id="680"/>
      <w:bookmarkEnd w:id="681"/>
    </w:p>
    <w:p w14:paraId="65E71E6A">
      <w:pPr>
        <w:spacing w:line="360" w:lineRule="auto"/>
        <w:ind w:firstLine="480"/>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详见最高投标限价公布函。</w:t>
      </w:r>
    </w:p>
    <w:p w14:paraId="1DA8547A">
      <w:pPr>
        <w:spacing w:line="360" w:lineRule="auto"/>
        <w:rPr>
          <w:rFonts w:hint="eastAsia" w:ascii="宋体" w:hAnsi="宋体" w:eastAsia="宋体" w:cs="宋体"/>
          <w:color w:val="auto"/>
          <w:sz w:val="24"/>
          <w:highlight w:val="none"/>
        </w:rPr>
      </w:pPr>
    </w:p>
    <w:sectPr>
      <w:footerReference r:id="rId9" w:type="default"/>
      <w:pgSz w:w="11906" w:h="16838"/>
      <w:pgMar w:top="1440" w:right="1797" w:bottom="1440"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sto MT">
    <w:altName w:val="Segoe Print"/>
    <w:panose1 w:val="02040603050505030304"/>
    <w:charset w:val="00"/>
    <w:family w:val="roman"/>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10" w:usb3="00000000" w:csb0="0004009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Wingdings 2">
    <w:altName w:val="Wingdings"/>
    <w:panose1 w:val="05020102010507070707"/>
    <w:charset w:val="00"/>
    <w:family w:val="auto"/>
    <w:pitch w:val="default"/>
    <w:sig w:usb0="00000000" w:usb1="00000000" w:usb2="00000000" w:usb3="00000000" w:csb0="80000000" w:csb1="00000000"/>
  </w:font>
  <w:font w:name="方正小标宋简体">
    <w:altName w:val="黑体"/>
    <w:panose1 w:val="03000509000000000000"/>
    <w:charset w:val="86"/>
    <w:family w:val="script"/>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2884B">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D1ED7D">
                          <w:pPr>
                            <w:pStyle w:val="28"/>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D1ED7D">
                    <w:pPr>
                      <w:pStyle w:val="2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AF28D">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50FF3">
                          <w:pPr>
                            <w:pStyle w:val="28"/>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4D150FF3">
                    <w:pPr>
                      <w:pStyle w:val="28"/>
                    </w:pPr>
                    <w:r>
                      <w:fldChar w:fldCharType="begin"/>
                    </w:r>
                    <w:r>
                      <w:instrText xml:space="preserve"> PAGE  \* MERGEFORMAT </w:instrText>
                    </w:r>
                    <w:r>
                      <w:fldChar w:fldCharType="separate"/>
                    </w:r>
                    <w:r>
                      <w:t>160</w:t>
                    </w:r>
                    <w:r>
                      <w:fldChar w:fldCharType="end"/>
                    </w:r>
                  </w:p>
                </w:txbxContent>
              </v:textbox>
            </v:shape>
          </w:pict>
        </mc:Fallback>
      </mc:AlternateContent>
    </w:r>
  </w:p>
  <w:p w14:paraId="2B89E88E">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21F9">
    <w:pPr>
      <w:pStyle w:val="2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F8E09">
                          <w:pPr>
                            <w:pStyle w:val="28"/>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055F8E09">
                    <w:pPr>
                      <w:pStyle w:val="28"/>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FA93B">
    <w:pPr>
      <w:pStyle w:val="29"/>
      <w:pBdr>
        <w:bottom w:val="none" w:color="auto" w:sz="0" w:space="0"/>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ECD89">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0E2E9"/>
    <w:multiLevelType w:val="multilevel"/>
    <w:tmpl w:val="8C20E2E9"/>
    <w:lvl w:ilvl="0" w:tentative="0">
      <w:start w:val="1"/>
      <w:numFmt w:val="chineseCounting"/>
      <w:suff w:val="nothing"/>
      <w:lvlText w:val="%1、"/>
      <w:lvlJc w:val="left"/>
      <w:pPr>
        <w:ind w:left="568"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FDDF585"/>
    <w:multiLevelType w:val="multilevel"/>
    <w:tmpl w:val="8FDDF585"/>
    <w:lvl w:ilvl="0" w:tentative="0">
      <w:start w:val="10"/>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9A5910A6"/>
    <w:multiLevelType w:val="multilevel"/>
    <w:tmpl w:val="9A5910A6"/>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3">
    <w:nsid w:val="A7CAFBDF"/>
    <w:multiLevelType w:val="multilevel"/>
    <w:tmpl w:val="A7CAFBDF"/>
    <w:lvl w:ilvl="0" w:tentative="0">
      <w:start w:val="1"/>
      <w:numFmt w:val="decimal"/>
      <w:lvlText w:val="%1)"/>
      <w:lvlJc w:val="left"/>
      <w:pPr>
        <w:ind w:left="780" w:hanging="360"/>
      </w:pPr>
      <w:rPr>
        <w:rFonts w:hint="default" w:ascii="Times New Roman" w:hAnsi="Times New Roman" w:cs="Times New Roman"/>
        <w:b w:val="0"/>
        <w:bCs w:val="0"/>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4">
    <w:nsid w:val="AD622EDE"/>
    <w:multiLevelType w:val="multilevel"/>
    <w:tmpl w:val="AD622EDE"/>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5">
    <w:nsid w:val="BA2607F6"/>
    <w:multiLevelType w:val="multilevel"/>
    <w:tmpl w:val="BA2607F6"/>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BAC743D0"/>
    <w:multiLevelType w:val="multilevel"/>
    <w:tmpl w:val="BAC743D0"/>
    <w:lvl w:ilvl="0" w:tentative="0">
      <w:start w:val="1"/>
      <w:numFmt w:val="decimal"/>
      <w:lvlText w:val="%1)"/>
      <w:lvlJc w:val="left"/>
      <w:pPr>
        <w:ind w:left="780" w:hanging="360"/>
      </w:pPr>
      <w:rPr>
        <w:rFonts w:hint="default" w:ascii="Times New Roman" w:hAnsi="Times New Roman" w:cs="Times New Roman"/>
        <w:b w:val="0"/>
        <w:bCs w:val="0"/>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7">
    <w:nsid w:val="BC92C063"/>
    <w:multiLevelType w:val="multilevel"/>
    <w:tmpl w:val="BC92C063"/>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CD49A726"/>
    <w:multiLevelType w:val="multilevel"/>
    <w:tmpl w:val="CD49A726"/>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CEAA0B68"/>
    <w:multiLevelType w:val="multilevel"/>
    <w:tmpl w:val="CEAA0B6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
    <w:nsid w:val="E0C56470"/>
    <w:multiLevelType w:val="multilevel"/>
    <w:tmpl w:val="E0C5647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E880F1C0"/>
    <w:multiLevelType w:val="multilevel"/>
    <w:tmpl w:val="E880F1C0"/>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2">
    <w:nsid w:val="068501D6"/>
    <w:multiLevelType w:val="multilevel"/>
    <w:tmpl w:val="068501D6"/>
    <w:lvl w:ilvl="0" w:tentative="0">
      <w:start w:val="1"/>
      <w:numFmt w:val="decimal"/>
      <w:lvlText w:val="%1)"/>
      <w:lvlJc w:val="left"/>
      <w:pPr>
        <w:ind w:left="440" w:hanging="44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3">
    <w:nsid w:val="1BAFB13A"/>
    <w:multiLevelType w:val="multilevel"/>
    <w:tmpl w:val="1BAFB13A"/>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21FB0951"/>
    <w:multiLevelType w:val="multilevel"/>
    <w:tmpl w:val="21FB095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259905B5"/>
    <w:multiLevelType w:val="multilevel"/>
    <w:tmpl w:val="259905B5"/>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6"/>
      <w:suff w:val="space"/>
      <w:lvlText w:val="%2.%3.%4"/>
      <w:lvlJc w:val="left"/>
      <w:pPr>
        <w:ind w:left="284" w:hanging="284"/>
      </w:pPr>
      <w:rPr>
        <w:rFonts w:hint="eastAsia" w:ascii="宋体" w:eastAsia="宋体"/>
        <w:b/>
        <w:i w:val="0"/>
        <w:sz w:val="28"/>
      </w:rPr>
    </w:lvl>
    <w:lvl w:ilvl="4" w:tentative="0">
      <w:start w:val="1"/>
      <w:numFmt w:val="decimal"/>
      <w:pStyle w:val="8"/>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16">
    <w:nsid w:val="332407F4"/>
    <w:multiLevelType w:val="multilevel"/>
    <w:tmpl w:val="332407F4"/>
    <w:lvl w:ilvl="0" w:tentative="0">
      <w:start w:val="1"/>
      <w:numFmt w:val="decimal"/>
      <w:lvlText w:val="%1."/>
      <w:lvlJc w:val="left"/>
      <w:pPr>
        <w:ind w:left="0" w:firstLine="0"/>
      </w:pPr>
      <w:rPr>
        <w:rFonts w:hint="eastAsia" w:ascii="宋体" w:hAnsi="宋体" w:eastAsia="宋体" w:cs="宋体"/>
      </w:rPr>
    </w:lvl>
    <w:lvl w:ilvl="1" w:tentative="0">
      <w:start w:val="1"/>
      <w:numFmt w:val="decimal"/>
      <w:lvlText w:val="%2)"/>
      <w:lvlJc w:val="left"/>
      <w:pPr>
        <w:ind w:left="440" w:hanging="440"/>
      </w:pPr>
      <w:rPr>
        <w:rFonts w:hint="default" w:ascii="Times New Roman" w:hAnsi="Times New Roman" w:cs="Times New Roman"/>
      </w:rPr>
    </w:lvl>
    <w:lvl w:ilvl="2" w:tentative="0">
      <w:start w:val="1"/>
      <w:numFmt w:val="decimal"/>
      <w:lvlText w:val="%3)"/>
      <w:lvlJc w:val="left"/>
      <w:pPr>
        <w:ind w:left="440" w:hanging="440"/>
      </w:pPr>
      <w:rPr>
        <w:rFonts w:hint="default" w:ascii="Times New Roman" w:hAnsi="Times New Roman" w:cs="Times New Roman"/>
      </w:rPr>
    </w:lvl>
    <w:lvl w:ilvl="3" w:tentative="0">
      <w:start w:val="1"/>
      <w:numFmt w:val="lowerLetter"/>
      <w:lvlText w:val="(%4)"/>
      <w:lvlJc w:val="left"/>
      <w:pPr>
        <w:ind w:left="0" w:firstLine="0"/>
      </w:pPr>
      <w:rPr>
        <w:rFonts w:hint="eastAsia" w:ascii="宋体" w:hAnsi="宋体" w:eastAsia="宋体" w:cs="宋体"/>
      </w:rPr>
    </w:lvl>
    <w:lvl w:ilvl="4" w:tentative="0">
      <w:start w:val="1"/>
      <w:numFmt w:val="decimal"/>
      <w:lvlText w:val="%5."/>
      <w:lvlJc w:val="left"/>
      <w:pPr>
        <w:ind w:left="0" w:firstLine="0"/>
      </w:pPr>
      <w:rPr>
        <w:rFonts w:hint="eastAsia" w:ascii="宋体" w:hAnsi="宋体" w:eastAsia="宋体" w:cs="宋体"/>
      </w:rPr>
    </w:lvl>
    <w:lvl w:ilvl="5" w:tentative="0">
      <w:start w:val="1"/>
      <w:numFmt w:val="lowerRoman"/>
      <w:lvlText w:val="%6)"/>
      <w:lvlJc w:val="left"/>
      <w:pPr>
        <w:ind w:left="0" w:firstLine="0"/>
      </w:pPr>
      <w:rPr>
        <w:rFonts w:hint="eastAsia" w:ascii="宋体" w:hAnsi="宋体" w:eastAsia="宋体" w:cs="宋体"/>
      </w:rPr>
    </w:lvl>
    <w:lvl w:ilvl="6" w:tentative="0">
      <w:start w:val="1"/>
      <w:numFmt w:val="decimal"/>
      <w:lvlText w:val="%7"/>
      <w:lvlJc w:val="left"/>
      <w:pPr>
        <w:ind w:left="0" w:firstLine="0"/>
      </w:pPr>
      <w:rPr>
        <w:rFonts w:hint="eastAsia" w:ascii="宋体" w:hAnsi="宋体" w:eastAsia="宋体" w:cs="宋体"/>
      </w:rPr>
    </w:lvl>
    <w:lvl w:ilvl="7" w:tentative="0">
      <w:start w:val="1"/>
      <w:numFmt w:val="decimal"/>
      <w:lvlText w:val="%7.%8"/>
      <w:lvlJc w:val="left"/>
      <w:pPr>
        <w:ind w:left="0" w:firstLine="0"/>
      </w:pPr>
      <w:rPr>
        <w:rFonts w:hint="eastAsia" w:ascii="宋体" w:hAnsi="宋体" w:eastAsia="宋体" w:cs="宋体"/>
      </w:rPr>
    </w:lvl>
    <w:lvl w:ilvl="8" w:tentative="0">
      <w:start w:val="1"/>
      <w:numFmt w:val="decimal"/>
      <w:lvlText w:val="%7.%8.%9"/>
      <w:lvlJc w:val="left"/>
      <w:pPr>
        <w:ind w:left="0" w:firstLine="0"/>
      </w:pPr>
      <w:rPr>
        <w:rFonts w:hint="eastAsia" w:ascii="宋体" w:hAnsi="宋体" w:eastAsia="宋体" w:cs="宋体"/>
      </w:rPr>
    </w:lvl>
  </w:abstractNum>
  <w:abstractNum w:abstractNumId="17">
    <w:nsid w:val="37934594"/>
    <w:multiLevelType w:val="multilevel"/>
    <w:tmpl w:val="37934594"/>
    <w:lvl w:ilvl="0" w:tentative="0">
      <w:start w:val="1"/>
      <w:numFmt w:val="bullet"/>
      <w:pStyle w:val="68"/>
      <w:lvlText w:val=""/>
      <w:lvlJc w:val="left"/>
      <w:pPr>
        <w:tabs>
          <w:tab w:val="left" w:pos="1500"/>
        </w:tabs>
        <w:ind w:left="1500" w:hanging="420"/>
      </w:pPr>
      <w:rPr>
        <w:rFonts w:hint="default" w:ascii="Wingdings" w:hAnsi="Wingdings"/>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8">
    <w:nsid w:val="63830C0F"/>
    <w:multiLevelType w:val="multilevel"/>
    <w:tmpl w:val="63830C0F"/>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19">
    <w:nsid w:val="6455185F"/>
    <w:multiLevelType w:val="multilevel"/>
    <w:tmpl w:val="6455185F"/>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0">
    <w:nsid w:val="6AF43571"/>
    <w:multiLevelType w:val="multilevel"/>
    <w:tmpl w:val="6AF43571"/>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6BE21553"/>
    <w:multiLevelType w:val="multilevel"/>
    <w:tmpl w:val="6BE21553"/>
    <w:lvl w:ilvl="0" w:tentative="0">
      <w:start w:val="1"/>
      <w:numFmt w:val="decimal"/>
      <w:lvlText w:val="CHAPTER  %1"/>
      <w:lvlJc w:val="left"/>
      <w:pPr>
        <w:tabs>
          <w:tab w:val="left" w:pos="2880"/>
        </w:tabs>
        <w:ind w:left="1985" w:hanging="1985"/>
      </w:pPr>
      <w:rPr>
        <w:rFonts w:hint="default" w:ascii="Times New Roman" w:hAnsi="Times New Roman"/>
        <w:caps/>
        <w:strike w:val="0"/>
        <w:dstrike w:val="0"/>
        <w:vanish w:val="0"/>
        <w:color w:val="auto"/>
        <w:vertAlign w:val="baseline"/>
      </w:rPr>
    </w:lvl>
    <w:lvl w:ilvl="1" w:tentative="0">
      <w:start w:val="1"/>
      <w:numFmt w:val="decimal"/>
      <w:lvlText w:val="1.%2"/>
      <w:lvlJc w:val="left"/>
      <w:pPr>
        <w:tabs>
          <w:tab w:val="left" w:pos="680"/>
        </w:tabs>
        <w:ind w:left="680" w:hanging="680"/>
      </w:pPr>
      <w:rPr>
        <w:rFonts w:hint="eastAsia"/>
      </w:rPr>
    </w:lvl>
    <w:lvl w:ilvl="2" w:tentative="0">
      <w:start w:val="1"/>
      <w:numFmt w:val="decimal"/>
      <w:lvlText w:val="1.%2.%3"/>
      <w:lvlJc w:val="left"/>
      <w:pPr>
        <w:tabs>
          <w:tab w:val="left" w:pos="1307"/>
        </w:tabs>
        <w:ind w:left="964" w:hanging="737"/>
      </w:pPr>
      <w:rPr>
        <w:rFonts w:hint="eastAsia"/>
        <w:caps w:val="0"/>
        <w:strike w:val="0"/>
        <w:dstrike w:val="0"/>
        <w:vanish w:val="0"/>
        <w:color w:val="auto"/>
        <w:vertAlign w:val="baseline"/>
      </w:rPr>
    </w:lvl>
    <w:lvl w:ilvl="3" w:tentative="0">
      <w:start w:val="1"/>
      <w:numFmt w:val="decimal"/>
      <w:lvlText w:val="1.%2.%3.%4"/>
      <w:lvlJc w:val="left"/>
      <w:pPr>
        <w:tabs>
          <w:tab w:val="left" w:pos="1894"/>
        </w:tabs>
        <w:ind w:left="1304" w:hanging="850"/>
      </w:pPr>
      <w:rPr>
        <w:rFonts w:hint="eastAsia"/>
      </w:rPr>
    </w:lvl>
    <w:lvl w:ilvl="4" w:tentative="0">
      <w:start w:val="1"/>
      <w:numFmt w:val="upperLetter"/>
      <w:pStyle w:val="126"/>
      <w:lvlText w:val="%5."/>
      <w:lvlJc w:val="left"/>
      <w:pPr>
        <w:tabs>
          <w:tab w:val="left" w:pos="453"/>
        </w:tabs>
        <w:ind w:left="453" w:hanging="453"/>
      </w:pPr>
      <w:rPr>
        <w:rFonts w:hint="eastAsia"/>
      </w:rPr>
    </w:lvl>
    <w:lvl w:ilvl="5" w:tentative="0">
      <w:start w:val="1"/>
      <w:numFmt w:val="decimal"/>
      <w:lvlText w:val="%6."/>
      <w:lvlJc w:val="left"/>
      <w:pPr>
        <w:tabs>
          <w:tab w:val="left" w:pos="1134"/>
        </w:tabs>
        <w:ind w:left="1134" w:hanging="454"/>
      </w:pPr>
      <w:rPr>
        <w:rFonts w:hint="eastAsia"/>
      </w:rPr>
    </w:lvl>
    <w:lvl w:ilvl="6" w:tentative="0">
      <w:start w:val="1"/>
      <w:numFmt w:val="lowerLetter"/>
      <w:lvlText w:val="%7."/>
      <w:lvlJc w:val="left"/>
      <w:pPr>
        <w:tabs>
          <w:tab w:val="left" w:pos="1588"/>
        </w:tabs>
        <w:ind w:left="1588" w:hanging="454"/>
      </w:pPr>
      <w:rPr>
        <w:rFonts w:hint="eastAsia"/>
      </w:rPr>
    </w:lvl>
    <w:lvl w:ilvl="7" w:tentative="0">
      <w:start w:val="1"/>
      <w:numFmt w:val="lowerRoman"/>
      <w:lvlText w:val="%8."/>
      <w:lvlJc w:val="left"/>
      <w:pPr>
        <w:tabs>
          <w:tab w:val="left" w:pos="2308"/>
        </w:tabs>
        <w:ind w:left="2041" w:hanging="453"/>
      </w:pPr>
      <w:rPr>
        <w:rFonts w:hint="eastAsia"/>
      </w:rPr>
    </w:lvl>
    <w:lvl w:ilvl="8" w:tentative="0">
      <w:start w:val="1"/>
      <w:numFmt w:val="decimal"/>
      <w:lvlText w:val="(%9)"/>
      <w:lvlJc w:val="left"/>
      <w:pPr>
        <w:tabs>
          <w:tab w:val="left" w:pos="747"/>
        </w:tabs>
        <w:ind w:left="747" w:hanging="567"/>
      </w:pPr>
      <w:rPr>
        <w:rFonts w:hint="eastAsia"/>
      </w:rPr>
    </w:lvl>
  </w:abstractNum>
  <w:abstractNum w:abstractNumId="22">
    <w:nsid w:val="7407ABC1"/>
    <w:multiLevelType w:val="multilevel"/>
    <w:tmpl w:val="7407ABC1"/>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3">
    <w:nsid w:val="783754AB"/>
    <w:multiLevelType w:val="multilevel"/>
    <w:tmpl w:val="783754AB"/>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4">
    <w:nsid w:val="78B1538B"/>
    <w:multiLevelType w:val="multilevel"/>
    <w:tmpl w:val="78B1538B"/>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5">
    <w:nsid w:val="7C3395E8"/>
    <w:multiLevelType w:val="multilevel"/>
    <w:tmpl w:val="7C3395E8"/>
    <w:lvl w:ilvl="0" w:tentative="0">
      <w:start w:val="1"/>
      <w:numFmt w:val="decimal"/>
      <w:lvlText w:val="%1)"/>
      <w:lvlJc w:val="left"/>
      <w:pPr>
        <w:ind w:left="440" w:hanging="44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num w:numId="1">
    <w:abstractNumId w:val="15"/>
  </w:num>
  <w:num w:numId="2">
    <w:abstractNumId w:val="17"/>
  </w:num>
  <w:num w:numId="3">
    <w:abstractNumId w:val="21"/>
  </w:num>
  <w:num w:numId="4">
    <w:abstractNumId w:val="22"/>
  </w:num>
  <w:num w:numId="5">
    <w:abstractNumId w:val="2"/>
  </w:num>
  <w:num w:numId="6">
    <w:abstractNumId w:val="11"/>
  </w:num>
  <w:num w:numId="7">
    <w:abstractNumId w:val="6"/>
  </w:num>
  <w:num w:numId="8">
    <w:abstractNumId w:val="13"/>
  </w:num>
  <w:num w:numId="9">
    <w:abstractNumId w:val="18"/>
  </w:num>
  <w:num w:numId="10">
    <w:abstractNumId w:val="19"/>
  </w:num>
  <w:num w:numId="11">
    <w:abstractNumId w:val="10"/>
  </w:num>
  <w:num w:numId="12">
    <w:abstractNumId w:val="14"/>
  </w:num>
  <w:num w:numId="13">
    <w:abstractNumId w:val="9"/>
  </w:num>
  <w:num w:numId="14">
    <w:abstractNumId w:val="20"/>
  </w:num>
  <w:num w:numId="15">
    <w:abstractNumId w:val="8"/>
  </w:num>
  <w:num w:numId="16">
    <w:abstractNumId w:val="5"/>
  </w:num>
  <w:num w:numId="17">
    <w:abstractNumId w:val="23"/>
  </w:num>
  <w:num w:numId="18">
    <w:abstractNumId w:val="12"/>
  </w:num>
  <w:num w:numId="19">
    <w:abstractNumId w:val="1"/>
  </w:num>
  <w:num w:numId="20">
    <w:abstractNumId w:val="3"/>
  </w:num>
  <w:num w:numId="21">
    <w:abstractNumId w:val="24"/>
  </w:num>
  <w:num w:numId="22">
    <w:abstractNumId w:val="16"/>
  </w:num>
  <w:num w:numId="23">
    <w:abstractNumId w:val="0"/>
  </w:num>
  <w:num w:numId="24">
    <w:abstractNumId w:val="7"/>
  </w:num>
  <w:num w:numId="25">
    <w:abstractNumId w:val="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MzA2ZDAzMjI2Mzg3ZDdjN2IzMmRjNmU0OWIyNGIifQ=="/>
  </w:docVars>
  <w:rsids>
    <w:rsidRoot w:val="00172A27"/>
    <w:rsid w:val="0000106A"/>
    <w:rsid w:val="000011EC"/>
    <w:rsid w:val="00001F4D"/>
    <w:rsid w:val="000027A3"/>
    <w:rsid w:val="00003900"/>
    <w:rsid w:val="0000591C"/>
    <w:rsid w:val="00006970"/>
    <w:rsid w:val="00006980"/>
    <w:rsid w:val="00007A01"/>
    <w:rsid w:val="000104F5"/>
    <w:rsid w:val="00011448"/>
    <w:rsid w:val="000119E1"/>
    <w:rsid w:val="00011E78"/>
    <w:rsid w:val="000121F8"/>
    <w:rsid w:val="000135DF"/>
    <w:rsid w:val="000158FD"/>
    <w:rsid w:val="0001592C"/>
    <w:rsid w:val="000163FD"/>
    <w:rsid w:val="00017189"/>
    <w:rsid w:val="00017F65"/>
    <w:rsid w:val="00020165"/>
    <w:rsid w:val="00020304"/>
    <w:rsid w:val="00020C21"/>
    <w:rsid w:val="00020E54"/>
    <w:rsid w:val="0002229A"/>
    <w:rsid w:val="0002298F"/>
    <w:rsid w:val="00022D64"/>
    <w:rsid w:val="0002343E"/>
    <w:rsid w:val="00023CAC"/>
    <w:rsid w:val="00024466"/>
    <w:rsid w:val="000250AE"/>
    <w:rsid w:val="00025582"/>
    <w:rsid w:val="0002582B"/>
    <w:rsid w:val="00025A66"/>
    <w:rsid w:val="00026D37"/>
    <w:rsid w:val="0002719E"/>
    <w:rsid w:val="00027681"/>
    <w:rsid w:val="00027E91"/>
    <w:rsid w:val="000304E8"/>
    <w:rsid w:val="0003090E"/>
    <w:rsid w:val="0003114A"/>
    <w:rsid w:val="00031290"/>
    <w:rsid w:val="00033951"/>
    <w:rsid w:val="00035396"/>
    <w:rsid w:val="0003598E"/>
    <w:rsid w:val="00035A65"/>
    <w:rsid w:val="00035D62"/>
    <w:rsid w:val="00035F0F"/>
    <w:rsid w:val="000367DE"/>
    <w:rsid w:val="00040BE5"/>
    <w:rsid w:val="00040EEA"/>
    <w:rsid w:val="00041B01"/>
    <w:rsid w:val="000426E0"/>
    <w:rsid w:val="0004337C"/>
    <w:rsid w:val="00044102"/>
    <w:rsid w:val="000441E8"/>
    <w:rsid w:val="000447E1"/>
    <w:rsid w:val="000466C2"/>
    <w:rsid w:val="00047073"/>
    <w:rsid w:val="00047C6B"/>
    <w:rsid w:val="000524C1"/>
    <w:rsid w:val="000529F5"/>
    <w:rsid w:val="00052E8A"/>
    <w:rsid w:val="00052FB7"/>
    <w:rsid w:val="00053289"/>
    <w:rsid w:val="000532DC"/>
    <w:rsid w:val="000541B0"/>
    <w:rsid w:val="00056371"/>
    <w:rsid w:val="0005779C"/>
    <w:rsid w:val="00057858"/>
    <w:rsid w:val="00060579"/>
    <w:rsid w:val="000618EE"/>
    <w:rsid w:val="00061CF8"/>
    <w:rsid w:val="00061E2B"/>
    <w:rsid w:val="0006269E"/>
    <w:rsid w:val="000631D6"/>
    <w:rsid w:val="00065BCF"/>
    <w:rsid w:val="0006600D"/>
    <w:rsid w:val="0006766A"/>
    <w:rsid w:val="000703F8"/>
    <w:rsid w:val="00070A86"/>
    <w:rsid w:val="00070BE2"/>
    <w:rsid w:val="00070D0C"/>
    <w:rsid w:val="00070FFA"/>
    <w:rsid w:val="00072E6B"/>
    <w:rsid w:val="00073518"/>
    <w:rsid w:val="00073BE1"/>
    <w:rsid w:val="00073FF4"/>
    <w:rsid w:val="000761D8"/>
    <w:rsid w:val="000766A8"/>
    <w:rsid w:val="00076703"/>
    <w:rsid w:val="0007724E"/>
    <w:rsid w:val="0007743C"/>
    <w:rsid w:val="00080922"/>
    <w:rsid w:val="000809E0"/>
    <w:rsid w:val="0008242A"/>
    <w:rsid w:val="000828DF"/>
    <w:rsid w:val="00083829"/>
    <w:rsid w:val="00083A13"/>
    <w:rsid w:val="00084CD5"/>
    <w:rsid w:val="00085B45"/>
    <w:rsid w:val="0008674C"/>
    <w:rsid w:val="00086B85"/>
    <w:rsid w:val="00087268"/>
    <w:rsid w:val="000874E6"/>
    <w:rsid w:val="0009188F"/>
    <w:rsid w:val="00091BCD"/>
    <w:rsid w:val="00091DAA"/>
    <w:rsid w:val="00092085"/>
    <w:rsid w:val="000922F2"/>
    <w:rsid w:val="0009247B"/>
    <w:rsid w:val="00092526"/>
    <w:rsid w:val="0009296C"/>
    <w:rsid w:val="00093358"/>
    <w:rsid w:val="000939D5"/>
    <w:rsid w:val="00094F4F"/>
    <w:rsid w:val="00095BEB"/>
    <w:rsid w:val="00097A28"/>
    <w:rsid w:val="000A167F"/>
    <w:rsid w:val="000A1C76"/>
    <w:rsid w:val="000A33F9"/>
    <w:rsid w:val="000A34CA"/>
    <w:rsid w:val="000A3EEF"/>
    <w:rsid w:val="000A4A09"/>
    <w:rsid w:val="000A5859"/>
    <w:rsid w:val="000A5885"/>
    <w:rsid w:val="000A6559"/>
    <w:rsid w:val="000A6B18"/>
    <w:rsid w:val="000B0A8B"/>
    <w:rsid w:val="000B0D53"/>
    <w:rsid w:val="000B18FA"/>
    <w:rsid w:val="000B20D3"/>
    <w:rsid w:val="000B21E1"/>
    <w:rsid w:val="000B22AB"/>
    <w:rsid w:val="000B2690"/>
    <w:rsid w:val="000B36F8"/>
    <w:rsid w:val="000B4629"/>
    <w:rsid w:val="000B4634"/>
    <w:rsid w:val="000B5AE8"/>
    <w:rsid w:val="000B5FA0"/>
    <w:rsid w:val="000B6FF8"/>
    <w:rsid w:val="000B706A"/>
    <w:rsid w:val="000C0083"/>
    <w:rsid w:val="000C1778"/>
    <w:rsid w:val="000C23EB"/>
    <w:rsid w:val="000C45C5"/>
    <w:rsid w:val="000C52EF"/>
    <w:rsid w:val="000C542C"/>
    <w:rsid w:val="000C662D"/>
    <w:rsid w:val="000C79A9"/>
    <w:rsid w:val="000C7A17"/>
    <w:rsid w:val="000C7E7F"/>
    <w:rsid w:val="000D120D"/>
    <w:rsid w:val="000D358E"/>
    <w:rsid w:val="000D391E"/>
    <w:rsid w:val="000D4841"/>
    <w:rsid w:val="000D4B69"/>
    <w:rsid w:val="000D745C"/>
    <w:rsid w:val="000D798E"/>
    <w:rsid w:val="000D7C8B"/>
    <w:rsid w:val="000D7F58"/>
    <w:rsid w:val="000E16A0"/>
    <w:rsid w:val="000E16D2"/>
    <w:rsid w:val="000E2135"/>
    <w:rsid w:val="000E2A6E"/>
    <w:rsid w:val="000E2B9D"/>
    <w:rsid w:val="000E30BB"/>
    <w:rsid w:val="000E364B"/>
    <w:rsid w:val="000E421A"/>
    <w:rsid w:val="000E4A11"/>
    <w:rsid w:val="000E51FD"/>
    <w:rsid w:val="000F0998"/>
    <w:rsid w:val="000F1D7C"/>
    <w:rsid w:val="000F20F8"/>
    <w:rsid w:val="000F2422"/>
    <w:rsid w:val="000F2664"/>
    <w:rsid w:val="000F345E"/>
    <w:rsid w:val="000F68E8"/>
    <w:rsid w:val="000F6A3E"/>
    <w:rsid w:val="000F6D81"/>
    <w:rsid w:val="001000C9"/>
    <w:rsid w:val="00100483"/>
    <w:rsid w:val="00100563"/>
    <w:rsid w:val="001035A4"/>
    <w:rsid w:val="00103751"/>
    <w:rsid w:val="00103ACE"/>
    <w:rsid w:val="00103EC1"/>
    <w:rsid w:val="0010532D"/>
    <w:rsid w:val="00105455"/>
    <w:rsid w:val="00105DF6"/>
    <w:rsid w:val="001101F5"/>
    <w:rsid w:val="00110C54"/>
    <w:rsid w:val="001112FC"/>
    <w:rsid w:val="001135BB"/>
    <w:rsid w:val="00114122"/>
    <w:rsid w:val="001145AD"/>
    <w:rsid w:val="0011512C"/>
    <w:rsid w:val="00115512"/>
    <w:rsid w:val="0011639B"/>
    <w:rsid w:val="0011671B"/>
    <w:rsid w:val="0011697B"/>
    <w:rsid w:val="001169EE"/>
    <w:rsid w:val="001204A4"/>
    <w:rsid w:val="00120674"/>
    <w:rsid w:val="001206D3"/>
    <w:rsid w:val="00122DAF"/>
    <w:rsid w:val="0012343E"/>
    <w:rsid w:val="00123C8D"/>
    <w:rsid w:val="00125C36"/>
    <w:rsid w:val="001261B2"/>
    <w:rsid w:val="00126AA3"/>
    <w:rsid w:val="0012762B"/>
    <w:rsid w:val="001279B7"/>
    <w:rsid w:val="00127A7C"/>
    <w:rsid w:val="0013088A"/>
    <w:rsid w:val="00132737"/>
    <w:rsid w:val="00132AA1"/>
    <w:rsid w:val="0013311E"/>
    <w:rsid w:val="001331D3"/>
    <w:rsid w:val="00134D62"/>
    <w:rsid w:val="0013541A"/>
    <w:rsid w:val="001357F4"/>
    <w:rsid w:val="00135D37"/>
    <w:rsid w:val="00135F03"/>
    <w:rsid w:val="00136493"/>
    <w:rsid w:val="001366A7"/>
    <w:rsid w:val="001366F4"/>
    <w:rsid w:val="001368C5"/>
    <w:rsid w:val="00137BEB"/>
    <w:rsid w:val="001406D1"/>
    <w:rsid w:val="00140CF7"/>
    <w:rsid w:val="001416C2"/>
    <w:rsid w:val="00141F8F"/>
    <w:rsid w:val="00144AEA"/>
    <w:rsid w:val="00144C37"/>
    <w:rsid w:val="00144CBA"/>
    <w:rsid w:val="00144D13"/>
    <w:rsid w:val="00145150"/>
    <w:rsid w:val="00147125"/>
    <w:rsid w:val="00147820"/>
    <w:rsid w:val="00147995"/>
    <w:rsid w:val="00147A04"/>
    <w:rsid w:val="001513B9"/>
    <w:rsid w:val="00151966"/>
    <w:rsid w:val="0015229E"/>
    <w:rsid w:val="00152C85"/>
    <w:rsid w:val="00157F73"/>
    <w:rsid w:val="00160CDC"/>
    <w:rsid w:val="00160DE6"/>
    <w:rsid w:val="00161BEB"/>
    <w:rsid w:val="00162AEB"/>
    <w:rsid w:val="00164BE8"/>
    <w:rsid w:val="00166B4E"/>
    <w:rsid w:val="00170092"/>
    <w:rsid w:val="0017082F"/>
    <w:rsid w:val="00171835"/>
    <w:rsid w:val="00172694"/>
    <w:rsid w:val="00172A27"/>
    <w:rsid w:val="0017364E"/>
    <w:rsid w:val="00174F81"/>
    <w:rsid w:val="00175411"/>
    <w:rsid w:val="00175736"/>
    <w:rsid w:val="0017692E"/>
    <w:rsid w:val="00181C1D"/>
    <w:rsid w:val="00181CFC"/>
    <w:rsid w:val="00183F8D"/>
    <w:rsid w:val="001845DF"/>
    <w:rsid w:val="0018494B"/>
    <w:rsid w:val="001858F2"/>
    <w:rsid w:val="0019024D"/>
    <w:rsid w:val="00193FB0"/>
    <w:rsid w:val="00195155"/>
    <w:rsid w:val="00196E15"/>
    <w:rsid w:val="00196F3D"/>
    <w:rsid w:val="00197679"/>
    <w:rsid w:val="001A1D81"/>
    <w:rsid w:val="001A1D9B"/>
    <w:rsid w:val="001A23F8"/>
    <w:rsid w:val="001A262C"/>
    <w:rsid w:val="001A34EF"/>
    <w:rsid w:val="001A47C4"/>
    <w:rsid w:val="001A5822"/>
    <w:rsid w:val="001A5BFC"/>
    <w:rsid w:val="001A6611"/>
    <w:rsid w:val="001A7EB7"/>
    <w:rsid w:val="001B060A"/>
    <w:rsid w:val="001B0D70"/>
    <w:rsid w:val="001B1115"/>
    <w:rsid w:val="001B1375"/>
    <w:rsid w:val="001B2DAC"/>
    <w:rsid w:val="001B3403"/>
    <w:rsid w:val="001B341A"/>
    <w:rsid w:val="001B3C8C"/>
    <w:rsid w:val="001B4337"/>
    <w:rsid w:val="001B4900"/>
    <w:rsid w:val="001B4D12"/>
    <w:rsid w:val="001B51D2"/>
    <w:rsid w:val="001B6993"/>
    <w:rsid w:val="001C0BE8"/>
    <w:rsid w:val="001C104C"/>
    <w:rsid w:val="001C21AC"/>
    <w:rsid w:val="001C2C1C"/>
    <w:rsid w:val="001C3866"/>
    <w:rsid w:val="001C3E61"/>
    <w:rsid w:val="001C5079"/>
    <w:rsid w:val="001C64DF"/>
    <w:rsid w:val="001C65DB"/>
    <w:rsid w:val="001C6A03"/>
    <w:rsid w:val="001C6C88"/>
    <w:rsid w:val="001C79E4"/>
    <w:rsid w:val="001D16DF"/>
    <w:rsid w:val="001D2294"/>
    <w:rsid w:val="001D3B91"/>
    <w:rsid w:val="001D3EED"/>
    <w:rsid w:val="001D46EB"/>
    <w:rsid w:val="001D4B81"/>
    <w:rsid w:val="001D5C8C"/>
    <w:rsid w:val="001D7254"/>
    <w:rsid w:val="001E1DD2"/>
    <w:rsid w:val="001E3773"/>
    <w:rsid w:val="001E54EB"/>
    <w:rsid w:val="001E68B2"/>
    <w:rsid w:val="001E68D2"/>
    <w:rsid w:val="001E6C57"/>
    <w:rsid w:val="001E7246"/>
    <w:rsid w:val="001E72E7"/>
    <w:rsid w:val="001F03B5"/>
    <w:rsid w:val="001F27F4"/>
    <w:rsid w:val="001F4283"/>
    <w:rsid w:val="001F4C5A"/>
    <w:rsid w:val="001F5386"/>
    <w:rsid w:val="001F59A0"/>
    <w:rsid w:val="001F7F74"/>
    <w:rsid w:val="00200DFA"/>
    <w:rsid w:val="00201588"/>
    <w:rsid w:val="0020187B"/>
    <w:rsid w:val="00201B1B"/>
    <w:rsid w:val="00202002"/>
    <w:rsid w:val="00202023"/>
    <w:rsid w:val="0020216A"/>
    <w:rsid w:val="00202CE9"/>
    <w:rsid w:val="00204073"/>
    <w:rsid w:val="00204669"/>
    <w:rsid w:val="002062F8"/>
    <w:rsid w:val="00206D42"/>
    <w:rsid w:val="0021045D"/>
    <w:rsid w:val="0021113F"/>
    <w:rsid w:val="002111BE"/>
    <w:rsid w:val="00211407"/>
    <w:rsid w:val="002125C7"/>
    <w:rsid w:val="00213924"/>
    <w:rsid w:val="00214198"/>
    <w:rsid w:val="00214A1D"/>
    <w:rsid w:val="00215702"/>
    <w:rsid w:val="00215C65"/>
    <w:rsid w:val="00215FEC"/>
    <w:rsid w:val="00216510"/>
    <w:rsid w:val="0021655A"/>
    <w:rsid w:val="002171FC"/>
    <w:rsid w:val="0021763E"/>
    <w:rsid w:val="00217A5D"/>
    <w:rsid w:val="00220A39"/>
    <w:rsid w:val="00221AE5"/>
    <w:rsid w:val="00222767"/>
    <w:rsid w:val="00222CEB"/>
    <w:rsid w:val="00223C54"/>
    <w:rsid w:val="00224488"/>
    <w:rsid w:val="0022505C"/>
    <w:rsid w:val="00225929"/>
    <w:rsid w:val="00226952"/>
    <w:rsid w:val="002275E0"/>
    <w:rsid w:val="002279B6"/>
    <w:rsid w:val="00227C3B"/>
    <w:rsid w:val="002304F8"/>
    <w:rsid w:val="00232430"/>
    <w:rsid w:val="00232A0E"/>
    <w:rsid w:val="00232EC9"/>
    <w:rsid w:val="00233AB6"/>
    <w:rsid w:val="00233BDB"/>
    <w:rsid w:val="00235E27"/>
    <w:rsid w:val="00236092"/>
    <w:rsid w:val="002365F0"/>
    <w:rsid w:val="00237067"/>
    <w:rsid w:val="0023717C"/>
    <w:rsid w:val="00240994"/>
    <w:rsid w:val="002416CC"/>
    <w:rsid w:val="002418BE"/>
    <w:rsid w:val="00241AE5"/>
    <w:rsid w:val="00241B03"/>
    <w:rsid w:val="00242859"/>
    <w:rsid w:val="00244C52"/>
    <w:rsid w:val="00245A5B"/>
    <w:rsid w:val="002463B3"/>
    <w:rsid w:val="002473FE"/>
    <w:rsid w:val="0025003E"/>
    <w:rsid w:val="0025020C"/>
    <w:rsid w:val="00250782"/>
    <w:rsid w:val="00255C2C"/>
    <w:rsid w:val="00255D41"/>
    <w:rsid w:val="00255EBF"/>
    <w:rsid w:val="00256BCF"/>
    <w:rsid w:val="002600B6"/>
    <w:rsid w:val="002613C4"/>
    <w:rsid w:val="00261BF9"/>
    <w:rsid w:val="00264D5C"/>
    <w:rsid w:val="00264FF1"/>
    <w:rsid w:val="002655C8"/>
    <w:rsid w:val="002656D7"/>
    <w:rsid w:val="00265EDF"/>
    <w:rsid w:val="00266C69"/>
    <w:rsid w:val="00266C8F"/>
    <w:rsid w:val="002671A9"/>
    <w:rsid w:val="002712C3"/>
    <w:rsid w:val="00272731"/>
    <w:rsid w:val="00272F33"/>
    <w:rsid w:val="0027313C"/>
    <w:rsid w:val="002731B4"/>
    <w:rsid w:val="002737C9"/>
    <w:rsid w:val="00274AAA"/>
    <w:rsid w:val="002755C1"/>
    <w:rsid w:val="00275A21"/>
    <w:rsid w:val="00275B9E"/>
    <w:rsid w:val="00275DCC"/>
    <w:rsid w:val="00277379"/>
    <w:rsid w:val="0027741A"/>
    <w:rsid w:val="0028046A"/>
    <w:rsid w:val="002813AD"/>
    <w:rsid w:val="0028268E"/>
    <w:rsid w:val="002826CB"/>
    <w:rsid w:val="00282D15"/>
    <w:rsid w:val="00282E0A"/>
    <w:rsid w:val="002830D6"/>
    <w:rsid w:val="0028335F"/>
    <w:rsid w:val="00284564"/>
    <w:rsid w:val="00284FD1"/>
    <w:rsid w:val="00286BA6"/>
    <w:rsid w:val="00287A4B"/>
    <w:rsid w:val="00287FF1"/>
    <w:rsid w:val="002902BB"/>
    <w:rsid w:val="0029073F"/>
    <w:rsid w:val="002916AC"/>
    <w:rsid w:val="00291864"/>
    <w:rsid w:val="0029193E"/>
    <w:rsid w:val="00291C56"/>
    <w:rsid w:val="00291DA8"/>
    <w:rsid w:val="00291EDB"/>
    <w:rsid w:val="00292A31"/>
    <w:rsid w:val="00293672"/>
    <w:rsid w:val="00294A3C"/>
    <w:rsid w:val="00295612"/>
    <w:rsid w:val="00295A4B"/>
    <w:rsid w:val="002A0ACC"/>
    <w:rsid w:val="002A0D56"/>
    <w:rsid w:val="002A186F"/>
    <w:rsid w:val="002A1B57"/>
    <w:rsid w:val="002A2152"/>
    <w:rsid w:val="002A27D3"/>
    <w:rsid w:val="002A3891"/>
    <w:rsid w:val="002A3C4B"/>
    <w:rsid w:val="002A436A"/>
    <w:rsid w:val="002A4587"/>
    <w:rsid w:val="002A4C49"/>
    <w:rsid w:val="002A64AB"/>
    <w:rsid w:val="002A7450"/>
    <w:rsid w:val="002B2BD0"/>
    <w:rsid w:val="002B3555"/>
    <w:rsid w:val="002B3F18"/>
    <w:rsid w:val="002B444D"/>
    <w:rsid w:val="002C00B0"/>
    <w:rsid w:val="002C20A3"/>
    <w:rsid w:val="002C21F4"/>
    <w:rsid w:val="002C29E9"/>
    <w:rsid w:val="002C4B80"/>
    <w:rsid w:val="002C5A99"/>
    <w:rsid w:val="002C6AA7"/>
    <w:rsid w:val="002D0B5B"/>
    <w:rsid w:val="002D17E0"/>
    <w:rsid w:val="002D3F6E"/>
    <w:rsid w:val="002D44D8"/>
    <w:rsid w:val="002D4610"/>
    <w:rsid w:val="002D48D4"/>
    <w:rsid w:val="002D5217"/>
    <w:rsid w:val="002D5AB4"/>
    <w:rsid w:val="002D68E8"/>
    <w:rsid w:val="002D7464"/>
    <w:rsid w:val="002E0BBF"/>
    <w:rsid w:val="002E13DD"/>
    <w:rsid w:val="002E1E77"/>
    <w:rsid w:val="002E3738"/>
    <w:rsid w:val="002E3B40"/>
    <w:rsid w:val="002E41F6"/>
    <w:rsid w:val="002E430C"/>
    <w:rsid w:val="002E4917"/>
    <w:rsid w:val="002E5E9C"/>
    <w:rsid w:val="002E797E"/>
    <w:rsid w:val="002F05DB"/>
    <w:rsid w:val="002F08FF"/>
    <w:rsid w:val="002F0F90"/>
    <w:rsid w:val="002F1E7B"/>
    <w:rsid w:val="002F3288"/>
    <w:rsid w:val="002F3CE0"/>
    <w:rsid w:val="002F5F62"/>
    <w:rsid w:val="002F66DE"/>
    <w:rsid w:val="002F6D19"/>
    <w:rsid w:val="002F6EDF"/>
    <w:rsid w:val="002F7225"/>
    <w:rsid w:val="002F7F78"/>
    <w:rsid w:val="003001BB"/>
    <w:rsid w:val="00301819"/>
    <w:rsid w:val="00301973"/>
    <w:rsid w:val="00301F53"/>
    <w:rsid w:val="003023DE"/>
    <w:rsid w:val="00303A68"/>
    <w:rsid w:val="00304565"/>
    <w:rsid w:val="00306711"/>
    <w:rsid w:val="00306763"/>
    <w:rsid w:val="0030685B"/>
    <w:rsid w:val="00306C01"/>
    <w:rsid w:val="00306D27"/>
    <w:rsid w:val="00310571"/>
    <w:rsid w:val="00311298"/>
    <w:rsid w:val="0031379E"/>
    <w:rsid w:val="00313DEB"/>
    <w:rsid w:val="00314362"/>
    <w:rsid w:val="00315AEB"/>
    <w:rsid w:val="00316340"/>
    <w:rsid w:val="00317ED3"/>
    <w:rsid w:val="00320585"/>
    <w:rsid w:val="0032198F"/>
    <w:rsid w:val="0032219D"/>
    <w:rsid w:val="0032281F"/>
    <w:rsid w:val="00322E1B"/>
    <w:rsid w:val="00324664"/>
    <w:rsid w:val="00324E42"/>
    <w:rsid w:val="00324FA7"/>
    <w:rsid w:val="00325023"/>
    <w:rsid w:val="00325AFE"/>
    <w:rsid w:val="00325C38"/>
    <w:rsid w:val="003268D5"/>
    <w:rsid w:val="0032696D"/>
    <w:rsid w:val="00327324"/>
    <w:rsid w:val="003302AC"/>
    <w:rsid w:val="00330559"/>
    <w:rsid w:val="00330A19"/>
    <w:rsid w:val="00330C89"/>
    <w:rsid w:val="00331C51"/>
    <w:rsid w:val="00332A2D"/>
    <w:rsid w:val="003333B2"/>
    <w:rsid w:val="00336299"/>
    <w:rsid w:val="00336F4E"/>
    <w:rsid w:val="0033770E"/>
    <w:rsid w:val="00340C42"/>
    <w:rsid w:val="0034104E"/>
    <w:rsid w:val="00341052"/>
    <w:rsid w:val="00341216"/>
    <w:rsid w:val="00341B79"/>
    <w:rsid w:val="00342015"/>
    <w:rsid w:val="003425E0"/>
    <w:rsid w:val="003446AA"/>
    <w:rsid w:val="003450A0"/>
    <w:rsid w:val="003461A8"/>
    <w:rsid w:val="00346247"/>
    <w:rsid w:val="00346C8E"/>
    <w:rsid w:val="00350FA1"/>
    <w:rsid w:val="003524FC"/>
    <w:rsid w:val="00353B4C"/>
    <w:rsid w:val="00355B39"/>
    <w:rsid w:val="003575C2"/>
    <w:rsid w:val="00357CC2"/>
    <w:rsid w:val="00357EBA"/>
    <w:rsid w:val="00360D42"/>
    <w:rsid w:val="003617DC"/>
    <w:rsid w:val="00361A8B"/>
    <w:rsid w:val="00361CDE"/>
    <w:rsid w:val="00362115"/>
    <w:rsid w:val="0036250F"/>
    <w:rsid w:val="00364EA6"/>
    <w:rsid w:val="003650A7"/>
    <w:rsid w:val="00365739"/>
    <w:rsid w:val="00365C04"/>
    <w:rsid w:val="00366AEE"/>
    <w:rsid w:val="0037079E"/>
    <w:rsid w:val="003719C1"/>
    <w:rsid w:val="003726F8"/>
    <w:rsid w:val="003727E8"/>
    <w:rsid w:val="00372999"/>
    <w:rsid w:val="003737E4"/>
    <w:rsid w:val="00373965"/>
    <w:rsid w:val="00373E72"/>
    <w:rsid w:val="003756A0"/>
    <w:rsid w:val="003774C2"/>
    <w:rsid w:val="00377D3A"/>
    <w:rsid w:val="00380310"/>
    <w:rsid w:val="00382351"/>
    <w:rsid w:val="00382B13"/>
    <w:rsid w:val="00382B6B"/>
    <w:rsid w:val="00384568"/>
    <w:rsid w:val="003858F0"/>
    <w:rsid w:val="003860B5"/>
    <w:rsid w:val="0038689C"/>
    <w:rsid w:val="003908BA"/>
    <w:rsid w:val="00390C8D"/>
    <w:rsid w:val="003914FD"/>
    <w:rsid w:val="003917BD"/>
    <w:rsid w:val="00392F46"/>
    <w:rsid w:val="00393005"/>
    <w:rsid w:val="00394009"/>
    <w:rsid w:val="003951F1"/>
    <w:rsid w:val="00395C73"/>
    <w:rsid w:val="00395F28"/>
    <w:rsid w:val="00396222"/>
    <w:rsid w:val="00396B09"/>
    <w:rsid w:val="00396D99"/>
    <w:rsid w:val="003974CC"/>
    <w:rsid w:val="003A0734"/>
    <w:rsid w:val="003A07D6"/>
    <w:rsid w:val="003A2295"/>
    <w:rsid w:val="003A3F4C"/>
    <w:rsid w:val="003A42F5"/>
    <w:rsid w:val="003A5CBE"/>
    <w:rsid w:val="003A6114"/>
    <w:rsid w:val="003A6245"/>
    <w:rsid w:val="003A6A89"/>
    <w:rsid w:val="003B034A"/>
    <w:rsid w:val="003B072C"/>
    <w:rsid w:val="003B188E"/>
    <w:rsid w:val="003B25CF"/>
    <w:rsid w:val="003B3791"/>
    <w:rsid w:val="003B44FC"/>
    <w:rsid w:val="003B4A15"/>
    <w:rsid w:val="003B4D61"/>
    <w:rsid w:val="003C0267"/>
    <w:rsid w:val="003C0344"/>
    <w:rsid w:val="003C30B0"/>
    <w:rsid w:val="003C34D4"/>
    <w:rsid w:val="003C4CDB"/>
    <w:rsid w:val="003C684E"/>
    <w:rsid w:val="003C6AC1"/>
    <w:rsid w:val="003D0386"/>
    <w:rsid w:val="003D1359"/>
    <w:rsid w:val="003D18C7"/>
    <w:rsid w:val="003D21F5"/>
    <w:rsid w:val="003D3F4E"/>
    <w:rsid w:val="003D4AB9"/>
    <w:rsid w:val="003D4D60"/>
    <w:rsid w:val="003D4EE9"/>
    <w:rsid w:val="003D69B7"/>
    <w:rsid w:val="003D6D7C"/>
    <w:rsid w:val="003D7DD7"/>
    <w:rsid w:val="003E1289"/>
    <w:rsid w:val="003E1E46"/>
    <w:rsid w:val="003E22A6"/>
    <w:rsid w:val="003E281E"/>
    <w:rsid w:val="003E34A1"/>
    <w:rsid w:val="003E35BE"/>
    <w:rsid w:val="003E40D7"/>
    <w:rsid w:val="003E5D55"/>
    <w:rsid w:val="003E6915"/>
    <w:rsid w:val="003E74EB"/>
    <w:rsid w:val="003F000D"/>
    <w:rsid w:val="003F0091"/>
    <w:rsid w:val="003F1625"/>
    <w:rsid w:val="003F1641"/>
    <w:rsid w:val="003F39E9"/>
    <w:rsid w:val="003F5D68"/>
    <w:rsid w:val="003F5FCB"/>
    <w:rsid w:val="003F65D9"/>
    <w:rsid w:val="003F6716"/>
    <w:rsid w:val="003F6B53"/>
    <w:rsid w:val="00401971"/>
    <w:rsid w:val="00401DDA"/>
    <w:rsid w:val="00401EAD"/>
    <w:rsid w:val="004020A3"/>
    <w:rsid w:val="00403006"/>
    <w:rsid w:val="00403049"/>
    <w:rsid w:val="0040602F"/>
    <w:rsid w:val="004061C4"/>
    <w:rsid w:val="004065E6"/>
    <w:rsid w:val="004067E6"/>
    <w:rsid w:val="00406E8C"/>
    <w:rsid w:val="004071B0"/>
    <w:rsid w:val="00410432"/>
    <w:rsid w:val="004128EE"/>
    <w:rsid w:val="00412C70"/>
    <w:rsid w:val="00412CEF"/>
    <w:rsid w:val="004145C2"/>
    <w:rsid w:val="00414A5D"/>
    <w:rsid w:val="00414BA0"/>
    <w:rsid w:val="00415519"/>
    <w:rsid w:val="00415715"/>
    <w:rsid w:val="00415A03"/>
    <w:rsid w:val="00415FBE"/>
    <w:rsid w:val="00415FE1"/>
    <w:rsid w:val="00416EDF"/>
    <w:rsid w:val="00417BBD"/>
    <w:rsid w:val="00417F67"/>
    <w:rsid w:val="00420F95"/>
    <w:rsid w:val="00421593"/>
    <w:rsid w:val="00421AD5"/>
    <w:rsid w:val="0042298D"/>
    <w:rsid w:val="00422A90"/>
    <w:rsid w:val="00423840"/>
    <w:rsid w:val="00425B47"/>
    <w:rsid w:val="0042616F"/>
    <w:rsid w:val="00426191"/>
    <w:rsid w:val="00426346"/>
    <w:rsid w:val="004273E5"/>
    <w:rsid w:val="00430909"/>
    <w:rsid w:val="004327BF"/>
    <w:rsid w:val="00434090"/>
    <w:rsid w:val="00434668"/>
    <w:rsid w:val="004348A0"/>
    <w:rsid w:val="00435735"/>
    <w:rsid w:val="00436173"/>
    <w:rsid w:val="004374C3"/>
    <w:rsid w:val="004405E5"/>
    <w:rsid w:val="0044381E"/>
    <w:rsid w:val="00443D45"/>
    <w:rsid w:val="00443D91"/>
    <w:rsid w:val="0044420D"/>
    <w:rsid w:val="00444C05"/>
    <w:rsid w:val="00445D0A"/>
    <w:rsid w:val="00445E04"/>
    <w:rsid w:val="00446174"/>
    <w:rsid w:val="00446FE7"/>
    <w:rsid w:val="00447602"/>
    <w:rsid w:val="00450849"/>
    <w:rsid w:val="00451973"/>
    <w:rsid w:val="004526DC"/>
    <w:rsid w:val="00453BE6"/>
    <w:rsid w:val="004540E3"/>
    <w:rsid w:val="004545D7"/>
    <w:rsid w:val="00454ED2"/>
    <w:rsid w:val="00455250"/>
    <w:rsid w:val="00455788"/>
    <w:rsid w:val="00455DBD"/>
    <w:rsid w:val="004576FB"/>
    <w:rsid w:val="00457855"/>
    <w:rsid w:val="00457CC0"/>
    <w:rsid w:val="00460831"/>
    <w:rsid w:val="00460F87"/>
    <w:rsid w:val="004622B8"/>
    <w:rsid w:val="00462417"/>
    <w:rsid w:val="00462C45"/>
    <w:rsid w:val="00464136"/>
    <w:rsid w:val="00464CC5"/>
    <w:rsid w:val="00465E7B"/>
    <w:rsid w:val="0046642C"/>
    <w:rsid w:val="00466719"/>
    <w:rsid w:val="0046685C"/>
    <w:rsid w:val="004669D2"/>
    <w:rsid w:val="00466A95"/>
    <w:rsid w:val="00467894"/>
    <w:rsid w:val="00467E20"/>
    <w:rsid w:val="00470C58"/>
    <w:rsid w:val="00470EA8"/>
    <w:rsid w:val="004711A8"/>
    <w:rsid w:val="004717D5"/>
    <w:rsid w:val="00472531"/>
    <w:rsid w:val="004734AB"/>
    <w:rsid w:val="0047413C"/>
    <w:rsid w:val="00474A97"/>
    <w:rsid w:val="00475823"/>
    <w:rsid w:val="00475AED"/>
    <w:rsid w:val="00475F5E"/>
    <w:rsid w:val="004809F7"/>
    <w:rsid w:val="0048126F"/>
    <w:rsid w:val="0048185A"/>
    <w:rsid w:val="00481C3E"/>
    <w:rsid w:val="004830EE"/>
    <w:rsid w:val="00483642"/>
    <w:rsid w:val="004849C4"/>
    <w:rsid w:val="00486491"/>
    <w:rsid w:val="0048658C"/>
    <w:rsid w:val="004869D7"/>
    <w:rsid w:val="00487FF3"/>
    <w:rsid w:val="00490B5A"/>
    <w:rsid w:val="00490C72"/>
    <w:rsid w:val="0049116C"/>
    <w:rsid w:val="004927F0"/>
    <w:rsid w:val="00492AB7"/>
    <w:rsid w:val="0049328D"/>
    <w:rsid w:val="004933EA"/>
    <w:rsid w:val="0049432D"/>
    <w:rsid w:val="00494935"/>
    <w:rsid w:val="0049526C"/>
    <w:rsid w:val="004A0470"/>
    <w:rsid w:val="004A0A73"/>
    <w:rsid w:val="004A0E32"/>
    <w:rsid w:val="004A1CB0"/>
    <w:rsid w:val="004A24F1"/>
    <w:rsid w:val="004A26C2"/>
    <w:rsid w:val="004A3908"/>
    <w:rsid w:val="004A42B8"/>
    <w:rsid w:val="004A589F"/>
    <w:rsid w:val="004A6643"/>
    <w:rsid w:val="004A71EE"/>
    <w:rsid w:val="004A7ED7"/>
    <w:rsid w:val="004B1C93"/>
    <w:rsid w:val="004B1F05"/>
    <w:rsid w:val="004B2B6C"/>
    <w:rsid w:val="004B46C5"/>
    <w:rsid w:val="004B68AA"/>
    <w:rsid w:val="004B6EEF"/>
    <w:rsid w:val="004C3A86"/>
    <w:rsid w:val="004C3D1E"/>
    <w:rsid w:val="004C4A46"/>
    <w:rsid w:val="004C4CE8"/>
    <w:rsid w:val="004C4DFC"/>
    <w:rsid w:val="004D03A0"/>
    <w:rsid w:val="004D0F3C"/>
    <w:rsid w:val="004D240E"/>
    <w:rsid w:val="004D283E"/>
    <w:rsid w:val="004D3676"/>
    <w:rsid w:val="004D5427"/>
    <w:rsid w:val="004D585E"/>
    <w:rsid w:val="004D5BEC"/>
    <w:rsid w:val="004D5C3F"/>
    <w:rsid w:val="004D67F4"/>
    <w:rsid w:val="004D6993"/>
    <w:rsid w:val="004D6A6D"/>
    <w:rsid w:val="004D6B6A"/>
    <w:rsid w:val="004D7F24"/>
    <w:rsid w:val="004E07AA"/>
    <w:rsid w:val="004E15B0"/>
    <w:rsid w:val="004E1B4D"/>
    <w:rsid w:val="004E2F70"/>
    <w:rsid w:val="004E3732"/>
    <w:rsid w:val="004E409C"/>
    <w:rsid w:val="004E4DCF"/>
    <w:rsid w:val="004E615F"/>
    <w:rsid w:val="004E77D0"/>
    <w:rsid w:val="004E7878"/>
    <w:rsid w:val="004F1C70"/>
    <w:rsid w:val="004F30AE"/>
    <w:rsid w:val="004F4C92"/>
    <w:rsid w:val="004F4DC5"/>
    <w:rsid w:val="004F52E3"/>
    <w:rsid w:val="004F593B"/>
    <w:rsid w:val="004F7491"/>
    <w:rsid w:val="00500F8C"/>
    <w:rsid w:val="0050108E"/>
    <w:rsid w:val="00502963"/>
    <w:rsid w:val="00502F7F"/>
    <w:rsid w:val="00503238"/>
    <w:rsid w:val="0050402B"/>
    <w:rsid w:val="00505334"/>
    <w:rsid w:val="005057DB"/>
    <w:rsid w:val="005062CF"/>
    <w:rsid w:val="00506526"/>
    <w:rsid w:val="005065BE"/>
    <w:rsid w:val="00506942"/>
    <w:rsid w:val="00506BC7"/>
    <w:rsid w:val="00506EC0"/>
    <w:rsid w:val="0050727A"/>
    <w:rsid w:val="0050767E"/>
    <w:rsid w:val="00507850"/>
    <w:rsid w:val="005078DD"/>
    <w:rsid w:val="00510011"/>
    <w:rsid w:val="005109D3"/>
    <w:rsid w:val="00512063"/>
    <w:rsid w:val="00513283"/>
    <w:rsid w:val="00513561"/>
    <w:rsid w:val="00515C48"/>
    <w:rsid w:val="00515E96"/>
    <w:rsid w:val="0051776F"/>
    <w:rsid w:val="00521A26"/>
    <w:rsid w:val="0052353B"/>
    <w:rsid w:val="0052412C"/>
    <w:rsid w:val="00524B1B"/>
    <w:rsid w:val="005255B0"/>
    <w:rsid w:val="0052595F"/>
    <w:rsid w:val="0052601A"/>
    <w:rsid w:val="0052658B"/>
    <w:rsid w:val="00527A6C"/>
    <w:rsid w:val="005306B5"/>
    <w:rsid w:val="00531698"/>
    <w:rsid w:val="005344BC"/>
    <w:rsid w:val="00534E64"/>
    <w:rsid w:val="00535C0D"/>
    <w:rsid w:val="00536331"/>
    <w:rsid w:val="00536B35"/>
    <w:rsid w:val="00537C63"/>
    <w:rsid w:val="00540EAA"/>
    <w:rsid w:val="00541B66"/>
    <w:rsid w:val="00542484"/>
    <w:rsid w:val="00544C5A"/>
    <w:rsid w:val="00545609"/>
    <w:rsid w:val="005458E9"/>
    <w:rsid w:val="00545FB5"/>
    <w:rsid w:val="00546D9A"/>
    <w:rsid w:val="00546F6B"/>
    <w:rsid w:val="00551E77"/>
    <w:rsid w:val="005521A1"/>
    <w:rsid w:val="005521AB"/>
    <w:rsid w:val="00553DC7"/>
    <w:rsid w:val="00554E35"/>
    <w:rsid w:val="00556D04"/>
    <w:rsid w:val="00557119"/>
    <w:rsid w:val="005573ED"/>
    <w:rsid w:val="00557649"/>
    <w:rsid w:val="0056190E"/>
    <w:rsid w:val="00562724"/>
    <w:rsid w:val="0056448C"/>
    <w:rsid w:val="005650E1"/>
    <w:rsid w:val="0056794C"/>
    <w:rsid w:val="00571A79"/>
    <w:rsid w:val="00571BE9"/>
    <w:rsid w:val="00571C96"/>
    <w:rsid w:val="005721EE"/>
    <w:rsid w:val="00574533"/>
    <w:rsid w:val="00574C33"/>
    <w:rsid w:val="00575215"/>
    <w:rsid w:val="00575CF8"/>
    <w:rsid w:val="005760C5"/>
    <w:rsid w:val="00576B4D"/>
    <w:rsid w:val="00577006"/>
    <w:rsid w:val="00577722"/>
    <w:rsid w:val="00577A61"/>
    <w:rsid w:val="005801B7"/>
    <w:rsid w:val="00580218"/>
    <w:rsid w:val="005806D7"/>
    <w:rsid w:val="00580D62"/>
    <w:rsid w:val="00582E97"/>
    <w:rsid w:val="005837AB"/>
    <w:rsid w:val="00583C23"/>
    <w:rsid w:val="005853C5"/>
    <w:rsid w:val="00585A7F"/>
    <w:rsid w:val="00585C13"/>
    <w:rsid w:val="00585DCD"/>
    <w:rsid w:val="00585E76"/>
    <w:rsid w:val="00586127"/>
    <w:rsid w:val="00586362"/>
    <w:rsid w:val="005863B2"/>
    <w:rsid w:val="00586E08"/>
    <w:rsid w:val="005872BD"/>
    <w:rsid w:val="0058760B"/>
    <w:rsid w:val="00587FCE"/>
    <w:rsid w:val="00590BE7"/>
    <w:rsid w:val="005911FC"/>
    <w:rsid w:val="005919B1"/>
    <w:rsid w:val="00591A20"/>
    <w:rsid w:val="00593B04"/>
    <w:rsid w:val="00594329"/>
    <w:rsid w:val="00594988"/>
    <w:rsid w:val="00594A23"/>
    <w:rsid w:val="00595049"/>
    <w:rsid w:val="00595427"/>
    <w:rsid w:val="00595611"/>
    <w:rsid w:val="00595DA7"/>
    <w:rsid w:val="00597003"/>
    <w:rsid w:val="00597C53"/>
    <w:rsid w:val="005A2F16"/>
    <w:rsid w:val="005A3EFF"/>
    <w:rsid w:val="005A4135"/>
    <w:rsid w:val="005A46B4"/>
    <w:rsid w:val="005A6FC8"/>
    <w:rsid w:val="005B079F"/>
    <w:rsid w:val="005B0BA1"/>
    <w:rsid w:val="005B0D4A"/>
    <w:rsid w:val="005B0D5F"/>
    <w:rsid w:val="005B1EFE"/>
    <w:rsid w:val="005B29B7"/>
    <w:rsid w:val="005B2B83"/>
    <w:rsid w:val="005B4263"/>
    <w:rsid w:val="005B540E"/>
    <w:rsid w:val="005B5C2F"/>
    <w:rsid w:val="005B5D6A"/>
    <w:rsid w:val="005B659A"/>
    <w:rsid w:val="005C1DC4"/>
    <w:rsid w:val="005C297C"/>
    <w:rsid w:val="005C2E33"/>
    <w:rsid w:val="005C4BEC"/>
    <w:rsid w:val="005C52DE"/>
    <w:rsid w:val="005C5E2B"/>
    <w:rsid w:val="005C60F3"/>
    <w:rsid w:val="005C6200"/>
    <w:rsid w:val="005C6478"/>
    <w:rsid w:val="005C6BA1"/>
    <w:rsid w:val="005C7253"/>
    <w:rsid w:val="005C7363"/>
    <w:rsid w:val="005C7568"/>
    <w:rsid w:val="005C7BFF"/>
    <w:rsid w:val="005C7FD0"/>
    <w:rsid w:val="005D0616"/>
    <w:rsid w:val="005D0662"/>
    <w:rsid w:val="005D4E65"/>
    <w:rsid w:val="005D6033"/>
    <w:rsid w:val="005D722F"/>
    <w:rsid w:val="005D7A38"/>
    <w:rsid w:val="005D7DB0"/>
    <w:rsid w:val="005E04BD"/>
    <w:rsid w:val="005E05B7"/>
    <w:rsid w:val="005E07C2"/>
    <w:rsid w:val="005E0F48"/>
    <w:rsid w:val="005E19A9"/>
    <w:rsid w:val="005E1D20"/>
    <w:rsid w:val="005E1EEE"/>
    <w:rsid w:val="005E23F1"/>
    <w:rsid w:val="005E406A"/>
    <w:rsid w:val="005E4707"/>
    <w:rsid w:val="005E5791"/>
    <w:rsid w:val="005E72D0"/>
    <w:rsid w:val="005F16A2"/>
    <w:rsid w:val="005F1947"/>
    <w:rsid w:val="005F20D7"/>
    <w:rsid w:val="005F2DC2"/>
    <w:rsid w:val="005F33EE"/>
    <w:rsid w:val="005F3ADC"/>
    <w:rsid w:val="005F47A9"/>
    <w:rsid w:val="005F4B93"/>
    <w:rsid w:val="005F4CAB"/>
    <w:rsid w:val="005F4D18"/>
    <w:rsid w:val="005F74AC"/>
    <w:rsid w:val="00601698"/>
    <w:rsid w:val="00602942"/>
    <w:rsid w:val="0060367B"/>
    <w:rsid w:val="00604003"/>
    <w:rsid w:val="006050AA"/>
    <w:rsid w:val="00605200"/>
    <w:rsid w:val="0060544E"/>
    <w:rsid w:val="006054D7"/>
    <w:rsid w:val="0060559C"/>
    <w:rsid w:val="00605AC6"/>
    <w:rsid w:val="0060668C"/>
    <w:rsid w:val="00606E92"/>
    <w:rsid w:val="0061064B"/>
    <w:rsid w:val="00612BA9"/>
    <w:rsid w:val="00613B85"/>
    <w:rsid w:val="00613FC7"/>
    <w:rsid w:val="006141AD"/>
    <w:rsid w:val="00614783"/>
    <w:rsid w:val="006152A8"/>
    <w:rsid w:val="00616365"/>
    <w:rsid w:val="00617C50"/>
    <w:rsid w:val="00617F75"/>
    <w:rsid w:val="00621FEC"/>
    <w:rsid w:val="00622AC5"/>
    <w:rsid w:val="00623109"/>
    <w:rsid w:val="00623EDE"/>
    <w:rsid w:val="0062455F"/>
    <w:rsid w:val="00624619"/>
    <w:rsid w:val="00624A5B"/>
    <w:rsid w:val="00624DA7"/>
    <w:rsid w:val="00624EDE"/>
    <w:rsid w:val="00625120"/>
    <w:rsid w:val="0062596E"/>
    <w:rsid w:val="0062645A"/>
    <w:rsid w:val="0063015F"/>
    <w:rsid w:val="00631410"/>
    <w:rsid w:val="00631B2B"/>
    <w:rsid w:val="00632729"/>
    <w:rsid w:val="006340EA"/>
    <w:rsid w:val="0063575A"/>
    <w:rsid w:val="00635C82"/>
    <w:rsid w:val="0063661B"/>
    <w:rsid w:val="0063671C"/>
    <w:rsid w:val="006369C6"/>
    <w:rsid w:val="006415C6"/>
    <w:rsid w:val="00642066"/>
    <w:rsid w:val="0064256A"/>
    <w:rsid w:val="00642BD5"/>
    <w:rsid w:val="00647451"/>
    <w:rsid w:val="00650AEE"/>
    <w:rsid w:val="0065134C"/>
    <w:rsid w:val="00651A3B"/>
    <w:rsid w:val="0065273F"/>
    <w:rsid w:val="006528BE"/>
    <w:rsid w:val="00653F15"/>
    <w:rsid w:val="00655439"/>
    <w:rsid w:val="00655F05"/>
    <w:rsid w:val="006566D1"/>
    <w:rsid w:val="00656F98"/>
    <w:rsid w:val="00660933"/>
    <w:rsid w:val="00660F0F"/>
    <w:rsid w:val="00661574"/>
    <w:rsid w:val="006618EF"/>
    <w:rsid w:val="00661DAB"/>
    <w:rsid w:val="0066200A"/>
    <w:rsid w:val="00663190"/>
    <w:rsid w:val="00665801"/>
    <w:rsid w:val="006665F3"/>
    <w:rsid w:val="00666C7D"/>
    <w:rsid w:val="0067019A"/>
    <w:rsid w:val="00670376"/>
    <w:rsid w:val="00670EBE"/>
    <w:rsid w:val="00673545"/>
    <w:rsid w:val="006739C4"/>
    <w:rsid w:val="00676FC7"/>
    <w:rsid w:val="006771D7"/>
    <w:rsid w:val="00677686"/>
    <w:rsid w:val="0068176A"/>
    <w:rsid w:val="00683146"/>
    <w:rsid w:val="00683559"/>
    <w:rsid w:val="00684587"/>
    <w:rsid w:val="00684AF4"/>
    <w:rsid w:val="00684CF3"/>
    <w:rsid w:val="006855C7"/>
    <w:rsid w:val="006863AA"/>
    <w:rsid w:val="006870B6"/>
    <w:rsid w:val="00687C4D"/>
    <w:rsid w:val="00691644"/>
    <w:rsid w:val="00692220"/>
    <w:rsid w:val="00692587"/>
    <w:rsid w:val="0069291A"/>
    <w:rsid w:val="00693511"/>
    <w:rsid w:val="0069385A"/>
    <w:rsid w:val="00694345"/>
    <w:rsid w:val="00694FB7"/>
    <w:rsid w:val="00695433"/>
    <w:rsid w:val="00696961"/>
    <w:rsid w:val="00696D60"/>
    <w:rsid w:val="006A004C"/>
    <w:rsid w:val="006A1270"/>
    <w:rsid w:val="006A1276"/>
    <w:rsid w:val="006A3259"/>
    <w:rsid w:val="006A455E"/>
    <w:rsid w:val="006A6554"/>
    <w:rsid w:val="006A6E82"/>
    <w:rsid w:val="006A6F25"/>
    <w:rsid w:val="006A7B4D"/>
    <w:rsid w:val="006A7E26"/>
    <w:rsid w:val="006A7E53"/>
    <w:rsid w:val="006B0D4E"/>
    <w:rsid w:val="006B1B24"/>
    <w:rsid w:val="006B1BD2"/>
    <w:rsid w:val="006B3097"/>
    <w:rsid w:val="006B38B6"/>
    <w:rsid w:val="006B4190"/>
    <w:rsid w:val="006B44C5"/>
    <w:rsid w:val="006B4F3D"/>
    <w:rsid w:val="006B5AF1"/>
    <w:rsid w:val="006B5BA6"/>
    <w:rsid w:val="006B66CB"/>
    <w:rsid w:val="006B7624"/>
    <w:rsid w:val="006C1398"/>
    <w:rsid w:val="006C383E"/>
    <w:rsid w:val="006C528A"/>
    <w:rsid w:val="006C7290"/>
    <w:rsid w:val="006C7391"/>
    <w:rsid w:val="006C7677"/>
    <w:rsid w:val="006D0A42"/>
    <w:rsid w:val="006D1829"/>
    <w:rsid w:val="006D1EBD"/>
    <w:rsid w:val="006D2CB9"/>
    <w:rsid w:val="006D314C"/>
    <w:rsid w:val="006D35E5"/>
    <w:rsid w:val="006D3C13"/>
    <w:rsid w:val="006D467B"/>
    <w:rsid w:val="006D748D"/>
    <w:rsid w:val="006D7999"/>
    <w:rsid w:val="006D7AC7"/>
    <w:rsid w:val="006D7C42"/>
    <w:rsid w:val="006D7F3B"/>
    <w:rsid w:val="006E031F"/>
    <w:rsid w:val="006E09E4"/>
    <w:rsid w:val="006E0C9A"/>
    <w:rsid w:val="006E1092"/>
    <w:rsid w:val="006E2182"/>
    <w:rsid w:val="006E2543"/>
    <w:rsid w:val="006E3781"/>
    <w:rsid w:val="006E546C"/>
    <w:rsid w:val="006E63CD"/>
    <w:rsid w:val="006E711D"/>
    <w:rsid w:val="006E7627"/>
    <w:rsid w:val="006F047C"/>
    <w:rsid w:val="006F1BB0"/>
    <w:rsid w:val="006F3767"/>
    <w:rsid w:val="006F5369"/>
    <w:rsid w:val="006F5819"/>
    <w:rsid w:val="006F5CB6"/>
    <w:rsid w:val="006F5D7A"/>
    <w:rsid w:val="006F7972"/>
    <w:rsid w:val="006F7BC7"/>
    <w:rsid w:val="006F7FD9"/>
    <w:rsid w:val="007019EA"/>
    <w:rsid w:val="00702098"/>
    <w:rsid w:val="00702AC4"/>
    <w:rsid w:val="00703918"/>
    <w:rsid w:val="00704F63"/>
    <w:rsid w:val="00705FF0"/>
    <w:rsid w:val="00706283"/>
    <w:rsid w:val="007063A0"/>
    <w:rsid w:val="0070654C"/>
    <w:rsid w:val="00707428"/>
    <w:rsid w:val="00710AD2"/>
    <w:rsid w:val="00711BDB"/>
    <w:rsid w:val="00711EF3"/>
    <w:rsid w:val="00712352"/>
    <w:rsid w:val="007123B7"/>
    <w:rsid w:val="00712EBC"/>
    <w:rsid w:val="0071396B"/>
    <w:rsid w:val="00713B1D"/>
    <w:rsid w:val="00713C91"/>
    <w:rsid w:val="00714478"/>
    <w:rsid w:val="00714886"/>
    <w:rsid w:val="00716370"/>
    <w:rsid w:val="00717276"/>
    <w:rsid w:val="00717C19"/>
    <w:rsid w:val="00717FE0"/>
    <w:rsid w:val="007204E8"/>
    <w:rsid w:val="00721620"/>
    <w:rsid w:val="0072260B"/>
    <w:rsid w:val="00724B64"/>
    <w:rsid w:val="00726559"/>
    <w:rsid w:val="007277C3"/>
    <w:rsid w:val="007303AC"/>
    <w:rsid w:val="00731455"/>
    <w:rsid w:val="00731B95"/>
    <w:rsid w:val="007321A1"/>
    <w:rsid w:val="00733727"/>
    <w:rsid w:val="00733862"/>
    <w:rsid w:val="00733A3B"/>
    <w:rsid w:val="0073423B"/>
    <w:rsid w:val="00734671"/>
    <w:rsid w:val="0073512A"/>
    <w:rsid w:val="00735FD6"/>
    <w:rsid w:val="00741732"/>
    <w:rsid w:val="00742426"/>
    <w:rsid w:val="00745C3C"/>
    <w:rsid w:val="00747710"/>
    <w:rsid w:val="0074775B"/>
    <w:rsid w:val="007478FC"/>
    <w:rsid w:val="0075026E"/>
    <w:rsid w:val="00750AED"/>
    <w:rsid w:val="00750DA8"/>
    <w:rsid w:val="00751224"/>
    <w:rsid w:val="007512CF"/>
    <w:rsid w:val="00751F42"/>
    <w:rsid w:val="0075207E"/>
    <w:rsid w:val="0075243E"/>
    <w:rsid w:val="007524AC"/>
    <w:rsid w:val="00752920"/>
    <w:rsid w:val="00752ACB"/>
    <w:rsid w:val="007536CB"/>
    <w:rsid w:val="007538FC"/>
    <w:rsid w:val="00755D27"/>
    <w:rsid w:val="00756192"/>
    <w:rsid w:val="00757B10"/>
    <w:rsid w:val="00757DC5"/>
    <w:rsid w:val="00760D6B"/>
    <w:rsid w:val="00760E28"/>
    <w:rsid w:val="00761CBF"/>
    <w:rsid w:val="007623D7"/>
    <w:rsid w:val="00762611"/>
    <w:rsid w:val="007639E9"/>
    <w:rsid w:val="007648CC"/>
    <w:rsid w:val="0076566A"/>
    <w:rsid w:val="00765FBD"/>
    <w:rsid w:val="00767277"/>
    <w:rsid w:val="00767441"/>
    <w:rsid w:val="00767972"/>
    <w:rsid w:val="00767B4F"/>
    <w:rsid w:val="007702D0"/>
    <w:rsid w:val="00770431"/>
    <w:rsid w:val="00772AA3"/>
    <w:rsid w:val="007743D5"/>
    <w:rsid w:val="00774A4E"/>
    <w:rsid w:val="007755E7"/>
    <w:rsid w:val="0077631D"/>
    <w:rsid w:val="00777521"/>
    <w:rsid w:val="007810A7"/>
    <w:rsid w:val="00781A70"/>
    <w:rsid w:val="00781AAB"/>
    <w:rsid w:val="00781B1D"/>
    <w:rsid w:val="00782100"/>
    <w:rsid w:val="0078213E"/>
    <w:rsid w:val="007835D9"/>
    <w:rsid w:val="00783750"/>
    <w:rsid w:val="0078393C"/>
    <w:rsid w:val="00784C90"/>
    <w:rsid w:val="00784D88"/>
    <w:rsid w:val="00787E72"/>
    <w:rsid w:val="00787EE6"/>
    <w:rsid w:val="007918C4"/>
    <w:rsid w:val="00791EF5"/>
    <w:rsid w:val="007932CB"/>
    <w:rsid w:val="00793C74"/>
    <w:rsid w:val="007950FF"/>
    <w:rsid w:val="0079534C"/>
    <w:rsid w:val="0079585B"/>
    <w:rsid w:val="00795A1D"/>
    <w:rsid w:val="00796EE7"/>
    <w:rsid w:val="00796FE2"/>
    <w:rsid w:val="00796FFF"/>
    <w:rsid w:val="007A0036"/>
    <w:rsid w:val="007A18AA"/>
    <w:rsid w:val="007A2BB4"/>
    <w:rsid w:val="007A39F8"/>
    <w:rsid w:val="007A5114"/>
    <w:rsid w:val="007A5846"/>
    <w:rsid w:val="007A597B"/>
    <w:rsid w:val="007A5B40"/>
    <w:rsid w:val="007A60D3"/>
    <w:rsid w:val="007A655E"/>
    <w:rsid w:val="007A6F03"/>
    <w:rsid w:val="007A74FD"/>
    <w:rsid w:val="007A7D3B"/>
    <w:rsid w:val="007A7ED4"/>
    <w:rsid w:val="007B0043"/>
    <w:rsid w:val="007B0A7B"/>
    <w:rsid w:val="007B0ADD"/>
    <w:rsid w:val="007B0CE7"/>
    <w:rsid w:val="007B1327"/>
    <w:rsid w:val="007B169C"/>
    <w:rsid w:val="007B16E9"/>
    <w:rsid w:val="007B1F1D"/>
    <w:rsid w:val="007B56A5"/>
    <w:rsid w:val="007C14A4"/>
    <w:rsid w:val="007C190D"/>
    <w:rsid w:val="007C23FA"/>
    <w:rsid w:val="007C2806"/>
    <w:rsid w:val="007C3564"/>
    <w:rsid w:val="007C5255"/>
    <w:rsid w:val="007C59F3"/>
    <w:rsid w:val="007C64ED"/>
    <w:rsid w:val="007C6E07"/>
    <w:rsid w:val="007C7400"/>
    <w:rsid w:val="007C787C"/>
    <w:rsid w:val="007C7CAC"/>
    <w:rsid w:val="007D0E5F"/>
    <w:rsid w:val="007D125A"/>
    <w:rsid w:val="007D1E18"/>
    <w:rsid w:val="007D2ED4"/>
    <w:rsid w:val="007D3792"/>
    <w:rsid w:val="007D5E31"/>
    <w:rsid w:val="007D603A"/>
    <w:rsid w:val="007D7869"/>
    <w:rsid w:val="007D7A63"/>
    <w:rsid w:val="007E0905"/>
    <w:rsid w:val="007E28EF"/>
    <w:rsid w:val="007E32EE"/>
    <w:rsid w:val="007E42E0"/>
    <w:rsid w:val="007E4946"/>
    <w:rsid w:val="007E5EB1"/>
    <w:rsid w:val="007E6AB9"/>
    <w:rsid w:val="007E708D"/>
    <w:rsid w:val="007F074A"/>
    <w:rsid w:val="007F0D5E"/>
    <w:rsid w:val="007F15EC"/>
    <w:rsid w:val="007F308B"/>
    <w:rsid w:val="007F44F9"/>
    <w:rsid w:val="007F5615"/>
    <w:rsid w:val="007F57A9"/>
    <w:rsid w:val="007F6576"/>
    <w:rsid w:val="007F6F2E"/>
    <w:rsid w:val="007F79D6"/>
    <w:rsid w:val="00800FA3"/>
    <w:rsid w:val="008011AD"/>
    <w:rsid w:val="00801B68"/>
    <w:rsid w:val="00801E80"/>
    <w:rsid w:val="008036B0"/>
    <w:rsid w:val="00803D67"/>
    <w:rsid w:val="00804D43"/>
    <w:rsid w:val="00805787"/>
    <w:rsid w:val="00805A6B"/>
    <w:rsid w:val="00805C07"/>
    <w:rsid w:val="00806F1D"/>
    <w:rsid w:val="00807D07"/>
    <w:rsid w:val="00807DEB"/>
    <w:rsid w:val="00812FE3"/>
    <w:rsid w:val="0081343B"/>
    <w:rsid w:val="00813AF7"/>
    <w:rsid w:val="00814347"/>
    <w:rsid w:val="00814AF5"/>
    <w:rsid w:val="008155C9"/>
    <w:rsid w:val="008156AB"/>
    <w:rsid w:val="00815E9C"/>
    <w:rsid w:val="00821022"/>
    <w:rsid w:val="00821D08"/>
    <w:rsid w:val="00821E01"/>
    <w:rsid w:val="00822004"/>
    <w:rsid w:val="00822263"/>
    <w:rsid w:val="008223D2"/>
    <w:rsid w:val="008229ED"/>
    <w:rsid w:val="00822B58"/>
    <w:rsid w:val="00823017"/>
    <w:rsid w:val="00823CDA"/>
    <w:rsid w:val="00824C3C"/>
    <w:rsid w:val="00825400"/>
    <w:rsid w:val="00825AC7"/>
    <w:rsid w:val="00825D9D"/>
    <w:rsid w:val="00825F4C"/>
    <w:rsid w:val="00826F13"/>
    <w:rsid w:val="0083084B"/>
    <w:rsid w:val="00830893"/>
    <w:rsid w:val="00830AE3"/>
    <w:rsid w:val="0083290D"/>
    <w:rsid w:val="008332D0"/>
    <w:rsid w:val="00834B2C"/>
    <w:rsid w:val="00835468"/>
    <w:rsid w:val="00835FC8"/>
    <w:rsid w:val="0083644D"/>
    <w:rsid w:val="00836BCE"/>
    <w:rsid w:val="00840B86"/>
    <w:rsid w:val="00840EF6"/>
    <w:rsid w:val="0084133F"/>
    <w:rsid w:val="00841474"/>
    <w:rsid w:val="008418C7"/>
    <w:rsid w:val="00842A2E"/>
    <w:rsid w:val="00842B15"/>
    <w:rsid w:val="008472AF"/>
    <w:rsid w:val="0084740F"/>
    <w:rsid w:val="00847475"/>
    <w:rsid w:val="00851774"/>
    <w:rsid w:val="0085195C"/>
    <w:rsid w:val="00852C15"/>
    <w:rsid w:val="00853368"/>
    <w:rsid w:val="00854DB1"/>
    <w:rsid w:val="00854DF3"/>
    <w:rsid w:val="00855AA8"/>
    <w:rsid w:val="00856F64"/>
    <w:rsid w:val="00861FD7"/>
    <w:rsid w:val="008644A2"/>
    <w:rsid w:val="00865783"/>
    <w:rsid w:val="00866155"/>
    <w:rsid w:val="00870983"/>
    <w:rsid w:val="00870A06"/>
    <w:rsid w:val="008721BF"/>
    <w:rsid w:val="00872885"/>
    <w:rsid w:val="00873EFB"/>
    <w:rsid w:val="00874330"/>
    <w:rsid w:val="00874B63"/>
    <w:rsid w:val="008759D7"/>
    <w:rsid w:val="00875D9D"/>
    <w:rsid w:val="00876312"/>
    <w:rsid w:val="00876D02"/>
    <w:rsid w:val="0087766F"/>
    <w:rsid w:val="00877C7F"/>
    <w:rsid w:val="00880735"/>
    <w:rsid w:val="00880DE8"/>
    <w:rsid w:val="00881F10"/>
    <w:rsid w:val="00882196"/>
    <w:rsid w:val="00882DE5"/>
    <w:rsid w:val="00884A84"/>
    <w:rsid w:val="00886C4C"/>
    <w:rsid w:val="00886E32"/>
    <w:rsid w:val="00891ACE"/>
    <w:rsid w:val="0089208D"/>
    <w:rsid w:val="008921F1"/>
    <w:rsid w:val="008937B4"/>
    <w:rsid w:val="00893DBF"/>
    <w:rsid w:val="00896919"/>
    <w:rsid w:val="00896A1C"/>
    <w:rsid w:val="00896E75"/>
    <w:rsid w:val="00897241"/>
    <w:rsid w:val="008A03C6"/>
    <w:rsid w:val="008A06BA"/>
    <w:rsid w:val="008A0A96"/>
    <w:rsid w:val="008A3236"/>
    <w:rsid w:val="008A386B"/>
    <w:rsid w:val="008A45C4"/>
    <w:rsid w:val="008A4770"/>
    <w:rsid w:val="008A68A6"/>
    <w:rsid w:val="008A6BB2"/>
    <w:rsid w:val="008A6DF9"/>
    <w:rsid w:val="008A7A28"/>
    <w:rsid w:val="008B0764"/>
    <w:rsid w:val="008B117D"/>
    <w:rsid w:val="008B1DB2"/>
    <w:rsid w:val="008B63B5"/>
    <w:rsid w:val="008C0164"/>
    <w:rsid w:val="008C1B4A"/>
    <w:rsid w:val="008C1ECB"/>
    <w:rsid w:val="008C344E"/>
    <w:rsid w:val="008C3AD2"/>
    <w:rsid w:val="008C3EA5"/>
    <w:rsid w:val="008C4CC2"/>
    <w:rsid w:val="008C5091"/>
    <w:rsid w:val="008C55EC"/>
    <w:rsid w:val="008C6F53"/>
    <w:rsid w:val="008C79E8"/>
    <w:rsid w:val="008D04E1"/>
    <w:rsid w:val="008D12ED"/>
    <w:rsid w:val="008D2A8E"/>
    <w:rsid w:val="008D34B0"/>
    <w:rsid w:val="008D44F4"/>
    <w:rsid w:val="008D4DB0"/>
    <w:rsid w:val="008D54C3"/>
    <w:rsid w:val="008D5B03"/>
    <w:rsid w:val="008D5CDE"/>
    <w:rsid w:val="008D603D"/>
    <w:rsid w:val="008D748B"/>
    <w:rsid w:val="008E559C"/>
    <w:rsid w:val="008E5AD7"/>
    <w:rsid w:val="008E6105"/>
    <w:rsid w:val="008E74EB"/>
    <w:rsid w:val="008E7929"/>
    <w:rsid w:val="008F369F"/>
    <w:rsid w:val="008F59E6"/>
    <w:rsid w:val="008F7027"/>
    <w:rsid w:val="008F70E0"/>
    <w:rsid w:val="008F7A5A"/>
    <w:rsid w:val="009004DF"/>
    <w:rsid w:val="0090196D"/>
    <w:rsid w:val="009027FB"/>
    <w:rsid w:val="00902AFE"/>
    <w:rsid w:val="00904FE7"/>
    <w:rsid w:val="009051D6"/>
    <w:rsid w:val="00905599"/>
    <w:rsid w:val="009106E3"/>
    <w:rsid w:val="009112F6"/>
    <w:rsid w:val="0091446C"/>
    <w:rsid w:val="00915B67"/>
    <w:rsid w:val="00915EC9"/>
    <w:rsid w:val="009162CB"/>
    <w:rsid w:val="00916EEE"/>
    <w:rsid w:val="00917467"/>
    <w:rsid w:val="00917803"/>
    <w:rsid w:val="00917FEC"/>
    <w:rsid w:val="00920002"/>
    <w:rsid w:val="009203C2"/>
    <w:rsid w:val="009207B7"/>
    <w:rsid w:val="009224F6"/>
    <w:rsid w:val="009251D2"/>
    <w:rsid w:val="00925A5A"/>
    <w:rsid w:val="00925A8C"/>
    <w:rsid w:val="00925D2D"/>
    <w:rsid w:val="00926539"/>
    <w:rsid w:val="009265E0"/>
    <w:rsid w:val="00926DB0"/>
    <w:rsid w:val="00926E8D"/>
    <w:rsid w:val="0092702E"/>
    <w:rsid w:val="00927779"/>
    <w:rsid w:val="00930483"/>
    <w:rsid w:val="0093186E"/>
    <w:rsid w:val="00931F1A"/>
    <w:rsid w:val="00932A8F"/>
    <w:rsid w:val="00932BCF"/>
    <w:rsid w:val="009340E0"/>
    <w:rsid w:val="00934409"/>
    <w:rsid w:val="00935ADA"/>
    <w:rsid w:val="0093617C"/>
    <w:rsid w:val="0093623B"/>
    <w:rsid w:val="00936953"/>
    <w:rsid w:val="00940230"/>
    <w:rsid w:val="00941A08"/>
    <w:rsid w:val="00941C68"/>
    <w:rsid w:val="00942621"/>
    <w:rsid w:val="00943A11"/>
    <w:rsid w:val="00944311"/>
    <w:rsid w:val="00944A12"/>
    <w:rsid w:val="00944E4A"/>
    <w:rsid w:val="0094777D"/>
    <w:rsid w:val="00947CF7"/>
    <w:rsid w:val="00951C4D"/>
    <w:rsid w:val="00952891"/>
    <w:rsid w:val="00954518"/>
    <w:rsid w:val="009549C0"/>
    <w:rsid w:val="00954DCD"/>
    <w:rsid w:val="0095505A"/>
    <w:rsid w:val="00956032"/>
    <w:rsid w:val="0095689A"/>
    <w:rsid w:val="00956A1E"/>
    <w:rsid w:val="00956A28"/>
    <w:rsid w:val="00957C03"/>
    <w:rsid w:val="009602BF"/>
    <w:rsid w:val="00962885"/>
    <w:rsid w:val="00965188"/>
    <w:rsid w:val="009652D5"/>
    <w:rsid w:val="00967782"/>
    <w:rsid w:val="00967CB6"/>
    <w:rsid w:val="009704E6"/>
    <w:rsid w:val="00970DC8"/>
    <w:rsid w:val="00970E7E"/>
    <w:rsid w:val="00971F54"/>
    <w:rsid w:val="00972D4D"/>
    <w:rsid w:val="0097346F"/>
    <w:rsid w:val="00973E2C"/>
    <w:rsid w:val="00974AAF"/>
    <w:rsid w:val="00974E5B"/>
    <w:rsid w:val="00975B83"/>
    <w:rsid w:val="00976A3A"/>
    <w:rsid w:val="0097778E"/>
    <w:rsid w:val="009803FA"/>
    <w:rsid w:val="00980BD8"/>
    <w:rsid w:val="00981B7E"/>
    <w:rsid w:val="00981EFE"/>
    <w:rsid w:val="0098220D"/>
    <w:rsid w:val="009827FA"/>
    <w:rsid w:val="00982AC7"/>
    <w:rsid w:val="009830AF"/>
    <w:rsid w:val="00983128"/>
    <w:rsid w:val="0098370D"/>
    <w:rsid w:val="00983BDA"/>
    <w:rsid w:val="00984A39"/>
    <w:rsid w:val="00984D7E"/>
    <w:rsid w:val="00984EF3"/>
    <w:rsid w:val="00987488"/>
    <w:rsid w:val="009876A4"/>
    <w:rsid w:val="00987B19"/>
    <w:rsid w:val="0099405C"/>
    <w:rsid w:val="0099447B"/>
    <w:rsid w:val="009944CF"/>
    <w:rsid w:val="00994FF1"/>
    <w:rsid w:val="00994FF3"/>
    <w:rsid w:val="009950F1"/>
    <w:rsid w:val="009953CE"/>
    <w:rsid w:val="0099567A"/>
    <w:rsid w:val="009963B8"/>
    <w:rsid w:val="00996B28"/>
    <w:rsid w:val="00996B2B"/>
    <w:rsid w:val="00997175"/>
    <w:rsid w:val="0099727C"/>
    <w:rsid w:val="009977C7"/>
    <w:rsid w:val="00997A67"/>
    <w:rsid w:val="00997B26"/>
    <w:rsid w:val="00997F5A"/>
    <w:rsid w:val="009A0119"/>
    <w:rsid w:val="009A082F"/>
    <w:rsid w:val="009A0E2C"/>
    <w:rsid w:val="009A1EBF"/>
    <w:rsid w:val="009A3364"/>
    <w:rsid w:val="009A48F4"/>
    <w:rsid w:val="009A4BB1"/>
    <w:rsid w:val="009A538D"/>
    <w:rsid w:val="009A5BC7"/>
    <w:rsid w:val="009A6D86"/>
    <w:rsid w:val="009A70EA"/>
    <w:rsid w:val="009B0B8A"/>
    <w:rsid w:val="009B0BBB"/>
    <w:rsid w:val="009B27CF"/>
    <w:rsid w:val="009B2C30"/>
    <w:rsid w:val="009B2D42"/>
    <w:rsid w:val="009B3007"/>
    <w:rsid w:val="009B3C64"/>
    <w:rsid w:val="009B424E"/>
    <w:rsid w:val="009B43A3"/>
    <w:rsid w:val="009B44F3"/>
    <w:rsid w:val="009B50D2"/>
    <w:rsid w:val="009B75C2"/>
    <w:rsid w:val="009B781A"/>
    <w:rsid w:val="009C0B2C"/>
    <w:rsid w:val="009C14D7"/>
    <w:rsid w:val="009C1D03"/>
    <w:rsid w:val="009C2012"/>
    <w:rsid w:val="009C3449"/>
    <w:rsid w:val="009C3BB2"/>
    <w:rsid w:val="009C43D9"/>
    <w:rsid w:val="009C50CA"/>
    <w:rsid w:val="009C5111"/>
    <w:rsid w:val="009C5D12"/>
    <w:rsid w:val="009C6177"/>
    <w:rsid w:val="009C6655"/>
    <w:rsid w:val="009C7B00"/>
    <w:rsid w:val="009C7FE9"/>
    <w:rsid w:val="009D17A1"/>
    <w:rsid w:val="009D2EB7"/>
    <w:rsid w:val="009D3048"/>
    <w:rsid w:val="009D35EA"/>
    <w:rsid w:val="009D3DF9"/>
    <w:rsid w:val="009D449D"/>
    <w:rsid w:val="009D61EE"/>
    <w:rsid w:val="009D65AA"/>
    <w:rsid w:val="009D6688"/>
    <w:rsid w:val="009D66DB"/>
    <w:rsid w:val="009D7092"/>
    <w:rsid w:val="009D780B"/>
    <w:rsid w:val="009E0099"/>
    <w:rsid w:val="009E0868"/>
    <w:rsid w:val="009E2A2C"/>
    <w:rsid w:val="009E43DE"/>
    <w:rsid w:val="009E454A"/>
    <w:rsid w:val="009E6C85"/>
    <w:rsid w:val="009E7BEF"/>
    <w:rsid w:val="009E7E85"/>
    <w:rsid w:val="009F0915"/>
    <w:rsid w:val="009F0AE3"/>
    <w:rsid w:val="009F1A7D"/>
    <w:rsid w:val="009F1B2F"/>
    <w:rsid w:val="009F2361"/>
    <w:rsid w:val="009F2E4D"/>
    <w:rsid w:val="009F390C"/>
    <w:rsid w:val="009F3AB1"/>
    <w:rsid w:val="009F5450"/>
    <w:rsid w:val="009F6004"/>
    <w:rsid w:val="009F6372"/>
    <w:rsid w:val="009F70BE"/>
    <w:rsid w:val="009F7671"/>
    <w:rsid w:val="00A000CE"/>
    <w:rsid w:val="00A010B0"/>
    <w:rsid w:val="00A019E6"/>
    <w:rsid w:val="00A01CA1"/>
    <w:rsid w:val="00A02B21"/>
    <w:rsid w:val="00A03725"/>
    <w:rsid w:val="00A03CFD"/>
    <w:rsid w:val="00A03E48"/>
    <w:rsid w:val="00A04235"/>
    <w:rsid w:val="00A04954"/>
    <w:rsid w:val="00A05E44"/>
    <w:rsid w:val="00A05E49"/>
    <w:rsid w:val="00A06365"/>
    <w:rsid w:val="00A0722B"/>
    <w:rsid w:val="00A10C31"/>
    <w:rsid w:val="00A11A4D"/>
    <w:rsid w:val="00A11C3A"/>
    <w:rsid w:val="00A132F1"/>
    <w:rsid w:val="00A13337"/>
    <w:rsid w:val="00A14C77"/>
    <w:rsid w:val="00A157DE"/>
    <w:rsid w:val="00A16202"/>
    <w:rsid w:val="00A17BB4"/>
    <w:rsid w:val="00A17C11"/>
    <w:rsid w:val="00A21C9B"/>
    <w:rsid w:val="00A221D6"/>
    <w:rsid w:val="00A22542"/>
    <w:rsid w:val="00A22895"/>
    <w:rsid w:val="00A237D9"/>
    <w:rsid w:val="00A24397"/>
    <w:rsid w:val="00A24755"/>
    <w:rsid w:val="00A24779"/>
    <w:rsid w:val="00A24A04"/>
    <w:rsid w:val="00A26524"/>
    <w:rsid w:val="00A26A8C"/>
    <w:rsid w:val="00A2733D"/>
    <w:rsid w:val="00A30075"/>
    <w:rsid w:val="00A30DDB"/>
    <w:rsid w:val="00A311CC"/>
    <w:rsid w:val="00A31F75"/>
    <w:rsid w:val="00A34443"/>
    <w:rsid w:val="00A358BE"/>
    <w:rsid w:val="00A35F8C"/>
    <w:rsid w:val="00A36840"/>
    <w:rsid w:val="00A36C0B"/>
    <w:rsid w:val="00A36E1F"/>
    <w:rsid w:val="00A376FE"/>
    <w:rsid w:val="00A3797E"/>
    <w:rsid w:val="00A37A13"/>
    <w:rsid w:val="00A40B47"/>
    <w:rsid w:val="00A4133D"/>
    <w:rsid w:val="00A41C3D"/>
    <w:rsid w:val="00A44192"/>
    <w:rsid w:val="00A44B5A"/>
    <w:rsid w:val="00A45178"/>
    <w:rsid w:val="00A45737"/>
    <w:rsid w:val="00A4639C"/>
    <w:rsid w:val="00A50A14"/>
    <w:rsid w:val="00A521BC"/>
    <w:rsid w:val="00A52622"/>
    <w:rsid w:val="00A52722"/>
    <w:rsid w:val="00A5377E"/>
    <w:rsid w:val="00A53830"/>
    <w:rsid w:val="00A551F4"/>
    <w:rsid w:val="00A55284"/>
    <w:rsid w:val="00A565EA"/>
    <w:rsid w:val="00A576A8"/>
    <w:rsid w:val="00A60360"/>
    <w:rsid w:val="00A621E6"/>
    <w:rsid w:val="00A6248F"/>
    <w:rsid w:val="00A627F1"/>
    <w:rsid w:val="00A62FA1"/>
    <w:rsid w:val="00A63295"/>
    <w:rsid w:val="00A63424"/>
    <w:rsid w:val="00A644A8"/>
    <w:rsid w:val="00A64E66"/>
    <w:rsid w:val="00A655D3"/>
    <w:rsid w:val="00A656DC"/>
    <w:rsid w:val="00A664B3"/>
    <w:rsid w:val="00A669D6"/>
    <w:rsid w:val="00A6717C"/>
    <w:rsid w:val="00A7040D"/>
    <w:rsid w:val="00A70E79"/>
    <w:rsid w:val="00A720C3"/>
    <w:rsid w:val="00A72F4B"/>
    <w:rsid w:val="00A75832"/>
    <w:rsid w:val="00A7737B"/>
    <w:rsid w:val="00A77669"/>
    <w:rsid w:val="00A77FFD"/>
    <w:rsid w:val="00A80ABA"/>
    <w:rsid w:val="00A80C73"/>
    <w:rsid w:val="00A84BD8"/>
    <w:rsid w:val="00A84D31"/>
    <w:rsid w:val="00A84F59"/>
    <w:rsid w:val="00A85747"/>
    <w:rsid w:val="00A85A65"/>
    <w:rsid w:val="00A85C3E"/>
    <w:rsid w:val="00A85C88"/>
    <w:rsid w:val="00A867D5"/>
    <w:rsid w:val="00A8698B"/>
    <w:rsid w:val="00A872FC"/>
    <w:rsid w:val="00A90818"/>
    <w:rsid w:val="00A916D2"/>
    <w:rsid w:val="00A91910"/>
    <w:rsid w:val="00A9314F"/>
    <w:rsid w:val="00A9439D"/>
    <w:rsid w:val="00A9462F"/>
    <w:rsid w:val="00A949C8"/>
    <w:rsid w:val="00A95142"/>
    <w:rsid w:val="00A953AE"/>
    <w:rsid w:val="00AA0083"/>
    <w:rsid w:val="00AA0271"/>
    <w:rsid w:val="00AA031B"/>
    <w:rsid w:val="00AA290A"/>
    <w:rsid w:val="00AA2AF9"/>
    <w:rsid w:val="00AA2E6F"/>
    <w:rsid w:val="00AA2E7E"/>
    <w:rsid w:val="00AA3A3E"/>
    <w:rsid w:val="00AA49BD"/>
    <w:rsid w:val="00AA592F"/>
    <w:rsid w:val="00AA6278"/>
    <w:rsid w:val="00AA72FB"/>
    <w:rsid w:val="00AA74B1"/>
    <w:rsid w:val="00AB03B4"/>
    <w:rsid w:val="00AB1510"/>
    <w:rsid w:val="00AB17BC"/>
    <w:rsid w:val="00AB1AD0"/>
    <w:rsid w:val="00AB30C1"/>
    <w:rsid w:val="00AB3255"/>
    <w:rsid w:val="00AB3344"/>
    <w:rsid w:val="00AB3483"/>
    <w:rsid w:val="00AB41E7"/>
    <w:rsid w:val="00AB44CD"/>
    <w:rsid w:val="00AB4C6F"/>
    <w:rsid w:val="00AB5B2D"/>
    <w:rsid w:val="00AB5C95"/>
    <w:rsid w:val="00AB653A"/>
    <w:rsid w:val="00AB755F"/>
    <w:rsid w:val="00AB78C3"/>
    <w:rsid w:val="00AB7BCD"/>
    <w:rsid w:val="00AB7E2B"/>
    <w:rsid w:val="00AC04A9"/>
    <w:rsid w:val="00AC0662"/>
    <w:rsid w:val="00AC0DEF"/>
    <w:rsid w:val="00AC0FD2"/>
    <w:rsid w:val="00AC1622"/>
    <w:rsid w:val="00AC212C"/>
    <w:rsid w:val="00AC2E52"/>
    <w:rsid w:val="00AC42BC"/>
    <w:rsid w:val="00AC43E0"/>
    <w:rsid w:val="00AC4B9F"/>
    <w:rsid w:val="00AC57C7"/>
    <w:rsid w:val="00AC63AB"/>
    <w:rsid w:val="00AC6D55"/>
    <w:rsid w:val="00AC6E45"/>
    <w:rsid w:val="00AD01EA"/>
    <w:rsid w:val="00AD1445"/>
    <w:rsid w:val="00AD1AD0"/>
    <w:rsid w:val="00AD1AE2"/>
    <w:rsid w:val="00AD1BC3"/>
    <w:rsid w:val="00AD5156"/>
    <w:rsid w:val="00AD6439"/>
    <w:rsid w:val="00AD66FD"/>
    <w:rsid w:val="00AD6C2C"/>
    <w:rsid w:val="00AD6F37"/>
    <w:rsid w:val="00AD7F86"/>
    <w:rsid w:val="00AE04EA"/>
    <w:rsid w:val="00AE146A"/>
    <w:rsid w:val="00AE3A9E"/>
    <w:rsid w:val="00AE4534"/>
    <w:rsid w:val="00AE4F17"/>
    <w:rsid w:val="00AE5885"/>
    <w:rsid w:val="00AE5B3B"/>
    <w:rsid w:val="00AE6F63"/>
    <w:rsid w:val="00AE7238"/>
    <w:rsid w:val="00AE7500"/>
    <w:rsid w:val="00AE791F"/>
    <w:rsid w:val="00AE7C1C"/>
    <w:rsid w:val="00AF1467"/>
    <w:rsid w:val="00AF1AF5"/>
    <w:rsid w:val="00AF1C80"/>
    <w:rsid w:val="00AF2263"/>
    <w:rsid w:val="00AF243A"/>
    <w:rsid w:val="00AF27C0"/>
    <w:rsid w:val="00AF3111"/>
    <w:rsid w:val="00AF5AF6"/>
    <w:rsid w:val="00AF5DC6"/>
    <w:rsid w:val="00AF7FAF"/>
    <w:rsid w:val="00B005BF"/>
    <w:rsid w:val="00B007D1"/>
    <w:rsid w:val="00B04B5B"/>
    <w:rsid w:val="00B04E2B"/>
    <w:rsid w:val="00B06817"/>
    <w:rsid w:val="00B07607"/>
    <w:rsid w:val="00B107A8"/>
    <w:rsid w:val="00B108A2"/>
    <w:rsid w:val="00B1189B"/>
    <w:rsid w:val="00B12919"/>
    <w:rsid w:val="00B12EFE"/>
    <w:rsid w:val="00B1374D"/>
    <w:rsid w:val="00B14DAB"/>
    <w:rsid w:val="00B16B6A"/>
    <w:rsid w:val="00B17360"/>
    <w:rsid w:val="00B22021"/>
    <w:rsid w:val="00B22A01"/>
    <w:rsid w:val="00B23516"/>
    <w:rsid w:val="00B244CE"/>
    <w:rsid w:val="00B24615"/>
    <w:rsid w:val="00B25605"/>
    <w:rsid w:val="00B25662"/>
    <w:rsid w:val="00B256B6"/>
    <w:rsid w:val="00B30F5F"/>
    <w:rsid w:val="00B3135A"/>
    <w:rsid w:val="00B3299C"/>
    <w:rsid w:val="00B335FF"/>
    <w:rsid w:val="00B359EA"/>
    <w:rsid w:val="00B36096"/>
    <w:rsid w:val="00B36BA7"/>
    <w:rsid w:val="00B3739A"/>
    <w:rsid w:val="00B374D7"/>
    <w:rsid w:val="00B40C5D"/>
    <w:rsid w:val="00B40FD5"/>
    <w:rsid w:val="00B4183E"/>
    <w:rsid w:val="00B4401C"/>
    <w:rsid w:val="00B45330"/>
    <w:rsid w:val="00B45AA7"/>
    <w:rsid w:val="00B45C1E"/>
    <w:rsid w:val="00B45C7C"/>
    <w:rsid w:val="00B46233"/>
    <w:rsid w:val="00B47555"/>
    <w:rsid w:val="00B5020C"/>
    <w:rsid w:val="00B503AA"/>
    <w:rsid w:val="00B528D9"/>
    <w:rsid w:val="00B53198"/>
    <w:rsid w:val="00B53370"/>
    <w:rsid w:val="00B54CEA"/>
    <w:rsid w:val="00B5583B"/>
    <w:rsid w:val="00B55877"/>
    <w:rsid w:val="00B5714D"/>
    <w:rsid w:val="00B57C38"/>
    <w:rsid w:val="00B603C7"/>
    <w:rsid w:val="00B607DC"/>
    <w:rsid w:val="00B61121"/>
    <w:rsid w:val="00B61940"/>
    <w:rsid w:val="00B61D5A"/>
    <w:rsid w:val="00B64095"/>
    <w:rsid w:val="00B644E0"/>
    <w:rsid w:val="00B657E4"/>
    <w:rsid w:val="00B65D04"/>
    <w:rsid w:val="00B66D98"/>
    <w:rsid w:val="00B67067"/>
    <w:rsid w:val="00B71FC3"/>
    <w:rsid w:val="00B72113"/>
    <w:rsid w:val="00B725C0"/>
    <w:rsid w:val="00B736F6"/>
    <w:rsid w:val="00B73AED"/>
    <w:rsid w:val="00B74164"/>
    <w:rsid w:val="00B75B08"/>
    <w:rsid w:val="00B75B8B"/>
    <w:rsid w:val="00B7612B"/>
    <w:rsid w:val="00B761F7"/>
    <w:rsid w:val="00B776E5"/>
    <w:rsid w:val="00B83109"/>
    <w:rsid w:val="00B84CFD"/>
    <w:rsid w:val="00B859E2"/>
    <w:rsid w:val="00B85F4A"/>
    <w:rsid w:val="00B87289"/>
    <w:rsid w:val="00B87BAF"/>
    <w:rsid w:val="00B87DCE"/>
    <w:rsid w:val="00B90953"/>
    <w:rsid w:val="00B91336"/>
    <w:rsid w:val="00B920AB"/>
    <w:rsid w:val="00B921CA"/>
    <w:rsid w:val="00B9277B"/>
    <w:rsid w:val="00B9288B"/>
    <w:rsid w:val="00B928CA"/>
    <w:rsid w:val="00B932A1"/>
    <w:rsid w:val="00B94790"/>
    <w:rsid w:val="00B948BB"/>
    <w:rsid w:val="00B953ED"/>
    <w:rsid w:val="00BA054E"/>
    <w:rsid w:val="00BA2A79"/>
    <w:rsid w:val="00BA4719"/>
    <w:rsid w:val="00BA5A5A"/>
    <w:rsid w:val="00BA6933"/>
    <w:rsid w:val="00BA7D14"/>
    <w:rsid w:val="00BB0756"/>
    <w:rsid w:val="00BB1600"/>
    <w:rsid w:val="00BB1949"/>
    <w:rsid w:val="00BB1DA4"/>
    <w:rsid w:val="00BB2AEC"/>
    <w:rsid w:val="00BB2D35"/>
    <w:rsid w:val="00BB30BA"/>
    <w:rsid w:val="00BB3EB7"/>
    <w:rsid w:val="00BB4395"/>
    <w:rsid w:val="00BB58CB"/>
    <w:rsid w:val="00BB5D21"/>
    <w:rsid w:val="00BB7315"/>
    <w:rsid w:val="00BB79A4"/>
    <w:rsid w:val="00BC23D1"/>
    <w:rsid w:val="00BC2898"/>
    <w:rsid w:val="00BC3C3C"/>
    <w:rsid w:val="00BC5739"/>
    <w:rsid w:val="00BC605C"/>
    <w:rsid w:val="00BC6256"/>
    <w:rsid w:val="00BC6B78"/>
    <w:rsid w:val="00BD07CD"/>
    <w:rsid w:val="00BD09C9"/>
    <w:rsid w:val="00BD20A2"/>
    <w:rsid w:val="00BD4D6B"/>
    <w:rsid w:val="00BD4E62"/>
    <w:rsid w:val="00BD517A"/>
    <w:rsid w:val="00BD62A2"/>
    <w:rsid w:val="00BD6A1B"/>
    <w:rsid w:val="00BD70BD"/>
    <w:rsid w:val="00BD73F2"/>
    <w:rsid w:val="00BD75DE"/>
    <w:rsid w:val="00BE042F"/>
    <w:rsid w:val="00BE10AD"/>
    <w:rsid w:val="00BE1139"/>
    <w:rsid w:val="00BE1191"/>
    <w:rsid w:val="00BE226A"/>
    <w:rsid w:val="00BE2BDD"/>
    <w:rsid w:val="00BE2F9E"/>
    <w:rsid w:val="00BE36D3"/>
    <w:rsid w:val="00BE3F91"/>
    <w:rsid w:val="00BE4577"/>
    <w:rsid w:val="00BE558A"/>
    <w:rsid w:val="00BE6651"/>
    <w:rsid w:val="00BE754D"/>
    <w:rsid w:val="00BF04AB"/>
    <w:rsid w:val="00BF1067"/>
    <w:rsid w:val="00BF1411"/>
    <w:rsid w:val="00BF160A"/>
    <w:rsid w:val="00BF24AA"/>
    <w:rsid w:val="00BF2D3B"/>
    <w:rsid w:val="00BF3851"/>
    <w:rsid w:val="00BF39E4"/>
    <w:rsid w:val="00BF4B36"/>
    <w:rsid w:val="00BF665D"/>
    <w:rsid w:val="00BF7446"/>
    <w:rsid w:val="00BF7D67"/>
    <w:rsid w:val="00BF7D86"/>
    <w:rsid w:val="00C0166C"/>
    <w:rsid w:val="00C020A6"/>
    <w:rsid w:val="00C03A76"/>
    <w:rsid w:val="00C041C2"/>
    <w:rsid w:val="00C0445A"/>
    <w:rsid w:val="00C04B51"/>
    <w:rsid w:val="00C0518F"/>
    <w:rsid w:val="00C06A27"/>
    <w:rsid w:val="00C06D69"/>
    <w:rsid w:val="00C07899"/>
    <w:rsid w:val="00C10642"/>
    <w:rsid w:val="00C11419"/>
    <w:rsid w:val="00C11565"/>
    <w:rsid w:val="00C116CC"/>
    <w:rsid w:val="00C11AA0"/>
    <w:rsid w:val="00C11C5A"/>
    <w:rsid w:val="00C12D3C"/>
    <w:rsid w:val="00C1416F"/>
    <w:rsid w:val="00C1496C"/>
    <w:rsid w:val="00C159C8"/>
    <w:rsid w:val="00C160BC"/>
    <w:rsid w:val="00C168AE"/>
    <w:rsid w:val="00C17C48"/>
    <w:rsid w:val="00C20F0F"/>
    <w:rsid w:val="00C217ED"/>
    <w:rsid w:val="00C21D9C"/>
    <w:rsid w:val="00C244CB"/>
    <w:rsid w:val="00C25970"/>
    <w:rsid w:val="00C26FA2"/>
    <w:rsid w:val="00C27D3F"/>
    <w:rsid w:val="00C27E7C"/>
    <w:rsid w:val="00C30C0E"/>
    <w:rsid w:val="00C30DD8"/>
    <w:rsid w:val="00C316DA"/>
    <w:rsid w:val="00C31DC8"/>
    <w:rsid w:val="00C32013"/>
    <w:rsid w:val="00C32136"/>
    <w:rsid w:val="00C324CC"/>
    <w:rsid w:val="00C32954"/>
    <w:rsid w:val="00C33630"/>
    <w:rsid w:val="00C358A8"/>
    <w:rsid w:val="00C35B49"/>
    <w:rsid w:val="00C35CB9"/>
    <w:rsid w:val="00C366F3"/>
    <w:rsid w:val="00C37347"/>
    <w:rsid w:val="00C406E1"/>
    <w:rsid w:val="00C41C47"/>
    <w:rsid w:val="00C42988"/>
    <w:rsid w:val="00C451C0"/>
    <w:rsid w:val="00C46061"/>
    <w:rsid w:val="00C4673C"/>
    <w:rsid w:val="00C46923"/>
    <w:rsid w:val="00C52268"/>
    <w:rsid w:val="00C53312"/>
    <w:rsid w:val="00C53479"/>
    <w:rsid w:val="00C54392"/>
    <w:rsid w:val="00C55094"/>
    <w:rsid w:val="00C55BBF"/>
    <w:rsid w:val="00C567C3"/>
    <w:rsid w:val="00C56C49"/>
    <w:rsid w:val="00C56CC6"/>
    <w:rsid w:val="00C574F5"/>
    <w:rsid w:val="00C635B6"/>
    <w:rsid w:val="00C637FE"/>
    <w:rsid w:val="00C63B05"/>
    <w:rsid w:val="00C655BB"/>
    <w:rsid w:val="00C66961"/>
    <w:rsid w:val="00C7157A"/>
    <w:rsid w:val="00C717EA"/>
    <w:rsid w:val="00C73417"/>
    <w:rsid w:val="00C7594C"/>
    <w:rsid w:val="00C7620F"/>
    <w:rsid w:val="00C7701B"/>
    <w:rsid w:val="00C77182"/>
    <w:rsid w:val="00C80A2C"/>
    <w:rsid w:val="00C81AB8"/>
    <w:rsid w:val="00C81FCF"/>
    <w:rsid w:val="00C82D6F"/>
    <w:rsid w:val="00C82DDD"/>
    <w:rsid w:val="00C8406B"/>
    <w:rsid w:val="00C8611B"/>
    <w:rsid w:val="00C86826"/>
    <w:rsid w:val="00C86BAE"/>
    <w:rsid w:val="00C86ED1"/>
    <w:rsid w:val="00C87323"/>
    <w:rsid w:val="00C87C37"/>
    <w:rsid w:val="00C906EF"/>
    <w:rsid w:val="00C916B4"/>
    <w:rsid w:val="00C91726"/>
    <w:rsid w:val="00C925E3"/>
    <w:rsid w:val="00C93A89"/>
    <w:rsid w:val="00C93E1B"/>
    <w:rsid w:val="00C94756"/>
    <w:rsid w:val="00C94C45"/>
    <w:rsid w:val="00C94E3E"/>
    <w:rsid w:val="00C953C9"/>
    <w:rsid w:val="00C95514"/>
    <w:rsid w:val="00C95808"/>
    <w:rsid w:val="00C96E5F"/>
    <w:rsid w:val="00C97328"/>
    <w:rsid w:val="00CA681E"/>
    <w:rsid w:val="00CA6AA4"/>
    <w:rsid w:val="00CA70AC"/>
    <w:rsid w:val="00CA7620"/>
    <w:rsid w:val="00CA7AE4"/>
    <w:rsid w:val="00CB043F"/>
    <w:rsid w:val="00CB0477"/>
    <w:rsid w:val="00CB0DD5"/>
    <w:rsid w:val="00CB0E3C"/>
    <w:rsid w:val="00CB115B"/>
    <w:rsid w:val="00CB254E"/>
    <w:rsid w:val="00CB453A"/>
    <w:rsid w:val="00CB6205"/>
    <w:rsid w:val="00CB7978"/>
    <w:rsid w:val="00CB7BB3"/>
    <w:rsid w:val="00CB7C1D"/>
    <w:rsid w:val="00CB7F18"/>
    <w:rsid w:val="00CC058A"/>
    <w:rsid w:val="00CC0B67"/>
    <w:rsid w:val="00CC1556"/>
    <w:rsid w:val="00CC2343"/>
    <w:rsid w:val="00CC2605"/>
    <w:rsid w:val="00CC28A3"/>
    <w:rsid w:val="00CC308B"/>
    <w:rsid w:val="00CC4348"/>
    <w:rsid w:val="00CC46AC"/>
    <w:rsid w:val="00CC53A8"/>
    <w:rsid w:val="00CC5EA5"/>
    <w:rsid w:val="00CC61BD"/>
    <w:rsid w:val="00CC62DA"/>
    <w:rsid w:val="00CC6E5D"/>
    <w:rsid w:val="00CC6EAB"/>
    <w:rsid w:val="00CC740D"/>
    <w:rsid w:val="00CC74E7"/>
    <w:rsid w:val="00CD10A6"/>
    <w:rsid w:val="00CD1AA7"/>
    <w:rsid w:val="00CD2B61"/>
    <w:rsid w:val="00CD3155"/>
    <w:rsid w:val="00CD44C6"/>
    <w:rsid w:val="00CD5F41"/>
    <w:rsid w:val="00CD6D13"/>
    <w:rsid w:val="00CD7960"/>
    <w:rsid w:val="00CD7A96"/>
    <w:rsid w:val="00CE016D"/>
    <w:rsid w:val="00CE0991"/>
    <w:rsid w:val="00CE0A11"/>
    <w:rsid w:val="00CE0A14"/>
    <w:rsid w:val="00CE216C"/>
    <w:rsid w:val="00CE38C9"/>
    <w:rsid w:val="00CE3B6F"/>
    <w:rsid w:val="00CE48C8"/>
    <w:rsid w:val="00CE5ED6"/>
    <w:rsid w:val="00CE65EF"/>
    <w:rsid w:val="00CE67E4"/>
    <w:rsid w:val="00CE7D05"/>
    <w:rsid w:val="00CF1C7B"/>
    <w:rsid w:val="00CF20DE"/>
    <w:rsid w:val="00CF212C"/>
    <w:rsid w:val="00CF2CAE"/>
    <w:rsid w:val="00CF33B6"/>
    <w:rsid w:val="00CF37EC"/>
    <w:rsid w:val="00CF443C"/>
    <w:rsid w:val="00CF6516"/>
    <w:rsid w:val="00CF6D76"/>
    <w:rsid w:val="00CF7AED"/>
    <w:rsid w:val="00D013E1"/>
    <w:rsid w:val="00D013FA"/>
    <w:rsid w:val="00D0268A"/>
    <w:rsid w:val="00D04612"/>
    <w:rsid w:val="00D04FAD"/>
    <w:rsid w:val="00D056CA"/>
    <w:rsid w:val="00D06687"/>
    <w:rsid w:val="00D06D51"/>
    <w:rsid w:val="00D12A06"/>
    <w:rsid w:val="00D12C62"/>
    <w:rsid w:val="00D12EFD"/>
    <w:rsid w:val="00D13231"/>
    <w:rsid w:val="00D14490"/>
    <w:rsid w:val="00D1453A"/>
    <w:rsid w:val="00D14DDA"/>
    <w:rsid w:val="00D151EF"/>
    <w:rsid w:val="00D169AF"/>
    <w:rsid w:val="00D2003B"/>
    <w:rsid w:val="00D20676"/>
    <w:rsid w:val="00D20760"/>
    <w:rsid w:val="00D20C89"/>
    <w:rsid w:val="00D20E6D"/>
    <w:rsid w:val="00D20F05"/>
    <w:rsid w:val="00D210E1"/>
    <w:rsid w:val="00D22D46"/>
    <w:rsid w:val="00D24193"/>
    <w:rsid w:val="00D250D0"/>
    <w:rsid w:val="00D26D6B"/>
    <w:rsid w:val="00D270A5"/>
    <w:rsid w:val="00D27FF7"/>
    <w:rsid w:val="00D324B9"/>
    <w:rsid w:val="00D34D0F"/>
    <w:rsid w:val="00D35991"/>
    <w:rsid w:val="00D36081"/>
    <w:rsid w:val="00D36279"/>
    <w:rsid w:val="00D36311"/>
    <w:rsid w:val="00D36571"/>
    <w:rsid w:val="00D36D59"/>
    <w:rsid w:val="00D37454"/>
    <w:rsid w:val="00D37782"/>
    <w:rsid w:val="00D37D1F"/>
    <w:rsid w:val="00D41895"/>
    <w:rsid w:val="00D41DD6"/>
    <w:rsid w:val="00D4237E"/>
    <w:rsid w:val="00D429E6"/>
    <w:rsid w:val="00D42BA5"/>
    <w:rsid w:val="00D4378D"/>
    <w:rsid w:val="00D439FD"/>
    <w:rsid w:val="00D44030"/>
    <w:rsid w:val="00D443AE"/>
    <w:rsid w:val="00D44D0F"/>
    <w:rsid w:val="00D45DCF"/>
    <w:rsid w:val="00D461B9"/>
    <w:rsid w:val="00D5044B"/>
    <w:rsid w:val="00D50D8E"/>
    <w:rsid w:val="00D50EE9"/>
    <w:rsid w:val="00D51863"/>
    <w:rsid w:val="00D52763"/>
    <w:rsid w:val="00D52AFB"/>
    <w:rsid w:val="00D531E1"/>
    <w:rsid w:val="00D53659"/>
    <w:rsid w:val="00D546C3"/>
    <w:rsid w:val="00D55180"/>
    <w:rsid w:val="00D55DB2"/>
    <w:rsid w:val="00D56734"/>
    <w:rsid w:val="00D574A3"/>
    <w:rsid w:val="00D5772D"/>
    <w:rsid w:val="00D608C3"/>
    <w:rsid w:val="00D609A7"/>
    <w:rsid w:val="00D60B61"/>
    <w:rsid w:val="00D6299A"/>
    <w:rsid w:val="00D62EAE"/>
    <w:rsid w:val="00D6340C"/>
    <w:rsid w:val="00D63A0C"/>
    <w:rsid w:val="00D63DBE"/>
    <w:rsid w:val="00D63DCC"/>
    <w:rsid w:val="00D6435D"/>
    <w:rsid w:val="00D65215"/>
    <w:rsid w:val="00D67D96"/>
    <w:rsid w:val="00D67FB8"/>
    <w:rsid w:val="00D701EA"/>
    <w:rsid w:val="00D70D53"/>
    <w:rsid w:val="00D763D1"/>
    <w:rsid w:val="00D76A52"/>
    <w:rsid w:val="00D76E98"/>
    <w:rsid w:val="00D76FB5"/>
    <w:rsid w:val="00D77BC1"/>
    <w:rsid w:val="00D80179"/>
    <w:rsid w:val="00D81096"/>
    <w:rsid w:val="00D815D5"/>
    <w:rsid w:val="00D81C56"/>
    <w:rsid w:val="00D82432"/>
    <w:rsid w:val="00D83151"/>
    <w:rsid w:val="00D83B8A"/>
    <w:rsid w:val="00D83CB5"/>
    <w:rsid w:val="00D83E13"/>
    <w:rsid w:val="00D83EA2"/>
    <w:rsid w:val="00D83F47"/>
    <w:rsid w:val="00D843EA"/>
    <w:rsid w:val="00D84E4B"/>
    <w:rsid w:val="00D85915"/>
    <w:rsid w:val="00D85A45"/>
    <w:rsid w:val="00D86982"/>
    <w:rsid w:val="00D86A91"/>
    <w:rsid w:val="00D871B6"/>
    <w:rsid w:val="00D91024"/>
    <w:rsid w:val="00D93776"/>
    <w:rsid w:val="00D952B3"/>
    <w:rsid w:val="00D955B6"/>
    <w:rsid w:val="00D96C69"/>
    <w:rsid w:val="00D974FD"/>
    <w:rsid w:val="00DA01BC"/>
    <w:rsid w:val="00DA0D2C"/>
    <w:rsid w:val="00DA138E"/>
    <w:rsid w:val="00DA3A10"/>
    <w:rsid w:val="00DA4DFD"/>
    <w:rsid w:val="00DA4FBC"/>
    <w:rsid w:val="00DA57F0"/>
    <w:rsid w:val="00DA7F39"/>
    <w:rsid w:val="00DB012A"/>
    <w:rsid w:val="00DB0871"/>
    <w:rsid w:val="00DB09F1"/>
    <w:rsid w:val="00DB16D6"/>
    <w:rsid w:val="00DB226A"/>
    <w:rsid w:val="00DB235E"/>
    <w:rsid w:val="00DB4A24"/>
    <w:rsid w:val="00DB54B4"/>
    <w:rsid w:val="00DB57DB"/>
    <w:rsid w:val="00DB5C61"/>
    <w:rsid w:val="00DB6AD8"/>
    <w:rsid w:val="00DB6BC9"/>
    <w:rsid w:val="00DB724A"/>
    <w:rsid w:val="00DB7C83"/>
    <w:rsid w:val="00DC024F"/>
    <w:rsid w:val="00DC208C"/>
    <w:rsid w:val="00DC264B"/>
    <w:rsid w:val="00DC2D21"/>
    <w:rsid w:val="00DC343C"/>
    <w:rsid w:val="00DC77F2"/>
    <w:rsid w:val="00DC7904"/>
    <w:rsid w:val="00DD127D"/>
    <w:rsid w:val="00DD2B14"/>
    <w:rsid w:val="00DD31A3"/>
    <w:rsid w:val="00DD35CA"/>
    <w:rsid w:val="00DD4219"/>
    <w:rsid w:val="00DD461C"/>
    <w:rsid w:val="00DD558E"/>
    <w:rsid w:val="00DD6DFC"/>
    <w:rsid w:val="00DD6E52"/>
    <w:rsid w:val="00DD734E"/>
    <w:rsid w:val="00DD77E0"/>
    <w:rsid w:val="00DE084F"/>
    <w:rsid w:val="00DE1C46"/>
    <w:rsid w:val="00DE2499"/>
    <w:rsid w:val="00DE6D33"/>
    <w:rsid w:val="00DE6F21"/>
    <w:rsid w:val="00DE7364"/>
    <w:rsid w:val="00DF0683"/>
    <w:rsid w:val="00DF1402"/>
    <w:rsid w:val="00DF1E58"/>
    <w:rsid w:val="00DF2664"/>
    <w:rsid w:val="00DF37F7"/>
    <w:rsid w:val="00DF3AA3"/>
    <w:rsid w:val="00DF3FEE"/>
    <w:rsid w:val="00DF6647"/>
    <w:rsid w:val="00DF7404"/>
    <w:rsid w:val="00DF777A"/>
    <w:rsid w:val="00DF7CB9"/>
    <w:rsid w:val="00DF7E28"/>
    <w:rsid w:val="00DF7FD3"/>
    <w:rsid w:val="00E012A0"/>
    <w:rsid w:val="00E01B0B"/>
    <w:rsid w:val="00E02958"/>
    <w:rsid w:val="00E03D7B"/>
    <w:rsid w:val="00E04768"/>
    <w:rsid w:val="00E0585F"/>
    <w:rsid w:val="00E05A07"/>
    <w:rsid w:val="00E064C0"/>
    <w:rsid w:val="00E10310"/>
    <w:rsid w:val="00E10A80"/>
    <w:rsid w:val="00E13E59"/>
    <w:rsid w:val="00E13FA6"/>
    <w:rsid w:val="00E147CA"/>
    <w:rsid w:val="00E1487D"/>
    <w:rsid w:val="00E1499F"/>
    <w:rsid w:val="00E15113"/>
    <w:rsid w:val="00E16930"/>
    <w:rsid w:val="00E179E4"/>
    <w:rsid w:val="00E20CBC"/>
    <w:rsid w:val="00E20E51"/>
    <w:rsid w:val="00E21551"/>
    <w:rsid w:val="00E21941"/>
    <w:rsid w:val="00E220BD"/>
    <w:rsid w:val="00E23073"/>
    <w:rsid w:val="00E23166"/>
    <w:rsid w:val="00E231AC"/>
    <w:rsid w:val="00E234D3"/>
    <w:rsid w:val="00E24BCF"/>
    <w:rsid w:val="00E26540"/>
    <w:rsid w:val="00E2692D"/>
    <w:rsid w:val="00E32734"/>
    <w:rsid w:val="00E34839"/>
    <w:rsid w:val="00E34AF9"/>
    <w:rsid w:val="00E34B0B"/>
    <w:rsid w:val="00E401D6"/>
    <w:rsid w:val="00E40517"/>
    <w:rsid w:val="00E41962"/>
    <w:rsid w:val="00E4441B"/>
    <w:rsid w:val="00E46195"/>
    <w:rsid w:val="00E46BE7"/>
    <w:rsid w:val="00E46E81"/>
    <w:rsid w:val="00E476DA"/>
    <w:rsid w:val="00E50170"/>
    <w:rsid w:val="00E537F7"/>
    <w:rsid w:val="00E53C7C"/>
    <w:rsid w:val="00E53EB5"/>
    <w:rsid w:val="00E54285"/>
    <w:rsid w:val="00E545AA"/>
    <w:rsid w:val="00E55155"/>
    <w:rsid w:val="00E56AC3"/>
    <w:rsid w:val="00E5707D"/>
    <w:rsid w:val="00E57415"/>
    <w:rsid w:val="00E57BB1"/>
    <w:rsid w:val="00E6004B"/>
    <w:rsid w:val="00E63201"/>
    <w:rsid w:val="00E6332C"/>
    <w:rsid w:val="00E633DD"/>
    <w:rsid w:val="00E64549"/>
    <w:rsid w:val="00E64B69"/>
    <w:rsid w:val="00E661E7"/>
    <w:rsid w:val="00E665DD"/>
    <w:rsid w:val="00E7017C"/>
    <w:rsid w:val="00E71743"/>
    <w:rsid w:val="00E7309B"/>
    <w:rsid w:val="00E73DFA"/>
    <w:rsid w:val="00E74194"/>
    <w:rsid w:val="00E7501C"/>
    <w:rsid w:val="00E754DC"/>
    <w:rsid w:val="00E75A40"/>
    <w:rsid w:val="00E779F8"/>
    <w:rsid w:val="00E801BB"/>
    <w:rsid w:val="00E80886"/>
    <w:rsid w:val="00E8103E"/>
    <w:rsid w:val="00E8123A"/>
    <w:rsid w:val="00E81B65"/>
    <w:rsid w:val="00E8205F"/>
    <w:rsid w:val="00E82060"/>
    <w:rsid w:val="00E82B16"/>
    <w:rsid w:val="00E82E52"/>
    <w:rsid w:val="00E83080"/>
    <w:rsid w:val="00E83D35"/>
    <w:rsid w:val="00E840EC"/>
    <w:rsid w:val="00E8418F"/>
    <w:rsid w:val="00E84221"/>
    <w:rsid w:val="00E84BEC"/>
    <w:rsid w:val="00E84E72"/>
    <w:rsid w:val="00E85427"/>
    <w:rsid w:val="00E85666"/>
    <w:rsid w:val="00E8608A"/>
    <w:rsid w:val="00E86589"/>
    <w:rsid w:val="00E8740C"/>
    <w:rsid w:val="00E90323"/>
    <w:rsid w:val="00E9035D"/>
    <w:rsid w:val="00E90F0A"/>
    <w:rsid w:val="00E9106C"/>
    <w:rsid w:val="00E91E8F"/>
    <w:rsid w:val="00E925D2"/>
    <w:rsid w:val="00E9268A"/>
    <w:rsid w:val="00E9466B"/>
    <w:rsid w:val="00E95DA6"/>
    <w:rsid w:val="00E975A2"/>
    <w:rsid w:val="00E976D9"/>
    <w:rsid w:val="00E97AB5"/>
    <w:rsid w:val="00EA0121"/>
    <w:rsid w:val="00EA0F3C"/>
    <w:rsid w:val="00EA17FA"/>
    <w:rsid w:val="00EA1A9B"/>
    <w:rsid w:val="00EA3C6D"/>
    <w:rsid w:val="00EA46BA"/>
    <w:rsid w:val="00EA5F15"/>
    <w:rsid w:val="00EA641D"/>
    <w:rsid w:val="00EA7082"/>
    <w:rsid w:val="00EB1CD8"/>
    <w:rsid w:val="00EB2E7D"/>
    <w:rsid w:val="00EB44AA"/>
    <w:rsid w:val="00EB5183"/>
    <w:rsid w:val="00EB5B87"/>
    <w:rsid w:val="00EB65AA"/>
    <w:rsid w:val="00EC1CF6"/>
    <w:rsid w:val="00EC2EAD"/>
    <w:rsid w:val="00EC3463"/>
    <w:rsid w:val="00EC52A8"/>
    <w:rsid w:val="00EC795E"/>
    <w:rsid w:val="00EC7B33"/>
    <w:rsid w:val="00EC7D97"/>
    <w:rsid w:val="00ED3575"/>
    <w:rsid w:val="00ED38F5"/>
    <w:rsid w:val="00ED3E2A"/>
    <w:rsid w:val="00ED4925"/>
    <w:rsid w:val="00ED4F63"/>
    <w:rsid w:val="00ED52CC"/>
    <w:rsid w:val="00ED5D77"/>
    <w:rsid w:val="00ED60B8"/>
    <w:rsid w:val="00ED7149"/>
    <w:rsid w:val="00ED72D4"/>
    <w:rsid w:val="00ED7940"/>
    <w:rsid w:val="00ED7B3C"/>
    <w:rsid w:val="00EE1B2C"/>
    <w:rsid w:val="00EE1EC0"/>
    <w:rsid w:val="00EE2975"/>
    <w:rsid w:val="00EE3227"/>
    <w:rsid w:val="00EE3360"/>
    <w:rsid w:val="00EE425B"/>
    <w:rsid w:val="00EE6657"/>
    <w:rsid w:val="00EE7B82"/>
    <w:rsid w:val="00EE7DD8"/>
    <w:rsid w:val="00EF1A4A"/>
    <w:rsid w:val="00EF243A"/>
    <w:rsid w:val="00EF2DFE"/>
    <w:rsid w:val="00EF610D"/>
    <w:rsid w:val="00EF74C6"/>
    <w:rsid w:val="00EF757D"/>
    <w:rsid w:val="00EF78DA"/>
    <w:rsid w:val="00F02B2F"/>
    <w:rsid w:val="00F04A12"/>
    <w:rsid w:val="00F04AC8"/>
    <w:rsid w:val="00F04C3E"/>
    <w:rsid w:val="00F07746"/>
    <w:rsid w:val="00F07B9B"/>
    <w:rsid w:val="00F107CF"/>
    <w:rsid w:val="00F11735"/>
    <w:rsid w:val="00F1180E"/>
    <w:rsid w:val="00F12215"/>
    <w:rsid w:val="00F13046"/>
    <w:rsid w:val="00F13C50"/>
    <w:rsid w:val="00F1497C"/>
    <w:rsid w:val="00F15B2F"/>
    <w:rsid w:val="00F2029E"/>
    <w:rsid w:val="00F2049B"/>
    <w:rsid w:val="00F20B66"/>
    <w:rsid w:val="00F2110B"/>
    <w:rsid w:val="00F221FB"/>
    <w:rsid w:val="00F23F11"/>
    <w:rsid w:val="00F24BD7"/>
    <w:rsid w:val="00F25DC6"/>
    <w:rsid w:val="00F302AC"/>
    <w:rsid w:val="00F30DD1"/>
    <w:rsid w:val="00F313BF"/>
    <w:rsid w:val="00F32203"/>
    <w:rsid w:val="00F33839"/>
    <w:rsid w:val="00F36B2A"/>
    <w:rsid w:val="00F378AE"/>
    <w:rsid w:val="00F40D76"/>
    <w:rsid w:val="00F40DE6"/>
    <w:rsid w:val="00F419EB"/>
    <w:rsid w:val="00F42D28"/>
    <w:rsid w:val="00F43641"/>
    <w:rsid w:val="00F445DF"/>
    <w:rsid w:val="00F45FF2"/>
    <w:rsid w:val="00F4670F"/>
    <w:rsid w:val="00F46D54"/>
    <w:rsid w:val="00F47BD2"/>
    <w:rsid w:val="00F51191"/>
    <w:rsid w:val="00F51348"/>
    <w:rsid w:val="00F51C31"/>
    <w:rsid w:val="00F52255"/>
    <w:rsid w:val="00F524BE"/>
    <w:rsid w:val="00F535A9"/>
    <w:rsid w:val="00F5467F"/>
    <w:rsid w:val="00F56CA6"/>
    <w:rsid w:val="00F57072"/>
    <w:rsid w:val="00F629EF"/>
    <w:rsid w:val="00F63D00"/>
    <w:rsid w:val="00F64354"/>
    <w:rsid w:val="00F64812"/>
    <w:rsid w:val="00F67BD4"/>
    <w:rsid w:val="00F717CA"/>
    <w:rsid w:val="00F72B26"/>
    <w:rsid w:val="00F73116"/>
    <w:rsid w:val="00F735A1"/>
    <w:rsid w:val="00F7499F"/>
    <w:rsid w:val="00F76E38"/>
    <w:rsid w:val="00F77564"/>
    <w:rsid w:val="00F77985"/>
    <w:rsid w:val="00F77A92"/>
    <w:rsid w:val="00F80705"/>
    <w:rsid w:val="00F819B2"/>
    <w:rsid w:val="00F82CAA"/>
    <w:rsid w:val="00F83695"/>
    <w:rsid w:val="00F8417F"/>
    <w:rsid w:val="00F847C1"/>
    <w:rsid w:val="00F85246"/>
    <w:rsid w:val="00F852FE"/>
    <w:rsid w:val="00F86FF2"/>
    <w:rsid w:val="00F87147"/>
    <w:rsid w:val="00F87181"/>
    <w:rsid w:val="00F8750C"/>
    <w:rsid w:val="00F879C2"/>
    <w:rsid w:val="00F87AD2"/>
    <w:rsid w:val="00F87D7E"/>
    <w:rsid w:val="00F90494"/>
    <w:rsid w:val="00F9077D"/>
    <w:rsid w:val="00F91964"/>
    <w:rsid w:val="00F92057"/>
    <w:rsid w:val="00F94134"/>
    <w:rsid w:val="00F94608"/>
    <w:rsid w:val="00F9479D"/>
    <w:rsid w:val="00F948BF"/>
    <w:rsid w:val="00F95181"/>
    <w:rsid w:val="00F951AE"/>
    <w:rsid w:val="00F97FAC"/>
    <w:rsid w:val="00FA05A0"/>
    <w:rsid w:val="00FA0DD8"/>
    <w:rsid w:val="00FA11D2"/>
    <w:rsid w:val="00FA17EC"/>
    <w:rsid w:val="00FA2CD2"/>
    <w:rsid w:val="00FA2DD4"/>
    <w:rsid w:val="00FA2E90"/>
    <w:rsid w:val="00FA2EF7"/>
    <w:rsid w:val="00FA439B"/>
    <w:rsid w:val="00FA5041"/>
    <w:rsid w:val="00FA5B16"/>
    <w:rsid w:val="00FA5C89"/>
    <w:rsid w:val="00FA7130"/>
    <w:rsid w:val="00FA79AB"/>
    <w:rsid w:val="00FB07B9"/>
    <w:rsid w:val="00FB0A14"/>
    <w:rsid w:val="00FB0BD4"/>
    <w:rsid w:val="00FB205C"/>
    <w:rsid w:val="00FB3361"/>
    <w:rsid w:val="00FB36B9"/>
    <w:rsid w:val="00FB384C"/>
    <w:rsid w:val="00FB421F"/>
    <w:rsid w:val="00FB4494"/>
    <w:rsid w:val="00FB53EF"/>
    <w:rsid w:val="00FB61A5"/>
    <w:rsid w:val="00FB78E0"/>
    <w:rsid w:val="00FB7B1A"/>
    <w:rsid w:val="00FC0571"/>
    <w:rsid w:val="00FC0D7D"/>
    <w:rsid w:val="00FC1067"/>
    <w:rsid w:val="00FC290A"/>
    <w:rsid w:val="00FC308C"/>
    <w:rsid w:val="00FC3E99"/>
    <w:rsid w:val="00FC409E"/>
    <w:rsid w:val="00FC494B"/>
    <w:rsid w:val="00FC4EF8"/>
    <w:rsid w:val="00FC51A4"/>
    <w:rsid w:val="00FC6FEA"/>
    <w:rsid w:val="00FC70EC"/>
    <w:rsid w:val="00FC724E"/>
    <w:rsid w:val="00FC78A7"/>
    <w:rsid w:val="00FD08BC"/>
    <w:rsid w:val="00FD1F9B"/>
    <w:rsid w:val="00FD23FC"/>
    <w:rsid w:val="00FD2B0A"/>
    <w:rsid w:val="00FD42C3"/>
    <w:rsid w:val="00FD4B5F"/>
    <w:rsid w:val="00FD5B25"/>
    <w:rsid w:val="00FD5B31"/>
    <w:rsid w:val="00FD5D49"/>
    <w:rsid w:val="00FD612D"/>
    <w:rsid w:val="00FE05CF"/>
    <w:rsid w:val="00FE0F6F"/>
    <w:rsid w:val="00FE1A60"/>
    <w:rsid w:val="00FE227D"/>
    <w:rsid w:val="00FE2870"/>
    <w:rsid w:val="00FE29F5"/>
    <w:rsid w:val="00FE33DE"/>
    <w:rsid w:val="00FE3AE1"/>
    <w:rsid w:val="00FE4684"/>
    <w:rsid w:val="00FE4718"/>
    <w:rsid w:val="00FE4D31"/>
    <w:rsid w:val="00FF0AB7"/>
    <w:rsid w:val="00FF118F"/>
    <w:rsid w:val="00FF19D7"/>
    <w:rsid w:val="00FF2543"/>
    <w:rsid w:val="00FF3918"/>
    <w:rsid w:val="00FF403D"/>
    <w:rsid w:val="00FF55CB"/>
    <w:rsid w:val="00FF5795"/>
    <w:rsid w:val="00FF585C"/>
    <w:rsid w:val="00FF5CE9"/>
    <w:rsid w:val="00FF6AC1"/>
    <w:rsid w:val="00FF78A2"/>
    <w:rsid w:val="00FF7B6E"/>
    <w:rsid w:val="019D2135"/>
    <w:rsid w:val="02013389"/>
    <w:rsid w:val="021C52F6"/>
    <w:rsid w:val="026B4BB1"/>
    <w:rsid w:val="02721E51"/>
    <w:rsid w:val="037C0634"/>
    <w:rsid w:val="04286E3C"/>
    <w:rsid w:val="04661C00"/>
    <w:rsid w:val="05461F05"/>
    <w:rsid w:val="05AB10FA"/>
    <w:rsid w:val="06604C4F"/>
    <w:rsid w:val="06D50D14"/>
    <w:rsid w:val="0744531E"/>
    <w:rsid w:val="074769C2"/>
    <w:rsid w:val="074F186B"/>
    <w:rsid w:val="077600B2"/>
    <w:rsid w:val="07E55D8B"/>
    <w:rsid w:val="083700A4"/>
    <w:rsid w:val="089808CE"/>
    <w:rsid w:val="08B94AA3"/>
    <w:rsid w:val="08C45016"/>
    <w:rsid w:val="08FF209A"/>
    <w:rsid w:val="091D6ACA"/>
    <w:rsid w:val="09293267"/>
    <w:rsid w:val="099077F7"/>
    <w:rsid w:val="0B7F408C"/>
    <w:rsid w:val="0B82550B"/>
    <w:rsid w:val="0BBB2941"/>
    <w:rsid w:val="0C2C3FE1"/>
    <w:rsid w:val="0CD64794"/>
    <w:rsid w:val="0CFD3023"/>
    <w:rsid w:val="0D6A2919"/>
    <w:rsid w:val="0D8E63B0"/>
    <w:rsid w:val="0DDD5D5F"/>
    <w:rsid w:val="0E8C5A78"/>
    <w:rsid w:val="0E962F2B"/>
    <w:rsid w:val="0F3A183A"/>
    <w:rsid w:val="10C661C1"/>
    <w:rsid w:val="11592537"/>
    <w:rsid w:val="11CA08B6"/>
    <w:rsid w:val="11CD285A"/>
    <w:rsid w:val="12007528"/>
    <w:rsid w:val="12725FEE"/>
    <w:rsid w:val="132C0F38"/>
    <w:rsid w:val="13C36E77"/>
    <w:rsid w:val="15433117"/>
    <w:rsid w:val="16614D5C"/>
    <w:rsid w:val="167F29CB"/>
    <w:rsid w:val="16816E45"/>
    <w:rsid w:val="16B109D3"/>
    <w:rsid w:val="17333241"/>
    <w:rsid w:val="17BD57E2"/>
    <w:rsid w:val="19570F57"/>
    <w:rsid w:val="1A0865B5"/>
    <w:rsid w:val="1A965A5D"/>
    <w:rsid w:val="1B8361E4"/>
    <w:rsid w:val="1BA3433F"/>
    <w:rsid w:val="1C4C1A32"/>
    <w:rsid w:val="1D063C00"/>
    <w:rsid w:val="1D0900AC"/>
    <w:rsid w:val="1E036392"/>
    <w:rsid w:val="1E152E4F"/>
    <w:rsid w:val="1E806D8A"/>
    <w:rsid w:val="1ED64AD4"/>
    <w:rsid w:val="1F63002C"/>
    <w:rsid w:val="1F681206"/>
    <w:rsid w:val="20054643"/>
    <w:rsid w:val="207A3B30"/>
    <w:rsid w:val="20BC15DB"/>
    <w:rsid w:val="20C76529"/>
    <w:rsid w:val="20EB3EFD"/>
    <w:rsid w:val="21743EAD"/>
    <w:rsid w:val="218607F0"/>
    <w:rsid w:val="21E03E75"/>
    <w:rsid w:val="222648EA"/>
    <w:rsid w:val="22695F36"/>
    <w:rsid w:val="24690F51"/>
    <w:rsid w:val="24B65D19"/>
    <w:rsid w:val="24D15F7B"/>
    <w:rsid w:val="26492DAF"/>
    <w:rsid w:val="26547D34"/>
    <w:rsid w:val="27F57EB8"/>
    <w:rsid w:val="28705603"/>
    <w:rsid w:val="28AE7F7A"/>
    <w:rsid w:val="28BF7F72"/>
    <w:rsid w:val="29143DF8"/>
    <w:rsid w:val="296E563B"/>
    <w:rsid w:val="29753BF8"/>
    <w:rsid w:val="29825CE6"/>
    <w:rsid w:val="29834512"/>
    <w:rsid w:val="298D2CAC"/>
    <w:rsid w:val="29C15134"/>
    <w:rsid w:val="2A5C7F6B"/>
    <w:rsid w:val="2AEA7D8F"/>
    <w:rsid w:val="2AFA4E6B"/>
    <w:rsid w:val="2BB473D7"/>
    <w:rsid w:val="2BD65DEB"/>
    <w:rsid w:val="2C9034E6"/>
    <w:rsid w:val="2C917EAB"/>
    <w:rsid w:val="2CCF0449"/>
    <w:rsid w:val="2CD54388"/>
    <w:rsid w:val="2D1B0972"/>
    <w:rsid w:val="2DEE4968"/>
    <w:rsid w:val="2E1C17D0"/>
    <w:rsid w:val="2E2B290B"/>
    <w:rsid w:val="2E5B704A"/>
    <w:rsid w:val="2FC365C7"/>
    <w:rsid w:val="2FFD3579"/>
    <w:rsid w:val="30146494"/>
    <w:rsid w:val="306703DC"/>
    <w:rsid w:val="309B6BB3"/>
    <w:rsid w:val="31216DC3"/>
    <w:rsid w:val="316A3566"/>
    <w:rsid w:val="32821B23"/>
    <w:rsid w:val="32A54EDC"/>
    <w:rsid w:val="337A2161"/>
    <w:rsid w:val="33AF48C9"/>
    <w:rsid w:val="33B71A15"/>
    <w:rsid w:val="349B71CE"/>
    <w:rsid w:val="34E35BCD"/>
    <w:rsid w:val="34E9586F"/>
    <w:rsid w:val="35225AA1"/>
    <w:rsid w:val="35706812"/>
    <w:rsid w:val="35ED3C8B"/>
    <w:rsid w:val="3629776F"/>
    <w:rsid w:val="369F6694"/>
    <w:rsid w:val="36B860C4"/>
    <w:rsid w:val="38002480"/>
    <w:rsid w:val="380E3D9A"/>
    <w:rsid w:val="38E628FD"/>
    <w:rsid w:val="3AD53DB5"/>
    <w:rsid w:val="3B321A8E"/>
    <w:rsid w:val="3B714DB5"/>
    <w:rsid w:val="3BAB15B3"/>
    <w:rsid w:val="3C0C08D4"/>
    <w:rsid w:val="3CB27D5A"/>
    <w:rsid w:val="3D162D88"/>
    <w:rsid w:val="3D877340"/>
    <w:rsid w:val="3DA40C6A"/>
    <w:rsid w:val="3DB51B9C"/>
    <w:rsid w:val="3E626897"/>
    <w:rsid w:val="3E84772B"/>
    <w:rsid w:val="3F862C3B"/>
    <w:rsid w:val="401E302E"/>
    <w:rsid w:val="40B763A4"/>
    <w:rsid w:val="40F44999"/>
    <w:rsid w:val="41872CB2"/>
    <w:rsid w:val="41E20E14"/>
    <w:rsid w:val="42482CC3"/>
    <w:rsid w:val="429D699E"/>
    <w:rsid w:val="42E65F48"/>
    <w:rsid w:val="43495316"/>
    <w:rsid w:val="435B4E38"/>
    <w:rsid w:val="437D2435"/>
    <w:rsid w:val="43A95817"/>
    <w:rsid w:val="441B628B"/>
    <w:rsid w:val="444F55DD"/>
    <w:rsid w:val="446025D3"/>
    <w:rsid w:val="44780CAC"/>
    <w:rsid w:val="44DC095D"/>
    <w:rsid w:val="45C64FD6"/>
    <w:rsid w:val="45FE7B10"/>
    <w:rsid w:val="470C5EBE"/>
    <w:rsid w:val="47272902"/>
    <w:rsid w:val="479D4758"/>
    <w:rsid w:val="48977AF4"/>
    <w:rsid w:val="48CB3534"/>
    <w:rsid w:val="49060DC5"/>
    <w:rsid w:val="498200BF"/>
    <w:rsid w:val="499E2AF1"/>
    <w:rsid w:val="49E50112"/>
    <w:rsid w:val="49ED370D"/>
    <w:rsid w:val="4A8D3982"/>
    <w:rsid w:val="4A913A45"/>
    <w:rsid w:val="4AB04D8B"/>
    <w:rsid w:val="4CCF375F"/>
    <w:rsid w:val="4CE916C4"/>
    <w:rsid w:val="4D3C28D6"/>
    <w:rsid w:val="4DF416CC"/>
    <w:rsid w:val="4E22124A"/>
    <w:rsid w:val="4EBC50D5"/>
    <w:rsid w:val="4EC10BEA"/>
    <w:rsid w:val="4F334479"/>
    <w:rsid w:val="4FEE214E"/>
    <w:rsid w:val="50006010"/>
    <w:rsid w:val="50917436"/>
    <w:rsid w:val="51CE60C8"/>
    <w:rsid w:val="51ED27BB"/>
    <w:rsid w:val="51F4151E"/>
    <w:rsid w:val="52113B45"/>
    <w:rsid w:val="52B32BBA"/>
    <w:rsid w:val="53457347"/>
    <w:rsid w:val="53837B97"/>
    <w:rsid w:val="5404204C"/>
    <w:rsid w:val="54AD3CB4"/>
    <w:rsid w:val="55A205B1"/>
    <w:rsid w:val="55DA791F"/>
    <w:rsid w:val="5871567D"/>
    <w:rsid w:val="59A44B08"/>
    <w:rsid w:val="5A3F5498"/>
    <w:rsid w:val="5A5263AE"/>
    <w:rsid w:val="5A795F21"/>
    <w:rsid w:val="5AA12DFD"/>
    <w:rsid w:val="5B2F4679"/>
    <w:rsid w:val="5C1A168D"/>
    <w:rsid w:val="5C3E7FB9"/>
    <w:rsid w:val="5CC66EA6"/>
    <w:rsid w:val="5CD4083C"/>
    <w:rsid w:val="5D7B49AE"/>
    <w:rsid w:val="5D7F596C"/>
    <w:rsid w:val="5DC71D52"/>
    <w:rsid w:val="5E530C2C"/>
    <w:rsid w:val="5E6752FF"/>
    <w:rsid w:val="5EB12ED7"/>
    <w:rsid w:val="5F416B17"/>
    <w:rsid w:val="5F7C197E"/>
    <w:rsid w:val="5FE42BB0"/>
    <w:rsid w:val="602C66A7"/>
    <w:rsid w:val="60747188"/>
    <w:rsid w:val="60795D6A"/>
    <w:rsid w:val="60CE39D9"/>
    <w:rsid w:val="60F17E88"/>
    <w:rsid w:val="61DE2D3B"/>
    <w:rsid w:val="61F467E5"/>
    <w:rsid w:val="61FE204D"/>
    <w:rsid w:val="62207C36"/>
    <w:rsid w:val="624524F9"/>
    <w:rsid w:val="62A901DB"/>
    <w:rsid w:val="63101554"/>
    <w:rsid w:val="631A6650"/>
    <w:rsid w:val="663E56BD"/>
    <w:rsid w:val="67974132"/>
    <w:rsid w:val="68024591"/>
    <w:rsid w:val="68581B17"/>
    <w:rsid w:val="68DF572F"/>
    <w:rsid w:val="68E14201"/>
    <w:rsid w:val="692A22B4"/>
    <w:rsid w:val="69316460"/>
    <w:rsid w:val="6AD97B93"/>
    <w:rsid w:val="6B293D6E"/>
    <w:rsid w:val="6B5B5C6A"/>
    <w:rsid w:val="6B653357"/>
    <w:rsid w:val="6B7A5641"/>
    <w:rsid w:val="6B870C9B"/>
    <w:rsid w:val="6BA20361"/>
    <w:rsid w:val="6BE05DEF"/>
    <w:rsid w:val="6C7818B3"/>
    <w:rsid w:val="6CAF6005"/>
    <w:rsid w:val="6D22529E"/>
    <w:rsid w:val="6D896A6D"/>
    <w:rsid w:val="6E4C327D"/>
    <w:rsid w:val="6EBB2696"/>
    <w:rsid w:val="6F494167"/>
    <w:rsid w:val="700A5EAD"/>
    <w:rsid w:val="705B75EA"/>
    <w:rsid w:val="71010E9C"/>
    <w:rsid w:val="724434FF"/>
    <w:rsid w:val="730F445F"/>
    <w:rsid w:val="73F169FD"/>
    <w:rsid w:val="75F9303C"/>
    <w:rsid w:val="76BE0EC0"/>
    <w:rsid w:val="76DC3C33"/>
    <w:rsid w:val="77517BBA"/>
    <w:rsid w:val="77520394"/>
    <w:rsid w:val="77A46AAC"/>
    <w:rsid w:val="77B06CAA"/>
    <w:rsid w:val="77F16F26"/>
    <w:rsid w:val="781A0D2A"/>
    <w:rsid w:val="7929314D"/>
    <w:rsid w:val="7930439B"/>
    <w:rsid w:val="794A28A7"/>
    <w:rsid w:val="798725FD"/>
    <w:rsid w:val="7A6115B4"/>
    <w:rsid w:val="7B502B19"/>
    <w:rsid w:val="7BBD7BD6"/>
    <w:rsid w:val="7C29778A"/>
    <w:rsid w:val="7CDD3461"/>
    <w:rsid w:val="7D025E77"/>
    <w:rsid w:val="7D321A6F"/>
    <w:rsid w:val="7D915201"/>
    <w:rsid w:val="7DAA1013"/>
    <w:rsid w:val="7EE65568"/>
    <w:rsid w:val="7F6F4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name="endnote reference"/>
    <w:lsdException w:qFormat="1" w:uiPriority="99" w:semiHidden="0"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9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6"/>
    <w:qFormat/>
    <w:uiPriority w:val="0"/>
    <w:pPr>
      <w:keepNext/>
      <w:keepLines/>
      <w:spacing w:before="120" w:beforeLines="50" w:after="120" w:afterLines="50"/>
      <w:jc w:val="center"/>
      <w:outlineLvl w:val="1"/>
    </w:pPr>
    <w:rPr>
      <w:rFonts w:ascii="黑体" w:hAnsi="黑体" w:eastAsia="黑体"/>
      <w:sz w:val="32"/>
      <w:szCs w:val="32"/>
    </w:rPr>
  </w:style>
  <w:style w:type="paragraph" w:styleId="5">
    <w:name w:val="heading 3"/>
    <w:basedOn w:val="1"/>
    <w:next w:val="1"/>
    <w:link w:val="83"/>
    <w:qFormat/>
    <w:uiPriority w:val="0"/>
    <w:pPr>
      <w:keepNext/>
      <w:keepLines/>
      <w:spacing w:before="260" w:after="260" w:line="416" w:lineRule="auto"/>
      <w:outlineLvl w:val="2"/>
    </w:pPr>
    <w:rPr>
      <w:b/>
      <w:bCs/>
      <w:kern w:val="0"/>
      <w:sz w:val="32"/>
      <w:szCs w:val="32"/>
    </w:rPr>
  </w:style>
  <w:style w:type="paragraph" w:styleId="6">
    <w:name w:val="heading 4"/>
    <w:basedOn w:val="5"/>
    <w:next w:val="7"/>
    <w:link w:val="93"/>
    <w:qFormat/>
    <w:uiPriority w:val="0"/>
    <w:pPr>
      <w:numPr>
        <w:ilvl w:val="3"/>
        <w:numId w:val="1"/>
      </w:numPr>
      <w:spacing w:before="156" w:beforeLines="50" w:after="156" w:afterLines="50" w:line="360" w:lineRule="auto"/>
      <w:jc w:val="center"/>
      <w:outlineLvl w:val="3"/>
    </w:pPr>
    <w:rPr>
      <w:rFonts w:ascii="Arial" w:hAnsi="Arial"/>
      <w:b w:val="0"/>
      <w:bCs w:val="0"/>
      <w:color w:val="000000"/>
      <w:sz w:val="24"/>
      <w:szCs w:val="24"/>
    </w:rPr>
  </w:style>
  <w:style w:type="paragraph" w:styleId="8">
    <w:name w:val="heading 5"/>
    <w:basedOn w:val="6"/>
    <w:next w:val="7"/>
    <w:link w:val="79"/>
    <w:qFormat/>
    <w:uiPriority w:val="0"/>
    <w:pPr>
      <w:numPr>
        <w:ilvl w:val="4"/>
      </w:numPr>
      <w:spacing w:line="240" w:lineRule="exact"/>
      <w:outlineLvl w:val="4"/>
    </w:pPr>
  </w:style>
  <w:style w:type="paragraph" w:styleId="9">
    <w:name w:val="heading 6"/>
    <w:basedOn w:val="1"/>
    <w:next w:val="1"/>
    <w:link w:val="82"/>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szCs w:val="24"/>
    </w:rPr>
  </w:style>
  <w:style w:type="paragraph" w:styleId="10">
    <w:name w:val="heading 7"/>
    <w:basedOn w:val="1"/>
    <w:next w:val="7"/>
    <w:link w:val="104"/>
    <w:qFormat/>
    <w:uiPriority w:val="0"/>
    <w:pPr>
      <w:keepNext/>
      <w:keepLines/>
      <w:numPr>
        <w:ilvl w:val="6"/>
        <w:numId w:val="1"/>
      </w:numPr>
      <w:spacing w:before="240" w:after="64" w:line="320" w:lineRule="auto"/>
      <w:outlineLvl w:val="6"/>
    </w:pPr>
    <w:rPr>
      <w:b/>
      <w:kern w:val="0"/>
      <w:sz w:val="24"/>
      <w:szCs w:val="20"/>
    </w:rPr>
  </w:style>
  <w:style w:type="paragraph" w:styleId="11">
    <w:name w:val="heading 8"/>
    <w:basedOn w:val="1"/>
    <w:next w:val="7"/>
    <w:link w:val="105"/>
    <w:qFormat/>
    <w:uiPriority w:val="0"/>
    <w:pPr>
      <w:keepNext/>
      <w:keepLines/>
      <w:numPr>
        <w:ilvl w:val="7"/>
        <w:numId w:val="1"/>
      </w:numPr>
      <w:spacing w:before="240" w:after="64" w:line="320" w:lineRule="auto"/>
      <w:outlineLvl w:val="7"/>
    </w:pPr>
    <w:rPr>
      <w:rFonts w:ascii="Arial" w:hAnsi="Arial" w:eastAsia="黑体"/>
      <w:kern w:val="0"/>
      <w:sz w:val="24"/>
      <w:szCs w:val="20"/>
    </w:rPr>
  </w:style>
  <w:style w:type="paragraph" w:styleId="12">
    <w:name w:val="heading 9"/>
    <w:basedOn w:val="1"/>
    <w:next w:val="7"/>
    <w:link w:val="106"/>
    <w:qFormat/>
    <w:uiPriority w:val="0"/>
    <w:pPr>
      <w:keepNext/>
      <w:keepLines/>
      <w:numPr>
        <w:ilvl w:val="8"/>
        <w:numId w:val="1"/>
      </w:numPr>
      <w:spacing w:before="240" w:after="64" w:line="320" w:lineRule="auto"/>
      <w:outlineLvl w:val="8"/>
    </w:pPr>
    <w:rPr>
      <w:rFonts w:ascii="Arial" w:hAnsi="Arial" w:eastAsia="黑体"/>
      <w:kern w:val="0"/>
      <w:sz w:val="20"/>
      <w:szCs w:val="20"/>
    </w:rPr>
  </w:style>
  <w:style w:type="character" w:default="1" w:styleId="44">
    <w:name w:val="Default Paragraph Font"/>
    <w:semiHidden/>
    <w:unhideWhenUsed/>
    <w:qFormat/>
    <w:uiPriority w:val="1"/>
  </w:style>
  <w:style w:type="table" w:default="1" w:styleId="4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styleId="7">
    <w:name w:val="Normal Indent"/>
    <w:basedOn w:val="1"/>
    <w:unhideWhenUsed/>
    <w:qFormat/>
    <w:uiPriority w:val="0"/>
    <w:pPr>
      <w:keepNext w:val="0"/>
      <w:keepLines w:val="0"/>
      <w:widowControl/>
      <w:suppressLineNumbers w:val="0"/>
      <w:adjustRightInd w:val="0"/>
      <w:snapToGrid w:val="0"/>
      <w:spacing w:after="200" w:afterAutospacing="0"/>
      <w:ind w:firstLine="420"/>
      <w:jc w:val="left"/>
    </w:pPr>
    <w:rPr>
      <w:rFonts w:hint="default" w:ascii="Times New Roman" w:hAnsi="Times New Roman" w:eastAsia="微软雅黑" w:cs="Tahoma"/>
      <w:kern w:val="0"/>
      <w:sz w:val="22"/>
      <w:szCs w:val="22"/>
      <w:lang w:val="en-US" w:eastAsia="zh-CN" w:bidi="ar"/>
    </w:rPr>
  </w:style>
  <w:style w:type="paragraph" w:styleId="13">
    <w:name w:val="caption"/>
    <w:basedOn w:val="1"/>
    <w:next w:val="1"/>
    <w:qFormat/>
    <w:uiPriority w:val="0"/>
    <w:rPr>
      <w:rFonts w:ascii="Arial" w:hAnsi="Arial" w:eastAsia="黑体" w:cs="Arial"/>
      <w:sz w:val="20"/>
      <w:szCs w:val="20"/>
    </w:rPr>
  </w:style>
  <w:style w:type="paragraph" w:styleId="14">
    <w:name w:val="Document Map"/>
    <w:basedOn w:val="1"/>
    <w:link w:val="89"/>
    <w:semiHidden/>
    <w:qFormat/>
    <w:uiPriority w:val="0"/>
    <w:pPr>
      <w:shd w:val="clear" w:color="auto" w:fill="000080"/>
    </w:pPr>
    <w:rPr>
      <w:kern w:val="0"/>
      <w:sz w:val="20"/>
      <w:szCs w:val="24"/>
    </w:rPr>
  </w:style>
  <w:style w:type="paragraph" w:styleId="15">
    <w:name w:val="annotation text"/>
    <w:basedOn w:val="1"/>
    <w:link w:val="100"/>
    <w:unhideWhenUsed/>
    <w:qFormat/>
    <w:uiPriority w:val="0"/>
    <w:pPr>
      <w:jc w:val="left"/>
    </w:pPr>
  </w:style>
  <w:style w:type="paragraph" w:styleId="16">
    <w:name w:val="Body Text 3"/>
    <w:basedOn w:val="1"/>
    <w:link w:val="101"/>
    <w:unhideWhenUsed/>
    <w:qFormat/>
    <w:uiPriority w:val="0"/>
    <w:pPr>
      <w:spacing w:after="120"/>
    </w:pPr>
    <w:rPr>
      <w:kern w:val="0"/>
      <w:sz w:val="16"/>
      <w:szCs w:val="16"/>
    </w:rPr>
  </w:style>
  <w:style w:type="paragraph" w:styleId="17">
    <w:name w:val="Body Text"/>
    <w:basedOn w:val="1"/>
    <w:next w:val="18"/>
    <w:link w:val="102"/>
    <w:unhideWhenUsed/>
    <w:qFormat/>
    <w:uiPriority w:val="0"/>
    <w:pPr>
      <w:spacing w:after="120"/>
    </w:pPr>
  </w:style>
  <w:style w:type="paragraph" w:styleId="18">
    <w:name w:val="Body Text 2"/>
    <w:basedOn w:val="1"/>
    <w:link w:val="77"/>
    <w:unhideWhenUsed/>
    <w:qFormat/>
    <w:uiPriority w:val="0"/>
    <w:rPr>
      <w:rFonts w:ascii="宋体" w:hAnsi="宋体" w:eastAsia="楷体_GB2312"/>
      <w:kern w:val="0"/>
      <w:sz w:val="20"/>
      <w:szCs w:val="24"/>
      <w:u w:val="single"/>
    </w:rPr>
  </w:style>
  <w:style w:type="paragraph" w:styleId="19">
    <w:name w:val="Body Text Indent"/>
    <w:basedOn w:val="1"/>
    <w:next w:val="20"/>
    <w:link w:val="87"/>
    <w:qFormat/>
    <w:uiPriority w:val="99"/>
    <w:pPr>
      <w:spacing w:after="120"/>
      <w:ind w:left="420" w:leftChars="200"/>
    </w:pPr>
    <w:rPr>
      <w:kern w:val="0"/>
      <w:sz w:val="20"/>
      <w:szCs w:val="24"/>
    </w:rPr>
  </w:style>
  <w:style w:type="paragraph" w:styleId="20">
    <w:name w:val="envelope return"/>
    <w:basedOn w:val="1"/>
    <w:qFormat/>
    <w:uiPriority w:val="0"/>
    <w:pPr>
      <w:snapToGrid w:val="0"/>
    </w:pPr>
    <w:rPr>
      <w:rFonts w:ascii="Arial" w:hAnsi="Arial"/>
      <w:szCs w:val="24"/>
    </w:rPr>
  </w:style>
  <w:style w:type="paragraph" w:styleId="21">
    <w:name w:val="Block Text"/>
    <w:basedOn w:val="1"/>
    <w:unhideWhenUsed/>
    <w:qFormat/>
    <w:uiPriority w:val="99"/>
    <w:pPr>
      <w:spacing w:after="120"/>
    </w:pPr>
    <w:rPr>
      <w:rFonts w:eastAsia="仿宋_GB2312"/>
      <w:sz w:val="32"/>
      <w:szCs w:val="32"/>
    </w:rPr>
  </w:style>
  <w:style w:type="paragraph" w:styleId="22">
    <w:name w:val="toc 3"/>
    <w:basedOn w:val="1"/>
    <w:next w:val="1"/>
    <w:unhideWhenUsed/>
    <w:qFormat/>
    <w:uiPriority w:val="39"/>
    <w:pPr>
      <w:ind w:left="840" w:leftChars="400"/>
    </w:pPr>
  </w:style>
  <w:style w:type="paragraph" w:styleId="23">
    <w:name w:val="Plain Text"/>
    <w:basedOn w:val="1"/>
    <w:link w:val="91"/>
    <w:qFormat/>
    <w:uiPriority w:val="0"/>
    <w:rPr>
      <w:rFonts w:ascii="宋体" w:hAnsi="Courier New" w:eastAsia="楷体_GB2312"/>
      <w:kern w:val="0"/>
      <w:sz w:val="20"/>
      <w:szCs w:val="24"/>
    </w:rPr>
  </w:style>
  <w:style w:type="paragraph" w:styleId="24">
    <w:name w:val="Date"/>
    <w:basedOn w:val="1"/>
    <w:next w:val="1"/>
    <w:link w:val="78"/>
    <w:qFormat/>
    <w:uiPriority w:val="0"/>
    <w:rPr>
      <w:kern w:val="0"/>
      <w:sz w:val="24"/>
      <w:szCs w:val="20"/>
    </w:rPr>
  </w:style>
  <w:style w:type="paragraph" w:styleId="25">
    <w:name w:val="Body Text Indent 2"/>
    <w:basedOn w:val="1"/>
    <w:link w:val="107"/>
    <w:qFormat/>
    <w:uiPriority w:val="0"/>
    <w:pPr>
      <w:spacing w:after="120" w:line="480" w:lineRule="auto"/>
      <w:ind w:left="420" w:leftChars="200"/>
    </w:pPr>
    <w:rPr>
      <w:kern w:val="0"/>
      <w:sz w:val="20"/>
      <w:szCs w:val="24"/>
    </w:rPr>
  </w:style>
  <w:style w:type="paragraph" w:styleId="26">
    <w:name w:val="endnote text"/>
    <w:basedOn w:val="1"/>
    <w:link w:val="103"/>
    <w:unhideWhenUsed/>
    <w:qFormat/>
    <w:uiPriority w:val="99"/>
    <w:pPr>
      <w:snapToGrid w:val="0"/>
      <w:jc w:val="left"/>
    </w:pPr>
  </w:style>
  <w:style w:type="paragraph" w:styleId="27">
    <w:name w:val="Balloon Text"/>
    <w:basedOn w:val="1"/>
    <w:link w:val="95"/>
    <w:unhideWhenUsed/>
    <w:qFormat/>
    <w:uiPriority w:val="99"/>
    <w:rPr>
      <w:kern w:val="0"/>
      <w:sz w:val="18"/>
      <w:szCs w:val="18"/>
    </w:rPr>
  </w:style>
  <w:style w:type="paragraph" w:styleId="28">
    <w:name w:val="footer"/>
    <w:basedOn w:val="1"/>
    <w:link w:val="99"/>
    <w:unhideWhenUsed/>
    <w:qFormat/>
    <w:uiPriority w:val="0"/>
    <w:pPr>
      <w:tabs>
        <w:tab w:val="center" w:pos="4153"/>
        <w:tab w:val="right" w:pos="8306"/>
      </w:tabs>
      <w:snapToGrid w:val="0"/>
      <w:jc w:val="left"/>
    </w:pPr>
    <w:rPr>
      <w:kern w:val="0"/>
      <w:sz w:val="18"/>
      <w:szCs w:val="18"/>
    </w:rPr>
  </w:style>
  <w:style w:type="paragraph" w:styleId="29">
    <w:name w:val="header"/>
    <w:basedOn w:val="1"/>
    <w:link w:val="96"/>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qFormat/>
    <w:uiPriority w:val="0"/>
    <w:pPr>
      <w:tabs>
        <w:tab w:val="right" w:leader="dot" w:pos="9060"/>
      </w:tabs>
      <w:spacing w:before="120" w:after="120"/>
      <w:jc w:val="center"/>
    </w:pPr>
    <w:rPr>
      <w:b/>
      <w:bCs/>
      <w:caps/>
      <w:sz w:val="24"/>
      <w:szCs w:val="24"/>
    </w:rPr>
  </w:style>
  <w:style w:type="paragraph" w:styleId="31">
    <w:name w:val="List"/>
    <w:basedOn w:val="1"/>
    <w:next w:val="1"/>
    <w:semiHidden/>
    <w:unhideWhenUsed/>
    <w:qFormat/>
    <w:uiPriority w:val="99"/>
    <w:pPr>
      <w:ind w:left="200" w:hanging="200" w:hangingChars="200"/>
      <w:contextualSpacing/>
    </w:pPr>
  </w:style>
  <w:style w:type="paragraph" w:styleId="32">
    <w:name w:val="Body Text Indent 3"/>
    <w:basedOn w:val="1"/>
    <w:link w:val="84"/>
    <w:qFormat/>
    <w:uiPriority w:val="0"/>
    <w:pPr>
      <w:spacing w:after="120"/>
      <w:ind w:left="420" w:leftChars="200"/>
    </w:pPr>
    <w:rPr>
      <w:kern w:val="0"/>
      <w:sz w:val="16"/>
      <w:szCs w:val="16"/>
    </w:rPr>
  </w:style>
  <w:style w:type="paragraph" w:styleId="33">
    <w:name w:val="toc 2"/>
    <w:basedOn w:val="1"/>
    <w:next w:val="1"/>
    <w:qFormat/>
    <w:uiPriority w:val="39"/>
    <w:pPr>
      <w:tabs>
        <w:tab w:val="right" w:leader="dot" w:pos="8302"/>
      </w:tabs>
      <w:ind w:left="210"/>
      <w:jc w:val="left"/>
    </w:pPr>
    <w:rPr>
      <w:smallCaps/>
      <w:sz w:val="20"/>
      <w:szCs w:val="20"/>
    </w:rPr>
  </w:style>
  <w:style w:type="paragraph" w:styleId="34">
    <w:name w:val="Normal (Web)"/>
    <w:basedOn w:val="1"/>
    <w:qFormat/>
    <w:uiPriority w:val="99"/>
    <w:pPr>
      <w:widowControl/>
      <w:spacing w:before="100" w:beforeAutospacing="1" w:after="100" w:afterAutospacing="1"/>
      <w:jc w:val="left"/>
    </w:pPr>
    <w:rPr>
      <w:kern w:val="0"/>
      <w:sz w:val="24"/>
      <w:szCs w:val="24"/>
    </w:rPr>
  </w:style>
  <w:style w:type="paragraph" w:styleId="35">
    <w:name w:val="index 1"/>
    <w:basedOn w:val="1"/>
    <w:next w:val="1"/>
    <w:qFormat/>
    <w:uiPriority w:val="0"/>
    <w:pPr>
      <w:spacing w:line="220" w:lineRule="exact"/>
      <w:jc w:val="center"/>
    </w:pPr>
    <w:rPr>
      <w:rFonts w:ascii="仿宋_GB2312" w:eastAsia="仿宋_GB2312"/>
      <w:szCs w:val="21"/>
    </w:rPr>
  </w:style>
  <w:style w:type="paragraph" w:styleId="36">
    <w:name w:val="Title"/>
    <w:basedOn w:val="1"/>
    <w:link w:val="94"/>
    <w:qFormat/>
    <w:uiPriority w:val="0"/>
    <w:pPr>
      <w:spacing w:before="120" w:after="60"/>
      <w:jc w:val="center"/>
    </w:pPr>
    <w:rPr>
      <w:rFonts w:ascii="Arial" w:hAnsi="Arial" w:eastAsia="楷体_GB2312"/>
      <w:b/>
      <w:kern w:val="0"/>
      <w:sz w:val="44"/>
      <w:szCs w:val="20"/>
    </w:rPr>
  </w:style>
  <w:style w:type="paragraph" w:styleId="37">
    <w:name w:val="annotation subject"/>
    <w:basedOn w:val="15"/>
    <w:next w:val="15"/>
    <w:link w:val="90"/>
    <w:unhideWhenUsed/>
    <w:qFormat/>
    <w:uiPriority w:val="99"/>
    <w:rPr>
      <w:b/>
      <w:bCs/>
      <w:kern w:val="0"/>
      <w:sz w:val="20"/>
      <w:szCs w:val="20"/>
    </w:rPr>
  </w:style>
  <w:style w:type="paragraph" w:styleId="38">
    <w:name w:val="Body Text First Indent"/>
    <w:basedOn w:val="1"/>
    <w:link w:val="98"/>
    <w:qFormat/>
    <w:uiPriority w:val="0"/>
    <w:pPr>
      <w:ind w:firstLine="420"/>
    </w:pPr>
    <w:rPr>
      <w:rFonts w:eastAsia="楷体_GB2312"/>
      <w:kern w:val="0"/>
      <w:sz w:val="20"/>
      <w:szCs w:val="20"/>
    </w:rPr>
  </w:style>
  <w:style w:type="paragraph" w:styleId="39">
    <w:name w:val="Body Text First Indent 2"/>
    <w:basedOn w:val="19"/>
    <w:link w:val="108"/>
    <w:unhideWhenUsed/>
    <w:qFormat/>
    <w:uiPriority w:val="99"/>
    <w:pPr>
      <w:ind w:firstLine="420" w:firstLineChars="200"/>
    </w:pPr>
    <w:rPr>
      <w:rFonts w:ascii="Calibri" w:hAnsi="Calibri"/>
      <w:kern w:val="2"/>
      <w:sz w:val="21"/>
      <w:szCs w:val="22"/>
    </w:rPr>
  </w:style>
  <w:style w:type="table" w:styleId="41">
    <w:name w:val="Table Grid"/>
    <w:basedOn w:val="4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42">
    <w:name w:val="Table Theme"/>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Table Professional"/>
    <w:basedOn w:val="4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45">
    <w:name w:val="Strong"/>
    <w:basedOn w:val="44"/>
    <w:qFormat/>
    <w:uiPriority w:val="22"/>
    <w:rPr>
      <w:rFonts w:eastAsia="宋体"/>
      <w:b/>
      <w:bCs/>
      <w:kern w:val="2"/>
      <w:sz w:val="24"/>
      <w:szCs w:val="24"/>
      <w:lang w:val="en-US" w:eastAsia="zh-CN" w:bidi="ar-SA"/>
    </w:rPr>
  </w:style>
  <w:style w:type="character" w:styleId="46">
    <w:name w:val="endnote reference"/>
    <w:semiHidden/>
    <w:qFormat/>
    <w:uiPriority w:val="0"/>
    <w:rPr>
      <w:rFonts w:eastAsia="宋体"/>
      <w:kern w:val="2"/>
      <w:sz w:val="24"/>
      <w:szCs w:val="24"/>
      <w:vertAlign w:val="superscript"/>
      <w:lang w:val="en-US" w:eastAsia="zh-CN" w:bidi="ar-SA"/>
    </w:rPr>
  </w:style>
  <w:style w:type="character" w:styleId="47">
    <w:name w:val="page number"/>
    <w:basedOn w:val="44"/>
    <w:qFormat/>
    <w:uiPriority w:val="0"/>
    <w:rPr>
      <w:rFonts w:ascii="Arial" w:hAnsi="Arial" w:eastAsia="黑体"/>
      <w:kern w:val="2"/>
      <w:sz w:val="21"/>
      <w:szCs w:val="21"/>
      <w:lang w:val="en-US" w:eastAsia="zh-CN" w:bidi="ar-SA"/>
    </w:rPr>
  </w:style>
  <w:style w:type="character" w:styleId="48">
    <w:name w:val="FollowedHyperlink"/>
    <w:qFormat/>
    <w:uiPriority w:val="0"/>
    <w:rPr>
      <w:rFonts w:ascii="Arial" w:hAnsi="Arial" w:eastAsia="黑体"/>
      <w:color w:val="800080"/>
      <w:kern w:val="2"/>
      <w:sz w:val="21"/>
      <w:szCs w:val="21"/>
      <w:u w:val="single"/>
      <w:lang w:val="en-US" w:eastAsia="zh-CN" w:bidi="ar-SA"/>
    </w:rPr>
  </w:style>
  <w:style w:type="character" w:styleId="49">
    <w:name w:val="Hyperlink"/>
    <w:qFormat/>
    <w:uiPriority w:val="99"/>
    <w:rPr>
      <w:rFonts w:ascii="Arial" w:hAnsi="Arial" w:eastAsia="黑体"/>
      <w:color w:val="0000FF"/>
      <w:kern w:val="2"/>
      <w:sz w:val="21"/>
      <w:szCs w:val="21"/>
      <w:u w:val="single"/>
      <w:lang w:val="en-US" w:eastAsia="zh-CN" w:bidi="ar-SA"/>
    </w:rPr>
  </w:style>
  <w:style w:type="character" w:styleId="50">
    <w:name w:val="annotation reference"/>
    <w:unhideWhenUsed/>
    <w:qFormat/>
    <w:uiPriority w:val="0"/>
    <w:rPr>
      <w:sz w:val="21"/>
      <w:szCs w:val="21"/>
    </w:rPr>
  </w:style>
  <w:style w:type="paragraph" w:customStyle="1" w:styleId="51">
    <w:name w:val="Normal Indent1"/>
    <w:basedOn w:val="52"/>
    <w:unhideWhenUsed/>
    <w:qFormat/>
    <w:uiPriority w:val="0"/>
    <w:pPr>
      <w:ind w:firstLine="420" w:firstLineChars="200"/>
    </w:pPr>
    <w:rPr>
      <w:sz w:val="32"/>
      <w:szCs w:val="21"/>
    </w:rPr>
  </w:style>
  <w:style w:type="paragraph" w:customStyle="1" w:styleId="52">
    <w:name w:val="正文 New New New New New New New New New New New New"/>
    <w:next w:val="51"/>
    <w:unhideWhenUsed/>
    <w:qFormat/>
    <w:uiPriority w:val="0"/>
    <w:pPr>
      <w:widowControl w:val="0"/>
      <w:spacing w:beforeLines="0" w:afterLines="0"/>
      <w:jc w:val="both"/>
    </w:pPr>
    <w:rPr>
      <w:rFonts w:hint="default" w:ascii="Calibri" w:hAnsi="Calibri" w:eastAsia="宋体" w:cs="Calibri"/>
      <w:kern w:val="2"/>
      <w:sz w:val="32"/>
      <w:szCs w:val="21"/>
      <w:lang w:val="en-US" w:eastAsia="zh-CN" w:bidi="ar-SA"/>
    </w:rPr>
  </w:style>
  <w:style w:type="paragraph" w:customStyle="1" w:styleId="53">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54">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szCs w:val="24"/>
    </w:rPr>
  </w:style>
  <w:style w:type="paragraph" w:styleId="55">
    <w:name w:val="List Paragraph"/>
    <w:basedOn w:val="1"/>
    <w:qFormat/>
    <w:uiPriority w:val="34"/>
    <w:pPr>
      <w:ind w:firstLine="420" w:firstLineChars="200"/>
    </w:pPr>
  </w:style>
  <w:style w:type="paragraph" w:customStyle="1" w:styleId="56">
    <w:name w:val="xl47"/>
    <w:basedOn w:val="1"/>
    <w:qFormat/>
    <w:uiPriority w:val="0"/>
    <w:pPr>
      <w:widowControl/>
      <w:spacing w:before="100" w:beforeAutospacing="1" w:after="100" w:afterAutospacing="1"/>
      <w:jc w:val="center"/>
    </w:pPr>
    <w:rPr>
      <w:rFonts w:ascii="宋体" w:hAnsi="宋体"/>
      <w:kern w:val="0"/>
      <w:sz w:val="28"/>
      <w:szCs w:val="28"/>
    </w:rPr>
  </w:style>
  <w:style w:type="paragraph" w:styleId="57">
    <w:name w:val="No Spacing"/>
    <w:qFormat/>
    <w:uiPriority w:val="1"/>
    <w:rPr>
      <w:rFonts w:ascii="Times New Roman" w:hAnsi="Times New Roman" w:eastAsia="宋体" w:cs="Times New Roman"/>
      <w:sz w:val="22"/>
      <w:szCs w:val="22"/>
      <w:lang w:val="en-US" w:eastAsia="zh-CN" w:bidi="ar-SA"/>
    </w:rPr>
  </w:style>
  <w:style w:type="paragraph" w:customStyle="1" w:styleId="5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59">
    <w:name w:val="普通 (Web)"/>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60">
    <w:name w:val="表格文字"/>
    <w:basedOn w:val="1"/>
    <w:qFormat/>
    <w:uiPriority w:val="0"/>
    <w:pPr>
      <w:adjustRightInd w:val="0"/>
      <w:spacing w:line="420" w:lineRule="atLeast"/>
      <w:jc w:val="left"/>
      <w:textAlignment w:val="baseline"/>
    </w:pPr>
    <w:rPr>
      <w:kern w:val="0"/>
      <w:szCs w:val="20"/>
    </w:rPr>
  </w:style>
  <w:style w:type="paragraph" w:customStyle="1" w:styleId="61">
    <w:name w:val="_Style 54"/>
    <w:semiHidden/>
    <w:qFormat/>
    <w:uiPriority w:val="99"/>
    <w:rPr>
      <w:rFonts w:ascii="Times New Roman" w:hAnsi="Times New Roman" w:eastAsia="宋体" w:cs="Times New Roman"/>
      <w:kern w:val="2"/>
      <w:sz w:val="21"/>
      <w:szCs w:val="22"/>
      <w:lang w:val="en-US" w:eastAsia="zh-CN" w:bidi="ar-SA"/>
    </w:rPr>
  </w:style>
  <w:style w:type="paragraph" w:customStyle="1" w:styleId="62">
    <w:name w:val="发文落款"/>
    <w:basedOn w:val="63"/>
    <w:qFormat/>
    <w:uiPriority w:val="99"/>
    <w:pPr>
      <w:ind w:left="4094" w:right="607" w:firstLine="0"/>
      <w:jc w:val="center"/>
    </w:pPr>
    <w:rPr>
      <w:rFonts w:cs="仿宋_GB2312"/>
      <w:szCs w:val="32"/>
    </w:rPr>
  </w:style>
  <w:style w:type="paragraph" w:customStyle="1" w:styleId="63">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64">
    <w:name w:val="表格"/>
    <w:basedOn w:val="1"/>
    <w:qFormat/>
    <w:uiPriority w:val="0"/>
    <w:pPr>
      <w:jc w:val="center"/>
      <w:textAlignment w:val="center"/>
    </w:pPr>
    <w:rPr>
      <w:rFonts w:ascii="华文细黑" w:hAnsi="华文细黑"/>
      <w:kern w:val="0"/>
      <w:szCs w:val="20"/>
    </w:rPr>
  </w:style>
  <w:style w:type="paragraph" w:customStyle="1" w:styleId="65">
    <w:name w:val="1"/>
    <w:basedOn w:val="1"/>
    <w:qFormat/>
    <w:uiPriority w:val="0"/>
    <w:rPr>
      <w:szCs w:val="24"/>
    </w:rPr>
  </w:style>
  <w:style w:type="paragraph" w:customStyle="1" w:styleId="66">
    <w:name w:val="p0"/>
    <w:basedOn w:val="1"/>
    <w:qFormat/>
    <w:uiPriority w:val="0"/>
    <w:pPr>
      <w:widowControl/>
      <w:spacing w:before="75" w:after="75"/>
      <w:jc w:val="left"/>
    </w:pPr>
    <w:rPr>
      <w:rFonts w:ascii="宋体" w:hAnsi="宋体" w:cs="宋体"/>
      <w:kern w:val="0"/>
      <w:sz w:val="24"/>
      <w:szCs w:val="24"/>
    </w:rPr>
  </w:style>
  <w:style w:type="paragraph" w:customStyle="1" w:styleId="67">
    <w:name w:val="样式 标题 3 + (中文) 黑体 小四 非加粗 段前: 7.8 磅 段后: 0 磅 行距: 固定值 20 磅"/>
    <w:basedOn w:val="5"/>
    <w:qFormat/>
    <w:uiPriority w:val="0"/>
    <w:pPr>
      <w:spacing w:before="0" w:after="0" w:line="400" w:lineRule="exact"/>
      <w:jc w:val="left"/>
    </w:pPr>
    <w:rPr>
      <w:rFonts w:ascii="宋体" w:hAnsi="宋体" w:eastAsia="黑体" w:cs="宋体"/>
      <w:b w:val="0"/>
      <w:bCs w:val="0"/>
      <w:sz w:val="24"/>
      <w:szCs w:val="20"/>
    </w:rPr>
  </w:style>
  <w:style w:type="paragraph" w:customStyle="1" w:styleId="68">
    <w:name w:val="Char"/>
    <w:basedOn w:val="1"/>
    <w:qFormat/>
    <w:uiPriority w:val="0"/>
    <w:pPr>
      <w:numPr>
        <w:ilvl w:val="0"/>
        <w:numId w:val="2"/>
      </w:numPr>
    </w:pPr>
    <w:rPr>
      <w:sz w:val="24"/>
      <w:szCs w:val="24"/>
    </w:rPr>
  </w:style>
  <w:style w:type="paragraph" w:customStyle="1" w:styleId="69">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0">
    <w:name w:val="xl31"/>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71">
    <w:name w:val="font5"/>
    <w:basedOn w:val="1"/>
    <w:link w:val="92"/>
    <w:qFormat/>
    <w:uiPriority w:val="0"/>
    <w:pPr>
      <w:widowControl/>
      <w:spacing w:before="100" w:beforeAutospacing="1" w:after="100" w:afterAutospacing="1"/>
      <w:jc w:val="left"/>
    </w:pPr>
    <w:rPr>
      <w:rFonts w:ascii="宋体" w:hAnsi="宋体"/>
      <w:kern w:val="0"/>
      <w:sz w:val="24"/>
      <w:szCs w:val="24"/>
    </w:rPr>
  </w:style>
  <w:style w:type="paragraph" w:customStyle="1" w:styleId="72">
    <w:name w:val="表格2"/>
    <w:basedOn w:val="1"/>
    <w:qFormat/>
    <w:uiPriority w:val="0"/>
    <w:pPr>
      <w:adjustRightInd w:val="0"/>
      <w:spacing w:before="60" w:after="60"/>
      <w:jc w:val="center"/>
    </w:pPr>
    <w:rPr>
      <w:rFonts w:ascii="宋体"/>
      <w:color w:val="000000"/>
      <w:kern w:val="0"/>
      <w:sz w:val="24"/>
      <w:szCs w:val="20"/>
    </w:rPr>
  </w:style>
  <w:style w:type="paragraph" w:customStyle="1" w:styleId="73">
    <w:name w:val="_Style 66"/>
    <w:basedOn w:val="3"/>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74">
    <w:name w:val="样式 标题 2 + Times New Roman 四号 非加粗 段前: 5 磅 段后: 0 磅 行距: 固定值 20..."/>
    <w:basedOn w:val="4"/>
    <w:qFormat/>
    <w:uiPriority w:val="0"/>
    <w:pPr>
      <w:spacing w:before="100" w:after="0"/>
    </w:pPr>
    <w:rPr>
      <w:rFonts w:ascii="Times New Roman" w:hAnsi="Times New Roman"/>
      <w:sz w:val="28"/>
      <w:szCs w:val="20"/>
    </w:rPr>
  </w:style>
  <w:style w:type="paragraph" w:customStyle="1" w:styleId="75">
    <w:name w:val="标题2"/>
    <w:basedOn w:val="4"/>
    <w:next w:val="1"/>
    <w:qFormat/>
    <w:uiPriority w:val="0"/>
    <w:pPr>
      <w:snapToGrid w:val="0"/>
      <w:jc w:val="left"/>
    </w:pPr>
    <w:rPr>
      <w:rFonts w:ascii="Arial" w:hAnsi="Arial"/>
      <w:sz w:val="21"/>
      <w:szCs w:val="21"/>
    </w:rPr>
  </w:style>
  <w:style w:type="paragraph" w:customStyle="1" w:styleId="76">
    <w:name w:val="正题"/>
    <w:basedOn w:val="1"/>
    <w:next w:val="1"/>
    <w:qFormat/>
    <w:uiPriority w:val="0"/>
    <w:pPr>
      <w:topLinePunct/>
      <w:adjustRightInd w:val="0"/>
      <w:snapToGrid w:val="0"/>
      <w:spacing w:line="360" w:lineRule="auto"/>
      <w:jc w:val="center"/>
    </w:pPr>
    <w:rPr>
      <w:rFonts w:eastAsia="黑体"/>
      <w:b/>
      <w:spacing w:val="4"/>
      <w:kern w:val="0"/>
      <w:sz w:val="36"/>
      <w:szCs w:val="36"/>
    </w:rPr>
  </w:style>
  <w:style w:type="character" w:customStyle="1" w:styleId="77">
    <w:name w:val="正文文本 2 字符"/>
    <w:link w:val="18"/>
    <w:semiHidden/>
    <w:qFormat/>
    <w:uiPriority w:val="0"/>
    <w:rPr>
      <w:rFonts w:ascii="宋体" w:hAnsi="宋体" w:eastAsia="楷体_GB2312" w:cs="Times New Roman"/>
      <w:szCs w:val="24"/>
      <w:u w:val="single"/>
    </w:rPr>
  </w:style>
  <w:style w:type="character" w:customStyle="1" w:styleId="78">
    <w:name w:val="日期 字符"/>
    <w:link w:val="24"/>
    <w:qFormat/>
    <w:uiPriority w:val="0"/>
    <w:rPr>
      <w:rFonts w:ascii="Times New Roman" w:hAnsi="Times New Roman" w:eastAsia="宋体" w:cs="Times New Roman"/>
      <w:sz w:val="24"/>
      <w:szCs w:val="20"/>
    </w:rPr>
  </w:style>
  <w:style w:type="character" w:customStyle="1" w:styleId="79">
    <w:name w:val="标题 5 字符"/>
    <w:link w:val="8"/>
    <w:qFormat/>
    <w:uiPriority w:val="0"/>
    <w:rPr>
      <w:rFonts w:ascii="Arial" w:hAnsi="Arial" w:eastAsia="宋体" w:cs="Times New Roman"/>
      <w:color w:val="000000"/>
      <w:sz w:val="24"/>
      <w:szCs w:val="24"/>
    </w:rPr>
  </w:style>
  <w:style w:type="character" w:customStyle="1" w:styleId="80">
    <w:name w:val="页眉 字符"/>
    <w:qFormat/>
    <w:uiPriority w:val="0"/>
    <w:rPr>
      <w:sz w:val="18"/>
      <w:szCs w:val="18"/>
    </w:rPr>
  </w:style>
  <w:style w:type="character" w:customStyle="1" w:styleId="81">
    <w:name w:val="font161"/>
    <w:qFormat/>
    <w:uiPriority w:val="0"/>
    <w:rPr>
      <w:rFonts w:ascii="Arial" w:hAnsi="Arial" w:eastAsia="黑体"/>
      <w:b/>
      <w:bCs/>
      <w:kern w:val="2"/>
      <w:sz w:val="32"/>
      <w:szCs w:val="32"/>
      <w:lang w:val="en-US" w:eastAsia="zh-CN" w:bidi="ar-SA"/>
    </w:rPr>
  </w:style>
  <w:style w:type="character" w:customStyle="1" w:styleId="82">
    <w:name w:val="标题 6 字符"/>
    <w:link w:val="9"/>
    <w:qFormat/>
    <w:uiPriority w:val="0"/>
    <w:rPr>
      <w:rFonts w:ascii="Arial" w:hAnsi="Arial" w:eastAsia="黑体" w:cs="Times New Roman"/>
      <w:b/>
      <w:bCs/>
      <w:kern w:val="0"/>
      <w:sz w:val="24"/>
      <w:szCs w:val="24"/>
    </w:rPr>
  </w:style>
  <w:style w:type="character" w:customStyle="1" w:styleId="83">
    <w:name w:val="标题 3 字符"/>
    <w:link w:val="5"/>
    <w:semiHidden/>
    <w:qFormat/>
    <w:uiPriority w:val="9"/>
    <w:rPr>
      <w:b/>
      <w:bCs/>
      <w:sz w:val="32"/>
      <w:szCs w:val="32"/>
    </w:rPr>
  </w:style>
  <w:style w:type="character" w:customStyle="1" w:styleId="84">
    <w:name w:val="正文文本缩进 3 字符"/>
    <w:link w:val="32"/>
    <w:qFormat/>
    <w:uiPriority w:val="0"/>
    <w:rPr>
      <w:rFonts w:ascii="Times New Roman" w:hAnsi="Times New Roman" w:eastAsia="宋体" w:cs="Times New Roman"/>
      <w:sz w:val="16"/>
      <w:szCs w:val="16"/>
    </w:rPr>
  </w:style>
  <w:style w:type="character" w:customStyle="1" w:styleId="85">
    <w:name w:val="15"/>
    <w:qFormat/>
    <w:uiPriority w:val="0"/>
    <w:rPr>
      <w:rFonts w:hint="default" w:ascii="Times New Roman" w:hAnsi="Times New Roman" w:eastAsia="宋体" w:cs="Times New Roman"/>
      <w:b/>
      <w:bCs/>
      <w:color w:val="000000"/>
      <w:sz w:val="30"/>
      <w:szCs w:val="30"/>
    </w:rPr>
  </w:style>
  <w:style w:type="character" w:customStyle="1" w:styleId="86">
    <w:name w:val="标题 2 字符"/>
    <w:link w:val="4"/>
    <w:qFormat/>
    <w:uiPriority w:val="9"/>
    <w:rPr>
      <w:rFonts w:ascii="黑体" w:hAnsi="黑体" w:eastAsia="黑体"/>
      <w:kern w:val="2"/>
      <w:sz w:val="32"/>
      <w:szCs w:val="32"/>
    </w:rPr>
  </w:style>
  <w:style w:type="character" w:customStyle="1" w:styleId="87">
    <w:name w:val="正文文本缩进 字符"/>
    <w:link w:val="19"/>
    <w:qFormat/>
    <w:uiPriority w:val="0"/>
    <w:rPr>
      <w:rFonts w:ascii="Times New Roman" w:hAnsi="Times New Roman" w:eastAsia="宋体" w:cs="Times New Roman"/>
      <w:szCs w:val="24"/>
    </w:rPr>
  </w:style>
  <w:style w:type="character" w:customStyle="1" w:styleId="88">
    <w:name w:val="纯文本 Char1"/>
    <w:semiHidden/>
    <w:qFormat/>
    <w:uiPriority w:val="99"/>
    <w:rPr>
      <w:rFonts w:ascii="宋体" w:hAnsi="Courier New" w:eastAsia="宋体" w:cs="Courier New"/>
      <w:szCs w:val="21"/>
    </w:rPr>
  </w:style>
  <w:style w:type="character" w:customStyle="1" w:styleId="89">
    <w:name w:val="文档结构图 字符"/>
    <w:link w:val="14"/>
    <w:semiHidden/>
    <w:qFormat/>
    <w:uiPriority w:val="0"/>
    <w:rPr>
      <w:rFonts w:ascii="Times New Roman" w:hAnsi="Times New Roman" w:eastAsia="宋体" w:cs="Times New Roman"/>
      <w:szCs w:val="24"/>
      <w:shd w:val="clear" w:color="auto" w:fill="000080"/>
    </w:rPr>
  </w:style>
  <w:style w:type="character" w:customStyle="1" w:styleId="90">
    <w:name w:val="批注主题 字符"/>
    <w:link w:val="37"/>
    <w:semiHidden/>
    <w:qFormat/>
    <w:uiPriority w:val="99"/>
    <w:rPr>
      <w:b/>
      <w:bCs/>
    </w:rPr>
  </w:style>
  <w:style w:type="character" w:customStyle="1" w:styleId="91">
    <w:name w:val="纯文本 字符"/>
    <w:link w:val="23"/>
    <w:qFormat/>
    <w:locked/>
    <w:uiPriority w:val="0"/>
    <w:rPr>
      <w:rFonts w:ascii="宋体" w:hAnsi="Courier New" w:eastAsia="楷体_GB2312"/>
      <w:szCs w:val="24"/>
    </w:rPr>
  </w:style>
  <w:style w:type="character" w:customStyle="1" w:styleId="92">
    <w:name w:val="font5 Char"/>
    <w:link w:val="71"/>
    <w:qFormat/>
    <w:uiPriority w:val="0"/>
    <w:rPr>
      <w:rFonts w:ascii="宋体" w:hAnsi="宋体" w:eastAsia="宋体" w:cs="Times New Roman"/>
      <w:kern w:val="0"/>
      <w:sz w:val="24"/>
      <w:szCs w:val="24"/>
    </w:rPr>
  </w:style>
  <w:style w:type="character" w:customStyle="1" w:styleId="93">
    <w:name w:val="标题 4 字符"/>
    <w:link w:val="6"/>
    <w:qFormat/>
    <w:uiPriority w:val="0"/>
    <w:rPr>
      <w:rFonts w:ascii="Arial" w:hAnsi="Arial" w:eastAsia="宋体" w:cs="Times New Roman"/>
      <w:color w:val="000000"/>
      <w:sz w:val="24"/>
      <w:szCs w:val="24"/>
    </w:rPr>
  </w:style>
  <w:style w:type="character" w:customStyle="1" w:styleId="94">
    <w:name w:val="标题 字符"/>
    <w:link w:val="36"/>
    <w:qFormat/>
    <w:uiPriority w:val="0"/>
    <w:rPr>
      <w:rFonts w:ascii="Arial" w:hAnsi="Arial" w:eastAsia="楷体_GB2312" w:cs="Times New Roman"/>
      <w:b/>
      <w:sz w:val="44"/>
      <w:szCs w:val="20"/>
    </w:rPr>
  </w:style>
  <w:style w:type="character" w:customStyle="1" w:styleId="95">
    <w:name w:val="批注框文本 字符"/>
    <w:link w:val="27"/>
    <w:qFormat/>
    <w:uiPriority w:val="99"/>
    <w:rPr>
      <w:sz w:val="18"/>
      <w:szCs w:val="18"/>
    </w:rPr>
  </w:style>
  <w:style w:type="character" w:customStyle="1" w:styleId="96">
    <w:name w:val="页眉 字符1"/>
    <w:link w:val="29"/>
    <w:qFormat/>
    <w:uiPriority w:val="99"/>
    <w:rPr>
      <w:sz w:val="18"/>
      <w:szCs w:val="18"/>
    </w:rPr>
  </w:style>
  <w:style w:type="character" w:customStyle="1" w:styleId="97">
    <w:name w:val="标题 1 字符"/>
    <w:link w:val="3"/>
    <w:qFormat/>
    <w:uiPriority w:val="0"/>
    <w:rPr>
      <w:b/>
      <w:bCs/>
      <w:kern w:val="44"/>
      <w:sz w:val="44"/>
      <w:szCs w:val="44"/>
    </w:rPr>
  </w:style>
  <w:style w:type="character" w:customStyle="1" w:styleId="98">
    <w:name w:val="正文首行缩进 字符"/>
    <w:link w:val="38"/>
    <w:qFormat/>
    <w:uiPriority w:val="0"/>
    <w:rPr>
      <w:rFonts w:ascii="Times New Roman" w:hAnsi="Times New Roman" w:eastAsia="楷体_GB2312" w:cs="Times New Roman"/>
      <w:szCs w:val="20"/>
    </w:rPr>
  </w:style>
  <w:style w:type="character" w:customStyle="1" w:styleId="99">
    <w:name w:val="页脚 字符1"/>
    <w:link w:val="28"/>
    <w:qFormat/>
    <w:uiPriority w:val="99"/>
    <w:rPr>
      <w:sz w:val="18"/>
      <w:szCs w:val="18"/>
    </w:rPr>
  </w:style>
  <w:style w:type="character" w:customStyle="1" w:styleId="100">
    <w:name w:val="批注文字 字符"/>
    <w:basedOn w:val="44"/>
    <w:link w:val="15"/>
    <w:qFormat/>
    <w:uiPriority w:val="0"/>
  </w:style>
  <w:style w:type="character" w:customStyle="1" w:styleId="101">
    <w:name w:val="正文文本 3 字符"/>
    <w:link w:val="16"/>
    <w:semiHidden/>
    <w:qFormat/>
    <w:uiPriority w:val="99"/>
    <w:rPr>
      <w:sz w:val="16"/>
      <w:szCs w:val="16"/>
    </w:rPr>
  </w:style>
  <w:style w:type="character" w:customStyle="1" w:styleId="102">
    <w:name w:val="正文文本 字符"/>
    <w:basedOn w:val="44"/>
    <w:link w:val="17"/>
    <w:qFormat/>
    <w:uiPriority w:val="0"/>
  </w:style>
  <w:style w:type="character" w:customStyle="1" w:styleId="103">
    <w:name w:val="尾注文本 字符"/>
    <w:basedOn w:val="44"/>
    <w:link w:val="26"/>
    <w:semiHidden/>
    <w:qFormat/>
    <w:uiPriority w:val="99"/>
  </w:style>
  <w:style w:type="character" w:customStyle="1" w:styleId="104">
    <w:name w:val="标题 7 字符"/>
    <w:link w:val="10"/>
    <w:qFormat/>
    <w:uiPriority w:val="0"/>
    <w:rPr>
      <w:rFonts w:ascii="Times New Roman" w:hAnsi="Times New Roman" w:eastAsia="宋体" w:cs="Times New Roman"/>
      <w:b/>
      <w:sz w:val="24"/>
      <w:szCs w:val="20"/>
    </w:rPr>
  </w:style>
  <w:style w:type="character" w:customStyle="1" w:styleId="105">
    <w:name w:val="标题 8 字符"/>
    <w:link w:val="11"/>
    <w:qFormat/>
    <w:uiPriority w:val="0"/>
    <w:rPr>
      <w:rFonts w:ascii="Arial" w:hAnsi="Arial" w:eastAsia="黑体" w:cs="Times New Roman"/>
      <w:sz w:val="24"/>
      <w:szCs w:val="20"/>
    </w:rPr>
  </w:style>
  <w:style w:type="character" w:customStyle="1" w:styleId="106">
    <w:name w:val="标题 9 字符"/>
    <w:link w:val="12"/>
    <w:qFormat/>
    <w:uiPriority w:val="0"/>
    <w:rPr>
      <w:rFonts w:ascii="Arial" w:hAnsi="Arial" w:eastAsia="黑体" w:cs="Times New Roman"/>
      <w:szCs w:val="20"/>
    </w:rPr>
  </w:style>
  <w:style w:type="character" w:customStyle="1" w:styleId="107">
    <w:name w:val="正文文本缩进 2 字符"/>
    <w:link w:val="25"/>
    <w:qFormat/>
    <w:uiPriority w:val="0"/>
    <w:rPr>
      <w:rFonts w:ascii="Times New Roman" w:hAnsi="Times New Roman" w:eastAsia="宋体" w:cs="Times New Roman"/>
      <w:szCs w:val="24"/>
    </w:rPr>
  </w:style>
  <w:style w:type="character" w:customStyle="1" w:styleId="108">
    <w:name w:val="正文首行缩进 2 字符"/>
    <w:link w:val="39"/>
    <w:semiHidden/>
    <w:qFormat/>
    <w:uiPriority w:val="99"/>
    <w:rPr>
      <w:rFonts w:ascii="Times New Roman" w:hAnsi="Times New Roman" w:eastAsia="宋体" w:cs="Times New Roman"/>
      <w:kern w:val="2"/>
      <w:sz w:val="21"/>
      <w:szCs w:val="22"/>
    </w:rPr>
  </w:style>
  <w:style w:type="character" w:customStyle="1" w:styleId="109">
    <w:name w:val="页脚 字符"/>
    <w:qFormat/>
    <w:uiPriority w:val="0"/>
    <w:rPr>
      <w:sz w:val="18"/>
      <w:szCs w:val="18"/>
    </w:rPr>
  </w:style>
  <w:style w:type="paragraph" w:customStyle="1" w:styleId="110">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修订1"/>
    <w:hidden/>
    <w:qFormat/>
    <w:uiPriority w:val="99"/>
    <w:rPr>
      <w:rFonts w:ascii="Times New Roman" w:hAnsi="Times New Roman" w:eastAsia="宋体" w:cs="Times New Roman"/>
      <w:kern w:val="2"/>
      <w:sz w:val="21"/>
      <w:szCs w:val="22"/>
      <w:lang w:val="en-US" w:eastAsia="zh-CN" w:bidi="ar-SA"/>
    </w:rPr>
  </w:style>
  <w:style w:type="paragraph" w:customStyle="1" w:styleId="112">
    <w:name w:val="设备正文"/>
    <w:basedOn w:val="1"/>
    <w:qFormat/>
    <w:uiPriority w:val="0"/>
    <w:pPr>
      <w:spacing w:line="360" w:lineRule="auto"/>
      <w:ind w:firstLine="480" w:firstLineChars="200"/>
    </w:pPr>
    <w:rPr>
      <w:sz w:val="24"/>
      <w:szCs w:val="24"/>
    </w:rPr>
  </w:style>
  <w:style w:type="character" w:customStyle="1" w:styleId="113">
    <w:name w:val="NormalCharacter"/>
    <w:qFormat/>
    <w:uiPriority w:val="0"/>
    <w:rPr>
      <w:kern w:val="2"/>
      <w:sz w:val="21"/>
      <w:szCs w:val="22"/>
      <w:lang w:val="en-US" w:eastAsia="zh-CN" w:bidi="ar-SA"/>
    </w:rPr>
  </w:style>
  <w:style w:type="paragraph" w:customStyle="1" w:styleId="114">
    <w:name w:val="_Style 108"/>
    <w:basedOn w:val="1"/>
    <w:next w:val="55"/>
    <w:qFormat/>
    <w:uiPriority w:val="34"/>
    <w:pPr>
      <w:ind w:firstLine="420" w:firstLineChars="200"/>
    </w:pPr>
  </w:style>
  <w:style w:type="paragraph" w:customStyle="1" w:styleId="115">
    <w:name w:val="Default"/>
    <w:next w:val="31"/>
    <w:qFormat/>
    <w:uiPriority w:val="0"/>
    <w:pPr>
      <w:widowControl w:val="0"/>
      <w:autoSpaceDE w:val="0"/>
      <w:autoSpaceDN w:val="0"/>
      <w:ind w:firstLine="360"/>
    </w:pPr>
    <w:rPr>
      <w:rFonts w:ascii="楷体_GB2312" w:hAnsi="Times New Roman" w:eastAsia="楷体_GB2312" w:cs="Times New Roman"/>
      <w:color w:val="000000"/>
      <w:sz w:val="24"/>
      <w:lang w:val="en-US" w:eastAsia="zh-CN" w:bidi="ar-SA"/>
    </w:rPr>
  </w:style>
  <w:style w:type="paragraph" w:customStyle="1" w:styleId="116">
    <w:name w:val="文一"/>
    <w:basedOn w:val="1"/>
    <w:qFormat/>
    <w:uiPriority w:val="0"/>
    <w:pPr>
      <w:topLinePunct/>
      <w:adjustRightInd w:val="0"/>
      <w:snapToGrid w:val="0"/>
      <w:spacing w:line="360" w:lineRule="auto"/>
      <w:ind w:firstLine="200" w:firstLineChars="200"/>
    </w:pPr>
    <w:rPr>
      <w:snapToGrid w:val="0"/>
      <w:spacing w:val="4"/>
      <w:kern w:val="0"/>
      <w:sz w:val="24"/>
      <w:szCs w:val="24"/>
    </w:rPr>
  </w:style>
  <w:style w:type="paragraph" w:customStyle="1" w:styleId="11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18">
    <w:name w:val="1.1"/>
    <w:basedOn w:val="1"/>
    <w:next w:val="1"/>
    <w:qFormat/>
    <w:uiPriority w:val="0"/>
    <w:pPr>
      <w:tabs>
        <w:tab w:val="left" w:pos="900"/>
      </w:tabs>
      <w:adjustRightInd w:val="0"/>
      <w:snapToGrid w:val="0"/>
      <w:spacing w:beforeLines="50" w:afterLines="50" w:line="400" w:lineRule="atLeast"/>
      <w:ind w:left="50" w:leftChars="50" w:right="200" w:rightChars="200" w:hanging="901" w:hangingChars="299"/>
    </w:pPr>
    <w:rPr>
      <w:b/>
      <w:kern w:val="0"/>
      <w:sz w:val="30"/>
      <w:szCs w:val="20"/>
    </w:rPr>
  </w:style>
  <w:style w:type="paragraph" w:customStyle="1" w:styleId="119">
    <w:name w:val="题注4"/>
    <w:basedOn w:val="1"/>
    <w:next w:val="13"/>
    <w:qFormat/>
    <w:uiPriority w:val="0"/>
    <w:pPr>
      <w:ind w:left="-132" w:leftChars="-64" w:right="-105" w:rightChars="-50" w:hanging="2"/>
      <w:jc w:val="center"/>
    </w:pPr>
    <w:rPr>
      <w:b/>
      <w:color w:val="FF0000"/>
      <w:szCs w:val="21"/>
      <w:lang w:val="en-GB"/>
    </w:rPr>
  </w:style>
  <w:style w:type="paragraph" w:customStyle="1" w:styleId="120">
    <w:name w:val="Char Char2 Char"/>
    <w:basedOn w:val="1"/>
    <w:qFormat/>
    <w:uiPriority w:val="0"/>
    <w:rPr>
      <w:szCs w:val="24"/>
    </w:rPr>
  </w:style>
  <w:style w:type="paragraph" w:customStyle="1" w:styleId="121">
    <w:name w:val="1.1.1.1"/>
    <w:basedOn w:val="1"/>
    <w:qFormat/>
    <w:uiPriority w:val="0"/>
    <w:pPr>
      <w:tabs>
        <w:tab w:val="left" w:pos="900"/>
        <w:tab w:val="left" w:pos="1134"/>
      </w:tabs>
      <w:adjustRightInd w:val="0"/>
      <w:snapToGrid w:val="0"/>
      <w:spacing w:beforeLines="50" w:afterLines="50" w:line="400" w:lineRule="atLeast"/>
      <w:ind w:left="869" w:leftChars="50" w:right="200" w:rightChars="200"/>
      <w:textAlignment w:val="baseline"/>
    </w:pPr>
    <w:rPr>
      <w:rFonts w:ascii="Arial" w:hAnsi="Arial"/>
      <w:kern w:val="0"/>
      <w:sz w:val="24"/>
      <w:szCs w:val="20"/>
    </w:rPr>
  </w:style>
  <w:style w:type="paragraph" w:customStyle="1" w:styleId="122">
    <w:name w:val="Char Char Char Char"/>
    <w:basedOn w:val="1"/>
    <w:qFormat/>
    <w:uiPriority w:val="0"/>
    <w:rPr>
      <w:szCs w:val="24"/>
    </w:rPr>
  </w:style>
  <w:style w:type="paragraph" w:customStyle="1" w:styleId="123">
    <w:name w:val="_Style 4"/>
    <w:basedOn w:val="3"/>
    <w:next w:val="1"/>
    <w:qFormat/>
    <w:uiPriority w:val="0"/>
    <w:pPr>
      <w:keepNext w:val="0"/>
      <w:keepLines w:val="0"/>
      <w:spacing w:before="0" w:after="0" w:line="576" w:lineRule="auto"/>
      <w:jc w:val="left"/>
      <w:outlineLvl w:val="9"/>
    </w:pPr>
    <w:rPr>
      <w:rFonts w:ascii="Calibri" w:hAnsi="Calibri" w:eastAsia="黑体"/>
      <w:b w:val="0"/>
      <w:bCs w:val="0"/>
      <w:kern w:val="0"/>
      <w:lang w:eastAsia="en-US"/>
    </w:rPr>
  </w:style>
  <w:style w:type="paragraph" w:customStyle="1" w:styleId="124">
    <w:name w:val="章节一"/>
    <w:basedOn w:val="1"/>
    <w:next w:val="1"/>
    <w:qFormat/>
    <w:uiPriority w:val="0"/>
    <w:pPr>
      <w:topLinePunct/>
      <w:adjustRightInd w:val="0"/>
      <w:snapToGrid w:val="0"/>
      <w:spacing w:beforeLines="50" w:afterLines="50"/>
      <w:jc w:val="center"/>
      <w:outlineLvl w:val="0"/>
    </w:pPr>
    <w:rPr>
      <w:rFonts w:eastAsia="黑体"/>
      <w:b/>
      <w:spacing w:val="4"/>
      <w:kern w:val="0"/>
      <w:sz w:val="36"/>
      <w:szCs w:val="36"/>
    </w:rPr>
  </w:style>
  <w:style w:type="paragraph" w:customStyle="1" w:styleId="125">
    <w:name w:val="+正文 Char Char Char"/>
    <w:basedOn w:val="1"/>
    <w:qFormat/>
    <w:uiPriority w:val="0"/>
    <w:pPr>
      <w:spacing w:line="360" w:lineRule="auto"/>
      <w:ind w:firstLine="200" w:firstLineChars="200"/>
    </w:pPr>
    <w:rPr>
      <w:rFonts w:ascii="仿宋_GB2312" w:eastAsia="仿宋_GB2312"/>
      <w:sz w:val="24"/>
      <w:szCs w:val="28"/>
    </w:rPr>
  </w:style>
  <w:style w:type="paragraph" w:customStyle="1" w:styleId="126">
    <w:name w:val="A."/>
    <w:basedOn w:val="1"/>
    <w:qFormat/>
    <w:uiPriority w:val="0"/>
    <w:pPr>
      <w:widowControl/>
      <w:numPr>
        <w:ilvl w:val="4"/>
        <w:numId w:val="3"/>
      </w:numPr>
      <w:tabs>
        <w:tab w:val="left" w:pos="1200"/>
      </w:tabs>
      <w:spacing w:before="240" w:line="0" w:lineRule="atLeast"/>
    </w:pPr>
    <w:rPr>
      <w:rFonts w:ascii="仿宋_GB2312" w:eastAsia="仿宋_GB2312"/>
      <w:sz w:val="24"/>
      <w:szCs w:val="20"/>
    </w:rPr>
  </w:style>
  <w:style w:type="paragraph" w:customStyle="1" w:styleId="127">
    <w:name w:val="text"/>
    <w:basedOn w:val="1"/>
    <w:qFormat/>
    <w:uiPriority w:val="0"/>
    <w:pPr>
      <w:widowControl/>
      <w:tabs>
        <w:tab w:val="left" w:pos="1050"/>
      </w:tabs>
      <w:overflowPunct w:val="0"/>
      <w:autoSpaceDE w:val="0"/>
      <w:autoSpaceDN w:val="0"/>
      <w:adjustRightInd w:val="0"/>
      <w:spacing w:before="240"/>
      <w:ind w:left="1049"/>
      <w:textAlignment w:val="baseline"/>
    </w:pPr>
    <w:rPr>
      <w:rFonts w:ascii="仿宋_GB2312" w:eastAsia="仿宋_GB2312"/>
      <w:kern w:val="0"/>
      <w:sz w:val="24"/>
      <w:szCs w:val="20"/>
    </w:rPr>
  </w:style>
  <w:style w:type="paragraph" w:customStyle="1" w:styleId="128">
    <w:name w:val="Table Paragraph"/>
    <w:basedOn w:val="1"/>
    <w:qFormat/>
    <w:uiPriority w:val="1"/>
    <w:rPr>
      <w:rFonts w:ascii="仿宋_GB2312" w:eastAsia="仿宋_GB2312"/>
      <w:sz w:val="24"/>
      <w:szCs w:val="24"/>
    </w:rPr>
  </w:style>
  <w:style w:type="paragraph" w:customStyle="1" w:styleId="129">
    <w:name w:val="[正文]"/>
    <w:basedOn w:val="1"/>
    <w:unhideWhenUsed/>
    <w:qFormat/>
    <w:uiPriority w:val="0"/>
    <w:pPr>
      <w:spacing w:line="360" w:lineRule="auto"/>
      <w:ind w:firstLine="480"/>
    </w:pPr>
    <w:rPr>
      <w:rFonts w:ascii="Calibri" w:hAnsi="Calibri"/>
      <w:sz w:val="24"/>
    </w:rPr>
  </w:style>
  <w:style w:type="paragraph" w:customStyle="1" w:styleId="130">
    <w:name w:val="正文 不缩进"/>
    <w:basedOn w:val="1"/>
    <w:unhideWhenUsed/>
    <w:qFormat/>
    <w:uiPriority w:val="0"/>
    <w:pPr>
      <w:spacing w:line="360" w:lineRule="auto"/>
      <w:jc w:val="left"/>
    </w:pPr>
    <w:rPr>
      <w:rFonts w:ascii="宋体" w:hAnsi="宋体"/>
      <w:sz w:val="24"/>
      <w:szCs w:val="32"/>
      <w:lang w:val="zh-CN"/>
    </w:rPr>
  </w:style>
  <w:style w:type="paragraph" w:customStyle="1" w:styleId="131">
    <w:name w:val="列出段落1"/>
    <w:basedOn w:val="1"/>
    <w:unhideWhenUsed/>
    <w:qFormat/>
    <w:uiPriority w:val="34"/>
    <w:pPr>
      <w:ind w:firstLine="420" w:firstLineChars="200"/>
    </w:pPr>
    <w:rPr>
      <w:rFonts w:ascii="Calibri" w:hAnsi="Calibri"/>
      <w:szCs w:val="24"/>
    </w:rPr>
  </w:style>
  <w:style w:type="paragraph" w:customStyle="1" w:styleId="132">
    <w:name w:val="Body text|1"/>
    <w:basedOn w:val="1"/>
    <w:qFormat/>
    <w:uiPriority w:val="0"/>
    <w:pPr>
      <w:keepNext w:val="0"/>
      <w:keepLines w:val="0"/>
      <w:widowControl w:val="0"/>
      <w:suppressLineNumbers w:val="0"/>
      <w:spacing w:after="140" w:afterAutospacing="0" w:line="480" w:lineRule="auto"/>
      <w:jc w:val="both"/>
    </w:pPr>
    <w:rPr>
      <w:rFonts w:hint="eastAsia" w:ascii="宋体" w:hAnsi="宋体" w:eastAsia="宋体" w:cs="宋体"/>
      <w:kern w:val="2"/>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214</Pages>
  <Words>107166</Words>
  <Characters>115050</Characters>
  <Lines>1</Lines>
  <Paragraphs>1</Paragraphs>
  <TotalTime>0</TotalTime>
  <ScaleCrop>false</ScaleCrop>
  <LinksUpToDate>false</LinksUpToDate>
  <CharactersWithSpaces>120186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2023-07-19T05:23:00Z</dcterms:created>
  <dc:creator>msb</dc:creator>
  <cp:lastModifiedBy>Administrator</cp:lastModifiedBy>
  <cp:lastPrinted>2021-08-17T03:06:00Z</cp:lastPrinted>
  <dcterms:modified xsi:type="dcterms:W3CDTF">2024-10-21T06:53:01Z</dcterms:modified>
  <dc:title>广州市水务工程施工公开招标</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1C4C2E618E7B48BBAAED3EA8BF96EA85_12</vt:lpwstr>
  </property>
</Properties>
</file>