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000E">
      <w:pPr>
        <w:jc w:val="center"/>
        <w:rPr>
          <w:rFonts w:hint="eastAsia" w:ascii="宋体" w:hAnsi="宋体"/>
          <w:b/>
          <w:color w:val="auto"/>
          <w:sz w:val="48"/>
          <w:szCs w:val="52"/>
          <w:highlight w:val="none"/>
        </w:rPr>
      </w:pPr>
    </w:p>
    <w:p w14:paraId="5A109372">
      <w:pPr>
        <w:spacing w:line="480" w:lineRule="auto"/>
        <w:jc w:val="center"/>
        <w:outlineLvl w:val="0"/>
        <w:rPr>
          <w:rFonts w:hint="eastAsia" w:ascii="宋体" w:hAnsi="宋体"/>
          <w:b/>
          <w:color w:val="auto"/>
          <w:sz w:val="52"/>
          <w:szCs w:val="52"/>
          <w:highlight w:val="none"/>
        </w:rPr>
      </w:pPr>
      <w:bookmarkStart w:id="0" w:name="_Toc28253"/>
      <w:r>
        <w:rPr>
          <w:rFonts w:hint="eastAsia" w:ascii="宋体" w:hAnsi="宋体"/>
          <w:b/>
          <w:color w:val="auto"/>
          <w:sz w:val="52"/>
          <w:szCs w:val="52"/>
          <w:highlight w:val="none"/>
        </w:rPr>
        <w:t xml:space="preserve"> </w:t>
      </w:r>
      <w:bookmarkEnd w:id="0"/>
      <w:r>
        <w:rPr>
          <w:rFonts w:hint="eastAsia" w:ascii="宋体" w:hAnsi="宋体"/>
          <w:b/>
          <w:color w:val="auto"/>
          <w:sz w:val="52"/>
          <w:szCs w:val="52"/>
          <w:highlight w:val="none"/>
        </w:rPr>
        <w:t xml:space="preserve">花都区大陵北地块建设项目（标段一） </w:t>
      </w:r>
    </w:p>
    <w:p w14:paraId="76AFE062">
      <w:pPr>
        <w:spacing w:line="480" w:lineRule="auto"/>
        <w:jc w:val="center"/>
        <w:outlineLvl w:val="0"/>
        <w:rPr>
          <w:rFonts w:hint="eastAsia" w:ascii="宋体" w:hAnsi="宋体"/>
          <w:b/>
          <w:color w:val="auto"/>
          <w:sz w:val="52"/>
          <w:szCs w:val="52"/>
          <w:highlight w:val="none"/>
        </w:rPr>
      </w:pPr>
      <w:r>
        <w:rPr>
          <w:rFonts w:hint="eastAsia" w:ascii="宋体" w:hAnsi="宋体"/>
          <w:b/>
          <w:color w:val="auto"/>
          <w:sz w:val="52"/>
          <w:szCs w:val="52"/>
          <w:highlight w:val="none"/>
        </w:rPr>
        <w:t>住宅工程施工总承包</w:t>
      </w:r>
    </w:p>
    <w:p w14:paraId="3754A8D7">
      <w:pPr>
        <w:pStyle w:val="4"/>
        <w:rPr>
          <w:color w:val="auto"/>
          <w:highlight w:val="none"/>
        </w:rPr>
      </w:pPr>
    </w:p>
    <w:p w14:paraId="2524FDB9">
      <w:pPr>
        <w:rPr>
          <w:color w:val="auto"/>
          <w:highlight w:val="none"/>
        </w:rPr>
      </w:pPr>
    </w:p>
    <w:p w14:paraId="1C6A2A4B">
      <w:pPr>
        <w:pStyle w:val="11"/>
        <w:rPr>
          <w:color w:val="auto"/>
          <w:highlight w:val="none"/>
        </w:rPr>
      </w:pPr>
    </w:p>
    <w:p w14:paraId="749728F2">
      <w:pPr>
        <w:rPr>
          <w:color w:val="auto"/>
          <w:highlight w:val="none"/>
        </w:rPr>
      </w:pPr>
    </w:p>
    <w:p w14:paraId="43B18AFB">
      <w:pPr>
        <w:pStyle w:val="11"/>
        <w:rPr>
          <w:color w:val="auto"/>
          <w:highlight w:val="none"/>
        </w:rPr>
      </w:pPr>
    </w:p>
    <w:p w14:paraId="18C7F6C5">
      <w:pPr>
        <w:pStyle w:val="11"/>
        <w:rPr>
          <w:color w:val="auto"/>
          <w:highlight w:val="none"/>
        </w:rPr>
      </w:pPr>
    </w:p>
    <w:p w14:paraId="407A78F5">
      <w:pPr>
        <w:pStyle w:val="11"/>
        <w:rPr>
          <w:color w:val="auto"/>
          <w:highlight w:val="none"/>
        </w:rPr>
      </w:pPr>
    </w:p>
    <w:p w14:paraId="34CF7BEB">
      <w:pPr>
        <w:rPr>
          <w:color w:val="auto"/>
          <w:highlight w:val="none"/>
        </w:rPr>
      </w:pPr>
    </w:p>
    <w:p w14:paraId="7EC46E24">
      <w:pPr>
        <w:rPr>
          <w:color w:val="auto"/>
          <w:highlight w:val="none"/>
        </w:rPr>
      </w:pPr>
    </w:p>
    <w:p w14:paraId="0032C74C">
      <w:pPr>
        <w:spacing w:line="360" w:lineRule="auto"/>
        <w:jc w:val="center"/>
        <w:rPr>
          <w:rFonts w:hint="eastAsia" w:ascii="宋体" w:hAnsi="宋体"/>
          <w:b/>
          <w:bCs/>
          <w:color w:val="auto"/>
          <w:spacing w:val="26"/>
          <w:sz w:val="110"/>
          <w:szCs w:val="110"/>
          <w:highlight w:val="none"/>
        </w:rPr>
      </w:pPr>
      <w:r>
        <w:rPr>
          <w:rFonts w:hint="eastAsia" w:ascii="宋体" w:hAnsi="宋体"/>
          <w:b/>
          <w:bCs/>
          <w:color w:val="auto"/>
          <w:spacing w:val="26"/>
          <w:sz w:val="110"/>
          <w:szCs w:val="110"/>
          <w:highlight w:val="none"/>
        </w:rPr>
        <w:t xml:space="preserve"> 招标公告</w:t>
      </w:r>
    </w:p>
    <w:p w14:paraId="231EBF40">
      <w:pPr>
        <w:jc w:val="center"/>
        <w:rPr>
          <w:rFonts w:ascii="宋体" w:hAnsi="宋体"/>
          <w:b/>
          <w:color w:val="auto"/>
          <w:sz w:val="84"/>
          <w:szCs w:val="84"/>
          <w:highlight w:val="none"/>
        </w:rPr>
      </w:pPr>
    </w:p>
    <w:p w14:paraId="2236E1CC">
      <w:pPr>
        <w:pStyle w:val="11"/>
        <w:rPr>
          <w:color w:val="auto"/>
          <w:highlight w:val="none"/>
        </w:rPr>
      </w:pPr>
    </w:p>
    <w:p w14:paraId="73978C07">
      <w:pPr>
        <w:rPr>
          <w:color w:val="auto"/>
          <w:highlight w:val="none"/>
        </w:rPr>
      </w:pPr>
    </w:p>
    <w:p w14:paraId="3DBC00FC">
      <w:pPr>
        <w:pStyle w:val="11"/>
        <w:rPr>
          <w:rFonts w:hAnsi="宋体"/>
          <w:color w:val="auto"/>
          <w:sz w:val="52"/>
          <w:highlight w:val="none"/>
        </w:rPr>
      </w:pPr>
    </w:p>
    <w:p w14:paraId="46C438F0">
      <w:pPr>
        <w:spacing w:line="360" w:lineRule="auto"/>
        <w:rPr>
          <w:rFonts w:hint="eastAsia" w:ascii="宋体" w:hAnsi="宋体"/>
          <w:color w:val="auto"/>
          <w:sz w:val="30"/>
          <w:szCs w:val="30"/>
          <w:highlight w:val="none"/>
        </w:rPr>
      </w:pPr>
    </w:p>
    <w:p w14:paraId="76D15F83">
      <w:pPr>
        <w:spacing w:line="360" w:lineRule="auto"/>
        <w:ind w:firstLine="1285" w:firstLineChars="400"/>
        <w:rPr>
          <w:rFonts w:hint="eastAsia" w:ascii="宋体" w:hAnsi="宋体" w:cs="宋体"/>
          <w:b/>
          <w:bCs/>
          <w:color w:val="auto"/>
          <w:sz w:val="32"/>
          <w:szCs w:val="30"/>
          <w:highlight w:val="none"/>
          <w:lang w:val="zh-CN"/>
        </w:rPr>
      </w:pPr>
      <w:r>
        <w:rPr>
          <w:rFonts w:hint="eastAsia" w:ascii="宋体" w:hAnsi="宋体" w:cs="宋体"/>
          <w:b/>
          <w:bCs/>
          <w:color w:val="auto"/>
          <w:sz w:val="32"/>
          <w:szCs w:val="30"/>
          <w:highlight w:val="none"/>
          <w:lang w:val="zh-CN"/>
        </w:rPr>
        <w:t>招   标   人：广建（广州）地产开发有限公司</w:t>
      </w:r>
    </w:p>
    <w:p w14:paraId="7B877AA6">
      <w:pPr>
        <w:spacing w:line="360" w:lineRule="auto"/>
        <w:ind w:firstLine="1285" w:firstLineChars="400"/>
        <w:rPr>
          <w:rFonts w:hint="eastAsia" w:ascii="宋体" w:hAnsi="宋体" w:cs="宋体"/>
          <w:b/>
          <w:bCs/>
          <w:color w:val="auto"/>
          <w:sz w:val="32"/>
          <w:szCs w:val="30"/>
          <w:highlight w:val="none"/>
          <w:lang w:val="zh-CN"/>
        </w:rPr>
      </w:pPr>
      <w:r>
        <w:rPr>
          <w:rFonts w:hint="eastAsia" w:ascii="宋体" w:hAnsi="宋体" w:cs="宋体"/>
          <w:b/>
          <w:bCs/>
          <w:color w:val="auto"/>
          <w:sz w:val="32"/>
          <w:szCs w:val="30"/>
          <w:highlight w:val="none"/>
          <w:lang w:val="zh-CN"/>
        </w:rPr>
        <w:t>招标代理机构：广州建筑工程监理有限公司</w:t>
      </w:r>
    </w:p>
    <w:p w14:paraId="47CC0EDF">
      <w:pPr>
        <w:spacing w:line="360" w:lineRule="auto"/>
        <w:ind w:firstLine="1285" w:firstLineChars="400"/>
        <w:rPr>
          <w:rFonts w:hint="eastAsia" w:ascii="宋体" w:hAnsi="宋体" w:cs="宋体"/>
          <w:b/>
          <w:bCs/>
          <w:color w:val="auto"/>
          <w:sz w:val="32"/>
          <w:szCs w:val="30"/>
          <w:highlight w:val="none"/>
          <w:lang w:val="zh-CN"/>
        </w:rPr>
      </w:pPr>
      <w:r>
        <w:rPr>
          <w:rFonts w:hint="eastAsia" w:ascii="宋体" w:hAnsi="宋体" w:cs="宋体"/>
          <w:b/>
          <w:bCs/>
          <w:color w:val="auto"/>
          <w:sz w:val="32"/>
          <w:szCs w:val="30"/>
          <w:highlight w:val="none"/>
          <w:lang w:val="zh-CN"/>
        </w:rPr>
        <w:t>日        期：20</w:t>
      </w:r>
      <w:r>
        <w:rPr>
          <w:rFonts w:hint="eastAsia" w:ascii="宋体" w:hAnsi="宋体" w:cs="宋体"/>
          <w:b/>
          <w:bCs/>
          <w:color w:val="auto"/>
          <w:sz w:val="32"/>
          <w:szCs w:val="30"/>
          <w:highlight w:val="none"/>
        </w:rPr>
        <w:t>24</w:t>
      </w:r>
      <w:r>
        <w:rPr>
          <w:rFonts w:hint="eastAsia" w:ascii="宋体" w:hAnsi="宋体" w:cs="宋体"/>
          <w:b/>
          <w:bCs/>
          <w:color w:val="auto"/>
          <w:sz w:val="32"/>
          <w:szCs w:val="30"/>
          <w:highlight w:val="none"/>
          <w:lang w:val="zh-CN"/>
        </w:rPr>
        <w:t>年</w:t>
      </w:r>
      <w:r>
        <w:rPr>
          <w:rFonts w:hint="eastAsia" w:ascii="宋体" w:hAnsi="宋体" w:cs="宋体"/>
          <w:b/>
          <w:bCs/>
          <w:color w:val="auto"/>
          <w:sz w:val="32"/>
          <w:szCs w:val="30"/>
          <w:highlight w:val="none"/>
        </w:rPr>
        <w:t xml:space="preserve"> </w:t>
      </w:r>
      <w:r>
        <w:rPr>
          <w:rFonts w:hint="eastAsia" w:ascii="宋体" w:hAnsi="宋体" w:cs="宋体"/>
          <w:b/>
          <w:bCs/>
          <w:color w:val="auto"/>
          <w:sz w:val="32"/>
          <w:szCs w:val="30"/>
          <w:highlight w:val="none"/>
          <w:lang w:val="en-US" w:eastAsia="zh-CN"/>
        </w:rPr>
        <w:t>10</w:t>
      </w:r>
      <w:r>
        <w:rPr>
          <w:rFonts w:hint="eastAsia" w:ascii="宋体" w:hAnsi="宋体" w:cs="宋体"/>
          <w:b/>
          <w:bCs/>
          <w:color w:val="auto"/>
          <w:sz w:val="32"/>
          <w:szCs w:val="30"/>
          <w:highlight w:val="none"/>
          <w:lang w:val="zh-CN"/>
        </w:rPr>
        <w:t>月</w:t>
      </w:r>
    </w:p>
    <w:p w14:paraId="5E0B359F">
      <w:pPr>
        <w:ind w:firstLine="1107" w:firstLineChars="525"/>
        <w:rPr>
          <w:rFonts w:ascii="宋体" w:hAnsi="宋体" w:cs="宋体"/>
          <w:b/>
          <w:bCs/>
          <w:color w:val="auto"/>
          <w:highlight w:val="none"/>
        </w:rPr>
      </w:pPr>
    </w:p>
    <w:p w14:paraId="757B1859">
      <w:pPr>
        <w:jc w:val="center"/>
        <w:rPr>
          <w:rFonts w:hint="eastAsia" w:ascii="宋体" w:hAnsi="宋体" w:cs="宋体"/>
          <w:b/>
          <w:bCs/>
          <w:color w:val="auto"/>
          <w:sz w:val="32"/>
          <w:szCs w:val="32"/>
          <w:highlight w:val="none"/>
          <w:u w:val="none"/>
        </w:rPr>
      </w:pPr>
    </w:p>
    <w:p w14:paraId="741B3037">
      <w:pPr>
        <w:pStyle w:val="15"/>
        <w:spacing w:line="360" w:lineRule="auto"/>
        <w:jc w:val="center"/>
        <w:rPr>
          <w:rFonts w:hint="eastAsia"/>
          <w:b/>
          <w:bCs/>
          <w:color w:val="auto"/>
          <w:sz w:val="36"/>
          <w:szCs w:val="36"/>
          <w:highlight w:val="none"/>
        </w:rPr>
      </w:pPr>
    </w:p>
    <w:p w14:paraId="6AD633EE">
      <w:pPr>
        <w:rPr>
          <w:color w:val="auto"/>
          <w:highlight w:val="none"/>
        </w:rPr>
        <w:sectPr>
          <w:footerReference r:id="rId3" w:type="even"/>
          <w:endnotePr>
            <w:numFmt w:val="decimal"/>
          </w:endnotePr>
          <w:pgSz w:w="11906" w:h="16838"/>
          <w:pgMar w:top="1440" w:right="1134" w:bottom="1440" w:left="1134" w:header="851" w:footer="992" w:gutter="0"/>
          <w:cols w:space="720" w:num="1"/>
          <w:docGrid w:type="lines" w:linePitch="312" w:charSpace="0"/>
        </w:sectPr>
      </w:pPr>
    </w:p>
    <w:p w14:paraId="6541D1C4">
      <w:pPr>
        <w:pStyle w:val="15"/>
        <w:spacing w:line="360" w:lineRule="auto"/>
        <w:jc w:val="center"/>
        <w:rPr>
          <w:rFonts w:hint="eastAsia"/>
          <w:b/>
          <w:bCs/>
          <w:color w:val="auto"/>
          <w:sz w:val="36"/>
          <w:szCs w:val="36"/>
          <w:highlight w:val="none"/>
          <w:u w:val="none"/>
        </w:rPr>
      </w:pPr>
      <w:r>
        <w:rPr>
          <w:rFonts w:hint="eastAsia"/>
          <w:b/>
          <w:bCs/>
          <w:color w:val="auto"/>
          <w:sz w:val="36"/>
          <w:szCs w:val="36"/>
          <w:highlight w:val="none"/>
          <w:u w:val="none"/>
        </w:rPr>
        <w:t xml:space="preserve">花都区大陵北地块建设项目（标段一） </w:t>
      </w:r>
    </w:p>
    <w:p w14:paraId="30938619">
      <w:pPr>
        <w:pStyle w:val="15"/>
        <w:spacing w:line="360" w:lineRule="auto"/>
        <w:jc w:val="center"/>
        <w:rPr>
          <w:rFonts w:hint="eastAsia"/>
          <w:b/>
          <w:bCs/>
          <w:color w:val="auto"/>
          <w:sz w:val="36"/>
          <w:szCs w:val="36"/>
          <w:highlight w:val="none"/>
          <w:u w:val="none"/>
        </w:rPr>
      </w:pPr>
      <w:r>
        <w:rPr>
          <w:rFonts w:hint="eastAsia"/>
          <w:b/>
          <w:bCs/>
          <w:color w:val="auto"/>
          <w:sz w:val="36"/>
          <w:szCs w:val="36"/>
          <w:highlight w:val="none"/>
          <w:u w:val="none"/>
        </w:rPr>
        <w:t>住宅工程施工总承包招标公告</w:t>
      </w:r>
    </w:p>
    <w:p w14:paraId="3B76D0B1">
      <w:pPr>
        <w:pStyle w:val="15"/>
        <w:spacing w:line="360" w:lineRule="auto"/>
        <w:jc w:val="center"/>
        <w:rPr>
          <w:rFonts w:hint="eastAsia"/>
          <w:b/>
          <w:bCs/>
          <w:color w:val="auto"/>
          <w:sz w:val="36"/>
          <w:szCs w:val="36"/>
          <w:highlight w:val="none"/>
          <w:u w:val="none"/>
        </w:rPr>
      </w:pPr>
    </w:p>
    <w:p w14:paraId="38F295F6">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w:t>
      </w:r>
      <w:r>
        <w:rPr>
          <w:rFonts w:hint="eastAsia" w:ascii="宋体" w:hAnsi="宋体" w:cs="宋体"/>
          <w:color w:val="auto"/>
          <w:sz w:val="24"/>
          <w:szCs w:val="24"/>
          <w:highlight w:val="none"/>
          <w:u w:val="single"/>
        </w:rPr>
        <w:t>广州市花都区发展和改革局以广东省企业投资项目备案证(项目代码：2309-440114-99-01-246281）</w:t>
      </w:r>
      <w:r>
        <w:rPr>
          <w:rFonts w:hint="eastAsia" w:ascii="宋体" w:hAnsi="宋体" w:cs="宋体"/>
          <w:color w:val="auto"/>
          <w:sz w:val="24"/>
          <w:szCs w:val="24"/>
          <w:highlight w:val="none"/>
        </w:rPr>
        <w:t>批准，并且图纸和技术资料满足施工需要，</w:t>
      </w:r>
      <w:r>
        <w:rPr>
          <w:rFonts w:hint="eastAsia" w:ascii="宋体" w:hAnsi="宋体" w:cs="宋体"/>
          <w:color w:val="auto"/>
          <w:sz w:val="24"/>
          <w:szCs w:val="24"/>
          <w:highlight w:val="none"/>
          <w:u w:val="single"/>
        </w:rPr>
        <w:t>广建（广州）地产开发有限公司</w:t>
      </w:r>
      <w:r>
        <w:rPr>
          <w:rFonts w:hint="eastAsia" w:ascii="宋体" w:hAnsi="宋体" w:cs="宋体"/>
          <w:color w:val="auto"/>
          <w:sz w:val="24"/>
          <w:szCs w:val="24"/>
          <w:highlight w:val="none"/>
        </w:rPr>
        <w:t>现对</w:t>
      </w:r>
      <w:r>
        <w:rPr>
          <w:rFonts w:hint="eastAsia" w:ascii="宋体" w:hAnsi="宋体" w:cs="宋体"/>
          <w:color w:val="auto"/>
          <w:sz w:val="24"/>
          <w:szCs w:val="24"/>
          <w:highlight w:val="none"/>
          <w:u w:val="single"/>
        </w:rPr>
        <w:t>花都区大陵北地块建设项目（标段一） 住宅工程施工总承包</w:t>
      </w:r>
      <w:r>
        <w:rPr>
          <w:rFonts w:hint="eastAsia" w:ascii="宋体" w:hAnsi="宋体" w:cs="宋体"/>
          <w:color w:val="auto"/>
          <w:sz w:val="24"/>
          <w:szCs w:val="24"/>
          <w:highlight w:val="none"/>
        </w:rPr>
        <w:t>进行公开招标，选定承包人。</w:t>
      </w:r>
    </w:p>
    <w:p w14:paraId="6FECF080">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一、工程名称：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花都区大陵北地块建设项目（标段一） 住宅工程施工总承包</w:t>
      </w:r>
    </w:p>
    <w:p w14:paraId="3B08C5F0">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二、招标单位：</w:t>
      </w:r>
      <w:r>
        <w:rPr>
          <w:rFonts w:hint="eastAsia" w:ascii="宋体" w:hAnsi="宋体" w:cs="宋体"/>
          <w:color w:val="auto"/>
          <w:sz w:val="24"/>
          <w:szCs w:val="24"/>
          <w:highlight w:val="none"/>
          <w:u w:val="single"/>
        </w:rPr>
        <w:t>广建（广州）地产开发有限公司</w:t>
      </w:r>
    </w:p>
    <w:p w14:paraId="228E9AD0">
      <w:pPr>
        <w:tabs>
          <w:tab w:val="center" w:pos="4415"/>
        </w:tabs>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刘工  </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020-83868988 </w:t>
      </w:r>
    </w:p>
    <w:p w14:paraId="7FD663F8">
      <w:pPr>
        <w:tabs>
          <w:tab w:val="center" w:pos="4415"/>
        </w:tabs>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u w:val="single"/>
        </w:rPr>
        <w:t>广州市花都区新华街望岗路2号之一</w:t>
      </w:r>
    </w:p>
    <w:p w14:paraId="5C4F123F">
      <w:pPr>
        <w:tabs>
          <w:tab w:val="center" w:pos="4415"/>
        </w:tabs>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广州建筑工程监理有限公司</w:t>
      </w:r>
    </w:p>
    <w:p w14:paraId="500C3B10">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rPr>
        <w:t xml:space="preserve">吴工 </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020-61101333-1866</w:t>
      </w:r>
    </w:p>
    <w:p w14:paraId="0BABF3C6">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联系地址：</w:t>
      </w:r>
      <w:r>
        <w:rPr>
          <w:rFonts w:hint="eastAsia" w:ascii="宋体" w:hAnsi="宋体" w:cs="宋体"/>
          <w:color w:val="auto"/>
          <w:sz w:val="24"/>
          <w:szCs w:val="24"/>
          <w:highlight w:val="none"/>
          <w:u w:val="single"/>
        </w:rPr>
        <w:t>广州市越秀区广卫路4号建工大厦18楼</w:t>
      </w:r>
    </w:p>
    <w:p w14:paraId="777F7FF2">
      <w:pPr>
        <w:spacing w:line="360" w:lineRule="auto"/>
        <w:ind w:firstLine="537" w:firstLineChars="224"/>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color w:val="auto"/>
          <w:sz w:val="24"/>
          <w:szCs w:val="24"/>
          <w:highlight w:val="none"/>
          <w:u w:val="single"/>
        </w:rPr>
        <w:t>广州市花都区建设工程招标和造价管理中心</w:t>
      </w:r>
      <w:r>
        <w:rPr>
          <w:rFonts w:hint="eastAsia" w:ascii="宋体" w:hAnsi="宋体"/>
          <w:color w:val="auto"/>
          <w:sz w:val="24"/>
          <w:szCs w:val="24"/>
          <w:highlight w:val="none"/>
        </w:rPr>
        <w:t xml:space="preserve"> </w:t>
      </w:r>
    </w:p>
    <w:p w14:paraId="722C1DCF">
      <w:pPr>
        <w:spacing w:line="36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olor w:val="auto"/>
          <w:sz w:val="24"/>
          <w:szCs w:val="24"/>
          <w:highlight w:val="none"/>
        </w:rPr>
        <w:t xml:space="preserve"> </w:t>
      </w:r>
      <w:r>
        <w:rPr>
          <w:rFonts w:ascii="宋体" w:hAnsi="宋体"/>
          <w:color w:val="auto"/>
          <w:sz w:val="24"/>
          <w:szCs w:val="24"/>
          <w:highlight w:val="none"/>
          <w:u w:val="single"/>
        </w:rPr>
        <w:t>020-36897092</w:t>
      </w:r>
    </w:p>
    <w:p w14:paraId="604D4262">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联系地址：</w:t>
      </w:r>
      <w:r>
        <w:rPr>
          <w:rFonts w:hint="eastAsia" w:ascii="宋体" w:hAnsi="宋体"/>
          <w:color w:val="auto"/>
          <w:sz w:val="24"/>
          <w:szCs w:val="24"/>
          <w:highlight w:val="none"/>
          <w:u w:val="single"/>
        </w:rPr>
        <w:t xml:space="preserve">广州市花都区公益路39号  </w:t>
      </w:r>
    </w:p>
    <w:p w14:paraId="38F8F2A8">
      <w:pPr>
        <w:spacing w:line="360" w:lineRule="auto"/>
        <w:ind w:firstLine="537" w:firstLineChars="224"/>
        <w:rPr>
          <w:rFonts w:ascii="宋体" w:hAnsi="宋体" w:cs="宋体"/>
          <w:bCs/>
          <w:color w:val="auto"/>
          <w:sz w:val="24"/>
          <w:highlight w:val="none"/>
          <w:u w:val="single"/>
        </w:rPr>
      </w:pPr>
      <w:r>
        <w:rPr>
          <w:rFonts w:hint="eastAsia" w:ascii="宋体" w:hAnsi="宋体"/>
          <w:color w:val="auto"/>
          <w:sz w:val="24"/>
          <w:highlight w:val="none"/>
        </w:rPr>
        <w:t>三、建设地点：</w:t>
      </w:r>
      <w:r>
        <w:rPr>
          <w:rFonts w:hint="eastAsia" w:ascii="宋体" w:hAnsi="宋体"/>
          <w:color w:val="auto"/>
          <w:sz w:val="24"/>
          <w:szCs w:val="24"/>
          <w:highlight w:val="none"/>
          <w:u w:val="single"/>
        </w:rPr>
        <w:t>广州市花都区新华街道工业大道以北，广清高速以西</w:t>
      </w:r>
      <w:r>
        <w:rPr>
          <w:rFonts w:hint="eastAsia" w:ascii="宋体" w:hAnsi="宋体" w:cs="宋体"/>
          <w:bCs/>
          <w:color w:val="auto"/>
          <w:sz w:val="24"/>
          <w:highlight w:val="none"/>
          <w:u w:val="single"/>
        </w:rPr>
        <w:t>。</w:t>
      </w:r>
    </w:p>
    <w:p w14:paraId="08DECAE5">
      <w:pPr>
        <w:keepNext w:val="0"/>
        <w:keepLines w:val="0"/>
        <w:widowControl/>
        <w:suppressLineNumbers w:val="0"/>
        <w:spacing w:line="360" w:lineRule="auto"/>
        <w:ind w:firstLine="537" w:firstLineChars="224"/>
        <w:jc w:val="left"/>
        <w:rPr>
          <w:rFonts w:hint="eastAsia" w:ascii="宋体" w:hAnsi="宋体" w:eastAsia="宋体" w:cs="宋体"/>
          <w:color w:val="auto"/>
          <w:kern w:val="0"/>
          <w:sz w:val="24"/>
          <w:szCs w:val="24"/>
          <w:highlight w:val="none"/>
          <w:lang w:bidi="ar"/>
        </w:rPr>
      </w:pPr>
      <w:r>
        <w:rPr>
          <w:rFonts w:hint="eastAsia" w:ascii="宋体" w:hAnsi="宋体"/>
          <w:color w:val="auto"/>
          <w:sz w:val="24"/>
          <w:highlight w:val="none"/>
        </w:rPr>
        <w:t>四、项目概况：</w:t>
      </w:r>
      <w:r>
        <w:rPr>
          <w:rFonts w:hint="eastAsia" w:ascii="宋体" w:hAnsi="宋体" w:eastAsia="宋体" w:cs="宋体"/>
          <w:color w:val="auto"/>
          <w:kern w:val="0"/>
          <w:sz w:val="24"/>
          <w:szCs w:val="24"/>
          <w:highlight w:val="none"/>
          <w:lang w:val="en-US" w:eastAsia="zh-CN" w:bidi="ar"/>
        </w:rPr>
        <w:t xml:space="preserve">项目总用地面积为 90044.44 平方米，其中建设用地面积 55164.52 ㎡， </w:t>
      </w:r>
    </w:p>
    <w:p w14:paraId="3CB9E064">
      <w:pPr>
        <w:keepNext w:val="0"/>
        <w:keepLines w:val="0"/>
        <w:widowControl/>
        <w:suppressLineNumbers w:val="0"/>
        <w:spacing w:line="360" w:lineRule="auto"/>
        <w:ind w:firstLine="0" w:firstLineChars="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 xml:space="preserve">代征道路面积 30506.84 ㎡、代征市政防护绿地面积 4373.08 ㎡。本次招标范围为分地块 1、 </w:t>
      </w:r>
    </w:p>
    <w:p w14:paraId="7D4C266A">
      <w:pPr>
        <w:keepNext w:val="0"/>
        <w:keepLines w:val="0"/>
        <w:widowControl/>
        <w:suppressLineNumbers w:val="0"/>
        <w:spacing w:line="360" w:lineRule="auto"/>
        <w:ind w:firstLine="0" w:firstLineChars="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 xml:space="preserve">分地块 3 的幼儿园、贴邻分地块 1 代建绿地用地，净用地面积 24768.76 ㎡，总建筑面积 </w:t>
      </w:r>
    </w:p>
    <w:p w14:paraId="6ACB147C">
      <w:pPr>
        <w:spacing w:line="360" w:lineRule="auto"/>
        <w:ind w:firstLine="0" w:firstLineChars="0"/>
        <w:rPr>
          <w:rFonts w:hint="eastAsia"/>
          <w:color w:val="auto"/>
          <w:highlight w:val="none"/>
        </w:rPr>
      </w:pPr>
      <w:r>
        <w:rPr>
          <w:rFonts w:hint="eastAsia" w:ascii="宋体" w:hAnsi="宋体" w:eastAsia="宋体" w:cs="宋体"/>
          <w:color w:val="auto"/>
          <w:kern w:val="0"/>
          <w:sz w:val="24"/>
          <w:szCs w:val="24"/>
          <w:highlight w:val="none"/>
          <w:lang w:val="en-US" w:eastAsia="zh-CN" w:bidi="ar"/>
        </w:rPr>
        <w:t>141465.73 ㎡，地下室 37095.74 ㎡、1#2#住宅（含商业 S1、S2、S6）35481.32 ㎡、3#住宅 15339.78 ㎡、4#住宅 17538.36 ㎡、5#住宅（含 S5）18669.63 ㎡、6#住宅 13621.30 ㎡、垃圾收集站 150.32 ㎡、门楼 86.88 ㎡、配套幼儿园 3482.4 ㎡等，</w:t>
      </w:r>
      <w:r>
        <w:rPr>
          <w:rFonts w:hint="eastAsia" w:ascii="宋体" w:hAnsi="宋体" w:eastAsia="宋体" w:cs="宋体"/>
          <w:color w:val="auto"/>
          <w:kern w:val="0"/>
          <w:sz w:val="24"/>
          <w:szCs w:val="24"/>
          <w:highlight w:val="none"/>
          <w:u w:val="none"/>
          <w:lang w:bidi="ar"/>
        </w:rPr>
        <w:t>以及室外运动场地、</w:t>
      </w:r>
      <w:r>
        <w:rPr>
          <w:rFonts w:hint="eastAsia" w:ascii="宋体" w:hAnsi="宋体" w:eastAsia="宋体" w:cs="宋体"/>
          <w:color w:val="auto"/>
          <w:kern w:val="0"/>
          <w:sz w:val="24"/>
          <w:szCs w:val="24"/>
          <w:highlight w:val="none"/>
          <w:u w:val="none"/>
          <w:lang w:val="en-US" w:eastAsia="zh-CN" w:bidi="ar"/>
        </w:rPr>
        <w:t>公厕、</w:t>
      </w:r>
      <w:r>
        <w:rPr>
          <w:rFonts w:hint="eastAsia" w:ascii="宋体" w:hAnsi="宋体" w:eastAsia="宋体" w:cs="宋体"/>
          <w:color w:val="auto"/>
          <w:kern w:val="0"/>
          <w:sz w:val="24"/>
          <w:szCs w:val="24"/>
          <w:highlight w:val="none"/>
          <w:u w:val="none"/>
          <w:lang w:bidi="ar"/>
        </w:rPr>
        <w:t>停车位和其他室外工程等。</w:t>
      </w:r>
      <w:r>
        <w:rPr>
          <w:rFonts w:hint="eastAsia" w:ascii="宋体" w:hAnsi="宋体" w:eastAsia="宋体" w:cs="宋体"/>
          <w:bCs w:val="0"/>
          <w:color w:val="auto"/>
          <w:kern w:val="0"/>
          <w:sz w:val="24"/>
          <w:szCs w:val="24"/>
          <w:highlight w:val="none"/>
          <w:u w:val="none"/>
          <w:lang w:bidi="ar"/>
        </w:rPr>
        <w:t>本次招标项目中最大单体建筑面积17597.57平方米，最大单体建筑的消防建筑高度为99.8米、规划建筑高度为106.55米，最大单跨跨度20米。</w:t>
      </w:r>
    </w:p>
    <w:p w14:paraId="544BE8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五、标段划分及各标段招标内容和最高投标限价：</w:t>
      </w:r>
    </w:p>
    <w:p w14:paraId="1BBF035F">
      <w:pPr>
        <w:spacing w:line="360" w:lineRule="auto"/>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1、本工程划分为</w:t>
      </w:r>
      <w:r>
        <w:rPr>
          <w:rFonts w:hint="eastAsia" w:ascii="宋体" w:hAnsi="宋体"/>
          <w:color w:val="auto"/>
          <w:sz w:val="24"/>
          <w:szCs w:val="24"/>
          <w:highlight w:val="none"/>
          <w:u w:val="single"/>
        </w:rPr>
        <w:t>1</w:t>
      </w:r>
      <w:r>
        <w:rPr>
          <w:rFonts w:hint="eastAsia" w:ascii="宋体" w:hAnsi="宋体"/>
          <w:color w:val="auto"/>
          <w:sz w:val="24"/>
          <w:szCs w:val="24"/>
          <w:highlight w:val="none"/>
        </w:rPr>
        <w:t>个标段。</w:t>
      </w:r>
    </w:p>
    <w:p w14:paraId="11CC2DA5">
      <w:p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2、招标内容：</w:t>
      </w:r>
    </w:p>
    <w:p w14:paraId="4176E53B">
      <w:pPr>
        <w:widowControl/>
        <w:spacing w:line="360" w:lineRule="auto"/>
        <w:ind w:right="0" w:firstLine="537" w:firstLineChars="224"/>
        <w:jc w:val="left"/>
        <w:rPr>
          <w:rFonts w:hint="eastAsia" w:ascii="宋体" w:hAnsi="宋体" w:eastAsia="宋体" w:cs="Times New Roman"/>
          <w:bCs/>
          <w:color w:val="auto"/>
          <w:sz w:val="24"/>
          <w:highlight w:val="none"/>
          <w:u w:val="single"/>
        </w:rPr>
      </w:pPr>
      <w:r>
        <w:rPr>
          <w:rFonts w:hint="eastAsia" w:ascii="宋体" w:hAnsi="宋体" w:eastAsia="宋体" w:cs="Times New Roman"/>
          <w:bCs/>
          <w:color w:val="auto"/>
          <w:sz w:val="24"/>
          <w:szCs w:val="22"/>
          <w:highlight w:val="none"/>
          <w:u w:val="single"/>
        </w:rPr>
        <w:t>1）</w:t>
      </w:r>
      <w:r>
        <w:rPr>
          <w:rFonts w:hint="eastAsia" w:ascii="宋体" w:hAnsi="宋体" w:eastAsia="宋体" w:cs="Times New Roman"/>
          <w:bCs/>
          <w:color w:val="auto"/>
          <w:kern w:val="2"/>
          <w:sz w:val="24"/>
          <w:szCs w:val="22"/>
          <w:highlight w:val="none"/>
          <w:u w:val="single"/>
          <w:lang w:val="en-US" w:eastAsia="zh-CN" w:bidi="ar"/>
        </w:rPr>
        <w:t>包括但不限于：树木迁移、特殊地基处理、市政排水工程（含红线外排污接驳）、市政道路接驳（包括红线内申报、开挖、修复）、基坑支护工程（含土方工程）、桩基础工程、建筑工程、装配式建筑工程、装饰工程、电气工程、智能化工程、暖通工程、给排水工程、 消防工程、电梯工程、泛光照明工程、发电机及环保消音工程、光纤入户工程、有线电视工 程、电信工程、抗震支架工程、防雷工程、防水工程、人防工程、临时用水、临时用电、室外配套工程（包括绿化、室外管网、室外园建、临时道路等）及配套设施工程等，负责竣工图编制。完成以上工作内容的报建、验收，接通、开通，直至投入使用为止</w:t>
      </w:r>
      <w:r>
        <w:rPr>
          <w:rFonts w:hint="eastAsia" w:ascii="宋体" w:hAnsi="宋体" w:eastAsia="宋体" w:cs="Times New Roman"/>
          <w:bCs/>
          <w:color w:val="auto"/>
          <w:sz w:val="24"/>
          <w:highlight w:val="none"/>
          <w:u w:val="single"/>
        </w:rPr>
        <w:t>。</w:t>
      </w:r>
      <w:r>
        <w:rPr>
          <w:rFonts w:hint="eastAsia" w:ascii="宋体" w:hAnsi="宋体" w:eastAsia="宋体" w:cs="Times New Roman"/>
          <w:bCs/>
          <w:color w:val="auto"/>
          <w:sz w:val="24"/>
          <w:szCs w:val="22"/>
          <w:highlight w:val="none"/>
          <w:u w:val="single"/>
        </w:rPr>
        <w:t>具体内容</w:t>
      </w:r>
      <w:r>
        <w:rPr>
          <w:rFonts w:ascii="宋体" w:hAnsi="宋体" w:eastAsia="宋体" w:cs="Times New Roman"/>
          <w:bCs/>
          <w:color w:val="auto"/>
          <w:sz w:val="24"/>
          <w:szCs w:val="22"/>
          <w:highlight w:val="none"/>
          <w:u w:val="single"/>
          <w:lang w:val="en-US" w:eastAsia="zh-CN"/>
        </w:rPr>
        <w:t>以</w:t>
      </w:r>
      <w:r>
        <w:rPr>
          <w:rFonts w:hint="eastAsia" w:ascii="宋体" w:hAnsi="宋体" w:eastAsia="宋体" w:cs="Times New Roman"/>
          <w:bCs/>
          <w:color w:val="auto"/>
          <w:sz w:val="24"/>
          <w:szCs w:val="22"/>
          <w:highlight w:val="none"/>
          <w:u w:val="single"/>
          <w:lang w:val="en-US" w:eastAsia="zh-CN"/>
        </w:rPr>
        <w:t>以招标文件、</w:t>
      </w:r>
      <w:r>
        <w:rPr>
          <w:rFonts w:hint="eastAsia" w:ascii="宋体" w:hAnsi="宋体" w:eastAsia="宋体" w:cs="Times New Roman"/>
          <w:bCs/>
          <w:color w:val="auto"/>
          <w:sz w:val="24"/>
          <w:szCs w:val="22"/>
          <w:highlight w:val="none"/>
          <w:u w:val="single"/>
        </w:rPr>
        <w:t>招标图纸</w:t>
      </w:r>
      <w:r>
        <w:rPr>
          <w:rFonts w:hint="eastAsia" w:ascii="宋体" w:hAnsi="宋体" w:eastAsia="宋体" w:cs="Times New Roman"/>
          <w:bCs/>
          <w:color w:val="auto"/>
          <w:sz w:val="24"/>
          <w:szCs w:val="22"/>
          <w:highlight w:val="none"/>
          <w:u w:val="single"/>
          <w:lang w:eastAsia="zh-CN"/>
        </w:rPr>
        <w:t>、</w:t>
      </w:r>
      <w:r>
        <w:rPr>
          <w:rFonts w:hint="eastAsia" w:ascii="宋体" w:hAnsi="宋体" w:eastAsia="宋体" w:cs="Times New Roman"/>
          <w:bCs/>
          <w:color w:val="auto"/>
          <w:sz w:val="24"/>
          <w:szCs w:val="22"/>
          <w:highlight w:val="none"/>
          <w:u w:val="single"/>
        </w:rPr>
        <w:t>工程量清单</w:t>
      </w:r>
      <w:r>
        <w:rPr>
          <w:rFonts w:hint="eastAsia" w:ascii="宋体" w:hAnsi="宋体" w:eastAsia="宋体" w:cs="Times New Roman"/>
          <w:bCs/>
          <w:color w:val="auto"/>
          <w:sz w:val="24"/>
          <w:szCs w:val="22"/>
          <w:highlight w:val="none"/>
          <w:u w:val="single"/>
          <w:lang w:eastAsia="zh-CN"/>
        </w:rPr>
        <w:t>、</w:t>
      </w:r>
      <w:r>
        <w:rPr>
          <w:rFonts w:hint="eastAsia" w:ascii="宋体" w:hAnsi="宋体" w:eastAsia="宋体" w:cs="Times New Roman"/>
          <w:bCs/>
          <w:color w:val="auto"/>
          <w:sz w:val="24"/>
          <w:szCs w:val="22"/>
          <w:highlight w:val="none"/>
          <w:u w:val="single"/>
          <w:lang w:val="en-US" w:eastAsia="zh-CN"/>
        </w:rPr>
        <w:t>施工合同及有关资料说明为准</w:t>
      </w:r>
      <w:r>
        <w:rPr>
          <w:rFonts w:hint="eastAsia" w:ascii="宋体" w:hAnsi="宋体" w:eastAsia="宋体" w:cs="Times New Roman"/>
          <w:bCs/>
          <w:color w:val="auto"/>
          <w:sz w:val="24"/>
          <w:szCs w:val="22"/>
          <w:highlight w:val="none"/>
          <w:u w:val="single"/>
        </w:rPr>
        <w:t>。</w:t>
      </w:r>
    </w:p>
    <w:p w14:paraId="5D115B1F">
      <w:pPr>
        <w:numPr>
          <w:ilvl w:val="0"/>
          <w:numId w:val="1"/>
        </w:numPr>
        <w:spacing w:line="360" w:lineRule="auto"/>
        <w:ind w:firstLine="537" w:firstLineChars="224"/>
        <w:rPr>
          <w:rFonts w:hint="eastAsia" w:ascii="宋体" w:hAnsi="宋体"/>
          <w:bCs/>
          <w:color w:val="auto"/>
          <w:sz w:val="24"/>
          <w:highlight w:val="none"/>
          <w:u w:val="single"/>
        </w:rPr>
      </w:pPr>
      <w:r>
        <w:rPr>
          <w:rFonts w:hint="eastAsia" w:ascii="宋体" w:hAnsi="宋体"/>
          <w:bCs/>
          <w:color w:val="auto"/>
          <w:sz w:val="24"/>
          <w:highlight w:val="none"/>
          <w:u w:val="single"/>
        </w:rPr>
        <w:t>施工总承包管理和配合服务，包括对本项目由招标人另行发包的专业工程实施总承包管理和配合服务。</w:t>
      </w:r>
    </w:p>
    <w:p w14:paraId="3594BE62">
      <w:pPr>
        <w:widowControl/>
        <w:spacing w:line="360" w:lineRule="auto"/>
        <w:ind w:firstLine="537" w:firstLineChars="224"/>
        <w:rPr>
          <w:rFonts w:hint="eastAsia" w:ascii="宋体" w:hAnsi="宋体"/>
          <w:bCs/>
          <w:color w:val="auto"/>
          <w:sz w:val="24"/>
          <w:highlight w:val="none"/>
          <w:u w:val="single"/>
        </w:rPr>
      </w:pP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在实施过程中根据本工程实际情况有权增减部分内容，</w:t>
      </w:r>
      <w:r>
        <w:rPr>
          <w:rFonts w:hint="eastAsia" w:ascii="宋体" w:hAnsi="宋体"/>
          <w:color w:val="auto"/>
          <w:sz w:val="24"/>
          <w:szCs w:val="24"/>
          <w:highlight w:val="none"/>
          <w:u w:val="single"/>
          <w:lang w:val="en-US" w:eastAsia="zh-CN"/>
        </w:rPr>
        <w:t>中标</w:t>
      </w:r>
      <w:r>
        <w:rPr>
          <w:rFonts w:hint="eastAsia" w:ascii="宋体" w:hAnsi="宋体"/>
          <w:color w:val="auto"/>
          <w:sz w:val="24"/>
          <w:szCs w:val="24"/>
          <w:highlight w:val="none"/>
          <w:u w:val="single"/>
        </w:rPr>
        <w:t>人不能拒绝执行。</w:t>
      </w:r>
    </w:p>
    <w:p w14:paraId="7656FD5C">
      <w:pPr>
        <w:snapToGrid/>
        <w:spacing w:before="0" w:after="0" w:line="240" w:lineRule="auto"/>
        <w:ind w:left="0" w:right="0" w:firstLine="480" w:firstLineChars="200"/>
        <w:jc w:val="both"/>
        <w:rPr>
          <w:rFonts w:hint="eastAsia" w:ascii="宋体" w:hAnsi="宋体" w:cs="宋体"/>
          <w:color w:val="auto"/>
          <w:sz w:val="24"/>
          <w:szCs w:val="24"/>
          <w:highlight w:val="none"/>
        </w:rPr>
      </w:pPr>
      <w:bookmarkStart w:id="1" w:name="_GoBack"/>
      <w:bookmarkEnd w:id="1"/>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lang w:val="en-US" w:eastAsia="zh-CN"/>
        </w:rPr>
        <w:t>:</w:t>
      </w:r>
      <w:r>
        <w:rPr>
          <w:rFonts w:ascii="宋体" w:hAnsi="宋体" w:eastAsia="宋体" w:cs="宋体"/>
          <w:i w:val="0"/>
          <w:strike w:val="0"/>
          <w:color w:val="auto"/>
          <w:sz w:val="24"/>
          <w:highlight w:val="none"/>
          <w:u w:val="single"/>
        </w:rPr>
        <w:t xml:space="preserve">528,046,066.79 </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rPr>
        <w:t>。</w:t>
      </w:r>
    </w:p>
    <w:p w14:paraId="0674B3C3">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六、资金来源：</w:t>
      </w:r>
      <w:r>
        <w:rPr>
          <w:rFonts w:hint="eastAsia" w:ascii="宋体" w:hAnsi="宋体"/>
          <w:color w:val="auto"/>
          <w:sz w:val="24"/>
          <w:szCs w:val="24"/>
          <w:highlight w:val="none"/>
          <w:u w:val="single"/>
        </w:rPr>
        <w:t>企业投资</w:t>
      </w:r>
      <w:r>
        <w:rPr>
          <w:rFonts w:hint="eastAsia" w:ascii="宋体" w:hAnsi="宋体"/>
          <w:color w:val="auto"/>
          <w:sz w:val="24"/>
          <w:highlight w:val="none"/>
        </w:rPr>
        <w:t>。</w:t>
      </w:r>
    </w:p>
    <w:p w14:paraId="2E05EC73">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七、公告发布、递交投标文件时间与开标时间：</w:t>
      </w:r>
    </w:p>
    <w:p w14:paraId="0E6A2EA7">
      <w:pPr>
        <w:spacing w:line="360" w:lineRule="auto"/>
        <w:ind w:left="210" w:leftChars="100" w:firstLine="240" w:firstLineChars="100"/>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公告发布（含本日）：</w:t>
      </w:r>
      <w:r>
        <w:rPr>
          <w:rFonts w:hint="eastAsia" w:ascii="宋体" w:hAnsi="宋体"/>
          <w:color w:val="auto"/>
          <w:sz w:val="24"/>
          <w:highlight w:val="none"/>
          <w:u w:val="single"/>
        </w:rPr>
        <w:t>2024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2"/>
          <w:szCs w:val="21"/>
          <w:highlight w:val="none"/>
          <w:u w:val="single"/>
        </w:rPr>
        <w:t xml:space="preserve">  </w:t>
      </w:r>
      <w:r>
        <w:rPr>
          <w:rFonts w:ascii="宋体" w:hAnsi="宋体"/>
          <w:color w:val="auto"/>
          <w:sz w:val="22"/>
          <w:szCs w:val="21"/>
          <w:highlight w:val="none"/>
          <w:u w:val="single"/>
        </w:rPr>
        <w:t xml:space="preserve"> </w:t>
      </w:r>
      <w:r>
        <w:rPr>
          <w:rFonts w:hint="eastAsia" w:ascii="宋体" w:hAnsi="宋体"/>
          <w:color w:val="auto"/>
          <w:sz w:val="22"/>
          <w:highlight w:val="none"/>
        </w:rPr>
        <w:t>时</w:t>
      </w:r>
      <w:r>
        <w:rPr>
          <w:rFonts w:hint="eastAsia" w:ascii="宋体" w:hAnsi="宋体"/>
          <w:color w:val="auto"/>
          <w:sz w:val="22"/>
          <w:szCs w:val="21"/>
          <w:highlight w:val="none"/>
          <w:u w:val="single"/>
        </w:rPr>
        <w:t xml:space="preserve">  </w:t>
      </w:r>
      <w:r>
        <w:rPr>
          <w:rFonts w:hint="eastAsia" w:ascii="宋体" w:hAnsi="宋体"/>
          <w:color w:val="auto"/>
          <w:sz w:val="22"/>
          <w:highlight w:val="none"/>
        </w:rPr>
        <w:t>分</w:t>
      </w:r>
      <w:r>
        <w:rPr>
          <w:rFonts w:hint="eastAsia" w:ascii="宋体" w:hAnsi="宋体"/>
          <w:color w:val="auto"/>
          <w:sz w:val="24"/>
          <w:highlight w:val="none"/>
        </w:rPr>
        <w:t>至</w:t>
      </w:r>
      <w:r>
        <w:rPr>
          <w:rFonts w:hint="eastAsia" w:ascii="宋体" w:hAnsi="宋体"/>
          <w:color w:val="auto"/>
          <w:sz w:val="24"/>
          <w:highlight w:val="none"/>
          <w:u w:val="single"/>
        </w:rPr>
        <w:t>2024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2"/>
          <w:szCs w:val="21"/>
          <w:highlight w:val="none"/>
          <w:u w:val="single"/>
        </w:rPr>
        <w:t xml:space="preserve">  </w:t>
      </w:r>
      <w:r>
        <w:rPr>
          <w:rFonts w:ascii="宋体" w:hAnsi="宋体"/>
          <w:color w:val="auto"/>
          <w:sz w:val="22"/>
          <w:szCs w:val="21"/>
          <w:highlight w:val="none"/>
          <w:u w:val="single"/>
        </w:rPr>
        <w:t xml:space="preserve"> </w:t>
      </w:r>
      <w:r>
        <w:rPr>
          <w:rFonts w:hint="eastAsia" w:ascii="宋体" w:hAnsi="宋体"/>
          <w:color w:val="auto"/>
          <w:sz w:val="22"/>
          <w:highlight w:val="none"/>
        </w:rPr>
        <w:t>时</w:t>
      </w:r>
      <w:r>
        <w:rPr>
          <w:rFonts w:hint="eastAsia" w:ascii="宋体" w:hAnsi="宋体"/>
          <w:color w:val="auto"/>
          <w:sz w:val="22"/>
          <w:szCs w:val="21"/>
          <w:highlight w:val="none"/>
          <w:u w:val="single"/>
        </w:rPr>
        <w:t xml:space="preserve">  </w:t>
      </w:r>
      <w:r>
        <w:rPr>
          <w:rFonts w:hint="eastAsia" w:ascii="宋体" w:hAnsi="宋体"/>
          <w:color w:val="auto"/>
          <w:sz w:val="22"/>
          <w:highlight w:val="none"/>
        </w:rPr>
        <w:t>分</w:t>
      </w:r>
    </w:p>
    <w:p w14:paraId="189792A4">
      <w:pPr>
        <w:spacing w:line="360" w:lineRule="auto"/>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515BC95D">
      <w:pPr>
        <w:widowControl/>
        <w:shd w:val="clear" w:color="auto" w:fill="FFFFFF"/>
        <w:spacing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14:paraId="26931313">
      <w:pPr>
        <w:widowControl/>
        <w:shd w:val="clear" w:color="auto" w:fill="FFFFFF"/>
        <w:spacing w:line="36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szCs w:val="24"/>
          <w:highlight w:val="none"/>
          <w:u w:val="single"/>
        </w:rPr>
        <w:t>2024</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2144FF5D">
      <w:pPr>
        <w:widowControl/>
        <w:shd w:val="clear" w:color="auto" w:fill="FFFFFF"/>
        <w:spacing w:line="36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2024</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1352AF86">
      <w:pPr>
        <w:widowControl/>
        <w:shd w:val="clear" w:color="auto" w:fill="FFFFFF"/>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3．递交投标文件备用光盘时间：</w:t>
      </w:r>
      <w:r>
        <w:rPr>
          <w:rFonts w:hint="eastAsia" w:ascii="宋体" w:hAnsi="宋体"/>
          <w:color w:val="auto"/>
          <w:sz w:val="24"/>
          <w:highlight w:val="none"/>
          <w:u w:val="single"/>
        </w:rPr>
        <w:t>2024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至</w:t>
      </w:r>
      <w:r>
        <w:rPr>
          <w:rFonts w:hint="eastAsia" w:ascii="宋体" w:hAnsi="宋体"/>
          <w:color w:val="auto"/>
          <w:sz w:val="24"/>
          <w:highlight w:val="none"/>
          <w:u w:val="single"/>
        </w:rPr>
        <w:t>2024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；递交投标文件备用光盘地点：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23781D">
      <w:pPr>
        <w:widowControl/>
        <w:shd w:val="clear" w:color="auto" w:fill="FFFFFF"/>
        <w:spacing w:line="36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4.开标开始时间：</w:t>
      </w:r>
      <w:r>
        <w:rPr>
          <w:rFonts w:hint="eastAsia" w:ascii="宋体" w:hAnsi="宋体"/>
          <w:color w:val="auto"/>
          <w:sz w:val="24"/>
          <w:szCs w:val="24"/>
          <w:highlight w:val="none"/>
          <w:u w:val="single"/>
        </w:rPr>
        <w:t>2024</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25C33B02">
      <w:pPr>
        <w:widowControl/>
        <w:shd w:val="clear" w:color="auto" w:fill="FFFFFF"/>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5.递交投标文件截止时间与开标时间是否有变化，请密切留意招标答疑中的相关信息。递交投标文件截止时间后，开标时间因故推迟的，相关评标信息仍以原递交投标文件截止时间的信息为准。</w:t>
      </w:r>
    </w:p>
    <w:p w14:paraId="0F00C927">
      <w:pPr>
        <w:spacing w:line="360" w:lineRule="auto"/>
        <w:ind w:firstLine="480" w:firstLineChars="200"/>
        <w:rPr>
          <w:rFonts w:ascii="宋体" w:hAnsi="宋体"/>
          <w:bCs/>
          <w:color w:val="auto"/>
          <w:kern w:val="0"/>
          <w:sz w:val="24"/>
          <w:szCs w:val="24"/>
          <w:highlight w:val="none"/>
          <w:u w:val="single"/>
        </w:rPr>
      </w:pPr>
      <w:r>
        <w:rPr>
          <w:rFonts w:hint="eastAsia" w:ascii="宋体" w:hAnsi="宋体" w:cs="宋体"/>
          <w:color w:val="auto"/>
          <w:sz w:val="24"/>
          <w:szCs w:val="24"/>
          <w:highlight w:val="none"/>
        </w:rPr>
        <w:t>6．</w:t>
      </w:r>
      <w:r>
        <w:rPr>
          <w:rFonts w:hint="eastAsia" w:ascii="宋体" w:hAnsi="宋体"/>
          <w:bCs/>
          <w:color w:val="auto"/>
          <w:sz w:val="24"/>
          <w:highlight w:val="none"/>
        </w:rPr>
        <w:t>投标人通过</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bCs/>
          <w:color w:val="auto"/>
          <w:kern w:val="0"/>
          <w:sz w:val="24"/>
          <w:szCs w:val="24"/>
          <w:highlight w:val="none"/>
          <w:u w:val="single"/>
        </w:rPr>
        <w:t>广州交易集团有限公司（广州公共资源交易中心网站</w:t>
      </w:r>
      <w:r>
        <w:rPr>
          <w:rFonts w:ascii="宋体" w:hAnsi="宋体"/>
          <w:bCs/>
          <w:color w:val="auto"/>
          <w:kern w:val="0"/>
          <w:sz w:val="24"/>
          <w:szCs w:val="24"/>
          <w:highlight w:val="none"/>
          <w:u w:val="single"/>
        </w:rPr>
        <w:t>http:// www.gzggzy.cn</w:t>
      </w:r>
      <w:r>
        <w:rPr>
          <w:rFonts w:hint="eastAsia" w:ascii="宋体" w:hAnsi="宋体"/>
          <w:bCs/>
          <w:color w:val="auto"/>
          <w:kern w:val="0"/>
          <w:sz w:val="24"/>
          <w:szCs w:val="24"/>
          <w:highlight w:val="none"/>
          <w:u w:val="single"/>
        </w:rPr>
        <w:t>）《房屋建筑和市政基础设施工程全流程电子化项目专章》。</w:t>
      </w:r>
    </w:p>
    <w:p w14:paraId="596B7620">
      <w:pPr>
        <w:widowControl/>
        <w:shd w:val="clear" w:color="auto" w:fill="FFFFFF"/>
        <w:spacing w:line="360" w:lineRule="auto"/>
        <w:jc w:val="left"/>
        <w:rPr>
          <w:rFonts w:ascii="宋体" w:cs="宋体"/>
          <w:color w:val="auto"/>
          <w:kern w:val="0"/>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rPr>
        <w:t>八、招标文件获取方式：</w:t>
      </w:r>
    </w:p>
    <w:p w14:paraId="2FEE2A63">
      <w:pPr>
        <w:widowControl/>
        <w:shd w:val="clear" w:color="auto" w:fill="FFFFFF"/>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55C933C7">
      <w:pPr>
        <w:spacing w:line="36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14:paraId="5A964A41">
      <w:pPr>
        <w:spacing w:line="36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w:t>
      </w:r>
      <w:r>
        <w:rPr>
          <w:rFonts w:hint="eastAsia" w:ascii="宋体" w:hAnsi="宋体"/>
          <w:color w:val="auto"/>
          <w:sz w:val="24"/>
          <w:highlight w:val="none"/>
          <w:u w:val="single"/>
        </w:rPr>
        <w:t>（联合体各成员）</w:t>
      </w:r>
      <w:r>
        <w:rPr>
          <w:rFonts w:hint="eastAsia" w:ascii="宋体" w:hAnsi="宋体"/>
          <w:color w:val="auto"/>
          <w:sz w:val="24"/>
          <w:highlight w:val="none"/>
        </w:rPr>
        <w:t>参加投标的意思表达清楚，投标人代表被授权有效。</w:t>
      </w:r>
    </w:p>
    <w:p w14:paraId="65993D4B">
      <w:pPr>
        <w:spacing w:line="36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w:t>
      </w:r>
      <w:r>
        <w:rPr>
          <w:rFonts w:hint="eastAsia" w:ascii="宋体" w:hAnsi="宋体"/>
          <w:color w:val="auto"/>
          <w:sz w:val="24"/>
          <w:highlight w:val="none"/>
          <w:u w:val="single"/>
        </w:rPr>
        <w:t>（联合体各成员）</w:t>
      </w:r>
      <w:r>
        <w:rPr>
          <w:rFonts w:hint="eastAsia" w:ascii="宋体" w:hAnsi="宋体"/>
          <w:color w:val="auto"/>
          <w:sz w:val="24"/>
          <w:highlight w:val="none"/>
        </w:rPr>
        <w:t>均具有独立法人资格，按国家法律经营。</w:t>
      </w:r>
    </w:p>
    <w:p w14:paraId="21CFFA58">
      <w:pPr>
        <w:spacing w:line="36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w:t>
      </w:r>
      <w:r>
        <w:rPr>
          <w:rFonts w:hint="eastAsia" w:ascii="宋体" w:hAnsi="宋体"/>
          <w:b/>
          <w:bCs/>
          <w:color w:val="auto"/>
          <w:sz w:val="24"/>
          <w:highlight w:val="none"/>
        </w:rPr>
        <w:t>有效期内的</w:t>
      </w:r>
      <w:r>
        <w:rPr>
          <w:rFonts w:hint="eastAsia" w:ascii="宋体" w:hAnsi="宋体"/>
          <w:color w:val="auto"/>
          <w:sz w:val="24"/>
          <w:highlight w:val="none"/>
        </w:rPr>
        <w:t>企业资质证书及安全生产许可证。</w:t>
      </w:r>
    </w:p>
    <w:p w14:paraId="2B7EB1C5">
      <w:pPr>
        <w:pStyle w:val="40"/>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w:t>
      </w:r>
      <w:r>
        <w:rPr>
          <w:rFonts w:hint="eastAsia" w:ascii="宋体" w:hAnsi="宋体" w:eastAsia="宋体"/>
          <w:color w:val="auto"/>
          <w:kern w:val="2"/>
          <w:sz w:val="24"/>
          <w:szCs w:val="22"/>
          <w:highlight w:val="none"/>
          <w:u w:val="single"/>
        </w:rPr>
        <w:t>人（联合体各成员）</w:t>
      </w:r>
      <w:r>
        <w:rPr>
          <w:rFonts w:hint="eastAsia" w:ascii="宋体" w:hAnsi="宋体" w:eastAsia="宋体"/>
          <w:color w:val="auto"/>
          <w:sz w:val="24"/>
          <w:szCs w:val="24"/>
          <w:highlight w:val="none"/>
        </w:rPr>
        <w:t>具备以下资质：</w:t>
      </w:r>
    </w:p>
    <w:p w14:paraId="67CCC037">
      <w:pPr>
        <w:pStyle w:val="40"/>
        <w:ind w:firstLine="53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投标人具有承接本工程所需的</w:t>
      </w:r>
      <w:r>
        <w:rPr>
          <w:rFonts w:hint="eastAsia" w:ascii="宋体" w:hAnsi="宋体" w:eastAsia="宋体" w:cs="宋体"/>
          <w:color w:val="auto"/>
          <w:sz w:val="24"/>
          <w:szCs w:val="24"/>
          <w:highlight w:val="none"/>
          <w:u w:val="single"/>
        </w:rPr>
        <w:t>建筑工程施工总承包</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级或以上级别施工总承包资质；</w:t>
      </w:r>
      <w:r>
        <w:rPr>
          <w:rFonts w:hint="eastAsia" w:ascii="宋体" w:hAnsi="宋体" w:eastAsia="宋体"/>
          <w:color w:val="auto"/>
          <w:sz w:val="24"/>
          <w:szCs w:val="24"/>
          <w:highlight w:val="none"/>
        </w:rPr>
        <w:t>投标人拟担任本工程项目负责人的人员为：</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建筑工程 </w:t>
      </w:r>
      <w:r>
        <w:rPr>
          <w:rFonts w:hint="eastAsia" w:ascii="宋体" w:hAnsi="宋体" w:eastAsia="宋体"/>
          <w:color w:val="auto"/>
          <w:sz w:val="24"/>
          <w:szCs w:val="24"/>
          <w:highlight w:val="none"/>
        </w:rPr>
        <w:t>专业</w:t>
      </w:r>
      <w:r>
        <w:rPr>
          <w:rFonts w:hint="eastAsia" w:ascii="宋体" w:hAnsi="宋体" w:eastAsia="宋体"/>
          <w:color w:val="auto"/>
          <w:sz w:val="24"/>
          <w:szCs w:val="24"/>
          <w:highlight w:val="none"/>
          <w:u w:val="single"/>
        </w:rPr>
        <w:t xml:space="preserve"> 一 </w:t>
      </w:r>
      <w:r>
        <w:rPr>
          <w:rFonts w:hint="eastAsia" w:ascii="宋体" w:hAnsi="宋体" w:eastAsia="宋体"/>
          <w:color w:val="auto"/>
          <w:sz w:val="24"/>
          <w:szCs w:val="24"/>
          <w:highlight w:val="none"/>
        </w:rPr>
        <w:t>级注册建造师。</w:t>
      </w:r>
    </w:p>
    <w:p w14:paraId="42A2089A">
      <w:pPr>
        <w:spacing w:line="360" w:lineRule="auto"/>
        <w:ind w:firstLine="537" w:firstLineChars="224"/>
        <w:rPr>
          <w:rFonts w:hint="eastAsia" w:ascii="宋体" w:hAnsi="宋体" w:cs="宋体"/>
          <w:color w:val="auto"/>
          <w:sz w:val="24"/>
          <w:szCs w:val="24"/>
          <w:highlight w:val="none"/>
        </w:rPr>
      </w:pPr>
      <w:r>
        <w:rPr>
          <w:rFonts w:hint="eastAsia"/>
          <w:color w:val="auto"/>
          <w:sz w:val="24"/>
          <w:szCs w:val="24"/>
          <w:highlight w:val="none"/>
        </w:rPr>
        <w:t>注：</w:t>
      </w:r>
      <w:r>
        <w:rPr>
          <w:rFonts w:hint="eastAsia" w:ascii="宋体" w:hAnsi="宋体" w:cs="宋体"/>
          <w:color w:val="auto"/>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61E69AF">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b/>
          <w:bCs/>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5C73BBD9">
      <w:pPr>
        <w:widowControl/>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lang w:bidi="ar"/>
        </w:rPr>
        <w:t>根据《住房和城乡建设部办公厅关于全面实行一级建造师电子注册证的通知》（建办市[2021]40号），自2022年1月1日起，一级建造师统一使用电子证书，纸质证书作废，具体操作流程可查阅《住房和城乡建设部一级建造师电子证照申领和使用手册》。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2CC969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项目负责人在任职期间不得担任专职安全员，项目专职安全员在任职期间也不得担任项目负责人，项目负责人和专职安全员不为同一人。</w:t>
      </w:r>
    </w:p>
    <w:p w14:paraId="64C5C487">
      <w:pPr>
        <w:ind w:firstLine="537" w:firstLineChars="224"/>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.项目负责人持有安全生产考核合格证（B类）或建筑施工企业项目负责人安全生产考核合格证书</w:t>
      </w:r>
      <w:r>
        <w:rPr>
          <w:rFonts w:ascii="宋体" w:hAnsi="宋体"/>
          <w:color w:val="auto"/>
          <w:sz w:val="24"/>
          <w:szCs w:val="24"/>
          <w:highlight w:val="none"/>
        </w:rPr>
        <w:t>。</w:t>
      </w:r>
    </w:p>
    <w:p w14:paraId="21E131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6．投标人拟担任本工程技术负责人的资格要求为：</w:t>
      </w:r>
      <w:r>
        <w:rPr>
          <w:rFonts w:hint="eastAsia" w:ascii="宋体" w:hAnsi="宋体"/>
          <w:color w:val="auto"/>
          <w:sz w:val="24"/>
          <w:szCs w:val="24"/>
          <w:highlight w:val="none"/>
          <w:u w:val="single"/>
        </w:rPr>
        <w:t>具有</w:t>
      </w:r>
      <w:r>
        <w:rPr>
          <w:rFonts w:hint="eastAsia" w:ascii="宋体" w:hAnsi="宋体" w:cs="宋体"/>
          <w:color w:val="auto"/>
          <w:kern w:val="0"/>
          <w:sz w:val="24"/>
          <w:szCs w:val="24"/>
          <w:highlight w:val="none"/>
          <w:u w:val="single"/>
        </w:rPr>
        <w:t>建筑工程类高级或以上技术职称</w:t>
      </w:r>
      <w:r>
        <w:rPr>
          <w:rFonts w:hint="eastAsia" w:ascii="宋体" w:hAnsi="宋体"/>
          <w:color w:val="auto"/>
          <w:sz w:val="24"/>
          <w:szCs w:val="24"/>
          <w:highlight w:val="none"/>
          <w:u w:val="single"/>
        </w:rPr>
        <w:t>。</w:t>
      </w:r>
      <w:r>
        <w:rPr>
          <w:rFonts w:hint="eastAsia" w:ascii="宋体" w:hAnsi="宋体"/>
          <w:color w:val="auto"/>
          <w:sz w:val="24"/>
          <w:szCs w:val="24"/>
          <w:highlight w:val="none"/>
        </w:rPr>
        <w:t xml:space="preserve"> </w:t>
      </w:r>
    </w:p>
    <w:p w14:paraId="0DC67A8B">
      <w:pPr>
        <w:spacing w:line="360" w:lineRule="auto"/>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u w:val="single"/>
        </w:rPr>
        <w:t>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78CB540C">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②采用其他资质的项目，宜要求技术负责人具备项目相适应专业的中级或以上职称。</w:t>
      </w:r>
    </w:p>
    <w:p w14:paraId="38704E21">
      <w:pPr>
        <w:spacing w:line="360" w:lineRule="auto"/>
        <w:ind w:firstLine="480" w:firstLineChars="200"/>
        <w:rPr>
          <w:rFonts w:hint="eastAsia" w:ascii="宋体" w:hAnsi="宋体"/>
          <w:color w:val="auto"/>
          <w:sz w:val="24"/>
          <w:szCs w:val="24"/>
          <w:highlight w:val="none"/>
        </w:rPr>
      </w:pPr>
      <w:r>
        <w:rPr>
          <w:rFonts w:hint="eastAsia" w:ascii="宋体" w:hAnsi="宋体"/>
          <w:color w:val="auto"/>
          <w:kern w:val="0"/>
          <w:sz w:val="24"/>
          <w:highlight w:val="none"/>
        </w:rPr>
        <w:t>7．</w:t>
      </w:r>
      <w:r>
        <w:rPr>
          <w:rFonts w:hint="eastAsia" w:ascii="宋体" w:hAnsi="宋体"/>
          <w:color w:val="auto"/>
          <w:sz w:val="24"/>
          <w:szCs w:val="24"/>
          <w:highlight w:val="none"/>
        </w:rPr>
        <w:t>投标人拟担任本工程专职安全员须具有安全生产考核合格证（C类）或建筑施工企业专职安全生产管理人员安全生产考核合格证书（C3）。</w:t>
      </w:r>
    </w:p>
    <w:p w14:paraId="17D5807A">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8．</w:t>
      </w:r>
      <w:r>
        <w:rPr>
          <w:rFonts w:hint="eastAsia" w:ascii="宋体" w:hAnsi="宋体"/>
          <w:color w:val="auto"/>
          <w:sz w:val="24"/>
          <w:highlight w:val="none"/>
        </w:rPr>
        <w:t>投标人已按照附件一的内容签署盖章的投标人声明。</w:t>
      </w:r>
    </w:p>
    <w:p w14:paraId="1FB06AD9">
      <w:pPr>
        <w:spacing w:line="360" w:lineRule="auto"/>
        <w:ind w:firstLine="417" w:firstLineChars="174"/>
        <w:rPr>
          <w:rFonts w:hint="eastAsia" w:ascii="宋体" w:hAnsi="宋体" w:cs="宋体"/>
          <w:color w:val="auto"/>
          <w:sz w:val="24"/>
          <w:szCs w:val="24"/>
          <w:highlight w:val="none"/>
          <w:u w:val="single"/>
          <w:lang w:bidi="ar"/>
        </w:rPr>
      </w:pPr>
      <w:r>
        <w:rPr>
          <w:rFonts w:hint="eastAsia" w:ascii="宋体" w:hAnsi="宋体"/>
          <w:color w:val="auto"/>
          <w:sz w:val="24"/>
          <w:highlight w:val="none"/>
        </w:rPr>
        <w:t>9．</w:t>
      </w:r>
      <w:r>
        <w:rPr>
          <w:rFonts w:hint="eastAsia" w:ascii="宋体" w:hAnsi="宋体"/>
          <w:color w:val="auto"/>
          <w:sz w:val="24"/>
          <w:szCs w:val="24"/>
          <w:highlight w:val="none"/>
        </w:rPr>
        <w:t>关于联合体投标：</w:t>
      </w:r>
      <w:r>
        <w:rPr>
          <w:rFonts w:hint="eastAsia" w:ascii="宋体" w:hAnsi="宋体" w:cs="宋体"/>
          <w:color w:val="auto"/>
          <w:sz w:val="24"/>
          <w:szCs w:val="24"/>
          <w:highlight w:val="none"/>
          <w:u w:val="single"/>
          <w:lang w:bidi="ar"/>
        </w:rPr>
        <w:t>本项目</w:t>
      </w:r>
      <w:r>
        <w:rPr>
          <w:rFonts w:hint="eastAsia" w:ascii="宋体" w:hAnsi="宋体" w:cs="宋体"/>
          <w:b/>
          <w:bCs/>
          <w:color w:val="auto"/>
          <w:sz w:val="24"/>
          <w:szCs w:val="24"/>
          <w:highlight w:val="none"/>
          <w:u w:val="single"/>
          <w:lang w:bidi="ar"/>
        </w:rPr>
        <w:t>接受</w:t>
      </w:r>
      <w:r>
        <w:rPr>
          <w:rFonts w:hint="eastAsia" w:ascii="宋体" w:hAnsi="宋体" w:cs="宋体"/>
          <w:color w:val="auto"/>
          <w:sz w:val="24"/>
          <w:szCs w:val="24"/>
          <w:highlight w:val="none"/>
          <w:u w:val="single"/>
          <w:lang w:bidi="ar"/>
        </w:rPr>
        <w:t>联合体投标。如投标人组</w:t>
      </w:r>
      <w:r>
        <w:rPr>
          <w:rFonts w:ascii="宋体" w:hAnsi="宋体" w:cs="宋体"/>
          <w:color w:val="auto"/>
          <w:sz w:val="24"/>
          <w:szCs w:val="24"/>
          <w:highlight w:val="none"/>
          <w:u w:val="single"/>
          <w:lang w:bidi="ar"/>
        </w:rPr>
        <w:t>成联合体，只接受最多由2家单位组成的联合体，须明确联合体主办方，并按本公告附</w:t>
      </w:r>
      <w:r>
        <w:rPr>
          <w:rFonts w:hint="eastAsia" w:ascii="宋体" w:hAnsi="宋体" w:cs="宋体"/>
          <w:color w:val="auto"/>
          <w:sz w:val="24"/>
          <w:szCs w:val="24"/>
          <w:highlight w:val="none"/>
          <w:u w:val="single"/>
          <w:lang w:bidi="ar"/>
        </w:rPr>
        <w:t>件</w:t>
      </w:r>
      <w:r>
        <w:rPr>
          <w:rFonts w:hint="eastAsia" w:ascii="宋体" w:hAnsi="宋体" w:cs="宋体"/>
          <w:color w:val="auto"/>
          <w:sz w:val="24"/>
          <w:szCs w:val="24"/>
          <w:highlight w:val="none"/>
          <w:u w:val="single"/>
          <w:lang w:val="en-US" w:eastAsia="zh-CN" w:bidi="ar"/>
        </w:rPr>
        <w:t>二</w:t>
      </w:r>
      <w:r>
        <w:rPr>
          <w:rFonts w:ascii="宋体" w:hAnsi="宋体" w:cs="宋体"/>
          <w:color w:val="auto"/>
          <w:sz w:val="24"/>
          <w:szCs w:val="24"/>
          <w:highlight w:val="none"/>
          <w:u w:val="single"/>
          <w:lang w:bidi="ar"/>
        </w:rPr>
        <w:t>格式</w:t>
      </w:r>
      <w:r>
        <w:rPr>
          <w:rFonts w:hint="eastAsia" w:ascii="宋体" w:hAnsi="宋体" w:cs="宋体"/>
          <w:color w:val="auto"/>
          <w:sz w:val="24"/>
          <w:szCs w:val="24"/>
          <w:highlight w:val="none"/>
          <w:u w:val="single"/>
          <w:lang w:bidi="ar"/>
        </w:rPr>
        <w:t>签</w:t>
      </w:r>
      <w:r>
        <w:rPr>
          <w:rFonts w:ascii="宋体" w:hAnsi="宋体" w:cs="宋体"/>
          <w:color w:val="auto"/>
          <w:sz w:val="24"/>
          <w:szCs w:val="24"/>
          <w:highlight w:val="none"/>
          <w:u w:val="single"/>
          <w:lang w:bidi="ar"/>
        </w:rPr>
        <w:t>订</w:t>
      </w:r>
      <w:r>
        <w:rPr>
          <w:rFonts w:hint="eastAsia" w:ascii="宋体" w:hAnsi="宋体" w:cs="宋体"/>
          <w:color w:val="auto"/>
          <w:sz w:val="24"/>
          <w:szCs w:val="24"/>
          <w:highlight w:val="none"/>
          <w:u w:val="single"/>
          <w:lang w:bidi="ar"/>
        </w:rPr>
        <w:t>联合体工作协议。联合体工作协议应明确约定各方拟承担的工作和责任。拟担任本工程项目负责人、专职安全员须是联合体主办方信用档案中的在册人员。参加联合体投标的任何一方不得再以自己名义单独或以其他联合体成员的名义申请本项目投标。</w:t>
      </w:r>
    </w:p>
    <w:p w14:paraId="7D964B3D">
      <w:pPr>
        <w:spacing w:before="100" w:after="100"/>
        <w:rPr>
          <w:rFonts w:hint="eastAsia" w:ascii="宋体" w:hAnsi="宋体" w:cs="宋体"/>
          <w:color w:val="auto"/>
          <w:sz w:val="24"/>
          <w:szCs w:val="24"/>
          <w:highlight w:val="none"/>
          <w:u w:val="single"/>
          <w:lang w:bidi="ar"/>
        </w:rPr>
      </w:pPr>
      <w:r>
        <w:rPr>
          <w:rFonts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lang w:bidi="ar"/>
        </w:rPr>
        <w:t>注：①联合体投标人，在资格审查环节，其资质指标按联合体成员中最低者确定。</w:t>
      </w:r>
    </w:p>
    <w:p w14:paraId="36A238B9">
      <w:pPr>
        <w:spacing w:line="360" w:lineRule="auto"/>
        <w:ind w:firstLine="417" w:firstLineChars="174"/>
        <w:rPr>
          <w:rFonts w:hint="eastAsia" w:ascii="宋体"/>
          <w:color w:val="auto"/>
          <w:sz w:val="24"/>
          <w:szCs w:val="24"/>
          <w:highlight w:val="none"/>
        </w:rPr>
      </w:pPr>
      <w:r>
        <w:rPr>
          <w:rFonts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lang w:bidi="ar"/>
        </w:rPr>
        <w:t xml:space="preserve">②联合体投标人，项目负责人、技术负责人、专职安全员、合格的类似工程施工业绩由联合体中主办方提供。 </w:t>
      </w:r>
    </w:p>
    <w:p w14:paraId="54C6ED6E">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0．资格审查前，投标人</w:t>
      </w:r>
      <w:r>
        <w:rPr>
          <w:rFonts w:hint="eastAsia" w:ascii="宋体" w:hAnsi="宋体"/>
          <w:color w:val="auto"/>
          <w:sz w:val="24"/>
          <w:highlight w:val="none"/>
          <w:u w:val="single"/>
        </w:rPr>
        <w:t>（联合体各成员）</w:t>
      </w:r>
      <w:r>
        <w:rPr>
          <w:rFonts w:hint="eastAsia" w:ascii="宋体" w:hAnsi="宋体"/>
          <w:color w:val="auto"/>
          <w:sz w:val="24"/>
          <w:highlight w:val="none"/>
        </w:rPr>
        <w:t>须在广州市住房和城乡建设局建立企业信用档案及拟担任本工程项目负责人、专职安全员须是本企业</w:t>
      </w:r>
      <w:r>
        <w:rPr>
          <w:rFonts w:hint="eastAsia" w:ascii="宋体" w:hAnsi="宋体"/>
          <w:color w:val="auto"/>
          <w:sz w:val="24"/>
          <w:highlight w:val="none"/>
          <w:u w:val="single"/>
        </w:rPr>
        <w:t>（联合体主办方）</w:t>
      </w:r>
      <w:r>
        <w:rPr>
          <w:rFonts w:hint="eastAsia" w:ascii="宋体" w:hAnsi="宋体"/>
          <w:color w:val="auto"/>
          <w:sz w:val="24"/>
          <w:highlight w:val="none"/>
        </w:rPr>
        <w:t>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0DA0B532">
      <w:pPr>
        <w:spacing w:line="360" w:lineRule="auto"/>
        <w:ind w:firstLine="442" w:firstLineChars="200"/>
        <w:rPr>
          <w:rFonts w:ascii="仿宋" w:hAnsi="仿宋" w:eastAsia="仿宋" w:cs="宋体"/>
          <w:b/>
          <w:color w:val="auto"/>
          <w:kern w:val="0"/>
          <w:sz w:val="22"/>
          <w:highlight w:val="none"/>
        </w:rPr>
      </w:pPr>
      <w:r>
        <w:rPr>
          <w:rFonts w:ascii="仿宋" w:hAnsi="仿宋" w:eastAsia="仿宋" w:cs="宋体"/>
          <w:b/>
          <w:color w:val="auto"/>
          <w:kern w:val="0"/>
          <w:sz w:val="22"/>
          <w:highlight w:val="none"/>
        </w:rPr>
        <w:fldChar w:fldCharType="begin"/>
      </w:r>
      <w:r>
        <w:rPr>
          <w:rFonts w:ascii="仿宋" w:hAnsi="仿宋" w:eastAsia="仿宋" w:cs="宋体"/>
          <w:b/>
          <w:color w:val="auto"/>
          <w:kern w:val="0"/>
          <w:sz w:val="22"/>
          <w:highlight w:val="none"/>
        </w:rPr>
        <w:instrText xml:space="preserve"> HYPERLINK "http://zfcj.gz.gov.cn/zwgk/zsdwxxgkzl/gzsjzyglfwzx/bszy/content/post_8484886.html）" </w:instrText>
      </w:r>
      <w:r>
        <w:rPr>
          <w:rFonts w:ascii="仿宋" w:hAnsi="仿宋" w:eastAsia="仿宋" w:cs="宋体"/>
          <w:b/>
          <w:color w:val="auto"/>
          <w:kern w:val="0"/>
          <w:sz w:val="22"/>
          <w:highlight w:val="none"/>
        </w:rPr>
        <w:fldChar w:fldCharType="separate"/>
      </w:r>
      <w:r>
        <w:rPr>
          <w:rStyle w:val="23"/>
          <w:rFonts w:ascii="仿宋" w:hAnsi="仿宋" w:eastAsia="仿宋" w:cs="宋体"/>
          <w:b/>
          <w:color w:val="auto"/>
          <w:kern w:val="0"/>
          <w:sz w:val="22"/>
          <w:highlight w:val="none"/>
        </w:rPr>
        <w:t>http://zfcj.gz.gov.cn/zwgk/zsdwxxgkzl/gzsjzyglfwzx/bszy/content/post_8484886.html）</w:t>
      </w:r>
      <w:r>
        <w:rPr>
          <w:rFonts w:ascii="仿宋" w:hAnsi="仿宋" w:eastAsia="仿宋" w:cs="宋体"/>
          <w:b/>
          <w:color w:val="auto"/>
          <w:kern w:val="0"/>
          <w:sz w:val="22"/>
          <w:highlight w:val="none"/>
        </w:rPr>
        <w:fldChar w:fldCharType="end"/>
      </w:r>
    </w:p>
    <w:p w14:paraId="0BADC97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hint="eastAsia" w:ascii="宋体" w:hAnsi="宋体"/>
          <w:color w:val="auto"/>
          <w:sz w:val="24"/>
          <w:highlight w:val="none"/>
          <w:u w:val="single"/>
        </w:rPr>
        <w:t>投标人（联合体各成员）</w:t>
      </w:r>
      <w:r>
        <w:rPr>
          <w:rFonts w:hint="eastAsia" w:ascii="宋体" w:hAnsi="宋体"/>
          <w:color w:val="auto"/>
          <w:sz w:val="24"/>
          <w:highlight w:val="none"/>
        </w:rPr>
        <w:t>未在以往工程中因不充分履约行为被本项目招标人书面拒绝投标的</w:t>
      </w:r>
      <w:r>
        <w:rPr>
          <w:rFonts w:hint="eastAsia" w:cs="宋体"/>
          <w:color w:val="auto"/>
          <w:sz w:val="24"/>
          <w:szCs w:val="24"/>
          <w:highlight w:val="none"/>
          <w:u w:val="single"/>
        </w:rPr>
        <w:t>（详见附件二《被招标人拒绝投标的企业名单》）。</w:t>
      </w:r>
    </w:p>
    <w:p w14:paraId="183C2558">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1</w:t>
      </w:r>
      <w:r>
        <w:rPr>
          <w:rFonts w:hint="eastAsia" w:ascii="宋体" w:hAnsi="宋体"/>
          <w:color w:val="auto"/>
          <w:sz w:val="24"/>
          <w:szCs w:val="24"/>
          <w:highlight w:val="none"/>
        </w:rPr>
        <w:t>2、投标人</w:t>
      </w:r>
      <w:r>
        <w:rPr>
          <w:rFonts w:hint="eastAsia" w:ascii="宋体" w:hAnsi="宋体"/>
          <w:color w:val="auto"/>
          <w:sz w:val="24"/>
          <w:highlight w:val="none"/>
          <w:u w:val="single"/>
        </w:rPr>
        <w:t>（联合体各成员）</w:t>
      </w:r>
      <w:r>
        <w:rPr>
          <w:rFonts w:hint="eastAsia" w:ascii="宋体" w:hAnsi="宋体"/>
          <w:color w:val="auto"/>
          <w:sz w:val="24"/>
          <w:szCs w:val="24"/>
          <w:highlight w:val="none"/>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14:paraId="4D174DBB">
      <w:pPr>
        <w:spacing w:line="360" w:lineRule="auto"/>
        <w:ind w:firstLine="480" w:firstLineChars="200"/>
        <w:rPr>
          <w:rFonts w:hint="eastAsia" w:ascii="宋体" w:hAnsi="宋体"/>
          <w:strike/>
          <w:color w:val="auto"/>
          <w:sz w:val="24"/>
          <w:szCs w:val="24"/>
          <w:highlight w:val="none"/>
        </w:rPr>
      </w:pPr>
      <w:r>
        <w:rPr>
          <w:rFonts w:hint="eastAsia" w:ascii="宋体" w:hAnsi="宋体"/>
          <w:color w:val="auto"/>
          <w:sz w:val="24"/>
          <w:szCs w:val="24"/>
          <w:highlight w:val="none"/>
        </w:rPr>
        <w:t>13、</w:t>
      </w:r>
      <w:r>
        <w:rPr>
          <w:rFonts w:hint="eastAsia" w:ascii="宋体" w:hAnsi="宋体"/>
          <w:color w:val="auto"/>
          <w:sz w:val="24"/>
          <w:highlight w:val="none"/>
          <w:u w:val="single"/>
        </w:rPr>
        <w:t>投标人（联合体各成员）</w:t>
      </w:r>
      <w:r>
        <w:rPr>
          <w:rFonts w:hint="eastAsia" w:ascii="宋体" w:hAnsi="宋体"/>
          <w:color w:val="auto"/>
          <w:sz w:val="24"/>
          <w:szCs w:val="24"/>
          <w:highlight w:val="none"/>
        </w:rPr>
        <w:t>未被列入拖欠农民工工资失信联合惩戒对象名单。</w:t>
      </w:r>
    </w:p>
    <w:p w14:paraId="1CE4C182">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注：未在招标公告第九条单列的资审合格条件，不作为资审不合格的依据。</w:t>
      </w:r>
    </w:p>
    <w:p w14:paraId="1BD31EBF">
      <w:pPr>
        <w:spacing w:line="360" w:lineRule="auto"/>
        <w:ind w:firstLine="537" w:firstLineChars="224"/>
        <w:rPr>
          <w:rFonts w:ascii="宋体" w:cs="宋体"/>
          <w:color w:val="auto"/>
          <w:sz w:val="24"/>
          <w:szCs w:val="24"/>
          <w:highlight w:val="none"/>
        </w:rPr>
      </w:pPr>
      <w:r>
        <w:rPr>
          <w:rFonts w:hint="eastAsia" w:ascii="宋体" w:hAnsi="宋体" w:cs="宋体"/>
          <w:color w:val="auto"/>
          <w:sz w:val="24"/>
          <w:szCs w:val="24"/>
          <w:highlight w:val="none"/>
        </w:rPr>
        <w:t>十、资格审查方式：</w:t>
      </w:r>
    </w:p>
    <w:p w14:paraId="18230230">
      <w:pPr>
        <w:widowControl/>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4D0DE11E">
      <w:pPr>
        <w:spacing w:line="360" w:lineRule="auto"/>
        <w:ind w:firstLine="482"/>
        <w:rPr>
          <w:rFonts w:hint="eastAsia" w:ascii="宋体" w:hAnsi="宋体"/>
          <w:bCs/>
          <w:color w:val="auto"/>
          <w:sz w:val="24"/>
          <w:highlight w:val="none"/>
        </w:rPr>
      </w:pPr>
      <w:r>
        <w:rPr>
          <w:rFonts w:hint="eastAsia" w:ascii="宋体" w:hAnsi="宋体"/>
          <w:color w:val="auto"/>
          <w:sz w:val="24"/>
          <w:highlight w:val="none"/>
        </w:rPr>
        <w:t>十一、资格审查结果将在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14:paraId="3ED15ADD">
      <w:pPr>
        <w:spacing w:line="360" w:lineRule="auto"/>
        <w:ind w:firstLine="482"/>
        <w:rPr>
          <w:rFonts w:hint="eastAsia" w:ascii="宋体" w:hAnsi="宋体"/>
          <w:color w:val="auto"/>
          <w:sz w:val="24"/>
          <w:highlight w:val="none"/>
        </w:rPr>
      </w:pPr>
      <w:r>
        <w:rPr>
          <w:rFonts w:hint="eastAsia" w:ascii="宋体" w:hAnsi="宋体"/>
          <w:color w:val="auto"/>
          <w:sz w:val="24"/>
          <w:highlight w:val="none"/>
        </w:rPr>
        <w:t>十二、满足资格审查合格条件的投标人不足3名或通过有效性审查的投标人不足3名时为招标失败。招标人分析招标失败原因，修正招标方案，报有关管理部门核准后，重新组织招标。</w:t>
      </w:r>
    </w:p>
    <w:p w14:paraId="39873C77">
      <w:pPr>
        <w:spacing w:line="360" w:lineRule="auto"/>
        <w:ind w:firstLine="482"/>
        <w:rPr>
          <w:rFonts w:hint="eastAsia" w:ascii="宋体" w:hAns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9A025A4">
      <w:pPr>
        <w:spacing w:line="360" w:lineRule="auto"/>
        <w:ind w:firstLine="482"/>
        <w:rPr>
          <w:rFonts w:hint="eastAsia"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w:t>
      </w:r>
      <w:r>
        <w:rPr>
          <w:rFonts w:hint="eastAsia" w:ascii="宋体" w:hAnsi="宋体"/>
          <w:color w:val="auto"/>
          <w:sz w:val="24"/>
          <w:highlight w:val="none"/>
          <w:u w:val="single"/>
        </w:rPr>
        <w:t>广州市住建行业信用管理平台</w:t>
      </w:r>
      <w:r>
        <w:rPr>
          <w:rFonts w:hint="eastAsia" w:ascii="宋体" w:hAnsi="宋体"/>
          <w:color w:val="auto"/>
          <w:sz w:val="24"/>
          <w:highlight w:val="none"/>
        </w:rPr>
        <w:t>的，则投标人选择平台中记录的该部分上传件将被视为投标人递交投标文件的一部分，不需重复提交（</w:t>
      </w:r>
      <w:r>
        <w:rPr>
          <w:rFonts w:hint="eastAsia" w:ascii="宋体" w:hAnsi="宋体"/>
          <w:color w:val="auto"/>
          <w:sz w:val="24"/>
          <w:highlight w:val="none"/>
          <w:u w:val="single"/>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rFonts w:hint="eastAsia" w:ascii="宋体" w:hAnsi="宋体"/>
          <w:color w:val="auto"/>
          <w:sz w:val="24"/>
          <w:highlight w:val="none"/>
        </w:rPr>
        <w:t>）。评标委员会对该部分资料的审查将以递交投标文件截止时间在</w:t>
      </w:r>
      <w:r>
        <w:rPr>
          <w:rFonts w:hint="eastAsia" w:ascii="宋体" w:hAnsi="宋体"/>
          <w:color w:val="auto"/>
          <w:sz w:val="24"/>
          <w:highlight w:val="none"/>
          <w:u w:val="single"/>
        </w:rPr>
        <w:t>广州市住建行业信用管理平台</w:t>
      </w:r>
      <w:r>
        <w:rPr>
          <w:rFonts w:hint="eastAsia" w:ascii="宋体" w:hAnsi="宋体"/>
          <w:color w:val="auto"/>
          <w:sz w:val="24"/>
          <w:highlight w:val="none"/>
        </w:rPr>
        <w:t>内上传件为依据。若招标人延长递交投标文件截止时间的，以上资料的评审时点也相应延长。投标人应及时维护其在</w:t>
      </w:r>
      <w:r>
        <w:rPr>
          <w:rFonts w:hint="eastAsia" w:ascii="宋体" w:hAnsi="宋体"/>
          <w:color w:val="auto"/>
          <w:sz w:val="24"/>
          <w:highlight w:val="none"/>
          <w:u w:val="single"/>
        </w:rPr>
        <w:t>广州市住建行业信用管理平台</w:t>
      </w:r>
      <w:r>
        <w:rPr>
          <w:rFonts w:hint="eastAsia" w:ascii="宋体" w:hAnsi="宋体"/>
          <w:color w:val="auto"/>
          <w:sz w:val="24"/>
          <w:highlight w:val="none"/>
        </w:rPr>
        <w:t>登记的信息及上传件，确保各项信息及上传件在有效期内。</w:t>
      </w:r>
    </w:p>
    <w:p w14:paraId="795985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71EC25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异议受理部门： 广建（广州）地产开发有限公司</w:t>
      </w:r>
    </w:p>
    <w:p w14:paraId="710057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    址：广州市花都区新华街望岗路2号之-（办公地址：广州市环市东路338号银政大厦5楼 ）</w:t>
      </w:r>
    </w:p>
    <w:p w14:paraId="145CA4E0">
      <w:pPr>
        <w:pStyle w:val="11"/>
        <w:spacing w:line="360" w:lineRule="auto"/>
        <w:ind w:firstLine="480" w:firstLineChars="200"/>
        <w:rPr>
          <w:rFonts w:hint="eastAsia" w:hAnsi="宋体"/>
          <w:color w:val="auto"/>
          <w:sz w:val="24"/>
          <w:szCs w:val="22"/>
          <w:highlight w:val="none"/>
        </w:rPr>
      </w:pPr>
      <w:r>
        <w:rPr>
          <w:rFonts w:hint="eastAsia" w:hAnsi="宋体"/>
          <w:color w:val="auto"/>
          <w:sz w:val="24"/>
          <w:highlight w:val="none"/>
        </w:rPr>
        <w:t xml:space="preserve">联系人：刘工      联系电话：020-83868988 </w:t>
      </w:r>
    </w:p>
    <w:p w14:paraId="5E6C9349">
      <w:pPr>
        <w:pStyle w:val="11"/>
        <w:spacing w:line="360" w:lineRule="auto"/>
        <w:ind w:firstLine="480" w:firstLineChars="200"/>
        <w:rPr>
          <w:rFonts w:hint="eastAsia" w:hAnsi="宋体"/>
          <w:color w:val="auto"/>
          <w:sz w:val="24"/>
          <w:szCs w:val="22"/>
          <w:highlight w:val="none"/>
        </w:rPr>
      </w:pPr>
      <w:r>
        <w:rPr>
          <w:rFonts w:hint="eastAsia" w:hAnsi="宋体"/>
          <w:color w:val="auto"/>
          <w:sz w:val="24"/>
          <w:szCs w:val="22"/>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AE695BA">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olor w:val="auto"/>
          <w:sz w:val="24"/>
          <w:highlight w:val="none"/>
        </w:rPr>
        <w:t>十六、</w:t>
      </w:r>
      <w:r>
        <w:rPr>
          <w:rFonts w:hint="eastAsia" w:ascii="宋体" w:hAnsi="宋体" w:eastAsia="宋体" w:cs="Times New Roman"/>
          <w:color w:val="auto"/>
          <w:sz w:val="24"/>
          <w:highlight w:val="none"/>
        </w:rPr>
        <w:t>本公告在广州交易集团有限公司（广州公共资源交易中心）（网址：http://www.gzggzy.cn）、</w:t>
      </w:r>
      <w:r>
        <w:rPr>
          <w:rFonts w:hint="eastAsia" w:ascii="宋体" w:hAnsi="宋体" w:eastAsia="宋体" w:cs="Times New Roman"/>
          <w:i w:val="0"/>
          <w:iCs w:val="0"/>
          <w:caps w:val="0"/>
          <w:color w:val="auto"/>
          <w:spacing w:val="0"/>
          <w:sz w:val="24"/>
          <w:szCs w:val="22"/>
          <w:highlight w:val="none"/>
          <w:shd w:val="clear" w:color="auto" w:fill="auto"/>
        </w:rPr>
        <w:t>广州国企阳光采购信息发布平台(网址：http://ygcg.gzggzy.cn/)</w:t>
      </w:r>
      <w:r>
        <w:rPr>
          <w:rFonts w:hint="eastAsia" w:ascii="宋体" w:hAnsi="宋体" w:eastAsia="宋体" w:cs="Times New Roman"/>
          <w:i w:val="0"/>
          <w:iCs w:val="0"/>
          <w:caps w:val="0"/>
          <w:color w:val="auto"/>
          <w:spacing w:val="0"/>
          <w:sz w:val="24"/>
          <w:szCs w:val="22"/>
          <w:highlight w:val="none"/>
          <w:shd w:val="clear" w:color="auto" w:fill="auto"/>
          <w:lang w:eastAsia="zh-CN"/>
        </w:rPr>
        <w:t>、</w:t>
      </w:r>
      <w:r>
        <w:rPr>
          <w:rFonts w:hint="eastAsia" w:ascii="宋体" w:hAnsi="宋体" w:eastAsia="宋体" w:cs="Times New Roman"/>
          <w:color w:val="auto"/>
          <w:sz w:val="24"/>
          <w:highlight w:val="none"/>
        </w:rPr>
        <w:t>广东省招标投标监管网（网址：http://zbtb.gd.gov.cn）和中国招标投标公共服务平台（网址：http://www.cebpubservice.com</w:t>
      </w:r>
      <w:r>
        <w:rPr>
          <w:rFonts w:hint="eastAsia" w:ascii="宋体" w:hAnsi="宋体" w:eastAsia="宋体" w:cs="Times New Roman"/>
          <w:i w:val="0"/>
          <w:iCs w:val="0"/>
          <w:caps w:val="0"/>
          <w:color w:val="auto"/>
          <w:spacing w:val="0"/>
          <w:sz w:val="24"/>
          <w:szCs w:val="22"/>
          <w:highlight w:val="none"/>
          <w:shd w:val="clear" w:color="auto" w:fill="auto"/>
        </w:rPr>
        <w:t>/）发布</w:t>
      </w:r>
      <w:r>
        <w:rPr>
          <w:rFonts w:hint="eastAsia" w:ascii="宋体" w:hAnsi="宋体" w:eastAsia="宋体" w:cs="Times New Roman"/>
          <w:i w:val="0"/>
          <w:iCs w:val="0"/>
          <w:caps w:val="0"/>
          <w:color w:val="auto"/>
          <w:spacing w:val="0"/>
          <w:sz w:val="24"/>
          <w:szCs w:val="22"/>
          <w:highlight w:val="none"/>
          <w:shd w:val="clear" w:color="auto" w:fill="auto"/>
          <w:lang w:eastAsia="zh-CN"/>
        </w:rPr>
        <w:t>，</w:t>
      </w:r>
      <w:r>
        <w:rPr>
          <w:rFonts w:hint="eastAsia" w:ascii="宋体" w:hAnsi="宋体" w:eastAsia="宋体" w:cs="Times New Roman"/>
          <w:i w:val="0"/>
          <w:iCs w:val="0"/>
          <w:caps w:val="0"/>
          <w:color w:val="auto"/>
          <w:spacing w:val="0"/>
          <w:sz w:val="24"/>
          <w:szCs w:val="22"/>
          <w:highlight w:val="none"/>
          <w:shd w:val="clear" w:color="auto" w:fill="auto"/>
        </w:rPr>
        <w:t>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14:paraId="4A6C68DE">
      <w:pPr>
        <w:spacing w:line="360" w:lineRule="auto"/>
        <w:ind w:firstLine="482"/>
        <w:rPr>
          <w:rFonts w:hint="eastAsia" w:ascii="宋体" w:hAns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408E2A6C">
      <w:pPr>
        <w:spacing w:line="360" w:lineRule="auto"/>
        <w:ind w:firstLine="482"/>
        <w:rPr>
          <w:rFonts w:hint="eastAsia"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w:t>
      </w:r>
      <w:r>
        <w:rPr>
          <w:rFonts w:hint="eastAsia" w:ascii="宋体" w:hAnsi="宋体"/>
          <w:bCs/>
          <w:color w:val="auto"/>
          <w:sz w:val="24"/>
          <w:highlight w:val="none"/>
        </w:rPr>
        <w:t>本工程根据国家和省有关计价规范设置最高投标限价。</w:t>
      </w:r>
      <w:r>
        <w:rPr>
          <w:rFonts w:hint="eastAsia" w:ascii="宋体" w:hAnsi="宋体"/>
          <w:color w:val="auto"/>
          <w:sz w:val="24"/>
          <w:highlight w:val="none"/>
        </w:rPr>
        <w:t>招标公告发布之日起计算编制投标文件时间，编制投标文件的时间不得少于20天。</w:t>
      </w:r>
    </w:p>
    <w:p w14:paraId="4D326F47">
      <w:pPr>
        <w:spacing w:line="360" w:lineRule="auto"/>
        <w:ind w:firstLine="482"/>
        <w:rPr>
          <w:rFonts w:ascii="宋体" w:hAnsi="宋体"/>
          <w:color w:val="auto"/>
          <w:sz w:val="24"/>
          <w:highlight w:val="none"/>
        </w:rPr>
      </w:pPr>
      <w:r>
        <w:rPr>
          <w:rFonts w:hint="eastAsia" w:ascii="宋体" w:hAnsi="宋体"/>
          <w:color w:val="auto"/>
          <w:sz w:val="24"/>
          <w:highlight w:val="none"/>
        </w:rPr>
        <w:t>十九、《投诉处理决定书》和《行政处理决定书》在广州市住房和城乡建设局网站上公布的，视为送达其他与决定书有关的当事人。</w:t>
      </w:r>
    </w:p>
    <w:p w14:paraId="54C5512E">
      <w:pPr>
        <w:spacing w:line="360" w:lineRule="auto"/>
        <w:ind w:firstLine="482"/>
        <w:rPr>
          <w:rFonts w:ascii="宋体" w:hAnsi="宋体"/>
          <w:color w:val="auto"/>
          <w:sz w:val="24"/>
          <w:highlight w:val="none"/>
        </w:rPr>
      </w:pPr>
      <w:r>
        <w:rPr>
          <w:rFonts w:hint="eastAsia" w:ascii="宋体" w:hAnsi="宋体"/>
          <w:color w:val="auto"/>
          <w:sz w:val="24"/>
          <w:highlight w:val="none"/>
        </w:rPr>
        <w:t>特别提示：投标人在本项目招标人的工程项目中存在下列行为的，将被拒绝六个月内参与招标人后续工程投标。（注：拒绝投标时限由招标人视严重程度确定，最低三个月起，自招标人发出通知之日起计）：</w:t>
      </w:r>
    </w:p>
    <w:p w14:paraId="598191DF">
      <w:pPr>
        <w:spacing w:line="360" w:lineRule="auto"/>
        <w:ind w:firstLine="482"/>
        <w:rPr>
          <w:rFonts w:hint="eastAsia" w:ascii="宋体" w:hAnsi="宋体"/>
          <w:color w:val="auto"/>
          <w:sz w:val="24"/>
          <w:highlight w:val="none"/>
        </w:rPr>
      </w:pPr>
      <w:r>
        <w:rPr>
          <w:rFonts w:hint="eastAsia" w:ascii="宋体" w:hAnsi="宋体"/>
          <w:color w:val="auto"/>
          <w:sz w:val="24"/>
          <w:highlight w:val="none"/>
        </w:rPr>
        <w:t>（一）将中标工程转包或者违法分包的；</w:t>
      </w:r>
    </w:p>
    <w:p w14:paraId="77F3BFA1">
      <w:pPr>
        <w:spacing w:line="360" w:lineRule="auto"/>
        <w:ind w:firstLine="482"/>
        <w:rPr>
          <w:rFonts w:hint="eastAsia" w:ascii="宋体" w:hAnsi="宋体"/>
          <w:color w:val="auto"/>
          <w:sz w:val="24"/>
          <w:highlight w:val="none"/>
        </w:rPr>
      </w:pPr>
      <w:r>
        <w:rPr>
          <w:rFonts w:hint="eastAsia" w:ascii="宋体" w:hAnsi="宋体"/>
          <w:color w:val="auto"/>
          <w:sz w:val="24"/>
          <w:highlight w:val="none"/>
        </w:rPr>
        <w:t>（二）存在围标或串通投标情形的；</w:t>
      </w:r>
    </w:p>
    <w:p w14:paraId="5670ACE6">
      <w:pPr>
        <w:spacing w:line="360" w:lineRule="auto"/>
        <w:ind w:firstLine="482"/>
        <w:rPr>
          <w:rFonts w:hint="eastAsia" w:ascii="宋体" w:hAnsi="宋体"/>
          <w:color w:val="auto"/>
          <w:sz w:val="24"/>
          <w:highlight w:val="none"/>
        </w:rPr>
      </w:pPr>
      <w:r>
        <w:rPr>
          <w:rFonts w:hint="eastAsia" w:ascii="宋体" w:hAnsi="宋体"/>
          <w:color w:val="auto"/>
          <w:sz w:val="24"/>
          <w:highlight w:val="none"/>
        </w:rPr>
        <w:t>（三）存在弄虚作假骗取中标、行贿情形的；</w:t>
      </w:r>
    </w:p>
    <w:p w14:paraId="0BCCBE39">
      <w:pPr>
        <w:spacing w:line="360" w:lineRule="auto"/>
        <w:ind w:firstLine="482"/>
        <w:rPr>
          <w:rFonts w:hint="eastAsia" w:ascii="宋体" w:hAnsi="宋体"/>
          <w:color w:val="auto"/>
          <w:sz w:val="24"/>
          <w:highlight w:val="none"/>
        </w:rPr>
      </w:pPr>
      <w:r>
        <w:rPr>
          <w:rFonts w:hint="eastAsia" w:ascii="宋体" w:hAnsi="宋体"/>
          <w:color w:val="auto"/>
          <w:sz w:val="24"/>
          <w:highlight w:val="none"/>
        </w:rPr>
        <w:t>（四）在中标工程中不执行质量、安全生产相关规定，造成质量或安全事故的；</w:t>
      </w:r>
    </w:p>
    <w:p w14:paraId="1472FBD6">
      <w:pPr>
        <w:spacing w:line="360" w:lineRule="auto"/>
        <w:ind w:firstLine="482"/>
        <w:rPr>
          <w:rFonts w:hint="eastAsia" w:ascii="宋体" w:hAnsi="宋体"/>
          <w:color w:val="auto"/>
          <w:sz w:val="24"/>
          <w:highlight w:val="none"/>
        </w:rPr>
      </w:pPr>
      <w:r>
        <w:rPr>
          <w:rFonts w:hint="eastAsia" w:ascii="宋体" w:hAnsi="宋体"/>
          <w:color w:val="auto"/>
          <w:sz w:val="24"/>
          <w:highlight w:val="none"/>
        </w:rPr>
        <w:t>（五）未按照国家、省、市有关建筑施工实名制管理和工人工资支付分帐管理的规定执行，被行政监管部门处罚的；</w:t>
      </w:r>
    </w:p>
    <w:p w14:paraId="684C6737">
      <w:pPr>
        <w:spacing w:line="360" w:lineRule="auto"/>
        <w:ind w:firstLine="482"/>
        <w:rPr>
          <w:rFonts w:hint="eastAsia" w:ascii="宋体" w:hAnsi="宋体"/>
          <w:color w:val="auto"/>
          <w:sz w:val="24"/>
          <w:highlight w:val="none"/>
        </w:rPr>
      </w:pPr>
      <w:r>
        <w:rPr>
          <w:rFonts w:hint="eastAsia" w:ascii="宋体" w:hAnsi="宋体"/>
          <w:color w:val="auto"/>
          <w:sz w:val="24"/>
          <w:highlight w:val="none"/>
        </w:rPr>
        <w:t>（六）由于承包人原因拖欠农民工工资的；</w:t>
      </w:r>
    </w:p>
    <w:p w14:paraId="5C2475F6">
      <w:pPr>
        <w:spacing w:line="360" w:lineRule="auto"/>
        <w:ind w:firstLine="482"/>
        <w:rPr>
          <w:rFonts w:hint="eastAsia" w:ascii="宋体" w:hAnsi="宋体"/>
          <w:color w:val="auto"/>
          <w:sz w:val="24"/>
          <w:highlight w:val="none"/>
        </w:rPr>
      </w:pPr>
      <w:r>
        <w:rPr>
          <w:rFonts w:hint="eastAsia" w:ascii="宋体" w:hAnsi="宋体"/>
          <w:color w:val="auto"/>
          <w:sz w:val="24"/>
          <w:highlight w:val="none"/>
        </w:rPr>
        <w:t>（七）承包人因合同履行过错行为被生效法律文书认定承担违约或侵权责任的；</w:t>
      </w:r>
    </w:p>
    <w:p w14:paraId="7C982E5C">
      <w:pPr>
        <w:spacing w:line="360" w:lineRule="auto"/>
        <w:ind w:firstLine="482"/>
        <w:rPr>
          <w:rFonts w:hint="eastAsia" w:ascii="宋体" w:hAnsi="宋体"/>
          <w:color w:val="auto"/>
          <w:sz w:val="24"/>
          <w:highlight w:val="none"/>
        </w:rPr>
      </w:pPr>
      <w:r>
        <w:rPr>
          <w:rFonts w:hint="eastAsia" w:ascii="宋体" w:hAnsi="宋体"/>
          <w:color w:val="auto"/>
          <w:sz w:val="24"/>
          <w:highlight w:val="none"/>
        </w:rPr>
        <w:t>（八）由于承包人原因提交竣工结算申请时间超过两年的；</w:t>
      </w:r>
    </w:p>
    <w:p w14:paraId="7E26680E">
      <w:pPr>
        <w:spacing w:line="360" w:lineRule="auto"/>
        <w:ind w:firstLine="482"/>
        <w:rPr>
          <w:rFonts w:ascii="宋体" w:hAnsi="宋体"/>
          <w:color w:val="auto"/>
          <w:sz w:val="24"/>
          <w:highlight w:val="none"/>
        </w:rPr>
      </w:pPr>
      <w:r>
        <w:rPr>
          <w:rFonts w:hint="eastAsia" w:ascii="宋体" w:hAnsi="宋体"/>
          <w:color w:val="auto"/>
          <w:sz w:val="24"/>
          <w:highlight w:val="none"/>
        </w:rPr>
        <w:t>（九）由于承包人原因未按合同约定工期完工超过两年的；</w:t>
      </w:r>
    </w:p>
    <w:p w14:paraId="33DFD62D">
      <w:pPr>
        <w:spacing w:line="360" w:lineRule="auto"/>
        <w:ind w:firstLine="482"/>
        <w:rPr>
          <w:rFonts w:ascii="宋体" w:hAnsi="宋体"/>
          <w:color w:val="auto"/>
          <w:sz w:val="24"/>
          <w:highlight w:val="none"/>
        </w:rPr>
      </w:pPr>
      <w:r>
        <w:rPr>
          <w:rFonts w:hint="eastAsia" w:ascii="宋体" w:hAnsi="宋体"/>
          <w:color w:val="auto"/>
          <w:sz w:val="24"/>
          <w:highlight w:val="none"/>
        </w:rPr>
        <w:t>（十）承包人未经发包人同意超过1年不缴纳所属项目的违约罚款的；</w:t>
      </w:r>
    </w:p>
    <w:p w14:paraId="14AB8385">
      <w:pPr>
        <w:spacing w:line="360" w:lineRule="auto"/>
        <w:ind w:firstLine="482"/>
        <w:rPr>
          <w:rFonts w:hint="eastAsia" w:ascii="宋体" w:hAnsi="宋体"/>
          <w:color w:val="auto"/>
          <w:sz w:val="24"/>
          <w:highlight w:val="none"/>
        </w:rPr>
      </w:pPr>
      <w:r>
        <w:rPr>
          <w:rFonts w:hint="eastAsia" w:ascii="宋体" w:hAnsi="宋体"/>
          <w:color w:val="auto"/>
          <w:sz w:val="24"/>
          <w:highlight w:val="none"/>
        </w:rPr>
        <w:t>（十一）承包人未经发包人同意擅自更换项目负责人的。</w:t>
      </w:r>
    </w:p>
    <w:p w14:paraId="1768FF2C">
      <w:pPr>
        <w:rPr>
          <w:rFonts w:hint="eastAsia"/>
          <w:color w:val="auto"/>
          <w:highlight w:val="none"/>
        </w:rPr>
      </w:pPr>
    </w:p>
    <w:p w14:paraId="39854945">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 标 人：</w:t>
      </w:r>
      <w:r>
        <w:rPr>
          <w:rFonts w:hint="eastAsia" w:ascii="宋体" w:hAnsi="宋体" w:cs="宋体"/>
          <w:color w:val="auto"/>
          <w:sz w:val="24"/>
          <w:szCs w:val="24"/>
          <w:highlight w:val="none"/>
          <w:u w:val="single"/>
        </w:rPr>
        <w:t>广建（广州）地产开发有限公司</w:t>
      </w:r>
      <w:r>
        <w:rPr>
          <w:rFonts w:hint="eastAsia" w:ascii="宋体" w:hAnsi="宋体" w:cs="宋体"/>
          <w:color w:val="auto"/>
          <w:sz w:val="24"/>
          <w:szCs w:val="24"/>
          <w:highlight w:val="none"/>
        </w:rPr>
        <w:t xml:space="preserve">                 </w:t>
      </w:r>
    </w:p>
    <w:p w14:paraId="26197B6E">
      <w:pPr>
        <w:tabs>
          <w:tab w:val="left" w:pos="3060"/>
        </w:tabs>
        <w:spacing w:line="360" w:lineRule="auto"/>
        <w:ind w:right="27" w:firstLine="540" w:firstLineChars="225"/>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广州建筑工程监理 有限公司</w:t>
      </w:r>
      <w:r>
        <w:rPr>
          <w:rFonts w:hint="eastAsia" w:ascii="宋体" w:hAnsi="宋体" w:cs="宋体"/>
          <w:color w:val="auto"/>
          <w:sz w:val="24"/>
          <w:szCs w:val="24"/>
          <w:highlight w:val="none"/>
        </w:rPr>
        <w:t xml:space="preserve">                    </w:t>
      </w:r>
    </w:p>
    <w:p w14:paraId="41B95D1A">
      <w:pPr>
        <w:wordWrap w:val="0"/>
        <w:spacing w:line="360" w:lineRule="auto"/>
        <w:ind w:right="480"/>
        <w:jc w:val="right"/>
        <w:rPr>
          <w:rFonts w:ascii="宋体" w:hAnsi="宋体" w:cs="宋体"/>
          <w:color w:val="auto"/>
          <w:sz w:val="24"/>
          <w:szCs w:val="24"/>
          <w:highlight w:val="none"/>
        </w:rPr>
      </w:pPr>
      <w:r>
        <w:rPr>
          <w:rFonts w:hint="eastAsia" w:ascii="宋体" w:hAnsi="宋体" w:cs="宋体"/>
          <w:color w:val="auto"/>
          <w:kern w:val="0"/>
          <w:sz w:val="24"/>
          <w:szCs w:val="24"/>
          <w:highlight w:val="none"/>
        </w:rPr>
        <w:t>2024</w:t>
      </w: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   日</w:t>
      </w:r>
    </w:p>
    <w:p w14:paraId="2C07E991">
      <w:pPr>
        <w:spacing w:line="360" w:lineRule="auto"/>
        <w:ind w:firstLine="537" w:firstLineChars="224"/>
        <w:rPr>
          <w:rFonts w:ascii="宋体"/>
          <w:color w:val="auto"/>
          <w:sz w:val="24"/>
          <w:highlight w:val="none"/>
        </w:rPr>
      </w:pPr>
    </w:p>
    <w:p w14:paraId="4E8CE764">
      <w:pPr>
        <w:rPr>
          <w:color w:val="auto"/>
          <w:highlight w:val="none"/>
        </w:rPr>
        <w:sectPr>
          <w:footerReference r:id="rId4" w:type="default"/>
          <w:endnotePr>
            <w:numFmt w:val="decimal"/>
          </w:endnotePr>
          <w:pgSz w:w="11906" w:h="16838"/>
          <w:pgMar w:top="1440" w:right="1134" w:bottom="1440" w:left="1134" w:header="851" w:footer="992" w:gutter="0"/>
          <w:pgNumType w:start="1"/>
          <w:cols w:space="720" w:num="1"/>
          <w:docGrid w:type="lines" w:linePitch="312" w:charSpace="0"/>
        </w:sectPr>
      </w:pPr>
    </w:p>
    <w:p w14:paraId="6EECD909">
      <w:pPr>
        <w:spacing w:line="360" w:lineRule="auto"/>
        <w:rPr>
          <w:b/>
          <w:color w:val="auto"/>
          <w:sz w:val="44"/>
          <w:highlight w:val="none"/>
        </w:rPr>
      </w:pPr>
      <w:r>
        <w:rPr>
          <w:rFonts w:hint="eastAsia" w:ascii="宋体" w:hAnsi="宋体"/>
          <w:color w:val="auto"/>
          <w:sz w:val="24"/>
          <w:highlight w:val="none"/>
        </w:rPr>
        <w:t>附件一：</w:t>
      </w:r>
    </w:p>
    <w:p w14:paraId="329ED18A">
      <w:pPr>
        <w:spacing w:line="360" w:lineRule="auto"/>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73A9A029">
      <w:pPr>
        <w:spacing w:line="360" w:lineRule="auto"/>
        <w:jc w:val="center"/>
        <w:rPr>
          <w:b/>
          <w:color w:val="auto"/>
          <w:sz w:val="44"/>
          <w:szCs w:val="44"/>
          <w:highlight w:val="none"/>
        </w:rPr>
      </w:pPr>
    </w:p>
    <w:p w14:paraId="7E339D4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14:paraId="14922B3C">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14:paraId="01193919">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2A45378C">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48F52698">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0177DB84">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779E02E5">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7ECF236B">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5FD2E482">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31BCD48C">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6D0A23A5">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70906AD3">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C2F7FB7">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78F8877C">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4FE7558C">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4B867EE4">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DA6479C">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082E70B1">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5223E1EB">
      <w:pPr>
        <w:pStyle w:val="4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2920D03">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0302B9F6">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w:t>
      </w:r>
      <w:r>
        <w:rPr>
          <w:rFonts w:hint="eastAsia" w:ascii="宋体" w:hAnsi="宋体" w:eastAsia="宋体"/>
          <w:bCs/>
          <w:color w:val="auto"/>
          <w:sz w:val="21"/>
          <w:szCs w:val="21"/>
          <w:highlight w:val="none"/>
        </w:rPr>
        <w:t>任施工单位项目负责人，本项目拟派的专职</w:t>
      </w:r>
      <w:r>
        <w:rPr>
          <w:rFonts w:hint="eastAsia" w:ascii="宋体" w:hAnsi="宋体" w:eastAsia="宋体"/>
          <w:color w:val="auto"/>
          <w:sz w:val="21"/>
          <w:szCs w:val="21"/>
          <w:highlight w:val="none"/>
        </w:rPr>
        <w:t>安全员没有在其他在建项目中任职。</w:t>
      </w:r>
    </w:p>
    <w:p w14:paraId="47AF6804">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7E9287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7982E19">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935404D">
      <w:pPr>
        <w:pStyle w:val="40"/>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14:paraId="0300CF18">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D4A274B">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D7618B4">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BF46DD1">
      <w:pPr>
        <w:pStyle w:val="4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3E0535D5">
      <w:pPr>
        <w:pStyle w:val="39"/>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14:paraId="1F89BA00">
      <w:pPr>
        <w:pStyle w:val="40"/>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14:paraId="229EC60F">
      <w:pPr>
        <w:pStyle w:val="40"/>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469BA097">
      <w:pPr>
        <w:pStyle w:val="40"/>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7EF9EFE1">
      <w:pPr>
        <w:pStyle w:val="40"/>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14:paraId="0035DA9B">
      <w:pPr>
        <w:pStyle w:val="40"/>
        <w:ind w:right="879" w:firstLine="5040" w:firstLineChars="2400"/>
        <w:jc w:val="left"/>
        <w:outlineLvl w:val="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14:paraId="1CBDCA7F">
      <w:pPr>
        <w:widowControl/>
        <w:spacing w:line="360" w:lineRule="auto"/>
        <w:ind w:right="102"/>
        <w:jc w:val="left"/>
        <w:rPr>
          <w:rFonts w:ascii="宋体" w:hAnsi="宋体"/>
          <w:color w:val="auto"/>
          <w:kern w:val="0"/>
          <w:szCs w:val="21"/>
          <w:highlight w:val="none"/>
          <w:u w:val="single"/>
        </w:rPr>
      </w:pPr>
    </w:p>
    <w:p w14:paraId="02015FD6">
      <w:pPr>
        <w:widowControl/>
        <w:spacing w:line="379" w:lineRule="exact"/>
        <w:ind w:right="102"/>
        <w:jc w:val="left"/>
        <w:rPr>
          <w:rFonts w:ascii="宋体" w:hAnsi="宋体"/>
          <w:color w:val="auto"/>
          <w:szCs w:val="21"/>
          <w:highlight w:val="none"/>
        </w:rPr>
      </w:pPr>
      <w:r>
        <w:rPr>
          <w:rFonts w:hint="eastAsia" w:ascii="宋体" w:hAnsi="宋体"/>
          <w:color w:val="auto"/>
          <w:kern w:val="0"/>
          <w:szCs w:val="21"/>
          <w:highlight w:val="none"/>
          <w:u w:val="single"/>
        </w:rPr>
        <w:t xml:space="preserve">注：招标人应当要求投标人的法定代表人、项目负责人和技术负责人签字。 </w:t>
      </w:r>
      <w:r>
        <w:rPr>
          <w:rFonts w:ascii="宋体" w:hAnsi="宋体"/>
          <w:b/>
          <w:bCs/>
          <w:color w:val="auto"/>
          <w:szCs w:val="21"/>
          <w:highlight w:val="none"/>
        </w:rPr>
        <w:t>如联合体投标的，</w:t>
      </w:r>
      <w:r>
        <w:rPr>
          <w:rFonts w:hint="eastAsia" w:ascii="宋体" w:hAnsi="宋体"/>
          <w:b/>
          <w:bCs/>
          <w:color w:val="auto"/>
          <w:szCs w:val="21"/>
          <w:highlight w:val="none"/>
        </w:rPr>
        <w:t>法定代表人</w:t>
      </w:r>
      <w:r>
        <w:rPr>
          <w:rFonts w:ascii="宋体" w:hAnsi="宋体"/>
          <w:b/>
          <w:bCs/>
          <w:color w:val="auto"/>
          <w:szCs w:val="21"/>
          <w:highlight w:val="none"/>
        </w:rPr>
        <w:t>签字由联合体主办方提供。</w:t>
      </w:r>
    </w:p>
    <w:p w14:paraId="12B52ED0">
      <w:pPr>
        <w:widowControl/>
        <w:spacing w:line="360" w:lineRule="auto"/>
        <w:ind w:right="102"/>
        <w:jc w:val="left"/>
        <w:rPr>
          <w:rFonts w:hint="eastAsia" w:ascii="宋体" w:hAnsi="宋体"/>
          <w:color w:val="auto"/>
          <w:kern w:val="0"/>
          <w:szCs w:val="21"/>
          <w:highlight w:val="none"/>
          <w:u w:val="single"/>
        </w:rPr>
      </w:pPr>
    </w:p>
    <w:p w14:paraId="4ED570F9">
      <w:pPr>
        <w:widowControl/>
        <w:spacing w:line="360" w:lineRule="auto"/>
        <w:ind w:right="102"/>
        <w:jc w:val="left"/>
        <w:rPr>
          <w:rFonts w:hint="eastAsia" w:ascii="宋体" w:hAnsi="宋体"/>
          <w:color w:val="auto"/>
          <w:kern w:val="0"/>
          <w:szCs w:val="21"/>
          <w:highlight w:val="none"/>
          <w:u w:val="single"/>
        </w:rPr>
      </w:pPr>
    </w:p>
    <w:p w14:paraId="48F1BFDE">
      <w:pPr>
        <w:widowControl/>
        <w:spacing w:line="360" w:lineRule="auto"/>
        <w:ind w:right="102"/>
        <w:jc w:val="left"/>
        <w:rPr>
          <w:rFonts w:hint="eastAsia" w:ascii="宋体" w:hAnsi="宋体"/>
          <w:color w:val="auto"/>
          <w:kern w:val="0"/>
          <w:szCs w:val="21"/>
          <w:highlight w:val="none"/>
          <w:u w:val="single"/>
        </w:rPr>
      </w:pPr>
    </w:p>
    <w:p w14:paraId="6E4CD19D">
      <w:pPr>
        <w:widowControl/>
        <w:spacing w:line="360" w:lineRule="auto"/>
        <w:ind w:right="102"/>
        <w:jc w:val="left"/>
        <w:rPr>
          <w:rFonts w:hint="eastAsia" w:ascii="宋体" w:hAnsi="宋体"/>
          <w:color w:val="auto"/>
          <w:kern w:val="0"/>
          <w:szCs w:val="21"/>
          <w:highlight w:val="none"/>
          <w:u w:val="single"/>
        </w:rPr>
      </w:pPr>
    </w:p>
    <w:p w14:paraId="1EA36DB6">
      <w:pPr>
        <w:widowControl/>
        <w:spacing w:line="360" w:lineRule="auto"/>
        <w:ind w:right="102"/>
        <w:jc w:val="left"/>
        <w:rPr>
          <w:rFonts w:hint="eastAsia" w:ascii="宋体" w:hAnsi="宋体"/>
          <w:color w:val="auto"/>
          <w:kern w:val="0"/>
          <w:szCs w:val="21"/>
          <w:highlight w:val="none"/>
          <w:u w:val="single"/>
        </w:rPr>
      </w:pPr>
    </w:p>
    <w:p w14:paraId="17742073">
      <w:pPr>
        <w:widowControl/>
        <w:spacing w:line="360" w:lineRule="auto"/>
        <w:ind w:right="102"/>
        <w:jc w:val="left"/>
        <w:rPr>
          <w:rFonts w:hint="eastAsia" w:ascii="宋体" w:hAnsi="宋体"/>
          <w:color w:val="auto"/>
          <w:kern w:val="0"/>
          <w:szCs w:val="21"/>
          <w:highlight w:val="none"/>
          <w:u w:val="single"/>
        </w:rPr>
      </w:pPr>
    </w:p>
    <w:p w14:paraId="7383CD4D">
      <w:pPr>
        <w:widowControl/>
        <w:spacing w:line="360" w:lineRule="auto"/>
        <w:ind w:right="102"/>
        <w:jc w:val="left"/>
        <w:rPr>
          <w:rFonts w:hint="eastAsia" w:ascii="宋体" w:hAnsi="宋体"/>
          <w:color w:val="auto"/>
          <w:kern w:val="0"/>
          <w:szCs w:val="21"/>
          <w:highlight w:val="none"/>
          <w:u w:val="single"/>
        </w:rPr>
      </w:pPr>
    </w:p>
    <w:p w14:paraId="02A4F4B9">
      <w:pPr>
        <w:widowControl/>
        <w:spacing w:line="360" w:lineRule="auto"/>
        <w:ind w:right="102"/>
        <w:jc w:val="left"/>
        <w:rPr>
          <w:rFonts w:hint="eastAsia" w:ascii="宋体" w:hAnsi="宋体"/>
          <w:color w:val="auto"/>
          <w:kern w:val="0"/>
          <w:szCs w:val="21"/>
          <w:highlight w:val="none"/>
          <w:u w:val="single"/>
        </w:rPr>
      </w:pPr>
    </w:p>
    <w:p w14:paraId="5C9BE1BB">
      <w:pPr>
        <w:widowControl/>
        <w:shd w:val="clear" w:color="auto" w:fill="FFFFFF"/>
        <w:spacing w:before="100" w:beforeAutospacing="1" w:line="266" w:lineRule="auto"/>
        <w:jc w:val="both"/>
        <w:rPr>
          <w:rFonts w:ascii="宋体" w:hAnsi="宋体" w:cs="宋体"/>
          <w:b/>
          <w:bCs/>
          <w:color w:val="auto"/>
          <w:kern w:val="0"/>
          <w:sz w:val="24"/>
          <w:szCs w:val="24"/>
          <w:highlight w:val="none"/>
        </w:rPr>
      </w:pPr>
    </w:p>
    <w:p w14:paraId="0DC022B8">
      <w:pPr>
        <w:spacing w:line="360" w:lineRule="auto"/>
        <w:jc w:val="both"/>
        <w:rPr>
          <w:rFonts w:hint="eastAsia" w:ascii="宋体" w:hAnsi="宋体" w:cs="宋体"/>
          <w:color w:val="auto"/>
          <w:sz w:val="24"/>
          <w:szCs w:val="24"/>
          <w:highlight w:val="none"/>
          <w:lang w:bidi="ar"/>
        </w:rPr>
      </w:pPr>
    </w:p>
    <w:p w14:paraId="2828EA8B">
      <w:pPr>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二</w:t>
      </w:r>
      <w:r>
        <w:rPr>
          <w:rFonts w:hint="eastAsia" w:ascii="宋体" w:hAnsi="宋体" w:cs="宋体"/>
          <w:color w:val="auto"/>
          <w:sz w:val="24"/>
          <w:szCs w:val="24"/>
          <w:highlight w:val="none"/>
          <w:lang w:bidi="ar"/>
        </w:rPr>
        <w:t>：</w:t>
      </w:r>
    </w:p>
    <w:p w14:paraId="55C2A1AD">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bidi="ar"/>
        </w:rPr>
        <w:t>联合体工作协议</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3"/>
      </w:tblGrid>
      <w:tr w14:paraId="7C52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3"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14:paraId="4C639753">
            <w:pPr>
              <w:spacing w:line="360" w:lineRule="auto"/>
              <w:ind w:firstLine="598" w:firstLineChars="285"/>
              <w:rPr>
                <w:rFonts w:hint="eastAsia" w:ascii="宋体" w:hAnsi="宋体" w:cs="宋体"/>
                <w:color w:val="auto"/>
                <w:highlight w:val="none"/>
              </w:rPr>
            </w:pP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(承担主要施工任务的单位名称)、</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(承担其他施工任务的单位名称)自愿组成联合体，共同参加</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投标。现就联合体投标事宜订立如下协议。</w:t>
            </w:r>
          </w:p>
          <w:p w14:paraId="72B47A35">
            <w:pPr>
              <w:spacing w:line="360" w:lineRule="auto"/>
              <w:ind w:firstLine="598" w:firstLineChars="285"/>
              <w:rPr>
                <w:rFonts w:hint="eastAsia" w:ascii="宋体" w:hAnsi="宋体" w:cs="宋体"/>
                <w:color w:val="auto"/>
                <w:highlight w:val="none"/>
              </w:rPr>
            </w:pPr>
            <w:r>
              <w:rPr>
                <w:rFonts w:hint="eastAsia" w:ascii="宋体" w:hAnsi="宋体" w:cs="宋体"/>
                <w:color w:val="auto"/>
                <w:highlight w:val="none"/>
                <w:lang w:bidi="ar"/>
              </w:rPr>
              <w:t>1、</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为联合体主办方。</w:t>
            </w:r>
            <w:r>
              <w:rPr>
                <w:rFonts w:hint="eastAsia" w:ascii="宋体" w:hAnsi="宋体" w:cs="宋体"/>
                <w:color w:val="auto"/>
                <w:highlight w:val="none"/>
                <w:u w:val="single"/>
                <w:lang w:bidi="ar"/>
              </w:rPr>
              <w:t>（联合体主办方只允许填1家单位）</w:t>
            </w:r>
          </w:p>
          <w:p w14:paraId="6D891440">
            <w:pPr>
              <w:spacing w:line="360" w:lineRule="auto"/>
              <w:ind w:firstLine="598" w:firstLineChars="285"/>
              <w:rPr>
                <w:rFonts w:hint="eastAsia" w:ascii="宋体" w:hAnsi="宋体" w:cs="宋体"/>
                <w:color w:val="auto"/>
                <w:highlight w:val="none"/>
              </w:rPr>
            </w:pPr>
            <w:r>
              <w:rPr>
                <w:rFonts w:hint="eastAsia" w:ascii="宋体" w:hAnsi="宋体" w:cs="宋体"/>
                <w:color w:val="auto"/>
                <w:highlight w:val="none"/>
                <w:lang w:bidi="ar"/>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8653F4B">
            <w:pPr>
              <w:pStyle w:val="4"/>
              <w:rPr>
                <w:color w:val="auto"/>
                <w:highlight w:val="none"/>
              </w:rPr>
            </w:pPr>
            <w:r>
              <w:rPr>
                <w:rFonts w:ascii="宋体" w:hAnsi="宋体" w:cs="宋体"/>
                <w:color w:val="auto"/>
                <w:sz w:val="21"/>
                <w:szCs w:val="22"/>
                <w:highlight w:val="none"/>
                <w:lang w:bidi="ar"/>
              </w:rPr>
              <w:t xml:space="preserve"> 3</w:t>
            </w:r>
            <w:r>
              <w:rPr>
                <w:rFonts w:hint="eastAsia" w:ascii="宋体" w:hAnsi="宋体" w:cs="宋体"/>
                <w:color w:val="auto"/>
                <w:sz w:val="21"/>
                <w:szCs w:val="22"/>
                <w:highlight w:val="none"/>
                <w:lang w:bidi="ar"/>
              </w:rPr>
              <w:t>、为确保出色、圆满完成项目施工、联合体各成员方应紧密协作，充分发挥各自优势，共建精品工程。</w:t>
            </w:r>
          </w:p>
          <w:p w14:paraId="28B39FBC">
            <w:pPr>
              <w:spacing w:line="360" w:lineRule="auto"/>
              <w:ind w:firstLine="598" w:firstLineChars="285"/>
              <w:rPr>
                <w:rFonts w:hint="eastAsia" w:ascii="宋体" w:hAnsi="宋体" w:cs="宋体"/>
                <w:color w:val="auto"/>
                <w:highlight w:val="none"/>
                <w:lang w:bidi="ar"/>
              </w:rPr>
            </w:pPr>
            <w:r>
              <w:rPr>
                <w:rFonts w:ascii="宋体" w:hAnsi="宋体" w:cs="宋体"/>
                <w:color w:val="auto"/>
                <w:highlight w:val="none"/>
                <w:lang w:bidi="ar"/>
              </w:rPr>
              <w:t>4</w:t>
            </w:r>
            <w:r>
              <w:rPr>
                <w:rFonts w:hint="eastAsia" w:ascii="宋体" w:hAnsi="宋体" w:cs="宋体"/>
                <w:color w:val="auto"/>
                <w:highlight w:val="none"/>
                <w:lang w:bidi="ar"/>
              </w:rPr>
              <w:t>、联合体将严格按照招标文件的各项要求，递交投标文件，履行合同，并对外承担连带责任。</w:t>
            </w:r>
          </w:p>
          <w:p w14:paraId="32693BFF">
            <w:pPr>
              <w:spacing w:line="360" w:lineRule="auto"/>
              <w:ind w:firstLine="598" w:firstLineChars="285"/>
              <w:rPr>
                <w:rFonts w:hint="eastAsia" w:ascii="宋体" w:hAnsi="宋体" w:cs="宋体"/>
                <w:color w:val="auto"/>
                <w:highlight w:val="none"/>
              </w:rPr>
            </w:pPr>
            <w:r>
              <w:rPr>
                <w:rFonts w:ascii="宋体" w:hAnsi="宋体" w:cs="宋体"/>
                <w:color w:val="auto"/>
                <w:highlight w:val="none"/>
                <w:lang w:bidi="ar"/>
              </w:rPr>
              <w:t>5</w:t>
            </w:r>
            <w:r>
              <w:rPr>
                <w:rFonts w:hint="eastAsia" w:ascii="宋体" w:hAnsi="宋体" w:cs="宋体"/>
                <w:color w:val="auto"/>
                <w:highlight w:val="none"/>
                <w:lang w:bidi="ar"/>
              </w:rPr>
              <w:t>、联合体各成员单位内部的职责分工如下：</w:t>
            </w:r>
          </w:p>
          <w:p w14:paraId="18EF23E9">
            <w:pPr>
              <w:spacing w:line="360" w:lineRule="auto"/>
              <w:ind w:firstLine="598" w:firstLineChars="285"/>
              <w:rPr>
                <w:rFonts w:hint="eastAsia" w:ascii="宋体" w:hAnsi="宋体" w:cs="宋体"/>
                <w:color w:val="auto"/>
                <w:highlight w:val="none"/>
              </w:rPr>
            </w:pPr>
            <w:r>
              <w:rPr>
                <w:rFonts w:hint="eastAsia" w:ascii="宋体" w:hAnsi="宋体" w:cs="宋体"/>
                <w:color w:val="auto"/>
                <w:highlight w:val="none"/>
                <w:lang w:bidi="ar"/>
              </w:rPr>
              <w:t>①</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（承担主要施工任务的单位名称）：作为本项目总负责单位，承担</w:t>
            </w:r>
            <w:r>
              <w:rPr>
                <w:rFonts w:ascii="宋体" w:hAnsi="宋体" w:cs="宋体"/>
                <w:color w:val="auto"/>
                <w:highlight w:val="none"/>
                <w:u w:val="single"/>
                <w:lang w:bidi="ar"/>
              </w:rPr>
              <w:t xml:space="preserve">      </w:t>
            </w:r>
            <w:r>
              <w:rPr>
                <w:rFonts w:ascii="宋体" w:hAnsi="宋体" w:cs="宋体"/>
                <w:color w:val="auto"/>
                <w:highlight w:val="none"/>
                <w:lang w:bidi="ar"/>
              </w:rPr>
              <w:t>等</w:t>
            </w:r>
            <w:r>
              <w:rPr>
                <w:rFonts w:hint="eastAsia" w:ascii="宋体" w:hAnsi="宋体" w:cs="宋体"/>
                <w:color w:val="auto"/>
                <w:highlight w:val="none"/>
                <w:lang w:bidi="ar"/>
              </w:rPr>
              <w:t>施工任务，对本招标项目的进度、质量、安全、投资控制、管理、协调等负</w:t>
            </w:r>
            <w:r>
              <w:rPr>
                <w:rFonts w:ascii="宋体" w:hAnsi="宋体" w:cs="宋体"/>
                <w:color w:val="auto"/>
                <w:highlight w:val="none"/>
                <w:lang w:bidi="ar"/>
              </w:rPr>
              <w:t>主要</w:t>
            </w:r>
            <w:r>
              <w:rPr>
                <w:rFonts w:hint="eastAsia" w:ascii="宋体" w:hAnsi="宋体" w:cs="宋体"/>
                <w:color w:val="auto"/>
                <w:highlight w:val="none"/>
                <w:lang w:bidi="ar"/>
              </w:rPr>
              <w:t>责</w:t>
            </w:r>
            <w:r>
              <w:rPr>
                <w:rFonts w:ascii="宋体" w:hAnsi="宋体" w:cs="宋体"/>
                <w:color w:val="auto"/>
                <w:highlight w:val="none"/>
                <w:lang w:bidi="ar"/>
              </w:rPr>
              <w:t>任</w:t>
            </w:r>
            <w:r>
              <w:rPr>
                <w:rFonts w:hint="eastAsia" w:ascii="宋体" w:hAnsi="宋体" w:cs="宋体"/>
                <w:color w:val="auto"/>
                <w:highlight w:val="none"/>
                <w:lang w:bidi="ar"/>
              </w:rPr>
              <w:t>，具体按合同要求。</w:t>
            </w:r>
          </w:p>
          <w:p w14:paraId="051E62DC">
            <w:pPr>
              <w:spacing w:line="360" w:lineRule="auto"/>
              <w:ind w:firstLine="598" w:firstLineChars="285"/>
              <w:rPr>
                <w:rFonts w:hint="eastAsia" w:ascii="宋体" w:hAnsi="宋体" w:cs="宋体"/>
                <w:color w:val="auto"/>
                <w:highlight w:val="none"/>
              </w:rPr>
            </w:pPr>
            <w:r>
              <w:rPr>
                <w:rFonts w:hint="eastAsia" w:ascii="宋体" w:hAnsi="宋体" w:cs="宋体"/>
                <w:color w:val="auto"/>
                <w:highlight w:val="none"/>
                <w:lang w:bidi="ar"/>
              </w:rPr>
              <w:t>②</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（承担其他施工任务的单位名称）：承担</w:t>
            </w:r>
            <w:r>
              <w:rPr>
                <w:rFonts w:ascii="宋体" w:hAnsi="宋体" w:cs="宋体"/>
                <w:color w:val="auto"/>
                <w:highlight w:val="none"/>
                <w:u w:val="single"/>
                <w:lang w:bidi="ar"/>
              </w:rPr>
              <w:t xml:space="preserve">      </w:t>
            </w:r>
            <w:r>
              <w:rPr>
                <w:rFonts w:ascii="宋体" w:hAnsi="宋体" w:cs="宋体"/>
                <w:color w:val="auto"/>
                <w:highlight w:val="none"/>
                <w:lang w:bidi="ar"/>
              </w:rPr>
              <w:t>等</w:t>
            </w:r>
            <w:r>
              <w:rPr>
                <w:rFonts w:hint="eastAsia" w:ascii="宋体" w:hAnsi="宋体" w:cs="宋体"/>
                <w:color w:val="auto"/>
                <w:highlight w:val="none"/>
                <w:lang w:bidi="ar"/>
              </w:rPr>
              <w:t>施工任务，实施本招标项目的</w:t>
            </w:r>
            <w:r>
              <w:rPr>
                <w:rFonts w:ascii="宋体" w:hAnsi="宋体" w:cs="宋体"/>
                <w:color w:val="auto"/>
                <w:highlight w:val="none"/>
                <w:lang w:bidi="ar"/>
              </w:rPr>
              <w:t>进</w:t>
            </w:r>
            <w:r>
              <w:rPr>
                <w:rFonts w:hint="eastAsia" w:ascii="宋体" w:hAnsi="宋体" w:cs="宋体"/>
                <w:color w:val="auto"/>
                <w:highlight w:val="none"/>
                <w:lang w:bidi="ar"/>
              </w:rPr>
              <w:t>度、质量、安全、投资控制等责任</w:t>
            </w:r>
            <w:r>
              <w:rPr>
                <w:rFonts w:ascii="宋体" w:hAnsi="宋体" w:cs="宋体"/>
                <w:color w:val="auto"/>
                <w:highlight w:val="none"/>
                <w:lang w:bidi="ar"/>
              </w:rPr>
              <w:t>，</w:t>
            </w:r>
            <w:r>
              <w:rPr>
                <w:rFonts w:hint="eastAsia" w:ascii="宋体" w:hAnsi="宋体" w:cs="宋体"/>
                <w:color w:val="auto"/>
                <w:highlight w:val="none"/>
                <w:lang w:bidi="ar"/>
              </w:rPr>
              <w:t>具体按合同要求</w:t>
            </w:r>
            <w:r>
              <w:rPr>
                <w:rFonts w:ascii="宋体" w:hAnsi="宋体" w:cs="宋体"/>
                <w:color w:val="auto"/>
                <w:highlight w:val="none"/>
                <w:lang w:bidi="ar"/>
              </w:rPr>
              <w:t>，</w:t>
            </w:r>
            <w:r>
              <w:rPr>
                <w:rFonts w:hint="eastAsia" w:ascii="宋体" w:hAnsi="宋体" w:cs="宋体"/>
                <w:color w:val="auto"/>
                <w:highlight w:val="none"/>
                <w:lang w:bidi="ar"/>
              </w:rPr>
              <w:t>并积极配合主办方，保证各项工作所需资源供给。</w:t>
            </w:r>
          </w:p>
          <w:p w14:paraId="27ABF132">
            <w:pPr>
              <w:spacing w:line="360" w:lineRule="auto"/>
              <w:ind w:firstLine="598" w:firstLineChars="285"/>
              <w:rPr>
                <w:color w:val="auto"/>
                <w:highlight w:val="none"/>
              </w:rPr>
            </w:pPr>
            <w:r>
              <w:rPr>
                <w:rFonts w:ascii="宋体" w:hAnsi="宋体" w:cs="宋体"/>
                <w:color w:val="auto"/>
                <w:highlight w:val="none"/>
                <w:lang w:bidi="ar"/>
              </w:rPr>
              <w:t>6</w:t>
            </w:r>
            <w:r>
              <w:rPr>
                <w:rFonts w:hint="eastAsia" w:ascii="宋体" w:hAnsi="宋体" w:cs="宋体"/>
                <w:color w:val="auto"/>
                <w:highlight w:val="none"/>
                <w:lang w:bidi="ar"/>
              </w:rPr>
              <w:t xml:space="preserve">、本协议书自签署之日起生效，合同履行完毕后自动失效。 </w:t>
            </w:r>
          </w:p>
          <w:p w14:paraId="75B7C8E5">
            <w:pPr>
              <w:topLinePunct/>
              <w:spacing w:line="440" w:lineRule="exact"/>
              <w:rPr>
                <w:rFonts w:hint="eastAsia" w:ascii="宋体" w:hAnsi="宋体" w:cs="宋体"/>
                <w:color w:val="auto"/>
                <w:highlight w:val="none"/>
              </w:rPr>
            </w:pPr>
          </w:p>
          <w:p w14:paraId="6048AEFA">
            <w:pPr>
              <w:topLinePunct/>
              <w:spacing w:line="440" w:lineRule="exact"/>
              <w:rPr>
                <w:rFonts w:hint="eastAsia" w:ascii="宋体" w:hAnsi="宋体" w:cs="宋体"/>
                <w:color w:val="auto"/>
                <w:highlight w:val="none"/>
              </w:rPr>
            </w:pPr>
            <w:r>
              <w:rPr>
                <w:rFonts w:hint="eastAsia" w:ascii="宋体" w:hAnsi="宋体" w:cs="宋体"/>
                <w:color w:val="auto"/>
                <w:highlight w:val="none"/>
                <w:lang w:bidi="ar"/>
              </w:rPr>
              <w:t>联合体主办方名称：</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（盖单位章）</w:t>
            </w:r>
          </w:p>
          <w:p w14:paraId="3F5A6381">
            <w:pPr>
              <w:topLinePunct/>
              <w:spacing w:line="440" w:lineRule="exact"/>
              <w:rPr>
                <w:rFonts w:hint="eastAsia" w:ascii="宋体" w:hAnsi="宋体" w:cs="宋体"/>
                <w:color w:val="auto"/>
                <w:highlight w:val="none"/>
              </w:rPr>
            </w:pPr>
            <w:r>
              <w:rPr>
                <w:rFonts w:hint="eastAsia" w:ascii="宋体" w:hAnsi="宋体" w:cs="宋体"/>
                <w:color w:val="auto"/>
                <w:highlight w:val="none"/>
                <w:lang w:bidi="ar"/>
              </w:rPr>
              <w:t>法定代表人：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（签字或盖章）</w:t>
            </w:r>
          </w:p>
          <w:p w14:paraId="4D6F49CE">
            <w:pPr>
              <w:topLinePunct/>
              <w:spacing w:line="440" w:lineRule="exact"/>
              <w:rPr>
                <w:rFonts w:hint="eastAsia" w:ascii="宋体" w:hAnsi="宋体" w:cs="宋体"/>
                <w:color w:val="auto"/>
                <w:highlight w:val="none"/>
              </w:rPr>
            </w:pPr>
          </w:p>
          <w:p w14:paraId="0789CB01">
            <w:pPr>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lang w:bidi="ar"/>
              </w:rPr>
              <w:t>成员名称：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w:t>
            </w:r>
          </w:p>
          <w:p w14:paraId="2F920832">
            <w:pPr>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（签字或盖章）</w:t>
            </w:r>
          </w:p>
          <w:p w14:paraId="6482E2D5">
            <w:pPr>
              <w:rPr>
                <w:rFonts w:hint="eastAsia" w:ascii="宋体" w:hAnsi="Courier New" w:cs="Courier New"/>
                <w:color w:val="auto"/>
                <w:highlight w:val="none"/>
              </w:rPr>
            </w:pPr>
          </w:p>
          <w:p w14:paraId="52E79A58">
            <w:pPr>
              <w:autoSpaceDE w:val="0"/>
              <w:autoSpaceDN w:val="0"/>
              <w:spacing w:line="360" w:lineRule="auto"/>
              <w:jc w:val="right"/>
              <w:rPr>
                <w:rFonts w:hint="eastAsia" w:ascii="宋体" w:hAnsi="宋体" w:cs="宋体"/>
                <w:color w:val="auto"/>
                <w:highlight w:val="none"/>
              </w:rPr>
            </w:pPr>
            <w:r>
              <w:rPr>
                <w:rFonts w:hint="eastAsia" w:ascii="宋体" w:hAnsi="宋体" w:cs="宋体"/>
                <w:color w:val="auto"/>
                <w:highlight w:val="non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日</w:t>
            </w:r>
          </w:p>
          <w:p w14:paraId="0EC7405E">
            <w:pPr>
              <w:autoSpaceDE w:val="0"/>
              <w:autoSpaceDN w:val="0"/>
              <w:spacing w:line="360" w:lineRule="auto"/>
              <w:jc w:val="left"/>
              <w:rPr>
                <w:rFonts w:hint="eastAsia" w:ascii="宋体" w:hAnsi="宋体" w:cs="宋体"/>
                <w:bCs/>
                <w:color w:val="auto"/>
                <w:sz w:val="24"/>
                <w:highlight w:val="none"/>
              </w:rPr>
            </w:pPr>
            <w:r>
              <w:rPr>
                <w:rFonts w:hint="eastAsia" w:ascii="宋体" w:hAnsi="宋体" w:cs="宋体"/>
                <w:color w:val="auto"/>
                <w:highlight w:val="none"/>
                <w:lang w:bidi="ar"/>
              </w:rPr>
              <w:t>注：单独投标的，无需提交本协议书。</w:t>
            </w:r>
          </w:p>
        </w:tc>
      </w:tr>
    </w:tbl>
    <w:p w14:paraId="2A40DAFA">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5D44">
    <w:pPr>
      <w:pStyle w:val="13"/>
      <w:framePr w:wrap="around" w:vAnchor="text" w:hAnchor="margin" w:xAlign="center" w:y="1"/>
      <w:tabs>
        <w:tab w:val="clear" w:pos="4153"/>
        <w:tab w:val="clear" w:pos="8306"/>
      </w:tabs>
    </w:pPr>
    <w:r>
      <w:fldChar w:fldCharType="begin"/>
    </w:r>
    <w:r>
      <w:rPr>
        <w:rStyle w:val="22"/>
      </w:rPr>
      <w:instrText xml:space="preserve">PAGE  </w:instrText>
    </w:r>
    <w:r>
      <w:fldChar w:fldCharType="separate"/>
    </w:r>
    <w:r>
      <w:fldChar w:fldCharType="end"/>
    </w:r>
  </w:p>
  <w:p w14:paraId="252E2B84">
    <w:pPr>
      <w:pStyle w:val="1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D2F6">
    <w:pPr>
      <w:pStyle w:val="13"/>
      <w:framePr w:wrap="around" w:vAnchor="text" w:hAnchor="margin" w:xAlign="center" w:y="1"/>
      <w:tabs>
        <w:tab w:val="clear" w:pos="4153"/>
        <w:tab w:val="clear" w:pos="8306"/>
      </w:tabs>
    </w:pPr>
    <w:r>
      <w:fldChar w:fldCharType="begin"/>
    </w:r>
    <w:r>
      <w:rPr>
        <w:rStyle w:val="22"/>
      </w:rPr>
      <w:instrText xml:space="preserve">PAGE  </w:instrText>
    </w:r>
    <w:r>
      <w:fldChar w:fldCharType="separate"/>
    </w:r>
    <w:r>
      <w:rPr>
        <w:rStyle w:val="22"/>
      </w:rPr>
      <w:t>9</w:t>
    </w:r>
    <w:r>
      <w:fldChar w:fldCharType="end"/>
    </w:r>
  </w:p>
  <w:p w14:paraId="370D3462">
    <w:pPr>
      <w:pStyle w:val="13"/>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EA197"/>
    <w:multiLevelType w:val="singleLevel"/>
    <w:tmpl w:val="A35EA19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noPunctuationKerning w:val="1"/>
  <w:characterSpacingControl w:val="compressPunctuation"/>
  <w:endnotePr>
    <w:numFmt w:val="decimal"/>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DJiMGI4NWZiMWQxODgwN2NkNTk4YzhjMmNiM2EifQ=="/>
  </w:docVars>
  <w:rsids>
    <w:rsidRoot w:val="00000000"/>
    <w:rsid w:val="739A56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numPr>
        <w:ilvl w:val="1"/>
        <w:numId w:val="0"/>
      </w:numPr>
      <w:spacing w:before="120" w:after="120" w:line="415" w:lineRule="auto"/>
      <w:ind w:left="454"/>
      <w:jc w:val="center"/>
      <w:outlineLvl w:val="1"/>
    </w:pPr>
    <w:rPr>
      <w:rFonts w:ascii="Arial" w:hAnsi="Arial"/>
      <w:b/>
      <w:color w:val="000000"/>
      <w:kern w:val="0"/>
      <w:sz w:val="24"/>
      <w:szCs w:val="24"/>
    </w:rPr>
  </w:style>
  <w:style w:type="character" w:default="1" w:styleId="21">
    <w:name w:val="Default Paragraph Font"/>
    <w:link w:val="1"/>
    <w:unhideWhenUsed/>
    <w:qFormat/>
    <w:uiPriority w:val="1"/>
  </w:style>
  <w:style w:type="table" w:default="1" w:styleId="20">
    <w:name w:val="Normal Table"/>
    <w:unhideWhenUsed/>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ind w:firstLine="420"/>
    </w:pPr>
    <w:rPr>
      <w:rFonts w:ascii="Times New Roman" w:hAnsi="Times New Roman"/>
      <w:kern w:val="0"/>
      <w:sz w:val="20"/>
      <w:szCs w:val="20"/>
    </w:rPr>
  </w:style>
  <w:style w:type="paragraph" w:styleId="5">
    <w:name w:val="Document Map"/>
    <w:basedOn w:val="1"/>
    <w:link w:val="42"/>
    <w:unhideWhenUsed/>
    <w:qFormat/>
    <w:uiPriority w:val="99"/>
    <w:rPr>
      <w:rFonts w:ascii="宋体"/>
      <w:sz w:val="18"/>
      <w:szCs w:val="18"/>
    </w:rPr>
  </w:style>
  <w:style w:type="paragraph" w:styleId="6">
    <w:name w:val="annotation text"/>
    <w:basedOn w:val="1"/>
    <w:next w:val="7"/>
    <w:link w:val="46"/>
    <w:unhideWhenUsed/>
    <w:qFormat/>
    <w:uiPriority w:val="0"/>
    <w:pPr>
      <w:jc w:val="left"/>
    </w:pPr>
    <w:rPr>
      <w:rFonts w:ascii="Calibri" w:hAnsi="Calibri"/>
      <w:kern w:val="0"/>
      <w:sz w:val="20"/>
      <w:szCs w:val="20"/>
    </w:rPr>
  </w:style>
  <w:style w:type="paragraph" w:styleId="7">
    <w:name w:val="toc 5"/>
    <w:basedOn w:val="1"/>
    <w:next w:val="1"/>
    <w:qFormat/>
    <w:uiPriority w:val="0"/>
    <w:pPr>
      <w:ind w:left="800" w:leftChars="800"/>
    </w:pPr>
    <w:rPr>
      <w:rFonts w:ascii="Times New Roman" w:hAnsi="Times New Roman"/>
    </w:rPr>
  </w:style>
  <w:style w:type="paragraph" w:styleId="8">
    <w:name w:val="Body Text"/>
    <w:basedOn w:val="1"/>
    <w:link w:val="37"/>
    <w:unhideWhenUsed/>
    <w:qFormat/>
    <w:uiPriority w:val="99"/>
    <w:pPr>
      <w:spacing w:after="120"/>
    </w:pPr>
    <w:rPr>
      <w:rFonts w:ascii="Calibri" w:hAnsi="Calibri"/>
      <w:kern w:val="0"/>
      <w:sz w:val="20"/>
      <w:szCs w:val="20"/>
    </w:rPr>
  </w:style>
  <w:style w:type="paragraph" w:styleId="9">
    <w:name w:val="Body Text Indent"/>
    <w:basedOn w:val="1"/>
    <w:next w:val="10"/>
    <w:qFormat/>
    <w:uiPriority w:val="0"/>
    <w:pPr>
      <w:ind w:firstLine="570"/>
    </w:pPr>
    <w:rPr>
      <w:rFonts w:ascii="Times New Roman" w:hAnsi="Times New Roman"/>
      <w:kern w:val="0"/>
      <w:sz w:val="28"/>
      <w:szCs w:val="20"/>
    </w:rPr>
  </w:style>
  <w:style w:type="paragraph" w:styleId="10">
    <w:name w:val="envelope return"/>
    <w:basedOn w:val="1"/>
    <w:qFormat/>
    <w:uiPriority w:val="0"/>
    <w:rPr>
      <w:rFonts w:ascii="Arial" w:hAnsi="Arial" w:eastAsia="宋体" w:cs="Times New Roman"/>
      <w:szCs w:val="24"/>
      <w:lang w:bidi="ar-SA"/>
    </w:rPr>
  </w:style>
  <w:style w:type="paragraph" w:styleId="11">
    <w:name w:val="Plain Text"/>
    <w:basedOn w:val="1"/>
    <w:next w:val="1"/>
    <w:link w:val="32"/>
    <w:qFormat/>
    <w:uiPriority w:val="0"/>
    <w:rPr>
      <w:rFonts w:ascii="宋体" w:hAnsi="Courier New"/>
      <w:szCs w:val="20"/>
    </w:rPr>
  </w:style>
  <w:style w:type="paragraph" w:styleId="12">
    <w:name w:val="Balloon Text"/>
    <w:basedOn w:val="1"/>
    <w:link w:val="30"/>
    <w:unhideWhenUsed/>
    <w:qFormat/>
    <w:uiPriority w:val="99"/>
    <w:rPr>
      <w:rFonts w:ascii="Calibri" w:hAnsi="Calibri"/>
      <w:kern w:val="0"/>
      <w:sz w:val="18"/>
      <w:szCs w:val="18"/>
    </w:rPr>
  </w:style>
  <w:style w:type="paragraph" w:styleId="13">
    <w:name w:val="footer"/>
    <w:basedOn w:val="1"/>
    <w:link w:val="34"/>
    <w:unhideWhenUsed/>
    <w:qFormat/>
    <w:uiPriority w:val="0"/>
    <w:pPr>
      <w:tabs>
        <w:tab w:val="center" w:pos="4153"/>
        <w:tab w:val="right" w:pos="8306"/>
      </w:tabs>
      <w:jc w:val="left"/>
    </w:pPr>
    <w:rPr>
      <w:kern w:val="0"/>
      <w:sz w:val="18"/>
      <w:szCs w:val="18"/>
    </w:rPr>
  </w:style>
  <w:style w:type="paragraph" w:styleId="14">
    <w:name w:val="header"/>
    <w:basedOn w:val="1"/>
    <w:link w:val="29"/>
    <w:unhideWhenUsed/>
    <w:uiPriority w:val="99"/>
    <w:pPr>
      <w:pBdr>
        <w:bottom w:val="single" w:color="000000" w:sz="6" w:space="1"/>
      </w:pBdr>
      <w:tabs>
        <w:tab w:val="center" w:pos="4153"/>
        <w:tab w:val="right" w:pos="8306"/>
      </w:tabs>
      <w:jc w:val="center"/>
    </w:pPr>
    <w:rPr>
      <w:kern w:val="0"/>
      <w:sz w:val="18"/>
      <w:szCs w:val="18"/>
    </w:rPr>
  </w:style>
  <w:style w:type="paragraph" w:styleId="15">
    <w:name w:val="Body Text 2"/>
    <w:basedOn w:val="1"/>
    <w:link w:val="47"/>
    <w:qFormat/>
    <w:uiPriority w:val="0"/>
    <w:rPr>
      <w:rFonts w:ascii="宋体" w:hAnsi="宋体"/>
      <w:kern w:val="0"/>
      <w:sz w:val="20"/>
      <w:szCs w:val="24"/>
      <w:u w:val="single"/>
    </w:rPr>
  </w:style>
  <w:style w:type="paragraph" w:styleId="16">
    <w:name w:val="HTML Preformatted"/>
    <w:basedOn w:val="1"/>
    <w:link w:val="45"/>
    <w:unhideWhenUsed/>
    <w:qFormat/>
    <w:uiPriority w:val="99"/>
    <w:rPr>
      <w:rFonts w:ascii="Courier New" w:hAnsi="Courier New"/>
      <w:sz w:val="20"/>
      <w:szCs w:val="20"/>
    </w:rPr>
  </w:style>
  <w:style w:type="paragraph" w:styleId="17">
    <w:name w:val="annotation subject"/>
    <w:basedOn w:val="6"/>
    <w:next w:val="6"/>
    <w:link w:val="27"/>
    <w:unhideWhenUsed/>
    <w:qFormat/>
    <w:uiPriority w:val="99"/>
    <w:rPr>
      <w:b/>
      <w:bCs/>
    </w:rPr>
  </w:style>
  <w:style w:type="paragraph" w:styleId="18">
    <w:name w:val="Body Text First Indent"/>
    <w:basedOn w:val="8"/>
    <w:link w:val="33"/>
    <w:qFormat/>
    <w:uiPriority w:val="0"/>
    <w:pPr>
      <w:ind w:firstLine="420"/>
    </w:pPr>
    <w:rPr>
      <w:rFonts w:ascii="Times New Roman" w:hAnsi="Times New Roman"/>
    </w:rPr>
  </w:style>
  <w:style w:type="paragraph" w:styleId="19">
    <w:name w:val="Body Text First Indent 2"/>
    <w:basedOn w:val="9"/>
    <w:qFormat/>
    <w:uiPriority w:val="0"/>
    <w:pPr>
      <w:spacing w:after="120" w:line="240" w:lineRule="auto"/>
      <w:ind w:left="200" w:leftChars="200" w:firstLine="200" w:firstLineChars="200"/>
    </w:pPr>
    <w:rPr>
      <w:rFonts w:ascii="Calibri" w:hAnsi="Calibri"/>
      <w:color w:val="0D0D0D"/>
      <w:kern w:val="2"/>
      <w:sz w:val="21"/>
      <w:szCs w:val="24"/>
      <w:lang w:eastAsia="en-US"/>
    </w:rPr>
  </w:style>
  <w:style w:type="character" w:styleId="22">
    <w:name w:val="page number"/>
    <w:link w:val="1"/>
    <w:qFormat/>
    <w:uiPriority w:val="0"/>
    <w:rPr>
      <w:rFonts w:cs="Times New Roman"/>
    </w:rPr>
  </w:style>
  <w:style w:type="character" w:styleId="23">
    <w:name w:val="Hyperlink"/>
    <w:link w:val="1"/>
    <w:unhideWhenUsed/>
    <w:qFormat/>
    <w:uiPriority w:val="99"/>
    <w:rPr>
      <w:color w:val="0000FF"/>
      <w:u w:val="single"/>
    </w:rPr>
  </w:style>
  <w:style w:type="character" w:styleId="24">
    <w:name w:val="annotation reference"/>
    <w:link w:val="1"/>
    <w:unhideWhenUsed/>
    <w:qFormat/>
    <w:uiPriority w:val="99"/>
    <w:rPr>
      <w:sz w:val="21"/>
      <w:szCs w:val="21"/>
    </w:rPr>
  </w:style>
  <w:style w:type="paragraph" w:customStyle="1" w:styleId="25">
    <w:name w:val="Other|1"/>
    <w:basedOn w:val="1"/>
    <w:qFormat/>
    <w:uiPriority w:val="0"/>
    <w:pPr>
      <w:widowControl w:val="0"/>
      <w:shd w:val="clear" w:color="auto" w:fill="auto"/>
      <w:spacing w:line="228" w:lineRule="exact"/>
    </w:pPr>
    <w:rPr>
      <w:rFonts w:ascii="宋体" w:hAnsi="宋体" w:eastAsia="宋体" w:cs="宋体"/>
      <w:sz w:val="17"/>
      <w:szCs w:val="17"/>
      <w:u w:val="none"/>
      <w:shd w:val="clear" w:color="auto" w:fill="auto"/>
      <w:lang w:val="zh-TW" w:eastAsia="zh-TW" w:bidi="zh-TW"/>
    </w:rPr>
  </w:style>
  <w:style w:type="character" w:customStyle="1" w:styleId="26">
    <w:name w:val="font21"/>
    <w:qFormat/>
    <w:uiPriority w:val="0"/>
    <w:rPr>
      <w:rFonts w:hint="eastAsia" w:ascii="仿宋" w:hAnsi="仿宋" w:eastAsia="仿宋" w:cs="仿宋"/>
      <w:b/>
      <w:color w:val="000000"/>
      <w:sz w:val="28"/>
      <w:szCs w:val="28"/>
      <w:u w:val="none"/>
    </w:rPr>
  </w:style>
  <w:style w:type="character" w:customStyle="1" w:styleId="27">
    <w:name w:val="批注主题 字符"/>
    <w:link w:val="17"/>
    <w:semiHidden/>
    <w:qFormat/>
    <w:uiPriority w:val="99"/>
    <w:rPr>
      <w:rFonts w:ascii="Calibri" w:hAnsi="Calibri" w:eastAsia="宋体" w:cs="Times New Roman"/>
      <w:b/>
      <w:bCs/>
    </w:rPr>
  </w:style>
  <w:style w:type="paragraph" w:customStyle="1" w:styleId="28">
    <w:name w:val="列表段落"/>
    <w:basedOn w:val="1"/>
    <w:qFormat/>
    <w:uiPriority w:val="34"/>
    <w:pPr>
      <w:ind w:firstLine="420" w:firstLineChars="200"/>
    </w:pPr>
    <w:rPr>
      <w:rFonts w:eastAsia="楷体"/>
      <w:color w:val="000000"/>
      <w:kern w:val="1"/>
      <w:szCs w:val="20"/>
    </w:rPr>
  </w:style>
  <w:style w:type="character" w:customStyle="1" w:styleId="29">
    <w:name w:val="页眉 字符"/>
    <w:link w:val="14"/>
    <w:qFormat/>
    <w:uiPriority w:val="99"/>
    <w:rPr>
      <w:sz w:val="18"/>
      <w:szCs w:val="18"/>
    </w:rPr>
  </w:style>
  <w:style w:type="character" w:customStyle="1" w:styleId="30">
    <w:name w:val="批注框文本 字符"/>
    <w:link w:val="12"/>
    <w:semiHidden/>
    <w:qFormat/>
    <w:uiPriority w:val="99"/>
    <w:rPr>
      <w:rFonts w:ascii="Calibri" w:hAnsi="Calibri" w:eastAsia="宋体" w:cs="Times New Roman"/>
      <w:sz w:val="18"/>
      <w:szCs w:val="18"/>
    </w:rPr>
  </w:style>
  <w:style w:type="paragraph" w:customStyle="1" w:styleId="31">
    <w:name w:val="文一"/>
    <w:basedOn w:val="1"/>
    <w:qFormat/>
    <w:uiPriority w:val="0"/>
    <w:pPr>
      <w:topLinePunct/>
      <w:spacing w:line="360" w:lineRule="auto"/>
      <w:ind w:firstLine="200" w:firstLineChars="200"/>
    </w:pPr>
    <w:rPr>
      <w:spacing w:val="4"/>
      <w:kern w:val="0"/>
      <w:sz w:val="24"/>
      <w:szCs w:val="24"/>
    </w:rPr>
  </w:style>
  <w:style w:type="character" w:customStyle="1" w:styleId="32">
    <w:name w:val="纯文本 字符"/>
    <w:link w:val="11"/>
    <w:qFormat/>
    <w:uiPriority w:val="0"/>
    <w:rPr>
      <w:rFonts w:ascii="宋体" w:hAnsi="Courier New"/>
      <w:kern w:val="2"/>
      <w:sz w:val="21"/>
    </w:rPr>
  </w:style>
  <w:style w:type="character" w:customStyle="1" w:styleId="33">
    <w:name w:val="正文文本首行缩进 字符"/>
    <w:link w:val="18"/>
    <w:qFormat/>
    <w:uiPriority w:val="0"/>
    <w:rPr>
      <w:rFonts w:ascii="Times New Roman" w:hAnsi="Times New Roman" w:eastAsia="宋体" w:cs="Times New Roman"/>
      <w:szCs w:val="20"/>
    </w:rPr>
  </w:style>
  <w:style w:type="character" w:customStyle="1" w:styleId="34">
    <w:name w:val="页脚 字符"/>
    <w:link w:val="13"/>
    <w:qFormat/>
    <w:uiPriority w:val="0"/>
    <w:rPr>
      <w:sz w:val="18"/>
      <w:szCs w:val="18"/>
    </w:rPr>
  </w:style>
  <w:style w:type="character" w:customStyle="1" w:styleId="35">
    <w:name w:val="NormalCharacter1"/>
    <w:link w:val="1"/>
    <w:qFormat/>
    <w:uiPriority w:val="0"/>
    <w:rPr>
      <w:kern w:val="2"/>
      <w:sz w:val="21"/>
      <w:szCs w:val="22"/>
      <w:lang w:val="en-US" w:eastAsia="zh-CN" w:bidi="ar-SA"/>
    </w:rPr>
  </w:style>
  <w:style w:type="paragraph" w:customStyle="1" w:styleId="36">
    <w:name w:val="修订1"/>
    <w:semiHidden/>
    <w:qFormat/>
    <w:uiPriority w:val="99"/>
    <w:rPr>
      <w:rFonts w:ascii="Times New Roman" w:hAnsi="Times New Roman" w:eastAsia="宋体" w:cs="Times New Roman"/>
      <w:kern w:val="2"/>
      <w:sz w:val="21"/>
      <w:szCs w:val="22"/>
      <w:lang w:val="en-US" w:eastAsia="zh-CN" w:bidi="ar-SA"/>
    </w:rPr>
  </w:style>
  <w:style w:type="character" w:customStyle="1" w:styleId="37">
    <w:name w:val="正文文本 字符"/>
    <w:link w:val="8"/>
    <w:semiHidden/>
    <w:qFormat/>
    <w:uiPriority w:val="99"/>
    <w:rPr>
      <w:rFonts w:ascii="Calibri" w:hAnsi="Calibri" w:eastAsia="宋体" w:cs="Times New Roman"/>
    </w:rPr>
  </w:style>
  <w:style w:type="character" w:customStyle="1" w:styleId="38">
    <w:name w:val="批注文字 字符1"/>
    <w:link w:val="1"/>
    <w:qFormat/>
    <w:uiPriority w:val="0"/>
    <w:rPr>
      <w:rFonts w:eastAsia="宋体"/>
      <w:szCs w:val="24"/>
      <w:lang w:bidi="ar-SA"/>
    </w:rPr>
  </w:style>
  <w:style w:type="paragraph" w:customStyle="1" w:styleId="39">
    <w:name w:val="发文落款"/>
    <w:basedOn w:val="40"/>
    <w:qFormat/>
    <w:uiPriority w:val="0"/>
    <w:pPr>
      <w:ind w:left="4094" w:right="607" w:firstLine="0"/>
      <w:jc w:val="center"/>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41">
    <w:name w:val="font11"/>
    <w:link w:val="1"/>
    <w:qFormat/>
    <w:uiPriority w:val="0"/>
    <w:rPr>
      <w:rFonts w:hint="eastAsia" w:ascii="仿宋" w:hAnsi="仿宋" w:eastAsia="仿宋" w:cs="仿宋"/>
      <w:color w:val="000000"/>
      <w:sz w:val="28"/>
      <w:szCs w:val="28"/>
      <w:u w:val="none"/>
    </w:rPr>
  </w:style>
  <w:style w:type="character" w:customStyle="1" w:styleId="42">
    <w:name w:val="文档结构图 字符"/>
    <w:link w:val="5"/>
    <w:semiHidden/>
    <w:qFormat/>
    <w:uiPriority w:val="99"/>
    <w:rPr>
      <w:rFonts w:ascii="宋体"/>
      <w:kern w:val="2"/>
      <w:sz w:val="18"/>
      <w:szCs w:val="18"/>
    </w:rPr>
  </w:style>
  <w:style w:type="paragraph" w:customStyle="1" w:styleId="43">
    <w:name w:val="修订"/>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文二"/>
    <w:qFormat/>
    <w:uiPriority w:val="99"/>
    <w:pPr>
      <w:widowControl w:val="0"/>
    </w:pPr>
    <w:rPr>
      <w:rFonts w:ascii="宋体" w:hAnsi="宋体" w:eastAsia="等线" w:cs="等线"/>
      <w:kern w:val="2"/>
      <w:sz w:val="21"/>
      <w:szCs w:val="21"/>
      <w:lang w:val="en-US" w:eastAsia="zh-CN" w:bidi="ar-SA"/>
    </w:rPr>
  </w:style>
  <w:style w:type="character" w:customStyle="1" w:styleId="45">
    <w:name w:val="HTML 预设格式 字符"/>
    <w:link w:val="16"/>
    <w:semiHidden/>
    <w:qFormat/>
    <w:uiPriority w:val="99"/>
    <w:rPr>
      <w:rFonts w:ascii="Courier New" w:hAnsi="Courier New"/>
      <w:kern w:val="2"/>
    </w:rPr>
  </w:style>
  <w:style w:type="character" w:customStyle="1" w:styleId="46">
    <w:name w:val="批注文字 字符"/>
    <w:link w:val="6"/>
    <w:semiHidden/>
    <w:qFormat/>
    <w:uiPriority w:val="99"/>
    <w:rPr>
      <w:rFonts w:ascii="Calibri" w:hAnsi="Calibri" w:eastAsia="宋体" w:cs="Times New Roman"/>
    </w:rPr>
  </w:style>
  <w:style w:type="character" w:customStyle="1" w:styleId="47">
    <w:name w:val="正文文本 2 字符"/>
    <w:link w:val="15"/>
    <w:qFormat/>
    <w:uiPriority w:val="0"/>
    <w:rPr>
      <w:rFonts w:ascii="宋体" w:hAnsi="宋体" w:eastAsia="宋体" w:cs="Times New Roman"/>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8506</Words>
  <Characters>9039</Characters>
  <TotalTime>22</TotalTime>
  <ScaleCrop>false</ScaleCrop>
  <LinksUpToDate>false</LinksUpToDate>
  <CharactersWithSpaces>9750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2024-10-17T17:15:00Z</dcterms:created>
  <dc:creator>admin</dc:creator>
  <cp:lastModifiedBy>admin</cp:lastModifiedBy>
  <dcterms:modified xsi:type="dcterms:W3CDTF">2024-10-17T09:38:27Z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C5FC1ADFE6C44C4C8E5CB9C4FCF92229_13</vt:lpwstr>
  </property>
</Properties>
</file>