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Style w:val="32"/>
          <w:b/>
          <w:bCs/>
          <w:color w:val="auto"/>
          <w:sz w:val="44"/>
          <w:szCs w:val="44"/>
          <w:highlight w:val="none"/>
        </w:rPr>
      </w:pPr>
      <w:bookmarkStart w:id="72" w:name="_GoBack"/>
      <w:bookmarkEnd w:id="72"/>
    </w:p>
    <w:p>
      <w:pPr>
        <w:rPr>
          <w:rStyle w:val="32"/>
          <w:b/>
          <w:bCs/>
          <w:color w:val="auto"/>
          <w:sz w:val="44"/>
          <w:szCs w:val="44"/>
          <w:highlight w:val="none"/>
        </w:rPr>
      </w:pPr>
    </w:p>
    <w:p>
      <w:pPr>
        <w:pStyle w:val="14"/>
        <w:rPr>
          <w:color w:val="auto"/>
          <w:highlight w:val="none"/>
        </w:rPr>
      </w:pPr>
    </w:p>
    <w:p>
      <w:pPr>
        <w:rPr>
          <w:color w:val="auto"/>
          <w:highlight w:val="none"/>
        </w:rPr>
      </w:pPr>
    </w:p>
    <w:p>
      <w:pPr>
        <w:pStyle w:val="9"/>
        <w:ind w:firstLine="0" w:firstLineChars="0"/>
        <w:jc w:val="center"/>
        <w:rPr>
          <w:rFonts w:hint="eastAsia"/>
          <w:b/>
          <w:bCs/>
          <w:color w:val="auto"/>
          <w:sz w:val="48"/>
          <w:szCs w:val="48"/>
          <w:highlight w:val="none"/>
          <w:lang w:eastAsia="zh-CN"/>
        </w:rPr>
      </w:pPr>
      <w:r>
        <w:rPr>
          <w:rFonts w:hint="eastAsia"/>
          <w:b/>
          <w:bCs/>
          <w:color w:val="auto"/>
          <w:sz w:val="48"/>
          <w:szCs w:val="48"/>
          <w:highlight w:val="none"/>
          <w:lang w:eastAsia="zh-CN"/>
        </w:rPr>
        <w:t>广州市社会福利院龙洞院区学童楼维修工程</w:t>
      </w:r>
    </w:p>
    <w:p>
      <w:pPr>
        <w:pStyle w:val="9"/>
        <w:ind w:firstLine="0" w:firstLineChars="0"/>
        <w:jc w:val="center"/>
        <w:rPr>
          <w:rFonts w:hint="eastAsia" w:eastAsia="宋体"/>
          <w:b/>
          <w:bCs/>
          <w:color w:val="auto"/>
          <w:sz w:val="44"/>
          <w:szCs w:val="44"/>
          <w:highlight w:val="none"/>
          <w:lang w:eastAsia="zh-CN"/>
        </w:rPr>
      </w:pPr>
      <w:r>
        <w:rPr>
          <w:rFonts w:hint="eastAsia"/>
          <w:b/>
          <w:bCs/>
          <w:color w:val="auto"/>
          <w:sz w:val="48"/>
          <w:szCs w:val="48"/>
          <w:highlight w:val="none"/>
          <w:lang w:eastAsia="zh-CN"/>
        </w:rPr>
        <w:t>项目</w:t>
      </w:r>
    </w:p>
    <w:p>
      <w:pPr>
        <w:pStyle w:val="9"/>
        <w:rPr>
          <w:color w:val="auto"/>
          <w:highlight w:val="none"/>
        </w:rPr>
      </w:pPr>
    </w:p>
    <w:p>
      <w:pPr>
        <w:jc w:val="center"/>
        <w:rPr>
          <w:rStyle w:val="32"/>
          <w:b/>
          <w:bCs/>
          <w:color w:val="auto"/>
          <w:sz w:val="28"/>
          <w:szCs w:val="28"/>
          <w:highlight w:val="none"/>
        </w:rPr>
      </w:pPr>
    </w:p>
    <w:p>
      <w:pPr>
        <w:pStyle w:val="14"/>
        <w:rPr>
          <w:rStyle w:val="32"/>
          <w:b/>
          <w:bCs/>
          <w:color w:val="auto"/>
          <w:sz w:val="28"/>
          <w:szCs w:val="28"/>
          <w:highlight w:val="none"/>
        </w:rPr>
      </w:pPr>
    </w:p>
    <w:p>
      <w:pPr>
        <w:rPr>
          <w:color w:val="auto"/>
          <w:highlight w:val="none"/>
        </w:rPr>
      </w:pP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color w:val="auto"/>
          <w:highlight w:val="none"/>
        </w:rPr>
      </w:pPr>
    </w:p>
    <w:p>
      <w:pPr>
        <w:jc w:val="center"/>
        <w:rPr>
          <w:rStyle w:val="32"/>
          <w:rFonts w:hint="eastAsia"/>
          <w:b/>
          <w:bCs/>
          <w:color w:val="auto"/>
          <w:sz w:val="84"/>
          <w:szCs w:val="84"/>
          <w:highlight w:val="none"/>
        </w:rPr>
      </w:pPr>
      <w:r>
        <w:rPr>
          <w:rStyle w:val="32"/>
          <w:rFonts w:hint="eastAsia"/>
          <w:b/>
          <w:bCs/>
          <w:color w:val="auto"/>
          <w:sz w:val="84"/>
          <w:szCs w:val="84"/>
          <w:highlight w:val="none"/>
        </w:rPr>
        <w:t>招标文件</w:t>
      </w: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rStyle w:val="32"/>
          <w:b/>
          <w:bCs/>
          <w:color w:val="auto"/>
          <w:sz w:val="28"/>
          <w:szCs w:val="28"/>
          <w:highlight w:val="none"/>
        </w:rPr>
      </w:pP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color w:val="auto"/>
          <w:highlight w:val="none"/>
        </w:rPr>
      </w:pPr>
    </w:p>
    <w:p>
      <w:pPr>
        <w:rPr>
          <w:color w:val="auto"/>
          <w:highlight w:val="none"/>
        </w:rPr>
      </w:pPr>
    </w:p>
    <w:p>
      <w:pPr>
        <w:ind w:firstLine="1807" w:firstLineChars="600"/>
        <w:rPr>
          <w:rStyle w:val="32"/>
          <w:rFonts w:hint="eastAsia"/>
          <w:b/>
          <w:bCs/>
          <w:color w:val="auto"/>
          <w:sz w:val="30"/>
          <w:szCs w:val="30"/>
          <w:highlight w:val="none"/>
        </w:rPr>
      </w:pPr>
      <w:r>
        <w:rPr>
          <w:rStyle w:val="32"/>
          <w:rFonts w:hint="eastAsia"/>
          <w:b/>
          <w:bCs/>
          <w:color w:val="auto"/>
          <w:sz w:val="30"/>
          <w:szCs w:val="30"/>
          <w:highlight w:val="none"/>
        </w:rPr>
        <w:t>招 标 单 位：</w:t>
      </w:r>
      <w:r>
        <w:rPr>
          <w:rStyle w:val="32"/>
          <w:rFonts w:hint="eastAsia"/>
          <w:b/>
          <w:bCs/>
          <w:color w:val="auto"/>
          <w:sz w:val="30"/>
          <w:szCs w:val="30"/>
          <w:highlight w:val="none"/>
          <w:lang w:eastAsia="zh-CN"/>
        </w:rPr>
        <w:t>广州市社会福利院</w:t>
      </w:r>
    </w:p>
    <w:p>
      <w:pPr>
        <w:ind w:firstLine="1807" w:firstLineChars="600"/>
        <w:rPr>
          <w:rStyle w:val="32"/>
          <w:b/>
          <w:bCs/>
          <w:color w:val="auto"/>
          <w:sz w:val="30"/>
          <w:szCs w:val="30"/>
          <w:highlight w:val="none"/>
        </w:rPr>
      </w:pPr>
      <w:r>
        <w:rPr>
          <w:rStyle w:val="32"/>
          <w:rFonts w:hint="eastAsia"/>
          <w:b/>
          <w:bCs/>
          <w:color w:val="auto"/>
          <w:sz w:val="30"/>
          <w:szCs w:val="30"/>
          <w:highlight w:val="none"/>
        </w:rPr>
        <w:t xml:space="preserve">代理单位：广州市政府采购中心  </w:t>
      </w:r>
    </w:p>
    <w:p>
      <w:pPr>
        <w:ind w:firstLine="1807" w:firstLineChars="600"/>
        <w:rPr>
          <w:rStyle w:val="32"/>
          <w:b/>
          <w:bCs/>
          <w:color w:val="auto"/>
          <w:sz w:val="30"/>
          <w:szCs w:val="30"/>
          <w:highlight w:val="none"/>
        </w:rPr>
      </w:pPr>
      <w:r>
        <w:rPr>
          <w:rStyle w:val="32"/>
          <w:rFonts w:hint="eastAsia"/>
          <w:b/>
          <w:bCs/>
          <w:color w:val="auto"/>
          <w:sz w:val="30"/>
          <w:szCs w:val="30"/>
          <w:highlight w:val="none"/>
        </w:rPr>
        <w:t>日        期：2024年</w:t>
      </w:r>
      <w:r>
        <w:rPr>
          <w:rStyle w:val="32"/>
          <w:rFonts w:hint="eastAsia"/>
          <w:b/>
          <w:bCs/>
          <w:color w:val="auto"/>
          <w:sz w:val="30"/>
          <w:szCs w:val="30"/>
          <w:highlight w:val="none"/>
          <w:lang w:val="en-US" w:eastAsia="zh-CN"/>
        </w:rPr>
        <w:t>10</w:t>
      </w:r>
      <w:r>
        <w:rPr>
          <w:rStyle w:val="32"/>
          <w:rFonts w:hint="eastAsia"/>
          <w:b/>
          <w:bCs/>
          <w:color w:val="auto"/>
          <w:sz w:val="30"/>
          <w:szCs w:val="30"/>
          <w:highlight w:val="none"/>
        </w:rPr>
        <w:t>月</w:t>
      </w:r>
    </w:p>
    <w:p>
      <w:pPr>
        <w:ind w:firstLine="1807" w:firstLineChars="600"/>
        <w:rPr>
          <w:rStyle w:val="32"/>
          <w:b/>
          <w:bCs/>
          <w:color w:val="auto"/>
          <w:sz w:val="30"/>
          <w:szCs w:val="30"/>
          <w:highlight w:val="none"/>
        </w:rPr>
      </w:pPr>
    </w:p>
    <w:p>
      <w:pPr>
        <w:jc w:val="center"/>
        <w:rPr>
          <w:rStyle w:val="32"/>
          <w:rFonts w:hint="eastAsia" w:cs="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850" w:right="1020" w:bottom="850" w:left="1134" w:header="851" w:footer="454" w:gutter="0"/>
          <w:cols w:space="720" w:num="1"/>
          <w:titlePg/>
          <w:docGrid w:type="lines" w:linePitch="312" w:charSpace="0"/>
        </w:sectPr>
      </w:pPr>
    </w:p>
    <w:p>
      <w:pPr>
        <w:jc w:val="center"/>
        <w:rPr>
          <w:rFonts w:cs="宋体"/>
          <w:b/>
          <w:caps/>
          <w:color w:val="auto"/>
          <w:kern w:val="0"/>
          <w:highlight w:val="none"/>
        </w:rPr>
      </w:pPr>
      <w:r>
        <w:rPr>
          <w:rStyle w:val="32"/>
          <w:rFonts w:hint="eastAsia" w:cs="宋体"/>
          <w:b/>
          <w:bCs/>
          <w:color w:val="auto"/>
          <w:sz w:val="28"/>
          <w:szCs w:val="28"/>
          <w:highlight w:val="none"/>
        </w:rPr>
        <w:t>目录</w:t>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_Toc29727 </w:instrText>
      </w:r>
      <w:r>
        <w:rPr>
          <w:rFonts w:hint="eastAsia" w:cs="宋体"/>
          <w:color w:val="auto"/>
          <w:highlight w:val="none"/>
        </w:rPr>
        <w:fldChar w:fldCharType="separate"/>
      </w:r>
      <w:r>
        <w:rPr>
          <w:rFonts w:hint="eastAsia" w:cs="宋体"/>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_Toc29727 \h </w:instrText>
      </w:r>
      <w:r>
        <w:rPr>
          <w:rFonts w:hint="eastAsia" w:cs="宋体"/>
          <w:color w:val="auto"/>
          <w:highlight w:val="none"/>
        </w:rPr>
        <w:fldChar w:fldCharType="separate"/>
      </w:r>
      <w:r>
        <w:rPr>
          <w:rFonts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_Toc21310 </w:instrText>
      </w:r>
      <w:r>
        <w:rPr>
          <w:rFonts w:hint="eastAsia" w:ascii="宋体" w:hAnsi="宋体" w:cs="宋体"/>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_Toc21310 \h </w:instrText>
      </w:r>
      <w:r>
        <w:rPr>
          <w:rFonts w:hint="eastAsia" w:ascii="宋体" w:hAnsi="宋体" w:cs="宋体"/>
          <w:color w:val="auto"/>
          <w:highlight w:val="none"/>
        </w:rPr>
        <w:fldChar w:fldCharType="separate"/>
      </w:r>
      <w:r>
        <w:rPr>
          <w:rFonts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_Toc14896 </w:instrText>
      </w:r>
      <w:r>
        <w:rPr>
          <w:rFonts w:hint="eastAsia" w:ascii="宋体" w:hAnsi="宋体" w:cs="宋体"/>
          <w:color w:val="auto"/>
          <w:highlight w:val="none"/>
        </w:rPr>
        <w:fldChar w:fldCharType="separate"/>
      </w:r>
      <w:r>
        <w:rPr>
          <w:rFonts w:hint="eastAsia" w:ascii="宋体" w:hAnsi="宋体" w:cs="宋体"/>
          <w:color w:val="auto"/>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_Toc14896 \h </w:instrText>
      </w:r>
      <w:r>
        <w:rPr>
          <w:rFonts w:hint="eastAsia" w:ascii="宋体" w:hAnsi="宋体" w:cs="宋体"/>
          <w:color w:val="auto"/>
          <w:highlight w:val="none"/>
        </w:rPr>
        <w:fldChar w:fldCharType="separate"/>
      </w:r>
      <w:r>
        <w:rPr>
          <w:rFonts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_Toc5081 </w:instrText>
      </w:r>
      <w:r>
        <w:rPr>
          <w:rFonts w:hint="eastAsia" w:ascii="宋体" w:hAnsi="宋体" w:cs="宋体"/>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_Toc5081 \h </w:instrText>
      </w:r>
      <w:r>
        <w:rPr>
          <w:rFonts w:hint="eastAsia" w:ascii="宋体" w:hAnsi="宋体" w:cs="宋体"/>
          <w:color w:val="auto"/>
          <w:highlight w:val="none"/>
        </w:rPr>
        <w:fldChar w:fldCharType="separate"/>
      </w:r>
      <w:r>
        <w:rPr>
          <w:rFonts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_Toc18704 </w:instrText>
      </w:r>
      <w:r>
        <w:rPr>
          <w:rFonts w:hint="eastAsia" w:ascii="宋体" w:hAnsi="宋体" w:cs="宋体"/>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_Toc18704 \h </w:instrText>
      </w:r>
      <w:r>
        <w:rPr>
          <w:rFonts w:hint="eastAsia" w:ascii="宋体" w:hAnsi="宋体" w:cs="宋体"/>
          <w:color w:val="auto"/>
          <w:highlight w:val="none"/>
        </w:rPr>
        <w:fldChar w:fldCharType="separate"/>
      </w:r>
      <w:r>
        <w:rPr>
          <w:rFonts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_Toc22983 </w:instrText>
      </w:r>
      <w:r>
        <w:rPr>
          <w:rFonts w:hint="eastAsia" w:ascii="宋体" w:hAnsi="宋体" w:cs="宋体"/>
          <w:color w:val="auto"/>
          <w:highlight w:val="none"/>
        </w:rPr>
        <w:fldChar w:fldCharType="separate"/>
      </w:r>
      <w:r>
        <w:rPr>
          <w:rFonts w:hint="eastAsia" w:ascii="宋体" w:hAnsi="宋体" w:cs="宋体"/>
          <w:color w:val="auto"/>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_Toc22983 \h </w:instrText>
      </w:r>
      <w:r>
        <w:rPr>
          <w:rFonts w:hint="eastAsia" w:ascii="宋体" w:hAnsi="宋体" w:cs="宋体"/>
          <w:color w:val="auto"/>
          <w:highlight w:val="none"/>
        </w:rPr>
        <w:fldChar w:fldCharType="separate"/>
      </w:r>
      <w:r>
        <w:rPr>
          <w:rFonts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_Toc29116 </w:instrText>
      </w:r>
      <w:r>
        <w:rPr>
          <w:rFonts w:hint="eastAsia" w:ascii="宋体" w:hAnsi="宋体" w:cs="宋体"/>
          <w:color w:val="auto"/>
          <w:highlight w:val="none"/>
        </w:rPr>
        <w:fldChar w:fldCharType="separate"/>
      </w:r>
      <w:r>
        <w:rPr>
          <w:rFonts w:hint="eastAsia" w:ascii="宋体" w:hAnsi="宋体" w:cs="宋体"/>
          <w:color w:val="auto"/>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_Toc29116 \h </w:instrText>
      </w:r>
      <w:r>
        <w:rPr>
          <w:rFonts w:hint="eastAsia" w:ascii="宋体" w:hAnsi="宋体" w:cs="宋体"/>
          <w:color w:val="auto"/>
          <w:highlight w:val="none"/>
        </w:rPr>
        <w:fldChar w:fldCharType="separate"/>
      </w:r>
      <w:r>
        <w:rPr>
          <w:rFonts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_Toc31234 </w:instrText>
      </w:r>
      <w:r>
        <w:rPr>
          <w:rFonts w:hint="eastAsia" w:ascii="宋体" w:hAnsi="宋体" w:cs="宋体"/>
          <w:color w:val="auto"/>
          <w:highlight w:val="none"/>
        </w:rPr>
        <w:fldChar w:fldCharType="separate"/>
      </w:r>
      <w:r>
        <w:rPr>
          <w:rFonts w:hint="eastAsia" w:ascii="宋体" w:hAnsi="宋体" w:cs="宋体"/>
          <w:color w:val="auto"/>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_Toc31234 \h </w:instrText>
      </w:r>
      <w:r>
        <w:rPr>
          <w:rFonts w:hint="eastAsia" w:ascii="宋体" w:hAnsi="宋体" w:cs="宋体"/>
          <w:color w:val="auto"/>
          <w:highlight w:val="none"/>
        </w:rPr>
        <w:fldChar w:fldCharType="separate"/>
      </w:r>
      <w:r>
        <w:rPr>
          <w:rFonts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_Toc9583 </w:instrText>
      </w:r>
      <w:r>
        <w:rPr>
          <w:rFonts w:hint="eastAsia" w:ascii="宋体" w:hAnsi="宋体" w:cs="宋体"/>
          <w:color w:val="auto"/>
          <w:highlight w:val="none"/>
        </w:rPr>
        <w:fldChar w:fldCharType="separate"/>
      </w:r>
      <w:r>
        <w:rPr>
          <w:rFonts w:hint="eastAsia" w:ascii="宋体" w:hAnsi="宋体" w:cs="宋体"/>
          <w:color w:val="auto"/>
          <w:highlight w:val="none"/>
        </w:rPr>
        <w:t>（五）开标、评标、定标及合同签</w:t>
      </w:r>
      <w:r>
        <w:rPr>
          <w:rFonts w:hint="eastAsia" w:ascii="宋体" w:hAnsi="宋体" w:cs="宋体"/>
          <w:color w:val="auto"/>
          <w:highlight w:val="none"/>
          <w:lang w:eastAsia="zh-CN"/>
        </w:rPr>
        <w:t>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_Toc9583 \h </w:instrText>
      </w:r>
      <w:r>
        <w:rPr>
          <w:rFonts w:hint="eastAsia" w:ascii="宋体" w:hAnsi="宋体" w:cs="宋体"/>
          <w:color w:val="auto"/>
          <w:highlight w:val="none"/>
        </w:rPr>
        <w:fldChar w:fldCharType="separate"/>
      </w:r>
      <w:r>
        <w:rPr>
          <w:rFonts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_Toc30809 </w:instrText>
      </w:r>
      <w:r>
        <w:rPr>
          <w:rFonts w:hint="eastAsia" w:cs="宋体"/>
          <w:color w:val="auto"/>
          <w:highlight w:val="none"/>
        </w:rPr>
        <w:fldChar w:fldCharType="separate"/>
      </w:r>
      <w:r>
        <w:rPr>
          <w:rFonts w:hint="eastAsia" w:cs="宋体"/>
          <w:color w:val="auto"/>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_Toc30809 \h </w:instrText>
      </w:r>
      <w:r>
        <w:rPr>
          <w:rFonts w:hint="eastAsia" w:cs="宋体"/>
          <w:color w:val="auto"/>
          <w:highlight w:val="none"/>
        </w:rPr>
        <w:fldChar w:fldCharType="separate"/>
      </w:r>
      <w:r>
        <w:rPr>
          <w:rFonts w:cs="宋体"/>
          <w:color w:val="auto"/>
          <w:highlight w:val="none"/>
        </w:rPr>
        <w:t>31</w:t>
      </w:r>
      <w:r>
        <w:rPr>
          <w:rFonts w:hint="eastAsia" w:cs="宋体"/>
          <w:color w:val="auto"/>
          <w:highlight w:val="none"/>
        </w:rPr>
        <w:fldChar w:fldCharType="end"/>
      </w:r>
      <w:r>
        <w:rPr>
          <w:rFonts w:hint="eastAsia"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_Toc23098 </w:instrText>
      </w:r>
      <w:r>
        <w:rPr>
          <w:rFonts w:hint="eastAsia" w:ascii="宋体" w:hAnsi="宋体" w:cs="宋体"/>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_Toc23098 \h </w:instrText>
      </w:r>
      <w:r>
        <w:rPr>
          <w:rFonts w:hint="eastAsia" w:ascii="宋体" w:hAnsi="宋体" w:cs="宋体"/>
          <w:color w:val="auto"/>
          <w:highlight w:val="none"/>
        </w:rPr>
        <w:fldChar w:fldCharType="separate"/>
      </w:r>
      <w:r>
        <w:rPr>
          <w:rFonts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_Toc22061 </w:instrText>
      </w:r>
      <w:r>
        <w:rPr>
          <w:rFonts w:hint="eastAsia" w:ascii="宋体" w:hAnsi="宋体" w:cs="宋体"/>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_Toc22061 \h </w:instrText>
      </w:r>
      <w:r>
        <w:rPr>
          <w:rFonts w:hint="eastAsia" w:ascii="宋体" w:hAnsi="宋体" w:cs="宋体"/>
          <w:color w:val="auto"/>
          <w:highlight w:val="none"/>
        </w:rPr>
        <w:fldChar w:fldCharType="separate"/>
      </w:r>
      <w:r>
        <w:rPr>
          <w:rFonts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_Toc10558 </w:instrText>
      </w:r>
      <w:r>
        <w:rPr>
          <w:rFonts w:hint="eastAsia" w:ascii="宋体" w:hAnsi="宋体" w:cs="宋体"/>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_Toc10558 \h </w:instrText>
      </w:r>
      <w:r>
        <w:rPr>
          <w:rFonts w:hint="eastAsia" w:ascii="宋体" w:hAnsi="宋体" w:cs="宋体"/>
          <w:color w:val="auto"/>
          <w:highlight w:val="none"/>
        </w:rPr>
        <w:fldChar w:fldCharType="separate"/>
      </w:r>
      <w:r>
        <w:rPr>
          <w:rFonts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10036"/>
        </w:tabs>
        <w:ind w:left="840"/>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_Toc6205 </w:instrText>
      </w:r>
      <w:r>
        <w:rPr>
          <w:rFonts w:hint="eastAsia" w:ascii="宋体" w:hAnsi="宋体" w:cs="宋体"/>
          <w:color w:val="auto"/>
          <w:highlight w:val="none"/>
        </w:rPr>
        <w:fldChar w:fldCharType="separate"/>
      </w:r>
      <w:r>
        <w:rPr>
          <w:rFonts w:hint="eastAsia" w:ascii="宋体" w:hAnsi="宋体" w:cs="宋体"/>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_Toc6205 \h </w:instrText>
      </w:r>
      <w:r>
        <w:rPr>
          <w:rFonts w:hint="eastAsia" w:ascii="宋体" w:hAnsi="宋体" w:cs="宋体"/>
          <w:color w:val="auto"/>
          <w:highlight w:val="none"/>
        </w:rPr>
        <w:fldChar w:fldCharType="separate"/>
      </w:r>
      <w:r>
        <w:rPr>
          <w:rFonts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_Toc17298 </w:instrText>
      </w:r>
      <w:r>
        <w:rPr>
          <w:rFonts w:hint="eastAsia" w:cs="宋体"/>
          <w:color w:val="auto"/>
          <w:highlight w:val="none"/>
        </w:rPr>
        <w:fldChar w:fldCharType="separate"/>
      </w:r>
      <w:r>
        <w:rPr>
          <w:rFonts w:hint="eastAsia" w:cs="宋体"/>
          <w:color w:val="auto"/>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_Toc17298 \h </w:instrText>
      </w:r>
      <w:r>
        <w:rPr>
          <w:rFonts w:hint="eastAsia" w:cs="宋体"/>
          <w:color w:val="auto"/>
          <w:highlight w:val="none"/>
        </w:rPr>
        <w:fldChar w:fldCharType="separate"/>
      </w:r>
      <w:r>
        <w:rPr>
          <w:rFonts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_Toc1892 </w:instrText>
      </w:r>
      <w:r>
        <w:rPr>
          <w:rFonts w:hint="eastAsia" w:cs="宋体"/>
          <w:color w:val="auto"/>
          <w:highlight w:val="none"/>
        </w:rPr>
        <w:fldChar w:fldCharType="separate"/>
      </w:r>
      <w:r>
        <w:rPr>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_Toc1892 \h </w:instrText>
      </w:r>
      <w:r>
        <w:rPr>
          <w:rFonts w:hint="eastAsia" w:cs="宋体"/>
          <w:color w:val="auto"/>
          <w:highlight w:val="none"/>
        </w:rPr>
        <w:fldChar w:fldCharType="separate"/>
      </w:r>
      <w:r>
        <w:rPr>
          <w:rFonts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_Toc21259 </w:instrText>
      </w:r>
      <w:r>
        <w:rPr>
          <w:rFonts w:hint="eastAsia" w:ascii="宋体" w:hAnsi="宋体" w:cs="宋体"/>
          <w:color w:val="auto"/>
          <w:highlight w:val="none"/>
        </w:rPr>
        <w:fldChar w:fldCharType="separate"/>
      </w:r>
      <w:r>
        <w:rPr>
          <w:rFonts w:hint="eastAsia" w:ascii="宋体" w:hAnsi="宋体" w:cs="宋体"/>
          <w:color w:val="auto"/>
          <w:highlight w:val="none"/>
        </w:rPr>
        <w:t>一、技术标投标文件格式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_Toc21259 \h </w:instrText>
      </w:r>
      <w:r>
        <w:rPr>
          <w:rFonts w:hint="eastAsia" w:ascii="宋体" w:hAnsi="宋体" w:cs="宋体"/>
          <w:color w:val="auto"/>
          <w:highlight w:val="none"/>
        </w:rPr>
        <w:fldChar w:fldCharType="separate"/>
      </w:r>
      <w:r>
        <w:rPr>
          <w:rFonts w:ascii="宋体" w:hAnsi="宋体" w:cs="宋体"/>
          <w:color w:val="auto"/>
          <w:highlight w:val="none"/>
        </w:rPr>
        <w:t>57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10036"/>
          <w:tab w:val="clear" w:pos="906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_Toc3807 </w:instrText>
      </w:r>
      <w:r>
        <w:rPr>
          <w:rFonts w:hint="eastAsia" w:ascii="宋体" w:hAnsi="宋体" w:cs="宋体"/>
          <w:color w:val="auto"/>
          <w:highlight w:val="none"/>
        </w:rPr>
        <w:fldChar w:fldCharType="separate"/>
      </w:r>
      <w:r>
        <w:rPr>
          <w:rFonts w:hint="eastAsia" w:ascii="宋体" w:hAnsi="宋体" w:cs="宋体"/>
          <w:color w:val="auto"/>
          <w:highlight w:val="none"/>
        </w:rPr>
        <w:t>二、经济标投标文件格式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_Toc3807 \h </w:instrText>
      </w:r>
      <w:r>
        <w:rPr>
          <w:rFonts w:hint="eastAsia" w:ascii="宋体" w:hAnsi="宋体" w:cs="宋体"/>
          <w:color w:val="auto"/>
          <w:highlight w:val="none"/>
        </w:rPr>
        <w:fldChar w:fldCharType="separate"/>
      </w:r>
      <w:r>
        <w:rPr>
          <w:rFonts w:ascii="宋体" w:hAnsi="宋体" w:cs="宋体"/>
          <w:color w:val="auto"/>
          <w:highlight w:val="none"/>
        </w:rPr>
        <w:t>62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_Toc18983 </w:instrText>
      </w:r>
      <w:r>
        <w:rPr>
          <w:rFonts w:hint="eastAsia" w:cs="宋体"/>
          <w:color w:val="auto"/>
          <w:highlight w:val="none"/>
        </w:rPr>
        <w:fldChar w:fldCharType="separate"/>
      </w:r>
      <w:r>
        <w:rPr>
          <w:rFonts w:hint="eastAsia" w:cs="宋体"/>
          <w:color w:val="auto"/>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_Toc18983 \h </w:instrText>
      </w:r>
      <w:r>
        <w:rPr>
          <w:rFonts w:hint="eastAsia" w:cs="宋体"/>
          <w:color w:val="auto"/>
          <w:highlight w:val="none"/>
        </w:rPr>
        <w:fldChar w:fldCharType="separate"/>
      </w:r>
      <w:r>
        <w:rPr>
          <w:rFonts w:cs="宋体"/>
          <w:color w:val="auto"/>
          <w:highlight w:val="none"/>
        </w:rPr>
        <w:t>65</w:t>
      </w:r>
      <w:r>
        <w:rPr>
          <w:rFonts w:hint="eastAsia" w:cs="宋体"/>
          <w:color w:val="auto"/>
          <w:highlight w:val="none"/>
        </w:rPr>
        <w:fldChar w:fldCharType="end"/>
      </w:r>
      <w:r>
        <w:rPr>
          <w:rFonts w:hint="eastAsia"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_Toc11116 </w:instrText>
      </w:r>
      <w:r>
        <w:rPr>
          <w:rFonts w:hint="eastAsia" w:cs="宋体"/>
          <w:color w:val="auto"/>
          <w:highlight w:val="none"/>
        </w:rPr>
        <w:fldChar w:fldCharType="separate"/>
      </w:r>
      <w:r>
        <w:rPr>
          <w:rFonts w:hint="eastAsia" w:cs="宋体"/>
          <w:color w:val="auto"/>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_Toc11116 \h </w:instrText>
      </w:r>
      <w:r>
        <w:rPr>
          <w:rFonts w:hint="eastAsia" w:cs="宋体"/>
          <w:color w:val="auto"/>
          <w:highlight w:val="none"/>
        </w:rPr>
        <w:fldChar w:fldCharType="separate"/>
      </w:r>
      <w:r>
        <w:rPr>
          <w:rFonts w:cs="宋体"/>
          <w:color w:val="auto"/>
          <w:highlight w:val="none"/>
        </w:rPr>
        <w:t>69</w:t>
      </w:r>
      <w:r>
        <w:rPr>
          <w:rFonts w:hint="eastAsia" w:cs="宋体"/>
          <w:color w:val="auto"/>
          <w:highlight w:val="none"/>
        </w:rPr>
        <w:fldChar w:fldCharType="end"/>
      </w:r>
      <w:r>
        <w:rPr>
          <w:rFonts w:hint="eastAsia"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_Toc10400 </w:instrText>
      </w:r>
      <w:r>
        <w:rPr>
          <w:rFonts w:hint="eastAsia" w:cs="宋体"/>
          <w:color w:val="auto"/>
          <w:highlight w:val="none"/>
        </w:rPr>
        <w:fldChar w:fldCharType="separate"/>
      </w:r>
      <w:r>
        <w:rPr>
          <w:rFonts w:hint="eastAsia" w:cs="宋体"/>
          <w:color w:val="auto"/>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_Toc10400 \h </w:instrText>
      </w:r>
      <w:r>
        <w:rPr>
          <w:rFonts w:hint="eastAsia" w:cs="宋体"/>
          <w:color w:val="auto"/>
          <w:highlight w:val="none"/>
        </w:rPr>
        <w:fldChar w:fldCharType="separate"/>
      </w:r>
      <w:r>
        <w:rPr>
          <w:rFonts w:cs="宋体"/>
          <w:color w:val="auto"/>
          <w:highlight w:val="none"/>
        </w:rPr>
        <w:t>70</w:t>
      </w:r>
      <w:r>
        <w:rPr>
          <w:rFonts w:hint="eastAsia" w:cs="宋体"/>
          <w:color w:val="auto"/>
          <w:highlight w:val="none"/>
        </w:rPr>
        <w:fldChar w:fldCharType="end"/>
      </w:r>
      <w:r>
        <w:rPr>
          <w:rFonts w:hint="eastAsia" w:cs="宋体"/>
          <w:color w:val="auto"/>
          <w:highlight w:val="none"/>
        </w:rPr>
        <w:fldChar w:fldCharType="end"/>
      </w:r>
    </w:p>
    <w:p>
      <w:pPr>
        <w:pStyle w:val="20"/>
        <w:tabs>
          <w:tab w:val="right" w:leader="dot" w:pos="10036"/>
          <w:tab w:val="clear" w:pos="9060"/>
        </w:tabs>
        <w:rPr>
          <w:rFonts w:hint="eastAsia"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_Toc4649 </w:instrText>
      </w:r>
      <w:r>
        <w:rPr>
          <w:rFonts w:hint="eastAsia" w:cs="宋体"/>
          <w:color w:val="auto"/>
          <w:highlight w:val="none"/>
        </w:rPr>
        <w:fldChar w:fldCharType="separate"/>
      </w:r>
      <w:r>
        <w:rPr>
          <w:rFonts w:hint="eastAsia" w:cs="宋体"/>
          <w:color w:val="auto"/>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_Toc4649 \h </w:instrText>
      </w:r>
      <w:r>
        <w:rPr>
          <w:rFonts w:hint="eastAsia" w:cs="宋体"/>
          <w:color w:val="auto"/>
          <w:highlight w:val="none"/>
        </w:rPr>
        <w:fldChar w:fldCharType="separate"/>
      </w:r>
      <w:r>
        <w:rPr>
          <w:rFonts w:cs="宋体"/>
          <w:color w:val="auto"/>
          <w:highlight w:val="none"/>
        </w:rPr>
        <w:t>71</w:t>
      </w:r>
      <w:r>
        <w:rPr>
          <w:rFonts w:hint="eastAsia" w:cs="宋体"/>
          <w:color w:val="auto"/>
          <w:highlight w:val="none"/>
        </w:rPr>
        <w:fldChar w:fldCharType="end"/>
      </w:r>
      <w:r>
        <w:rPr>
          <w:rFonts w:hint="eastAsia" w:cs="宋体"/>
          <w:color w:val="auto"/>
          <w:highlight w:val="none"/>
        </w:rPr>
        <w:fldChar w:fldCharType="end"/>
      </w:r>
    </w:p>
    <w:p>
      <w:pPr>
        <w:pStyle w:val="3"/>
        <w:ind w:right="325" w:rightChars="155"/>
        <w:jc w:val="center"/>
        <w:rPr>
          <w:rFonts w:hint="default"/>
          <w:color w:val="auto"/>
          <w:highlight w:val="none"/>
        </w:rPr>
      </w:pPr>
      <w:r>
        <w:rPr>
          <w:rFonts w:ascii="宋体" w:hAnsi="宋体" w:cs="宋体"/>
          <w:color w:val="auto"/>
          <w:highlight w:val="none"/>
        </w:rPr>
        <w:fldChar w:fldCharType="end"/>
      </w:r>
    </w:p>
    <w:p>
      <w:pPr>
        <w:pStyle w:val="3"/>
        <w:jc w:val="center"/>
        <w:rPr>
          <w:rFonts w:hint="default"/>
          <w:color w:val="auto"/>
          <w:highlight w:val="none"/>
        </w:rPr>
      </w:pPr>
      <w:r>
        <w:rPr>
          <w:color w:val="auto"/>
          <w:highlight w:val="none"/>
        </w:rPr>
        <w:br w:type="page"/>
      </w:r>
      <w:bookmarkStart w:id="0" w:name="_Toc29727"/>
      <w:r>
        <w:rPr>
          <w:color w:val="auto"/>
          <w:highlight w:val="none"/>
        </w:rPr>
        <w:t>第一章  投标须知</w:t>
      </w:r>
      <w:bookmarkEnd w:id="0"/>
    </w:p>
    <w:p>
      <w:pPr>
        <w:pStyle w:val="7"/>
        <w:rPr>
          <w:color w:val="auto"/>
          <w:highlight w:val="none"/>
        </w:rPr>
      </w:pPr>
      <w:bookmarkStart w:id="1" w:name="_Toc21310"/>
      <w:r>
        <w:rPr>
          <w:rFonts w:hint="eastAsia"/>
          <w:color w:val="auto"/>
          <w:highlight w:val="none"/>
        </w:rPr>
        <w:t>一、投标须知前附表</w:t>
      </w:r>
      <w:bookmarkEnd w:id="1"/>
    </w:p>
    <w:p>
      <w:pPr>
        <w:pStyle w:val="9"/>
        <w:spacing w:line="360" w:lineRule="auto"/>
        <w:ind w:firstLine="422"/>
        <w:rPr>
          <w:b/>
          <w:color w:val="auto"/>
          <w:szCs w:val="21"/>
          <w:highlight w:val="none"/>
        </w:rPr>
      </w:pPr>
      <w:r>
        <w:rPr>
          <w:rFonts w:hint="eastAsia"/>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62"/>
        <w:gridCol w:w="1691"/>
        <w:gridCol w:w="64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683"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项目</w:t>
            </w:r>
          </w:p>
        </w:tc>
        <w:tc>
          <w:tcPr>
            <w:tcW w:w="962"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条款号</w:t>
            </w:r>
          </w:p>
        </w:tc>
        <w:tc>
          <w:tcPr>
            <w:tcW w:w="1691"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内容</w:t>
            </w:r>
          </w:p>
        </w:tc>
        <w:tc>
          <w:tcPr>
            <w:tcW w:w="6482" w:type="dxa"/>
            <w:tcBorders>
              <w:top w:val="double" w:color="auto" w:sz="4" w:space="0"/>
              <w:left w:val="single" w:color="auto" w:sz="4" w:space="0"/>
              <w:bottom w:val="single" w:color="auto" w:sz="4" w:space="0"/>
              <w:right w:val="double" w:color="auto" w:sz="4" w:space="0"/>
            </w:tcBorders>
            <w:noWrap w:val="0"/>
            <w:vAlign w:val="center"/>
          </w:tcPr>
          <w:p>
            <w:pPr>
              <w:pStyle w:val="15"/>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定义</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eastAsia="宋体" w:cs="宋体"/>
                <w:color w:val="auto"/>
                <w:szCs w:val="21"/>
                <w:highlight w:val="none"/>
                <w:u w:val="single"/>
                <w:lang w:eastAsia="zh-CN"/>
              </w:rPr>
            </w:pPr>
            <w:r>
              <w:rPr>
                <w:rFonts w:hint="eastAsia" w:cs="宋体"/>
                <w:color w:val="auto"/>
                <w:szCs w:val="21"/>
                <w:highlight w:val="none"/>
              </w:rPr>
              <w:t>招标人（即发包人）：</w:t>
            </w:r>
            <w:r>
              <w:rPr>
                <w:rFonts w:hint="eastAsia" w:cs="宋体"/>
                <w:color w:val="auto"/>
                <w:szCs w:val="21"/>
                <w:highlight w:val="none"/>
                <w:u w:val="single"/>
                <w:lang w:eastAsia="zh-CN"/>
              </w:rPr>
              <w:t>广州市社会福利院</w:t>
            </w:r>
          </w:p>
          <w:p>
            <w:pPr>
              <w:rPr>
                <w:rFonts w:hint="eastAsia" w:cs="宋体"/>
                <w:color w:val="auto"/>
                <w:szCs w:val="21"/>
                <w:highlight w:val="none"/>
              </w:rPr>
            </w:pPr>
            <w:r>
              <w:rPr>
                <w:rFonts w:hint="eastAsia" w:cs="宋体"/>
                <w:color w:val="auto"/>
                <w:szCs w:val="21"/>
                <w:highlight w:val="none"/>
              </w:rPr>
              <w:t>招标代理：</w:t>
            </w:r>
            <w:r>
              <w:rPr>
                <w:rFonts w:hint="eastAsia"/>
                <w:color w:val="auto"/>
                <w:szCs w:val="21"/>
                <w:highlight w:val="none"/>
                <w:u w:val="single"/>
              </w:rPr>
              <w:t>广州市政府采购中心</w:t>
            </w:r>
          </w:p>
          <w:p>
            <w:pPr>
              <w:rPr>
                <w:rFonts w:hint="default" w:cs="宋体"/>
                <w:color w:val="auto"/>
                <w:szCs w:val="21"/>
                <w:highlight w:val="none"/>
                <w:u w:val="single"/>
                <w:lang w:val="en-US"/>
              </w:rPr>
            </w:pPr>
            <w:r>
              <w:rPr>
                <w:rFonts w:hint="eastAsia" w:cs="宋体"/>
                <w:color w:val="auto"/>
                <w:szCs w:val="21"/>
                <w:highlight w:val="none"/>
              </w:rPr>
              <w:t>设计单位：</w:t>
            </w:r>
            <w:r>
              <w:rPr>
                <w:rFonts w:hint="eastAsia" w:cs="宋体"/>
                <w:color w:val="auto"/>
                <w:szCs w:val="21"/>
                <w:highlight w:val="none"/>
                <w:u w:val="single"/>
                <w:lang w:val="en-US" w:eastAsia="zh-CN"/>
              </w:rPr>
              <w:t xml:space="preserve">    /   </w:t>
            </w:r>
          </w:p>
          <w:p>
            <w:pPr>
              <w:rPr>
                <w:rFonts w:hint="eastAsia" w:eastAsia="宋体" w:cs="宋体"/>
                <w:color w:val="auto"/>
                <w:szCs w:val="21"/>
                <w:highlight w:val="none"/>
                <w:lang w:val="en-US" w:eastAsia="zh-CN"/>
              </w:rPr>
            </w:pPr>
            <w:r>
              <w:rPr>
                <w:rFonts w:hint="eastAsia" w:cs="宋体"/>
                <w:color w:val="auto"/>
                <w:szCs w:val="21"/>
                <w:highlight w:val="none"/>
              </w:rPr>
              <w:t>监理单位：</w:t>
            </w:r>
            <w:r>
              <w:rPr>
                <w:rFonts w:hint="eastAsia" w:cs="宋体"/>
                <w:color w:val="auto"/>
                <w:szCs w:val="21"/>
                <w:highlight w:val="none"/>
                <w:u w:val="single"/>
              </w:rPr>
              <w:t xml:space="preserve">   /  </w:t>
            </w:r>
            <w:r>
              <w:rPr>
                <w:rFonts w:hint="eastAsia" w:cs="宋体"/>
                <w:color w:val="auto"/>
                <w:szCs w:val="21"/>
                <w:highlight w:val="none"/>
                <w:u w:val="single"/>
                <w:lang w:val="en-US" w:eastAsia="zh-CN"/>
              </w:rPr>
              <w:t xml:space="preserve"> </w:t>
            </w:r>
          </w:p>
          <w:p>
            <w:pPr>
              <w:rPr>
                <w:rFonts w:hint="eastAsia" w:cs="宋体"/>
                <w:color w:val="auto"/>
                <w:szCs w:val="21"/>
                <w:highlight w:val="none"/>
              </w:rPr>
            </w:pPr>
            <w:r>
              <w:rPr>
                <w:rFonts w:hint="eastAsia" w:cs="宋体"/>
                <w:color w:val="auto"/>
                <w:szCs w:val="21"/>
                <w:highlight w:val="none"/>
              </w:rPr>
              <w:t>检测机构：</w:t>
            </w:r>
            <w:r>
              <w:rPr>
                <w:rFonts w:hint="eastAsia" w:cs="宋体"/>
                <w:color w:val="auto"/>
                <w:szCs w:val="21"/>
                <w:highlight w:val="none"/>
                <w:u w:val="single"/>
              </w:rPr>
              <w:t xml:space="preserve">   / </w:t>
            </w:r>
            <w:r>
              <w:rPr>
                <w:rFonts w:hint="eastAsia" w:cs="宋体"/>
                <w:color w:val="auto"/>
                <w:szCs w:val="21"/>
                <w:highlight w:val="none"/>
                <w:u w:val="single"/>
                <w:lang w:val="en-US" w:eastAsia="zh-CN"/>
              </w:rPr>
              <w:t xml:space="preserve"> </w:t>
            </w:r>
            <w:r>
              <w:rPr>
                <w:rFonts w:hint="eastAsia" w:cs="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工程名称</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eastAsia="宋体" w:cs="宋体"/>
                <w:color w:val="auto"/>
                <w:szCs w:val="21"/>
                <w:highlight w:val="none"/>
                <w:u w:val="single"/>
                <w:lang w:eastAsia="zh-CN"/>
              </w:rPr>
            </w:pPr>
            <w:r>
              <w:rPr>
                <w:rFonts w:hint="eastAsia" w:cs="宋体"/>
                <w:color w:val="auto"/>
                <w:szCs w:val="21"/>
                <w:highlight w:val="none"/>
                <w:u w:val="single"/>
                <w:lang w:eastAsia="zh-CN"/>
              </w:rPr>
              <w:t>广州市社会福利院龙洞院区学童楼维修工程项目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建设地点</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4</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建设规模</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5</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承包方式</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u w:val="single"/>
              </w:rPr>
              <w:t>根据招标文件、合同文件、有关资料及说明等对本工程实施施工完成：包工、包料、包质量、包安全生产、包文明施工、包工期、包承包范围内工程验收通过、包移交、包结算和资料整理归档等。综合单价包干、项目措施费包干。合同价款根据招标文件和本合同约定的计价方式进行计价和结算</w:t>
            </w:r>
            <w:r>
              <w:rPr>
                <w:rFonts w:hint="eastAsia" w:cs="宋体"/>
                <w:color w:val="auto"/>
                <w:kern w:val="0"/>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6</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质量标准</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u w:val="single"/>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7</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招标范围</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8</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工期要求</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u w:val="single"/>
              </w:rPr>
              <w:t>暂定202</w:t>
            </w:r>
            <w:r>
              <w:rPr>
                <w:rFonts w:hint="eastAsia" w:cs="宋体"/>
                <w:color w:val="auto"/>
                <w:szCs w:val="21"/>
                <w:highlight w:val="none"/>
                <w:u w:val="single"/>
                <w:lang w:val="en-US" w:eastAsia="zh-CN"/>
              </w:rPr>
              <w:t>5</w:t>
            </w:r>
            <w:r>
              <w:rPr>
                <w:rFonts w:hint="eastAsia" w:cs="宋体"/>
                <w:color w:val="auto"/>
                <w:szCs w:val="21"/>
                <w:highlight w:val="none"/>
                <w:u w:val="single"/>
              </w:rPr>
              <w:t>年</w:t>
            </w:r>
            <w:r>
              <w:rPr>
                <w:rFonts w:hint="eastAsia" w:cs="宋体"/>
                <w:color w:val="auto"/>
                <w:szCs w:val="21"/>
                <w:highlight w:val="none"/>
                <w:u w:val="single"/>
                <w:lang w:val="en-US" w:eastAsia="zh-CN"/>
              </w:rPr>
              <w:t>1</w:t>
            </w:r>
            <w:r>
              <w:rPr>
                <w:rFonts w:hint="eastAsia" w:cs="宋体"/>
                <w:color w:val="auto"/>
                <w:szCs w:val="21"/>
                <w:highlight w:val="none"/>
                <w:u w:val="single"/>
              </w:rPr>
              <w:t>月</w:t>
            </w:r>
            <w:r>
              <w:rPr>
                <w:rFonts w:hint="eastAsia" w:cs="宋体"/>
                <w:color w:val="auto"/>
                <w:szCs w:val="21"/>
                <w:highlight w:val="none"/>
                <w:u w:val="single"/>
                <w:lang w:val="en-US" w:eastAsia="zh-CN"/>
              </w:rPr>
              <w:t>5</w:t>
            </w:r>
            <w:r>
              <w:rPr>
                <w:rFonts w:hint="eastAsia" w:cs="宋体"/>
                <w:color w:val="auto"/>
                <w:szCs w:val="21"/>
                <w:highlight w:val="none"/>
                <w:u w:val="single"/>
              </w:rPr>
              <w:t>日开工（具体以甲方确认的开工日期为准），施工总工期：</w:t>
            </w:r>
            <w:r>
              <w:rPr>
                <w:rFonts w:hint="eastAsia" w:cs="宋体"/>
                <w:color w:val="auto"/>
                <w:szCs w:val="21"/>
                <w:highlight w:val="none"/>
                <w:u w:val="single"/>
                <w:lang w:val="en-US" w:eastAsia="zh-CN"/>
              </w:rPr>
              <w:t>210</w:t>
            </w:r>
            <w:r>
              <w:rPr>
                <w:rFonts w:hint="eastAsia" w:cs="宋体"/>
                <w:color w:val="auto"/>
                <w:szCs w:val="21"/>
                <w:highlight w:val="none"/>
                <w:u w:val="single"/>
              </w:rPr>
              <w:t>日历天</w:t>
            </w:r>
            <w:r>
              <w:rPr>
                <w:rFonts w:hint="eastAsia"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9</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资金来源</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10</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4.1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投标人资质等级及项目负责人等级要求</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11</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资格审查方式</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13.1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报价以及单价和总价计算方式</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工程量清单计价，按国家、省有关计价规范执行。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13</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15.1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投标有效期</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 xml:space="preserve"> 90 </w:t>
            </w:r>
            <w:r>
              <w:rPr>
                <w:rFonts w:hint="eastAsia" w:cs="宋体"/>
                <w:color w:val="auto"/>
                <w:szCs w:val="21"/>
                <w:highlight w:val="none"/>
              </w:rPr>
              <w:t>日历天。（从投标截止之日计起）。</w:t>
            </w:r>
            <w:r>
              <w:rPr>
                <w:rFonts w:hint="eastAsia" w:cs="宋体"/>
                <w:color w:val="auto"/>
                <w:szCs w:val="21"/>
                <w:highlight w:val="none"/>
                <w:u w:val="single"/>
              </w:rPr>
              <w:t>如投标有效期内发生异议或投诉的，则投标有效期自动延长至异议或投诉处理结束后90日历天。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14</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16.1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投标保证金</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pStyle w:val="14"/>
              <w:rPr>
                <w:rFonts w:hint="eastAsia"/>
                <w:color w:val="auto"/>
                <w:highlight w:val="none"/>
              </w:rPr>
            </w:pPr>
            <w:r>
              <w:rPr>
                <w:rFonts w:hint="eastAsia" w:ascii="仿宋" w:hAnsi="仿宋" w:eastAsia="仿宋" w:cs="宋体"/>
                <w:b/>
                <w:color w:val="auto"/>
                <w:sz w:val="22"/>
                <w:highlight w:val="none"/>
              </w:rPr>
              <w:t>方式一：本项目不收投标保证金。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15</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5</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踏勘现场</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pStyle w:val="1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lang w:eastAsia="zh-CN"/>
              </w:rPr>
              <w:t>本项目不集中组织现场踏勘。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16</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8</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投标答疑</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1.疑问提交时间：</w:t>
            </w:r>
            <w:r>
              <w:rPr>
                <w:rFonts w:hint="eastAsia" w:cs="宋体"/>
                <w:color w:val="auto"/>
                <w:szCs w:val="21"/>
                <w:highlight w:val="none"/>
                <w:u w:val="single"/>
              </w:rPr>
              <w:t>(在递交投标文件截止日期前18日)见本项目日程安排</w:t>
            </w:r>
            <w:r>
              <w:rPr>
                <w:rFonts w:hint="eastAsia" w:cs="宋体"/>
                <w:color w:val="auto"/>
                <w:szCs w:val="21"/>
                <w:highlight w:val="none"/>
              </w:rPr>
              <w:t>；</w:t>
            </w:r>
          </w:p>
          <w:p>
            <w:pPr>
              <w:rPr>
                <w:rFonts w:hint="eastAsia" w:cs="宋体"/>
                <w:color w:val="auto"/>
                <w:szCs w:val="21"/>
                <w:highlight w:val="none"/>
              </w:rPr>
            </w:pPr>
            <w:r>
              <w:rPr>
                <w:rFonts w:hint="eastAsia" w:cs="宋体"/>
                <w:color w:val="auto"/>
                <w:szCs w:val="21"/>
                <w:highlight w:val="none"/>
              </w:rPr>
              <w:t>2.形式：投标人的疑问通过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交易平台提交。</w:t>
            </w:r>
          </w:p>
          <w:p>
            <w:pPr>
              <w:rPr>
                <w:rFonts w:hint="eastAsia" w:cs="宋体"/>
                <w:color w:val="auto"/>
                <w:szCs w:val="21"/>
                <w:highlight w:val="none"/>
                <w:u w:val="single"/>
              </w:rPr>
            </w:pPr>
            <w:r>
              <w:rPr>
                <w:rFonts w:hint="eastAsia" w:cs="宋体"/>
                <w:color w:val="auto"/>
                <w:szCs w:val="21"/>
                <w:highlight w:val="none"/>
                <w:u w:val="single"/>
              </w:rPr>
              <w:t>3.招标人澄清、修补或答疑期限：在递交投标文件截止日期前15日</w:t>
            </w:r>
          </w:p>
          <w:p>
            <w:pPr>
              <w:rPr>
                <w:rFonts w:hint="eastAsia" w:cs="宋体"/>
                <w:color w:val="auto"/>
                <w:szCs w:val="21"/>
                <w:highlight w:val="none"/>
                <w:u w:val="single"/>
              </w:rPr>
            </w:pPr>
            <w:r>
              <w:rPr>
                <w:rFonts w:hint="eastAsia" w:cs="宋体"/>
                <w:color w:val="auto"/>
                <w:szCs w:val="21"/>
                <w:highlight w:val="none"/>
                <w:u w:val="single"/>
              </w:rPr>
              <w:t>4.网上答疑的相关事项详见招标文件8.1、8.2款。</w:t>
            </w:r>
          </w:p>
          <w:p>
            <w:pPr>
              <w:rPr>
                <w:rFonts w:hint="eastAsia" w:cs="宋体"/>
                <w:color w:val="auto"/>
                <w:szCs w:val="21"/>
                <w:highlight w:val="none"/>
              </w:rPr>
            </w:pPr>
            <w:r>
              <w:rPr>
                <w:rFonts w:hint="eastAsia" w:cs="宋体"/>
                <w:color w:val="auto"/>
                <w:szCs w:val="21"/>
                <w:highlight w:val="none"/>
              </w:rPr>
              <w:t>具体要求：按照交易平台关于全流程电子化项目的相关指南进行操作，详见：</w:t>
            </w:r>
            <w:r>
              <w:rPr>
                <w:rFonts w:hint="eastAsia" w:cs="宋体"/>
                <w:color w:val="auto"/>
                <w:szCs w:val="21"/>
                <w:highlight w:val="none"/>
                <w:u w:val="single"/>
              </w:rPr>
              <w:t>广州交易集团有限公司（广州公共资源交易中心）网站(http:/ www.gzggzy.cn)服务指南栏目</w:t>
            </w:r>
            <w:r>
              <w:rPr>
                <w:rFonts w:hint="eastAsia"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17</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20.1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投标截止时间</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strike/>
                <w:color w:val="auto"/>
                <w:szCs w:val="21"/>
                <w:highlight w:val="none"/>
              </w:rPr>
            </w:pP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w:t>
            </w:r>
            <w:r>
              <w:rPr>
                <w:rFonts w:hint="eastAsia" w:cs="宋体"/>
                <w:color w:val="auto"/>
                <w:szCs w:val="21"/>
                <w:highlight w:val="none"/>
                <w:u w:val="single"/>
              </w:rPr>
              <w:t xml:space="preserve">   </w:t>
            </w:r>
            <w:r>
              <w:rPr>
                <w:rFonts w:hint="eastAsia" w:cs="宋体"/>
                <w:color w:val="auto"/>
                <w:szCs w:val="21"/>
                <w:highlight w:val="none"/>
              </w:rPr>
              <w:t>时</w:t>
            </w:r>
            <w:r>
              <w:rPr>
                <w:rFonts w:hint="eastAsia" w:cs="宋体"/>
                <w:color w:val="auto"/>
                <w:szCs w:val="21"/>
                <w:highlight w:val="none"/>
                <w:u w:val="single"/>
              </w:rPr>
              <w:t xml:space="preserve">   </w:t>
            </w:r>
            <w:r>
              <w:rPr>
                <w:rFonts w:hint="eastAsia"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18</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20.1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开标开始时间和地点</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widowControl/>
              <w:jc w:val="left"/>
              <w:rPr>
                <w:rFonts w:hint="eastAsia" w:cs="宋体"/>
                <w:bCs/>
                <w:color w:val="auto"/>
                <w:kern w:val="0"/>
                <w:szCs w:val="21"/>
                <w:highlight w:val="none"/>
              </w:rPr>
            </w:pPr>
            <w:r>
              <w:rPr>
                <w:rFonts w:hint="eastAsia" w:cs="宋体"/>
                <w:bCs/>
                <w:color w:val="auto"/>
                <w:kern w:val="0"/>
                <w:szCs w:val="21"/>
                <w:highlight w:val="none"/>
              </w:rPr>
              <w:t>1、开标开始时间：</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分（与投标截止时间为同一时间），地点：</w:t>
            </w:r>
            <w:r>
              <w:rPr>
                <w:rFonts w:hint="eastAsia" w:cs="宋体"/>
                <w:color w:val="auto"/>
                <w:szCs w:val="21"/>
                <w:highlight w:val="none"/>
                <w:u w:val="single"/>
              </w:rPr>
              <w:t>广州交易集团有限公司（广州公共资源交易中心）</w:t>
            </w:r>
            <w:r>
              <w:rPr>
                <w:rFonts w:hint="eastAsia" w:cs="宋体"/>
                <w:bCs/>
                <w:color w:val="auto"/>
                <w:kern w:val="0"/>
                <w:szCs w:val="21"/>
                <w:highlight w:val="none"/>
                <w:u w:val="single"/>
              </w:rPr>
              <w:t xml:space="preserve">        开标室</w:t>
            </w:r>
            <w:r>
              <w:rPr>
                <w:rFonts w:hint="eastAsia" w:cs="宋体"/>
                <w:bCs/>
                <w:color w:val="auto"/>
                <w:kern w:val="0"/>
                <w:szCs w:val="21"/>
                <w:highlight w:val="none"/>
              </w:rPr>
              <w:t>。</w:t>
            </w:r>
            <w:r>
              <w:rPr>
                <w:rFonts w:hint="eastAsia" w:cs="宋体"/>
                <w:b/>
                <w:bCs/>
                <w:color w:val="auto"/>
                <w:kern w:val="0"/>
                <w:szCs w:val="21"/>
                <w:highlight w:val="none"/>
              </w:rPr>
              <w:t>投标人也可选择参加在线开标，具体按照交易平台相关指南进行操作。详见：</w:t>
            </w:r>
            <w:r>
              <w:rPr>
                <w:rFonts w:hint="eastAsia" w:cs="宋体"/>
                <w:bCs/>
                <w:color w:val="auto"/>
                <w:kern w:val="0"/>
                <w:szCs w:val="21"/>
                <w:highlight w:val="none"/>
                <w:u w:val="single"/>
              </w:rPr>
              <w:t>广州交易集团有限公司（广州公共资源交易中心）网站最新指引</w:t>
            </w:r>
            <w:r>
              <w:rPr>
                <w:rFonts w:hint="eastAsia" w:cs="宋体"/>
                <w:b/>
                <w:bCs/>
                <w:color w:val="auto"/>
                <w:kern w:val="0"/>
                <w:szCs w:val="21"/>
                <w:highlight w:val="none"/>
              </w:rPr>
              <w:t>。</w:t>
            </w:r>
          </w:p>
          <w:p>
            <w:pPr>
              <w:widowControl/>
              <w:jc w:val="left"/>
              <w:rPr>
                <w:rFonts w:hint="eastAsia" w:cs="宋体"/>
                <w:bCs/>
                <w:color w:val="auto"/>
                <w:kern w:val="0"/>
                <w:szCs w:val="21"/>
                <w:highlight w:val="none"/>
              </w:rPr>
            </w:pPr>
            <w:r>
              <w:rPr>
                <w:rFonts w:hint="eastAsia" w:cs="宋体"/>
                <w:bCs/>
                <w:color w:val="auto"/>
                <w:kern w:val="0"/>
                <w:szCs w:val="21"/>
                <w:highlight w:val="none"/>
              </w:rPr>
              <w:t>注：投标文件解密问题。投标人只用执行一次解密，招标人执行解密次数根据招标文件开标次数确定。</w:t>
            </w:r>
          </w:p>
          <w:p>
            <w:pPr>
              <w:widowControl/>
              <w:jc w:val="left"/>
              <w:rPr>
                <w:rFonts w:hint="eastAsia" w:cs="宋体"/>
                <w:bCs/>
                <w:color w:val="auto"/>
                <w:kern w:val="0"/>
                <w:szCs w:val="21"/>
                <w:highlight w:val="none"/>
              </w:rPr>
            </w:pPr>
            <w:r>
              <w:rPr>
                <w:rFonts w:hint="eastAsia" w:cs="宋体"/>
                <w:bCs/>
                <w:color w:val="auto"/>
                <w:kern w:val="0"/>
                <w:szCs w:val="21"/>
                <w:highlight w:val="none"/>
              </w:rPr>
              <w:t>（选择性条款）2、递交投标文件备用光盘时间：</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分至</w:t>
            </w:r>
            <w:r>
              <w:rPr>
                <w:rFonts w:hint="eastAsia" w:cs="宋体"/>
                <w:bCs/>
                <w:color w:val="auto"/>
                <w:kern w:val="0"/>
                <w:szCs w:val="21"/>
                <w:highlight w:val="none"/>
                <w:u w:val="single"/>
              </w:rPr>
              <w:t xml:space="preserve">     </w:t>
            </w:r>
            <w:r>
              <w:rPr>
                <w:rFonts w:hint="eastAsia" w:cs="宋体"/>
                <w:bCs/>
                <w:color w:val="auto"/>
                <w:kern w:val="0"/>
                <w:szCs w:val="21"/>
                <w:highlight w:val="none"/>
              </w:rPr>
              <w:t>年</w:t>
            </w:r>
            <w:r>
              <w:rPr>
                <w:rFonts w:hint="eastAsia" w:cs="宋体"/>
                <w:bCs/>
                <w:color w:val="auto"/>
                <w:kern w:val="0"/>
                <w:szCs w:val="21"/>
                <w:highlight w:val="none"/>
                <w:u w:val="single"/>
              </w:rPr>
              <w:t xml:space="preserve">   </w:t>
            </w:r>
            <w:r>
              <w:rPr>
                <w:rFonts w:hint="eastAsia" w:cs="宋体"/>
                <w:bCs/>
                <w:color w:val="auto"/>
                <w:kern w:val="0"/>
                <w:szCs w:val="21"/>
                <w:highlight w:val="none"/>
              </w:rPr>
              <w:t>月</w:t>
            </w:r>
            <w:r>
              <w:rPr>
                <w:rFonts w:hint="eastAsia" w:cs="宋体"/>
                <w:bCs/>
                <w:color w:val="auto"/>
                <w:kern w:val="0"/>
                <w:szCs w:val="21"/>
                <w:highlight w:val="none"/>
                <w:u w:val="single"/>
              </w:rPr>
              <w:t xml:space="preserve">   </w:t>
            </w:r>
            <w:r>
              <w:rPr>
                <w:rFonts w:hint="eastAsia" w:cs="宋体"/>
                <w:bCs/>
                <w:color w:val="auto"/>
                <w:kern w:val="0"/>
                <w:szCs w:val="21"/>
                <w:highlight w:val="none"/>
              </w:rPr>
              <w:t>日</w:t>
            </w:r>
            <w:r>
              <w:rPr>
                <w:rFonts w:hint="eastAsia" w:cs="宋体"/>
                <w:bCs/>
                <w:color w:val="auto"/>
                <w:kern w:val="0"/>
                <w:szCs w:val="21"/>
                <w:highlight w:val="none"/>
                <w:u w:val="single"/>
              </w:rPr>
              <w:t xml:space="preserve">   </w:t>
            </w:r>
            <w:r>
              <w:rPr>
                <w:rFonts w:hint="eastAsia" w:cs="宋体"/>
                <w:bCs/>
                <w:color w:val="auto"/>
                <w:kern w:val="0"/>
                <w:szCs w:val="21"/>
                <w:highlight w:val="none"/>
              </w:rPr>
              <w:t>时</w:t>
            </w:r>
            <w:r>
              <w:rPr>
                <w:rFonts w:hint="eastAsia" w:cs="宋体"/>
                <w:bCs/>
                <w:color w:val="auto"/>
                <w:kern w:val="0"/>
                <w:szCs w:val="21"/>
                <w:highlight w:val="none"/>
                <w:u w:val="single"/>
              </w:rPr>
              <w:t xml:space="preserve">   </w:t>
            </w:r>
            <w:r>
              <w:rPr>
                <w:rFonts w:hint="eastAsia" w:cs="宋体"/>
                <w:bCs/>
                <w:color w:val="auto"/>
                <w:kern w:val="0"/>
                <w:szCs w:val="21"/>
                <w:highlight w:val="none"/>
              </w:rPr>
              <w:t>分；递交地点：</w:t>
            </w:r>
            <w:r>
              <w:rPr>
                <w:rFonts w:hint="eastAsia" w:cs="宋体"/>
                <w:bCs/>
                <w:color w:val="auto"/>
                <w:kern w:val="0"/>
                <w:szCs w:val="21"/>
                <w:highlight w:val="none"/>
                <w:u w:val="single"/>
              </w:rPr>
              <w:t xml:space="preserve">      </w:t>
            </w:r>
            <w:r>
              <w:rPr>
                <w:rFonts w:hint="eastAsia" w:cs="宋体"/>
                <w:bCs/>
                <w:color w:val="auto"/>
                <w:kern w:val="0"/>
                <w:szCs w:val="21"/>
                <w:highlight w:val="none"/>
              </w:rPr>
              <w:t>。(建议安排在投标文件截止时间前15分钟至投标文件截止时间）</w:t>
            </w:r>
          </w:p>
          <w:p>
            <w:pPr>
              <w:rPr>
                <w:rFonts w:hint="eastAsia" w:cs="宋体"/>
                <w:color w:val="auto"/>
                <w:szCs w:val="21"/>
                <w:highlight w:val="none"/>
              </w:rPr>
            </w:pPr>
            <w:r>
              <w:rPr>
                <w:rFonts w:hint="eastAsia" w:cs="宋体"/>
                <w:bCs/>
                <w:color w:val="auto"/>
                <w:kern w:val="0"/>
                <w:szCs w:val="21"/>
                <w:highlight w:val="none"/>
              </w:rPr>
              <w:t>上述时间及地点是否有改变，请密切留意</w:t>
            </w:r>
            <w:r>
              <w:rPr>
                <w:rFonts w:hint="eastAsia" w:cs="宋体"/>
                <w:b/>
                <w:color w:val="auto"/>
                <w:kern w:val="0"/>
                <w:szCs w:val="21"/>
                <w:highlight w:val="none"/>
              </w:rPr>
              <w:t>补充公告和</w:t>
            </w:r>
            <w:r>
              <w:rPr>
                <w:rFonts w:hint="eastAsia" w:cs="宋体"/>
                <w:bCs/>
                <w:color w:val="auto"/>
                <w:kern w:val="0"/>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19</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26</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开标评标办法</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pStyle w:val="5"/>
              <w:spacing w:after="0"/>
              <w:ind w:firstLine="0"/>
              <w:rPr>
                <w:rFonts w:hint="eastAsia" w:ascii="宋体" w:hAnsi="宋体" w:cs="宋体"/>
                <w:color w:val="auto"/>
                <w:spacing w:val="-2"/>
                <w:kern w:val="2"/>
                <w:sz w:val="21"/>
                <w:szCs w:val="21"/>
                <w:highlight w:val="none"/>
                <w:u w:val="single"/>
              </w:rPr>
            </w:pPr>
            <w:r>
              <w:rPr>
                <w:rFonts w:hint="eastAsia" w:ascii="宋体" w:hAnsi="宋体" w:cs="宋体"/>
                <w:color w:val="auto"/>
                <w:kern w:val="2"/>
                <w:sz w:val="21"/>
                <w:szCs w:val="21"/>
                <w:highlight w:val="none"/>
              </w:rPr>
              <w:t>方式一：</w:t>
            </w:r>
            <w:r>
              <w:rPr>
                <w:rFonts w:hint="eastAsia" w:ascii="宋体" w:hAnsi="宋体" w:cs="宋体"/>
                <w:color w:val="auto"/>
                <w:spacing w:val="-2"/>
                <w:kern w:val="2"/>
                <w:sz w:val="21"/>
                <w:szCs w:val="21"/>
                <w:highlight w:val="none"/>
              </w:rPr>
              <w:t>选取方法</w:t>
            </w:r>
            <w:r>
              <w:rPr>
                <w:rFonts w:hint="eastAsia" w:ascii="宋体" w:hAnsi="宋体" w:cs="宋体"/>
                <w:color w:val="auto"/>
                <w:spacing w:val="-2"/>
                <w:kern w:val="2"/>
                <w:sz w:val="21"/>
                <w:szCs w:val="21"/>
                <w:highlight w:val="none"/>
                <w:u w:val="single"/>
              </w:rPr>
              <w:t>七（适合综合评分法四，技术标与经济标同时开启）</w:t>
            </w:r>
          </w:p>
          <w:p>
            <w:pPr>
              <w:pStyle w:val="5"/>
              <w:spacing w:after="0"/>
              <w:ind w:firstLine="0"/>
              <w:rPr>
                <w:rFonts w:hint="eastAsia" w:ascii="宋体" w:hAnsi="宋体" w:cs="宋体"/>
                <w:color w:val="auto"/>
                <w:spacing w:val="-2"/>
                <w:kern w:val="2"/>
                <w:sz w:val="21"/>
                <w:szCs w:val="21"/>
                <w:highlight w:val="none"/>
                <w:u w:val="single"/>
              </w:rPr>
            </w:pPr>
            <w:bookmarkStart w:id="2" w:name="_Hlk161907909"/>
            <w:r>
              <w:rPr>
                <w:rFonts w:hint="eastAsia" w:ascii="宋体" w:hAnsi="宋体" w:cs="宋体"/>
                <w:color w:val="auto"/>
                <w:spacing w:val="-2"/>
                <w:kern w:val="2"/>
                <w:sz w:val="21"/>
                <w:szCs w:val="21"/>
                <w:highlight w:val="none"/>
                <w:u w:val="single"/>
              </w:rPr>
              <w:t>投标人总得分=技术得分（满分100分）×技术得分权重（20%）＋经济得分(满分100分)×经济得分权重（80%）</w:t>
            </w:r>
          </w:p>
          <w:p>
            <w:pPr>
              <w:pStyle w:val="5"/>
              <w:spacing w:after="0"/>
              <w:ind w:firstLine="0"/>
              <w:rPr>
                <w:rFonts w:hint="eastAsia" w:ascii="宋体" w:hAnsi="宋体" w:cs="宋体"/>
                <w:color w:val="auto"/>
                <w:kern w:val="2"/>
                <w:sz w:val="21"/>
                <w:szCs w:val="21"/>
                <w:highlight w:val="none"/>
              </w:rPr>
            </w:pPr>
            <w:r>
              <w:rPr>
                <w:rFonts w:hint="eastAsia" w:ascii="宋体" w:hAnsi="宋体" w:cs="宋体"/>
                <w:color w:val="auto"/>
                <w:spacing w:val="-2"/>
                <w:kern w:val="2"/>
                <w:sz w:val="21"/>
                <w:szCs w:val="21"/>
                <w:highlight w:val="none"/>
                <w:u w:val="single"/>
              </w:rPr>
              <w:t>总得分相同的投标文件，以技术分较高的排前；如仍存在相同情况，则对具有相同情况的投标人，由评标委员会采用记名投票方式，以得票多的排前。</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20</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29.1</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履约担保</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pStyle w:val="5"/>
              <w:spacing w:after="0"/>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方式一：中标人提供的履约保证金为中标价款的</w:t>
            </w:r>
            <w:r>
              <w:rPr>
                <w:rFonts w:hint="eastAsia" w:ascii="宋体" w:hAnsi="宋体" w:cs="宋体"/>
                <w:color w:val="auto"/>
                <w:kern w:val="2"/>
                <w:sz w:val="21"/>
                <w:szCs w:val="21"/>
                <w:highlight w:val="none"/>
                <w:lang w:val="en-US" w:eastAsia="zh-CN"/>
              </w:rPr>
              <w:t>10</w:t>
            </w:r>
            <w:r>
              <w:rPr>
                <w:rFonts w:hint="eastAsia" w:ascii="宋体" w:hAnsi="宋体" w:cs="宋体"/>
                <w:color w:val="auto"/>
                <w:kern w:val="2"/>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21</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最高投标限价</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本项目最高投标限价为人民币</w:t>
            </w:r>
            <w:r>
              <w:rPr>
                <w:rFonts w:hint="eastAsia" w:cs="宋体"/>
                <w:color w:val="auto"/>
                <w:szCs w:val="21"/>
                <w:highlight w:val="none"/>
                <w:lang w:val="en-US" w:eastAsia="zh-CN"/>
              </w:rPr>
              <w:t>5,604,443.41</w:t>
            </w:r>
            <w:r>
              <w:rPr>
                <w:rFonts w:hint="eastAsia" w:cs="宋体"/>
                <w:color w:val="auto"/>
                <w:szCs w:val="21"/>
                <w:highlight w:val="none"/>
              </w:rPr>
              <w:t>元，投标总价超过最高投标限价的投标文件将被拒绝。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非竞争费用</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本项目绿色施工安全防护措施费为</w:t>
            </w:r>
            <w:r>
              <w:rPr>
                <w:rFonts w:hint="eastAsia" w:cs="宋体"/>
                <w:color w:val="auto"/>
                <w:szCs w:val="21"/>
                <w:highlight w:val="none"/>
                <w:u w:val="single"/>
                <w:lang w:val="en-US" w:eastAsia="zh-CN"/>
              </w:rPr>
              <w:t>464,806.99</w:t>
            </w:r>
            <w:r>
              <w:rPr>
                <w:rFonts w:hint="eastAsia" w:cs="宋体"/>
                <w:color w:val="auto"/>
                <w:szCs w:val="21"/>
                <w:highlight w:val="none"/>
              </w:rPr>
              <w:t>元，暂列金额为</w:t>
            </w:r>
            <w:r>
              <w:rPr>
                <w:rFonts w:hint="eastAsia" w:cs="宋体"/>
                <w:color w:val="auto"/>
                <w:szCs w:val="21"/>
                <w:highlight w:val="none"/>
                <w:u w:val="single"/>
                <w:lang w:val="en-US" w:eastAsia="zh-CN"/>
              </w:rPr>
              <w:t>210376.83</w:t>
            </w:r>
            <w:r>
              <w:rPr>
                <w:rFonts w:hint="eastAsia" w:cs="宋体"/>
                <w:color w:val="auto"/>
                <w:szCs w:val="21"/>
                <w:highlight w:val="none"/>
              </w:rPr>
              <w:t>元，暂估价为</w:t>
            </w:r>
            <w:r>
              <w:rPr>
                <w:rFonts w:hint="eastAsia" w:cs="宋体"/>
                <w:color w:val="auto"/>
                <w:szCs w:val="21"/>
                <w:highlight w:val="none"/>
                <w:lang w:val="en-US" w:eastAsia="zh-CN"/>
              </w:rPr>
              <w:t>15000</w:t>
            </w:r>
            <w:r>
              <w:rPr>
                <w:rFonts w:hint="eastAsia"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23</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5"/>
              <w:spacing w:after="0"/>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24</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计算评标参考价的等分点值</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25</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进入第二阶段评审的家数</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26</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工程成本警戒价</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工程成本警戒价为</w:t>
            </w:r>
            <w:r>
              <w:rPr>
                <w:rFonts w:hint="eastAsia" w:cs="宋体"/>
                <w:color w:val="auto"/>
                <w:szCs w:val="21"/>
                <w:highlight w:val="none"/>
                <w:u w:val="single"/>
                <w:lang w:val="en-US" w:eastAsia="zh-CN"/>
              </w:rPr>
              <w:t xml:space="preserve"> 4483554.73 </w:t>
            </w:r>
            <w:r>
              <w:rPr>
                <w:rFonts w:hint="eastAsia" w:cs="宋体"/>
                <w:color w:val="auto"/>
                <w:szCs w:val="21"/>
                <w:highlight w:val="none"/>
              </w:rPr>
              <w:t>元(按最高投标限价的</w:t>
            </w:r>
            <w:r>
              <w:rPr>
                <w:rFonts w:hint="eastAsia" w:cs="宋体"/>
                <w:color w:val="auto"/>
                <w:szCs w:val="21"/>
                <w:highlight w:val="none"/>
                <w:lang w:val="en-US" w:eastAsia="zh-CN"/>
              </w:rPr>
              <w:t>80</w:t>
            </w:r>
            <w:r>
              <w:rPr>
                <w:rFonts w:hint="eastAsia" w:cs="宋体"/>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cs="宋体"/>
                <w:color w:val="auto"/>
                <w:szCs w:val="21"/>
                <w:highlight w:val="none"/>
                <w:u w:val="single"/>
              </w:rPr>
            </w:pPr>
            <w:r>
              <w:rPr>
                <w:rFonts w:hint="eastAsia"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27</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第一阶段各分值的权重</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28</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评标委员会人数</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29</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企业综合诚信评价分数</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pStyle w:val="9"/>
              <w:ind w:firstLine="0" w:firstLineChars="0"/>
              <w:rPr>
                <w:rFonts w:hint="eastAsia"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30</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第二阶段投标人名次的排序方法（适用于办法一、办法二）</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31</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经济分相同情况下的排序方法（适用于办法三、办法四）</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第二阶段投标人名次的排序方法（适用于办法五、办法六）</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33</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13.4、13.5.2</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合同价款的调整办法</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34</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建设工程质量检测单位</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kern w:val="0"/>
                <w:szCs w:val="21"/>
                <w:highlight w:val="none"/>
                <w:lang w:val="zh-CN"/>
              </w:rPr>
            </w:pPr>
            <w:r>
              <w:rPr>
                <w:rFonts w:hint="eastAsia"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35</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kern w:val="0"/>
                <w:szCs w:val="21"/>
                <w:highlight w:val="none"/>
                <w:lang w:val="zh-CN"/>
              </w:rPr>
            </w:pPr>
            <w:r>
              <w:rPr>
                <w:rFonts w:hint="eastAsia" w:cs="宋体"/>
                <w:color w:val="auto"/>
                <w:kern w:val="0"/>
                <w:szCs w:val="21"/>
                <w:highlight w:val="none"/>
                <w:lang w:val="zh-CN"/>
              </w:rPr>
              <w:t>分包</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kern w:val="0"/>
                <w:szCs w:val="21"/>
                <w:highlight w:val="none"/>
                <w:lang w:val="zh-CN"/>
              </w:rPr>
            </w:pPr>
            <w:r>
              <w:rPr>
                <w:rFonts w:hint="eastAsia" w:cs="宋体"/>
                <w:color w:val="auto"/>
                <w:kern w:val="0"/>
                <w:szCs w:val="21"/>
                <w:highlight w:val="none"/>
                <w:lang w:val="zh-CN"/>
              </w:rPr>
              <w:t>■不允许；</w:t>
            </w:r>
          </w:p>
          <w:p>
            <w:pPr>
              <w:rPr>
                <w:rFonts w:hint="eastAsia" w:cs="宋体"/>
                <w:color w:val="auto"/>
                <w:kern w:val="0"/>
                <w:szCs w:val="21"/>
                <w:highlight w:val="none"/>
                <w:lang w:val="zh-CN"/>
              </w:rPr>
            </w:pPr>
            <w:r>
              <w:rPr>
                <w:rFonts w:hint="eastAsia" w:cs="宋体"/>
                <w:color w:val="auto"/>
                <w:kern w:val="0"/>
                <w:szCs w:val="21"/>
                <w:highlight w:val="none"/>
                <w:lang w:val="zh-CN"/>
              </w:rPr>
              <w:t>□允许：分包内容要求：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hint="eastAsia" w:cs="宋体"/>
                <w:color w:val="auto"/>
                <w:kern w:val="0"/>
                <w:szCs w:val="21"/>
                <w:highlight w:val="none"/>
                <w:lang w:val="zh-CN"/>
              </w:rPr>
            </w:pPr>
            <w:r>
              <w:rPr>
                <w:rFonts w:hint="eastAsia" w:cs="宋体"/>
                <w:color w:val="auto"/>
                <w:kern w:val="0"/>
                <w:szCs w:val="21"/>
                <w:highlight w:val="none"/>
                <w:lang w:val="zh-CN"/>
              </w:rPr>
              <w:t xml:space="preserve">     分包金额要求：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hint="eastAsia" w:cs="宋体"/>
                <w:color w:val="auto"/>
                <w:kern w:val="0"/>
                <w:szCs w:val="21"/>
                <w:highlight w:val="none"/>
                <w:lang w:val="zh-CN"/>
              </w:rPr>
            </w:pPr>
            <w:r>
              <w:rPr>
                <w:rFonts w:hint="eastAsia" w:cs="宋体"/>
                <w:color w:val="auto"/>
                <w:kern w:val="0"/>
                <w:szCs w:val="21"/>
                <w:highlight w:val="none"/>
                <w:lang w:val="zh-CN"/>
              </w:rPr>
              <w:t xml:space="preserve">     对分包人的资质要求：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p>
            <w:pPr>
              <w:rPr>
                <w:rFonts w:hint="eastAsia" w:cs="宋体"/>
                <w:color w:val="auto"/>
                <w:kern w:val="0"/>
                <w:szCs w:val="21"/>
                <w:highlight w:val="none"/>
                <w:lang w:val="zh-CN"/>
              </w:rPr>
            </w:pPr>
            <w:r>
              <w:rPr>
                <w:rFonts w:hint="eastAsia" w:cs="宋体"/>
                <w:color w:val="auto"/>
                <w:kern w:val="0"/>
                <w:szCs w:val="21"/>
                <w:highlight w:val="none"/>
                <w:lang w:val="zh-CN"/>
              </w:rPr>
              <w:t xml:space="preserve">     对分包人的其他要求：</w:t>
            </w:r>
            <w:r>
              <w:rPr>
                <w:rFonts w:hint="eastAsia" w:cs="宋体"/>
                <w:color w:val="auto"/>
                <w:kern w:val="0"/>
                <w:szCs w:val="21"/>
                <w:highlight w:val="none"/>
                <w:u w:val="single"/>
              </w:rPr>
              <w:t>/</w:t>
            </w:r>
            <w:r>
              <w:rPr>
                <w:rFonts w:hint="eastAsia" w:cs="宋体"/>
                <w:color w:val="auto"/>
                <w:kern w:val="0"/>
                <w:szCs w:val="21"/>
                <w:highlight w:val="none"/>
                <w:u w:val="singl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36</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电子招标投标解密失败及突发情况的补救</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rPr>
            </w:pPr>
            <w:r>
              <w:rPr>
                <w:rFonts w:hint="eastAsia" w:cs="宋体"/>
                <w:color w:val="auto"/>
                <w:szCs w:val="21"/>
                <w:highlight w:val="none"/>
              </w:rPr>
              <w:t>1、按照交易平台关于全流程电子化项目的相关指南进行操作。详见：</w:t>
            </w:r>
            <w:r>
              <w:rPr>
                <w:rFonts w:hint="eastAsia" w:cs="宋体"/>
                <w:bCs/>
                <w:color w:val="auto"/>
                <w:kern w:val="0"/>
                <w:szCs w:val="21"/>
                <w:highlight w:val="none"/>
                <w:u w:val="single"/>
              </w:rPr>
              <w:t>广州交易集团有限公司（广州公共资源交易中心）网站发布的最新版操作指引</w:t>
            </w:r>
            <w:r>
              <w:rPr>
                <w:rFonts w:hint="eastAsia" w:cs="宋体"/>
                <w:color w:val="auto"/>
                <w:szCs w:val="21"/>
                <w:highlight w:val="none"/>
              </w:rPr>
              <w:t>。</w:t>
            </w:r>
          </w:p>
          <w:p>
            <w:pPr>
              <w:rPr>
                <w:rFonts w:hint="eastAsia" w:cs="宋体"/>
                <w:color w:val="auto"/>
                <w:szCs w:val="21"/>
                <w:highlight w:val="none"/>
              </w:rPr>
            </w:pPr>
            <w:r>
              <w:rPr>
                <w:rFonts w:hint="eastAsia" w:cs="宋体"/>
                <w:color w:val="auto"/>
                <w:szCs w:val="21"/>
                <w:highlight w:val="none"/>
              </w:rPr>
              <w:t>2、提交投标文件光盘备用</w:t>
            </w:r>
          </w:p>
          <w:p>
            <w:pPr>
              <w:rPr>
                <w:rFonts w:hint="eastAsia" w:cs="宋体"/>
                <w:color w:val="auto"/>
                <w:szCs w:val="21"/>
                <w:highlight w:val="none"/>
              </w:rPr>
            </w:pPr>
            <w:r>
              <w:rPr>
                <w:rFonts w:hint="eastAsia"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cs="宋体"/>
                <w:color w:val="auto"/>
                <w:szCs w:val="21"/>
                <w:highlight w:val="none"/>
              </w:rPr>
            </w:pPr>
            <w:r>
              <w:rPr>
                <w:rFonts w:hint="eastAsia" w:cs="宋体"/>
                <w:color w:val="auto"/>
                <w:szCs w:val="21"/>
                <w:highlight w:val="none"/>
              </w:rPr>
              <w:t xml:space="preserve"> 3、补救方案</w:t>
            </w:r>
          </w:p>
          <w:p>
            <w:pPr>
              <w:rPr>
                <w:rFonts w:hint="eastAsia" w:cs="宋体"/>
                <w:color w:val="auto"/>
                <w:szCs w:val="21"/>
                <w:highlight w:val="none"/>
              </w:rPr>
            </w:pPr>
            <w:r>
              <w:rPr>
                <w:rFonts w:hint="eastAsia" w:cs="宋体"/>
                <w:color w:val="auto"/>
                <w:szCs w:val="21"/>
                <w:highlight w:val="none"/>
              </w:rPr>
              <w:t>（1）投标文件解密失败的补救方案：</w:t>
            </w:r>
          </w:p>
          <w:p>
            <w:pPr>
              <w:rPr>
                <w:rFonts w:hint="eastAsia" w:cs="宋体"/>
                <w:color w:val="auto"/>
                <w:szCs w:val="21"/>
                <w:highlight w:val="none"/>
              </w:rPr>
            </w:pPr>
            <w:r>
              <w:rPr>
                <w:rFonts w:hint="eastAsia"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cs="宋体"/>
                <w:color w:val="auto"/>
                <w:szCs w:val="21"/>
                <w:highlight w:val="none"/>
              </w:rPr>
            </w:pPr>
            <w:r>
              <w:rPr>
                <w:rFonts w:hint="eastAsia" w:cs="宋体"/>
                <w:color w:val="auto"/>
                <w:szCs w:val="21"/>
                <w:highlight w:val="none"/>
              </w:rPr>
              <w:t>（2）评标时突发情况的补救方案</w:t>
            </w:r>
          </w:p>
          <w:p>
            <w:pPr>
              <w:rPr>
                <w:rFonts w:hint="eastAsia" w:cs="宋体"/>
                <w:color w:val="auto"/>
                <w:szCs w:val="21"/>
                <w:highlight w:val="none"/>
              </w:rPr>
            </w:pPr>
            <w:r>
              <w:rPr>
                <w:rFonts w:hint="eastAsia"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hint="eastAsia" w:cs="宋体"/>
                <w:color w:val="auto"/>
                <w:szCs w:val="21"/>
                <w:highlight w:val="none"/>
              </w:rPr>
            </w:pPr>
            <w:r>
              <w:rPr>
                <w:rFonts w:hint="eastAsia"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r>
              <w:rPr>
                <w:rFonts w:hint="eastAsia" w:cs="宋体"/>
                <w:color w:val="auto"/>
                <w:szCs w:val="21"/>
                <w:highlight w:val="none"/>
              </w:rPr>
              <w:t>37</w:t>
            </w: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u w:val="single"/>
              </w:rPr>
              <w:t>招标人拒绝接收投标文件备用光盘的情况</w:t>
            </w:r>
          </w:p>
        </w:tc>
        <w:tc>
          <w:tcPr>
            <w:tcW w:w="6482" w:type="dxa"/>
            <w:tcBorders>
              <w:top w:val="single" w:color="auto" w:sz="4" w:space="0"/>
              <w:left w:val="single" w:color="auto" w:sz="4" w:space="0"/>
              <w:bottom w:val="single" w:color="auto" w:sz="4" w:space="0"/>
              <w:right w:val="double" w:color="auto" w:sz="4" w:space="0"/>
            </w:tcBorders>
            <w:noWrap w:val="0"/>
            <w:vAlign w:val="center"/>
          </w:tcPr>
          <w:p>
            <w:pPr>
              <w:rPr>
                <w:rFonts w:hint="eastAsia" w:cs="宋体"/>
                <w:color w:val="auto"/>
                <w:szCs w:val="21"/>
                <w:highlight w:val="none"/>
                <w:u w:val="single"/>
              </w:rPr>
            </w:pPr>
            <w:r>
              <w:rPr>
                <w:rFonts w:hint="eastAsia" w:cs="宋体"/>
                <w:color w:val="auto"/>
                <w:szCs w:val="21"/>
                <w:highlight w:val="none"/>
                <w:u w:val="single"/>
              </w:rPr>
              <w:t>1、在投标截止期后逾期或未在指定地点递交投标文件备用光盘的；</w:t>
            </w:r>
          </w:p>
          <w:p>
            <w:pPr>
              <w:rPr>
                <w:rFonts w:hint="eastAsia" w:cs="宋体"/>
                <w:color w:val="auto"/>
                <w:szCs w:val="21"/>
                <w:highlight w:val="none"/>
                <w:u w:val="single"/>
              </w:rPr>
            </w:pPr>
            <w:r>
              <w:rPr>
                <w:rFonts w:hint="eastAsia" w:cs="宋体"/>
                <w:color w:val="auto"/>
                <w:szCs w:val="21"/>
                <w:highlight w:val="none"/>
                <w:u w:val="single"/>
              </w:rPr>
              <w:t>2、投标文件备用光盘未按招标文件要求密封或未在密封处盖章的；</w:t>
            </w:r>
          </w:p>
          <w:p>
            <w:pPr>
              <w:rPr>
                <w:rFonts w:hint="eastAsia" w:cs="宋体"/>
                <w:color w:val="auto"/>
                <w:szCs w:val="21"/>
                <w:highlight w:val="none"/>
              </w:rPr>
            </w:pPr>
            <w:r>
              <w:rPr>
                <w:rFonts w:hint="eastAsia" w:cs="宋体"/>
                <w:color w:val="auto"/>
                <w:szCs w:val="21"/>
                <w:highlight w:val="none"/>
                <w:u w:val="single"/>
              </w:rPr>
              <w:t>3、投标人代表未凭法定代表人证明书（原件）、授权委托书原件（仅限于非法定代表人）、本人身份证原件递交投标文件备用光盘的。</w:t>
            </w:r>
          </w:p>
        </w:tc>
      </w:tr>
    </w:tbl>
    <w:p>
      <w:pPr>
        <w:pStyle w:val="7"/>
        <w:rPr>
          <w:color w:val="auto"/>
          <w:highlight w:val="none"/>
        </w:rPr>
      </w:pPr>
      <w:r>
        <w:rPr>
          <w:color w:val="auto"/>
          <w:highlight w:val="none"/>
        </w:rPr>
        <w:br w:type="page"/>
      </w:r>
      <w:bookmarkStart w:id="3" w:name="_Toc14896"/>
      <w:r>
        <w:rPr>
          <w:rFonts w:hint="eastAsia"/>
          <w:color w:val="auto"/>
          <w:highlight w:val="none"/>
        </w:rPr>
        <w:t>二、投标须知修改表</w:t>
      </w:r>
      <w:bookmarkEnd w:id="3"/>
    </w:p>
    <w:p>
      <w:pPr>
        <w:pStyle w:val="5"/>
        <w:pBdr>
          <w:bottom w:val="single" w:color="auto" w:sz="6" w:space="1"/>
        </w:pBdr>
        <w:spacing w:line="360" w:lineRule="auto"/>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ascii="仿宋" w:hAnsi="仿宋" w:eastAsia="仿宋" w:cs="宋体"/>
          <w:b/>
          <w:bCs/>
          <w:color w:val="auto"/>
          <w:sz w:val="22"/>
          <w:highlight w:val="none"/>
        </w:rPr>
        <w:t>http://zfcj.gz.gov.cn/</w:t>
      </w:r>
      <w:r>
        <w:rPr>
          <w:rFonts w:hint="eastAsia" w:ascii="宋体" w:hAnsi="宋体" w:cs="宋体"/>
          <w:b/>
          <w:color w:val="auto"/>
          <w:szCs w:val="21"/>
          <w:highlight w:val="none"/>
        </w:rPr>
        <w:t>）下载查阅。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条款号：2.5                          修改类型：增加</w:t>
      </w:r>
    </w:p>
    <w:p>
      <w:pPr>
        <w:pStyle w:val="5"/>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条款号：5.1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：5.1</w:t>
      </w:r>
      <w:r>
        <w:rPr>
          <w:rFonts w:hint="eastAsia" w:cs="宋体"/>
          <w:bCs/>
          <w:color w:val="auto"/>
          <w:szCs w:val="21"/>
          <w:highlight w:val="none"/>
        </w:rPr>
        <w:t>投标人应按本投标须知前附表第15项所述时间和要求对工程现场及周围环境进行踏勘，</w:t>
      </w:r>
      <w:r>
        <w:rPr>
          <w:rFonts w:hint="eastAsia" w:cs="宋体"/>
          <w:color w:val="auto"/>
          <w:szCs w:val="21"/>
          <w:highlight w:val="none"/>
        </w:rPr>
        <w:t>投标人应充分重视和仔细地进行这种考察，</w:t>
      </w:r>
      <w:r>
        <w:rPr>
          <w:rFonts w:hint="eastAsia" w:cs="宋体"/>
          <w:bCs/>
          <w:color w:val="auto"/>
          <w:szCs w:val="21"/>
          <w:highlight w:val="none"/>
        </w:rPr>
        <w:t>以便投标人获取</w:t>
      </w:r>
      <w:r>
        <w:rPr>
          <w:rFonts w:hint="eastAsia" w:cs="宋体"/>
          <w:color w:val="auto"/>
          <w:szCs w:val="21"/>
          <w:highlight w:val="none"/>
        </w:rPr>
        <w:t>那些须投标人自己负责的</w:t>
      </w:r>
      <w:r>
        <w:rPr>
          <w:rFonts w:hint="eastAsia" w:cs="宋体"/>
          <w:bCs/>
          <w:color w:val="auto"/>
          <w:szCs w:val="21"/>
          <w:highlight w:val="none"/>
        </w:rPr>
        <w:t>有关编制投标文件和签署合同所涉及现场所有的资料。</w:t>
      </w:r>
      <w:r>
        <w:rPr>
          <w:rFonts w:hint="eastAsia"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cs="宋体"/>
          <w:color w:val="auto"/>
          <w:szCs w:val="21"/>
          <w:highlight w:val="none"/>
          <w:u w:val="single"/>
        </w:rPr>
        <w:t>招标人不受理因投标人缺乏对现场条件的了解或掌握而提出的任何索赔。</w:t>
      </w:r>
      <w:r>
        <w:rPr>
          <w:rFonts w:hint="eastAsia" w:cs="宋体"/>
          <w:color w:val="auto"/>
          <w:szCs w:val="21"/>
          <w:highlight w:val="none"/>
        </w:rPr>
        <w:t>考察现场的费用由投标人自己承担。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条款号：8.1                          修改类型：修改</w:t>
      </w:r>
    </w:p>
    <w:p>
      <w:pPr>
        <w:pStyle w:val="5"/>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8.1投标人若对招标文件（包括招标图纸）中有疑问，可以书面形式通过交易平台提交给招标人或招标代理人，提交形式见本须知前附表第16项。</w:t>
      </w:r>
    </w:p>
    <w:p>
      <w:pPr>
        <w:pStyle w:val="5"/>
        <w:pBdr>
          <w:bottom w:val="single" w:color="auto" w:sz="6" w:space="1"/>
        </w:pBdr>
        <w:spacing w:after="0" w:line="360" w:lineRule="auto"/>
        <w:ind w:firstLine="411" w:firstLineChars="195"/>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项目答疑纪要采用网上答疑方式进行。投标人若对招标文件（包括招标图纸、清单、最高投标限价、合同条款）有疑问的，可在规定的时间内通过广州公共资源交易中心网站将问题提交给招标人或招标代理人，提交问题时一律不得署名。</w:t>
      </w:r>
    </w:p>
    <w:p>
      <w:pPr>
        <w:pStyle w:val="5"/>
        <w:pBdr>
          <w:bottom w:val="single" w:color="auto" w:sz="6" w:space="1"/>
        </w:pBdr>
        <w:spacing w:after="0" w:line="360" w:lineRule="auto"/>
        <w:ind w:firstLine="409" w:firstLineChars="195"/>
        <w:rPr>
          <w:rFonts w:hint="eastAsia" w:ascii="宋体" w:hAnsi="宋体" w:cs="宋体"/>
          <w:color w:val="auto"/>
          <w:sz w:val="21"/>
          <w:szCs w:val="21"/>
          <w:highlight w:val="none"/>
        </w:rPr>
      </w:pPr>
      <w:r>
        <w:rPr>
          <w:rFonts w:hint="eastAsia" w:ascii="宋体" w:hAnsi="宋体" w:cs="宋体"/>
          <w:color w:val="auto"/>
          <w:sz w:val="21"/>
          <w:szCs w:val="21"/>
          <w:highlight w:val="none"/>
        </w:rPr>
        <w:t>网上答疑的操作指南为：投标人登录交易中心数字交易平台，进入“我是投标人（供应商）”-&gt;“我的投标”-&gt;“招标答疑提问”查询项目并提问(提问一律不得署名)以及查看所有的问题。</w:t>
      </w:r>
    </w:p>
    <w:p>
      <w:pPr>
        <w:pStyle w:val="5"/>
        <w:pBdr>
          <w:bottom w:val="single" w:color="auto" w:sz="6" w:space="1"/>
        </w:pBdr>
        <w:spacing w:after="0" w:line="360" w:lineRule="auto"/>
        <w:ind w:firstLine="409" w:firstLineChars="195"/>
        <w:rPr>
          <w:rFonts w:ascii="宋体" w:hAnsi="宋体" w:cs="宋体"/>
          <w:color w:val="auto"/>
          <w:sz w:val="21"/>
          <w:szCs w:val="21"/>
          <w:highlight w:val="none"/>
        </w:rPr>
      </w:pPr>
    </w:p>
    <w:p>
      <w:pPr>
        <w:spacing w:line="360" w:lineRule="auto"/>
        <w:ind w:firstLine="411" w:firstLineChars="195"/>
        <w:rPr>
          <w:rFonts w:cs="宋体"/>
          <w:b/>
          <w:color w:val="auto"/>
          <w:szCs w:val="21"/>
          <w:highlight w:val="none"/>
        </w:rPr>
      </w:pPr>
      <w:r>
        <w:rPr>
          <w:rFonts w:hint="eastAsia" w:cs="宋体"/>
          <w:b/>
          <w:color w:val="auto"/>
          <w:szCs w:val="21"/>
          <w:highlight w:val="none"/>
        </w:rPr>
        <w:t>条款号：8.2                         修改类型：修改</w:t>
      </w:r>
    </w:p>
    <w:p>
      <w:pPr>
        <w:pStyle w:val="5"/>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Style w:val="5"/>
        <w:pBdr>
          <w:bottom w:val="single" w:color="auto" w:sz="4"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 w:val="21"/>
          <w:szCs w:val="21"/>
          <w:highlight w:val="none"/>
          <w:u w:val="single"/>
        </w:rPr>
        <w:t>项目查询(日程安排、答疑纪要)</w:t>
      </w:r>
      <w:r>
        <w:rPr>
          <w:rFonts w:hint="eastAsia" w:ascii="宋体" w:hAnsi="宋体" w:cs="宋体"/>
          <w:color w:val="auto"/>
          <w:sz w:val="21"/>
          <w:szCs w:val="21"/>
          <w:highlight w:val="none"/>
          <w:u w:val="single"/>
        </w:rPr>
        <w:fldChar w:fldCharType="end"/>
      </w:r>
      <w:r>
        <w:rPr>
          <w:rFonts w:hint="eastAsia" w:ascii="宋体" w:hAnsi="宋体" w:cs="宋体"/>
          <w:color w:val="auto"/>
          <w:sz w:val="21"/>
          <w:szCs w:val="21"/>
          <w:highlight w:val="none"/>
        </w:rPr>
        <w:t>”专区公开发布。答疑纪要一经在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交易平台发布，视作已发放给所有投标人。</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条款号：9.2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9.2招标文件的澄清或修改将在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cs="宋体"/>
          <w:color w:val="auto"/>
          <w:szCs w:val="21"/>
          <w:highlight w:val="none"/>
          <w:u w:val="single"/>
        </w:rPr>
        <w:t>项目查询(日程安排、答疑纪要)</w:t>
      </w:r>
      <w:r>
        <w:rPr>
          <w:rFonts w:hint="eastAsia" w:cs="宋体"/>
          <w:color w:val="auto"/>
          <w:szCs w:val="21"/>
          <w:highlight w:val="none"/>
          <w:u w:val="single"/>
        </w:rPr>
        <w:fldChar w:fldCharType="end"/>
      </w:r>
      <w:r>
        <w:rPr>
          <w:rFonts w:hint="eastAsia" w:cs="宋体"/>
          <w:color w:val="auto"/>
          <w:szCs w:val="21"/>
          <w:highlight w:val="none"/>
        </w:rPr>
        <w:t>”专区公开发布。答疑纪要一经在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交易平台发布，视作已发放给所有投标人，以</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交易平台上网发布时间作为送达时间。</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条款号：9.4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9.4招标文件的澄清或修改均以</w:t>
      </w:r>
      <w:r>
        <w:rPr>
          <w:rFonts w:hint="eastAsia" w:cs="宋体"/>
          <w:color w:val="auto"/>
          <w:szCs w:val="21"/>
          <w:highlight w:val="none"/>
          <w:u w:val="single"/>
        </w:rPr>
        <w:t>网上答疑公布</w:t>
      </w:r>
      <w:r>
        <w:rPr>
          <w:rFonts w:hint="eastAsia" w:cs="宋体"/>
          <w:color w:val="auto"/>
          <w:szCs w:val="21"/>
          <w:highlight w:val="none"/>
        </w:rPr>
        <w:t>的内容为准。当招标文件的澄清、修改、补充等在同一内容的表述不一致时，以最后发出的</w:t>
      </w:r>
      <w:r>
        <w:rPr>
          <w:rFonts w:hint="eastAsia" w:cs="宋体"/>
          <w:color w:val="auto"/>
          <w:szCs w:val="21"/>
          <w:highlight w:val="none"/>
          <w:u w:val="single"/>
        </w:rPr>
        <w:t>文件</w:t>
      </w:r>
      <w:r>
        <w:rPr>
          <w:rFonts w:hint="eastAsia" w:cs="宋体"/>
          <w:color w:val="auto"/>
          <w:szCs w:val="21"/>
          <w:highlight w:val="none"/>
        </w:rPr>
        <w:t>为准。</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条款号：11.2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11.2投标文件技术标部分主要包括下列内容:</w:t>
      </w:r>
    </w:p>
    <w:p>
      <w:pPr>
        <w:spacing w:line="360" w:lineRule="auto"/>
        <w:ind w:firstLine="409" w:firstLineChars="195"/>
        <w:rPr>
          <w:rFonts w:cs="宋体"/>
          <w:bCs/>
          <w:color w:val="auto"/>
          <w:szCs w:val="21"/>
          <w:highlight w:val="none"/>
        </w:rPr>
      </w:pPr>
      <w:r>
        <w:rPr>
          <w:rFonts w:hint="eastAsia" w:cs="宋体"/>
          <w:bCs/>
          <w:color w:val="auto"/>
          <w:szCs w:val="21"/>
          <w:highlight w:val="none"/>
        </w:rPr>
        <w:t>11.2.1 技术投标文件</w:t>
      </w:r>
      <w:r>
        <w:rPr>
          <w:rFonts w:hint="eastAsia" w:cs="宋体"/>
          <w:color w:val="auto"/>
          <w:szCs w:val="21"/>
          <w:highlight w:val="none"/>
        </w:rPr>
        <w:t>(按招标文件的要求填写)</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（1）投标人声明；</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（2）法定代表人证明书、法定代表人签字或盖章的本投标文件授权委托证明书；</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（3）企业营业执照（取自平台内上传件）；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（4）企业资质证书（取自平台内上传件）；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（5）建筑施工企业安全生产许可证（取自平台内上传件）；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（6）项目负责人（按网上投标登记时选择拟投标的项目负责人）</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（7）专职安全员（按网上投标登记时选择拟投标的专职安全员）</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（8）拟委托技术负责人的相关证书、资料（具体要求由招标人明确）</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（9）拟委派项目负责人的建造师注册证书或小型项目负责人相关证明（取自平台</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（10）项目负责人安全培训考核合格证明或在有效期内的安全考核合格证书（B 类）或建筑施工企业项目负责人安全生产考核合格证书（取自平台内上传件）；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（11）专职安全员须具有在有效期内的安全考核合格证书（C 类）或建筑施工企业专职安全生产管理人员安全生产考核合格证书（取自平台内上传件）；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（12）用于资格审查的业绩（设置业绩要求时选择此项，投标人须提供类似工程业绩的项目名称及项目编号，具体格式由招标人自定）；</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（13）资格审查前，投标人须在广州市住房和城乡建设局建立企业信用档案，拟担任本工程项目负责人、专职安全员须是本企业信用档案中的在册人员。</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50%或以上的大、中修市政公用工程需提供该项内容的证明文件）。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11.2.3 项目管理机构配备。</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（1）投标人应列出该项目工程的施工组织机构构成和画出机构框架图及其负责人；</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（2）投标人应详细列出该施工组织机构中主要成员的名单、简历资料、职务职称和</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在本项目中拟担任的职务等资料，并附上有关证明材料扫描件；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（3）其他辅助说明资料。</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11.2.4 投标人在广州市可使用适合本工程的机械设备（附：机械设备为自有或租赁的说明；及承诺机械设备如属于租赁的，其租赁是不属于重复租赁）。</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11.2.5 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11.2.6 按照招标文件要求填写的《参与编制技术标投标文件人员名单》。</w:t>
      </w:r>
    </w:p>
    <w:p>
      <w:pPr>
        <w:spacing w:line="360" w:lineRule="auto"/>
        <w:ind w:firstLine="411" w:firstLineChars="195"/>
        <w:rPr>
          <w:rFonts w:cs="宋体"/>
          <w:bCs/>
          <w:color w:val="auto"/>
          <w:szCs w:val="21"/>
          <w:highlight w:val="none"/>
        </w:rPr>
      </w:pPr>
      <w:r>
        <w:rPr>
          <w:rFonts w:hint="eastAsia" w:cs="宋体"/>
          <w:b/>
          <w:color w:val="auto"/>
          <w:szCs w:val="21"/>
          <w:highlight w:val="none"/>
        </w:rPr>
        <w:t>现文：</w:t>
      </w:r>
      <w:r>
        <w:rPr>
          <w:rFonts w:hint="eastAsia" w:cs="宋体"/>
          <w:bCs/>
          <w:color w:val="auto"/>
          <w:szCs w:val="21"/>
          <w:highlight w:val="none"/>
        </w:rPr>
        <w:t>11.2投标文件技术标部分主要包括下列内容</w:t>
      </w:r>
      <w:r>
        <w:rPr>
          <w:rFonts w:hint="eastAsia" w:cs="宋体"/>
          <w:color w:val="auto"/>
          <w:szCs w:val="21"/>
          <w:highlight w:val="none"/>
          <w:u w:val="single"/>
        </w:rPr>
        <w:t>（除注明原件外，均为清晰扫描件即可）</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11.2.1 技术投标文件(按招标文件的要求填写)；</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spacing w:line="360" w:lineRule="auto"/>
        <w:ind w:firstLine="409" w:firstLineChars="195"/>
        <w:rPr>
          <w:rFonts w:cs="宋体"/>
          <w:bCs/>
          <w:color w:val="auto"/>
          <w:szCs w:val="21"/>
          <w:highlight w:val="none"/>
        </w:rPr>
      </w:pPr>
      <w:r>
        <w:rPr>
          <w:rFonts w:hint="eastAsia" w:cs="宋体"/>
          <w:bCs/>
          <w:color w:val="auto"/>
          <w:szCs w:val="21"/>
          <w:highlight w:val="none"/>
        </w:rPr>
        <w:t>（1）投标人声明</w:t>
      </w:r>
      <w:r>
        <w:rPr>
          <w:rFonts w:hint="eastAsia" w:cs="宋体"/>
          <w:bCs/>
          <w:color w:val="auto"/>
          <w:szCs w:val="21"/>
          <w:highlight w:val="none"/>
          <w:u w:val="single"/>
        </w:rPr>
        <w:t>（须按招标公告附件内容及格式要求编制）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（2）法定代表人证明书、法定代表人签字或盖章的本投标文件授权委托证明书；</w:t>
      </w:r>
    </w:p>
    <w:p>
      <w:pPr>
        <w:spacing w:line="360" w:lineRule="auto"/>
        <w:ind w:firstLine="409" w:firstLineChars="195"/>
        <w:rPr>
          <w:rFonts w:cs="宋体"/>
          <w:bCs/>
          <w:color w:val="auto"/>
          <w:szCs w:val="21"/>
          <w:highlight w:val="none"/>
        </w:rPr>
      </w:pPr>
      <w:r>
        <w:rPr>
          <w:rFonts w:hint="eastAsia" w:cs="宋体"/>
          <w:bCs/>
          <w:color w:val="auto"/>
          <w:szCs w:val="21"/>
          <w:highlight w:val="none"/>
        </w:rPr>
        <w:t>（3）企业营业执照（</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（4）企业资质证书（</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（5）建筑施工企业安全生产许可证（</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（6）项目负责人（按网上投标登记时选择拟投标的项目负责人）；</w:t>
      </w:r>
    </w:p>
    <w:p>
      <w:pPr>
        <w:spacing w:line="360" w:lineRule="auto"/>
        <w:ind w:firstLine="409" w:firstLineChars="195"/>
        <w:rPr>
          <w:rFonts w:cs="宋体"/>
          <w:bCs/>
          <w:color w:val="auto"/>
          <w:szCs w:val="21"/>
          <w:highlight w:val="none"/>
        </w:rPr>
      </w:pPr>
      <w:r>
        <w:rPr>
          <w:rFonts w:hint="eastAsia" w:cs="宋体"/>
          <w:bCs/>
          <w:color w:val="auto"/>
          <w:szCs w:val="21"/>
          <w:highlight w:val="none"/>
        </w:rPr>
        <w:t>（7）专职安全员（按网上投标登记时选择拟投标的专职安全员）；</w:t>
      </w:r>
    </w:p>
    <w:p>
      <w:pPr>
        <w:spacing w:line="360" w:lineRule="auto"/>
        <w:ind w:firstLine="409" w:firstLineChars="195"/>
        <w:rPr>
          <w:rFonts w:cs="宋体"/>
          <w:bCs/>
          <w:color w:val="auto"/>
          <w:szCs w:val="21"/>
          <w:highlight w:val="none"/>
        </w:rPr>
      </w:pPr>
      <w:r>
        <w:rPr>
          <w:rFonts w:hint="eastAsia" w:cs="宋体"/>
          <w:bCs/>
          <w:color w:val="auto"/>
          <w:szCs w:val="21"/>
          <w:highlight w:val="none"/>
        </w:rPr>
        <w:t>（8）</w:t>
      </w:r>
      <w:r>
        <w:rPr>
          <w:rFonts w:hint="eastAsia" w:cs="宋体"/>
          <w:bCs/>
          <w:color w:val="auto"/>
          <w:szCs w:val="21"/>
          <w:highlight w:val="none"/>
          <w:u w:val="single"/>
        </w:rPr>
        <w:t>拟委派项目负责人的建造师证书</w:t>
      </w:r>
      <w:r>
        <w:rPr>
          <w:rFonts w:hint="eastAsia" w:cs="宋体"/>
          <w:bCs/>
          <w:color w:val="auto"/>
          <w:szCs w:val="21"/>
          <w:highlight w:val="none"/>
        </w:rPr>
        <w:t>（</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（9）项目负责人安全培训考核合格证明或在有效期内的安全考核合格证书（B类）（</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），或能够提供广东省建筑施工企业管理人员安全生产考核信息系统安全生产管理人员证书信息的打印页；</w:t>
      </w:r>
    </w:p>
    <w:p>
      <w:pPr>
        <w:spacing w:line="360" w:lineRule="auto"/>
        <w:ind w:firstLine="409" w:firstLineChars="195"/>
        <w:rPr>
          <w:rFonts w:cs="宋体"/>
          <w:bCs/>
          <w:color w:val="auto"/>
          <w:szCs w:val="21"/>
          <w:highlight w:val="none"/>
        </w:rPr>
      </w:pPr>
      <w:r>
        <w:rPr>
          <w:rFonts w:hint="eastAsia" w:cs="宋体"/>
          <w:bCs/>
          <w:color w:val="auto"/>
          <w:szCs w:val="21"/>
          <w:highlight w:val="none"/>
        </w:rPr>
        <w:t>（1</w:t>
      </w:r>
      <w:r>
        <w:rPr>
          <w:rFonts w:hint="eastAsia" w:cs="宋体"/>
          <w:bCs/>
          <w:color w:val="auto"/>
          <w:szCs w:val="21"/>
          <w:highlight w:val="none"/>
          <w:lang w:val="en-US" w:eastAsia="zh-CN"/>
        </w:rPr>
        <w:t>0</w:t>
      </w:r>
      <w:r>
        <w:rPr>
          <w:rFonts w:hint="eastAsia" w:cs="宋体"/>
          <w:bCs/>
          <w:color w:val="auto"/>
          <w:szCs w:val="21"/>
          <w:highlight w:val="none"/>
        </w:rPr>
        <w:t>）专职安全员须具有在有效期内的安全生产考核合格证（C类）或能够提供广东省建筑施工企业管理人员安全生产考核信息系统安全生产管理人员证书信息的打印页。（</w:t>
      </w:r>
      <w:r>
        <w:rPr>
          <w:rFonts w:hint="eastAsia" w:cs="宋体"/>
          <w:bCs/>
          <w:color w:val="auto"/>
          <w:szCs w:val="21"/>
          <w:highlight w:val="none"/>
          <w:u w:val="single"/>
        </w:rPr>
        <w:t>取自广州市住建行业信用管理平台内上传件</w:t>
      </w:r>
      <w:r>
        <w:rPr>
          <w:rFonts w:hint="eastAsia" w:cs="宋体"/>
          <w:bCs/>
          <w:color w:val="auto"/>
          <w:szCs w:val="21"/>
          <w:highlight w:val="none"/>
        </w:rPr>
        <w:t>）；</w:t>
      </w:r>
    </w:p>
    <w:p>
      <w:pPr>
        <w:wordWrap w:val="0"/>
        <w:spacing w:line="360" w:lineRule="auto"/>
        <w:ind w:firstLine="409" w:firstLineChars="195"/>
        <w:rPr>
          <w:rFonts w:hint="eastAsia" w:cs="宋体"/>
          <w:bCs/>
          <w:color w:val="auto"/>
          <w:szCs w:val="21"/>
          <w:highlight w:val="none"/>
        </w:rPr>
      </w:pPr>
      <w:r>
        <w:rPr>
          <w:rFonts w:hint="eastAsia" w:cs="宋体"/>
          <w:bCs/>
          <w:color w:val="auto"/>
          <w:szCs w:val="21"/>
          <w:highlight w:val="none"/>
        </w:rPr>
        <w:t>（1</w:t>
      </w:r>
      <w:r>
        <w:rPr>
          <w:rFonts w:hint="eastAsia" w:cs="宋体"/>
          <w:bCs/>
          <w:color w:val="auto"/>
          <w:szCs w:val="21"/>
          <w:highlight w:val="none"/>
          <w:lang w:val="en-US" w:eastAsia="zh-CN"/>
        </w:rPr>
        <w:t>1</w:t>
      </w:r>
      <w:r>
        <w:rPr>
          <w:rFonts w:hint="eastAsia" w:cs="宋体"/>
          <w:bCs/>
          <w:color w:val="auto"/>
          <w:szCs w:val="21"/>
          <w:highlight w:val="none"/>
        </w:rPr>
        <w:t>）用于资格审查的业绩（投标人</w:t>
      </w:r>
      <w:r>
        <w:rPr>
          <w:rFonts w:hint="eastAsia" w:cs="宋体"/>
          <w:color w:val="auto"/>
          <w:szCs w:val="21"/>
          <w:highlight w:val="none"/>
        </w:rPr>
        <w:t>须提供类似工程业绩的项目名称及项目编号</w:t>
      </w:r>
      <w:r>
        <w:rPr>
          <w:rFonts w:hint="eastAsia" w:cs="宋体"/>
          <w:bCs/>
          <w:color w:val="auto"/>
          <w:szCs w:val="21"/>
          <w:highlight w:val="none"/>
        </w:rPr>
        <w:t>）；</w:t>
      </w:r>
    </w:p>
    <w:p>
      <w:pPr>
        <w:wordWrap w:val="0"/>
        <w:spacing w:line="360" w:lineRule="auto"/>
        <w:ind w:firstLine="409" w:firstLineChars="195"/>
        <w:rPr>
          <w:rFonts w:hint="eastAsia" w:cs="宋体"/>
          <w:color w:val="auto"/>
          <w:szCs w:val="21"/>
          <w:highlight w:val="none"/>
        </w:rPr>
      </w:pPr>
      <w:r>
        <w:rPr>
          <w:rFonts w:hint="eastAsia" w:cs="宋体"/>
          <w:bCs/>
          <w:color w:val="auto"/>
          <w:szCs w:val="21"/>
          <w:highlight w:val="none"/>
        </w:rPr>
        <w:t>（1</w:t>
      </w:r>
      <w:r>
        <w:rPr>
          <w:rFonts w:hint="eastAsia" w:cs="宋体"/>
          <w:bCs/>
          <w:color w:val="auto"/>
          <w:szCs w:val="21"/>
          <w:highlight w:val="none"/>
          <w:lang w:val="en-US" w:eastAsia="zh-CN"/>
        </w:rPr>
        <w:t>2</w:t>
      </w:r>
      <w:r>
        <w:rPr>
          <w:rFonts w:hint="eastAsia" w:cs="宋体"/>
          <w:bCs/>
          <w:color w:val="auto"/>
          <w:szCs w:val="21"/>
          <w:highlight w:val="none"/>
        </w:rPr>
        <w:t>）</w:t>
      </w:r>
      <w:r>
        <w:rPr>
          <w:rFonts w:hint="eastAsia" w:cs="宋体"/>
          <w:color w:val="auto"/>
          <w:szCs w:val="21"/>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http://zfcj.gz.gov.cn/zwgk/zsdwxxgkzl/gzsjzyglfwzx/bszy/content/post_8074009.html）；</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（1</w:t>
      </w:r>
      <w:r>
        <w:rPr>
          <w:rFonts w:hint="eastAsia" w:cs="宋体"/>
          <w:bCs/>
          <w:color w:val="auto"/>
          <w:szCs w:val="21"/>
          <w:highlight w:val="none"/>
          <w:u w:val="single"/>
          <w:lang w:val="en-US" w:eastAsia="zh-CN"/>
        </w:rPr>
        <w:t>3</w:t>
      </w:r>
      <w:r>
        <w:rPr>
          <w:rFonts w:hint="eastAsia" w:cs="宋体"/>
          <w:bCs/>
          <w:color w:val="auto"/>
          <w:szCs w:val="21"/>
          <w:highlight w:val="none"/>
          <w:u w:val="single"/>
        </w:rPr>
        <w:t>）投标人认为应提供的其他资料。</w:t>
      </w:r>
    </w:p>
    <w:p>
      <w:pPr>
        <w:spacing w:line="360" w:lineRule="auto"/>
        <w:ind w:firstLine="409" w:firstLineChars="195"/>
        <w:rPr>
          <w:color w:val="auto"/>
          <w:szCs w:val="21"/>
          <w:highlight w:val="none"/>
        </w:rPr>
      </w:pPr>
      <w:r>
        <w:rPr>
          <w:rFonts w:hint="eastAsia" w:cs="宋体"/>
          <w:color w:val="auto"/>
          <w:szCs w:val="21"/>
          <w:highlight w:val="none"/>
          <w:u w:val="single"/>
        </w:rPr>
        <w:t>11.2.3企业资信的证明材料（按附表四要求提交）。</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11.2.4项目管理机构配备。</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（1）投标人应列出该项目工程的施工组织机构构成和画出机构框架图及其负责人；</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（2）投标人应详细列出该施工组织机构中主要成员的名单、职务职称和在本项目中拟担任的职务等资料，并附上有关证明材料扫描件及其他辅助说明资料。</w:t>
      </w:r>
    </w:p>
    <w:p>
      <w:pPr>
        <w:adjustRightInd w:val="0"/>
        <w:spacing w:line="360" w:lineRule="auto"/>
        <w:ind w:firstLine="409" w:firstLineChars="195"/>
        <w:textAlignment w:val="baseline"/>
        <w:rPr>
          <w:rFonts w:hint="eastAsia" w:cs="宋体"/>
          <w:color w:val="auto"/>
          <w:szCs w:val="21"/>
          <w:highlight w:val="none"/>
          <w:u w:val="single"/>
        </w:rPr>
      </w:pPr>
      <w:r>
        <w:rPr>
          <w:rFonts w:hint="eastAsia" w:cs="宋体"/>
          <w:color w:val="auto"/>
          <w:szCs w:val="21"/>
          <w:highlight w:val="none"/>
          <w:u w:val="single"/>
        </w:rPr>
        <w:t>11.2.5《危险性较大的分部分项工程清单及超过一定规模的危险性较大的分部分项工程清单》（格式见第四章）。</w:t>
      </w:r>
    </w:p>
    <w:p>
      <w:pPr>
        <w:adjustRightInd w:val="0"/>
        <w:spacing w:line="360" w:lineRule="auto"/>
        <w:ind w:firstLine="409" w:firstLineChars="195"/>
        <w:textAlignment w:val="baseline"/>
        <w:rPr>
          <w:rFonts w:hint="eastAsia" w:cs="宋体"/>
          <w:color w:val="auto"/>
          <w:szCs w:val="21"/>
          <w:highlight w:val="none"/>
          <w:u w:val="single"/>
        </w:rPr>
      </w:pPr>
      <w:r>
        <w:rPr>
          <w:rFonts w:hint="eastAsia" w:cs="宋体"/>
          <w:color w:val="auto"/>
          <w:szCs w:val="21"/>
          <w:highlight w:val="none"/>
          <w:u w:val="single"/>
        </w:rPr>
        <w:t>11.2.6《参与编制技术标投标文件人员名单》（格式见第四章）。</w:t>
      </w:r>
    </w:p>
    <w:p>
      <w:pPr>
        <w:pBdr>
          <w:bottom w:val="single" w:color="auto" w:sz="6" w:space="1"/>
        </w:pBdr>
        <w:adjustRightInd w:val="0"/>
        <w:spacing w:line="360" w:lineRule="auto"/>
        <w:ind w:firstLine="409" w:firstLineChars="195"/>
        <w:textAlignment w:val="baseline"/>
        <w:rPr>
          <w:rFonts w:hint="eastAsia" w:cs="宋体"/>
          <w:color w:val="auto"/>
          <w:szCs w:val="21"/>
          <w:highlight w:val="none"/>
          <w:u w:val="single"/>
        </w:rPr>
      </w:pPr>
      <w:r>
        <w:rPr>
          <w:rFonts w:hint="eastAsia" w:cs="宋体"/>
          <w:color w:val="auto"/>
          <w:szCs w:val="21"/>
          <w:highlight w:val="none"/>
          <w:u w:val="single"/>
        </w:rPr>
        <w:t>11.2.7</w:t>
      </w:r>
      <w:r>
        <w:rPr>
          <w:rFonts w:hint="eastAsia" w:cs="宋体"/>
          <w:bCs/>
          <w:color w:val="auto"/>
          <w:szCs w:val="21"/>
          <w:highlight w:val="none"/>
          <w:u w:val="single"/>
        </w:rPr>
        <w:t>投标人认为应提供的其他资料。</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条款号：11.3                      修改类型：修改</w:t>
      </w:r>
    </w:p>
    <w:p>
      <w:pPr>
        <w:spacing w:line="360" w:lineRule="auto"/>
        <w:ind w:firstLine="411" w:firstLineChars="195"/>
        <w:rPr>
          <w:rFonts w:cs="宋体"/>
          <w:bCs/>
          <w:color w:val="auto"/>
          <w:szCs w:val="21"/>
          <w:highlight w:val="none"/>
        </w:rPr>
      </w:pPr>
      <w:r>
        <w:rPr>
          <w:rFonts w:hint="eastAsia" w:cs="宋体"/>
          <w:b/>
          <w:bCs/>
          <w:color w:val="auto"/>
          <w:szCs w:val="21"/>
          <w:highlight w:val="none"/>
        </w:rPr>
        <w:t>原文：</w:t>
      </w:r>
      <w:r>
        <w:rPr>
          <w:rFonts w:hint="eastAsia" w:cs="宋体"/>
          <w:bCs/>
          <w:color w:val="auto"/>
          <w:szCs w:val="21"/>
          <w:highlight w:val="none"/>
        </w:rPr>
        <w:t>11.3投标文件主要包括下列内容：</w:t>
      </w:r>
    </w:p>
    <w:p>
      <w:pPr>
        <w:spacing w:line="360" w:lineRule="auto"/>
        <w:ind w:firstLine="409" w:firstLineChars="195"/>
        <w:rPr>
          <w:rFonts w:cs="宋体"/>
          <w:color w:val="auto"/>
          <w:szCs w:val="21"/>
          <w:highlight w:val="none"/>
        </w:rPr>
      </w:pPr>
      <w:r>
        <w:rPr>
          <w:rFonts w:hint="eastAsia" w:cs="宋体"/>
          <w:color w:val="auto"/>
          <w:szCs w:val="21"/>
          <w:highlight w:val="none"/>
        </w:rPr>
        <w:t>11.3.1 经济投标文件(按招标文件的要求填写)。</w:t>
      </w:r>
    </w:p>
    <w:p>
      <w:pPr>
        <w:spacing w:line="360" w:lineRule="auto"/>
        <w:ind w:firstLine="409" w:firstLineChars="195"/>
        <w:rPr>
          <w:rFonts w:cs="宋体"/>
          <w:color w:val="auto"/>
          <w:szCs w:val="21"/>
          <w:highlight w:val="none"/>
        </w:rPr>
      </w:pPr>
      <w:r>
        <w:rPr>
          <w:rFonts w:hint="eastAsia"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09" w:firstLineChars="195"/>
        <w:rPr>
          <w:rFonts w:cs="宋体"/>
          <w:color w:val="auto"/>
          <w:szCs w:val="21"/>
          <w:highlight w:val="none"/>
        </w:rPr>
      </w:pPr>
      <w:r>
        <w:rPr>
          <w:rFonts w:hint="eastAsia" w:cs="宋体"/>
          <w:color w:val="auto"/>
          <w:szCs w:val="21"/>
          <w:highlight w:val="none"/>
        </w:rPr>
        <w:t>（1）投标总价封面、扉页；</w:t>
      </w:r>
    </w:p>
    <w:p>
      <w:pPr>
        <w:spacing w:line="360" w:lineRule="auto"/>
        <w:ind w:firstLine="409" w:firstLineChars="195"/>
        <w:rPr>
          <w:rFonts w:cs="宋体"/>
          <w:color w:val="auto"/>
          <w:szCs w:val="21"/>
          <w:highlight w:val="none"/>
        </w:rPr>
      </w:pPr>
      <w:r>
        <w:rPr>
          <w:rFonts w:hint="eastAsia" w:cs="宋体"/>
          <w:color w:val="auto"/>
          <w:szCs w:val="21"/>
          <w:highlight w:val="none"/>
        </w:rPr>
        <w:t>（2）总说明</w:t>
      </w:r>
    </w:p>
    <w:p>
      <w:pPr>
        <w:spacing w:line="360" w:lineRule="auto"/>
        <w:ind w:firstLine="409" w:firstLineChars="195"/>
        <w:rPr>
          <w:rFonts w:cs="宋体"/>
          <w:color w:val="auto"/>
          <w:szCs w:val="21"/>
          <w:highlight w:val="none"/>
        </w:rPr>
      </w:pPr>
      <w:r>
        <w:rPr>
          <w:rFonts w:hint="eastAsia" w:cs="宋体"/>
          <w:color w:val="auto"/>
          <w:szCs w:val="21"/>
          <w:highlight w:val="none"/>
        </w:rPr>
        <w:t>（3）工程项目投标报价汇总表；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（4）单项工程投标报价汇总表；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（5）单位工程投标报价汇总表；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（6）分部分项工程清单与计价表；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（7）单价措施项目清单与计价表；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（8）总价措施项目清单与计价表；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（9）综合单价分析表；</w:t>
      </w:r>
    </w:p>
    <w:p>
      <w:pPr>
        <w:spacing w:line="360" w:lineRule="auto"/>
        <w:ind w:firstLine="409" w:firstLineChars="195"/>
        <w:rPr>
          <w:rFonts w:cs="宋体"/>
          <w:color w:val="auto"/>
          <w:szCs w:val="21"/>
          <w:highlight w:val="none"/>
        </w:rPr>
      </w:pPr>
      <w:r>
        <w:rPr>
          <w:rFonts w:hint="eastAsia" w:cs="宋体"/>
          <w:color w:val="auto"/>
          <w:szCs w:val="21"/>
          <w:highlight w:val="none"/>
        </w:rPr>
        <w:t>（10）其他项目清单与计价汇总表；</w:t>
      </w:r>
    </w:p>
    <w:p>
      <w:pPr>
        <w:spacing w:line="360" w:lineRule="auto"/>
        <w:ind w:firstLine="409" w:firstLineChars="195"/>
        <w:rPr>
          <w:rFonts w:cs="宋体"/>
          <w:color w:val="auto"/>
          <w:szCs w:val="21"/>
          <w:highlight w:val="none"/>
        </w:rPr>
      </w:pPr>
      <w:r>
        <w:rPr>
          <w:rFonts w:hint="eastAsia" w:cs="宋体"/>
          <w:color w:val="auto"/>
          <w:szCs w:val="21"/>
          <w:highlight w:val="none"/>
        </w:rPr>
        <w:t>（11）暂列金额明细表；</w:t>
      </w:r>
    </w:p>
    <w:p>
      <w:pPr>
        <w:spacing w:line="360" w:lineRule="auto"/>
        <w:ind w:firstLine="409" w:firstLineChars="195"/>
        <w:rPr>
          <w:rFonts w:cs="宋体"/>
          <w:color w:val="auto"/>
          <w:szCs w:val="21"/>
          <w:highlight w:val="none"/>
        </w:rPr>
      </w:pPr>
      <w:r>
        <w:rPr>
          <w:rFonts w:hint="eastAsia" w:cs="宋体"/>
          <w:color w:val="auto"/>
          <w:szCs w:val="21"/>
          <w:highlight w:val="none"/>
        </w:rPr>
        <w:t>（12）材料（工程设备）暂估价明细表；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（13）专业工程暂估价明细表；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（14）计日工表；</w:t>
      </w:r>
    </w:p>
    <w:p>
      <w:pPr>
        <w:spacing w:line="360" w:lineRule="auto"/>
        <w:ind w:firstLine="409" w:firstLineChars="195"/>
        <w:rPr>
          <w:rFonts w:cs="宋体"/>
          <w:color w:val="auto"/>
          <w:szCs w:val="21"/>
          <w:highlight w:val="none"/>
        </w:rPr>
      </w:pPr>
      <w:r>
        <w:rPr>
          <w:rFonts w:hint="eastAsia" w:cs="宋体"/>
          <w:color w:val="auto"/>
          <w:szCs w:val="21"/>
          <w:highlight w:val="none"/>
        </w:rPr>
        <w:t>（15）总承包服务计价表；</w:t>
      </w:r>
    </w:p>
    <w:p>
      <w:pPr>
        <w:spacing w:line="360" w:lineRule="auto"/>
        <w:ind w:firstLine="409" w:firstLineChars="195"/>
        <w:rPr>
          <w:rFonts w:cs="宋体"/>
          <w:color w:val="auto"/>
          <w:szCs w:val="21"/>
          <w:highlight w:val="none"/>
        </w:rPr>
      </w:pPr>
      <w:r>
        <w:rPr>
          <w:rFonts w:hint="eastAsia" w:cs="宋体"/>
          <w:color w:val="auto"/>
          <w:szCs w:val="21"/>
          <w:highlight w:val="none"/>
        </w:rPr>
        <w:t>（16）规费和税金项目计价表；</w:t>
      </w:r>
    </w:p>
    <w:p>
      <w:pPr>
        <w:spacing w:line="360" w:lineRule="auto"/>
        <w:ind w:firstLine="409" w:firstLineChars="195"/>
        <w:rPr>
          <w:rFonts w:cs="宋体"/>
          <w:color w:val="auto"/>
          <w:szCs w:val="21"/>
          <w:highlight w:val="none"/>
        </w:rPr>
      </w:pPr>
      <w:r>
        <w:rPr>
          <w:rFonts w:hint="eastAsia" w:cs="宋体"/>
          <w:color w:val="auto"/>
          <w:szCs w:val="21"/>
          <w:highlight w:val="none"/>
        </w:rPr>
        <w:t>（17）人工、主要材料和设备一览表</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11.3.3按照</w:t>
      </w:r>
      <w:r>
        <w:rPr>
          <w:rFonts w:hint="eastAsia" w:cs="宋体"/>
          <w:bCs/>
          <w:color w:val="auto"/>
          <w:szCs w:val="21"/>
          <w:highlight w:val="none"/>
        </w:rPr>
        <w:t>招标文件要求</w:t>
      </w:r>
      <w:r>
        <w:rPr>
          <w:rFonts w:hint="eastAsia" w:cs="宋体"/>
          <w:color w:val="auto"/>
          <w:szCs w:val="21"/>
          <w:highlight w:val="none"/>
        </w:rPr>
        <w:t>填写的《参与编制经济标投标文件人员名单》。</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现文：</w:t>
      </w:r>
      <w:r>
        <w:rPr>
          <w:rFonts w:hint="eastAsia" w:cs="宋体"/>
          <w:bCs/>
          <w:color w:val="auto"/>
          <w:szCs w:val="21"/>
          <w:highlight w:val="none"/>
        </w:rPr>
        <w:t>11.3 经济标投标文件主要包括下列内容：</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11.3.1</w:t>
      </w:r>
      <w:r>
        <w:rPr>
          <w:rFonts w:hint="eastAsia" w:cs="宋体"/>
          <w:color w:val="auto"/>
          <w:szCs w:val="21"/>
          <w:highlight w:val="none"/>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（投标报价的工程量清单的组成、格式等按广州公共资源交易中心的投标文件管理软件自动生成）</w:t>
      </w:r>
      <w:r>
        <w:rPr>
          <w:rFonts w:hint="eastAsia" w:cs="宋体"/>
          <w:color w:val="auto"/>
          <w:szCs w:val="21"/>
          <w:highlight w:val="none"/>
        </w:rPr>
        <w:t>。其中包括如下：</w:t>
      </w:r>
    </w:p>
    <w:p>
      <w:pPr>
        <w:tabs>
          <w:tab w:val="left" w:pos="1125"/>
        </w:tabs>
        <w:spacing w:line="360" w:lineRule="auto"/>
        <w:ind w:firstLine="420" w:firstLineChars="200"/>
        <w:rPr>
          <w:color w:val="auto"/>
          <w:szCs w:val="21"/>
          <w:highlight w:val="none"/>
          <w:u w:val="single"/>
        </w:rPr>
      </w:pPr>
      <w:r>
        <w:rPr>
          <w:rFonts w:hint="eastAsia"/>
          <w:color w:val="auto"/>
          <w:szCs w:val="21"/>
          <w:highlight w:val="none"/>
          <w:u w:val="single"/>
        </w:rPr>
        <w:t>11.3.3按照</w:t>
      </w:r>
      <w:r>
        <w:rPr>
          <w:rFonts w:hint="eastAsia"/>
          <w:bCs/>
          <w:color w:val="auto"/>
          <w:szCs w:val="21"/>
          <w:highlight w:val="none"/>
          <w:u w:val="single"/>
        </w:rPr>
        <w:t>招标文件要求</w:t>
      </w:r>
      <w:r>
        <w:rPr>
          <w:rFonts w:hint="eastAsia"/>
          <w:color w:val="auto"/>
          <w:szCs w:val="21"/>
          <w:highlight w:val="none"/>
          <w:u w:val="single"/>
        </w:rPr>
        <w:t>填写的《参与编制经济标投标文件人员名单》。</w:t>
      </w:r>
    </w:p>
    <w:p>
      <w:pPr>
        <w:tabs>
          <w:tab w:val="left" w:pos="1125"/>
        </w:tabs>
        <w:spacing w:line="360" w:lineRule="auto"/>
        <w:ind w:firstLine="420" w:firstLineChars="200"/>
        <w:rPr>
          <w:bCs/>
          <w:color w:val="auto"/>
          <w:szCs w:val="21"/>
          <w:highlight w:val="none"/>
          <w:u w:val="single"/>
        </w:rPr>
      </w:pPr>
      <w:r>
        <w:rPr>
          <w:rFonts w:hint="eastAsia"/>
          <w:bCs/>
          <w:color w:val="auto"/>
          <w:szCs w:val="21"/>
          <w:highlight w:val="none"/>
          <w:u w:val="single"/>
        </w:rPr>
        <w:t>11.3.4 《对投标文件编制的承诺》。</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11.3.5若投标人的投标报价低于工程成本警戒价的，投标人还须提供详细的施工组织设计、单价、措施性费用、单价分析表、主要材料价格表、投标人成本分析供评标委员会评审。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11.3.6投标人认为应提供的其他资料。</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12.2投标文件全部采用电子文档，投标文件所附证书证件均为原件扫描件，并采用单位数字证书，按招标文件要求在相应位置加盖电子印章。</w:t>
      </w:r>
      <w:r>
        <w:rPr>
          <w:rFonts w:hint="eastAsia" w:cs="宋体"/>
          <w:b/>
          <w:color w:val="auto"/>
          <w:szCs w:val="21"/>
          <w:highlight w:val="none"/>
        </w:rPr>
        <w:t>投标文件中需个人签字或盖章的，应在线下完成后扫描上传</w:t>
      </w:r>
      <w:r>
        <w:rPr>
          <w:rFonts w:hint="eastAsia" w:cs="宋体"/>
          <w:color w:val="auto"/>
          <w:szCs w:val="21"/>
          <w:highlight w:val="none"/>
        </w:rPr>
        <w:t>。按照交易平台关于全流程电子化项目的相关指南进行操作。详见： 。</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w:t>
      </w:r>
      <w:r>
        <w:rPr>
          <w:rFonts w:hint="eastAsia" w:cs="宋体"/>
          <w:color w:val="auto"/>
          <w:szCs w:val="21"/>
          <w:highlight w:val="none"/>
          <w:u w:val="single"/>
        </w:rPr>
        <w:t>应加盖个人电子印章或在线下完成后扫描上传。</w:t>
      </w:r>
      <w:r>
        <w:rPr>
          <w:rFonts w:hint="eastAsia" w:cs="宋体"/>
          <w:color w:val="auto"/>
          <w:szCs w:val="21"/>
          <w:highlight w:val="none"/>
        </w:rPr>
        <w:t>按照交易平台关于全流程电子化项目的相关指南进行操作。详见：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条款号：12.3                        修改类型：修改</w:t>
      </w:r>
    </w:p>
    <w:p>
      <w:pP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12.3投标文件应按照交易平台关于全流程电子化项目的相关指南进行编制，详见：。</w:t>
      </w:r>
    </w:p>
    <w:p>
      <w:pP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12.3</w:t>
      </w:r>
      <w:r>
        <w:rPr>
          <w:rFonts w:hint="eastAsia" w:cs="宋体"/>
          <w:bCs/>
          <w:color w:val="auto"/>
          <w:szCs w:val="21"/>
          <w:highlight w:val="none"/>
        </w:rPr>
        <w:t>投标文件应按</w:t>
      </w:r>
      <w:r>
        <w:rPr>
          <w:rFonts w:hint="eastAsia" w:cs="宋体"/>
          <w:color w:val="auto"/>
          <w:szCs w:val="21"/>
          <w:highlight w:val="none"/>
        </w:rPr>
        <w:t>照</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交易平台关于全流程电子化项目的相关指南进行编制，详见：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pBdr>
          <w:bottom w:val="single" w:color="auto" w:sz="6" w:space="1"/>
        </w:pBd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条款号：13.1                        修改类型：修改</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原文：</w:t>
      </w:r>
      <w:r>
        <w:rPr>
          <w:rFonts w:hint="eastAsia" w:cs="宋体"/>
          <w:color w:val="auto"/>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13.1本工程的投标报价采用投标须知前附表第12项所规定的方式。</w:t>
      </w:r>
      <w:r>
        <w:rPr>
          <w:rFonts w:hint="eastAsia" w:cs="宋体"/>
          <w:color w:val="auto"/>
          <w:szCs w:val="21"/>
          <w:highlight w:val="none"/>
          <w:u w:val="single"/>
        </w:rPr>
        <w:t>投标文件中的大写金额和小写金额不一致的，以大写金额为准。</w:t>
      </w:r>
      <w:r>
        <w:rPr>
          <w:rFonts w:hint="eastAsia" w:cs="宋体"/>
          <w:color w:val="auto"/>
          <w:szCs w:val="21"/>
          <w:highlight w:val="none"/>
        </w:rPr>
        <w:t>投标报价（含单价及总价）精确到“分”。</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条款号：13.3                        修改类型：修改</w:t>
      </w:r>
    </w:p>
    <w:p>
      <w:pPr>
        <w:spacing w:line="360" w:lineRule="auto"/>
        <w:ind w:firstLine="411" w:firstLineChars="195"/>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w:t>
      </w:r>
      <w:r>
        <w:rPr>
          <w:rFonts w:hint="eastAsia" w:cs="宋体"/>
          <w:color w:val="auto"/>
          <w:szCs w:val="21"/>
          <w:highlight w:val="none"/>
          <w:u w:val="single"/>
        </w:rPr>
        <w:t>（含招标的相关资料）</w:t>
      </w:r>
      <w:r>
        <w:rPr>
          <w:rFonts w:hint="eastAsia" w:cs="宋体"/>
          <w:color w:val="auto"/>
          <w:szCs w:val="21"/>
          <w:highlight w:val="none"/>
        </w:rPr>
        <w:t>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条款号：13.4                         修改类型：修改</w:t>
      </w:r>
    </w:p>
    <w:p>
      <w:pPr>
        <w:pStyle w:val="5"/>
        <w:spacing w:after="0" w:line="360" w:lineRule="auto"/>
        <w:ind w:firstLine="392"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13.4投标人一旦中标，投标人对招标人提供的招标工程量清单中列出的工程项目所报出的综合单价</w:t>
      </w:r>
      <w:r>
        <w:rPr>
          <w:rFonts w:hint="eastAsia" w:cs="宋体"/>
          <w:color w:val="auto"/>
          <w:szCs w:val="21"/>
          <w:highlight w:val="none"/>
          <w:u w:val="single"/>
        </w:rPr>
        <w:t>和措施项目费在工程结算时，按合同条款相关约定调整。</w:t>
      </w:r>
    </w:p>
    <w:p>
      <w:pPr>
        <w:spacing w:line="360" w:lineRule="auto"/>
        <w:ind w:firstLine="422" w:firstLineChars="200"/>
        <w:rPr>
          <w:rFonts w:hint="eastAsia" w:cs="宋体"/>
          <w:b/>
          <w:color w:val="auto"/>
          <w:szCs w:val="21"/>
          <w:highlight w:val="none"/>
        </w:rPr>
      </w:pPr>
      <w:r>
        <w:rPr>
          <w:rFonts w:hint="eastAsia" w:cs="宋体"/>
          <w:b/>
          <w:color w:val="auto"/>
          <w:szCs w:val="21"/>
          <w:highlight w:val="none"/>
        </w:rPr>
        <w:t>条款号：16.1-16.5                        修改类型：删除</w:t>
      </w:r>
    </w:p>
    <w:p>
      <w:pPr>
        <w:spacing w:line="360"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16.1.1 采用现金或者支票形式提交的，投标保证金须从投标人的银行基本账户转出。</w:t>
      </w:r>
    </w:p>
    <w:p>
      <w:pPr>
        <w:spacing w:line="360" w:lineRule="auto"/>
        <w:ind w:firstLine="420" w:firstLineChars="200"/>
        <w:rPr>
          <w:rFonts w:cs="宋体"/>
          <w:color w:val="auto"/>
          <w:szCs w:val="21"/>
          <w:highlight w:val="none"/>
        </w:rPr>
      </w:pPr>
      <w:r>
        <w:rPr>
          <w:rFonts w:hint="eastAsia"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cs="宋体"/>
          <w:color w:val="auto"/>
          <w:szCs w:val="21"/>
          <w:highlight w:val="none"/>
        </w:rPr>
      </w:pPr>
      <w:r>
        <w:rPr>
          <w:rFonts w:hint="eastAsia" w:cs="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cs="宋体"/>
          <w:color w:val="auto"/>
          <w:szCs w:val="21"/>
          <w:highlight w:val="none"/>
        </w:rPr>
      </w:pPr>
      <w:r>
        <w:rPr>
          <w:rFonts w:hint="eastAsia"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16.3投标保证金应依据法律法规的相关规定退还。</w:t>
      </w:r>
    </w:p>
    <w:p>
      <w:pPr>
        <w:spacing w:line="360" w:lineRule="auto"/>
        <w:ind w:firstLine="420" w:firstLineChars="200"/>
        <w:rPr>
          <w:rFonts w:cs="宋体"/>
          <w:color w:val="auto"/>
          <w:szCs w:val="21"/>
          <w:highlight w:val="none"/>
        </w:rPr>
      </w:pPr>
      <w:r>
        <w:rPr>
          <w:rFonts w:hint="eastAsia" w:cs="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cs="宋体"/>
          <w:color w:val="auto"/>
          <w:szCs w:val="21"/>
          <w:highlight w:val="none"/>
        </w:rPr>
      </w:pPr>
      <w:r>
        <w:rPr>
          <w:rFonts w:hint="eastAsia" w:cs="宋体"/>
          <w:color w:val="auto"/>
          <w:szCs w:val="21"/>
          <w:highlight w:val="none"/>
        </w:rPr>
        <w:t>16.4.1因投标人原因造成投标文件未解密的；</w:t>
      </w:r>
    </w:p>
    <w:p>
      <w:pPr>
        <w:spacing w:line="360" w:lineRule="auto"/>
        <w:ind w:firstLine="420" w:firstLineChars="200"/>
        <w:rPr>
          <w:rFonts w:cs="宋体"/>
          <w:color w:val="auto"/>
          <w:szCs w:val="21"/>
          <w:highlight w:val="none"/>
        </w:rPr>
      </w:pPr>
      <w:r>
        <w:rPr>
          <w:rFonts w:hint="eastAsia" w:cs="宋体"/>
          <w:color w:val="auto"/>
          <w:szCs w:val="21"/>
          <w:highlight w:val="none"/>
        </w:rPr>
        <w:t>16.4.2投标人在投标有效期内撤销投标文件；</w:t>
      </w:r>
    </w:p>
    <w:p>
      <w:pPr>
        <w:spacing w:line="360" w:lineRule="auto"/>
        <w:ind w:firstLine="420" w:firstLineChars="200"/>
        <w:rPr>
          <w:rFonts w:cs="宋体"/>
          <w:color w:val="auto"/>
          <w:szCs w:val="21"/>
          <w:highlight w:val="none"/>
        </w:rPr>
      </w:pPr>
      <w:r>
        <w:rPr>
          <w:rFonts w:hint="eastAsia" w:cs="宋体"/>
          <w:color w:val="auto"/>
          <w:szCs w:val="21"/>
          <w:highlight w:val="none"/>
        </w:rPr>
        <w:t>16.4.3中标人未能在规定期限内按要求提交履约担保；</w:t>
      </w:r>
    </w:p>
    <w:p>
      <w:pPr>
        <w:spacing w:line="360" w:lineRule="auto"/>
        <w:ind w:firstLine="420" w:firstLineChars="200"/>
        <w:rPr>
          <w:rFonts w:cs="宋体"/>
          <w:color w:val="auto"/>
          <w:szCs w:val="21"/>
          <w:highlight w:val="none"/>
        </w:rPr>
      </w:pPr>
      <w:r>
        <w:rPr>
          <w:rFonts w:hint="eastAsia" w:cs="宋体"/>
          <w:color w:val="auto"/>
          <w:szCs w:val="21"/>
          <w:highlight w:val="none"/>
        </w:rPr>
        <w:t>16.4.4中标人未能在规定期限内签署合同协议。</w:t>
      </w:r>
    </w:p>
    <w:p>
      <w:pPr>
        <w:spacing w:line="360" w:lineRule="auto"/>
        <w:ind w:firstLine="420" w:firstLineChars="200"/>
        <w:rPr>
          <w:rFonts w:cs="宋体"/>
          <w:color w:val="auto"/>
          <w:szCs w:val="21"/>
          <w:highlight w:val="none"/>
        </w:rPr>
      </w:pPr>
      <w:r>
        <w:rPr>
          <w:rFonts w:hint="eastAsia" w:cs="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cs="宋体"/>
          <w:color w:val="auto"/>
          <w:szCs w:val="21"/>
          <w:highlight w:val="none"/>
        </w:rPr>
      </w:pPr>
      <w:r>
        <w:rPr>
          <w:rFonts w:hint="eastAsia" w:cs="宋体"/>
          <w:color w:val="auto"/>
          <w:szCs w:val="21"/>
          <w:highlight w:val="none"/>
        </w:rPr>
        <w:t>16.5.1投标人存在16.4条款所列情形且投标人提交的保函、担保或保证保险无法兑付的；</w:t>
      </w:r>
    </w:p>
    <w:p>
      <w:pPr>
        <w:spacing w:line="360" w:lineRule="auto"/>
        <w:ind w:firstLine="420" w:firstLineChars="200"/>
        <w:rPr>
          <w:rFonts w:cs="宋体"/>
          <w:color w:val="auto"/>
          <w:szCs w:val="21"/>
          <w:highlight w:val="none"/>
        </w:rPr>
      </w:pPr>
      <w:r>
        <w:rPr>
          <w:rFonts w:hint="eastAsia"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16.5.3按招标文件要求免于提供投标保证金的投标人存在16.4条款所列情形的。</w:t>
      </w:r>
    </w:p>
    <w:p>
      <w:pPr>
        <w:pBdr>
          <w:bottom w:val="single" w:color="auto" w:sz="6" w:space="1"/>
        </w:pBdr>
        <w:spacing w:line="360" w:lineRule="auto"/>
        <w:ind w:firstLine="409" w:firstLineChars="195"/>
        <w:rPr>
          <w:rFonts w:cs="宋体"/>
          <w:color w:val="auto"/>
          <w:szCs w:val="21"/>
          <w:highlight w:val="none"/>
        </w:rPr>
      </w:pPr>
      <w:r>
        <w:rPr>
          <w:rFonts w:hint="eastAsia" w:cs="宋体"/>
          <w:color w:val="auto"/>
          <w:szCs w:val="21"/>
          <w:highlight w:val="none"/>
        </w:rPr>
        <w:t>注：16.5.3款由招标人二选一，需在招标文件中明确。</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17.1投标人应采用单位数字证书，按招标文件要求在相应位置加盖电子印章。</w:t>
      </w:r>
      <w:r>
        <w:rPr>
          <w:rFonts w:hint="eastAsia" w:cs="宋体"/>
          <w:b/>
          <w:color w:val="auto"/>
          <w:szCs w:val="21"/>
          <w:highlight w:val="none"/>
        </w:rPr>
        <w:t>投标文件中需个人签字或盖章的，应在线下完成后扫描上传</w:t>
      </w:r>
      <w:r>
        <w:rPr>
          <w:rFonts w:hint="eastAsia" w:cs="宋体"/>
          <w:color w:val="auto"/>
          <w:szCs w:val="21"/>
          <w:highlight w:val="none"/>
        </w:rPr>
        <w:t>。按照交易平台关于全流程电子化项目的相关指南进行操作。详见： 。</w:t>
      </w:r>
    </w:p>
    <w:p>
      <w:pPr>
        <w:pBdr>
          <w:bottom w:val="single" w:color="auto" w:sz="6" w:space="1"/>
        </w:pBdr>
        <w:spacing w:line="360" w:lineRule="auto"/>
        <w:ind w:firstLine="411" w:firstLineChars="195"/>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17.1投标人应采用单位数字证书，按招标文件要求在相应位置加盖电子印章。投标文件中需个人签字或盖章的，</w:t>
      </w:r>
      <w:r>
        <w:rPr>
          <w:rFonts w:hint="eastAsia" w:cs="宋体"/>
          <w:color w:val="auto"/>
          <w:szCs w:val="21"/>
          <w:highlight w:val="none"/>
          <w:u w:val="single"/>
        </w:rPr>
        <w:t>应加盖个人电子印章或在线下完成后扫描上传</w:t>
      </w:r>
      <w:r>
        <w:rPr>
          <w:rFonts w:hint="eastAsia" w:cs="宋体"/>
          <w:color w:val="auto"/>
          <w:szCs w:val="21"/>
          <w:highlight w:val="none"/>
        </w:rPr>
        <w:t>。按照交易平台关于全流程电子化项目的相关指南进行操作。详见：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条款号：18.1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递交的电子投标文件（不含备用光盘）必须进行加密。按照交易平台关于</w:t>
      </w:r>
      <w:r>
        <w:rPr>
          <w:rFonts w:hint="eastAsia" w:cs="宋体"/>
          <w:color w:val="auto"/>
          <w:szCs w:val="21"/>
          <w:highlight w:val="none"/>
        </w:rPr>
        <w:t>全流程电子化项目的相关指南进行操作。详见： 。</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w:t>
      </w:r>
      <w:r>
        <w:rPr>
          <w:rFonts w:hint="eastAsia" w:cs="宋体"/>
          <w:color w:val="auto"/>
          <w:szCs w:val="21"/>
          <w:highlight w:val="none"/>
          <w:u w:val="single"/>
        </w:rPr>
        <w:t>广州交易集团有限公司（广州公共资源交易中心）</w:t>
      </w:r>
      <w:r>
        <w:rPr>
          <w:rFonts w:hint="eastAsia" w:cs="宋体"/>
          <w:bCs/>
          <w:color w:val="auto"/>
          <w:szCs w:val="21"/>
          <w:highlight w:val="none"/>
        </w:rPr>
        <w:t>交易平台关于</w:t>
      </w:r>
      <w:r>
        <w:rPr>
          <w:rFonts w:hint="eastAsia" w:cs="宋体"/>
          <w:color w:val="auto"/>
          <w:szCs w:val="21"/>
          <w:highlight w:val="none"/>
        </w:rPr>
        <w:t>全流程电子化项目的相关指南进行操作。详见：</w:t>
      </w:r>
      <w:r>
        <w:rPr>
          <w:rFonts w:hint="eastAsia" w:cs="宋体"/>
          <w:color w:val="auto"/>
          <w:szCs w:val="21"/>
          <w:highlight w:val="none"/>
          <w:u w:val="single"/>
        </w:rPr>
        <w:t>《房屋建筑和市政基础设施工程全流程电子化项目专章》</w:t>
      </w:r>
      <w:r>
        <w:rPr>
          <w:rFonts w:hint="eastAsia" w:cs="宋体"/>
          <w:color w:val="auto"/>
          <w:szCs w:val="21"/>
          <w:highlight w:val="none"/>
        </w:rPr>
        <w:t>。</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条款号：18.2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rPr>
        <w:t>交易平台</w:t>
      </w:r>
      <w:r>
        <w:rPr>
          <w:rFonts w:hint="eastAsia" w:cs="宋体"/>
          <w:bCs/>
          <w:color w:val="auto"/>
          <w:szCs w:val="21"/>
          <w:highlight w:val="none"/>
        </w:rPr>
        <w:t>将予以拒收。</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w:t>
      </w:r>
      <w:r>
        <w:rPr>
          <w:rFonts w:hint="eastAsia" w:cs="宋体"/>
          <w:bCs/>
          <w:color w:val="auto"/>
          <w:szCs w:val="21"/>
          <w:highlight w:val="none"/>
        </w:rPr>
        <w:t>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原文：19.投标文件的递交和接收</w:t>
      </w:r>
    </w:p>
    <w:p>
      <w:pPr>
        <w:pBdr>
          <w:bottom w:val="single" w:color="auto" w:sz="6" w:space="1"/>
        </w:pBdr>
        <w:spacing w:line="360" w:lineRule="auto"/>
        <w:ind w:firstLine="411" w:firstLineChars="195"/>
        <w:rPr>
          <w:rFonts w:cs="宋体"/>
          <w:bCs/>
          <w:color w:val="auto"/>
          <w:szCs w:val="21"/>
          <w:highlight w:val="none"/>
        </w:rPr>
      </w:pPr>
      <w:r>
        <w:rPr>
          <w:rFonts w:hint="eastAsia" w:cs="宋体"/>
          <w:b/>
          <w:color w:val="auto"/>
          <w:szCs w:val="21"/>
          <w:highlight w:val="none"/>
        </w:rPr>
        <w:t>现文：19.</w:t>
      </w:r>
      <w:r>
        <w:rPr>
          <w:rFonts w:hint="eastAsia" w:cs="宋体"/>
          <w:b/>
          <w:color w:val="auto"/>
          <w:szCs w:val="21"/>
          <w:highlight w:val="none"/>
          <w:u w:val="single"/>
        </w:rPr>
        <w:t>投标登记和</w:t>
      </w:r>
      <w:r>
        <w:rPr>
          <w:rFonts w:hint="eastAsia" w:cs="宋体"/>
          <w:b/>
          <w:color w:val="auto"/>
          <w:szCs w:val="21"/>
          <w:highlight w:val="none"/>
        </w:rPr>
        <w:t>投标文件的递交和接收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rPr>
        <w:t>交易平台递交电子投标文件。</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交易平台递交电子投标文件。</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交易平台即时向投标人发出递交回执通知。递交时间以递交回执通知载明的传输完成时间为准。</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条款号：19.3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条款号：19.5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19.5如技术标和经济标先后分别开启，交易平台将按招标文件规定的时间分别开启技术标和经济标。</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19.5</w:t>
      </w:r>
      <w:r>
        <w:rPr>
          <w:rFonts w:hint="eastAsia" w:cs="宋体"/>
          <w:color w:val="auto"/>
          <w:szCs w:val="21"/>
          <w:highlight w:val="none"/>
          <w:u w:val="single"/>
        </w:rPr>
        <w:t>广州交易集团有限公司（广州公共资源交易中心）交易平台将按招标文件规定的时间同时开启技术标（含资格审查文件）和经济标。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条款号：19.6                       修改类型：删除</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条款号：20.3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20.3</w:t>
      </w:r>
      <w:r>
        <w:rPr>
          <w:rFonts w:hint="eastAsia" w:cs="宋体"/>
          <w:color w:val="auto"/>
          <w:szCs w:val="21"/>
          <w:highlight w:val="none"/>
          <w:u w:val="single"/>
        </w:rPr>
        <w:t>到投标截止时间止，招标人收到的投标文件少于3家的，招标人将重新组织招标。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条款号：21.1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27.1招标人将在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条款号：27.4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27.4在产生中标候选人后，招标人将中标候选人的投标文件商务部分文件的所有内容（包括报价清单、人员、业绩、奖项等资料）在交易平台和广东省招标投标监管网公开。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27.4在产生中标候选人后，招标人将中标候选人的投标文件商务部分文件的所有内容（</w:t>
      </w:r>
      <w:r>
        <w:rPr>
          <w:rFonts w:hint="eastAsia" w:cs="宋体"/>
          <w:color w:val="auto"/>
          <w:szCs w:val="21"/>
          <w:highlight w:val="none"/>
          <w:u w:val="single"/>
        </w:rPr>
        <w:t>包括人员、业绩、奖项等资料</w:t>
      </w:r>
      <w:r>
        <w:rPr>
          <w:rFonts w:hint="eastAsia" w:cs="宋体"/>
          <w:color w:val="auto"/>
          <w:szCs w:val="21"/>
          <w:highlight w:val="none"/>
        </w:rPr>
        <w:t>）在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交易平台和广东省招标投标监管网公开。</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条款号：28.3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28.3非经招标人同意，中标人在投标过程中使用的银行名称及帐号至完成竣工结算不得变更，否则招标人有权停止工程款项的</w:t>
      </w:r>
      <w:r>
        <w:rPr>
          <w:rFonts w:hint="eastAsia" w:cs="宋体"/>
          <w:color w:val="auto"/>
          <w:szCs w:val="21"/>
          <w:highlight w:val="none"/>
          <w:u w:val="single"/>
        </w:rPr>
        <w:t>拨付</w:t>
      </w:r>
      <w:r>
        <w:rPr>
          <w:rFonts w:hint="eastAsia" w:cs="宋体"/>
          <w:color w:val="auto"/>
          <w:szCs w:val="21"/>
          <w:highlight w:val="none"/>
        </w:rPr>
        <w:t>及至解除合同，由此造成的一切责任由中标人承担。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w:t>
      </w:r>
      <w:r>
        <w:rPr>
          <w:rFonts w:cs="宋体"/>
          <w:b/>
          <w:color w:val="auto"/>
          <w:szCs w:val="21"/>
          <w:highlight w:val="none"/>
        </w:rPr>
        <w:t>1</w:t>
      </w:r>
      <w:r>
        <w:rPr>
          <w:rFonts w:hint="eastAsia" w:cs="宋体"/>
          <w:b/>
          <w:color w:val="auto"/>
          <w:szCs w:val="21"/>
          <w:highlight w:val="none"/>
        </w:rPr>
        <w:t xml:space="preserve">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rPr>
        <w:t>在收到中标通知书后的</w:t>
      </w:r>
      <w:r>
        <w:rPr>
          <w:rFonts w:cs="宋体"/>
          <w:color w:val="auto"/>
          <w:szCs w:val="21"/>
          <w:highlight w:val="none"/>
        </w:rPr>
        <w:t>15</w:t>
      </w:r>
      <w:r>
        <w:rPr>
          <w:rFonts w:hint="eastAsia" w:cs="宋体"/>
          <w:color w:val="auto"/>
          <w:szCs w:val="21"/>
          <w:highlight w:val="none"/>
        </w:rPr>
        <w:t>日内，中标人应按本须知前附表第</w:t>
      </w:r>
      <w:r>
        <w:rPr>
          <w:rFonts w:cs="宋体"/>
          <w:color w:val="auto"/>
          <w:szCs w:val="21"/>
          <w:highlight w:val="none"/>
        </w:rPr>
        <w:t>2</w:t>
      </w:r>
      <w:r>
        <w:rPr>
          <w:rFonts w:hint="eastAsia" w:cs="宋体"/>
          <w:color w:val="auto"/>
          <w:szCs w:val="21"/>
          <w:highlight w:val="none"/>
        </w:rPr>
        <w:t>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u w:val="single"/>
        </w:rPr>
        <w:t>合同正式签订之日起</w:t>
      </w:r>
      <w:r>
        <w:rPr>
          <w:rFonts w:cs="宋体"/>
          <w:color w:val="auto"/>
          <w:szCs w:val="21"/>
          <w:highlight w:val="none"/>
          <w:u w:val="single"/>
        </w:rPr>
        <w:t>15</w:t>
      </w:r>
      <w:r>
        <w:rPr>
          <w:rFonts w:hint="eastAsia" w:cs="宋体"/>
          <w:color w:val="auto"/>
          <w:szCs w:val="21"/>
          <w:highlight w:val="none"/>
          <w:u w:val="single"/>
        </w:rPr>
        <w:t>日内</w:t>
      </w:r>
      <w:r>
        <w:rPr>
          <w:rFonts w:hint="eastAsia" w:cs="宋体"/>
          <w:color w:val="auto"/>
          <w:szCs w:val="21"/>
          <w:highlight w:val="none"/>
        </w:rPr>
        <w:t>，中标人应按本须知前附表第</w:t>
      </w:r>
      <w:r>
        <w:rPr>
          <w:rFonts w:cs="宋体"/>
          <w:color w:val="auto"/>
          <w:szCs w:val="21"/>
          <w:highlight w:val="none"/>
        </w:rPr>
        <w:t>2</w:t>
      </w:r>
      <w:r>
        <w:rPr>
          <w:rFonts w:hint="eastAsia" w:cs="宋体"/>
          <w:color w:val="auto"/>
          <w:szCs w:val="21"/>
          <w:highlight w:val="none"/>
        </w:rPr>
        <w:t>0项的规定向招标人提交</w:t>
      </w:r>
      <w:r>
        <w:rPr>
          <w:rFonts w:hint="eastAsia" w:cs="宋体"/>
          <w:color w:val="auto"/>
          <w:szCs w:val="21"/>
          <w:highlight w:val="none"/>
          <w:u w:val="single"/>
        </w:rPr>
        <w:t>由银行开具的无条件不可撤销的</w:t>
      </w:r>
      <w:r>
        <w:rPr>
          <w:rFonts w:hint="eastAsia" w:cs="宋体"/>
          <w:color w:val="auto"/>
          <w:szCs w:val="21"/>
          <w:highlight w:val="none"/>
        </w:rPr>
        <w:t>履约担保；如果中标人的履约担保是以银行保函的形式提供，则该银行保函应由在中国注册且营业的</w:t>
      </w:r>
      <w:r>
        <w:rPr>
          <w:rFonts w:hint="eastAsia" w:cs="宋体"/>
          <w:color w:val="auto"/>
          <w:szCs w:val="21"/>
          <w:highlight w:val="none"/>
          <w:u w:val="single"/>
        </w:rPr>
        <w:t>分行级别或以上</w:t>
      </w:r>
      <w:r>
        <w:rPr>
          <w:rFonts w:hint="eastAsia" w:cs="宋体"/>
          <w:color w:val="auto"/>
          <w:szCs w:val="21"/>
          <w:highlight w:val="none"/>
        </w:rPr>
        <w:t>的银行开具。</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条款号：29.2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：29.2</w:t>
      </w:r>
      <w:r>
        <w:rPr>
          <w:rFonts w:hint="eastAsia" w:cs="宋体"/>
          <w:color w:val="auto"/>
          <w:szCs w:val="21"/>
          <w:highlight w:val="none"/>
          <w:u w:val="single"/>
        </w:rPr>
        <w:t>合同正式签订之日起</w:t>
      </w:r>
      <w:r>
        <w:rPr>
          <w:rFonts w:cs="宋体"/>
          <w:color w:val="auto"/>
          <w:szCs w:val="21"/>
          <w:highlight w:val="none"/>
          <w:u w:val="single"/>
        </w:rPr>
        <w:t>15</w:t>
      </w:r>
      <w:r>
        <w:rPr>
          <w:rFonts w:hint="eastAsia" w:cs="宋体"/>
          <w:color w:val="auto"/>
          <w:szCs w:val="21"/>
          <w:highlight w:val="none"/>
          <w:u w:val="single"/>
        </w:rPr>
        <w:t>日内</w:t>
      </w:r>
      <w:r>
        <w:rPr>
          <w:rFonts w:hint="eastAsia" w:cs="宋体"/>
          <w:color w:val="auto"/>
          <w:szCs w:val="21"/>
          <w:highlight w:val="none"/>
        </w:rPr>
        <w:t>，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11" w:firstLineChars="195"/>
        <w:rPr>
          <w:rFonts w:cs="宋体"/>
          <w:b/>
          <w:bCs/>
          <w:color w:val="auto"/>
          <w:szCs w:val="21"/>
          <w:highlight w:val="none"/>
        </w:rPr>
      </w:pPr>
      <w:r>
        <w:rPr>
          <w:rFonts w:hint="eastAsia" w:cs="宋体"/>
          <w:b/>
          <w:bCs/>
          <w:color w:val="auto"/>
          <w:szCs w:val="21"/>
          <w:highlight w:val="none"/>
        </w:rPr>
        <w:t>条款号：31                          修改类型：修改</w:t>
      </w:r>
    </w:p>
    <w:p>
      <w:pPr>
        <w:pBdr>
          <w:bottom w:val="single" w:color="auto" w:sz="6" w:space="1"/>
        </w:pBdr>
        <w:spacing w:line="360" w:lineRule="auto"/>
        <w:ind w:firstLine="411" w:firstLineChars="195"/>
        <w:rPr>
          <w:rFonts w:cs="宋体"/>
          <w:b/>
          <w:bCs/>
          <w:color w:val="auto"/>
          <w:szCs w:val="21"/>
          <w:highlight w:val="none"/>
        </w:rPr>
      </w:pPr>
      <w:r>
        <w:rPr>
          <w:rFonts w:hint="eastAsia" w:cs="宋体"/>
          <w:b/>
          <w:bCs/>
          <w:color w:val="auto"/>
          <w:szCs w:val="21"/>
          <w:highlight w:val="none"/>
        </w:rPr>
        <w:t>原文：31.其它费用</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w:t>
      </w:r>
      <w:r>
        <w:rPr>
          <w:rFonts w:hint="eastAsia" w:cs="宋体"/>
          <w:b/>
          <w:color w:val="auto"/>
          <w:szCs w:val="21"/>
          <w:highlight w:val="none"/>
        </w:rPr>
        <w:t>31.</w:t>
      </w:r>
      <w:r>
        <w:rPr>
          <w:rFonts w:hint="eastAsia" w:cs="宋体"/>
          <w:b/>
          <w:bCs/>
          <w:color w:val="auto"/>
          <w:szCs w:val="21"/>
          <w:highlight w:val="none"/>
        </w:rPr>
        <w:t>其它费用</w:t>
      </w:r>
    </w:p>
    <w:p>
      <w:pPr>
        <w:pBdr>
          <w:bottom w:val="single" w:color="auto" w:sz="6" w:space="1"/>
        </w:pBdr>
        <w:spacing w:line="360" w:lineRule="auto"/>
        <w:ind w:firstLine="409" w:firstLineChars="195"/>
        <w:rPr>
          <w:rFonts w:cs="宋体"/>
          <w:color w:val="auto"/>
          <w:szCs w:val="21"/>
          <w:highlight w:val="none"/>
          <w:u w:val="single"/>
        </w:rPr>
      </w:pPr>
      <w:r>
        <w:rPr>
          <w:rFonts w:hint="eastAsia" w:cs="宋体"/>
          <w:color w:val="auto"/>
          <w:szCs w:val="21"/>
          <w:highlight w:val="none"/>
          <w:u w:val="single"/>
        </w:rPr>
        <w:t>中标人代缴广州交易集团有限公司（广州公共资源交易中心）的交易服务费，其费用包含在中标人投标报价中，交易中心向中标人开具增值税发票。</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条款号：33                          修改类型：删除</w:t>
      </w:r>
    </w:p>
    <w:p>
      <w:pPr>
        <w:spacing w:line="360" w:lineRule="auto"/>
        <w:ind w:firstLine="411" w:firstLineChars="195"/>
        <w:rPr>
          <w:b/>
          <w:color w:val="auto"/>
          <w:sz w:val="24"/>
          <w:highlight w:val="none"/>
        </w:rPr>
      </w:pPr>
      <w:r>
        <w:rPr>
          <w:rFonts w:hint="eastAsia" w:cs="宋体"/>
          <w:b/>
          <w:bCs/>
          <w:color w:val="auto"/>
          <w:szCs w:val="21"/>
          <w:highlight w:val="none"/>
        </w:rPr>
        <w:t>原文：</w:t>
      </w:r>
      <w:r>
        <w:rPr>
          <w:rFonts w:hint="eastAsia" w:cs="宋体"/>
          <w:b/>
          <w:color w:val="auto"/>
          <w:szCs w:val="21"/>
          <w:highlight w:val="none"/>
        </w:rPr>
        <w:t>33.</w:t>
      </w:r>
      <w:r>
        <w:rPr>
          <w:rFonts w:hint="eastAsia"/>
          <w:b/>
          <w:color w:val="auto"/>
          <w:sz w:val="24"/>
          <w:highlight w:val="none"/>
        </w:rPr>
        <w:t>投标人信誉的要求</w:t>
      </w:r>
    </w:p>
    <w:p>
      <w:pPr>
        <w:spacing w:line="360" w:lineRule="auto"/>
        <w:ind w:firstLine="409" w:firstLineChars="195"/>
        <w:rPr>
          <w:rFonts w:cs="宋体"/>
          <w:color w:val="auto"/>
          <w:szCs w:val="21"/>
          <w:highlight w:val="none"/>
        </w:rPr>
      </w:pPr>
      <w:r>
        <w:rPr>
          <w:rFonts w:hint="eastAsia" w:cs="宋体"/>
          <w:color w:val="auto"/>
          <w:szCs w:val="21"/>
          <w:highlight w:val="none"/>
        </w:rPr>
        <w:t>存在下列情形之一的，招标人可以限制其投标（需在招标文件中明确评定方法）</w:t>
      </w:r>
    </w:p>
    <w:p>
      <w:pPr>
        <w:spacing w:line="360" w:lineRule="auto"/>
        <w:ind w:firstLine="409" w:firstLineChars="195"/>
        <w:rPr>
          <w:rFonts w:cs="宋体"/>
          <w:color w:val="auto"/>
          <w:szCs w:val="21"/>
          <w:highlight w:val="none"/>
        </w:rPr>
      </w:pPr>
      <w:r>
        <w:rPr>
          <w:rFonts w:hint="eastAsia" w:cs="宋体"/>
          <w:color w:val="auto"/>
          <w:szCs w:val="21"/>
          <w:highlight w:val="none"/>
        </w:rPr>
        <w:t>（1）被住房城乡建设行政主管部门在全国建筑市场监管一体化工作平台列入建筑市场主体“黑名单”；</w:t>
      </w:r>
    </w:p>
    <w:p>
      <w:pPr>
        <w:pBdr>
          <w:bottom w:val="single" w:color="auto" w:sz="4" w:space="1"/>
        </w:pBdr>
        <w:spacing w:line="360" w:lineRule="auto"/>
        <w:ind w:firstLine="409" w:firstLineChars="195"/>
        <w:rPr>
          <w:rFonts w:cs="宋体"/>
          <w:color w:val="auto"/>
          <w:szCs w:val="21"/>
          <w:highlight w:val="none"/>
        </w:rPr>
      </w:pPr>
      <w:r>
        <w:rPr>
          <w:rFonts w:hint="eastAsia" w:cs="宋体"/>
          <w:color w:val="auto"/>
          <w:szCs w:val="21"/>
          <w:highlight w:val="none"/>
        </w:rPr>
        <w:t>（2）被发改委、人力资源社会保障、质检总局等有关部门、单位在“信用中国”网站中列入联合惩戒失信黑名单。</w:t>
      </w:r>
    </w:p>
    <w:p>
      <w:pPr>
        <w:spacing w:line="440" w:lineRule="exact"/>
        <w:ind w:firstLine="472" w:firstLineChars="224"/>
        <w:rPr>
          <w:b/>
          <w:color w:val="auto"/>
          <w:highlight w:val="none"/>
        </w:rPr>
      </w:pPr>
      <w:r>
        <w:rPr>
          <w:rFonts w:hint="eastAsia"/>
          <w:b/>
          <w:color w:val="auto"/>
          <w:highlight w:val="none"/>
        </w:rPr>
        <w:t>条款号：34</w:t>
      </w:r>
      <w:r>
        <w:rPr>
          <w:b/>
          <w:color w:val="auto"/>
          <w:highlight w:val="none"/>
        </w:rPr>
        <w:t xml:space="preserve">         </w:t>
      </w:r>
      <w:r>
        <w:rPr>
          <w:rFonts w:hint="eastAsia"/>
          <w:b/>
          <w:color w:val="auto"/>
          <w:highlight w:val="none"/>
        </w:rPr>
        <w:t xml:space="preserve">     </w:t>
      </w:r>
      <w:r>
        <w:rPr>
          <w:b/>
          <w:color w:val="auto"/>
          <w:highlight w:val="none"/>
        </w:rPr>
        <w:t xml:space="preserve">   </w:t>
      </w:r>
      <w:r>
        <w:rPr>
          <w:rFonts w:hint="eastAsia"/>
          <w:b/>
          <w:color w:val="auto"/>
          <w:highlight w:val="none"/>
        </w:rPr>
        <w:t>修改类型：增加</w:t>
      </w:r>
    </w:p>
    <w:p>
      <w:pPr>
        <w:pBdr>
          <w:bottom w:val="single" w:color="auto" w:sz="6" w:space="1"/>
        </w:pBdr>
        <w:spacing w:line="360" w:lineRule="auto"/>
        <w:ind w:firstLine="422" w:firstLineChars="200"/>
        <w:jc w:val="left"/>
        <w:rPr>
          <w:color w:val="auto"/>
          <w:highlight w:val="none"/>
        </w:rPr>
      </w:pPr>
      <w:r>
        <w:rPr>
          <w:rFonts w:hint="eastAsia"/>
          <w:b/>
          <w:color w:val="auto"/>
          <w:highlight w:val="none"/>
        </w:rPr>
        <w:t>现文：</w:t>
      </w:r>
      <w:r>
        <w:rPr>
          <w:rFonts w:hint="eastAsia"/>
          <w:b/>
          <w:color w:val="auto"/>
          <w:highlight w:val="none"/>
          <w:u w:val="single"/>
        </w:rPr>
        <w:t>34.（1）</w:t>
      </w:r>
      <w:r>
        <w:rPr>
          <w:rFonts w:hint="eastAsia" w:cs="宋体"/>
          <w:color w:val="auto"/>
          <w:szCs w:val="21"/>
          <w:highlight w:val="none"/>
          <w:u w:val="single"/>
        </w:rPr>
        <w:t>中标人向广州交易集团有限公司自行支付公共资源交易服务费，收费标准及结算账户详见广州交易集团有限公司官网通知“关于公共资源交易服务费标准及相关指引的说明”。</w:t>
      </w:r>
    </w:p>
    <w:p>
      <w:pPr>
        <w:pBdr>
          <w:bottom w:val="single" w:color="auto" w:sz="6" w:space="1"/>
        </w:pBdr>
        <w:spacing w:line="360" w:lineRule="auto"/>
        <w:ind w:firstLine="422" w:firstLineChars="201"/>
        <w:rPr>
          <w:rFonts w:hint="eastAsia" w:eastAsia="宋体" w:cs="宋体"/>
          <w:color w:val="auto"/>
          <w:szCs w:val="21"/>
          <w:highlight w:val="none"/>
          <w:u w:val="single"/>
          <w:lang w:eastAsia="zh-CN"/>
        </w:rPr>
      </w:pPr>
      <w:r>
        <w:rPr>
          <w:rFonts w:hint="eastAsia"/>
          <w:color w:val="auto"/>
          <w:highlight w:val="none"/>
        </w:rPr>
        <w:t>（2）</w:t>
      </w:r>
      <w:r>
        <w:rPr>
          <w:rFonts w:hint="eastAsia" w:cs="宋体"/>
          <w:color w:val="auto"/>
          <w:szCs w:val="21"/>
          <w:highlight w:val="none"/>
          <w:u w:val="single"/>
        </w:rPr>
        <w:t>中标人向广州市政府采购中心自行支付公共资源交易服务费（招标代理服务费），以中标金额按差额定率累进法计算，收费标准详见下表：</w:t>
      </w:r>
      <w:r>
        <w:rPr>
          <w:rFonts w:hint="eastAsia" w:cs="宋体"/>
          <w:color w:val="auto"/>
          <w:szCs w:val="21"/>
          <w:highlight w:val="none"/>
          <w:u w:val="single"/>
          <w:lang w:eastAsia="zh-CN"/>
        </w:rPr>
        <w:t>（</w:t>
      </w:r>
      <w:r>
        <w:rPr>
          <w:rFonts w:hint="eastAsia" w:cs="宋体"/>
          <w:color w:val="auto"/>
          <w:szCs w:val="21"/>
          <w:highlight w:val="none"/>
          <w:u w:val="single"/>
          <w:lang w:val="en-US" w:eastAsia="zh-CN"/>
        </w:rPr>
        <w:t>本项目按工程类收费</w:t>
      </w:r>
      <w:r>
        <w:rPr>
          <w:rFonts w:hint="eastAsia" w:cs="宋体"/>
          <w:color w:val="auto"/>
          <w:szCs w:val="21"/>
          <w:highlight w:val="none"/>
          <w:u w:val="single"/>
          <w:lang w:eastAsia="zh-CN"/>
        </w:rPr>
        <w:t>）</w:t>
      </w:r>
    </w:p>
    <w:tbl>
      <w:tblPr>
        <w:tblStyle w:val="28"/>
        <w:tblW w:w="0" w:type="auto"/>
        <w:tblInd w:w="0" w:type="dxa"/>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Layout w:type="fixed"/>
        <w:tblCellMar>
          <w:top w:w="0" w:type="dxa"/>
          <w:left w:w="108" w:type="dxa"/>
          <w:bottom w:w="0" w:type="dxa"/>
          <w:right w:w="108" w:type="dxa"/>
        </w:tblCellMar>
      </w:tblPr>
      <w:tblGrid>
        <w:gridCol w:w="4829"/>
        <w:gridCol w:w="1623"/>
        <w:gridCol w:w="1730"/>
        <w:gridCol w:w="1786"/>
      </w:tblGrid>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货物类</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服务类</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工程类</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中标金额≤100万元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1.5%</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100万元＜中标金额≤500万元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1.1%</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0.8%</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0.7%</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500万元＜中标金额≤1000万元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0.8%</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0.45%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0.55%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1000万元＜中标金额≤5000万元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0.5%</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0.35%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5000万元＜中标金额≤1亿元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0.25%</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0.1%</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0.2%</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1亿元＜中标金额≤5亿元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5亿元＜中标金额≤10亿元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0.035%</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10亿元＜中标金额≤50亿元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0.0008%</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50亿元＜中标金额≤100亿元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0.0006%</w:t>
            </w:r>
          </w:p>
        </w:tc>
      </w:tr>
      <w:tr>
        <w:tblPrEx>
          <w:tblBorders>
            <w:top w:val="single" w:color="E9E9E9" w:sz="6" w:space="0"/>
            <w:left w:val="single" w:color="E9E9E9" w:sz="6" w:space="0"/>
            <w:bottom w:val="single" w:color="E9E9E9" w:sz="6" w:space="0"/>
            <w:right w:val="single" w:color="E9E9E9" w:sz="6" w:space="0"/>
            <w:insideH w:val="none" w:color="auto" w:sz="0" w:space="0"/>
            <w:insideV w:val="none" w:color="auto" w:sz="0" w:space="0"/>
          </w:tblBorders>
          <w:tblCellMar>
            <w:top w:w="0" w:type="dxa"/>
            <w:left w:w="108" w:type="dxa"/>
            <w:bottom w:w="0" w:type="dxa"/>
            <w:right w:w="108" w:type="dxa"/>
          </w:tblCellMar>
        </w:tblPrEx>
        <w:tc>
          <w:tcPr>
            <w:tcW w:w="4829"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中标金额&gt;100亿元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0.0004%</w:t>
            </w:r>
          </w:p>
        </w:tc>
      </w:tr>
    </w:tbl>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广州市政府采购中心结算账户：</w:t>
      </w:r>
    </w:p>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收款单位：广州市政府采购中心</w:t>
      </w:r>
    </w:p>
    <w:p>
      <w:pPr>
        <w:pBdr>
          <w:bottom w:val="single" w:color="auto" w:sz="6" w:space="1"/>
        </w:pBdr>
        <w:spacing w:line="360" w:lineRule="auto"/>
        <w:ind w:firstLine="422" w:firstLineChars="201"/>
        <w:rPr>
          <w:color w:val="auto"/>
          <w:szCs w:val="21"/>
          <w:highlight w:val="none"/>
          <w:u w:val="single"/>
        </w:rPr>
      </w:pPr>
      <w:r>
        <w:rPr>
          <w:rFonts w:hint="eastAsia"/>
          <w:color w:val="auto"/>
          <w:szCs w:val="21"/>
          <w:highlight w:val="none"/>
          <w:u w:val="single"/>
        </w:rPr>
        <w:t>开户行:中国建设银行广州天润路支行</w:t>
      </w:r>
    </w:p>
    <w:p>
      <w:pPr>
        <w:pBdr>
          <w:bottom w:val="single" w:color="auto" w:sz="6" w:space="1"/>
        </w:pBdr>
        <w:spacing w:line="360" w:lineRule="auto"/>
        <w:ind w:firstLine="420" w:firstLineChars="200"/>
        <w:jc w:val="left"/>
        <w:rPr>
          <w:rFonts w:hint="eastAsia"/>
          <w:color w:val="auto"/>
          <w:highlight w:val="none"/>
        </w:rPr>
      </w:pPr>
      <w:r>
        <w:rPr>
          <w:rFonts w:hint="eastAsia"/>
          <w:color w:val="auto"/>
          <w:szCs w:val="21"/>
          <w:highlight w:val="none"/>
          <w:u w:val="single"/>
        </w:rPr>
        <w:t>银行账号：44050158340409202288</w:t>
      </w:r>
    </w:p>
    <w:p>
      <w:pPr>
        <w:spacing w:line="360" w:lineRule="auto"/>
        <w:rPr>
          <w:rFonts w:hint="eastAsia" w:cs="宋体"/>
          <w:b/>
          <w:color w:val="auto"/>
          <w:szCs w:val="21"/>
          <w:highlight w:val="none"/>
        </w:rPr>
      </w:pPr>
    </w:p>
    <w:p>
      <w:pPr>
        <w:spacing w:line="360" w:lineRule="auto"/>
        <w:rPr>
          <w:rFonts w:cs="宋体"/>
          <w:b/>
          <w:color w:val="auto"/>
          <w:szCs w:val="21"/>
          <w:highlight w:val="none"/>
        </w:rPr>
      </w:pPr>
      <w:r>
        <w:rPr>
          <w:rFonts w:hint="eastAsia" w:cs="宋体"/>
          <w:b/>
          <w:color w:val="auto"/>
          <w:szCs w:val="21"/>
          <w:highlight w:val="none"/>
        </w:rPr>
        <w:t>注：以上修改，仅限于本范本中有可供选择条款的情形。</w:t>
      </w:r>
    </w:p>
    <w:p>
      <w:pPr>
        <w:spacing w:line="360" w:lineRule="auto"/>
        <w:rPr>
          <w:rFonts w:cs="宋体"/>
          <w:color w:val="auto"/>
          <w:highlight w:val="none"/>
        </w:rPr>
      </w:pPr>
      <w:r>
        <w:rPr>
          <w:rFonts w:hint="eastAsia" w:cs="宋体"/>
          <w:b/>
          <w:color w:val="auto"/>
          <w:szCs w:val="21"/>
          <w:highlight w:val="none"/>
        </w:rPr>
        <w:t>（以下无正文）</w:t>
      </w:r>
    </w:p>
    <w:p>
      <w:pPr>
        <w:pStyle w:val="7"/>
        <w:rPr>
          <w:color w:val="auto"/>
          <w:highlight w:val="none"/>
        </w:rPr>
      </w:pPr>
      <w:r>
        <w:rPr>
          <w:color w:val="auto"/>
          <w:highlight w:val="none"/>
        </w:rPr>
        <w:br w:type="page"/>
      </w:r>
      <w:bookmarkStart w:id="4" w:name="_Toc5081"/>
      <w:r>
        <w:rPr>
          <w:rFonts w:hint="eastAsia"/>
          <w:color w:val="auto"/>
          <w:highlight w:val="none"/>
        </w:rPr>
        <w:t>三、投标须知通用条款</w:t>
      </w:r>
      <w:bookmarkEnd w:id="4"/>
    </w:p>
    <w:p>
      <w:pPr>
        <w:pStyle w:val="8"/>
        <w:spacing w:before="156" w:after="156"/>
        <w:jc w:val="center"/>
        <w:rPr>
          <w:color w:val="auto"/>
          <w:highlight w:val="none"/>
        </w:rPr>
      </w:pPr>
      <w:bookmarkStart w:id="5" w:name="_Toc18704"/>
      <w:bookmarkStart w:id="6" w:name="_Toc30203"/>
      <w:bookmarkStart w:id="7" w:name="_Toc18664061"/>
      <w:r>
        <w:rPr>
          <w:rFonts w:hint="eastAsia"/>
          <w:color w:val="auto"/>
          <w:highlight w:val="none"/>
        </w:rPr>
        <w:t>（一）总则</w:t>
      </w:r>
      <w:bookmarkEnd w:id="5"/>
      <w:bookmarkEnd w:id="6"/>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b/>
          <w:color w:val="auto"/>
          <w:sz w:val="24"/>
          <w:highlight w:val="none"/>
        </w:rPr>
      </w:pPr>
      <w:r>
        <w:rPr>
          <w:b/>
          <w:color w:val="auto"/>
          <w:sz w:val="24"/>
          <w:highlight w:val="none"/>
        </w:rPr>
        <w:t>2</w:t>
      </w:r>
      <w:r>
        <w:rPr>
          <w:rFonts w:hint="eastAsia"/>
          <w:b/>
          <w:color w:val="auto"/>
          <w:sz w:val="24"/>
          <w:highlight w:val="none"/>
        </w:rPr>
        <w:t>、招标说明</w:t>
      </w:r>
    </w:p>
    <w:p>
      <w:pPr>
        <w:spacing w:line="360" w:lineRule="auto"/>
        <w:ind w:firstLine="480" w:firstLineChars="200"/>
        <w:rPr>
          <w:bCs/>
          <w:color w:val="auto"/>
          <w:sz w:val="24"/>
          <w:highlight w:val="none"/>
        </w:rPr>
      </w:pPr>
      <w:r>
        <w:rPr>
          <w:bCs/>
          <w:color w:val="auto"/>
          <w:sz w:val="24"/>
          <w:highlight w:val="none"/>
        </w:rPr>
        <w:t>2.1</w:t>
      </w:r>
      <w:r>
        <w:rPr>
          <w:rFonts w:hint="eastAsia"/>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bCs/>
          <w:color w:val="auto"/>
          <w:sz w:val="24"/>
          <w:highlight w:val="none"/>
        </w:rPr>
      </w:pPr>
      <w:r>
        <w:rPr>
          <w:bCs/>
          <w:color w:val="auto"/>
          <w:sz w:val="24"/>
          <w:highlight w:val="none"/>
        </w:rPr>
        <w:t>2.2</w:t>
      </w:r>
      <w:r>
        <w:rPr>
          <w:rFonts w:hint="eastAsia"/>
          <w:bCs/>
          <w:color w:val="auto"/>
          <w:sz w:val="24"/>
          <w:highlight w:val="none"/>
        </w:rPr>
        <w:t>工程名称、建设地点、建设规模、承包方式、质量标准、招标范围、工期要求等均在投标须知前附表中列明。</w:t>
      </w:r>
    </w:p>
    <w:p>
      <w:pPr>
        <w:spacing w:line="360" w:lineRule="auto"/>
        <w:ind w:firstLine="480" w:firstLineChars="200"/>
        <w:rPr>
          <w:bCs/>
          <w:color w:val="auto"/>
          <w:sz w:val="24"/>
          <w:highlight w:val="none"/>
        </w:rPr>
      </w:pPr>
      <w:r>
        <w:rPr>
          <w:bCs/>
          <w:color w:val="auto"/>
          <w:sz w:val="24"/>
          <w:highlight w:val="none"/>
        </w:rPr>
        <w:t>2.3</w:t>
      </w:r>
      <w:r>
        <w:rPr>
          <w:rFonts w:hint="eastAsia"/>
          <w:bCs/>
          <w:color w:val="auto"/>
          <w:sz w:val="24"/>
          <w:highlight w:val="none"/>
        </w:rPr>
        <w:t>设计说明：详见招标图纸。</w:t>
      </w:r>
    </w:p>
    <w:p>
      <w:pPr>
        <w:spacing w:line="360" w:lineRule="auto"/>
        <w:ind w:firstLine="480" w:firstLineChars="200"/>
        <w:rPr>
          <w:bCs/>
          <w:color w:val="auto"/>
          <w:sz w:val="24"/>
          <w:highlight w:val="none"/>
        </w:rPr>
      </w:pPr>
      <w:r>
        <w:rPr>
          <w:bCs/>
          <w:color w:val="auto"/>
          <w:sz w:val="24"/>
          <w:highlight w:val="none"/>
        </w:rPr>
        <w:t>2.4</w:t>
      </w:r>
      <w:r>
        <w:rPr>
          <w:rFonts w:hint="eastAsia"/>
          <w:bCs/>
          <w:color w:val="auto"/>
          <w:sz w:val="24"/>
          <w:highlight w:val="none"/>
        </w:rPr>
        <w:t>工程施工特点：详见招标图纸。</w:t>
      </w:r>
    </w:p>
    <w:p>
      <w:pPr>
        <w:tabs>
          <w:tab w:val="left" w:pos="105"/>
        </w:tabs>
        <w:spacing w:line="360" w:lineRule="auto"/>
        <w:ind w:firstLine="482" w:firstLineChars="200"/>
        <w:rPr>
          <w:b/>
          <w:color w:val="auto"/>
          <w:sz w:val="24"/>
          <w:highlight w:val="none"/>
        </w:rPr>
      </w:pPr>
      <w:r>
        <w:rPr>
          <w:b/>
          <w:color w:val="auto"/>
          <w:sz w:val="24"/>
          <w:highlight w:val="none"/>
        </w:rPr>
        <w:t>3</w:t>
      </w:r>
      <w:r>
        <w:rPr>
          <w:rFonts w:hint="eastAsia"/>
          <w:b/>
          <w:color w:val="auto"/>
          <w:sz w:val="24"/>
          <w:highlight w:val="none"/>
        </w:rPr>
        <w:t>．资金来源</w:t>
      </w:r>
    </w:p>
    <w:p>
      <w:pPr>
        <w:spacing w:line="360" w:lineRule="auto"/>
        <w:ind w:firstLine="480" w:firstLineChars="200"/>
        <w:rPr>
          <w:bCs/>
          <w:color w:val="auto"/>
          <w:sz w:val="24"/>
          <w:highlight w:val="none"/>
        </w:rPr>
      </w:pPr>
      <w:r>
        <w:rPr>
          <w:bCs/>
          <w:color w:val="auto"/>
          <w:sz w:val="24"/>
          <w:highlight w:val="none"/>
        </w:rPr>
        <w:t>3.1</w:t>
      </w:r>
      <w:r>
        <w:rPr>
          <w:rFonts w:hint="eastAsia"/>
          <w:bCs/>
          <w:color w:val="auto"/>
          <w:sz w:val="24"/>
          <w:highlight w:val="none"/>
        </w:rPr>
        <w:t>本招标工程项目资金来源见投标须知前附表第</w:t>
      </w:r>
      <w:r>
        <w:rPr>
          <w:bCs/>
          <w:color w:val="auto"/>
          <w:sz w:val="24"/>
          <w:highlight w:val="none"/>
        </w:rPr>
        <w:t>9</w:t>
      </w:r>
      <w:r>
        <w:rPr>
          <w:rFonts w:hint="eastAsia"/>
          <w:bCs/>
          <w:color w:val="auto"/>
          <w:sz w:val="24"/>
          <w:highlight w:val="none"/>
        </w:rPr>
        <w:t>项</w:t>
      </w:r>
    </w:p>
    <w:p>
      <w:pPr>
        <w:tabs>
          <w:tab w:val="left" w:pos="105"/>
        </w:tabs>
        <w:spacing w:line="360" w:lineRule="auto"/>
        <w:ind w:firstLine="482" w:firstLineChars="200"/>
        <w:rPr>
          <w:b/>
          <w:color w:val="auto"/>
          <w:sz w:val="24"/>
          <w:highlight w:val="none"/>
        </w:rPr>
      </w:pPr>
      <w:r>
        <w:rPr>
          <w:b/>
          <w:color w:val="auto"/>
          <w:sz w:val="24"/>
          <w:highlight w:val="none"/>
        </w:rPr>
        <w:t>4</w:t>
      </w:r>
      <w:r>
        <w:rPr>
          <w:rFonts w:hint="eastAsia"/>
          <w:b/>
          <w:color w:val="auto"/>
          <w:sz w:val="24"/>
          <w:highlight w:val="none"/>
        </w:rPr>
        <w:t>．合格投标人的条件</w:t>
      </w:r>
    </w:p>
    <w:p>
      <w:pPr>
        <w:spacing w:line="360" w:lineRule="auto"/>
        <w:ind w:firstLine="480" w:firstLineChars="200"/>
        <w:rPr>
          <w:bCs/>
          <w:color w:val="auto"/>
          <w:sz w:val="24"/>
          <w:highlight w:val="none"/>
        </w:rPr>
      </w:pPr>
      <w:r>
        <w:rPr>
          <w:bCs/>
          <w:color w:val="auto"/>
          <w:sz w:val="24"/>
          <w:highlight w:val="none"/>
        </w:rPr>
        <w:t>4.1</w:t>
      </w:r>
      <w:r>
        <w:rPr>
          <w:rFonts w:hint="eastAsia"/>
          <w:bCs/>
          <w:color w:val="auto"/>
          <w:sz w:val="24"/>
          <w:highlight w:val="none"/>
        </w:rPr>
        <w:t>详见本项目招标公告</w:t>
      </w:r>
    </w:p>
    <w:p>
      <w:pPr>
        <w:tabs>
          <w:tab w:val="left" w:pos="105"/>
        </w:tabs>
        <w:spacing w:line="360" w:lineRule="auto"/>
        <w:ind w:firstLine="482" w:firstLineChars="200"/>
        <w:rPr>
          <w:b/>
          <w:color w:val="auto"/>
          <w:sz w:val="24"/>
          <w:highlight w:val="none"/>
        </w:rPr>
      </w:pPr>
      <w:r>
        <w:rPr>
          <w:b/>
          <w:color w:val="auto"/>
          <w:sz w:val="24"/>
          <w:highlight w:val="none"/>
        </w:rPr>
        <w:t>5</w:t>
      </w:r>
      <w:r>
        <w:rPr>
          <w:rFonts w:hint="eastAsia"/>
          <w:b/>
          <w:color w:val="auto"/>
          <w:sz w:val="24"/>
          <w:highlight w:val="none"/>
        </w:rPr>
        <w:t>．踏勘现场</w:t>
      </w:r>
    </w:p>
    <w:p>
      <w:pPr>
        <w:spacing w:line="360" w:lineRule="auto"/>
        <w:ind w:firstLine="480" w:firstLineChars="200"/>
        <w:rPr>
          <w:bCs/>
          <w:color w:val="auto"/>
          <w:sz w:val="24"/>
          <w:highlight w:val="none"/>
          <w:u w:val="single"/>
        </w:rPr>
      </w:pPr>
      <w:r>
        <w:rPr>
          <w:bCs/>
          <w:color w:val="auto"/>
          <w:sz w:val="24"/>
          <w:highlight w:val="none"/>
        </w:rPr>
        <w:t xml:space="preserve">5.1 </w:t>
      </w:r>
      <w:r>
        <w:rPr>
          <w:rFonts w:hint="eastAsia"/>
          <w:bCs/>
          <w:color w:val="auto"/>
          <w:sz w:val="24"/>
          <w:highlight w:val="none"/>
        </w:rPr>
        <w:t>投标人应按本投标须知前附表第</w:t>
      </w:r>
      <w:r>
        <w:rPr>
          <w:bCs/>
          <w:color w:val="auto"/>
          <w:sz w:val="24"/>
          <w:highlight w:val="none"/>
        </w:rPr>
        <w:t>15</w:t>
      </w:r>
      <w:r>
        <w:rPr>
          <w:rFonts w:hint="eastAsia"/>
          <w:bCs/>
          <w:color w:val="auto"/>
          <w:sz w:val="24"/>
          <w:highlight w:val="none"/>
        </w:rPr>
        <w:t>项所述时间和要求对工程现场及周围环境进行踏勘，</w:t>
      </w:r>
      <w:r>
        <w:rPr>
          <w:rFonts w:hint="eastAsia"/>
          <w:color w:val="auto"/>
          <w:sz w:val="24"/>
          <w:highlight w:val="none"/>
        </w:rPr>
        <w:t>投标人应充分重视和仔细地进行这种考察，</w:t>
      </w:r>
      <w:r>
        <w:rPr>
          <w:rFonts w:hint="eastAsia"/>
          <w:bCs/>
          <w:color w:val="auto"/>
          <w:sz w:val="24"/>
          <w:highlight w:val="none"/>
        </w:rPr>
        <w:t>以便投标人获取</w:t>
      </w:r>
      <w:r>
        <w:rPr>
          <w:rFonts w:hint="eastAsia"/>
          <w:color w:val="auto"/>
          <w:sz w:val="24"/>
          <w:highlight w:val="none"/>
        </w:rPr>
        <w:t>那些须投标人自己负责的</w:t>
      </w:r>
      <w:r>
        <w:rPr>
          <w:rFonts w:hint="eastAsia"/>
          <w:bCs/>
          <w:color w:val="auto"/>
          <w:sz w:val="24"/>
          <w:highlight w:val="none"/>
        </w:rPr>
        <w:t>有关编制投标文件和签署合同所涉及现场所有的资料。</w:t>
      </w:r>
      <w:r>
        <w:rPr>
          <w:rFonts w:hint="eastAsia"/>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bCs/>
          <w:color w:val="auto"/>
          <w:sz w:val="24"/>
          <w:highlight w:val="none"/>
        </w:rPr>
      </w:pPr>
      <w:r>
        <w:rPr>
          <w:bCs/>
          <w:color w:val="auto"/>
          <w:sz w:val="24"/>
          <w:highlight w:val="none"/>
        </w:rPr>
        <w:t xml:space="preserve">5.2 </w:t>
      </w:r>
      <w:r>
        <w:rPr>
          <w:rFonts w:hint="eastAsia"/>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bCs/>
          <w:color w:val="auto"/>
          <w:sz w:val="24"/>
          <w:highlight w:val="none"/>
        </w:rPr>
      </w:pPr>
      <w:r>
        <w:rPr>
          <w:bCs/>
          <w:color w:val="auto"/>
          <w:sz w:val="24"/>
          <w:highlight w:val="none"/>
        </w:rPr>
        <w:t xml:space="preserve">5.3 </w:t>
      </w:r>
      <w:r>
        <w:rPr>
          <w:rFonts w:hint="eastAsia"/>
          <w:bCs/>
          <w:color w:val="auto"/>
          <w:sz w:val="24"/>
          <w:highlight w:val="none"/>
        </w:rPr>
        <w:t>经招标人允许，投标人可为踏勘目的进入招标人的项目现场。</w:t>
      </w:r>
      <w:r>
        <w:rPr>
          <w:rFonts w:hint="eastAsia"/>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bCs/>
          <w:color w:val="auto"/>
          <w:sz w:val="24"/>
          <w:highlight w:val="none"/>
        </w:rPr>
        <w:t>投标人不得因此使招标人承担有关的责任和蒙受损失。</w:t>
      </w:r>
    </w:p>
    <w:p>
      <w:pPr>
        <w:tabs>
          <w:tab w:val="left" w:pos="105"/>
        </w:tabs>
        <w:spacing w:line="360" w:lineRule="auto"/>
        <w:ind w:firstLine="482" w:firstLineChars="200"/>
        <w:rPr>
          <w:b/>
          <w:color w:val="auto"/>
          <w:sz w:val="24"/>
          <w:highlight w:val="none"/>
        </w:rPr>
      </w:pPr>
      <w:r>
        <w:rPr>
          <w:b/>
          <w:color w:val="auto"/>
          <w:sz w:val="24"/>
          <w:highlight w:val="none"/>
        </w:rPr>
        <w:t>6</w:t>
      </w:r>
      <w:r>
        <w:rPr>
          <w:rFonts w:hint="eastAsia"/>
          <w:b/>
          <w:color w:val="auto"/>
          <w:sz w:val="24"/>
          <w:highlight w:val="none"/>
        </w:rPr>
        <w:t>．投标费用</w:t>
      </w:r>
    </w:p>
    <w:p>
      <w:pPr>
        <w:tabs>
          <w:tab w:val="left" w:pos="105"/>
        </w:tabs>
        <w:spacing w:line="360" w:lineRule="auto"/>
        <w:ind w:firstLine="480" w:firstLineChars="200"/>
        <w:rPr>
          <w:bCs/>
          <w:color w:val="auto"/>
          <w:sz w:val="24"/>
          <w:highlight w:val="none"/>
        </w:rPr>
      </w:pPr>
      <w:r>
        <w:rPr>
          <w:bCs/>
          <w:color w:val="auto"/>
          <w:sz w:val="24"/>
          <w:highlight w:val="none"/>
        </w:rPr>
        <w:t>6.1</w:t>
      </w:r>
      <w:r>
        <w:rPr>
          <w:rFonts w:hint="eastAsia"/>
          <w:color w:val="auto"/>
          <w:sz w:val="24"/>
          <w:highlight w:val="none"/>
        </w:rPr>
        <w:t>不论投标结果如何，投标人应承担</w:t>
      </w:r>
      <w:r>
        <w:rPr>
          <w:rFonts w:hint="eastAsia"/>
          <w:bCs/>
          <w:color w:val="auto"/>
          <w:sz w:val="24"/>
          <w:highlight w:val="none"/>
        </w:rPr>
        <w:t>自身</w:t>
      </w:r>
      <w:r>
        <w:rPr>
          <w:rFonts w:hint="eastAsia"/>
          <w:color w:val="auto"/>
          <w:sz w:val="24"/>
          <w:highlight w:val="none"/>
        </w:rPr>
        <w:t>因投标文件编制、递交及其他</w:t>
      </w:r>
      <w:r>
        <w:rPr>
          <w:rFonts w:hint="eastAsia"/>
          <w:bCs/>
          <w:color w:val="auto"/>
          <w:sz w:val="24"/>
          <w:highlight w:val="none"/>
        </w:rPr>
        <w:t>参加本招标活动</w:t>
      </w:r>
      <w:r>
        <w:rPr>
          <w:rFonts w:hint="eastAsia"/>
          <w:color w:val="auto"/>
          <w:sz w:val="24"/>
          <w:highlight w:val="none"/>
        </w:rPr>
        <w:t>所涉及的一切费用，招标人对上述费用不负任何责任。</w:t>
      </w:r>
    </w:p>
    <w:p>
      <w:pPr>
        <w:pStyle w:val="8"/>
        <w:spacing w:before="156" w:after="156"/>
        <w:rPr>
          <w:color w:val="auto"/>
          <w:highlight w:val="none"/>
        </w:rPr>
      </w:pPr>
      <w:bookmarkStart w:id="8" w:name="_Toc22983"/>
      <w:bookmarkStart w:id="9" w:name="_Toc22955"/>
      <w:r>
        <w:rPr>
          <w:rFonts w:hint="eastAsia"/>
          <w:color w:val="auto"/>
          <w:highlight w:val="none"/>
        </w:rPr>
        <w:t>（二）招标文件</w:t>
      </w:r>
      <w:bookmarkEnd w:id="8"/>
      <w:bookmarkEnd w:id="9"/>
    </w:p>
    <w:p>
      <w:pPr>
        <w:tabs>
          <w:tab w:val="left" w:pos="105"/>
        </w:tabs>
        <w:spacing w:line="360" w:lineRule="auto"/>
        <w:ind w:firstLine="482" w:firstLineChars="200"/>
        <w:rPr>
          <w:b/>
          <w:color w:val="auto"/>
          <w:sz w:val="24"/>
          <w:highlight w:val="none"/>
        </w:rPr>
      </w:pPr>
      <w:r>
        <w:rPr>
          <w:b/>
          <w:color w:val="auto"/>
          <w:sz w:val="24"/>
          <w:highlight w:val="none"/>
        </w:rPr>
        <w:t>7.</w:t>
      </w:r>
      <w:r>
        <w:rPr>
          <w:rFonts w:hint="eastAsia"/>
          <w:b/>
          <w:color w:val="auto"/>
          <w:sz w:val="24"/>
          <w:highlight w:val="none"/>
        </w:rPr>
        <w:t>招标文件的组成</w:t>
      </w:r>
    </w:p>
    <w:p>
      <w:pPr>
        <w:spacing w:line="360" w:lineRule="auto"/>
        <w:ind w:firstLine="480" w:firstLineChars="200"/>
        <w:rPr>
          <w:color w:val="auto"/>
          <w:sz w:val="24"/>
          <w:highlight w:val="none"/>
        </w:rPr>
      </w:pPr>
      <w:r>
        <w:rPr>
          <w:bCs/>
          <w:color w:val="auto"/>
          <w:sz w:val="24"/>
          <w:highlight w:val="none"/>
        </w:rPr>
        <w:t>7.1</w:t>
      </w:r>
      <w:r>
        <w:rPr>
          <w:rFonts w:hint="eastAsia"/>
          <w:color w:val="auto"/>
          <w:sz w:val="24"/>
          <w:highlight w:val="none"/>
        </w:rPr>
        <w:t>本招标文件包括下列文件，以及所有按本须知第</w:t>
      </w:r>
      <w:r>
        <w:rPr>
          <w:color w:val="auto"/>
          <w:sz w:val="24"/>
          <w:highlight w:val="none"/>
        </w:rPr>
        <w:t>8</w:t>
      </w:r>
      <w:r>
        <w:rPr>
          <w:rFonts w:hint="eastAsia"/>
          <w:color w:val="auto"/>
          <w:sz w:val="24"/>
          <w:highlight w:val="none"/>
        </w:rPr>
        <w:t>条发出的招标答疑会会议纪要和按本须知第</w:t>
      </w:r>
      <w:r>
        <w:rPr>
          <w:color w:val="auto"/>
          <w:sz w:val="24"/>
          <w:highlight w:val="none"/>
        </w:rPr>
        <w:t>9</w:t>
      </w:r>
      <w:r>
        <w:rPr>
          <w:rFonts w:hint="eastAsia"/>
          <w:color w:val="auto"/>
          <w:sz w:val="24"/>
          <w:highlight w:val="none"/>
        </w:rPr>
        <w:t>条发出的澄清或修改：</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合同条款（另册）</w:t>
      </w:r>
    </w:p>
    <w:p>
      <w:pPr>
        <w:pStyle w:val="5"/>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pStyle w:val="5"/>
        <w:spacing w:after="0"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pPr>
        <w:pStyle w:val="5"/>
        <w:spacing w:after="0" w:line="360" w:lineRule="auto"/>
        <w:ind w:left="-2" w:firstLine="480" w:firstLineChars="200"/>
        <w:rPr>
          <w:rFonts w:ascii="宋体"/>
          <w:color w:val="auto"/>
          <w:sz w:val="24"/>
          <w:highlight w:val="none"/>
        </w:rPr>
      </w:pPr>
      <w:r>
        <w:rPr>
          <w:rFonts w:hint="eastAsia" w:ascii="宋体"/>
          <w:color w:val="auto"/>
          <w:sz w:val="24"/>
          <w:highlight w:val="none"/>
        </w:rPr>
        <w:t>注：招标人应在技术条件（工程建设标准）中明确施工现场建筑垃圾源头减量的具体要求和建筑垃圾综合利用产品的使用要求。</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w:t>
      </w:r>
      <w:r>
        <w:rPr>
          <w:rFonts w:hint="eastAsia" w:ascii="宋体" w:hAnsi="宋体"/>
          <w:color w:val="auto"/>
          <w:sz w:val="24"/>
          <w:highlight w:val="none"/>
          <w:lang w:eastAsia="zh-CN"/>
        </w:rPr>
        <w:t>撤销其</w:t>
      </w:r>
      <w:r>
        <w:rPr>
          <w:rFonts w:hint="eastAsia" w:ascii="宋体" w:hAnsi="宋体"/>
          <w:color w:val="auto"/>
          <w:sz w:val="24"/>
          <w:highlight w:val="none"/>
        </w:rPr>
        <w:t>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color w:val="auto"/>
          <w:highlight w:val="none"/>
        </w:rPr>
      </w:pPr>
      <w:bookmarkStart w:id="10" w:name="_Toc29116"/>
      <w:bookmarkStart w:id="11" w:name="_Toc8804"/>
      <w:r>
        <w:rPr>
          <w:rFonts w:hint="eastAsia"/>
          <w:color w:val="auto"/>
          <w:highlight w:val="none"/>
        </w:rPr>
        <w:t>（三）投标文件的编制</w:t>
      </w:r>
      <w:bookmarkEnd w:id="10"/>
      <w:bookmarkEnd w:id="11"/>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投标文件由技术部分（含资格审查文件）和经济部分两部分投标文件组成</w:t>
      </w:r>
      <w:r>
        <w:rPr>
          <w:rFonts w:hint="eastAsia" w:ascii="宋体" w:hAnsi="宋体"/>
          <w:b/>
          <w:color w:val="auto"/>
          <w:sz w:val="24"/>
          <w:highlight w:val="none"/>
        </w:rPr>
        <w:t>。</w:t>
      </w:r>
    </w:p>
    <w:p>
      <w:pPr>
        <w:spacing w:line="360" w:lineRule="auto"/>
        <w:ind w:firstLine="480" w:firstLineChars="200"/>
        <w:rPr>
          <w:bCs/>
          <w:color w:val="auto"/>
          <w:sz w:val="24"/>
          <w:highlight w:val="none"/>
        </w:rPr>
      </w:pPr>
      <w:r>
        <w:rPr>
          <w:bCs/>
          <w:color w:val="auto"/>
          <w:sz w:val="24"/>
          <w:highlight w:val="none"/>
        </w:rPr>
        <w:t>11.2</w:t>
      </w:r>
      <w:r>
        <w:rPr>
          <w:rFonts w:hint="eastAsia"/>
          <w:bCs/>
          <w:color w:val="auto"/>
          <w:sz w:val="24"/>
          <w:highlight w:val="none"/>
        </w:rPr>
        <w:t>投标文件技术标部分主要包括下列内容</w:t>
      </w:r>
      <w:r>
        <w:rPr>
          <w:bCs/>
          <w:color w:val="auto"/>
          <w:sz w:val="24"/>
          <w:highlight w:val="none"/>
        </w:rPr>
        <w:t>:</w:t>
      </w:r>
    </w:p>
    <w:p>
      <w:pPr>
        <w:spacing w:line="360" w:lineRule="auto"/>
        <w:ind w:firstLine="480" w:firstLineChars="200"/>
        <w:rPr>
          <w:bCs/>
          <w:color w:val="auto"/>
          <w:sz w:val="24"/>
          <w:highlight w:val="none"/>
        </w:rPr>
      </w:pPr>
      <w:r>
        <w:rPr>
          <w:rFonts w:hint="eastAsia"/>
          <w:bCs/>
          <w:color w:val="auto"/>
          <w:sz w:val="24"/>
          <w:highlight w:val="none"/>
        </w:rPr>
        <w:t>11.2.1 技术投标文件</w:t>
      </w:r>
      <w:r>
        <w:rPr>
          <w:color w:val="auto"/>
          <w:sz w:val="24"/>
          <w:highlight w:val="none"/>
        </w:rPr>
        <w:t>(</w:t>
      </w:r>
      <w:r>
        <w:rPr>
          <w:rFonts w:hint="eastAsia"/>
          <w:color w:val="auto"/>
          <w:sz w:val="24"/>
          <w:highlight w:val="none"/>
        </w:rPr>
        <w:t>按招标文件的要求填写</w:t>
      </w:r>
      <w:r>
        <w:rPr>
          <w:color w:val="auto"/>
          <w:sz w:val="24"/>
          <w:highlight w:val="none"/>
        </w:rPr>
        <w:t>)</w:t>
      </w:r>
      <w:r>
        <w:rPr>
          <w:rFonts w:hint="eastAsia"/>
          <w:bCs/>
          <w:color w:val="auto"/>
          <w:sz w:val="24"/>
          <w:highlight w:val="none"/>
        </w:rPr>
        <w:t>；</w:t>
      </w:r>
    </w:p>
    <w:p>
      <w:pPr>
        <w:spacing w:line="360" w:lineRule="auto"/>
        <w:ind w:firstLine="480" w:firstLineChars="200"/>
        <w:rPr>
          <w:bCs/>
          <w:color w:val="auto"/>
          <w:sz w:val="24"/>
          <w:highlight w:val="none"/>
        </w:rPr>
      </w:pPr>
      <w:r>
        <w:rPr>
          <w:rFonts w:hint="eastAsia"/>
          <w:bCs/>
          <w:color w:val="auto"/>
          <w:sz w:val="24"/>
          <w:highlight w:val="none"/>
        </w:rPr>
        <w:t>11.2.2 资格审查文件：</w:t>
      </w:r>
    </w:p>
    <w:p>
      <w:pPr>
        <w:spacing w:line="360" w:lineRule="auto"/>
        <w:ind w:firstLine="480" w:firstLineChars="200"/>
        <w:rPr>
          <w:bCs/>
          <w:color w:val="auto"/>
          <w:sz w:val="24"/>
          <w:highlight w:val="none"/>
        </w:rPr>
      </w:pPr>
      <w:r>
        <w:rPr>
          <w:rFonts w:hint="eastAsia"/>
          <w:bCs/>
          <w:color w:val="auto"/>
          <w:sz w:val="24"/>
          <w:highlight w:val="none"/>
        </w:rPr>
        <w:t xml:space="preserve">（1）投标人声明； </w:t>
      </w:r>
    </w:p>
    <w:p>
      <w:pPr>
        <w:spacing w:line="360" w:lineRule="auto"/>
        <w:ind w:firstLine="480" w:firstLineChars="200"/>
        <w:rPr>
          <w:bCs/>
          <w:color w:val="auto"/>
          <w:sz w:val="24"/>
          <w:highlight w:val="none"/>
        </w:rPr>
      </w:pPr>
      <w:r>
        <w:rPr>
          <w:rFonts w:hint="eastAsia"/>
          <w:bCs/>
          <w:color w:val="auto"/>
          <w:sz w:val="24"/>
          <w:highlight w:val="none"/>
        </w:rPr>
        <w:t>（2）法定代表人证明书、法定代表人签字或盖章的本投标文件授权委托证明书；</w:t>
      </w:r>
    </w:p>
    <w:p>
      <w:pPr>
        <w:spacing w:line="360" w:lineRule="auto"/>
        <w:ind w:firstLine="480" w:firstLineChars="200"/>
        <w:rPr>
          <w:bCs/>
          <w:color w:val="auto"/>
          <w:sz w:val="24"/>
          <w:highlight w:val="none"/>
        </w:rPr>
      </w:pPr>
      <w:r>
        <w:rPr>
          <w:rFonts w:hint="eastAsia"/>
          <w:bCs/>
          <w:color w:val="auto"/>
          <w:sz w:val="24"/>
          <w:highlight w:val="none"/>
        </w:rPr>
        <w:t>（3）企业营业执照（取自平台内上传件）；</w:t>
      </w:r>
    </w:p>
    <w:p>
      <w:pPr>
        <w:spacing w:line="360" w:lineRule="auto"/>
        <w:ind w:firstLine="480" w:firstLineChars="200"/>
        <w:rPr>
          <w:bCs/>
          <w:color w:val="auto"/>
          <w:sz w:val="24"/>
          <w:highlight w:val="none"/>
        </w:rPr>
      </w:pPr>
      <w:r>
        <w:rPr>
          <w:rFonts w:hint="eastAsia"/>
          <w:bCs/>
          <w:color w:val="auto"/>
          <w:sz w:val="24"/>
          <w:highlight w:val="none"/>
        </w:rPr>
        <w:t>（4）企业资质证书（取自平台内上传件）；</w:t>
      </w:r>
    </w:p>
    <w:p>
      <w:pPr>
        <w:spacing w:line="360" w:lineRule="auto"/>
        <w:ind w:firstLine="480" w:firstLineChars="200"/>
        <w:rPr>
          <w:bCs/>
          <w:color w:val="auto"/>
          <w:sz w:val="24"/>
          <w:highlight w:val="none"/>
        </w:rPr>
      </w:pPr>
      <w:r>
        <w:rPr>
          <w:rFonts w:hint="eastAsia"/>
          <w:bCs/>
          <w:color w:val="auto"/>
          <w:sz w:val="24"/>
          <w:highlight w:val="none"/>
        </w:rPr>
        <w:t>（5）建筑施工企业安全生产许可证（取自平台内上传件）；</w:t>
      </w:r>
    </w:p>
    <w:p>
      <w:pPr>
        <w:spacing w:line="360" w:lineRule="auto"/>
        <w:ind w:firstLine="480" w:firstLineChars="200"/>
        <w:rPr>
          <w:bCs/>
          <w:color w:val="auto"/>
          <w:sz w:val="24"/>
          <w:szCs w:val="24"/>
          <w:highlight w:val="none"/>
        </w:rPr>
      </w:pPr>
      <w:r>
        <w:rPr>
          <w:rFonts w:hint="eastAsia"/>
          <w:bCs/>
          <w:color w:val="auto"/>
          <w:sz w:val="24"/>
          <w:highlight w:val="none"/>
        </w:rPr>
        <w:t>（6）</w:t>
      </w:r>
      <w:r>
        <w:rPr>
          <w:rFonts w:hint="eastAsia"/>
          <w:bCs/>
          <w:color w:val="auto"/>
          <w:sz w:val="24"/>
          <w:szCs w:val="24"/>
          <w:highlight w:val="none"/>
        </w:rPr>
        <w:t>项目负责人（按网上投标登记时选择拟投标的项目负责人）</w:t>
      </w:r>
    </w:p>
    <w:p>
      <w:pPr>
        <w:spacing w:line="360" w:lineRule="auto"/>
        <w:ind w:firstLine="480" w:firstLineChars="200"/>
        <w:rPr>
          <w:bCs/>
          <w:color w:val="auto"/>
          <w:sz w:val="24"/>
          <w:szCs w:val="24"/>
          <w:highlight w:val="none"/>
        </w:rPr>
      </w:pPr>
      <w:r>
        <w:rPr>
          <w:rFonts w:hint="eastAsia"/>
          <w:bCs/>
          <w:color w:val="auto"/>
          <w:sz w:val="24"/>
          <w:szCs w:val="24"/>
          <w:highlight w:val="none"/>
        </w:rPr>
        <w:t>（7）专职安全员（按网上投标登记时选择拟投标的专职安全员）</w:t>
      </w:r>
    </w:p>
    <w:p>
      <w:pPr>
        <w:spacing w:line="360" w:lineRule="auto"/>
        <w:ind w:firstLine="480" w:firstLineChars="200"/>
        <w:rPr>
          <w:bCs/>
          <w:color w:val="auto"/>
          <w:sz w:val="24"/>
          <w:highlight w:val="none"/>
        </w:rPr>
      </w:pPr>
      <w:r>
        <w:rPr>
          <w:rFonts w:hint="eastAsia"/>
          <w:bCs/>
          <w:color w:val="auto"/>
          <w:sz w:val="24"/>
          <w:highlight w:val="none"/>
        </w:rPr>
        <w:t>（8）拟委托技术负责人的相关证书、资料（具体要求由招标人明确）</w:t>
      </w:r>
    </w:p>
    <w:p>
      <w:pPr>
        <w:spacing w:line="360" w:lineRule="auto"/>
        <w:ind w:firstLine="480" w:firstLineChars="200"/>
        <w:rPr>
          <w:bCs/>
          <w:color w:val="auto"/>
          <w:sz w:val="24"/>
          <w:highlight w:val="none"/>
        </w:rPr>
      </w:pPr>
      <w:r>
        <w:rPr>
          <w:rFonts w:hint="eastAsia"/>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bCs/>
          <w:color w:val="auto"/>
          <w:sz w:val="24"/>
          <w:highlight w:val="none"/>
        </w:rPr>
      </w:pPr>
      <w:r>
        <w:rPr>
          <w:rFonts w:hint="eastAsia"/>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bCs/>
          <w:color w:val="auto"/>
          <w:sz w:val="24"/>
          <w:szCs w:val="24"/>
          <w:highlight w:val="none"/>
        </w:rPr>
        <w:t>；</w:t>
      </w:r>
    </w:p>
    <w:p>
      <w:pPr>
        <w:spacing w:line="360" w:lineRule="auto"/>
        <w:ind w:firstLine="480" w:firstLineChars="200"/>
        <w:rPr>
          <w:bCs/>
          <w:color w:val="auto"/>
          <w:sz w:val="24"/>
          <w:szCs w:val="24"/>
          <w:highlight w:val="none"/>
        </w:rPr>
      </w:pPr>
      <w:r>
        <w:rPr>
          <w:rFonts w:hint="eastAsia"/>
          <w:bCs/>
          <w:color w:val="auto"/>
          <w:sz w:val="24"/>
          <w:highlight w:val="none"/>
        </w:rPr>
        <w:t>（11）专职安全员须具有在有效期内的安全考核合格证书（C类）或建筑施工企业专职安全生产管理人员安全生产考核合格证书</w:t>
      </w:r>
      <w:r>
        <w:rPr>
          <w:rFonts w:hint="eastAsia"/>
          <w:bCs/>
          <w:color w:val="auto"/>
          <w:sz w:val="24"/>
          <w:szCs w:val="24"/>
          <w:highlight w:val="none"/>
        </w:rPr>
        <w:t>（取自平台内上传件）；</w:t>
      </w:r>
    </w:p>
    <w:p>
      <w:pPr>
        <w:spacing w:line="360" w:lineRule="auto"/>
        <w:ind w:firstLine="480" w:firstLineChars="200"/>
        <w:rPr>
          <w:bCs/>
          <w:color w:val="auto"/>
          <w:sz w:val="24"/>
          <w:szCs w:val="24"/>
          <w:highlight w:val="none"/>
        </w:rPr>
      </w:pPr>
      <w:r>
        <w:rPr>
          <w:rFonts w:hint="eastAsia"/>
          <w:bCs/>
          <w:color w:val="auto"/>
          <w:sz w:val="24"/>
          <w:szCs w:val="24"/>
          <w:highlight w:val="none"/>
        </w:rPr>
        <w:t>（12）用于资格审查的业绩（设置业绩要求时选择此项，投标人</w:t>
      </w:r>
      <w:r>
        <w:rPr>
          <w:rFonts w:hint="eastAsia"/>
          <w:color w:val="auto"/>
          <w:sz w:val="24"/>
          <w:highlight w:val="none"/>
        </w:rPr>
        <w:t>须提供类似工程业绩的项目名称及项目编号，具体格式由招标人自定</w:t>
      </w:r>
      <w:r>
        <w:rPr>
          <w:rFonts w:hint="eastAsia"/>
          <w:bCs/>
          <w:color w:val="auto"/>
          <w:sz w:val="24"/>
          <w:szCs w:val="24"/>
          <w:highlight w:val="none"/>
        </w:rPr>
        <w:t>）；</w:t>
      </w:r>
    </w:p>
    <w:p>
      <w:pPr>
        <w:spacing w:line="360" w:lineRule="auto"/>
        <w:ind w:firstLine="480" w:firstLineChars="200"/>
        <w:rPr>
          <w:bCs/>
          <w:color w:val="auto"/>
          <w:sz w:val="24"/>
          <w:highlight w:val="none"/>
        </w:rPr>
      </w:pPr>
      <w:r>
        <w:rPr>
          <w:rFonts w:hint="eastAsia"/>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bCs/>
          <w:color w:val="auto"/>
          <w:sz w:val="24"/>
          <w:szCs w:val="24"/>
          <w:highlight w:val="none"/>
        </w:rPr>
      </w:pPr>
      <w:r>
        <w:rPr>
          <w:rFonts w:hint="eastAsia"/>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color w:val="auto"/>
          <w:sz w:val="24"/>
          <w:szCs w:val="24"/>
          <w:highlight w:val="none"/>
        </w:rPr>
        <w:t>联合体工作协议应明确约定各方拟承担的工作和责任</w:t>
      </w:r>
      <w:r>
        <w:rPr>
          <w:rFonts w:hint="eastAsia"/>
          <w:bCs/>
          <w:color w:val="auto"/>
          <w:sz w:val="24"/>
          <w:szCs w:val="24"/>
          <w:highlight w:val="none"/>
        </w:rPr>
        <w:t xml:space="preserve">）； </w:t>
      </w:r>
    </w:p>
    <w:p>
      <w:pPr>
        <w:spacing w:line="360" w:lineRule="auto"/>
        <w:ind w:firstLine="480" w:firstLineChars="200"/>
        <w:rPr>
          <w:bCs/>
          <w:color w:val="auto"/>
          <w:sz w:val="24"/>
          <w:highlight w:val="none"/>
        </w:rPr>
      </w:pPr>
      <w:r>
        <w:rPr>
          <w:rFonts w:hint="eastAsia"/>
          <w:bCs/>
          <w:color w:val="auto"/>
          <w:sz w:val="24"/>
          <w:szCs w:val="24"/>
          <w:highlight w:val="none"/>
        </w:rPr>
        <w:t>（15）</w:t>
      </w:r>
      <w:r>
        <w:rPr>
          <w:rFonts w:hint="eastAsia"/>
          <w:color w:val="auto"/>
          <w:sz w:val="24"/>
          <w:szCs w:val="24"/>
          <w:highlight w:val="none"/>
        </w:rPr>
        <w:t>投标人具有在广州地区可使用适合本工程的机械设备的证明文件（</w:t>
      </w:r>
      <w:r>
        <w:rPr>
          <w:rFonts w:hint="eastAsia"/>
          <w:color w:val="auto"/>
          <w:sz w:val="24"/>
          <w:highlight w:val="none"/>
        </w:rPr>
        <w:t>提供沥青摊铺机自有发票或权属证明及设备现场全貌彩照（彩照须能反映其规格型号）</w:t>
      </w:r>
      <w:r>
        <w:rPr>
          <w:rFonts w:hint="eastAsia"/>
          <w:color w:val="auto"/>
          <w:sz w:val="24"/>
          <w:szCs w:val="24"/>
          <w:highlight w:val="none"/>
        </w:rPr>
        <w:t>）。（含有市政道路面层沥青摊铺且沥青摊铺占预计发包价50%或以上的大、</w:t>
      </w:r>
      <w:r>
        <w:rPr>
          <w:rFonts w:hint="eastAsia"/>
          <w:color w:val="auto"/>
          <w:sz w:val="24"/>
          <w:szCs w:val="24"/>
          <w:highlight w:val="none"/>
          <w:lang w:eastAsia="zh-CN"/>
        </w:rPr>
        <w:t>中型</w:t>
      </w:r>
      <w:r>
        <w:rPr>
          <w:rFonts w:hint="eastAsia"/>
          <w:color w:val="auto"/>
          <w:sz w:val="24"/>
          <w:szCs w:val="24"/>
          <w:highlight w:val="none"/>
        </w:rPr>
        <w:t>市政公用工程需提供该项内容的证明文件）。</w:t>
      </w:r>
    </w:p>
    <w:p>
      <w:pPr>
        <w:spacing w:line="360" w:lineRule="auto"/>
        <w:ind w:firstLine="480" w:firstLineChars="200"/>
        <w:rPr>
          <w:color w:val="auto"/>
          <w:sz w:val="24"/>
          <w:highlight w:val="none"/>
        </w:rPr>
      </w:pPr>
      <w:r>
        <w:rPr>
          <w:color w:val="auto"/>
          <w:sz w:val="24"/>
          <w:highlight w:val="none"/>
        </w:rPr>
        <w:t>11.2.3</w:t>
      </w:r>
      <w:r>
        <w:rPr>
          <w:rFonts w:hint="eastAsia"/>
          <w:color w:val="auto"/>
          <w:sz w:val="24"/>
          <w:highlight w:val="none"/>
        </w:rPr>
        <w:t>项目管理机构配备。</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）投标人应列出该项目工程的施工组织机构构成和画出机构框架图及其负责人；</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）其他辅助说明资料。</w:t>
      </w:r>
    </w:p>
    <w:p>
      <w:pPr>
        <w:spacing w:line="360" w:lineRule="auto"/>
        <w:ind w:firstLine="480" w:firstLineChars="200"/>
        <w:rPr>
          <w:color w:val="auto"/>
          <w:sz w:val="24"/>
          <w:highlight w:val="none"/>
        </w:rPr>
      </w:pPr>
      <w:r>
        <w:rPr>
          <w:color w:val="auto"/>
          <w:sz w:val="24"/>
          <w:highlight w:val="none"/>
        </w:rPr>
        <w:t>11.2.4</w:t>
      </w:r>
      <w:r>
        <w:rPr>
          <w:rFonts w:hint="eastAsia"/>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color w:val="auto"/>
          <w:sz w:val="24"/>
          <w:highlight w:val="none"/>
        </w:rPr>
      </w:pPr>
      <w:r>
        <w:rPr>
          <w:color w:val="auto"/>
          <w:sz w:val="24"/>
          <w:highlight w:val="none"/>
        </w:rPr>
        <w:t>11.2.5</w:t>
      </w:r>
      <w:r>
        <w:rPr>
          <w:rFonts w:hint="eastAsia"/>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color w:val="auto"/>
          <w:sz w:val="24"/>
          <w:highlight w:val="none"/>
        </w:rPr>
      </w:pPr>
      <w:r>
        <w:rPr>
          <w:color w:val="auto"/>
          <w:sz w:val="24"/>
          <w:highlight w:val="none"/>
        </w:rPr>
        <w:t>11.2.</w:t>
      </w:r>
      <w:r>
        <w:rPr>
          <w:rFonts w:hint="eastAsia"/>
          <w:color w:val="auto"/>
          <w:sz w:val="24"/>
          <w:highlight w:val="none"/>
        </w:rPr>
        <w:t>6按照</w:t>
      </w:r>
      <w:r>
        <w:rPr>
          <w:rFonts w:hint="eastAsia"/>
          <w:bCs/>
          <w:color w:val="auto"/>
          <w:sz w:val="24"/>
          <w:highlight w:val="none"/>
        </w:rPr>
        <w:t>招标文件要求</w:t>
      </w:r>
      <w:r>
        <w:rPr>
          <w:rFonts w:hint="eastAsia"/>
          <w:color w:val="auto"/>
          <w:sz w:val="24"/>
          <w:highlight w:val="none"/>
        </w:rPr>
        <w:t>填写的《参与编制技术标投标文件人员名单》。</w:t>
      </w:r>
    </w:p>
    <w:p>
      <w:pPr>
        <w:spacing w:line="360" w:lineRule="auto"/>
        <w:ind w:firstLine="480" w:firstLineChars="200"/>
        <w:rPr>
          <w:bCs/>
          <w:color w:val="auto"/>
          <w:sz w:val="24"/>
          <w:highlight w:val="none"/>
        </w:rPr>
      </w:pPr>
      <w:r>
        <w:rPr>
          <w:bCs/>
          <w:color w:val="auto"/>
          <w:sz w:val="24"/>
          <w:highlight w:val="none"/>
        </w:rPr>
        <w:t xml:space="preserve">11.3 </w:t>
      </w:r>
      <w:r>
        <w:rPr>
          <w:rFonts w:hint="eastAsia"/>
          <w:bCs/>
          <w:color w:val="auto"/>
          <w:sz w:val="24"/>
          <w:highlight w:val="none"/>
        </w:rPr>
        <w:t>经济部分投标文件主要包括下列内容：</w:t>
      </w:r>
    </w:p>
    <w:p>
      <w:pPr>
        <w:spacing w:line="360" w:lineRule="auto"/>
        <w:ind w:firstLine="480" w:firstLineChars="200"/>
        <w:rPr>
          <w:color w:val="auto"/>
          <w:sz w:val="24"/>
          <w:highlight w:val="none"/>
        </w:rPr>
      </w:pPr>
      <w:r>
        <w:rPr>
          <w:color w:val="auto"/>
          <w:sz w:val="24"/>
          <w:highlight w:val="none"/>
        </w:rPr>
        <w:t xml:space="preserve">11.3.1 </w:t>
      </w:r>
      <w:r>
        <w:rPr>
          <w:rFonts w:hint="eastAsia"/>
          <w:color w:val="auto"/>
          <w:sz w:val="24"/>
          <w:highlight w:val="none"/>
        </w:rPr>
        <w:t>经济投标文件</w:t>
      </w:r>
      <w:r>
        <w:rPr>
          <w:color w:val="auto"/>
          <w:sz w:val="24"/>
          <w:highlight w:val="none"/>
        </w:rPr>
        <w:t>(</w:t>
      </w:r>
      <w:r>
        <w:rPr>
          <w:rFonts w:hint="eastAsia"/>
          <w:color w:val="auto"/>
          <w:sz w:val="24"/>
          <w:highlight w:val="none"/>
        </w:rPr>
        <w:t>按招标文件的要求填写</w:t>
      </w:r>
      <w:r>
        <w:rPr>
          <w:color w:val="auto"/>
          <w:sz w:val="24"/>
          <w:highlight w:val="none"/>
        </w:rPr>
        <w:t>)</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11.3.2</w:t>
      </w:r>
      <w:r>
        <w:rPr>
          <w:rFonts w:hint="eastAsia"/>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 w:val="24"/>
          <w:szCs w:val="24"/>
          <w:highlight w:val="none"/>
        </w:rPr>
        <w:t>其中包括如下：</w:t>
      </w:r>
      <w:r>
        <w:rPr>
          <w:color w:val="auto"/>
          <w:sz w:val="24"/>
          <w:highlight w:val="none"/>
        </w:rPr>
        <w:t xml:space="preserve"> </w:t>
      </w:r>
    </w:p>
    <w:p>
      <w:pPr>
        <w:spacing w:line="360" w:lineRule="auto"/>
        <w:ind w:firstLine="566" w:firstLineChars="236"/>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）投标总价封面、扉页；</w:t>
      </w:r>
    </w:p>
    <w:p>
      <w:pPr>
        <w:spacing w:line="360" w:lineRule="auto"/>
        <w:ind w:firstLine="566" w:firstLineChars="236"/>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）总说明</w:t>
      </w:r>
    </w:p>
    <w:p>
      <w:pPr>
        <w:spacing w:line="360" w:lineRule="auto"/>
        <w:ind w:firstLine="566" w:firstLineChars="236"/>
        <w:rPr>
          <w:color w:val="auto"/>
          <w:sz w:val="24"/>
          <w:szCs w:val="24"/>
          <w:highlight w:val="none"/>
        </w:rPr>
      </w:pPr>
      <w:r>
        <w:rPr>
          <w:rFonts w:hint="eastAsia"/>
          <w:color w:val="auto"/>
          <w:sz w:val="24"/>
          <w:szCs w:val="24"/>
          <w:highlight w:val="none"/>
        </w:rPr>
        <w:t>（3）工程项目投标报价汇总表；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（4）单项工程投标报价汇总表；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（5）单位工程投标报价汇总表；</w:t>
      </w:r>
    </w:p>
    <w:p>
      <w:pPr>
        <w:spacing w:line="360" w:lineRule="auto"/>
        <w:ind w:firstLine="566" w:firstLineChars="236"/>
        <w:rPr>
          <w:color w:val="auto"/>
          <w:sz w:val="24"/>
          <w:szCs w:val="24"/>
          <w:highlight w:val="none"/>
        </w:rPr>
      </w:pPr>
      <w:r>
        <w:rPr>
          <w:rFonts w:hint="eastAsia"/>
          <w:color w:val="auto"/>
          <w:sz w:val="24"/>
          <w:szCs w:val="24"/>
          <w:highlight w:val="none"/>
        </w:rPr>
        <w:t>（6）分部分项工程清单与计价表；</w:t>
      </w:r>
    </w:p>
    <w:p>
      <w:pPr>
        <w:spacing w:line="360" w:lineRule="auto"/>
        <w:ind w:firstLine="566" w:firstLineChars="236"/>
        <w:rPr>
          <w:color w:val="auto"/>
          <w:sz w:val="24"/>
          <w:szCs w:val="24"/>
          <w:highlight w:val="none"/>
        </w:rPr>
      </w:pPr>
      <w:r>
        <w:rPr>
          <w:rFonts w:hint="eastAsia"/>
          <w:color w:val="auto"/>
          <w:sz w:val="24"/>
          <w:szCs w:val="24"/>
          <w:highlight w:val="none"/>
        </w:rPr>
        <w:t>（7）单价措施项目清单与计价表；</w:t>
      </w:r>
    </w:p>
    <w:p>
      <w:pPr>
        <w:spacing w:line="360" w:lineRule="auto"/>
        <w:ind w:firstLine="566" w:firstLineChars="236"/>
        <w:rPr>
          <w:color w:val="auto"/>
          <w:sz w:val="24"/>
          <w:szCs w:val="24"/>
          <w:highlight w:val="none"/>
        </w:rPr>
      </w:pPr>
      <w:r>
        <w:rPr>
          <w:rFonts w:hint="eastAsia"/>
          <w:color w:val="auto"/>
          <w:sz w:val="24"/>
          <w:szCs w:val="24"/>
          <w:highlight w:val="none"/>
        </w:rPr>
        <w:t>（8）总价措施项目清单与计价表；</w:t>
      </w:r>
    </w:p>
    <w:p>
      <w:pPr>
        <w:spacing w:line="360" w:lineRule="auto"/>
        <w:ind w:firstLine="566" w:firstLineChars="236"/>
        <w:rPr>
          <w:color w:val="auto"/>
          <w:sz w:val="24"/>
          <w:szCs w:val="24"/>
          <w:highlight w:val="none"/>
        </w:rPr>
      </w:pPr>
      <w:r>
        <w:rPr>
          <w:rFonts w:hint="eastAsia"/>
          <w:color w:val="auto"/>
          <w:sz w:val="24"/>
          <w:szCs w:val="24"/>
          <w:highlight w:val="none"/>
        </w:rPr>
        <w:t>（9）综合单价分析表；</w:t>
      </w:r>
    </w:p>
    <w:p>
      <w:pPr>
        <w:spacing w:line="360" w:lineRule="auto"/>
        <w:ind w:firstLine="566" w:firstLineChars="236"/>
        <w:rPr>
          <w:color w:val="auto"/>
          <w:sz w:val="24"/>
          <w:szCs w:val="24"/>
          <w:highlight w:val="none"/>
        </w:rPr>
      </w:pPr>
      <w:r>
        <w:rPr>
          <w:rFonts w:hint="eastAsia"/>
          <w:color w:val="auto"/>
          <w:sz w:val="24"/>
          <w:szCs w:val="24"/>
          <w:highlight w:val="none"/>
        </w:rPr>
        <w:t>（10）其他项目清单与计价汇总表；</w:t>
      </w:r>
    </w:p>
    <w:p>
      <w:pPr>
        <w:spacing w:line="360" w:lineRule="auto"/>
        <w:ind w:firstLine="566" w:firstLineChars="236"/>
        <w:rPr>
          <w:color w:val="auto"/>
          <w:sz w:val="24"/>
          <w:szCs w:val="24"/>
          <w:highlight w:val="none"/>
        </w:rPr>
      </w:pPr>
      <w:r>
        <w:rPr>
          <w:rFonts w:hint="eastAsia"/>
          <w:color w:val="auto"/>
          <w:sz w:val="24"/>
          <w:szCs w:val="24"/>
          <w:highlight w:val="none"/>
        </w:rPr>
        <w:t>（11）暂列金额明细表；</w:t>
      </w:r>
    </w:p>
    <w:p>
      <w:pPr>
        <w:spacing w:line="360" w:lineRule="auto"/>
        <w:ind w:firstLine="566" w:firstLineChars="236"/>
        <w:rPr>
          <w:color w:val="auto"/>
          <w:sz w:val="24"/>
          <w:szCs w:val="24"/>
          <w:highlight w:val="none"/>
        </w:rPr>
      </w:pPr>
      <w:r>
        <w:rPr>
          <w:rFonts w:hint="eastAsia"/>
          <w:color w:val="auto"/>
          <w:sz w:val="24"/>
          <w:szCs w:val="24"/>
          <w:highlight w:val="none"/>
        </w:rPr>
        <w:t>（12）材料（工程设备）暂估价明细表；</w:t>
      </w:r>
    </w:p>
    <w:p>
      <w:pPr>
        <w:spacing w:line="360" w:lineRule="auto"/>
        <w:ind w:firstLine="566" w:firstLineChars="236"/>
        <w:rPr>
          <w:color w:val="auto"/>
          <w:sz w:val="24"/>
          <w:szCs w:val="24"/>
          <w:highlight w:val="none"/>
        </w:rPr>
      </w:pPr>
      <w:r>
        <w:rPr>
          <w:rFonts w:hint="eastAsia"/>
          <w:color w:val="auto"/>
          <w:sz w:val="24"/>
          <w:szCs w:val="24"/>
          <w:highlight w:val="none"/>
        </w:rPr>
        <w:t>（13）专业工程暂估价明细表；</w:t>
      </w:r>
    </w:p>
    <w:p>
      <w:pPr>
        <w:spacing w:line="360" w:lineRule="auto"/>
        <w:ind w:firstLine="566" w:firstLineChars="236"/>
        <w:rPr>
          <w:color w:val="auto"/>
          <w:sz w:val="24"/>
          <w:szCs w:val="24"/>
          <w:highlight w:val="none"/>
        </w:rPr>
      </w:pPr>
      <w:r>
        <w:rPr>
          <w:rFonts w:hint="eastAsia"/>
          <w:color w:val="auto"/>
          <w:sz w:val="24"/>
          <w:szCs w:val="24"/>
          <w:highlight w:val="none"/>
        </w:rPr>
        <w:t>（14）计日工表；</w:t>
      </w:r>
    </w:p>
    <w:p>
      <w:pPr>
        <w:spacing w:line="360" w:lineRule="auto"/>
        <w:ind w:firstLine="566" w:firstLineChars="236"/>
        <w:rPr>
          <w:color w:val="auto"/>
          <w:sz w:val="24"/>
          <w:szCs w:val="24"/>
          <w:highlight w:val="none"/>
        </w:rPr>
      </w:pPr>
      <w:r>
        <w:rPr>
          <w:rFonts w:hint="eastAsia"/>
          <w:color w:val="auto"/>
          <w:sz w:val="24"/>
          <w:szCs w:val="24"/>
          <w:highlight w:val="none"/>
        </w:rPr>
        <w:t>（15）总承包服务计价表；</w:t>
      </w:r>
    </w:p>
    <w:p>
      <w:pPr>
        <w:spacing w:line="360" w:lineRule="auto"/>
        <w:ind w:firstLine="566" w:firstLineChars="236"/>
        <w:rPr>
          <w:color w:val="auto"/>
          <w:sz w:val="24"/>
          <w:szCs w:val="24"/>
          <w:highlight w:val="none"/>
        </w:rPr>
      </w:pPr>
      <w:r>
        <w:rPr>
          <w:rFonts w:hint="eastAsia"/>
          <w:color w:val="auto"/>
          <w:sz w:val="24"/>
          <w:szCs w:val="24"/>
          <w:highlight w:val="none"/>
        </w:rPr>
        <w:t>（16）规费和税金项目计价表；</w:t>
      </w:r>
    </w:p>
    <w:p>
      <w:pPr>
        <w:spacing w:line="360" w:lineRule="auto"/>
        <w:ind w:firstLine="480" w:firstLineChars="200"/>
        <w:rPr>
          <w:color w:val="auto"/>
          <w:sz w:val="24"/>
          <w:highlight w:val="none"/>
        </w:rPr>
      </w:pPr>
      <w:r>
        <w:rPr>
          <w:rFonts w:hint="eastAsia"/>
          <w:color w:val="auto"/>
          <w:sz w:val="24"/>
          <w:szCs w:val="24"/>
          <w:highlight w:val="none"/>
        </w:rPr>
        <w:t xml:space="preserve"> （17）人工、主要材料和设备一览表</w:t>
      </w:r>
    </w:p>
    <w:p>
      <w:pPr>
        <w:tabs>
          <w:tab w:val="left" w:pos="1125"/>
        </w:tabs>
        <w:spacing w:line="360" w:lineRule="auto"/>
        <w:ind w:firstLine="480" w:firstLineChars="200"/>
        <w:rPr>
          <w:color w:val="auto"/>
          <w:sz w:val="24"/>
          <w:highlight w:val="none"/>
        </w:rPr>
      </w:pPr>
      <w:r>
        <w:rPr>
          <w:color w:val="auto"/>
          <w:sz w:val="24"/>
          <w:highlight w:val="none"/>
        </w:rPr>
        <w:t>11.3.</w:t>
      </w:r>
      <w:r>
        <w:rPr>
          <w:rFonts w:hint="eastAsia"/>
          <w:color w:val="auto"/>
          <w:sz w:val="24"/>
          <w:highlight w:val="none"/>
        </w:rPr>
        <w:t>3按照</w:t>
      </w:r>
      <w:r>
        <w:rPr>
          <w:rFonts w:hint="eastAsia"/>
          <w:bCs/>
          <w:color w:val="auto"/>
          <w:sz w:val="24"/>
          <w:highlight w:val="none"/>
        </w:rPr>
        <w:t>招标文件要求</w:t>
      </w:r>
      <w:r>
        <w:rPr>
          <w:rFonts w:hint="eastAsia"/>
          <w:color w:val="auto"/>
          <w:sz w:val="24"/>
          <w:highlight w:val="none"/>
        </w:rPr>
        <w:t>填写的《参与编制经济标投标文件人员名单》。</w:t>
      </w:r>
    </w:p>
    <w:p>
      <w:pPr>
        <w:tabs>
          <w:tab w:val="left" w:pos="1125"/>
        </w:tabs>
        <w:spacing w:line="360" w:lineRule="auto"/>
        <w:ind w:firstLine="480" w:firstLineChars="200"/>
        <w:rPr>
          <w:color w:val="auto"/>
          <w:sz w:val="24"/>
          <w:highlight w:val="none"/>
        </w:rPr>
      </w:pPr>
      <w:r>
        <w:rPr>
          <w:rFonts w:hint="eastAsia"/>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pPr>
        <w:pStyle w:val="5"/>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投标人应按投标须知前附表第</w:t>
      </w:r>
      <w:r>
        <w:rPr>
          <w:color w:val="auto"/>
          <w:sz w:val="24"/>
          <w:highlight w:val="none"/>
        </w:rPr>
        <w:t>14</w:t>
      </w:r>
      <w:r>
        <w:rPr>
          <w:rFonts w:hint="eastAsia"/>
          <w:color w:val="auto"/>
          <w:sz w:val="24"/>
          <w:highlight w:val="none"/>
        </w:rPr>
        <w:t>项所述金额和时间递交</w:t>
      </w:r>
      <w:r>
        <w:rPr>
          <w:rFonts w:hint="eastAsia"/>
          <w:bCs/>
          <w:color w:val="auto"/>
          <w:sz w:val="24"/>
          <w:highlight w:val="none"/>
        </w:rPr>
        <w:t>投标保证金</w:t>
      </w:r>
      <w:r>
        <w:rPr>
          <w:rFonts w:hint="eastAsia"/>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color w:val="auto"/>
          <w:sz w:val="24"/>
          <w:highlight w:val="none"/>
        </w:rPr>
      </w:pPr>
      <w:r>
        <w:rPr>
          <w:rFonts w:hint="eastAsia"/>
          <w:color w:val="auto"/>
          <w:sz w:val="24"/>
          <w:highlight w:val="none"/>
        </w:rPr>
        <w:t>16.1.1 采用现金或者支票形式提交的，投标保证金须从投标人的银行基本账户转出。</w:t>
      </w:r>
    </w:p>
    <w:p>
      <w:pPr>
        <w:spacing w:line="360" w:lineRule="auto"/>
        <w:ind w:firstLine="480" w:firstLineChars="200"/>
        <w:rPr>
          <w:color w:val="auto"/>
          <w:sz w:val="24"/>
          <w:highlight w:val="none"/>
        </w:rPr>
      </w:pPr>
      <w:r>
        <w:rPr>
          <w:rFonts w:hint="eastAsia"/>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color w:val="auto"/>
          <w:sz w:val="24"/>
          <w:highlight w:val="none"/>
        </w:rPr>
      </w:pPr>
      <w:r>
        <w:rPr>
          <w:rFonts w:hint="eastAsia"/>
          <w:color w:val="auto"/>
          <w:sz w:val="24"/>
          <w:highlight w:val="none"/>
        </w:rPr>
        <w:t>16.1.3 采用电子形式的保函、担保或保证保险提交投标保证金的，应在招标文件中明确电子递交途径。</w:t>
      </w:r>
    </w:p>
    <w:p>
      <w:pPr>
        <w:spacing w:line="360" w:lineRule="auto"/>
        <w:ind w:firstLine="480" w:firstLineChars="200"/>
        <w:rPr>
          <w:color w:val="auto"/>
          <w:sz w:val="24"/>
          <w:highlight w:val="none"/>
        </w:rPr>
      </w:pPr>
      <w:r>
        <w:rPr>
          <w:rFonts w:hint="eastAsia"/>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color w:val="auto"/>
          <w:sz w:val="24"/>
          <w:highlight w:val="none"/>
        </w:rPr>
      </w:pPr>
      <w:r>
        <w:rPr>
          <w:rFonts w:hint="eastAsia"/>
          <w:color w:val="auto"/>
          <w:sz w:val="24"/>
          <w:highlight w:val="none"/>
        </w:rPr>
        <w:t>16.3投标保证金应依据法律法规的相关规定退还。</w:t>
      </w:r>
    </w:p>
    <w:p>
      <w:pPr>
        <w:spacing w:line="360" w:lineRule="auto"/>
        <w:ind w:firstLine="480" w:firstLineChars="200"/>
        <w:rPr>
          <w:color w:val="auto"/>
          <w:sz w:val="24"/>
          <w:highlight w:val="none"/>
        </w:rPr>
      </w:pPr>
      <w:r>
        <w:rPr>
          <w:rFonts w:hint="eastAsia"/>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color w:val="auto"/>
          <w:sz w:val="24"/>
          <w:highlight w:val="none"/>
        </w:rPr>
      </w:pPr>
      <w:r>
        <w:rPr>
          <w:rFonts w:hint="eastAsia"/>
          <w:color w:val="auto"/>
          <w:sz w:val="24"/>
          <w:highlight w:val="none"/>
        </w:rPr>
        <w:t>16.4.1因投标人原因造成投标文件未解密的；</w:t>
      </w:r>
    </w:p>
    <w:p>
      <w:pPr>
        <w:spacing w:line="360" w:lineRule="auto"/>
        <w:ind w:firstLine="480" w:firstLineChars="200"/>
        <w:rPr>
          <w:color w:val="auto"/>
          <w:sz w:val="24"/>
          <w:highlight w:val="none"/>
        </w:rPr>
      </w:pPr>
      <w:r>
        <w:rPr>
          <w:rFonts w:hint="eastAsia"/>
          <w:color w:val="auto"/>
          <w:sz w:val="24"/>
          <w:highlight w:val="none"/>
        </w:rPr>
        <w:t>16.4.2投标人在投标有效期内撤销投标文件；</w:t>
      </w:r>
    </w:p>
    <w:p>
      <w:pPr>
        <w:spacing w:line="360" w:lineRule="auto"/>
        <w:ind w:firstLine="480" w:firstLineChars="200"/>
        <w:rPr>
          <w:color w:val="auto"/>
          <w:sz w:val="24"/>
          <w:highlight w:val="none"/>
        </w:rPr>
      </w:pPr>
      <w:r>
        <w:rPr>
          <w:rFonts w:hint="eastAsia"/>
          <w:color w:val="auto"/>
          <w:sz w:val="24"/>
          <w:highlight w:val="none"/>
        </w:rPr>
        <w:t>16.4.3中标人未能在规定期限内按要求提交履约担保；</w:t>
      </w:r>
    </w:p>
    <w:p>
      <w:pPr>
        <w:spacing w:line="360" w:lineRule="auto"/>
        <w:ind w:firstLine="480" w:firstLineChars="200"/>
        <w:rPr>
          <w:color w:val="auto"/>
          <w:sz w:val="24"/>
          <w:highlight w:val="none"/>
        </w:rPr>
      </w:pPr>
      <w:r>
        <w:rPr>
          <w:rFonts w:hint="eastAsia"/>
          <w:color w:val="auto"/>
          <w:sz w:val="24"/>
          <w:highlight w:val="none"/>
        </w:rPr>
        <w:t>16.4.4中标人未能在规定期限内签署合同协议。</w:t>
      </w:r>
    </w:p>
    <w:p>
      <w:pPr>
        <w:spacing w:line="360" w:lineRule="auto"/>
        <w:ind w:firstLine="480" w:firstLineChars="200"/>
        <w:rPr>
          <w:color w:val="auto"/>
          <w:sz w:val="24"/>
          <w:highlight w:val="none"/>
        </w:rPr>
      </w:pPr>
      <w:r>
        <w:rPr>
          <w:rFonts w:hint="eastAsia"/>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color w:val="auto"/>
          <w:sz w:val="24"/>
          <w:highlight w:val="none"/>
        </w:rPr>
      </w:pPr>
      <w:r>
        <w:rPr>
          <w:rFonts w:hint="eastAsia"/>
          <w:color w:val="auto"/>
          <w:sz w:val="24"/>
          <w:highlight w:val="none"/>
        </w:rPr>
        <w:t>16.5.1投标人存在16.4条款所列情形且投标人提交的保函、担保或保证保险无法兑付的；</w:t>
      </w:r>
    </w:p>
    <w:p>
      <w:pPr>
        <w:spacing w:line="360" w:lineRule="auto"/>
        <w:ind w:firstLine="480" w:firstLineChars="200"/>
        <w:rPr>
          <w:color w:val="auto"/>
          <w:sz w:val="24"/>
          <w:highlight w:val="none"/>
        </w:rPr>
      </w:pPr>
      <w:r>
        <w:rPr>
          <w:rFonts w:hint="eastAsia"/>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color w:val="auto"/>
          <w:sz w:val="24"/>
          <w:highlight w:val="none"/>
        </w:rPr>
      </w:pPr>
      <w:r>
        <w:rPr>
          <w:rFonts w:hint="eastAsia"/>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color w:val="auto"/>
          <w:sz w:val="24"/>
          <w:highlight w:val="none"/>
        </w:rPr>
      </w:pPr>
      <w:r>
        <w:rPr>
          <w:rFonts w:hint="eastAsia"/>
          <w:color w:val="auto"/>
          <w:sz w:val="24"/>
          <w:highlight w:val="none"/>
        </w:rPr>
        <w:t>16.5.3按招标文件要求免于提供投标保证金的投标人存在16.4条款所列情形的。</w:t>
      </w:r>
    </w:p>
    <w:p>
      <w:pPr>
        <w:spacing w:line="360" w:lineRule="auto"/>
        <w:ind w:firstLine="480" w:firstLineChars="200"/>
        <w:rPr>
          <w:color w:val="auto"/>
          <w:sz w:val="24"/>
          <w:highlight w:val="none"/>
        </w:rPr>
      </w:pPr>
      <w:r>
        <w:rPr>
          <w:rFonts w:hint="eastAsia"/>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color w:val="auto"/>
          <w:sz w:val="24"/>
          <w:highlight w:val="none"/>
        </w:rPr>
      </w:pPr>
      <w:r>
        <w:rPr>
          <w:color w:val="auto"/>
          <w:sz w:val="24"/>
          <w:highlight w:val="none"/>
        </w:rPr>
        <w:t>17.1</w:t>
      </w:r>
      <w:r>
        <w:rPr>
          <w:rFonts w:hint="eastAsia"/>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highlight w:val="none"/>
          <w:u w:val="single"/>
        </w:rPr>
        <w:t xml:space="preserve">            </w:t>
      </w:r>
      <w:r>
        <w:rPr>
          <w:rFonts w:hint="eastAsia"/>
          <w:color w:val="auto"/>
          <w:sz w:val="24"/>
          <w:highlight w:val="none"/>
        </w:rPr>
        <w:t xml:space="preserve"> 。</w:t>
      </w:r>
    </w:p>
    <w:p>
      <w:pPr>
        <w:pStyle w:val="8"/>
        <w:spacing w:before="156" w:after="156"/>
        <w:rPr>
          <w:color w:val="auto"/>
          <w:highlight w:val="none"/>
        </w:rPr>
      </w:pPr>
      <w:bookmarkStart w:id="12" w:name="_Toc31234"/>
      <w:bookmarkStart w:id="13" w:name="_Toc2638"/>
      <w:r>
        <w:rPr>
          <w:rFonts w:hint="eastAsia"/>
          <w:color w:val="auto"/>
          <w:highlight w:val="none"/>
        </w:rPr>
        <w:t>（四）投标文件的提交</w:t>
      </w:r>
      <w:bookmarkEnd w:id="12"/>
      <w:bookmarkEnd w:id="13"/>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8</w:t>
      </w:r>
      <w:r>
        <w:rPr>
          <w:bCs/>
          <w:color w:val="auto"/>
          <w:sz w:val="24"/>
          <w:highlight w:val="none"/>
        </w:rPr>
        <w:t>.1</w:t>
      </w:r>
      <w:r>
        <w:rPr>
          <w:rFonts w:hint="eastAsia"/>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8</w:t>
      </w:r>
      <w:r>
        <w:rPr>
          <w:bCs/>
          <w:color w:val="auto"/>
          <w:sz w:val="24"/>
          <w:highlight w:val="none"/>
        </w:rPr>
        <w:t xml:space="preserve">.2 </w:t>
      </w:r>
      <w:r>
        <w:rPr>
          <w:rFonts w:hint="eastAsia"/>
          <w:bCs/>
          <w:color w:val="auto"/>
          <w:sz w:val="24"/>
          <w:highlight w:val="none"/>
        </w:rPr>
        <w:t>未按要求加密的投标文件，</w:t>
      </w:r>
      <w:r>
        <w:rPr>
          <w:color w:val="auto"/>
          <w:sz w:val="24"/>
          <w:szCs w:val="24"/>
          <w:highlight w:val="none"/>
          <w:u w:val="single"/>
        </w:rPr>
        <w:t xml:space="preserve">        </w:t>
      </w:r>
      <w:r>
        <w:rPr>
          <w:rFonts w:hint="eastAsia"/>
          <w:color w:val="auto"/>
          <w:sz w:val="24"/>
          <w:szCs w:val="24"/>
          <w:highlight w:val="none"/>
        </w:rPr>
        <w:t>交易平台</w:t>
      </w:r>
      <w:r>
        <w:rPr>
          <w:rFonts w:hint="eastAsia"/>
          <w:bCs/>
          <w:color w:val="auto"/>
          <w:sz w:val="24"/>
          <w:highlight w:val="none"/>
        </w:rPr>
        <w:t>将予以拒收。</w:t>
      </w:r>
    </w:p>
    <w:p>
      <w:pPr>
        <w:spacing w:line="360" w:lineRule="auto"/>
        <w:ind w:firstLine="482" w:firstLineChars="200"/>
        <w:rPr>
          <w:b/>
          <w:bCs/>
          <w:color w:val="auto"/>
          <w:sz w:val="24"/>
          <w:highlight w:val="none"/>
        </w:rPr>
      </w:pPr>
      <w:r>
        <w:rPr>
          <w:b/>
          <w:bCs/>
          <w:color w:val="auto"/>
          <w:sz w:val="24"/>
          <w:highlight w:val="none"/>
        </w:rPr>
        <w:t>19</w:t>
      </w:r>
      <w:r>
        <w:rPr>
          <w:rFonts w:hint="eastAsia"/>
          <w:b/>
          <w:bCs/>
          <w:color w:val="auto"/>
          <w:sz w:val="24"/>
          <w:highlight w:val="none"/>
        </w:rPr>
        <w:t>．投标文件的递交和接收</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1投标人通过</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递交电子投标文件。</w:t>
      </w:r>
    </w:p>
    <w:p>
      <w:pPr>
        <w:spacing w:line="360" w:lineRule="auto"/>
        <w:ind w:firstLine="480" w:firstLineChars="200"/>
        <w:rPr>
          <w:bCs/>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2投标人完成电子</w:t>
      </w:r>
      <w:r>
        <w:rPr>
          <w:rFonts w:hint="eastAsia"/>
          <w:color w:val="auto"/>
          <w:sz w:val="24"/>
          <w:highlight w:val="none"/>
        </w:rPr>
        <w:t>投标文件</w:t>
      </w:r>
      <w:r>
        <w:rPr>
          <w:rFonts w:hint="eastAsia"/>
          <w:bCs/>
          <w:color w:val="auto"/>
          <w:sz w:val="24"/>
          <w:highlight w:val="none"/>
        </w:rPr>
        <w:t>上传后，</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即时向投标人发出递交回执通知。递交时间以递交回执通知载明的传输完成时间为准。</w:t>
      </w:r>
    </w:p>
    <w:p>
      <w:pPr>
        <w:spacing w:line="360" w:lineRule="auto"/>
        <w:ind w:firstLine="480" w:firstLineChars="200"/>
        <w:rPr>
          <w:color w:val="auto"/>
          <w:sz w:val="24"/>
          <w:highlight w:val="none"/>
        </w:rPr>
      </w:pPr>
      <w:r>
        <w:rPr>
          <w:bCs/>
          <w:color w:val="auto"/>
          <w:sz w:val="24"/>
          <w:highlight w:val="none"/>
        </w:rPr>
        <w:t>1</w:t>
      </w:r>
      <w:r>
        <w:rPr>
          <w:rFonts w:hint="eastAsia"/>
          <w:bCs/>
          <w:color w:val="auto"/>
          <w:sz w:val="24"/>
          <w:highlight w:val="none"/>
        </w:rPr>
        <w:t>9</w:t>
      </w:r>
      <w:r>
        <w:rPr>
          <w:bCs/>
          <w:color w:val="auto"/>
          <w:sz w:val="24"/>
          <w:highlight w:val="none"/>
        </w:rPr>
        <w:t>.</w:t>
      </w:r>
      <w:r>
        <w:rPr>
          <w:rFonts w:hint="eastAsia"/>
          <w:bCs/>
          <w:color w:val="auto"/>
          <w:sz w:val="24"/>
          <w:highlight w:val="none"/>
        </w:rPr>
        <w:t>3</w:t>
      </w:r>
      <w:r>
        <w:rPr>
          <w:rFonts w:hint="eastAsia"/>
          <w:bCs/>
          <w:color w:val="auto"/>
          <w:sz w:val="24"/>
          <w:szCs w:val="24"/>
          <w:highlight w:val="none"/>
        </w:rPr>
        <w:t>逾期送达的</w:t>
      </w:r>
      <w:r>
        <w:rPr>
          <w:rFonts w:hint="eastAsia"/>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将予以拒收。</w:t>
      </w:r>
    </w:p>
    <w:p>
      <w:pPr>
        <w:spacing w:line="360" w:lineRule="auto"/>
        <w:ind w:firstLine="480" w:firstLineChars="200"/>
        <w:rPr>
          <w:color w:val="auto"/>
          <w:sz w:val="24"/>
          <w:highlight w:val="none"/>
        </w:rPr>
      </w:pPr>
      <w:r>
        <w:rPr>
          <w:color w:val="auto"/>
          <w:sz w:val="24"/>
          <w:highlight w:val="none"/>
        </w:rPr>
        <w:t>19.</w:t>
      </w:r>
      <w:r>
        <w:rPr>
          <w:rFonts w:hint="eastAsia"/>
          <w:color w:val="auto"/>
          <w:sz w:val="24"/>
          <w:highlight w:val="none"/>
        </w:rPr>
        <w:t>4</w:t>
      </w:r>
      <w:r>
        <w:rPr>
          <w:color w:val="auto"/>
          <w:sz w:val="24"/>
          <w:highlight w:val="none"/>
        </w:rPr>
        <w:t xml:space="preserve"> </w:t>
      </w:r>
      <w:r>
        <w:rPr>
          <w:rFonts w:hint="eastAsia"/>
          <w:color w:val="auto"/>
          <w:sz w:val="24"/>
          <w:szCs w:val="24"/>
          <w:highlight w:val="none"/>
        </w:rPr>
        <w:t>投标截止前，招标人拒绝接收符合条件的投标文件，投标人可向招标投标监督机构投诉。</w:t>
      </w:r>
    </w:p>
    <w:p>
      <w:pPr>
        <w:spacing w:line="360" w:lineRule="auto"/>
        <w:ind w:firstLine="480" w:firstLineChars="200"/>
        <w:rPr>
          <w:color w:val="auto"/>
          <w:sz w:val="24"/>
          <w:highlight w:val="none"/>
        </w:rPr>
      </w:pPr>
      <w:r>
        <w:rPr>
          <w:color w:val="auto"/>
          <w:sz w:val="24"/>
          <w:highlight w:val="none"/>
        </w:rPr>
        <w:t>19.</w:t>
      </w:r>
      <w:r>
        <w:rPr>
          <w:rFonts w:hint="eastAsia"/>
          <w:color w:val="auto"/>
          <w:sz w:val="24"/>
          <w:highlight w:val="none"/>
        </w:rPr>
        <w:t>5如技术标和经济标先后分别开启，</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将按招标文件规定的时间分别开启技术标和经济标。</w:t>
      </w:r>
    </w:p>
    <w:p>
      <w:pPr>
        <w:spacing w:line="360" w:lineRule="auto"/>
        <w:ind w:firstLine="480" w:firstLineChars="200"/>
        <w:rPr>
          <w:color w:val="auto"/>
          <w:sz w:val="24"/>
          <w:highlight w:val="none"/>
        </w:rPr>
      </w:pPr>
      <w:r>
        <w:rPr>
          <w:color w:val="auto"/>
          <w:sz w:val="24"/>
          <w:szCs w:val="24"/>
          <w:highlight w:val="none"/>
        </w:rPr>
        <w:t>19.6</w:t>
      </w:r>
      <w:r>
        <w:rPr>
          <w:rFonts w:hint="eastAsia"/>
          <w:color w:val="auto"/>
          <w:sz w:val="24"/>
          <w:szCs w:val="24"/>
          <w:highlight w:val="none"/>
        </w:rPr>
        <w:t>在规定的时间内，项目负责人须到自助签到。按照交易平台有关项目负责人自助签到流程进行操作。项目负责人凡未凭身份证按时到达指定地点签到的，</w:t>
      </w:r>
      <w:r>
        <w:rPr>
          <w:rFonts w:hint="eastAsia"/>
          <w:color w:val="auto"/>
          <w:sz w:val="24"/>
          <w:highlight w:val="none"/>
        </w:rPr>
        <w:t>该投标文件将不能参与资格审查和评标</w:t>
      </w:r>
      <w:r>
        <w:rPr>
          <w:rFonts w:hint="eastAsia"/>
          <w:color w:val="auto"/>
          <w:sz w:val="24"/>
          <w:szCs w:val="24"/>
          <w:highlight w:val="none"/>
        </w:rPr>
        <w:t>（选择性条款）。</w:t>
      </w:r>
    </w:p>
    <w:p>
      <w:pPr>
        <w:spacing w:line="360" w:lineRule="auto"/>
        <w:ind w:firstLine="482" w:firstLineChars="200"/>
        <w:rPr>
          <w:b/>
          <w:bCs/>
          <w:color w:val="auto"/>
          <w:sz w:val="24"/>
          <w:highlight w:val="none"/>
        </w:rPr>
      </w:pPr>
      <w:r>
        <w:rPr>
          <w:b/>
          <w:bCs/>
          <w:color w:val="auto"/>
          <w:sz w:val="24"/>
          <w:highlight w:val="none"/>
        </w:rPr>
        <w:t>20</w:t>
      </w:r>
      <w:r>
        <w:rPr>
          <w:rFonts w:hint="eastAsia"/>
          <w:b/>
          <w:bCs/>
          <w:color w:val="auto"/>
          <w:sz w:val="24"/>
          <w:highlight w:val="none"/>
        </w:rPr>
        <w:t>．投标文件提交的截止时间</w:t>
      </w:r>
    </w:p>
    <w:p>
      <w:pPr>
        <w:spacing w:line="360" w:lineRule="auto"/>
        <w:ind w:firstLine="480" w:firstLineChars="200"/>
        <w:rPr>
          <w:b/>
          <w:bCs/>
          <w:color w:val="auto"/>
          <w:sz w:val="24"/>
          <w:highlight w:val="none"/>
        </w:rPr>
      </w:pPr>
      <w:r>
        <w:rPr>
          <w:color w:val="auto"/>
          <w:sz w:val="24"/>
          <w:highlight w:val="none"/>
        </w:rPr>
        <w:t>20.1</w:t>
      </w:r>
      <w:r>
        <w:rPr>
          <w:rFonts w:hint="eastAsia"/>
          <w:color w:val="auto"/>
          <w:sz w:val="24"/>
          <w:highlight w:val="none"/>
        </w:rPr>
        <w:t>投标人应在投标须知前附表第17项所述的时间前提交投标文件。</w:t>
      </w:r>
    </w:p>
    <w:p>
      <w:pPr>
        <w:spacing w:line="360" w:lineRule="auto"/>
        <w:ind w:firstLine="480" w:firstLineChars="200"/>
        <w:rPr>
          <w:color w:val="auto"/>
          <w:sz w:val="24"/>
          <w:highlight w:val="none"/>
        </w:rPr>
      </w:pPr>
      <w:r>
        <w:rPr>
          <w:color w:val="auto"/>
          <w:sz w:val="24"/>
          <w:highlight w:val="none"/>
        </w:rPr>
        <w:t>20.2</w:t>
      </w:r>
      <w:r>
        <w:rPr>
          <w:rFonts w:hint="eastAsia"/>
          <w:color w:val="auto"/>
          <w:sz w:val="24"/>
          <w:highlight w:val="none"/>
        </w:rPr>
        <w:t>招标人可按本须知第</w:t>
      </w:r>
      <w:r>
        <w:rPr>
          <w:color w:val="auto"/>
          <w:sz w:val="24"/>
          <w:highlight w:val="none"/>
        </w:rPr>
        <w:t>9</w:t>
      </w:r>
      <w:r>
        <w:rPr>
          <w:rFonts w:hint="eastAsia"/>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color w:val="auto"/>
          <w:sz w:val="24"/>
          <w:highlight w:val="none"/>
        </w:rPr>
      </w:pPr>
      <w:r>
        <w:rPr>
          <w:color w:val="auto"/>
          <w:sz w:val="24"/>
          <w:highlight w:val="none"/>
        </w:rPr>
        <w:t xml:space="preserve">20.3 </w:t>
      </w:r>
      <w:r>
        <w:rPr>
          <w:rFonts w:hint="eastAsia"/>
          <w:color w:val="auto"/>
          <w:sz w:val="24"/>
          <w:highlight w:val="none"/>
        </w:rPr>
        <w:t>到投标截止时间止，招标人收到的投标文件少于3家的，招标人将重新组织招标</w:t>
      </w:r>
      <w:r>
        <w:rPr>
          <w:rFonts w:hint="eastAsia"/>
          <w:color w:val="auto"/>
          <w:sz w:val="24"/>
          <w:szCs w:val="24"/>
          <w:highlight w:val="none"/>
        </w:rPr>
        <w:t>（当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w:t>
      </w:r>
      <w:r>
        <w:rPr>
          <w:rFonts w:hint="eastAsia"/>
          <w:color w:val="auto"/>
          <w:sz w:val="24"/>
          <w:szCs w:val="24"/>
          <w:highlight w:val="none"/>
        </w:rPr>
        <w:t>2家，则重新组织招标）</w:t>
      </w:r>
      <w:r>
        <w:rPr>
          <w:rFonts w:hint="eastAsia"/>
          <w:color w:val="auto"/>
          <w:sz w:val="24"/>
          <w:highlight w:val="none"/>
        </w:rPr>
        <w:t>。</w:t>
      </w:r>
    </w:p>
    <w:p>
      <w:pPr>
        <w:spacing w:line="360" w:lineRule="auto"/>
        <w:ind w:firstLine="482" w:firstLineChars="200"/>
        <w:rPr>
          <w:b/>
          <w:bCs/>
          <w:color w:val="auto"/>
          <w:sz w:val="24"/>
          <w:highlight w:val="none"/>
        </w:rPr>
      </w:pPr>
      <w:r>
        <w:rPr>
          <w:b/>
          <w:bCs/>
          <w:color w:val="auto"/>
          <w:sz w:val="24"/>
          <w:highlight w:val="none"/>
        </w:rPr>
        <w:t>21</w:t>
      </w:r>
      <w:r>
        <w:rPr>
          <w:rFonts w:hint="eastAsia"/>
          <w:b/>
          <w:bCs/>
          <w:color w:val="auto"/>
          <w:sz w:val="24"/>
          <w:highlight w:val="none"/>
        </w:rPr>
        <w:t>．迟交的投标文件</w:t>
      </w:r>
    </w:p>
    <w:p>
      <w:pPr>
        <w:spacing w:line="360" w:lineRule="auto"/>
        <w:ind w:firstLine="480" w:firstLineChars="200"/>
        <w:rPr>
          <w:color w:val="auto"/>
          <w:sz w:val="24"/>
          <w:highlight w:val="none"/>
        </w:rPr>
      </w:pPr>
      <w:r>
        <w:rPr>
          <w:color w:val="auto"/>
          <w:sz w:val="24"/>
          <w:highlight w:val="none"/>
        </w:rPr>
        <w:t xml:space="preserve">21.1 </w:t>
      </w:r>
      <w:r>
        <w:rPr>
          <w:rFonts w:hint="eastAsia"/>
          <w:color w:val="auto"/>
          <w:sz w:val="24"/>
          <w:highlight w:val="none"/>
        </w:rPr>
        <w:t>本须知前附表第</w:t>
      </w:r>
      <w:r>
        <w:rPr>
          <w:color w:val="auto"/>
          <w:sz w:val="24"/>
          <w:highlight w:val="none"/>
        </w:rPr>
        <w:t>1</w:t>
      </w:r>
      <w:r>
        <w:rPr>
          <w:rFonts w:hint="eastAsia"/>
          <w:color w:val="auto"/>
          <w:sz w:val="24"/>
          <w:highlight w:val="none"/>
        </w:rPr>
        <w:t>7项规定的投标截止时间</w:t>
      </w:r>
      <w:r>
        <w:rPr>
          <w:rFonts w:hint="eastAsia"/>
          <w:bCs/>
          <w:color w:val="auto"/>
          <w:sz w:val="24"/>
          <w:szCs w:val="24"/>
          <w:highlight w:val="none"/>
        </w:rPr>
        <w:t>后送达的</w:t>
      </w:r>
      <w:r>
        <w:rPr>
          <w:rFonts w:hint="eastAsia"/>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将予以拒收。</w:t>
      </w:r>
    </w:p>
    <w:p>
      <w:pPr>
        <w:spacing w:line="360" w:lineRule="auto"/>
        <w:ind w:firstLine="482" w:firstLineChars="200"/>
        <w:rPr>
          <w:b/>
          <w:bCs/>
          <w:color w:val="auto"/>
          <w:sz w:val="24"/>
          <w:highlight w:val="none"/>
        </w:rPr>
      </w:pPr>
      <w:r>
        <w:rPr>
          <w:b/>
          <w:bCs/>
          <w:color w:val="auto"/>
          <w:sz w:val="24"/>
          <w:highlight w:val="none"/>
        </w:rPr>
        <w:t>22</w:t>
      </w:r>
      <w:r>
        <w:rPr>
          <w:rFonts w:hint="eastAsia"/>
          <w:b/>
          <w:bCs/>
          <w:color w:val="auto"/>
          <w:sz w:val="24"/>
          <w:highlight w:val="none"/>
        </w:rPr>
        <w:t>．投标文件的修改与撤回</w:t>
      </w:r>
    </w:p>
    <w:p>
      <w:pPr>
        <w:spacing w:line="360" w:lineRule="auto"/>
        <w:ind w:firstLine="480" w:firstLineChars="200"/>
        <w:rPr>
          <w:color w:val="auto"/>
          <w:sz w:val="24"/>
          <w:highlight w:val="none"/>
        </w:rPr>
      </w:pPr>
      <w:r>
        <w:rPr>
          <w:color w:val="auto"/>
          <w:sz w:val="24"/>
          <w:highlight w:val="none"/>
        </w:rPr>
        <w:t>22.1</w:t>
      </w:r>
      <w:r>
        <w:rPr>
          <w:rFonts w:hint="eastAsia"/>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color w:val="auto"/>
          <w:sz w:val="24"/>
          <w:szCs w:val="24"/>
          <w:highlight w:val="none"/>
        </w:rPr>
        <w:t>22.2投标人修改或撤回已递交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color w:val="auto"/>
          <w:sz w:val="24"/>
          <w:szCs w:val="24"/>
          <w:highlight w:val="none"/>
        </w:rPr>
        <w:t>22.3修改后再次递交的，按19点的规定执行。</w:t>
      </w:r>
    </w:p>
    <w:p>
      <w:pPr>
        <w:spacing w:line="360" w:lineRule="auto"/>
        <w:ind w:firstLine="480" w:firstLineChars="200"/>
        <w:rPr>
          <w:color w:val="auto"/>
          <w:sz w:val="24"/>
          <w:highlight w:val="none"/>
        </w:rPr>
      </w:pPr>
      <w:r>
        <w:rPr>
          <w:color w:val="auto"/>
          <w:sz w:val="24"/>
          <w:highlight w:val="none"/>
        </w:rPr>
        <w:t>22.</w:t>
      </w:r>
      <w:r>
        <w:rPr>
          <w:rFonts w:hint="eastAsia"/>
          <w:color w:val="auto"/>
          <w:sz w:val="24"/>
          <w:highlight w:val="none"/>
        </w:rPr>
        <w:t>4</w:t>
      </w:r>
      <w:r>
        <w:rPr>
          <w:color w:val="auto"/>
          <w:sz w:val="24"/>
          <w:highlight w:val="none"/>
        </w:rPr>
        <w:t xml:space="preserve"> </w:t>
      </w:r>
      <w:r>
        <w:rPr>
          <w:rFonts w:hint="eastAsia"/>
          <w:color w:val="auto"/>
          <w:sz w:val="24"/>
          <w:highlight w:val="none"/>
        </w:rPr>
        <w:t>在投标截止时间之后，投标人不得补充、修改和更换投标文件。</w:t>
      </w:r>
    </w:p>
    <w:p>
      <w:pPr>
        <w:pStyle w:val="8"/>
        <w:spacing w:before="156" w:after="156"/>
        <w:rPr>
          <w:color w:val="auto"/>
          <w:highlight w:val="none"/>
        </w:rPr>
      </w:pPr>
      <w:bookmarkStart w:id="14" w:name="_Toc29693"/>
      <w:bookmarkStart w:id="15" w:name="_Toc9583"/>
      <w:r>
        <w:rPr>
          <w:rFonts w:hint="eastAsia"/>
          <w:color w:val="auto"/>
          <w:highlight w:val="none"/>
        </w:rPr>
        <w:t>（五）开标、评标、定标及</w:t>
      </w:r>
      <w:r>
        <w:rPr>
          <w:rFonts w:hint="eastAsia"/>
          <w:color w:val="auto"/>
          <w:highlight w:val="none"/>
          <w:lang w:eastAsia="zh-CN"/>
        </w:rPr>
        <w:t>合同签订</w:t>
      </w:r>
      <w:bookmarkEnd w:id="14"/>
      <w:bookmarkEnd w:id="15"/>
    </w:p>
    <w:p>
      <w:pPr>
        <w:spacing w:line="360" w:lineRule="auto"/>
        <w:ind w:firstLine="482" w:firstLineChars="200"/>
        <w:rPr>
          <w:b/>
          <w:bCs/>
          <w:color w:val="auto"/>
          <w:sz w:val="24"/>
          <w:highlight w:val="none"/>
        </w:rPr>
      </w:pPr>
      <w:r>
        <w:rPr>
          <w:b/>
          <w:bCs/>
          <w:color w:val="auto"/>
          <w:sz w:val="24"/>
          <w:highlight w:val="none"/>
        </w:rPr>
        <w:t>23</w:t>
      </w:r>
      <w:r>
        <w:rPr>
          <w:rFonts w:hint="eastAsia"/>
          <w:b/>
          <w:bCs/>
          <w:color w:val="auto"/>
          <w:sz w:val="24"/>
          <w:highlight w:val="none"/>
        </w:rPr>
        <w:t>、开标。</w:t>
      </w:r>
    </w:p>
    <w:p>
      <w:pPr>
        <w:spacing w:line="360" w:lineRule="auto"/>
        <w:ind w:firstLine="480" w:firstLineChars="200"/>
        <w:rPr>
          <w:color w:val="auto"/>
          <w:sz w:val="24"/>
          <w:highlight w:val="none"/>
        </w:rPr>
      </w:pPr>
      <w:r>
        <w:rPr>
          <w:rFonts w:hint="eastAsia"/>
          <w:color w:val="auto"/>
          <w:sz w:val="24"/>
          <w:highlight w:val="none"/>
        </w:rPr>
        <w:t>详见第二章开标、评标及定标办法</w:t>
      </w:r>
    </w:p>
    <w:p>
      <w:pPr>
        <w:spacing w:line="360" w:lineRule="auto"/>
        <w:ind w:firstLine="482" w:firstLineChars="200"/>
        <w:rPr>
          <w:b/>
          <w:bCs/>
          <w:color w:val="auto"/>
          <w:sz w:val="24"/>
          <w:highlight w:val="none"/>
        </w:rPr>
      </w:pPr>
      <w:r>
        <w:rPr>
          <w:b/>
          <w:bCs/>
          <w:color w:val="auto"/>
          <w:sz w:val="24"/>
          <w:highlight w:val="none"/>
        </w:rPr>
        <w:t>24</w:t>
      </w:r>
      <w:r>
        <w:rPr>
          <w:rFonts w:hint="eastAsia"/>
          <w:b/>
          <w:bCs/>
          <w:color w:val="auto"/>
          <w:sz w:val="24"/>
          <w:highlight w:val="none"/>
        </w:rPr>
        <w:t>．评标过程的保密</w:t>
      </w:r>
    </w:p>
    <w:p>
      <w:pPr>
        <w:spacing w:line="360" w:lineRule="auto"/>
        <w:ind w:firstLine="480" w:firstLineChars="200"/>
        <w:rPr>
          <w:color w:val="auto"/>
          <w:sz w:val="24"/>
          <w:highlight w:val="none"/>
        </w:rPr>
      </w:pPr>
      <w:r>
        <w:rPr>
          <w:color w:val="auto"/>
          <w:sz w:val="24"/>
          <w:highlight w:val="none"/>
        </w:rPr>
        <w:t xml:space="preserve">24.1 </w:t>
      </w:r>
      <w:r>
        <w:rPr>
          <w:rFonts w:hint="eastAsia"/>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color w:val="auto"/>
          <w:sz w:val="24"/>
          <w:highlight w:val="none"/>
        </w:rPr>
      </w:pPr>
      <w:r>
        <w:rPr>
          <w:color w:val="auto"/>
          <w:sz w:val="24"/>
          <w:highlight w:val="none"/>
        </w:rPr>
        <w:t xml:space="preserve">24.2 </w:t>
      </w:r>
      <w:r>
        <w:rPr>
          <w:rFonts w:hint="eastAsia"/>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b/>
          <w:bCs/>
          <w:color w:val="auto"/>
          <w:sz w:val="24"/>
          <w:highlight w:val="none"/>
        </w:rPr>
      </w:pPr>
      <w:r>
        <w:rPr>
          <w:b/>
          <w:bCs/>
          <w:color w:val="auto"/>
          <w:sz w:val="24"/>
          <w:highlight w:val="none"/>
        </w:rPr>
        <w:t>25</w:t>
      </w:r>
      <w:r>
        <w:rPr>
          <w:rFonts w:hint="eastAsia"/>
          <w:b/>
          <w:bCs/>
          <w:color w:val="auto"/>
          <w:sz w:val="24"/>
          <w:highlight w:val="none"/>
        </w:rPr>
        <w:t>．投标文件的澄清，计算错误的修正</w:t>
      </w:r>
    </w:p>
    <w:p>
      <w:pPr>
        <w:spacing w:line="360" w:lineRule="auto"/>
        <w:ind w:firstLine="480" w:firstLineChars="200"/>
        <w:rPr>
          <w:color w:val="auto"/>
          <w:sz w:val="24"/>
          <w:highlight w:val="none"/>
        </w:rPr>
      </w:pPr>
      <w:r>
        <w:rPr>
          <w:rFonts w:hint="eastAsia"/>
          <w:color w:val="auto"/>
          <w:sz w:val="24"/>
          <w:highlight w:val="none"/>
        </w:rPr>
        <w:t>详见招标文件第二章开标、评标及定标办法</w:t>
      </w:r>
    </w:p>
    <w:p>
      <w:pPr>
        <w:spacing w:line="360" w:lineRule="auto"/>
        <w:ind w:firstLine="482" w:firstLineChars="200"/>
        <w:rPr>
          <w:b/>
          <w:bCs/>
          <w:color w:val="auto"/>
          <w:sz w:val="24"/>
          <w:highlight w:val="none"/>
        </w:rPr>
      </w:pPr>
      <w:r>
        <w:rPr>
          <w:b/>
          <w:bCs/>
          <w:color w:val="auto"/>
          <w:sz w:val="24"/>
          <w:highlight w:val="none"/>
        </w:rPr>
        <w:t>26</w:t>
      </w:r>
      <w:r>
        <w:rPr>
          <w:rFonts w:hint="eastAsia"/>
          <w:b/>
          <w:bCs/>
          <w:color w:val="auto"/>
          <w:sz w:val="24"/>
          <w:highlight w:val="none"/>
        </w:rPr>
        <w:t>．投标文件的评审、比较和否决</w:t>
      </w:r>
    </w:p>
    <w:p>
      <w:pPr>
        <w:spacing w:line="360" w:lineRule="auto"/>
        <w:ind w:firstLine="480" w:firstLineChars="200"/>
        <w:rPr>
          <w:bCs/>
          <w:color w:val="auto"/>
          <w:sz w:val="24"/>
          <w:szCs w:val="24"/>
          <w:highlight w:val="none"/>
        </w:rPr>
      </w:pPr>
      <w:r>
        <w:rPr>
          <w:rFonts w:hint="eastAsia"/>
          <w:color w:val="auto"/>
          <w:sz w:val="24"/>
          <w:highlight w:val="none"/>
        </w:rPr>
        <w:t>详见招标文件第二章开标、评标及定标办法。</w:t>
      </w:r>
    </w:p>
    <w:p>
      <w:pPr>
        <w:spacing w:line="360" w:lineRule="auto"/>
        <w:ind w:firstLine="482" w:firstLineChars="200"/>
        <w:rPr>
          <w:b/>
          <w:bCs/>
          <w:color w:val="auto"/>
          <w:sz w:val="24"/>
          <w:highlight w:val="none"/>
        </w:rPr>
      </w:pPr>
      <w:r>
        <w:rPr>
          <w:b/>
          <w:bCs/>
          <w:color w:val="auto"/>
          <w:sz w:val="24"/>
          <w:highlight w:val="none"/>
        </w:rPr>
        <w:t>27</w:t>
      </w:r>
      <w:r>
        <w:rPr>
          <w:rFonts w:hint="eastAsia"/>
          <w:b/>
          <w:bCs/>
          <w:color w:val="auto"/>
          <w:sz w:val="24"/>
          <w:highlight w:val="none"/>
        </w:rPr>
        <w:t>．中标通知书</w:t>
      </w:r>
    </w:p>
    <w:p>
      <w:pPr>
        <w:spacing w:line="360" w:lineRule="auto"/>
        <w:ind w:firstLine="480" w:firstLineChars="200"/>
        <w:rPr>
          <w:color w:val="auto"/>
          <w:sz w:val="24"/>
          <w:highlight w:val="none"/>
        </w:rPr>
      </w:pPr>
      <w:r>
        <w:rPr>
          <w:color w:val="auto"/>
          <w:sz w:val="24"/>
          <w:highlight w:val="none"/>
        </w:rPr>
        <w:t>27.1</w:t>
      </w:r>
      <w:r>
        <w:rPr>
          <w:rFonts w:hint="eastAsia"/>
          <w:color w:val="auto"/>
          <w:sz w:val="24"/>
          <w:highlight w:val="none"/>
        </w:rPr>
        <w:t>招标人将在</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、广东省招标投标监管网和中国招标投标公共服务平台公示中标候选人，公示期为三天。</w:t>
      </w:r>
    </w:p>
    <w:p>
      <w:pPr>
        <w:spacing w:line="360" w:lineRule="auto"/>
        <w:ind w:firstLine="480" w:firstLineChars="200"/>
        <w:rPr>
          <w:rFonts w:ascii="仿宋_GB2312" w:eastAsia="仿宋_GB2312"/>
          <w:color w:val="auto"/>
          <w:sz w:val="24"/>
          <w:highlight w:val="none"/>
        </w:rPr>
      </w:pPr>
      <w:r>
        <w:rPr>
          <w:color w:val="auto"/>
          <w:sz w:val="24"/>
          <w:highlight w:val="none"/>
        </w:rPr>
        <w:t>27.2</w:t>
      </w:r>
      <w:r>
        <w:rPr>
          <w:rFonts w:hint="eastAsia"/>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color w:val="auto"/>
          <w:sz w:val="24"/>
          <w:highlight w:val="none"/>
        </w:rPr>
      </w:pPr>
      <w:r>
        <w:rPr>
          <w:color w:val="auto"/>
          <w:sz w:val="24"/>
          <w:highlight w:val="none"/>
        </w:rPr>
        <w:t>27.3</w:t>
      </w:r>
      <w:r>
        <w:rPr>
          <w:rFonts w:hint="eastAsia"/>
          <w:color w:val="auto"/>
          <w:sz w:val="24"/>
          <w:highlight w:val="none"/>
        </w:rPr>
        <w:t>中标人必须在收到中标通知书后</w:t>
      </w:r>
      <w:r>
        <w:rPr>
          <w:color w:val="auto"/>
          <w:sz w:val="24"/>
          <w:highlight w:val="none"/>
        </w:rPr>
        <w:t>24</w:t>
      </w:r>
      <w:r>
        <w:rPr>
          <w:rFonts w:hint="eastAsia"/>
          <w:color w:val="auto"/>
          <w:sz w:val="24"/>
          <w:highlight w:val="none"/>
        </w:rPr>
        <w:t>小时之内以书面形式回复招标人，确认收到。</w:t>
      </w:r>
    </w:p>
    <w:p>
      <w:pPr>
        <w:spacing w:line="360" w:lineRule="auto"/>
        <w:ind w:firstLine="480" w:firstLineChars="200"/>
        <w:rPr>
          <w:color w:val="auto"/>
          <w:sz w:val="24"/>
          <w:highlight w:val="none"/>
        </w:rPr>
      </w:pPr>
      <w:r>
        <w:rPr>
          <w:rFonts w:hint="eastAsia"/>
          <w:color w:val="auto"/>
          <w:sz w:val="24"/>
          <w:highlight w:val="none"/>
        </w:rPr>
        <w:t>27.4在产生中标候选人后，招标人将中标候选人的投标文件商务部分文件的所有内容（包括人员、业绩、奖项等资料）在</w:t>
      </w:r>
      <w:r>
        <w:rPr>
          <w:color w:val="auto"/>
          <w:sz w:val="24"/>
          <w:szCs w:val="24"/>
          <w:highlight w:val="none"/>
          <w:u w:val="single"/>
        </w:rPr>
        <w:t xml:space="preserve">        </w:t>
      </w:r>
      <w:r>
        <w:rPr>
          <w:rFonts w:hint="eastAsia"/>
          <w:color w:val="auto"/>
          <w:sz w:val="24"/>
          <w:szCs w:val="24"/>
          <w:highlight w:val="none"/>
        </w:rPr>
        <w:t>交易平台和广东省招标投标监管网</w:t>
      </w:r>
      <w:r>
        <w:rPr>
          <w:rFonts w:hint="eastAsia"/>
          <w:color w:val="auto"/>
          <w:sz w:val="24"/>
          <w:highlight w:val="none"/>
        </w:rPr>
        <w:t>公开。</w:t>
      </w:r>
    </w:p>
    <w:p>
      <w:pPr>
        <w:spacing w:line="360" w:lineRule="auto"/>
        <w:ind w:firstLine="482" w:firstLineChars="200"/>
        <w:rPr>
          <w:b/>
          <w:bCs/>
          <w:color w:val="auto"/>
          <w:sz w:val="24"/>
          <w:highlight w:val="none"/>
        </w:rPr>
      </w:pPr>
      <w:r>
        <w:rPr>
          <w:b/>
          <w:bCs/>
          <w:color w:val="auto"/>
          <w:sz w:val="24"/>
          <w:highlight w:val="none"/>
        </w:rPr>
        <w:t>28</w:t>
      </w:r>
      <w:r>
        <w:rPr>
          <w:rFonts w:hint="eastAsia"/>
          <w:b/>
          <w:bCs/>
          <w:color w:val="auto"/>
          <w:sz w:val="24"/>
          <w:highlight w:val="none"/>
        </w:rPr>
        <w:t>．合同协议书的签订</w:t>
      </w:r>
    </w:p>
    <w:p>
      <w:pPr>
        <w:spacing w:line="360" w:lineRule="auto"/>
        <w:ind w:firstLine="480" w:firstLineChars="200"/>
        <w:rPr>
          <w:color w:val="auto"/>
          <w:sz w:val="24"/>
          <w:highlight w:val="none"/>
        </w:rPr>
      </w:pPr>
      <w:r>
        <w:rPr>
          <w:color w:val="auto"/>
          <w:sz w:val="24"/>
          <w:highlight w:val="none"/>
        </w:rPr>
        <w:t xml:space="preserve">28.1 </w:t>
      </w:r>
      <w:r>
        <w:rPr>
          <w:rFonts w:hint="eastAsia"/>
          <w:color w:val="auto"/>
          <w:sz w:val="24"/>
          <w:highlight w:val="none"/>
        </w:rPr>
        <w:t>招标人与中标人将于中标通知书发出之日起</w:t>
      </w:r>
      <w:r>
        <w:rPr>
          <w:color w:val="auto"/>
          <w:sz w:val="24"/>
          <w:highlight w:val="none"/>
        </w:rPr>
        <w:t>30</w:t>
      </w:r>
      <w:r>
        <w:rPr>
          <w:rFonts w:hint="eastAsia"/>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color w:val="auto"/>
          <w:sz w:val="24"/>
          <w:highlight w:val="none"/>
        </w:rPr>
      </w:pPr>
      <w:r>
        <w:rPr>
          <w:color w:val="auto"/>
          <w:sz w:val="24"/>
          <w:highlight w:val="none"/>
        </w:rPr>
        <w:t>28.2</w:t>
      </w:r>
      <w:r>
        <w:rPr>
          <w:rFonts w:hint="eastAsia"/>
          <w:color w:val="auto"/>
          <w:sz w:val="24"/>
          <w:highlight w:val="none"/>
        </w:rPr>
        <w:t>中标通知书发出之日起</w:t>
      </w:r>
      <w:r>
        <w:rPr>
          <w:color w:val="auto"/>
          <w:sz w:val="24"/>
          <w:highlight w:val="none"/>
        </w:rPr>
        <w:t>30</w:t>
      </w:r>
      <w:r>
        <w:rPr>
          <w:rFonts w:hint="eastAsia"/>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color w:val="auto"/>
          <w:sz w:val="24"/>
          <w:highlight w:val="none"/>
        </w:rPr>
      </w:pPr>
      <w:r>
        <w:rPr>
          <w:color w:val="auto"/>
          <w:sz w:val="24"/>
          <w:highlight w:val="none"/>
        </w:rPr>
        <w:t>28.3</w:t>
      </w:r>
      <w:r>
        <w:rPr>
          <w:rFonts w:hint="eastAsia"/>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color w:val="auto"/>
          <w:sz w:val="24"/>
          <w:highlight w:val="none"/>
        </w:rPr>
      </w:pPr>
      <w:r>
        <w:rPr>
          <w:color w:val="auto"/>
          <w:sz w:val="24"/>
          <w:highlight w:val="none"/>
        </w:rPr>
        <w:t>28.4</w:t>
      </w:r>
      <w:r>
        <w:rPr>
          <w:rFonts w:hint="eastAsia"/>
          <w:color w:val="auto"/>
          <w:sz w:val="24"/>
          <w:highlight w:val="none"/>
        </w:rPr>
        <w:t>招标人支付工程款时，中标人应按规定开具发票。</w:t>
      </w:r>
    </w:p>
    <w:p>
      <w:pPr>
        <w:spacing w:line="360" w:lineRule="auto"/>
        <w:ind w:firstLine="482" w:firstLineChars="200"/>
        <w:rPr>
          <w:b/>
          <w:bCs/>
          <w:color w:val="auto"/>
          <w:sz w:val="24"/>
          <w:highlight w:val="none"/>
        </w:rPr>
      </w:pPr>
      <w:r>
        <w:rPr>
          <w:b/>
          <w:bCs/>
          <w:color w:val="auto"/>
          <w:sz w:val="24"/>
          <w:highlight w:val="none"/>
        </w:rPr>
        <w:t>29</w:t>
      </w:r>
      <w:r>
        <w:rPr>
          <w:rFonts w:hint="eastAsia"/>
          <w:b/>
          <w:bCs/>
          <w:color w:val="auto"/>
          <w:sz w:val="24"/>
          <w:highlight w:val="none"/>
        </w:rPr>
        <w:t>．履约担保</w:t>
      </w:r>
    </w:p>
    <w:p>
      <w:pPr>
        <w:snapToGrid w:val="0"/>
        <w:spacing w:line="360" w:lineRule="auto"/>
        <w:ind w:firstLine="480" w:firstLineChars="200"/>
        <w:rPr>
          <w:color w:val="auto"/>
          <w:sz w:val="24"/>
          <w:highlight w:val="none"/>
        </w:rPr>
      </w:pPr>
      <w:r>
        <w:rPr>
          <w:color w:val="auto"/>
          <w:sz w:val="24"/>
          <w:highlight w:val="none"/>
        </w:rPr>
        <w:t xml:space="preserve">29.1 </w:t>
      </w:r>
      <w:r>
        <w:rPr>
          <w:rFonts w:hint="eastAsia"/>
          <w:color w:val="auto"/>
          <w:sz w:val="24"/>
          <w:highlight w:val="none"/>
        </w:rPr>
        <w:t>在收到中标通知书后的</w:t>
      </w:r>
      <w:r>
        <w:rPr>
          <w:b/>
          <w:color w:val="auto"/>
          <w:sz w:val="24"/>
          <w:highlight w:val="none"/>
        </w:rPr>
        <w:t>15</w:t>
      </w:r>
      <w:r>
        <w:rPr>
          <w:rFonts w:hint="eastAsia"/>
          <w:b/>
          <w:color w:val="auto"/>
          <w:sz w:val="24"/>
          <w:highlight w:val="none"/>
        </w:rPr>
        <w:t>日</w:t>
      </w:r>
      <w:r>
        <w:rPr>
          <w:rFonts w:hint="eastAsia"/>
          <w:color w:val="auto"/>
          <w:sz w:val="24"/>
          <w:highlight w:val="none"/>
        </w:rPr>
        <w:t>内，中标人应按本须知前附表第</w:t>
      </w:r>
      <w:r>
        <w:rPr>
          <w:color w:val="auto"/>
          <w:sz w:val="24"/>
          <w:highlight w:val="none"/>
        </w:rPr>
        <w:t>2</w:t>
      </w:r>
      <w:r>
        <w:rPr>
          <w:rFonts w:hint="eastAsia"/>
          <w:color w:val="auto"/>
          <w:sz w:val="24"/>
          <w:highlight w:val="none"/>
        </w:rPr>
        <w:t>0项的规定向招标人提交履约担保。</w:t>
      </w:r>
    </w:p>
    <w:p>
      <w:pPr>
        <w:snapToGrid w:val="0"/>
        <w:spacing w:line="360" w:lineRule="auto"/>
        <w:ind w:firstLine="480" w:firstLineChars="200"/>
        <w:rPr>
          <w:color w:val="auto"/>
          <w:sz w:val="24"/>
          <w:highlight w:val="none"/>
        </w:rPr>
      </w:pPr>
      <w:r>
        <w:rPr>
          <w:color w:val="auto"/>
          <w:sz w:val="24"/>
          <w:highlight w:val="none"/>
        </w:rPr>
        <w:t>29.2</w:t>
      </w:r>
      <w:r>
        <w:rPr>
          <w:rFonts w:hint="eastAsia"/>
          <w:color w:val="auto"/>
          <w:sz w:val="24"/>
          <w:highlight w:val="none"/>
        </w:rPr>
        <w:t>中标通知书发出之日起</w:t>
      </w:r>
      <w:r>
        <w:rPr>
          <w:color w:val="auto"/>
          <w:sz w:val="24"/>
          <w:highlight w:val="none"/>
        </w:rPr>
        <w:t>15</w:t>
      </w:r>
      <w:r>
        <w:rPr>
          <w:rFonts w:hint="eastAsia"/>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b/>
          <w:bCs/>
          <w:color w:val="auto"/>
          <w:sz w:val="24"/>
          <w:highlight w:val="none"/>
        </w:rPr>
      </w:pPr>
      <w:r>
        <w:rPr>
          <w:b/>
          <w:bCs/>
          <w:color w:val="auto"/>
          <w:sz w:val="24"/>
          <w:highlight w:val="none"/>
        </w:rPr>
        <w:t>30</w:t>
      </w:r>
      <w:r>
        <w:rPr>
          <w:rFonts w:hint="eastAsia"/>
          <w:b/>
          <w:bCs/>
          <w:color w:val="auto"/>
          <w:sz w:val="24"/>
          <w:highlight w:val="none"/>
        </w:rPr>
        <w:t>．合同生效</w:t>
      </w:r>
    </w:p>
    <w:p>
      <w:pPr>
        <w:spacing w:line="360" w:lineRule="auto"/>
        <w:ind w:firstLine="480" w:firstLineChars="200"/>
        <w:rPr>
          <w:color w:val="auto"/>
          <w:sz w:val="24"/>
          <w:highlight w:val="none"/>
        </w:rPr>
      </w:pPr>
      <w:r>
        <w:rPr>
          <w:color w:val="auto"/>
          <w:sz w:val="24"/>
          <w:highlight w:val="none"/>
        </w:rPr>
        <w:t>30.1</w:t>
      </w:r>
      <w:r>
        <w:rPr>
          <w:rFonts w:hint="eastAsia"/>
          <w:color w:val="auto"/>
          <w:sz w:val="24"/>
          <w:highlight w:val="none"/>
        </w:rPr>
        <w:t>在合同双方全权代表在合同协议书上签字，并分别加盖双方单位的公章后，合同正式生效。</w:t>
      </w:r>
    </w:p>
    <w:p>
      <w:pPr>
        <w:spacing w:line="360" w:lineRule="auto"/>
        <w:ind w:firstLine="482" w:firstLineChars="200"/>
        <w:rPr>
          <w:b/>
          <w:bCs/>
          <w:color w:val="auto"/>
          <w:sz w:val="24"/>
          <w:highlight w:val="none"/>
        </w:rPr>
      </w:pPr>
      <w:r>
        <w:rPr>
          <w:b/>
          <w:bCs/>
          <w:color w:val="auto"/>
          <w:sz w:val="24"/>
          <w:highlight w:val="none"/>
        </w:rPr>
        <w:t>31</w:t>
      </w:r>
      <w:r>
        <w:rPr>
          <w:rFonts w:hint="eastAsia"/>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b/>
          <w:color w:val="auto"/>
          <w:sz w:val="24"/>
          <w:highlight w:val="none"/>
        </w:rPr>
      </w:pPr>
      <w:r>
        <w:rPr>
          <w:rFonts w:hint="eastAsia"/>
          <w:b/>
          <w:color w:val="auto"/>
          <w:sz w:val="24"/>
          <w:highlight w:val="none"/>
        </w:rPr>
        <w:t>33. 投标人信誉的要求</w:t>
      </w:r>
    </w:p>
    <w:p>
      <w:pPr>
        <w:spacing w:line="480" w:lineRule="auto"/>
        <w:ind w:firstLine="537" w:firstLineChars="224"/>
        <w:rPr>
          <w:color w:val="auto"/>
          <w:sz w:val="24"/>
          <w:highlight w:val="none"/>
        </w:rPr>
      </w:pPr>
      <w:r>
        <w:rPr>
          <w:rFonts w:hint="eastAsia"/>
          <w:color w:val="auto"/>
          <w:sz w:val="24"/>
          <w:highlight w:val="none"/>
        </w:rPr>
        <w:t>存在下列情形之一的，招标人可以限制其投标（需在招标文件中明确评定方法）</w:t>
      </w:r>
    </w:p>
    <w:p>
      <w:pPr>
        <w:spacing w:line="480" w:lineRule="auto"/>
        <w:ind w:firstLine="537" w:firstLineChars="224"/>
        <w:rPr>
          <w:color w:val="auto"/>
          <w:sz w:val="24"/>
          <w:highlight w:val="none"/>
        </w:rPr>
      </w:pPr>
      <w:r>
        <w:rPr>
          <w:rFonts w:hint="eastAsia"/>
          <w:color w:val="auto"/>
          <w:sz w:val="24"/>
          <w:highlight w:val="none"/>
        </w:rPr>
        <w:t>（1）被住房城乡建设行政主管部门在全国建筑市场监管一体化工作平台列入建筑市场主体“黑名单”；</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（2）被发改委、人力资源社会保障、质检总局等有关部门、单位在“信用中国”网站中列入联合惩戒失信黑名单</w:t>
      </w:r>
      <w:bookmarkEnd w:id="7"/>
      <w:r>
        <w:rPr>
          <w:rFonts w:hint="eastAsia" w:ascii="宋体" w:hAnsi="宋体"/>
          <w:color w:val="auto"/>
          <w:sz w:val="24"/>
          <w:highlight w:val="none"/>
        </w:rPr>
        <w:t>。</w:t>
      </w:r>
    </w:p>
    <w:p>
      <w:pPr>
        <w:pStyle w:val="3"/>
        <w:spacing w:before="0" w:beforeAutospacing="0" w:after="0" w:afterAutospacing="0"/>
        <w:jc w:val="center"/>
        <w:rPr>
          <w:rFonts w:hint="default"/>
          <w:color w:val="auto"/>
          <w:highlight w:val="none"/>
        </w:rPr>
      </w:pPr>
      <w:r>
        <w:rPr>
          <w:color w:val="auto"/>
          <w:sz w:val="24"/>
          <w:highlight w:val="none"/>
        </w:rPr>
        <w:br w:type="page"/>
      </w:r>
      <w:bookmarkStart w:id="16" w:name="_Toc30809"/>
      <w:r>
        <w:rPr>
          <w:color w:val="auto"/>
          <w:highlight w:val="none"/>
        </w:rPr>
        <w:t>第二章  开标、评标及定标办法</w:t>
      </w:r>
      <w:bookmarkEnd w:id="16"/>
    </w:p>
    <w:p>
      <w:pPr>
        <w:pStyle w:val="7"/>
        <w:rPr>
          <w:color w:val="auto"/>
          <w:highlight w:val="none"/>
        </w:rPr>
      </w:pPr>
      <w:bookmarkStart w:id="17" w:name="_Toc23098"/>
      <w:r>
        <w:rPr>
          <w:rFonts w:hint="eastAsia"/>
          <w:color w:val="auto"/>
          <w:sz w:val="28"/>
          <w:szCs w:val="28"/>
          <w:highlight w:val="none"/>
        </w:rPr>
        <w:t>一、</w:t>
      </w:r>
      <w:r>
        <w:rPr>
          <w:rFonts w:hint="eastAsia"/>
          <w:color w:val="auto"/>
          <w:highlight w:val="none"/>
        </w:rPr>
        <w:t>开标、评标及定标办法修改表</w:t>
      </w:r>
      <w:bookmarkEnd w:id="17"/>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cs="宋体"/>
          <w:b/>
          <w:color w:val="auto"/>
          <w:szCs w:val="21"/>
          <w:highlight w:val="none"/>
        </w:rPr>
        <w:fldChar w:fldCharType="begin"/>
      </w:r>
      <w:r>
        <w:rPr>
          <w:rFonts w:hint="eastAsia" w:cs="宋体"/>
          <w:b/>
          <w:color w:val="auto"/>
          <w:szCs w:val="21"/>
          <w:highlight w:val="none"/>
        </w:rPr>
        <w:instrText xml:space="preserve"> HYPERLINK "http://zfcj.gz.gov.cn/）下载GZZB2018-3范本查阅。" </w:instrText>
      </w:r>
      <w:r>
        <w:rPr>
          <w:rFonts w:hint="eastAsia" w:cs="宋体"/>
          <w:b/>
          <w:color w:val="auto"/>
          <w:szCs w:val="21"/>
          <w:highlight w:val="none"/>
        </w:rPr>
        <w:fldChar w:fldCharType="separate"/>
      </w:r>
      <w:r>
        <w:rPr>
          <w:rStyle w:val="32"/>
          <w:rFonts w:hint="eastAsia" w:cs="宋体"/>
          <w:b/>
          <w:color w:val="auto"/>
          <w:szCs w:val="21"/>
          <w:highlight w:val="none"/>
        </w:rPr>
        <w:t>http://zfcj.gz.gov.cn/）下载GZZB2018-3范本查阅。</w:t>
      </w:r>
      <w:r>
        <w:rPr>
          <w:rFonts w:hint="eastAsia" w:cs="宋体"/>
          <w:b/>
          <w:color w:val="auto"/>
          <w:szCs w:val="21"/>
          <w:highlight w:val="none"/>
        </w:rPr>
        <w:fldChar w:fldCharType="end"/>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条款号：36.1</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hint="eastAsia"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36" w:lineRule="auto"/>
        <w:ind w:firstLine="422" w:firstLineChars="200"/>
        <w:rPr>
          <w:rFonts w:hint="eastAsia"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条款号：36.3</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条款号：36.5.1</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hint="eastAsia"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现文：</w:t>
      </w:r>
      <w:r>
        <w:rPr>
          <w:rFonts w:hint="eastAsia" w:cs="宋体"/>
          <w:color w:val="auto"/>
          <w:szCs w:val="21"/>
          <w:highlight w:val="none"/>
        </w:rPr>
        <w:t>36.5.1在投标截止时间后半小时内，投标人通过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交易平台对已递交的电子投标文件进行解密。投标人完成解密后，再由招标人进行解密。解密完成后，公布招标项目名称、投标人名称、投标报价、工期及其他内容；</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条款号：36.5.3</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36" w:lineRule="auto"/>
        <w:ind w:firstLine="422" w:firstLineChars="200"/>
        <w:rPr>
          <w:rFonts w:hint="eastAsia"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投标人代表、招标人代表、监标人、记录人等有关人员在开标记录上签字确认；若有关人员不签字的，不影响开标程序；</w:t>
      </w:r>
      <w:r>
        <w:rPr>
          <w:rFonts w:hint="eastAsia" w:cs="宋体"/>
          <w:color w:val="auto"/>
          <w:szCs w:val="21"/>
          <w:highlight w:val="none"/>
          <w:u w:val="single"/>
        </w:rPr>
        <w:t>若投标人不参加开标会的，或不签字确认的，视同该投标人认可开标结果。</w:t>
      </w:r>
    </w:p>
    <w:p>
      <w:pPr>
        <w:pBdr>
          <w:bottom w:val="single" w:color="auto" w:sz="4" w:space="1"/>
        </w:pBd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条款号：38.1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4"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4"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现文：</w:t>
      </w:r>
      <w:r>
        <w:rPr>
          <w:rFonts w:hint="eastAsia"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cs="宋体"/>
          <w:color w:val="auto"/>
          <w:szCs w:val="21"/>
          <w:highlight w:val="none"/>
          <w:u w:val="single"/>
        </w:rPr>
        <w:t>对投标文件含义不明确、对同类问题表述不一致、有明显文字和计算错误的内容以及细微偏差的内容作出澄清</w:t>
      </w:r>
      <w:r>
        <w:rPr>
          <w:rFonts w:hint="eastAsia" w:cs="宋体"/>
          <w:color w:val="auto"/>
          <w:szCs w:val="21"/>
          <w:highlight w:val="none"/>
        </w:rPr>
        <w:t>。</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条款号：39.2</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依法必须进行公开招标的项目，招标人应当确定排名第一的中标候选人为中标人；</w:t>
      </w:r>
    </w:p>
    <w:p>
      <w:pPr>
        <w:pBdr>
          <w:bottom w:val="single" w:color="auto" w:sz="6" w:space="1"/>
        </w:pBdr>
        <w:spacing w:line="336" w:lineRule="auto"/>
        <w:ind w:firstLine="422" w:firstLineChars="200"/>
        <w:rPr>
          <w:rFonts w:hint="eastAsia"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依法必须进行公开招标的项目，招标人应当确定排名第一的中标候选人，若在填报中标候选人公示信息时被发现委派的项目负责人已在其他在建项目中任职的，则不能进行中标候选人公示，招标人可以确定排名第二的中标候选人为中标人。</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条款号：39.3</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36" w:lineRule="auto"/>
        <w:ind w:firstLine="422" w:firstLineChars="200"/>
        <w:rPr>
          <w:rFonts w:hint="eastAsia"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排名第一的中标候选人放弃中标、或因不可抗力提出不能履行合同，或者招标文件规定应当提交履约担保而在规定的期限内未能提交的，</w:t>
      </w:r>
      <w:r>
        <w:rPr>
          <w:rFonts w:hint="eastAsia" w:cs="宋体"/>
          <w:color w:val="auto"/>
          <w:szCs w:val="21"/>
          <w:highlight w:val="none"/>
          <w:u w:val="single"/>
        </w:rPr>
        <w:t>或经核查发现委派的项目负责人已在其他在建项目中任职的，</w:t>
      </w:r>
      <w:r>
        <w:rPr>
          <w:rFonts w:hint="eastAsia" w:cs="宋体"/>
          <w:color w:val="auto"/>
          <w:szCs w:val="21"/>
          <w:highlight w:val="none"/>
        </w:rPr>
        <w:t>招标人可以确定排名第二的中标候选人为中标人。</w:t>
      </w:r>
    </w:p>
    <w:p>
      <w:pPr>
        <w:pStyle w:val="9"/>
        <w:tabs>
          <w:tab w:val="left" w:pos="5245"/>
        </w:tabs>
        <w:spacing w:line="360" w:lineRule="auto"/>
        <w:ind w:firstLine="422"/>
        <w:rPr>
          <w:rFonts w:hint="eastAsia" w:cs="宋体"/>
          <w:b/>
          <w:color w:val="auto"/>
          <w:szCs w:val="21"/>
          <w:highlight w:val="none"/>
        </w:rPr>
      </w:pPr>
      <w:r>
        <w:rPr>
          <w:rFonts w:hint="eastAsia" w:cs="宋体"/>
          <w:b/>
          <w:color w:val="auto"/>
          <w:szCs w:val="21"/>
          <w:highlight w:val="none"/>
        </w:rPr>
        <w:t>条款号：（二）开标评标办法程序和细则-注</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60"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以下八种评标办法所述企业综合诚信评价分数即投标截止当日广州市住房和城乡建设局网站上公布的企业综合诚信评价</w:t>
      </w:r>
      <w:r>
        <w:rPr>
          <w:rFonts w:cs="宋体"/>
          <w:color w:val="auto"/>
          <w:szCs w:val="21"/>
          <w:highlight w:val="none"/>
        </w:rPr>
        <w:t>60日诚信分。</w:t>
      </w:r>
    </w:p>
    <w:p>
      <w:pPr>
        <w:spacing w:line="360" w:lineRule="auto"/>
        <w:ind w:firstLine="472" w:firstLineChars="224"/>
        <w:rPr>
          <w:rFonts w:cs="宋体"/>
          <w:b/>
          <w:color w:val="auto"/>
          <w:szCs w:val="21"/>
          <w:highlight w:val="none"/>
        </w:rPr>
      </w:pPr>
      <w:r>
        <w:rPr>
          <w:rFonts w:hint="eastAsia" w:cs="宋体"/>
          <w:b/>
          <w:color w:val="auto"/>
          <w:szCs w:val="21"/>
          <w:highlight w:val="none"/>
        </w:rPr>
        <w:t>条款号： 评标办法        修改类型：删除</w:t>
      </w:r>
    </w:p>
    <w:p>
      <w:pPr>
        <w:pBdr>
          <w:bottom w:val="single" w:color="auto" w:sz="6" w:space="1"/>
        </w:pBdr>
        <w:spacing w:line="360" w:lineRule="auto"/>
        <w:ind w:firstLine="527" w:firstLineChars="250"/>
        <w:rPr>
          <w:rStyle w:val="32"/>
          <w:rFonts w:cs="宋体"/>
          <w:color w:val="auto"/>
          <w:szCs w:val="21"/>
          <w:highlight w:val="none"/>
        </w:rPr>
      </w:pPr>
      <w:r>
        <w:rPr>
          <w:rFonts w:hint="eastAsia" w:cs="宋体"/>
          <w:b/>
          <w:color w:val="auto"/>
          <w:szCs w:val="21"/>
          <w:highlight w:val="none"/>
        </w:rPr>
        <w:t>原文：</w:t>
      </w:r>
      <w:r>
        <w:rPr>
          <w:rStyle w:val="32"/>
          <w:rFonts w:hint="eastAsia" w:cs="宋体"/>
          <w:color w:val="auto"/>
          <w:szCs w:val="21"/>
          <w:highlight w:val="none"/>
        </w:rPr>
        <w:t>可选</w:t>
      </w:r>
      <w:r>
        <w:rPr>
          <w:rFonts w:hint="eastAsia" w:cs="宋体"/>
          <w:color w:val="auto"/>
          <w:szCs w:val="21"/>
          <w:highlight w:val="none"/>
        </w:rPr>
        <w:t>办法</w:t>
      </w:r>
      <w:r>
        <w:rPr>
          <w:rStyle w:val="32"/>
          <w:rFonts w:hint="eastAsia" w:cs="宋体"/>
          <w:color w:val="auto"/>
          <w:szCs w:val="21"/>
          <w:highlight w:val="none"/>
        </w:rPr>
        <w:t>一（适合</w:t>
      </w:r>
      <w:r>
        <w:rPr>
          <w:rStyle w:val="32"/>
          <w:rFonts w:hint="eastAsia" w:cs="宋体"/>
          <w:color w:val="auto"/>
          <w:kern w:val="0"/>
          <w:szCs w:val="21"/>
          <w:highlight w:val="none"/>
        </w:rPr>
        <w:t>综合评分法一</w:t>
      </w:r>
      <w:r>
        <w:rPr>
          <w:rStyle w:val="32"/>
          <w:rFonts w:hint="eastAsia" w:cs="宋体"/>
          <w:color w:val="auto"/>
          <w:szCs w:val="21"/>
          <w:highlight w:val="none"/>
        </w:rPr>
        <w:t>，技术标与经济标先后分别开启）</w:t>
      </w:r>
    </w:p>
    <w:p>
      <w:pPr>
        <w:pBdr>
          <w:bottom w:val="single" w:color="auto" w:sz="6" w:space="1"/>
        </w:pBdr>
        <w:spacing w:line="360" w:lineRule="auto"/>
        <w:ind w:firstLine="1155" w:firstLineChars="550"/>
        <w:rPr>
          <w:rStyle w:val="32"/>
          <w:rFonts w:cs="宋体"/>
          <w:color w:val="auto"/>
          <w:szCs w:val="21"/>
          <w:highlight w:val="none"/>
        </w:rPr>
      </w:pPr>
      <w:r>
        <w:rPr>
          <w:rStyle w:val="32"/>
          <w:rFonts w:hint="eastAsia" w:cs="宋体"/>
          <w:color w:val="auto"/>
          <w:szCs w:val="21"/>
          <w:highlight w:val="none"/>
        </w:rPr>
        <w:t>可选</w:t>
      </w:r>
      <w:r>
        <w:rPr>
          <w:rFonts w:hint="eastAsia" w:cs="宋体"/>
          <w:color w:val="auto"/>
          <w:szCs w:val="21"/>
          <w:highlight w:val="none"/>
        </w:rPr>
        <w:t>办法</w:t>
      </w:r>
      <w:r>
        <w:rPr>
          <w:rStyle w:val="32"/>
          <w:rFonts w:hint="eastAsia" w:cs="宋体"/>
          <w:color w:val="auto"/>
          <w:szCs w:val="21"/>
          <w:highlight w:val="none"/>
        </w:rPr>
        <w:t>二（适合综合评分法一，技术标与经济标同时开启）</w:t>
      </w:r>
    </w:p>
    <w:p>
      <w:pPr>
        <w:pBdr>
          <w:bottom w:val="single" w:color="auto" w:sz="6" w:space="1"/>
        </w:pBdr>
        <w:spacing w:line="360" w:lineRule="auto"/>
        <w:ind w:firstLine="1155" w:firstLineChars="550"/>
        <w:rPr>
          <w:rStyle w:val="32"/>
          <w:rFonts w:cs="宋体"/>
          <w:color w:val="auto"/>
          <w:szCs w:val="21"/>
          <w:highlight w:val="none"/>
        </w:rPr>
      </w:pPr>
      <w:r>
        <w:rPr>
          <w:rStyle w:val="32"/>
          <w:rFonts w:hint="eastAsia" w:cs="宋体"/>
          <w:color w:val="auto"/>
          <w:szCs w:val="21"/>
          <w:highlight w:val="none"/>
        </w:rPr>
        <w:t>可选办法三（适合综合评分法二，技术标与经济标先后分别开启）</w:t>
      </w:r>
    </w:p>
    <w:p>
      <w:pPr>
        <w:pBdr>
          <w:bottom w:val="single" w:color="auto" w:sz="6" w:space="1"/>
        </w:pBdr>
        <w:spacing w:line="360" w:lineRule="auto"/>
        <w:ind w:firstLine="1155" w:firstLineChars="550"/>
        <w:rPr>
          <w:rStyle w:val="32"/>
          <w:rFonts w:cs="宋体"/>
          <w:color w:val="auto"/>
          <w:szCs w:val="21"/>
          <w:highlight w:val="none"/>
        </w:rPr>
      </w:pPr>
      <w:r>
        <w:rPr>
          <w:rStyle w:val="32"/>
          <w:rFonts w:hint="eastAsia" w:cs="宋体"/>
          <w:color w:val="auto"/>
          <w:szCs w:val="21"/>
          <w:highlight w:val="none"/>
        </w:rPr>
        <w:t>可选办法四（适合综合评分法二，技术标与经济标同时开启）</w:t>
      </w:r>
    </w:p>
    <w:p>
      <w:pPr>
        <w:pBdr>
          <w:bottom w:val="single" w:color="auto" w:sz="6" w:space="1"/>
        </w:pBdr>
        <w:spacing w:line="360" w:lineRule="auto"/>
        <w:ind w:firstLine="1155" w:firstLineChars="550"/>
        <w:rPr>
          <w:rStyle w:val="32"/>
          <w:rFonts w:cs="宋体"/>
          <w:color w:val="auto"/>
          <w:szCs w:val="21"/>
          <w:highlight w:val="none"/>
        </w:rPr>
      </w:pPr>
      <w:r>
        <w:rPr>
          <w:rStyle w:val="32"/>
          <w:rFonts w:hint="eastAsia" w:cs="宋体"/>
          <w:color w:val="auto"/>
          <w:szCs w:val="21"/>
          <w:highlight w:val="none"/>
        </w:rPr>
        <w:t>可选办法五（适合综合评分法三，技术标与经济标先后分别开启）</w:t>
      </w:r>
    </w:p>
    <w:p>
      <w:pPr>
        <w:pBdr>
          <w:bottom w:val="single" w:color="auto" w:sz="6" w:space="1"/>
        </w:pBdr>
        <w:spacing w:line="360" w:lineRule="auto"/>
        <w:ind w:firstLine="1155" w:firstLineChars="550"/>
        <w:rPr>
          <w:rStyle w:val="32"/>
          <w:rFonts w:cs="宋体"/>
          <w:color w:val="auto"/>
          <w:szCs w:val="21"/>
          <w:highlight w:val="none"/>
        </w:rPr>
      </w:pPr>
      <w:r>
        <w:rPr>
          <w:rStyle w:val="32"/>
          <w:rFonts w:hint="eastAsia" w:cs="宋体"/>
          <w:color w:val="auto"/>
          <w:szCs w:val="21"/>
          <w:highlight w:val="none"/>
        </w:rPr>
        <w:t>可选办法六（适合综合评分法三，技术标与经济标同时开启）</w:t>
      </w:r>
    </w:p>
    <w:p>
      <w:pPr>
        <w:pBdr>
          <w:bottom w:val="single" w:color="auto" w:sz="6" w:space="1"/>
        </w:pBdr>
        <w:spacing w:line="360" w:lineRule="auto"/>
        <w:ind w:firstLine="1155" w:firstLineChars="550"/>
        <w:rPr>
          <w:rFonts w:hint="eastAsia" w:cs="宋体"/>
          <w:color w:val="auto"/>
          <w:szCs w:val="21"/>
          <w:highlight w:val="none"/>
        </w:rPr>
      </w:pPr>
      <w:r>
        <w:rPr>
          <w:rStyle w:val="32"/>
          <w:rFonts w:hint="eastAsia" w:cs="宋体"/>
          <w:color w:val="auto"/>
          <w:szCs w:val="21"/>
          <w:highlight w:val="none"/>
        </w:rPr>
        <w:t>可选办法八（适合经评审的最低投标价法，技术标与经济标同时开启）</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条款号：41.1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hint="eastAsia"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41.1 开标由招标人主持；</w:t>
      </w:r>
    </w:p>
    <w:p>
      <w:pPr>
        <w:pBdr>
          <w:bottom w:val="single" w:color="auto" w:sz="6" w:space="1"/>
        </w:pBdr>
        <w:spacing w:line="336" w:lineRule="auto"/>
        <w:ind w:firstLine="422" w:firstLineChars="200"/>
        <w:rPr>
          <w:rFonts w:hint="eastAsia"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 xml:space="preserve">41.1 </w:t>
      </w:r>
      <w:r>
        <w:rPr>
          <w:rFonts w:hint="eastAsia" w:cs="宋体"/>
          <w:color w:val="auto"/>
          <w:szCs w:val="21"/>
          <w:highlight w:val="none"/>
          <w:u w:val="single"/>
        </w:rPr>
        <w:t>开标由招标人或其委托的招标代理机构主持；</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条款号：41.2.1</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41.2.1投标截止期前，各投标人递交投标文件（包括技术标投标文件、经济标投标文件）至</w:t>
      </w:r>
      <w:r>
        <w:rPr>
          <w:rFonts w:hint="eastAsia" w:cs="宋体"/>
          <w:color w:val="auto"/>
          <w:szCs w:val="21"/>
          <w:highlight w:val="none"/>
          <w:u w:val="single"/>
        </w:rPr>
        <w:t xml:space="preserve">        </w:t>
      </w:r>
      <w:r>
        <w:rPr>
          <w:rFonts w:hint="eastAsia" w:cs="宋体"/>
          <w:color w:val="auto"/>
          <w:szCs w:val="21"/>
          <w:highlight w:val="none"/>
        </w:rPr>
        <w:t>交易平台。有关投标文件提交的事项详见第一章投标须知。</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现文：</w:t>
      </w:r>
      <w:r>
        <w:rPr>
          <w:rFonts w:hint="eastAsia" w:cs="宋体"/>
          <w:color w:val="auto"/>
          <w:szCs w:val="21"/>
          <w:highlight w:val="none"/>
        </w:rPr>
        <w:t>41.2.1投标截止期前，各投标人递交投标文件（包括技术标投标文件、经济标投标文件）至</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交易平台。有关投标文件提交的事项详见第一章投标须知。</w:t>
      </w:r>
    </w:p>
    <w:p>
      <w:pPr>
        <w:pStyle w:val="9"/>
        <w:tabs>
          <w:tab w:val="left" w:pos="5245"/>
        </w:tabs>
        <w:spacing w:line="360" w:lineRule="auto"/>
        <w:ind w:firstLine="422"/>
        <w:rPr>
          <w:rFonts w:hint="eastAsia" w:cs="宋体"/>
          <w:b/>
          <w:color w:val="auto"/>
          <w:szCs w:val="21"/>
          <w:highlight w:val="none"/>
        </w:rPr>
      </w:pPr>
      <w:r>
        <w:rPr>
          <w:rFonts w:hint="eastAsia" w:cs="宋体"/>
          <w:b/>
          <w:color w:val="auto"/>
          <w:szCs w:val="21"/>
          <w:highlight w:val="none"/>
        </w:rPr>
        <w:t>条款号：41.2.2</w:t>
      </w:r>
      <w:r>
        <w:rPr>
          <w:rFonts w:hint="eastAsia" w:cs="宋体"/>
          <w:b/>
          <w:color w:val="auto"/>
          <w:szCs w:val="21"/>
          <w:highlight w:val="none"/>
        </w:rPr>
        <w:tab/>
      </w:r>
      <w:r>
        <w:rPr>
          <w:rFonts w:hint="eastAsia" w:cs="宋体"/>
          <w:b/>
          <w:color w:val="auto"/>
          <w:szCs w:val="21"/>
          <w:highlight w:val="none"/>
        </w:rPr>
        <w:t>修改类型：删除</w:t>
      </w:r>
    </w:p>
    <w:p>
      <w:pPr>
        <w:pBdr>
          <w:bottom w:val="single" w:color="auto" w:sz="6" w:space="1"/>
        </w:pBdr>
        <w:spacing w:line="360" w:lineRule="auto"/>
        <w:ind w:firstLine="422" w:firstLineChars="200"/>
        <w:rPr>
          <w:rFonts w:hint="eastAsia" w:cs="宋体"/>
          <w:color w:val="auto"/>
          <w:szCs w:val="21"/>
          <w:highlight w:val="none"/>
        </w:rPr>
      </w:pPr>
      <w:r>
        <w:rPr>
          <w:rFonts w:hint="eastAsia" w:cs="宋体"/>
          <w:b/>
          <w:bCs/>
          <w:color w:val="auto"/>
          <w:szCs w:val="21"/>
          <w:highlight w:val="none"/>
        </w:rPr>
        <w:t>原文：</w:t>
      </w:r>
      <w:r>
        <w:rPr>
          <w:rFonts w:hint="eastAsia" w:cs="宋体"/>
          <w:color w:val="auto"/>
          <w:szCs w:val="21"/>
          <w:highlight w:val="none"/>
        </w:rPr>
        <w:t>41.2.2开标前，首先由招标人随机抽取确定该工程计算评标参考价的等分点值X。</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条款号：41.3</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bCs/>
          <w:color w:val="auto"/>
          <w:szCs w:val="21"/>
          <w:highlight w:val="none"/>
        </w:rPr>
        <w:t>原文：</w:t>
      </w:r>
      <w:r>
        <w:rPr>
          <w:rFonts w:hint="eastAsia" w:cs="宋体"/>
          <w:color w:val="auto"/>
          <w:szCs w:val="21"/>
          <w:highlight w:val="none"/>
        </w:rPr>
        <w:t>41.3招标人对开标过程进行记录，并存档备查，投标人在开标记录上签字。</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bCs/>
          <w:color w:val="auto"/>
          <w:szCs w:val="21"/>
          <w:highlight w:val="none"/>
        </w:rPr>
        <w:t>现文：</w:t>
      </w:r>
      <w:r>
        <w:rPr>
          <w:rFonts w:hint="eastAsia" w:cs="宋体"/>
          <w:color w:val="auto"/>
          <w:szCs w:val="21"/>
          <w:highlight w:val="none"/>
        </w:rPr>
        <w:t>41.3招标人</w:t>
      </w:r>
      <w:r>
        <w:rPr>
          <w:rFonts w:hint="eastAsia" w:cs="宋体"/>
          <w:color w:val="auto"/>
          <w:szCs w:val="21"/>
          <w:highlight w:val="none"/>
          <w:u w:val="single"/>
        </w:rPr>
        <w:t>或招标代理</w:t>
      </w:r>
      <w:r>
        <w:rPr>
          <w:rFonts w:hint="eastAsia" w:cs="宋体"/>
          <w:color w:val="auto"/>
          <w:szCs w:val="21"/>
          <w:highlight w:val="none"/>
        </w:rPr>
        <w:t>对开标过程进行记录，并存档备查，投标人在开标记录上签字，</w:t>
      </w:r>
      <w:r>
        <w:rPr>
          <w:rFonts w:hint="eastAsia" w:cs="宋体"/>
          <w:color w:val="auto"/>
          <w:szCs w:val="21"/>
          <w:highlight w:val="none"/>
          <w:u w:val="single"/>
        </w:rPr>
        <w:t>投标人未签字且未提出异议的将被视为默认开标结果</w:t>
      </w:r>
      <w:r>
        <w:rPr>
          <w:rFonts w:hint="eastAsia" w:cs="宋体"/>
          <w:color w:val="auto"/>
          <w:szCs w:val="21"/>
          <w:highlight w:val="none"/>
        </w:rPr>
        <w:t>。</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条款号：42.2</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42.2评标委员会的组成：方式</w:t>
      </w:r>
      <w:r>
        <w:rPr>
          <w:rFonts w:hint="eastAsia" w:cs="宋体"/>
          <w:color w:val="auto"/>
          <w:szCs w:val="21"/>
          <w:highlight w:val="none"/>
          <w:u w:val="single"/>
        </w:rPr>
        <w:t xml:space="preserve">      </w:t>
      </w:r>
      <w:r>
        <w:rPr>
          <w:rFonts w:hint="eastAsia" w:cs="宋体"/>
          <w:color w:val="auto"/>
          <w:szCs w:val="21"/>
          <w:highlight w:val="none"/>
        </w:rPr>
        <w:t>。</w:t>
      </w:r>
    </w:p>
    <w:p>
      <w:pPr>
        <w:pBdr>
          <w:bottom w:val="single" w:color="auto" w:sz="6" w:space="1"/>
        </w:pBdr>
        <w:spacing w:line="336" w:lineRule="auto"/>
        <w:ind w:firstLine="420" w:firstLineChars="200"/>
        <w:rPr>
          <w:rFonts w:hint="eastAsia" w:cs="宋体"/>
          <w:color w:val="auto"/>
          <w:szCs w:val="21"/>
          <w:highlight w:val="none"/>
        </w:rPr>
      </w:pPr>
      <w:r>
        <w:rPr>
          <w:rFonts w:hint="eastAsia" w:cs="宋体"/>
          <w:color w:val="auto"/>
          <w:szCs w:val="21"/>
          <w:highlight w:val="none"/>
        </w:rPr>
        <w:t>方式一：评标委员会为综合评标委员会，负责资格审查及评标工作。</w:t>
      </w:r>
    </w:p>
    <w:p>
      <w:pPr>
        <w:pBdr>
          <w:bottom w:val="single" w:color="auto" w:sz="6" w:space="1"/>
        </w:pBdr>
        <w:spacing w:line="336" w:lineRule="auto"/>
        <w:ind w:firstLine="420" w:firstLineChars="200"/>
        <w:rPr>
          <w:rFonts w:hint="eastAsia" w:cs="宋体"/>
          <w:b/>
          <w:color w:val="auto"/>
          <w:szCs w:val="21"/>
          <w:highlight w:val="none"/>
        </w:rPr>
      </w:pPr>
      <w:r>
        <w:rPr>
          <w:rFonts w:hint="eastAsia"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36" w:lineRule="auto"/>
        <w:ind w:firstLine="422" w:firstLineChars="200"/>
        <w:rPr>
          <w:rFonts w:hint="eastAsia" w:cs="宋体"/>
          <w:color w:val="auto"/>
          <w:szCs w:val="21"/>
          <w:highlight w:val="none"/>
        </w:rPr>
      </w:pPr>
      <w:r>
        <w:rPr>
          <w:rFonts w:hint="eastAsia" w:cs="宋体"/>
          <w:b/>
          <w:color w:val="auto"/>
          <w:szCs w:val="21"/>
          <w:highlight w:val="none"/>
        </w:rPr>
        <w:t>现文：</w:t>
      </w:r>
      <w:r>
        <w:rPr>
          <w:rFonts w:hint="eastAsia" w:cs="宋体"/>
          <w:color w:val="auto"/>
          <w:szCs w:val="21"/>
          <w:highlight w:val="none"/>
        </w:rPr>
        <w:t>42.2评标委员会的组成：方式</w:t>
      </w:r>
      <w:r>
        <w:rPr>
          <w:rFonts w:hint="eastAsia" w:cs="宋体"/>
          <w:color w:val="auto"/>
          <w:szCs w:val="21"/>
          <w:highlight w:val="none"/>
          <w:u w:val="single"/>
        </w:rPr>
        <w:t xml:space="preserve">  一  </w:t>
      </w:r>
      <w:r>
        <w:rPr>
          <w:rFonts w:hint="eastAsia" w:cs="宋体"/>
          <w:color w:val="auto"/>
          <w:szCs w:val="21"/>
          <w:highlight w:val="none"/>
        </w:rPr>
        <w:t>。</w:t>
      </w:r>
    </w:p>
    <w:p>
      <w:pPr>
        <w:pBdr>
          <w:bottom w:val="single" w:color="auto" w:sz="6" w:space="1"/>
        </w:pBdr>
        <w:spacing w:line="336" w:lineRule="auto"/>
        <w:ind w:firstLine="420" w:firstLineChars="200"/>
        <w:rPr>
          <w:rFonts w:hint="eastAsia" w:cs="宋体"/>
          <w:color w:val="auto"/>
          <w:szCs w:val="21"/>
          <w:highlight w:val="none"/>
        </w:rPr>
      </w:pPr>
      <w:r>
        <w:rPr>
          <w:rFonts w:hint="eastAsia" w:cs="宋体"/>
          <w:color w:val="auto"/>
          <w:szCs w:val="21"/>
          <w:highlight w:val="none"/>
        </w:rPr>
        <w:t>方式一：评标委员会为综合评标委员会，负责资格审查及评标工作。</w:t>
      </w:r>
    </w:p>
    <w:p>
      <w:pPr>
        <w:pStyle w:val="9"/>
        <w:tabs>
          <w:tab w:val="left" w:pos="5245"/>
        </w:tabs>
        <w:spacing w:line="360" w:lineRule="auto"/>
        <w:ind w:firstLine="422"/>
        <w:rPr>
          <w:rFonts w:hint="eastAsia" w:cs="宋体"/>
          <w:b/>
          <w:color w:val="auto"/>
          <w:szCs w:val="21"/>
          <w:highlight w:val="none"/>
        </w:rPr>
      </w:pPr>
      <w:r>
        <w:rPr>
          <w:rFonts w:hint="eastAsia" w:cs="宋体"/>
          <w:b/>
          <w:color w:val="auto"/>
          <w:szCs w:val="21"/>
          <w:highlight w:val="none"/>
        </w:rPr>
        <w:t>条款号：43.1</w:t>
      </w:r>
      <w:r>
        <w:rPr>
          <w:rFonts w:hint="eastAsia" w:cs="宋体"/>
          <w:b/>
          <w:color w:val="auto"/>
          <w:szCs w:val="21"/>
          <w:highlight w:val="none"/>
        </w:rPr>
        <w:tab/>
      </w:r>
      <w:r>
        <w:rPr>
          <w:rFonts w:hint="eastAsia" w:cs="宋体"/>
          <w:b/>
          <w:color w:val="auto"/>
          <w:szCs w:val="21"/>
          <w:highlight w:val="none"/>
        </w:rPr>
        <w:t>修改类型：修改</w:t>
      </w:r>
    </w:p>
    <w:p>
      <w:pPr>
        <w:spacing w:line="360" w:lineRule="auto"/>
        <w:ind w:firstLine="422" w:firstLineChars="200"/>
        <w:rPr>
          <w:rFonts w:hint="eastAsia" w:cs="宋体"/>
          <w:color w:val="auto"/>
          <w:szCs w:val="21"/>
          <w:highlight w:val="none"/>
        </w:rPr>
      </w:pPr>
      <w:r>
        <w:rPr>
          <w:rFonts w:hint="eastAsia" w:cs="宋体"/>
          <w:b/>
          <w:color w:val="auto"/>
          <w:szCs w:val="21"/>
          <w:highlight w:val="none"/>
        </w:rPr>
        <w:t>原文：</w:t>
      </w:r>
      <w:r>
        <w:rPr>
          <w:rFonts w:hint="eastAsia"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hint="eastAsia" w:cs="宋体"/>
          <w:color w:val="auto"/>
          <w:szCs w:val="21"/>
          <w:highlight w:val="none"/>
        </w:rPr>
      </w:pPr>
      <w:r>
        <w:rPr>
          <w:rFonts w:hint="eastAsia" w:cs="宋体"/>
          <w:b/>
          <w:color w:val="auto"/>
          <w:szCs w:val="21"/>
          <w:highlight w:val="none"/>
        </w:rPr>
        <w:t>现文：</w:t>
      </w:r>
      <w:r>
        <w:rPr>
          <w:rFonts w:hint="eastAsia"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9"/>
        <w:tabs>
          <w:tab w:val="left" w:pos="5245"/>
        </w:tabs>
        <w:spacing w:line="360" w:lineRule="auto"/>
        <w:ind w:firstLine="422"/>
        <w:rPr>
          <w:b/>
          <w:color w:val="auto"/>
          <w:szCs w:val="21"/>
          <w:highlight w:val="none"/>
        </w:rPr>
      </w:pPr>
      <w:r>
        <w:rPr>
          <w:rFonts w:hint="eastAsia"/>
          <w:b/>
          <w:color w:val="auto"/>
          <w:szCs w:val="21"/>
          <w:highlight w:val="none"/>
        </w:rPr>
        <w:t>条款号：43.6</w:t>
      </w:r>
      <w:r>
        <w:rPr>
          <w:rFonts w:hint="eastAsia" w:cs="宋体"/>
          <w:b/>
          <w:color w:val="auto"/>
          <w:szCs w:val="21"/>
          <w:highlight w:val="none"/>
        </w:rPr>
        <w:tab/>
      </w:r>
      <w:r>
        <w:rPr>
          <w:rFonts w:hint="eastAsia"/>
          <w:b/>
          <w:color w:val="auto"/>
          <w:szCs w:val="21"/>
          <w:highlight w:val="none"/>
        </w:rPr>
        <w:t>修改类型：</w:t>
      </w:r>
      <w:r>
        <w:rPr>
          <w:rFonts w:hint="eastAsia" w:cs="宋体"/>
          <w:b/>
          <w:color w:val="auto"/>
          <w:szCs w:val="21"/>
          <w:highlight w:val="none"/>
        </w:rPr>
        <w:t>修改</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43.6</w:t>
      </w:r>
      <w:r>
        <w:rPr>
          <w:color w:val="auto"/>
          <w:szCs w:val="21"/>
          <w:highlight w:val="none"/>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22" w:firstLineChars="200"/>
        <w:rPr>
          <w:rFonts w:cs="宋体"/>
          <w:b/>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43.6</w:t>
      </w:r>
      <w:r>
        <w:rPr>
          <w:color w:val="auto"/>
          <w:szCs w:val="21"/>
          <w:highlight w:val="none"/>
        </w:rPr>
        <w:t>资格审查合格的投标人少于3名的，则本项目招标失败。</w:t>
      </w:r>
    </w:p>
    <w:p>
      <w:pPr>
        <w:pStyle w:val="9"/>
        <w:tabs>
          <w:tab w:val="left" w:pos="5245"/>
        </w:tabs>
        <w:spacing w:line="360" w:lineRule="auto"/>
        <w:ind w:firstLine="422"/>
        <w:rPr>
          <w:b/>
          <w:color w:val="auto"/>
          <w:szCs w:val="21"/>
          <w:highlight w:val="none"/>
        </w:rPr>
      </w:pPr>
      <w:r>
        <w:rPr>
          <w:rFonts w:hint="eastAsia"/>
          <w:b/>
          <w:color w:val="auto"/>
          <w:szCs w:val="21"/>
          <w:highlight w:val="none"/>
        </w:rPr>
        <w:t>条款号：44.1</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rFonts w:hint="eastAsia"/>
          <w:color w:val="auto"/>
          <w:szCs w:val="21"/>
          <w:highlight w:val="none"/>
        </w:rPr>
      </w:pPr>
      <w:r>
        <w:rPr>
          <w:rFonts w:hint="eastAsia"/>
          <w:b/>
          <w:color w:val="auto"/>
          <w:szCs w:val="21"/>
          <w:highlight w:val="none"/>
        </w:rPr>
        <w:t>原文：</w:t>
      </w:r>
      <w:r>
        <w:rPr>
          <w:rFonts w:hint="eastAsia"/>
          <w:color w:val="auto"/>
          <w:szCs w:val="21"/>
          <w:highlight w:val="none"/>
        </w:rPr>
        <w:t xml:space="preserve">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 </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r>
        <w:rPr>
          <w:color w:val="auto"/>
          <w:szCs w:val="21"/>
          <w:highlight w:val="none"/>
        </w:rPr>
        <w:t>。</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条款号：45.2</w:t>
      </w:r>
      <w:r>
        <w:rPr>
          <w:rFonts w:hint="eastAsia" w:cs="宋体"/>
          <w:b/>
          <w:color w:val="auto"/>
          <w:szCs w:val="21"/>
          <w:highlight w:val="none"/>
        </w:rPr>
        <w:tab/>
      </w:r>
      <w:r>
        <w:rPr>
          <w:rFonts w:hint="eastAsia" w:cs="宋体"/>
          <w:b/>
          <w:color w:val="auto"/>
          <w:szCs w:val="21"/>
          <w:highlight w:val="none"/>
        </w:rPr>
        <w:t>修改类型：修改</w:t>
      </w:r>
    </w:p>
    <w:p>
      <w:pPr>
        <w:spacing w:line="336" w:lineRule="auto"/>
        <w:ind w:firstLine="472" w:firstLineChars="224"/>
        <w:rPr>
          <w:rFonts w:hint="eastAsia" w:cs="宋体"/>
          <w:color w:val="auto"/>
          <w:spacing w:val="2"/>
          <w:szCs w:val="21"/>
          <w:highlight w:val="none"/>
        </w:rPr>
      </w:pPr>
      <w:r>
        <w:rPr>
          <w:rFonts w:hint="eastAsia" w:cs="宋体"/>
          <w:b/>
          <w:color w:val="auto"/>
          <w:szCs w:val="21"/>
          <w:highlight w:val="none"/>
        </w:rPr>
        <w:t>原文</w:t>
      </w:r>
      <w:r>
        <w:rPr>
          <w:rFonts w:hint="eastAsia" w:cs="宋体"/>
          <w:b/>
          <w:color w:val="auto"/>
          <w:spacing w:val="2"/>
          <w:szCs w:val="21"/>
          <w:highlight w:val="none"/>
        </w:rPr>
        <w:t>：</w:t>
      </w:r>
      <w:r>
        <w:rPr>
          <w:rFonts w:hint="eastAsia" w:cs="宋体"/>
          <w:color w:val="auto"/>
          <w:spacing w:val="2"/>
          <w:szCs w:val="21"/>
          <w:highlight w:val="none"/>
        </w:rPr>
        <w:t>45.2按方法</w:t>
      </w:r>
      <w:r>
        <w:rPr>
          <w:rFonts w:hint="eastAsia" w:cs="宋体"/>
          <w:color w:val="auto"/>
          <w:spacing w:val="2"/>
          <w:szCs w:val="21"/>
          <w:highlight w:val="none"/>
          <w:u w:val="single"/>
        </w:rPr>
        <w:t xml:space="preserve">    </w:t>
      </w:r>
      <w:r>
        <w:rPr>
          <w:rFonts w:hint="eastAsia" w:cs="宋体"/>
          <w:color w:val="auto"/>
          <w:spacing w:val="2"/>
          <w:szCs w:val="21"/>
          <w:highlight w:val="none"/>
        </w:rPr>
        <w:t>计算</w:t>
      </w:r>
      <w:r>
        <w:rPr>
          <w:rFonts w:hint="eastAsia" w:cs="宋体"/>
          <w:color w:val="auto"/>
          <w:szCs w:val="21"/>
          <w:highlight w:val="none"/>
        </w:rPr>
        <w:t>评标</w:t>
      </w:r>
      <w:r>
        <w:rPr>
          <w:rFonts w:hint="eastAsia" w:cs="宋体"/>
          <w:color w:val="auto"/>
          <w:spacing w:val="2"/>
          <w:szCs w:val="21"/>
          <w:highlight w:val="none"/>
        </w:rPr>
        <w:t>参考价：</w:t>
      </w:r>
    </w:p>
    <w:p>
      <w:pPr>
        <w:widowControl/>
        <w:spacing w:line="336" w:lineRule="auto"/>
        <w:ind w:firstLine="422" w:firstLineChars="200"/>
        <w:rPr>
          <w:b/>
          <w:bCs/>
          <w:color w:val="auto"/>
          <w:kern w:val="0"/>
          <w:szCs w:val="21"/>
          <w:highlight w:val="none"/>
        </w:rPr>
      </w:pPr>
      <w:r>
        <w:rPr>
          <w:rFonts w:hint="eastAsia" w:cs="仿宋"/>
          <w:b/>
          <w:bCs/>
          <w:color w:val="auto"/>
          <w:kern w:val="0"/>
          <w:szCs w:val="21"/>
          <w:highlight w:val="none"/>
        </w:rPr>
        <w:t>方法一：加权平均法</w:t>
      </w:r>
    </w:p>
    <w:p>
      <w:pPr>
        <w:spacing w:line="336" w:lineRule="auto"/>
        <w:ind w:firstLine="420" w:firstLineChars="200"/>
        <w:rPr>
          <w:rFonts w:cs="仿宋"/>
          <w:color w:val="auto"/>
          <w:szCs w:val="21"/>
          <w:highlight w:val="none"/>
        </w:rPr>
      </w:pPr>
      <w:r>
        <w:rPr>
          <w:rFonts w:hint="eastAsia" w:cs="仿宋"/>
          <w:color w:val="auto"/>
          <w:szCs w:val="21"/>
          <w:highlight w:val="none"/>
        </w:rPr>
        <w:t>技术标或技术标加诚信得分（具体由招标人自定）前</w:t>
      </w:r>
      <w:r>
        <w:rPr>
          <w:rFonts w:cs="仿宋"/>
          <w:color w:val="auto"/>
          <w:szCs w:val="21"/>
          <w:highlight w:val="none"/>
        </w:rPr>
        <w:t>N</w:t>
      </w:r>
      <w:r>
        <w:rPr>
          <w:rFonts w:hint="eastAsia" w:cs="仿宋"/>
          <w:color w:val="auto"/>
          <w:szCs w:val="21"/>
          <w:highlight w:val="none"/>
        </w:rPr>
        <w:t>名（N≥5，具体由招标人自定）的经济报价加权平均，计算评标参考价。公式如下：</w:t>
      </w:r>
    </w:p>
    <w:p>
      <w:pPr>
        <w:spacing w:line="336" w:lineRule="auto"/>
        <w:ind w:firstLine="420" w:firstLineChars="200"/>
        <w:rPr>
          <w:rFonts w:cs="仿宋"/>
          <w:color w:val="auto"/>
          <w:szCs w:val="21"/>
          <w:highlight w:val="none"/>
        </w:rPr>
      </w:pPr>
      <w:r>
        <w:rPr>
          <w:rFonts w:hint="eastAsia" w:cs="仿宋"/>
          <w:color w:val="auto"/>
          <w:szCs w:val="21"/>
          <w:highlight w:val="none"/>
        </w:rPr>
        <w:t>评标参考价</w:t>
      </w:r>
      <w:r>
        <w:rPr>
          <w:rFonts w:cs="仿宋"/>
          <w:color w:val="auto"/>
          <w:szCs w:val="21"/>
          <w:highlight w:val="none"/>
        </w:rPr>
        <w:t>=</w:t>
      </w:r>
      <w:r>
        <w:rPr>
          <w:rFonts w:hint="eastAsia" w:cs="仿宋"/>
          <w:color w:val="auto"/>
          <w:szCs w:val="21"/>
          <w:highlight w:val="none"/>
        </w:rPr>
        <w:t>Σ（投标人的投标报价</w:t>
      </w:r>
      <w:r>
        <w:rPr>
          <w:rFonts w:cs="仿宋"/>
          <w:color w:val="auto"/>
          <w:szCs w:val="21"/>
          <w:highlight w:val="none"/>
        </w:rPr>
        <w:t>*</w:t>
      </w:r>
      <w:r>
        <w:rPr>
          <w:rFonts w:hint="eastAsia" w:cs="仿宋"/>
          <w:color w:val="auto"/>
          <w:szCs w:val="21"/>
          <w:highlight w:val="none"/>
        </w:rPr>
        <w:t>报价权重）。</w:t>
      </w:r>
    </w:p>
    <w:p>
      <w:pPr>
        <w:spacing w:line="336" w:lineRule="auto"/>
        <w:ind w:firstLine="420" w:firstLineChars="200"/>
        <w:rPr>
          <w:rFonts w:cs="仿宋"/>
          <w:color w:val="auto"/>
          <w:szCs w:val="21"/>
          <w:highlight w:val="none"/>
        </w:rPr>
      </w:pPr>
      <w:r>
        <w:rPr>
          <w:rFonts w:hint="eastAsia" w:cs="仿宋"/>
          <w:color w:val="auto"/>
          <w:szCs w:val="21"/>
          <w:highlight w:val="none"/>
        </w:rPr>
        <w:t>其中：报价权重的计算方法为：将</w:t>
      </w:r>
      <w:r>
        <w:rPr>
          <w:rFonts w:cs="仿宋"/>
          <w:color w:val="auto"/>
          <w:szCs w:val="21"/>
          <w:highlight w:val="none"/>
        </w:rPr>
        <w:t>N</w:t>
      </w:r>
      <w:r>
        <w:rPr>
          <w:rFonts w:hint="eastAsia" w:cs="仿宋"/>
          <w:color w:val="auto"/>
          <w:szCs w:val="21"/>
          <w:highlight w:val="none"/>
        </w:rPr>
        <w:t>名投标人按技术分由高至低进行排序，</w:t>
      </w:r>
      <w:r>
        <w:rPr>
          <w:rFonts w:hint="eastAsia" w:cs="宋体"/>
          <w:color w:val="auto"/>
          <w:szCs w:val="21"/>
          <w:highlight w:val="none"/>
        </w:rPr>
        <w:t>第一名投标人的权重为（</w:t>
      </w:r>
      <w:r>
        <w:rPr>
          <w:rFonts w:hint="eastAsia" w:cs="宋体"/>
          <w:color w:val="auto"/>
          <w:spacing w:val="-4"/>
          <w:highlight w:val="none"/>
        </w:rPr>
        <w:pict>
          <v:shape id="_x0000_i1025" o:spt="75" type="#_x0000_t75" style="height:22.5pt;width:18.75pt;" filled="f" o:preferrelative="t" stroked="f" coordsize="21600,21600">
            <v:path/>
            <v:fill on="f" focussize="0,0"/>
            <v:stroke on="f"/>
            <v:imagedata r:id="rId26" chromakey="#FFFFFF" o:title=""/>
            <o:lock v:ext="edit" aspectratio="t"/>
            <w10:wrap type="none"/>
            <w10:anchorlock/>
          </v:shape>
        </w:pict>
      </w:r>
      <w:r>
        <w:rPr>
          <w:rFonts w:hint="eastAsia" w:cs="宋体"/>
          <w:color w:val="auto"/>
          <w:szCs w:val="21"/>
          <w:highlight w:val="none"/>
        </w:rPr>
        <w:t>），第二名投标人的权重为（</w:t>
      </w:r>
      <w:r>
        <w:rPr>
          <w:rFonts w:hint="eastAsia" w:cs="宋体"/>
          <w:color w:val="auto"/>
          <w:spacing w:val="-4"/>
          <w:highlight w:val="none"/>
        </w:rPr>
        <w:pict>
          <v:shape id="_x0000_i1026" o:spt="75" type="#_x0000_t75" style="height:22.5pt;width:18pt;" filled="f" o:preferrelative="t" stroked="f" coordsize="21600,21600">
            <v:path/>
            <v:fill on="f" focussize="0,0"/>
            <v:stroke on="f"/>
            <v:imagedata r:id="rId27" chromakey="#FFFFFF" o:title=""/>
            <o:lock v:ext="edit" aspectratio="t"/>
            <w10:wrap type="none"/>
            <w10:anchorlock/>
          </v:shape>
        </w:pict>
      </w:r>
      <w:r>
        <w:rPr>
          <w:rFonts w:hint="eastAsia" w:cs="宋体"/>
          <w:color w:val="auto"/>
          <w:szCs w:val="21"/>
          <w:highlight w:val="none"/>
        </w:rPr>
        <w:t>），以此类推，最后一名投标人的权重为（</w:t>
      </w:r>
      <w:r>
        <w:rPr>
          <w:rFonts w:hint="eastAsia" w:cs="宋体"/>
          <w:color w:val="auto"/>
          <w:spacing w:val="-4"/>
          <w:highlight w:val="none"/>
        </w:rPr>
        <w:pict>
          <v:shape id="_x0000_i1027" o:spt="75" type="#_x0000_t75" style="height:22.5pt;width:18pt;" filled="f" o:preferrelative="t" stroked="f" coordsize="21600,21600">
            <v:path/>
            <v:fill on="f" focussize="0,0"/>
            <v:stroke on="f"/>
            <v:imagedata r:id="rId28" chromakey="#FFFFFF" o:title=""/>
            <o:lock v:ext="edit" aspectratio="t"/>
            <w10:wrap type="none"/>
            <w10:anchorlock/>
          </v:shape>
        </w:pict>
      </w:r>
      <w:r>
        <w:rPr>
          <w:rFonts w:hint="eastAsia" w:cs="宋体"/>
          <w:color w:val="auto"/>
          <w:szCs w:val="21"/>
          <w:highlight w:val="none"/>
        </w:rPr>
        <w:t>）</w:t>
      </w:r>
      <w:r>
        <w:rPr>
          <w:rFonts w:hint="eastAsia" w:cs="仿宋"/>
          <w:color w:val="auto"/>
          <w:szCs w:val="21"/>
          <w:highlight w:val="none"/>
        </w:rPr>
        <w:t>。</w:t>
      </w:r>
    </w:p>
    <w:p>
      <w:pPr>
        <w:widowControl/>
        <w:spacing w:line="336" w:lineRule="auto"/>
        <w:ind w:firstLine="422" w:firstLineChars="200"/>
        <w:rPr>
          <w:b/>
          <w:bCs/>
          <w:color w:val="auto"/>
          <w:kern w:val="0"/>
          <w:szCs w:val="21"/>
          <w:highlight w:val="none"/>
        </w:rPr>
      </w:pPr>
      <w:r>
        <w:rPr>
          <w:rFonts w:hint="eastAsia" w:cs="仿宋"/>
          <w:b/>
          <w:bCs/>
          <w:color w:val="auto"/>
          <w:kern w:val="0"/>
          <w:szCs w:val="21"/>
          <w:highlight w:val="none"/>
        </w:rPr>
        <w:t>方法二：区间抽取法</w:t>
      </w:r>
    </w:p>
    <w:p>
      <w:pPr>
        <w:widowControl/>
        <w:spacing w:line="336" w:lineRule="auto"/>
        <w:ind w:firstLine="420" w:firstLineChars="200"/>
        <w:rPr>
          <w:color w:val="auto"/>
          <w:kern w:val="0"/>
          <w:szCs w:val="21"/>
          <w:highlight w:val="none"/>
        </w:rPr>
      </w:pPr>
      <w:r>
        <w:rPr>
          <w:rFonts w:hint="eastAsia"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36" w:lineRule="auto"/>
        <w:ind w:firstLine="420" w:firstLineChars="200"/>
        <w:rPr>
          <w:color w:val="auto"/>
          <w:kern w:val="0"/>
          <w:szCs w:val="21"/>
          <w:highlight w:val="none"/>
          <w:vertAlign w:val="subscript"/>
        </w:rPr>
      </w:pPr>
      <w:r>
        <w:rPr>
          <w:rFonts w:hint="eastAsia" w:cs="仿宋"/>
          <w:color w:val="auto"/>
          <w:kern w:val="0"/>
          <w:szCs w:val="21"/>
          <w:highlight w:val="none"/>
        </w:rPr>
        <w:t>评标参考价</w:t>
      </w:r>
      <w:r>
        <w:rPr>
          <w:rFonts w:cs="仿宋"/>
          <w:color w:val="auto"/>
          <w:kern w:val="0"/>
          <w:szCs w:val="21"/>
          <w:highlight w:val="none"/>
        </w:rPr>
        <w:t>=</w:t>
      </w:r>
      <w:r>
        <w:rPr>
          <w:rFonts w:hint="eastAsia" w:cs="仿宋"/>
          <w:color w:val="auto"/>
          <w:kern w:val="0"/>
          <w:szCs w:val="21"/>
          <w:highlight w:val="none"/>
        </w:rPr>
        <w:t>（</w:t>
      </w:r>
      <w:r>
        <w:rPr>
          <w:rFonts w:cs="仿宋"/>
          <w:color w:val="auto"/>
          <w:kern w:val="0"/>
          <w:szCs w:val="21"/>
          <w:highlight w:val="none"/>
        </w:rPr>
        <w:t>Q</w:t>
      </w:r>
      <w:r>
        <w:rPr>
          <w:rFonts w:hint="eastAsia" w:cs="仿宋"/>
          <w:color w:val="auto"/>
          <w:kern w:val="0"/>
          <w:szCs w:val="21"/>
          <w:highlight w:val="none"/>
          <w:vertAlign w:val="subscript"/>
        </w:rPr>
        <w:t>高</w:t>
      </w:r>
      <w:r>
        <w:rPr>
          <w:rFonts w:cs="仿宋"/>
          <w:color w:val="auto"/>
          <w:kern w:val="0"/>
          <w:szCs w:val="21"/>
          <w:highlight w:val="none"/>
        </w:rPr>
        <w:t>-Q</w:t>
      </w:r>
      <w:r>
        <w:rPr>
          <w:rFonts w:hint="eastAsia" w:cs="仿宋"/>
          <w:color w:val="auto"/>
          <w:kern w:val="0"/>
          <w:szCs w:val="21"/>
          <w:highlight w:val="none"/>
          <w:vertAlign w:val="subscript"/>
        </w:rPr>
        <w:t>低</w:t>
      </w:r>
      <w:r>
        <w:rPr>
          <w:rFonts w:hint="eastAsia" w:cs="仿宋"/>
          <w:color w:val="auto"/>
          <w:kern w:val="0"/>
          <w:szCs w:val="21"/>
          <w:highlight w:val="none"/>
        </w:rPr>
        <w:t>）</w:t>
      </w:r>
      <w:r>
        <w:rPr>
          <w:rFonts w:cs="仿宋"/>
          <w:color w:val="auto"/>
          <w:kern w:val="0"/>
          <w:szCs w:val="21"/>
          <w:highlight w:val="none"/>
        </w:rPr>
        <w:t>/100*</w:t>
      </w:r>
      <w:r>
        <w:rPr>
          <w:rFonts w:hint="eastAsia" w:cs="仿宋"/>
          <w:color w:val="auto"/>
          <w:kern w:val="0"/>
          <w:szCs w:val="21"/>
          <w:highlight w:val="none"/>
        </w:rPr>
        <w:t>Ｘ</w:t>
      </w:r>
      <w:r>
        <w:rPr>
          <w:rFonts w:cs="仿宋"/>
          <w:color w:val="auto"/>
          <w:kern w:val="0"/>
          <w:szCs w:val="21"/>
          <w:highlight w:val="none"/>
        </w:rPr>
        <w:t>+Q</w:t>
      </w:r>
      <w:r>
        <w:rPr>
          <w:rFonts w:hint="eastAsia" w:cs="仿宋"/>
          <w:color w:val="auto"/>
          <w:kern w:val="0"/>
          <w:szCs w:val="21"/>
          <w:highlight w:val="none"/>
          <w:vertAlign w:val="subscript"/>
        </w:rPr>
        <w:t>低</w:t>
      </w:r>
    </w:p>
    <w:p>
      <w:pPr>
        <w:widowControl/>
        <w:spacing w:line="336" w:lineRule="auto"/>
        <w:ind w:firstLine="420" w:firstLineChars="200"/>
        <w:rPr>
          <w:color w:val="auto"/>
          <w:szCs w:val="21"/>
          <w:highlight w:val="none"/>
        </w:rPr>
      </w:pPr>
      <w:r>
        <w:rPr>
          <w:rFonts w:cs="仿宋"/>
          <w:color w:val="auto"/>
          <w:szCs w:val="21"/>
          <w:highlight w:val="none"/>
        </w:rPr>
        <w:t>Q</w:t>
      </w:r>
      <w:r>
        <w:rPr>
          <w:rFonts w:hint="eastAsia" w:cs="仿宋"/>
          <w:color w:val="auto"/>
          <w:szCs w:val="21"/>
          <w:highlight w:val="none"/>
          <w:vertAlign w:val="subscript"/>
        </w:rPr>
        <w:t>低</w:t>
      </w:r>
      <w:r>
        <w:rPr>
          <w:rFonts w:hint="eastAsia" w:cs="仿宋"/>
          <w:color w:val="auto"/>
          <w:szCs w:val="21"/>
          <w:highlight w:val="none"/>
        </w:rPr>
        <w:t>：为达到或超过技术标及格分数线的投标人最低报价与工程成本警示价两者中的较高值；</w:t>
      </w:r>
    </w:p>
    <w:p>
      <w:pPr>
        <w:spacing w:line="336" w:lineRule="auto"/>
        <w:ind w:firstLine="420" w:firstLineChars="200"/>
        <w:rPr>
          <w:rFonts w:cs="仿宋"/>
          <w:color w:val="auto"/>
          <w:szCs w:val="21"/>
          <w:highlight w:val="none"/>
        </w:rPr>
      </w:pPr>
      <w:r>
        <w:rPr>
          <w:rFonts w:cs="仿宋"/>
          <w:color w:val="auto"/>
          <w:kern w:val="0"/>
          <w:szCs w:val="21"/>
          <w:highlight w:val="none"/>
        </w:rPr>
        <w:t>Q</w:t>
      </w:r>
      <w:r>
        <w:rPr>
          <w:rFonts w:hint="eastAsia" w:cs="仿宋"/>
          <w:color w:val="auto"/>
          <w:kern w:val="0"/>
          <w:szCs w:val="21"/>
          <w:highlight w:val="none"/>
          <w:vertAlign w:val="subscript"/>
        </w:rPr>
        <w:t>高</w:t>
      </w:r>
      <w:r>
        <w:rPr>
          <w:rFonts w:hint="eastAsia" w:cs="仿宋"/>
          <w:color w:val="auto"/>
          <w:szCs w:val="21"/>
          <w:highlight w:val="none"/>
        </w:rPr>
        <w:t>：为最高投标限价</w:t>
      </w:r>
    </w:p>
    <w:p>
      <w:pPr>
        <w:spacing w:line="336" w:lineRule="auto"/>
        <w:ind w:firstLine="420" w:firstLineChars="200"/>
        <w:rPr>
          <w:color w:val="auto"/>
          <w:szCs w:val="21"/>
          <w:highlight w:val="none"/>
        </w:rPr>
      </w:pPr>
      <w:r>
        <w:rPr>
          <w:rFonts w:cs="仿宋"/>
          <w:color w:val="auto"/>
          <w:szCs w:val="21"/>
          <w:highlight w:val="none"/>
        </w:rPr>
        <w:t>X:</w:t>
      </w:r>
      <w:r>
        <w:rPr>
          <w:rFonts w:hint="eastAsia" w:cs="仿宋"/>
          <w:color w:val="auto"/>
          <w:szCs w:val="21"/>
          <w:highlight w:val="none"/>
        </w:rPr>
        <w:t>为等分点值，在开标前从</w:t>
      </w:r>
      <w:r>
        <w:rPr>
          <w:rFonts w:cs="仿宋"/>
          <w:color w:val="auto"/>
          <w:szCs w:val="21"/>
          <w:highlight w:val="none"/>
        </w:rPr>
        <w:t>[0,100]</w:t>
      </w:r>
      <w:r>
        <w:rPr>
          <w:rFonts w:hint="eastAsia" w:cs="仿宋"/>
          <w:color w:val="auto"/>
          <w:szCs w:val="21"/>
          <w:highlight w:val="none"/>
        </w:rPr>
        <w:t>整数中随机抽取</w:t>
      </w:r>
    </w:p>
    <w:p>
      <w:pPr>
        <w:pBdr>
          <w:bottom w:val="single" w:color="auto" w:sz="6" w:space="1"/>
        </w:pBdr>
        <w:spacing w:line="336" w:lineRule="auto"/>
        <w:ind w:firstLine="430" w:firstLineChars="200"/>
        <w:rPr>
          <w:rFonts w:hint="eastAsia" w:cs="宋体"/>
          <w:color w:val="auto"/>
          <w:spacing w:val="2"/>
          <w:szCs w:val="21"/>
          <w:highlight w:val="none"/>
        </w:rPr>
      </w:pPr>
      <w:r>
        <w:rPr>
          <w:rFonts w:hint="eastAsia" w:cs="宋体"/>
          <w:b/>
          <w:color w:val="auto"/>
          <w:spacing w:val="2"/>
          <w:szCs w:val="21"/>
          <w:highlight w:val="none"/>
        </w:rPr>
        <w:t>现文：</w:t>
      </w:r>
      <w:r>
        <w:rPr>
          <w:rFonts w:hint="eastAsia" w:cs="宋体"/>
          <w:color w:val="auto"/>
          <w:spacing w:val="2"/>
          <w:szCs w:val="21"/>
          <w:highlight w:val="none"/>
        </w:rPr>
        <w:t>45.2按方法</w:t>
      </w:r>
      <w:r>
        <w:rPr>
          <w:rFonts w:hint="eastAsia" w:cs="宋体"/>
          <w:color w:val="auto"/>
          <w:spacing w:val="2"/>
          <w:szCs w:val="21"/>
          <w:highlight w:val="none"/>
          <w:u w:val="single"/>
        </w:rPr>
        <w:t xml:space="preserve"> 一 </w:t>
      </w:r>
      <w:r>
        <w:rPr>
          <w:rFonts w:hint="eastAsia" w:cs="宋体"/>
          <w:color w:val="auto"/>
          <w:spacing w:val="2"/>
          <w:szCs w:val="21"/>
          <w:highlight w:val="none"/>
        </w:rPr>
        <w:t>计算评标参考价：</w:t>
      </w:r>
    </w:p>
    <w:p>
      <w:pPr>
        <w:pBdr>
          <w:bottom w:val="single" w:color="auto" w:sz="6" w:space="1"/>
        </w:pBdr>
        <w:spacing w:line="336" w:lineRule="auto"/>
        <w:ind w:firstLine="422" w:firstLineChars="200"/>
        <w:rPr>
          <w:rFonts w:hint="eastAsia" w:cs="宋体"/>
          <w:b/>
          <w:color w:val="auto"/>
          <w:szCs w:val="21"/>
          <w:highlight w:val="none"/>
        </w:rPr>
      </w:pPr>
      <w:r>
        <w:rPr>
          <w:rFonts w:hint="eastAsia" w:cs="宋体"/>
          <w:b/>
          <w:color w:val="auto"/>
          <w:szCs w:val="21"/>
          <w:highlight w:val="none"/>
        </w:rPr>
        <w:t>方法一：加权平均法</w:t>
      </w:r>
    </w:p>
    <w:p>
      <w:pPr>
        <w:pBdr>
          <w:bottom w:val="single" w:color="auto" w:sz="6" w:space="1"/>
        </w:pBdr>
        <w:spacing w:line="336" w:lineRule="auto"/>
        <w:ind w:firstLine="420" w:firstLineChars="200"/>
        <w:rPr>
          <w:rFonts w:hint="eastAsia" w:cs="宋体"/>
          <w:color w:val="auto"/>
          <w:szCs w:val="21"/>
          <w:highlight w:val="none"/>
        </w:rPr>
      </w:pPr>
      <w:r>
        <w:rPr>
          <w:rFonts w:hint="eastAsia" w:cs="宋体"/>
          <w:color w:val="auto"/>
          <w:szCs w:val="21"/>
          <w:highlight w:val="none"/>
          <w:u w:val="single"/>
        </w:rPr>
        <w:t>技术标得分前N名（若通过技术标有效性审查的投标人大于等于5家时，N=5；若通过技术标有效性审查的投标人大于等于3家且少于5家时，N=通过技术标有效性审查的投标人家数）</w:t>
      </w:r>
      <w:r>
        <w:rPr>
          <w:rFonts w:hint="eastAsia" w:cs="宋体"/>
          <w:color w:val="auto"/>
          <w:szCs w:val="21"/>
          <w:highlight w:val="none"/>
        </w:rPr>
        <w:t>的经济报价加权平均，计算评标参考价。公式如下：</w:t>
      </w:r>
    </w:p>
    <w:p>
      <w:pPr>
        <w:pBdr>
          <w:bottom w:val="single" w:color="auto" w:sz="6" w:space="1"/>
        </w:pBdr>
        <w:spacing w:line="336" w:lineRule="auto"/>
        <w:ind w:firstLine="420" w:firstLineChars="200"/>
        <w:rPr>
          <w:rFonts w:hint="eastAsia" w:cs="宋体"/>
          <w:color w:val="auto"/>
          <w:szCs w:val="21"/>
          <w:highlight w:val="none"/>
        </w:rPr>
      </w:pPr>
      <w:r>
        <w:rPr>
          <w:rFonts w:hint="eastAsia" w:cs="宋体"/>
          <w:color w:val="auto"/>
          <w:szCs w:val="21"/>
          <w:highlight w:val="none"/>
        </w:rPr>
        <w:t>评标参考价=Σ（投标人的投标报价*报价权重）。</w:t>
      </w:r>
    </w:p>
    <w:p>
      <w:pPr>
        <w:pBdr>
          <w:bottom w:val="single" w:color="auto" w:sz="6" w:space="1"/>
        </w:pBdr>
        <w:spacing w:line="336" w:lineRule="auto"/>
        <w:ind w:firstLine="420" w:firstLineChars="200"/>
        <w:rPr>
          <w:rFonts w:hint="eastAsia" w:cs="宋体"/>
          <w:color w:val="auto"/>
          <w:spacing w:val="2"/>
          <w:highlight w:val="none"/>
        </w:rPr>
      </w:pPr>
      <w:r>
        <w:rPr>
          <w:rFonts w:hint="eastAsia" w:cs="宋体"/>
          <w:color w:val="auto"/>
          <w:szCs w:val="21"/>
          <w:highlight w:val="none"/>
        </w:rPr>
        <w:t>其中：报价权重的计算方法为：将N名投标人按技术分由高至低进行排序</w:t>
      </w:r>
      <w:r>
        <w:rPr>
          <w:rFonts w:hint="eastAsia" w:cs="宋体"/>
          <w:color w:val="auto"/>
          <w:szCs w:val="21"/>
          <w:highlight w:val="none"/>
          <w:u w:val="single"/>
        </w:rPr>
        <w:t>（技术分相同的，以报价较低的排前；如仍存在相同情况，则对具有相同情况的投标人，由评标委员会采用以差额选举的记名投票方式决定先后顺序，确定投标人的排序）</w:t>
      </w:r>
      <w:r>
        <w:rPr>
          <w:rFonts w:hint="eastAsia" w:cs="宋体"/>
          <w:color w:val="auto"/>
          <w:szCs w:val="21"/>
          <w:highlight w:val="none"/>
        </w:rPr>
        <w:t>，第一名投标人的权重为（</w:t>
      </w:r>
      <w:r>
        <w:rPr>
          <w:rFonts w:hint="eastAsia" w:cs="宋体"/>
          <w:color w:val="auto"/>
          <w:spacing w:val="-4"/>
          <w:highlight w:val="none"/>
        </w:rPr>
        <w:pict>
          <v:shape id="_x0000_i1028" o:spt="75" type="#_x0000_t75" style="height:22.5pt;width:18.75pt;" filled="f" o:preferrelative="t" stroked="f" coordsize="21600,21600">
            <v:path/>
            <v:fill on="f" focussize="0,0"/>
            <v:stroke on="f"/>
            <v:imagedata r:id="rId26" chromakey="#FFFFFF" o:title=""/>
            <o:lock v:ext="edit" aspectratio="t"/>
            <w10:wrap type="none"/>
            <w10:anchorlock/>
          </v:shape>
        </w:pict>
      </w:r>
      <w:r>
        <w:rPr>
          <w:rFonts w:hint="eastAsia" w:cs="宋体"/>
          <w:color w:val="auto"/>
          <w:szCs w:val="21"/>
          <w:highlight w:val="none"/>
        </w:rPr>
        <w:t>），第二名投标人的权重为（</w:t>
      </w:r>
      <w:r>
        <w:rPr>
          <w:rFonts w:hint="eastAsia" w:cs="宋体"/>
          <w:color w:val="auto"/>
          <w:spacing w:val="-4"/>
          <w:highlight w:val="none"/>
        </w:rPr>
        <w:pict>
          <v:shape id="_x0000_i1029" o:spt="75" type="#_x0000_t75" style="height:22.5pt;width:18pt;" filled="f" o:preferrelative="t" stroked="f" coordsize="21600,21600">
            <v:path/>
            <v:fill on="f" focussize="0,0"/>
            <v:stroke on="f"/>
            <v:imagedata r:id="rId27" chromakey="#FFFFFF" o:title=""/>
            <o:lock v:ext="edit" aspectratio="t"/>
            <w10:wrap type="none"/>
            <w10:anchorlock/>
          </v:shape>
        </w:pict>
      </w:r>
      <w:r>
        <w:rPr>
          <w:rFonts w:hint="eastAsia" w:cs="宋体"/>
          <w:color w:val="auto"/>
          <w:szCs w:val="21"/>
          <w:highlight w:val="none"/>
        </w:rPr>
        <w:t>），以此类推，最后一名投标人的权重为（</w:t>
      </w:r>
      <w:r>
        <w:rPr>
          <w:rFonts w:hint="eastAsia" w:cs="宋体"/>
          <w:color w:val="auto"/>
          <w:spacing w:val="-4"/>
          <w:highlight w:val="none"/>
        </w:rPr>
        <w:pict>
          <v:shape id="_x0000_i1030" o:spt="75" type="#_x0000_t75" style="height:22.5pt;width:18pt;" filled="f" o:preferrelative="t" stroked="f" coordsize="21600,21600">
            <v:path/>
            <v:fill on="f" focussize="0,0"/>
            <v:stroke on="f"/>
            <v:imagedata r:id="rId28" chromakey="#FFFFFF" o:title=""/>
            <o:lock v:ext="edit" aspectratio="t"/>
            <w10:wrap type="none"/>
            <w10:anchorlock/>
          </v:shape>
        </w:pict>
      </w:r>
      <w:r>
        <w:rPr>
          <w:rFonts w:hint="eastAsia" w:cs="宋体"/>
          <w:color w:val="auto"/>
          <w:szCs w:val="21"/>
          <w:highlight w:val="none"/>
        </w:rPr>
        <w:t>）。</w:t>
      </w:r>
    </w:p>
    <w:p>
      <w:pPr>
        <w:spacing w:line="336" w:lineRule="auto"/>
        <w:ind w:firstLine="472" w:firstLineChars="224"/>
        <w:rPr>
          <w:rFonts w:hint="eastAsia" w:cs="宋体"/>
          <w:b/>
          <w:color w:val="auto"/>
          <w:szCs w:val="21"/>
          <w:highlight w:val="none"/>
        </w:rPr>
      </w:pPr>
      <w:r>
        <w:rPr>
          <w:rFonts w:hint="eastAsia" w:cs="宋体"/>
          <w:b/>
          <w:color w:val="auto"/>
          <w:szCs w:val="21"/>
          <w:highlight w:val="none"/>
        </w:rPr>
        <w:t>条款号：45.3                         修改类型：修改</w:t>
      </w:r>
    </w:p>
    <w:p>
      <w:pPr>
        <w:spacing w:line="336" w:lineRule="auto"/>
        <w:ind w:firstLine="472" w:firstLineChars="224"/>
        <w:rPr>
          <w:rFonts w:hint="eastAsia" w:cs="宋体"/>
          <w:b/>
          <w:color w:val="auto"/>
          <w:szCs w:val="21"/>
          <w:highlight w:val="none"/>
        </w:rPr>
      </w:pPr>
      <w:r>
        <w:rPr>
          <w:rFonts w:hint="eastAsia" w:cs="宋体"/>
          <w:b/>
          <w:color w:val="auto"/>
          <w:szCs w:val="21"/>
          <w:highlight w:val="none"/>
        </w:rPr>
        <w:t>原文：</w:t>
      </w:r>
      <w:r>
        <w:rPr>
          <w:rFonts w:hint="eastAsia" w:cs="宋体"/>
          <w:bCs/>
          <w:color w:val="auto"/>
          <w:szCs w:val="21"/>
          <w:highlight w:val="none"/>
        </w:rPr>
        <w:t>45.3当标价等于评标参考价时得100分，标价每高于评标参考价1%，扣1.5分，每低于评标参考价1%，扣1分，扣至0分为止，得出经济分，精确到小数点后两位。</w:t>
      </w:r>
    </w:p>
    <w:p>
      <w:pPr>
        <w:pBdr>
          <w:bottom w:val="single" w:color="auto" w:sz="4" w:space="0"/>
        </w:pBdr>
        <w:spacing w:line="336" w:lineRule="auto"/>
        <w:ind w:firstLine="472" w:firstLineChars="224"/>
        <w:rPr>
          <w:rFonts w:hint="eastAsia" w:cs="宋体"/>
          <w:b/>
          <w:color w:val="auto"/>
          <w:szCs w:val="21"/>
          <w:highlight w:val="none"/>
        </w:rPr>
      </w:pPr>
      <w:r>
        <w:rPr>
          <w:rFonts w:hint="eastAsia" w:cs="宋体"/>
          <w:b/>
          <w:color w:val="auto"/>
          <w:szCs w:val="21"/>
          <w:highlight w:val="none"/>
        </w:rPr>
        <w:t>现文：</w:t>
      </w:r>
      <w:r>
        <w:rPr>
          <w:rFonts w:hint="eastAsia" w:cs="宋体"/>
          <w:bCs/>
          <w:color w:val="auto"/>
          <w:szCs w:val="21"/>
          <w:highlight w:val="none"/>
        </w:rPr>
        <w:t>45.3当投标价等于评标参考价时得100分，投标价每高于评标参考价1%，扣</w:t>
      </w:r>
      <w:r>
        <w:rPr>
          <w:rFonts w:hint="eastAsia" w:cs="宋体"/>
          <w:bCs/>
          <w:color w:val="auto"/>
          <w:szCs w:val="21"/>
          <w:highlight w:val="none"/>
          <w:u w:val="single"/>
          <w:lang w:val="en-US" w:eastAsia="zh-CN"/>
        </w:rPr>
        <w:t>1.2</w:t>
      </w:r>
      <w:r>
        <w:rPr>
          <w:rFonts w:hint="eastAsia" w:cs="宋体"/>
          <w:bCs/>
          <w:color w:val="auto"/>
          <w:szCs w:val="21"/>
          <w:highlight w:val="none"/>
        </w:rPr>
        <w:t>分，每低于评标参考价1%，扣</w:t>
      </w:r>
      <w:r>
        <w:rPr>
          <w:rFonts w:hint="eastAsia" w:cs="宋体"/>
          <w:bCs/>
          <w:color w:val="auto"/>
          <w:szCs w:val="21"/>
          <w:highlight w:val="none"/>
          <w:u w:val="single"/>
          <w:lang w:val="en-US" w:eastAsia="zh-CN"/>
        </w:rPr>
        <w:t>1</w:t>
      </w:r>
      <w:r>
        <w:rPr>
          <w:rFonts w:hint="eastAsia" w:cs="宋体"/>
          <w:bCs/>
          <w:color w:val="auto"/>
          <w:szCs w:val="21"/>
          <w:highlight w:val="none"/>
        </w:rPr>
        <w:t>分，扣至0分为止，得出经济分，精确到小数点后两位。</w:t>
      </w:r>
    </w:p>
    <w:p>
      <w:pPr>
        <w:tabs>
          <w:tab w:val="left" w:pos="4410"/>
        </w:tabs>
        <w:spacing w:line="336" w:lineRule="auto"/>
        <w:ind w:firstLine="422" w:firstLineChars="200"/>
        <w:rPr>
          <w:rFonts w:hint="eastAsia" w:cs="宋体"/>
          <w:b/>
          <w:color w:val="auto"/>
          <w:szCs w:val="21"/>
          <w:highlight w:val="none"/>
        </w:rPr>
      </w:pPr>
      <w:r>
        <w:rPr>
          <w:rFonts w:hint="eastAsia" w:cs="宋体"/>
          <w:b/>
          <w:color w:val="auto"/>
          <w:szCs w:val="21"/>
          <w:highlight w:val="none"/>
        </w:rPr>
        <w:t>条款号：45.4</w:t>
      </w:r>
      <w:r>
        <w:rPr>
          <w:rFonts w:hint="eastAsia" w:cs="宋体"/>
          <w:b/>
          <w:color w:val="auto"/>
          <w:szCs w:val="21"/>
          <w:highlight w:val="none"/>
        </w:rPr>
        <w:tab/>
      </w:r>
      <w:r>
        <w:rPr>
          <w:rFonts w:hint="eastAsia" w:cs="宋体"/>
          <w:b/>
          <w:color w:val="auto"/>
          <w:szCs w:val="21"/>
          <w:highlight w:val="none"/>
        </w:rPr>
        <w:t>修改类型：修改</w:t>
      </w:r>
    </w:p>
    <w:p>
      <w:pPr>
        <w:pBdr>
          <w:bottom w:val="single" w:color="auto" w:sz="6" w:space="1"/>
        </w:pBdr>
        <w:spacing w:line="336" w:lineRule="auto"/>
        <w:ind w:firstLine="430" w:firstLineChars="200"/>
        <w:rPr>
          <w:rFonts w:hint="eastAsia" w:cs="宋体"/>
          <w:color w:val="auto"/>
          <w:spacing w:val="2"/>
          <w:szCs w:val="21"/>
          <w:highlight w:val="none"/>
        </w:rPr>
      </w:pPr>
      <w:r>
        <w:rPr>
          <w:rFonts w:hint="eastAsia" w:cs="宋体"/>
          <w:b/>
          <w:color w:val="auto"/>
          <w:spacing w:val="2"/>
          <w:szCs w:val="21"/>
          <w:highlight w:val="none"/>
        </w:rPr>
        <w:t>原文：</w:t>
      </w:r>
      <w:r>
        <w:rPr>
          <w:rFonts w:hint="eastAsia" w:cs="宋体"/>
          <w:color w:val="auto"/>
          <w:szCs w:val="21"/>
          <w:highlight w:val="none"/>
        </w:rPr>
        <w:t>45.4计算通过技术标有效性审查的投标人总得分。投标人总得分=（技术得分＋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36" w:lineRule="auto"/>
        <w:ind w:firstLine="430" w:firstLineChars="200"/>
        <w:rPr>
          <w:rFonts w:hint="eastAsia" w:cs="宋体"/>
          <w:color w:val="auto"/>
          <w:szCs w:val="21"/>
          <w:highlight w:val="none"/>
        </w:rPr>
      </w:pPr>
      <w:r>
        <w:rPr>
          <w:rFonts w:hint="eastAsia" w:cs="宋体"/>
          <w:b/>
          <w:color w:val="auto"/>
          <w:spacing w:val="2"/>
          <w:szCs w:val="21"/>
          <w:highlight w:val="none"/>
        </w:rPr>
        <w:t>现文：</w:t>
      </w:r>
      <w:r>
        <w:rPr>
          <w:rFonts w:hint="eastAsia" w:cs="宋体"/>
          <w:color w:val="auto"/>
          <w:szCs w:val="21"/>
          <w:highlight w:val="none"/>
        </w:rPr>
        <w:t>45.4</w:t>
      </w:r>
      <w:bookmarkStart w:id="18" w:name="_Hlk161063423"/>
      <w:r>
        <w:rPr>
          <w:rFonts w:hint="eastAsia" w:cs="宋体"/>
          <w:color w:val="auto"/>
          <w:szCs w:val="21"/>
          <w:highlight w:val="none"/>
        </w:rPr>
        <w:t>计算通过技术标有效性审查的投标人总得分。投标人总得分=技术得分（20分）＋经济得分(100分)×经济得分权重（80%）。技术、经济得分权重按投标须知前附表的规定执行。总得分四舍五入保留两位小数。</w:t>
      </w:r>
    </w:p>
    <w:p>
      <w:pPr>
        <w:pBdr>
          <w:bottom w:val="single" w:color="auto" w:sz="6" w:space="1"/>
        </w:pBdr>
        <w:spacing w:line="336" w:lineRule="auto"/>
        <w:ind w:firstLine="420" w:firstLineChars="200"/>
        <w:rPr>
          <w:rFonts w:hint="eastAsia" w:cs="宋体"/>
          <w:color w:val="auto"/>
          <w:szCs w:val="21"/>
          <w:highlight w:val="none"/>
        </w:rPr>
      </w:pPr>
      <w:r>
        <w:rPr>
          <w:rFonts w:hint="eastAsia" w:cs="宋体"/>
          <w:color w:val="auto"/>
          <w:szCs w:val="21"/>
          <w:highlight w:val="none"/>
        </w:rPr>
        <w:t>总得分相同的投标文件，以技术分较高的排前；总得分及技术分均相同的，以经济分较高的排前；总得分、技术分及经济分均相同的，以报价较低的排前；如仍存在相同情况，则对具有相同情况的投标人，由评标委员会采用记名投票方式，以得票多的排前。注：投票方式确定排序的具体操作步骤为：由评标会对出现该情况的投标人进行编号，然后通过投票方式依次确定投标人的排序。</w:t>
      </w:r>
    </w:p>
    <w:bookmarkEnd w:id="18"/>
    <w:p>
      <w:pPr>
        <w:pBdr>
          <w:bottom w:val="single" w:color="auto" w:sz="6" w:space="1"/>
        </w:pBdr>
        <w:spacing w:line="336" w:lineRule="auto"/>
        <w:ind w:firstLine="428" w:firstLineChars="200"/>
        <w:rPr>
          <w:rFonts w:hint="eastAsia" w:cs="宋体"/>
          <w:color w:val="auto"/>
          <w:spacing w:val="2"/>
          <w:szCs w:val="21"/>
          <w:highlight w:val="none"/>
        </w:rPr>
      </w:pPr>
    </w:p>
    <w:p>
      <w:pPr>
        <w:pStyle w:val="9"/>
        <w:tabs>
          <w:tab w:val="left" w:pos="5245"/>
        </w:tabs>
        <w:spacing w:line="360" w:lineRule="auto"/>
        <w:ind w:firstLine="422"/>
        <w:rPr>
          <w:rFonts w:hint="eastAsia"/>
          <w:b/>
          <w:color w:val="auto"/>
          <w:szCs w:val="21"/>
          <w:highlight w:val="none"/>
        </w:rPr>
      </w:pPr>
      <w:r>
        <w:rPr>
          <w:rFonts w:hint="eastAsia" w:cs="宋体"/>
          <w:b/>
          <w:color w:val="auto"/>
          <w:szCs w:val="21"/>
          <w:highlight w:val="none"/>
        </w:rPr>
        <w:t>条款号</w:t>
      </w:r>
      <w:r>
        <w:rPr>
          <w:rFonts w:hint="eastAsia" w:cs="宋体"/>
          <w:color w:val="auto"/>
          <w:szCs w:val="21"/>
          <w:highlight w:val="none"/>
        </w:rPr>
        <w:t>：</w:t>
      </w:r>
      <w:r>
        <w:rPr>
          <w:rFonts w:hint="eastAsia" w:cs="宋体"/>
          <w:b/>
          <w:color w:val="auto"/>
          <w:szCs w:val="21"/>
          <w:highlight w:val="none"/>
        </w:rPr>
        <w:t>46.1</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rFonts w:hint="eastAsia"/>
          <w:bCs/>
          <w:color w:val="auto"/>
          <w:szCs w:val="21"/>
          <w:highlight w:val="none"/>
        </w:rPr>
      </w:pPr>
      <w:r>
        <w:rPr>
          <w:rFonts w:hint="eastAsia"/>
          <w:b/>
          <w:color w:val="auto"/>
          <w:szCs w:val="21"/>
          <w:highlight w:val="none"/>
        </w:rPr>
        <w:t>原文：</w:t>
      </w:r>
      <w:r>
        <w:rPr>
          <w:rFonts w:hint="eastAsia"/>
          <w:bCs/>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hint="eastAsia"/>
          <w:color w:val="auto"/>
          <w:szCs w:val="21"/>
          <w:highlight w:val="none"/>
        </w:rPr>
      </w:pPr>
      <w:r>
        <w:rPr>
          <w:rFonts w:hint="eastAsia"/>
          <w:b/>
          <w:color w:val="auto"/>
          <w:szCs w:val="21"/>
          <w:highlight w:val="none"/>
        </w:rPr>
        <w:t>现文：</w:t>
      </w:r>
      <w:r>
        <w:rPr>
          <w:rFonts w:hint="eastAsia"/>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9"/>
        <w:tabs>
          <w:tab w:val="left" w:pos="5245"/>
        </w:tabs>
        <w:ind w:firstLine="422"/>
        <w:rPr>
          <w:rFonts w:hint="eastAsia" w:cs="宋体"/>
          <w:b/>
          <w:color w:val="auto"/>
          <w:szCs w:val="21"/>
          <w:highlight w:val="none"/>
        </w:rPr>
      </w:pPr>
      <w:bookmarkStart w:id="19" w:name="_Hlk142043071"/>
      <w:r>
        <w:rPr>
          <w:rFonts w:hint="eastAsia" w:cs="宋体"/>
          <w:b/>
          <w:color w:val="auto"/>
          <w:szCs w:val="21"/>
          <w:highlight w:val="none"/>
        </w:rPr>
        <w:t>条款号：48            修改类型：修改</w:t>
      </w:r>
    </w:p>
    <w:bookmarkEnd w:id="19"/>
    <w:p>
      <w:pPr>
        <w:pBdr>
          <w:bottom w:val="single" w:color="auto" w:sz="6" w:space="1"/>
        </w:pBdr>
        <w:spacing w:line="360" w:lineRule="auto"/>
        <w:ind w:firstLine="422" w:firstLineChars="200"/>
        <w:rPr>
          <w:rFonts w:hint="eastAsia"/>
          <w:bCs/>
          <w:color w:val="auto"/>
          <w:szCs w:val="21"/>
          <w:highlight w:val="none"/>
        </w:rPr>
      </w:pPr>
      <w:r>
        <w:rPr>
          <w:rFonts w:hint="eastAsia"/>
          <w:b/>
          <w:color w:val="auto"/>
          <w:szCs w:val="21"/>
          <w:highlight w:val="none"/>
        </w:rPr>
        <w:t>原文：</w:t>
      </w:r>
      <w:r>
        <w:rPr>
          <w:rFonts w:hint="eastAsia"/>
          <w:bCs/>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22" w:firstLineChars="200"/>
        <w:rPr>
          <w:rFonts w:hint="eastAsia"/>
          <w:bCs/>
          <w:color w:val="auto"/>
          <w:szCs w:val="21"/>
          <w:highlight w:val="none"/>
        </w:rPr>
      </w:pPr>
      <w:r>
        <w:rPr>
          <w:rFonts w:hint="eastAsia"/>
          <w:b/>
          <w:color w:val="auto"/>
          <w:szCs w:val="21"/>
          <w:highlight w:val="none"/>
        </w:rPr>
        <w:t>现文：</w:t>
      </w:r>
      <w:r>
        <w:rPr>
          <w:rFonts w:hint="eastAsia"/>
          <w:bCs/>
          <w:color w:val="auto"/>
          <w:szCs w:val="21"/>
          <w:highlight w:val="none"/>
        </w:rPr>
        <w:t>48.评标委员会应在通过投标文件经济标有效性审查的投标人中，按步骤45.4确定的投标人总得分排序，推荐前3名依次为第一中标候选人至第三中标候选人,并编制评标报告。</w:t>
      </w:r>
    </w:p>
    <w:p>
      <w:pPr>
        <w:pStyle w:val="9"/>
        <w:tabs>
          <w:tab w:val="left" w:pos="5245"/>
        </w:tabs>
        <w:spacing w:line="360" w:lineRule="auto"/>
        <w:ind w:firstLine="422"/>
        <w:rPr>
          <w:rFonts w:hint="eastAsia"/>
          <w:b/>
          <w:color w:val="auto"/>
          <w:szCs w:val="21"/>
          <w:highlight w:val="none"/>
        </w:rPr>
      </w:pPr>
      <w:r>
        <w:rPr>
          <w:rFonts w:hint="eastAsia" w:cs="宋体"/>
          <w:b/>
          <w:color w:val="auto"/>
          <w:szCs w:val="21"/>
          <w:highlight w:val="none"/>
        </w:rPr>
        <w:t>条款号</w:t>
      </w:r>
      <w:r>
        <w:rPr>
          <w:rFonts w:hint="eastAsia" w:cs="宋体"/>
          <w:color w:val="auto"/>
          <w:szCs w:val="21"/>
          <w:highlight w:val="none"/>
        </w:rPr>
        <w:t>：</w:t>
      </w:r>
      <w:r>
        <w:rPr>
          <w:rFonts w:hint="eastAsia" w:cs="宋体"/>
          <w:b/>
          <w:color w:val="auto"/>
          <w:szCs w:val="21"/>
          <w:highlight w:val="none"/>
        </w:rPr>
        <w:t>49</w:t>
      </w:r>
      <w:r>
        <w:rPr>
          <w:rFonts w:hint="eastAsia" w:cs="宋体"/>
          <w:b/>
          <w:color w:val="auto"/>
          <w:szCs w:val="21"/>
          <w:highlight w:val="none"/>
        </w:rPr>
        <w:tab/>
      </w:r>
      <w:r>
        <w:rPr>
          <w:rFonts w:hint="eastAsia"/>
          <w:b/>
          <w:color w:val="auto"/>
          <w:szCs w:val="21"/>
          <w:highlight w:val="none"/>
        </w:rPr>
        <w:t>修改类型：修改</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：49</w:t>
      </w:r>
      <w:r>
        <w:rPr>
          <w:color w:val="auto"/>
          <w:szCs w:val="21"/>
          <w:highlight w:val="none"/>
        </w:rPr>
        <w:t>若通过</w:t>
      </w:r>
      <w:r>
        <w:rPr>
          <w:rFonts w:cs="宋体"/>
          <w:color w:val="auto"/>
          <w:szCs w:val="21"/>
          <w:highlight w:val="none"/>
        </w:rPr>
        <w:t>经济</w:t>
      </w:r>
      <w:r>
        <w:rPr>
          <w:color w:val="auto"/>
          <w:szCs w:val="21"/>
          <w:highlight w:val="none"/>
        </w:rPr>
        <w:t>标有效性审查的投标人不足三家，应当依法重新招标。（当N个标段同时招标且不允许兼中时，若有效投标人不足N+2家，应当依法重新招标）</w:t>
      </w:r>
    </w:p>
    <w:p>
      <w:pPr>
        <w:spacing w:line="336" w:lineRule="auto"/>
        <w:ind w:firstLine="422" w:firstLineChars="200"/>
        <w:rPr>
          <w:rFonts w:hint="eastAsia" w:cs="宋体"/>
          <w:b/>
          <w:color w:val="auto"/>
          <w:szCs w:val="21"/>
          <w:highlight w:val="none"/>
        </w:rPr>
      </w:pPr>
      <w:r>
        <w:rPr>
          <w:rFonts w:hint="eastAsia"/>
          <w:b/>
          <w:color w:val="auto"/>
          <w:szCs w:val="21"/>
          <w:highlight w:val="none"/>
        </w:rPr>
        <w:t>现文：</w:t>
      </w:r>
      <w:r>
        <w:rPr>
          <w:rFonts w:hint="eastAsia"/>
          <w:color w:val="auto"/>
          <w:szCs w:val="21"/>
          <w:highlight w:val="none"/>
        </w:rPr>
        <w:t>49</w:t>
      </w:r>
      <w:r>
        <w:rPr>
          <w:color w:val="auto"/>
          <w:szCs w:val="21"/>
          <w:highlight w:val="none"/>
        </w:rPr>
        <w:t>若</w:t>
      </w:r>
      <w:r>
        <w:rPr>
          <w:rFonts w:cs="宋体"/>
          <w:color w:val="auto"/>
          <w:szCs w:val="21"/>
          <w:highlight w:val="none"/>
        </w:rPr>
        <w:t>通过</w:t>
      </w:r>
      <w:r>
        <w:rPr>
          <w:color w:val="auto"/>
          <w:szCs w:val="21"/>
          <w:highlight w:val="none"/>
        </w:rPr>
        <w:t>经济标有效性审查的投标人不足三家，应当依法重新招标。</w:t>
      </w:r>
      <w:r>
        <w:rPr>
          <w:rFonts w:hint="eastAsia" w:cs="宋体"/>
          <w:b/>
          <w:color w:val="auto"/>
          <w:szCs w:val="21"/>
          <w:highlight w:val="none"/>
        </w:rPr>
        <w:t>条款号：附表一 《资格审查表》、附表二 《技术标有效性审查表》、附表三 《经济标有效性审查表》 、附表四《技术标详细审查评分表》                        修改类型：修改</w:t>
      </w:r>
    </w:p>
    <w:p>
      <w:pPr>
        <w:spacing w:line="336" w:lineRule="auto"/>
        <w:ind w:firstLine="422" w:firstLineChars="200"/>
        <w:rPr>
          <w:rFonts w:hint="eastAsia"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见范本</w:t>
      </w:r>
    </w:p>
    <w:p>
      <w:pPr>
        <w:pBdr>
          <w:bottom w:val="single" w:color="auto" w:sz="6" w:space="1"/>
        </w:pBdr>
        <w:spacing w:line="336" w:lineRule="auto"/>
        <w:ind w:firstLine="422" w:firstLineChars="200"/>
        <w:rPr>
          <w:rFonts w:hint="eastAsia" w:cs="宋体"/>
          <w:color w:val="auto"/>
          <w:highlight w:val="none"/>
        </w:rPr>
      </w:pPr>
      <w:r>
        <w:rPr>
          <w:rFonts w:hint="eastAsia" w:cs="宋体"/>
          <w:b/>
          <w:color w:val="auto"/>
          <w:szCs w:val="21"/>
          <w:highlight w:val="none"/>
        </w:rPr>
        <w:t>现文：</w:t>
      </w:r>
      <w:r>
        <w:rPr>
          <w:rFonts w:hint="eastAsia" w:cs="宋体"/>
          <w:color w:val="auto"/>
          <w:szCs w:val="21"/>
          <w:highlight w:val="none"/>
        </w:rPr>
        <w:t>见后附（现文：附表一《资格审查表》、附表二《技术标有效性审查表》、附表三《经济标有效性审查表》、附表四《技术标详细审查评分表》）</w:t>
      </w:r>
    </w:p>
    <w:p>
      <w:pPr>
        <w:pStyle w:val="9"/>
        <w:rPr>
          <w:rFonts w:hint="eastAsia" w:cs="宋体"/>
          <w:color w:val="auto"/>
          <w:highlight w:val="none"/>
        </w:rPr>
      </w:pPr>
    </w:p>
    <w:p>
      <w:pPr>
        <w:spacing w:line="360" w:lineRule="auto"/>
        <w:ind w:firstLine="211" w:firstLineChars="100"/>
        <w:rPr>
          <w:rFonts w:hint="eastAsia" w:cs="宋体"/>
          <w:b/>
          <w:color w:val="auto"/>
          <w:szCs w:val="21"/>
          <w:highlight w:val="none"/>
        </w:rPr>
      </w:pPr>
      <w:r>
        <w:rPr>
          <w:rFonts w:hint="eastAsia" w:cs="宋体"/>
          <w:b/>
          <w:color w:val="auto"/>
          <w:szCs w:val="21"/>
          <w:highlight w:val="none"/>
        </w:rPr>
        <w:t>注：以上修改，仅限于本范本中有可供选择条款的情形。</w:t>
      </w:r>
    </w:p>
    <w:p>
      <w:pPr>
        <w:spacing w:line="360" w:lineRule="auto"/>
        <w:rPr>
          <w:rFonts w:hint="eastAsia" w:cs="宋体"/>
          <w:b/>
          <w:color w:val="auto"/>
          <w:szCs w:val="21"/>
          <w:highlight w:val="none"/>
        </w:rPr>
      </w:pPr>
      <w:r>
        <w:rPr>
          <w:rFonts w:hint="eastAsia" w:cs="宋体"/>
          <w:b/>
          <w:color w:val="auto"/>
          <w:szCs w:val="21"/>
          <w:highlight w:val="none"/>
        </w:rPr>
        <w:t>（以下无正文）</w:t>
      </w:r>
    </w:p>
    <w:p>
      <w:pPr>
        <w:pStyle w:val="14"/>
        <w:rPr>
          <w:color w:val="auto"/>
          <w:highlight w:val="none"/>
        </w:rPr>
      </w:pPr>
      <w:r>
        <w:rPr>
          <w:color w:val="auto"/>
          <w:highlight w:val="none"/>
        </w:rPr>
        <w:br w:type="page"/>
      </w:r>
    </w:p>
    <w:p>
      <w:pPr>
        <w:pStyle w:val="7"/>
        <w:ind w:firstLine="525"/>
        <w:rPr>
          <w:color w:val="auto"/>
          <w:highlight w:val="none"/>
        </w:rPr>
      </w:pPr>
      <w:bookmarkStart w:id="20" w:name="_Toc22061"/>
      <w:r>
        <w:rPr>
          <w:rFonts w:hint="eastAsia"/>
          <w:color w:val="auto"/>
          <w:highlight w:val="none"/>
        </w:rPr>
        <w:t>二、开标、评标及定标办法</w:t>
      </w:r>
      <w:r>
        <w:rPr>
          <w:rFonts w:hint="eastAsia"/>
          <w:color w:val="auto"/>
          <w:szCs w:val="30"/>
          <w:highlight w:val="none"/>
        </w:rPr>
        <w:t>通用条款</w:t>
      </w:r>
      <w:bookmarkEnd w:id="20"/>
    </w:p>
    <w:p>
      <w:pPr>
        <w:pStyle w:val="8"/>
        <w:spacing w:before="156" w:after="156"/>
        <w:ind w:firstLine="540" w:firstLineChars="200"/>
        <w:rPr>
          <w:color w:val="auto"/>
          <w:highlight w:val="none"/>
        </w:rPr>
      </w:pPr>
      <w:bookmarkStart w:id="21" w:name="_Toc10558"/>
      <w:r>
        <w:rPr>
          <w:rFonts w:hint="eastAsia"/>
          <w:color w:val="auto"/>
          <w:highlight w:val="none"/>
        </w:rPr>
        <w:t>（一）总则</w:t>
      </w:r>
      <w:bookmarkEnd w:id="21"/>
    </w:p>
    <w:p>
      <w:pPr>
        <w:spacing w:line="360" w:lineRule="auto"/>
        <w:ind w:firstLine="480" w:firstLineChars="200"/>
        <w:rPr>
          <w:b/>
          <w:color w:val="auto"/>
          <w:sz w:val="24"/>
          <w:szCs w:val="24"/>
          <w:highlight w:val="none"/>
        </w:rPr>
      </w:pPr>
      <w:r>
        <w:rPr>
          <w:color w:val="auto"/>
          <w:sz w:val="24"/>
          <w:szCs w:val="24"/>
          <w:highlight w:val="none"/>
        </w:rPr>
        <w:t xml:space="preserve">35 </w:t>
      </w:r>
      <w:r>
        <w:rPr>
          <w:rFonts w:hint="eastAsia"/>
          <w:color w:val="auto"/>
          <w:sz w:val="24"/>
          <w:szCs w:val="24"/>
          <w:highlight w:val="none"/>
        </w:rPr>
        <w:t>开标、评标及定标所依据的规则</w:t>
      </w:r>
    </w:p>
    <w:p>
      <w:pPr>
        <w:spacing w:line="360" w:lineRule="auto"/>
        <w:ind w:firstLine="480" w:firstLineChars="200"/>
        <w:rPr>
          <w:color w:val="auto"/>
          <w:sz w:val="24"/>
          <w:szCs w:val="24"/>
          <w:highlight w:val="none"/>
        </w:rPr>
      </w:pPr>
      <w:r>
        <w:rPr>
          <w:color w:val="auto"/>
          <w:sz w:val="24"/>
          <w:szCs w:val="24"/>
          <w:highlight w:val="none"/>
        </w:rPr>
        <w:t>35.1</w:t>
      </w:r>
      <w:r>
        <w:rPr>
          <w:rFonts w:hint="eastAsia"/>
          <w:color w:val="auto"/>
          <w:sz w:val="24"/>
          <w:szCs w:val="24"/>
          <w:highlight w:val="none"/>
        </w:rPr>
        <w:t>《中华人民共和国招标投标法》；</w:t>
      </w:r>
    </w:p>
    <w:p>
      <w:pPr>
        <w:spacing w:line="360" w:lineRule="auto"/>
        <w:ind w:firstLine="480" w:firstLineChars="200"/>
        <w:rPr>
          <w:color w:val="auto"/>
          <w:sz w:val="24"/>
          <w:szCs w:val="24"/>
          <w:highlight w:val="none"/>
        </w:rPr>
      </w:pPr>
      <w:r>
        <w:rPr>
          <w:color w:val="auto"/>
          <w:sz w:val="24"/>
          <w:szCs w:val="24"/>
          <w:highlight w:val="none"/>
        </w:rPr>
        <w:t>35.2</w:t>
      </w:r>
      <w:r>
        <w:rPr>
          <w:rFonts w:hint="eastAsia"/>
          <w:color w:val="auto"/>
          <w:sz w:val="24"/>
          <w:szCs w:val="24"/>
          <w:highlight w:val="none"/>
        </w:rPr>
        <w:t>《中华人民共和国招标投标法实施条例》；</w:t>
      </w:r>
    </w:p>
    <w:p>
      <w:pPr>
        <w:spacing w:line="360" w:lineRule="auto"/>
        <w:ind w:firstLine="480" w:firstLineChars="200"/>
        <w:rPr>
          <w:color w:val="auto"/>
          <w:sz w:val="24"/>
          <w:szCs w:val="24"/>
          <w:highlight w:val="none"/>
        </w:rPr>
      </w:pPr>
      <w:r>
        <w:rPr>
          <w:color w:val="auto"/>
          <w:sz w:val="24"/>
          <w:szCs w:val="24"/>
          <w:highlight w:val="none"/>
        </w:rPr>
        <w:t>35.3</w:t>
      </w:r>
      <w:r>
        <w:rPr>
          <w:rFonts w:hint="eastAsia"/>
          <w:color w:val="auto"/>
          <w:sz w:val="24"/>
          <w:szCs w:val="24"/>
          <w:highlight w:val="none"/>
        </w:rPr>
        <w:t>《评标委员会和评标方法暂行规定》（七部委第</w:t>
      </w:r>
      <w:r>
        <w:rPr>
          <w:color w:val="auto"/>
          <w:sz w:val="24"/>
          <w:szCs w:val="24"/>
          <w:highlight w:val="none"/>
        </w:rPr>
        <w:t>12</w:t>
      </w:r>
      <w:r>
        <w:rPr>
          <w:rFonts w:hint="eastAsia"/>
          <w:color w:val="auto"/>
          <w:sz w:val="24"/>
          <w:szCs w:val="24"/>
          <w:highlight w:val="none"/>
        </w:rPr>
        <w:t>号令）</w:t>
      </w:r>
    </w:p>
    <w:p>
      <w:pPr>
        <w:spacing w:line="360" w:lineRule="auto"/>
        <w:ind w:firstLine="480" w:firstLineChars="200"/>
        <w:rPr>
          <w:color w:val="auto"/>
          <w:sz w:val="24"/>
          <w:szCs w:val="24"/>
          <w:highlight w:val="none"/>
        </w:rPr>
      </w:pPr>
      <w:r>
        <w:rPr>
          <w:color w:val="auto"/>
          <w:sz w:val="24"/>
          <w:szCs w:val="24"/>
          <w:highlight w:val="none"/>
        </w:rPr>
        <w:t>35.4</w:t>
      </w:r>
      <w:r>
        <w:rPr>
          <w:rFonts w:hint="eastAsia"/>
          <w:color w:val="auto"/>
          <w:sz w:val="24"/>
          <w:szCs w:val="24"/>
          <w:highlight w:val="none"/>
        </w:rPr>
        <w:t>《工程建设项目施工招标投标办法》（七部委</w:t>
      </w:r>
      <w:r>
        <w:rPr>
          <w:color w:val="auto"/>
          <w:sz w:val="24"/>
          <w:szCs w:val="24"/>
          <w:highlight w:val="none"/>
        </w:rPr>
        <w:t>2003</w:t>
      </w:r>
      <w:r>
        <w:rPr>
          <w:rFonts w:hint="eastAsia"/>
          <w:color w:val="auto"/>
          <w:sz w:val="24"/>
          <w:szCs w:val="24"/>
          <w:highlight w:val="none"/>
        </w:rPr>
        <w:t>年第</w:t>
      </w:r>
      <w:r>
        <w:rPr>
          <w:color w:val="auto"/>
          <w:sz w:val="24"/>
          <w:szCs w:val="24"/>
          <w:highlight w:val="none"/>
        </w:rPr>
        <w:t>30</w:t>
      </w:r>
      <w:r>
        <w:rPr>
          <w:rFonts w:hint="eastAsia"/>
          <w:color w:val="auto"/>
          <w:sz w:val="24"/>
          <w:szCs w:val="24"/>
          <w:highlight w:val="none"/>
        </w:rPr>
        <w:t>号令）</w:t>
      </w:r>
    </w:p>
    <w:p>
      <w:pPr>
        <w:spacing w:line="360" w:lineRule="auto"/>
        <w:ind w:firstLine="480" w:firstLineChars="200"/>
        <w:rPr>
          <w:color w:val="auto"/>
          <w:sz w:val="24"/>
          <w:szCs w:val="24"/>
          <w:highlight w:val="none"/>
        </w:rPr>
      </w:pPr>
      <w:r>
        <w:rPr>
          <w:color w:val="auto"/>
          <w:sz w:val="24"/>
          <w:szCs w:val="24"/>
          <w:highlight w:val="none"/>
        </w:rPr>
        <w:t>35.5</w:t>
      </w:r>
      <w:r>
        <w:rPr>
          <w:rFonts w:hint="eastAsia"/>
          <w:color w:val="auto"/>
          <w:sz w:val="24"/>
          <w:szCs w:val="24"/>
          <w:highlight w:val="none"/>
        </w:rPr>
        <w:t>《广东省实施〈中华人民共和国招标投标法〉办法》；</w:t>
      </w:r>
    </w:p>
    <w:p>
      <w:pPr>
        <w:spacing w:line="360" w:lineRule="auto"/>
        <w:ind w:firstLine="480" w:firstLineChars="200"/>
        <w:rPr>
          <w:color w:val="auto"/>
          <w:sz w:val="24"/>
          <w:szCs w:val="24"/>
          <w:highlight w:val="none"/>
        </w:rPr>
      </w:pPr>
      <w:r>
        <w:rPr>
          <w:color w:val="auto"/>
          <w:sz w:val="24"/>
          <w:szCs w:val="24"/>
          <w:highlight w:val="none"/>
        </w:rPr>
        <w:t>35.6</w:t>
      </w:r>
      <w:r>
        <w:rPr>
          <w:rFonts w:hint="eastAsia"/>
          <w:color w:val="auto"/>
          <w:sz w:val="24"/>
          <w:szCs w:val="24"/>
          <w:highlight w:val="none"/>
        </w:rPr>
        <w:t>《房屋建筑和市政基础设施工程施工招标投标管理办法》（建设部令第</w:t>
      </w:r>
      <w:r>
        <w:rPr>
          <w:color w:val="auto"/>
          <w:sz w:val="24"/>
          <w:szCs w:val="24"/>
          <w:highlight w:val="none"/>
        </w:rPr>
        <w:t>89</w:t>
      </w:r>
      <w:r>
        <w:rPr>
          <w:rFonts w:hint="eastAsia"/>
          <w:color w:val="auto"/>
          <w:sz w:val="24"/>
          <w:szCs w:val="24"/>
          <w:highlight w:val="none"/>
        </w:rPr>
        <w:t>号）</w:t>
      </w:r>
    </w:p>
    <w:p>
      <w:pPr>
        <w:spacing w:line="360" w:lineRule="auto"/>
        <w:ind w:firstLine="480" w:firstLineChars="200"/>
        <w:rPr>
          <w:color w:val="auto"/>
          <w:sz w:val="24"/>
          <w:szCs w:val="24"/>
          <w:highlight w:val="none"/>
        </w:rPr>
      </w:pPr>
      <w:r>
        <w:rPr>
          <w:color w:val="auto"/>
          <w:sz w:val="24"/>
          <w:szCs w:val="24"/>
          <w:highlight w:val="none"/>
        </w:rPr>
        <w:t>35.7</w:t>
      </w:r>
      <w:r>
        <w:rPr>
          <w:rFonts w:hint="eastAsia"/>
          <w:color w:val="auto"/>
          <w:sz w:val="24"/>
          <w:szCs w:val="24"/>
          <w:highlight w:val="none"/>
        </w:rPr>
        <w:t>《广东省加强建设工程招标投标监督管理的若干规定》（粤发[2004]4号）；</w:t>
      </w:r>
    </w:p>
    <w:p>
      <w:pPr>
        <w:spacing w:line="360" w:lineRule="auto"/>
        <w:ind w:firstLine="480" w:firstLineChars="200"/>
        <w:rPr>
          <w:rFonts w:hint="eastAsia"/>
          <w:color w:val="auto"/>
          <w:sz w:val="24"/>
          <w:szCs w:val="24"/>
          <w:highlight w:val="none"/>
        </w:rPr>
      </w:pPr>
      <w:r>
        <w:rPr>
          <w:color w:val="auto"/>
          <w:sz w:val="24"/>
          <w:szCs w:val="24"/>
          <w:highlight w:val="none"/>
        </w:rPr>
        <w:t>35.</w:t>
      </w:r>
      <w:r>
        <w:rPr>
          <w:rFonts w:hint="eastAsia"/>
          <w:color w:val="auto"/>
          <w:sz w:val="24"/>
          <w:szCs w:val="24"/>
          <w:highlight w:val="none"/>
        </w:rPr>
        <w:t>8《广州市工程建设项目招标投标管理办法》（穗建规字〔2023〕12号）；</w:t>
      </w:r>
    </w:p>
    <w:p>
      <w:pPr>
        <w:spacing w:line="360" w:lineRule="auto"/>
        <w:ind w:firstLine="480" w:firstLineChars="200"/>
        <w:rPr>
          <w:color w:val="auto"/>
          <w:sz w:val="24"/>
          <w:szCs w:val="24"/>
          <w:highlight w:val="none"/>
        </w:rPr>
      </w:pPr>
      <w:r>
        <w:rPr>
          <w:rFonts w:hint="eastAsia"/>
          <w:color w:val="auto"/>
          <w:sz w:val="24"/>
          <w:szCs w:val="24"/>
          <w:highlight w:val="none"/>
        </w:rPr>
        <w:t>35.9本项目招标文件。</w:t>
      </w:r>
    </w:p>
    <w:p>
      <w:pPr>
        <w:spacing w:line="360" w:lineRule="auto"/>
        <w:ind w:firstLine="480" w:firstLineChars="200"/>
        <w:rPr>
          <w:color w:val="auto"/>
          <w:sz w:val="24"/>
          <w:szCs w:val="24"/>
          <w:highlight w:val="none"/>
        </w:rPr>
      </w:pPr>
      <w:r>
        <w:rPr>
          <w:color w:val="auto"/>
          <w:sz w:val="24"/>
          <w:szCs w:val="24"/>
          <w:highlight w:val="none"/>
        </w:rPr>
        <w:t>36</w:t>
      </w:r>
      <w:r>
        <w:rPr>
          <w:rFonts w:hint="eastAsia"/>
          <w:color w:val="auto"/>
          <w:sz w:val="24"/>
          <w:szCs w:val="24"/>
          <w:highlight w:val="none"/>
        </w:rPr>
        <w:t>．开标</w:t>
      </w:r>
    </w:p>
    <w:p>
      <w:pPr>
        <w:spacing w:line="360" w:lineRule="auto"/>
        <w:ind w:firstLine="480" w:firstLineChars="200"/>
        <w:rPr>
          <w:color w:val="auto"/>
          <w:sz w:val="24"/>
          <w:szCs w:val="24"/>
          <w:highlight w:val="none"/>
        </w:rPr>
      </w:pPr>
      <w:r>
        <w:rPr>
          <w:color w:val="auto"/>
          <w:sz w:val="24"/>
          <w:szCs w:val="24"/>
          <w:highlight w:val="none"/>
        </w:rPr>
        <w:t xml:space="preserve">36.1 </w:t>
      </w:r>
      <w:r>
        <w:rPr>
          <w:rFonts w:hint="eastAsia"/>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color w:val="auto"/>
          <w:sz w:val="24"/>
          <w:szCs w:val="24"/>
          <w:highlight w:val="none"/>
        </w:rPr>
      </w:pPr>
      <w:r>
        <w:rPr>
          <w:color w:val="auto"/>
          <w:sz w:val="24"/>
          <w:szCs w:val="24"/>
          <w:highlight w:val="none"/>
        </w:rPr>
        <w:t>36.2</w:t>
      </w:r>
      <w:r>
        <w:rPr>
          <w:rFonts w:hint="eastAsia"/>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color w:val="auto"/>
          <w:sz w:val="24"/>
          <w:szCs w:val="24"/>
          <w:highlight w:val="none"/>
        </w:rPr>
      </w:pPr>
      <w:r>
        <w:rPr>
          <w:rFonts w:hint="eastAsia"/>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color w:val="auto"/>
          <w:sz w:val="24"/>
          <w:szCs w:val="24"/>
          <w:highlight w:val="none"/>
        </w:rPr>
      </w:pPr>
      <w:r>
        <w:rPr>
          <w:rFonts w:hint="eastAsia"/>
          <w:color w:val="auto"/>
          <w:sz w:val="24"/>
          <w:szCs w:val="24"/>
          <w:highlight w:val="none"/>
        </w:rPr>
        <w:t>36.4若递交投标文件的投标人不足3家，则重新组织招标。（当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w:t>
      </w:r>
      <w:r>
        <w:rPr>
          <w:rFonts w:hint="eastAsia"/>
          <w:color w:val="auto"/>
          <w:sz w:val="24"/>
          <w:szCs w:val="24"/>
          <w:highlight w:val="none"/>
        </w:rPr>
        <w:t>2家，则重新组织招标）</w:t>
      </w:r>
    </w:p>
    <w:p>
      <w:pPr>
        <w:spacing w:line="360" w:lineRule="auto"/>
        <w:ind w:firstLine="480" w:firstLineChars="200"/>
        <w:rPr>
          <w:color w:val="auto"/>
          <w:sz w:val="24"/>
          <w:highlight w:val="none"/>
        </w:rPr>
      </w:pPr>
      <w:r>
        <w:rPr>
          <w:rFonts w:hint="eastAsia"/>
          <w:color w:val="auto"/>
          <w:sz w:val="24"/>
          <w:highlight w:val="none"/>
        </w:rPr>
        <w:t>36.5按下列程序进行开标：</w:t>
      </w:r>
    </w:p>
    <w:p>
      <w:pPr>
        <w:spacing w:line="360" w:lineRule="auto"/>
        <w:ind w:firstLine="480" w:firstLineChars="200"/>
        <w:rPr>
          <w:color w:val="auto"/>
          <w:sz w:val="24"/>
          <w:highlight w:val="none"/>
        </w:rPr>
      </w:pPr>
      <w:r>
        <w:rPr>
          <w:rFonts w:hint="eastAsia"/>
          <w:color w:val="auto"/>
          <w:sz w:val="24"/>
          <w:highlight w:val="none"/>
        </w:rPr>
        <w:t>36.5.1在投标截止时间后半小时内，投标人通过</w:t>
      </w:r>
      <w:r>
        <w:rPr>
          <w:color w:val="auto"/>
          <w:sz w:val="24"/>
          <w:szCs w:val="24"/>
          <w:highlight w:val="none"/>
          <w:u w:val="single"/>
        </w:rPr>
        <w:t xml:space="preserve">        </w:t>
      </w:r>
      <w:r>
        <w:rPr>
          <w:rFonts w:hint="eastAsia"/>
          <w:color w:val="auto"/>
          <w:sz w:val="24"/>
          <w:szCs w:val="24"/>
          <w:highlight w:val="none"/>
        </w:rPr>
        <w:t>交易平台</w:t>
      </w:r>
      <w:r>
        <w:rPr>
          <w:rFonts w:hint="eastAsia"/>
          <w:color w:val="auto"/>
          <w:sz w:val="24"/>
          <w:highlight w:val="none"/>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color w:val="auto"/>
          <w:sz w:val="24"/>
          <w:highlight w:val="none"/>
        </w:rPr>
      </w:pPr>
      <w:r>
        <w:rPr>
          <w:rFonts w:hint="eastAsia"/>
          <w:color w:val="auto"/>
          <w:sz w:val="24"/>
          <w:highlight w:val="none"/>
        </w:rPr>
        <w:t>36.5.2备用光盘的读取按投标须知前附表第36项的规定执行；</w:t>
      </w:r>
    </w:p>
    <w:p>
      <w:pPr>
        <w:spacing w:line="360" w:lineRule="auto"/>
        <w:ind w:firstLine="480" w:firstLineChars="200"/>
        <w:rPr>
          <w:color w:val="auto"/>
          <w:sz w:val="24"/>
          <w:highlight w:val="none"/>
        </w:rPr>
      </w:pPr>
      <w:r>
        <w:rPr>
          <w:rFonts w:hint="eastAsia"/>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color w:val="auto"/>
          <w:sz w:val="24"/>
          <w:highlight w:val="none"/>
        </w:rPr>
      </w:pPr>
      <w:r>
        <w:rPr>
          <w:rFonts w:hint="eastAsia"/>
          <w:color w:val="auto"/>
          <w:sz w:val="24"/>
          <w:highlight w:val="none"/>
        </w:rPr>
        <w:t>36.5.4开标结束。</w:t>
      </w:r>
    </w:p>
    <w:p>
      <w:pPr>
        <w:spacing w:line="360" w:lineRule="auto"/>
        <w:ind w:firstLine="480" w:firstLineChars="200"/>
        <w:rPr>
          <w:color w:val="auto"/>
          <w:sz w:val="24"/>
          <w:highlight w:val="none"/>
        </w:rPr>
      </w:pPr>
      <w:r>
        <w:rPr>
          <w:rFonts w:hint="eastAsia"/>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color w:val="auto"/>
          <w:sz w:val="24"/>
          <w:highlight w:val="none"/>
        </w:rPr>
      </w:pPr>
      <w:r>
        <w:rPr>
          <w:rFonts w:hint="eastAsia"/>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color w:val="auto"/>
          <w:sz w:val="24"/>
          <w:szCs w:val="24"/>
          <w:highlight w:val="none"/>
        </w:rPr>
      </w:pPr>
      <w:r>
        <w:rPr>
          <w:color w:val="auto"/>
          <w:sz w:val="24"/>
          <w:szCs w:val="24"/>
          <w:highlight w:val="none"/>
        </w:rPr>
        <w:t>37</w:t>
      </w:r>
      <w:r>
        <w:rPr>
          <w:rFonts w:hint="eastAsia"/>
          <w:color w:val="auto"/>
          <w:sz w:val="24"/>
          <w:szCs w:val="24"/>
          <w:highlight w:val="none"/>
        </w:rPr>
        <w:t>．评标</w:t>
      </w:r>
    </w:p>
    <w:p>
      <w:pPr>
        <w:spacing w:line="360" w:lineRule="auto"/>
        <w:ind w:firstLine="480" w:firstLineChars="200"/>
        <w:rPr>
          <w:color w:val="auto"/>
          <w:sz w:val="24"/>
          <w:szCs w:val="24"/>
          <w:highlight w:val="none"/>
        </w:rPr>
      </w:pPr>
      <w:r>
        <w:rPr>
          <w:color w:val="auto"/>
          <w:sz w:val="24"/>
          <w:szCs w:val="24"/>
          <w:highlight w:val="none"/>
        </w:rPr>
        <w:t>37.1</w:t>
      </w:r>
      <w:r>
        <w:rPr>
          <w:rFonts w:hint="eastAsia"/>
          <w:color w:val="auto"/>
          <w:sz w:val="24"/>
          <w:szCs w:val="24"/>
          <w:highlight w:val="none"/>
        </w:rPr>
        <w:t>评标委员会由招标人依法组建。</w:t>
      </w:r>
    </w:p>
    <w:p>
      <w:pPr>
        <w:spacing w:line="360" w:lineRule="auto"/>
        <w:ind w:firstLine="480" w:firstLineChars="200"/>
        <w:rPr>
          <w:color w:val="auto"/>
          <w:sz w:val="24"/>
          <w:szCs w:val="24"/>
          <w:highlight w:val="none"/>
        </w:rPr>
      </w:pPr>
      <w:r>
        <w:rPr>
          <w:color w:val="auto"/>
          <w:sz w:val="24"/>
          <w:szCs w:val="24"/>
          <w:highlight w:val="none"/>
        </w:rPr>
        <w:t>37.2</w:t>
      </w:r>
      <w:r>
        <w:rPr>
          <w:rFonts w:hint="eastAsia"/>
          <w:color w:val="auto"/>
          <w:sz w:val="24"/>
          <w:szCs w:val="24"/>
          <w:highlight w:val="none"/>
        </w:rPr>
        <w:t>评标委员会的职责及守则：</w:t>
      </w:r>
    </w:p>
    <w:p>
      <w:pPr>
        <w:spacing w:line="360" w:lineRule="auto"/>
        <w:ind w:firstLine="480" w:firstLineChars="200"/>
        <w:rPr>
          <w:color w:val="auto"/>
          <w:sz w:val="24"/>
          <w:szCs w:val="24"/>
          <w:highlight w:val="none"/>
        </w:rPr>
      </w:pPr>
      <w:r>
        <w:rPr>
          <w:color w:val="auto"/>
          <w:sz w:val="24"/>
          <w:szCs w:val="24"/>
          <w:highlight w:val="none"/>
        </w:rPr>
        <w:t>37.2.1</w:t>
      </w:r>
      <w:r>
        <w:rPr>
          <w:rFonts w:hint="eastAsia"/>
          <w:color w:val="auto"/>
          <w:sz w:val="24"/>
          <w:szCs w:val="24"/>
          <w:highlight w:val="none"/>
        </w:rPr>
        <w:t>根据评标细则，对</w:t>
      </w:r>
      <w:r>
        <w:rPr>
          <w:rFonts w:hint="eastAsia"/>
          <w:color w:val="auto"/>
          <w:sz w:val="24"/>
          <w:highlight w:val="none"/>
        </w:rPr>
        <w:t>投标文件</w:t>
      </w:r>
      <w:r>
        <w:rPr>
          <w:rFonts w:hint="eastAsia"/>
          <w:color w:val="auto"/>
          <w:sz w:val="24"/>
          <w:szCs w:val="24"/>
          <w:highlight w:val="none"/>
        </w:rPr>
        <w:t>进行认真评审，完成评审报告；</w:t>
      </w:r>
    </w:p>
    <w:p>
      <w:pPr>
        <w:spacing w:line="360" w:lineRule="auto"/>
        <w:ind w:firstLine="480" w:firstLineChars="200"/>
        <w:rPr>
          <w:color w:val="auto"/>
          <w:sz w:val="24"/>
          <w:szCs w:val="24"/>
          <w:highlight w:val="none"/>
        </w:rPr>
      </w:pPr>
      <w:r>
        <w:rPr>
          <w:color w:val="auto"/>
          <w:sz w:val="24"/>
          <w:szCs w:val="24"/>
          <w:highlight w:val="none"/>
        </w:rPr>
        <w:t>37.2.2</w:t>
      </w:r>
      <w:r>
        <w:rPr>
          <w:rFonts w:hint="eastAsia"/>
          <w:color w:val="auto"/>
          <w:sz w:val="24"/>
          <w:szCs w:val="24"/>
          <w:highlight w:val="none"/>
        </w:rPr>
        <w:t>向招标人报告评审意见，推荐合格的中标候选人。</w:t>
      </w:r>
    </w:p>
    <w:p>
      <w:pPr>
        <w:spacing w:line="360" w:lineRule="auto"/>
        <w:ind w:firstLine="480" w:firstLineChars="200"/>
        <w:rPr>
          <w:color w:val="auto"/>
          <w:sz w:val="24"/>
          <w:szCs w:val="24"/>
          <w:highlight w:val="none"/>
        </w:rPr>
      </w:pPr>
      <w:r>
        <w:rPr>
          <w:bCs/>
          <w:color w:val="auto"/>
          <w:sz w:val="24"/>
          <w:szCs w:val="24"/>
          <w:highlight w:val="none"/>
        </w:rPr>
        <w:t>37.2.3</w:t>
      </w:r>
      <w:r>
        <w:rPr>
          <w:b/>
          <w:bCs/>
          <w:color w:val="auto"/>
          <w:sz w:val="24"/>
          <w:szCs w:val="24"/>
          <w:highlight w:val="none"/>
        </w:rPr>
        <w:t xml:space="preserve"> </w:t>
      </w:r>
      <w:r>
        <w:rPr>
          <w:rFonts w:hint="eastAsia"/>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color w:val="auto"/>
          <w:sz w:val="24"/>
          <w:szCs w:val="24"/>
          <w:highlight w:val="none"/>
        </w:rPr>
      </w:pPr>
      <w:r>
        <w:rPr>
          <w:color w:val="auto"/>
          <w:sz w:val="24"/>
          <w:szCs w:val="24"/>
          <w:highlight w:val="none"/>
        </w:rPr>
        <w:t>37.2.4</w:t>
      </w:r>
      <w:r>
        <w:rPr>
          <w:rFonts w:hint="eastAsia"/>
          <w:color w:val="auto"/>
          <w:sz w:val="24"/>
          <w:szCs w:val="24"/>
          <w:highlight w:val="none"/>
        </w:rPr>
        <w:t>全体参与评标人员：</w:t>
      </w:r>
    </w:p>
    <w:p>
      <w:pPr>
        <w:spacing w:line="360" w:lineRule="auto"/>
        <w:ind w:firstLine="480" w:firstLineChars="200"/>
        <w:rPr>
          <w:color w:val="auto"/>
          <w:sz w:val="24"/>
          <w:szCs w:val="24"/>
          <w:highlight w:val="none"/>
        </w:rPr>
      </w:pPr>
      <w:r>
        <w:rPr>
          <w:color w:val="auto"/>
          <w:sz w:val="24"/>
          <w:szCs w:val="24"/>
          <w:highlight w:val="none"/>
        </w:rPr>
        <w:t xml:space="preserve">37.2.4.1 </w:t>
      </w:r>
      <w:r>
        <w:rPr>
          <w:rFonts w:hint="eastAsia"/>
          <w:color w:val="auto"/>
          <w:sz w:val="24"/>
          <w:szCs w:val="24"/>
          <w:highlight w:val="none"/>
        </w:rPr>
        <w:t>必须遵守评标纪律、不得泄密；</w:t>
      </w:r>
    </w:p>
    <w:p>
      <w:pPr>
        <w:spacing w:line="360" w:lineRule="auto"/>
        <w:ind w:firstLine="480" w:firstLineChars="200"/>
        <w:rPr>
          <w:color w:val="auto"/>
          <w:sz w:val="24"/>
          <w:szCs w:val="24"/>
          <w:highlight w:val="none"/>
        </w:rPr>
      </w:pPr>
      <w:r>
        <w:rPr>
          <w:color w:val="auto"/>
          <w:sz w:val="24"/>
          <w:szCs w:val="24"/>
          <w:highlight w:val="none"/>
        </w:rPr>
        <w:t xml:space="preserve">37.2.4.2 </w:t>
      </w:r>
      <w:r>
        <w:rPr>
          <w:rFonts w:hint="eastAsia"/>
          <w:color w:val="auto"/>
          <w:sz w:val="24"/>
          <w:szCs w:val="24"/>
          <w:highlight w:val="none"/>
        </w:rPr>
        <w:t>必须公正、不得</w:t>
      </w:r>
      <w:r>
        <w:rPr>
          <w:rFonts w:hint="eastAsia"/>
          <w:color w:val="auto"/>
          <w:sz w:val="24"/>
          <w:szCs w:val="24"/>
          <w:highlight w:val="none"/>
          <w:lang w:eastAsia="zh-CN"/>
        </w:rPr>
        <w:t>徇私</w:t>
      </w:r>
      <w:r>
        <w:rPr>
          <w:rFonts w:hint="eastAsia"/>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 xml:space="preserve">37.2.4.3 </w:t>
      </w:r>
      <w:r>
        <w:rPr>
          <w:rFonts w:hint="eastAsia"/>
          <w:color w:val="auto"/>
          <w:sz w:val="24"/>
          <w:szCs w:val="24"/>
          <w:highlight w:val="none"/>
        </w:rPr>
        <w:t>必须科学、不得草率；</w:t>
      </w:r>
    </w:p>
    <w:p>
      <w:pPr>
        <w:spacing w:line="360" w:lineRule="auto"/>
        <w:ind w:firstLine="480" w:firstLineChars="200"/>
        <w:rPr>
          <w:color w:val="auto"/>
          <w:sz w:val="24"/>
          <w:szCs w:val="24"/>
          <w:highlight w:val="none"/>
        </w:rPr>
      </w:pPr>
      <w:r>
        <w:rPr>
          <w:color w:val="auto"/>
          <w:sz w:val="24"/>
          <w:szCs w:val="24"/>
          <w:highlight w:val="none"/>
        </w:rPr>
        <w:t xml:space="preserve">37.2.4.4 </w:t>
      </w:r>
      <w:r>
        <w:rPr>
          <w:rFonts w:hint="eastAsia"/>
          <w:color w:val="auto"/>
          <w:sz w:val="24"/>
          <w:szCs w:val="24"/>
          <w:highlight w:val="none"/>
        </w:rPr>
        <w:t>必须客观、不得带有成见；</w:t>
      </w:r>
    </w:p>
    <w:p>
      <w:pPr>
        <w:spacing w:line="360" w:lineRule="auto"/>
        <w:ind w:firstLine="480" w:firstLineChars="200"/>
        <w:rPr>
          <w:color w:val="auto"/>
          <w:sz w:val="24"/>
          <w:szCs w:val="24"/>
          <w:highlight w:val="none"/>
        </w:rPr>
      </w:pPr>
      <w:r>
        <w:rPr>
          <w:color w:val="auto"/>
          <w:sz w:val="24"/>
          <w:szCs w:val="24"/>
          <w:highlight w:val="none"/>
        </w:rPr>
        <w:t xml:space="preserve">37.2.4.5 </w:t>
      </w:r>
      <w:r>
        <w:rPr>
          <w:rFonts w:hint="eastAsia"/>
          <w:color w:val="auto"/>
          <w:sz w:val="24"/>
          <w:szCs w:val="24"/>
          <w:highlight w:val="none"/>
        </w:rPr>
        <w:t>必须平等、不得强加于人；</w:t>
      </w:r>
    </w:p>
    <w:p>
      <w:pPr>
        <w:spacing w:line="360" w:lineRule="auto"/>
        <w:ind w:firstLine="480" w:firstLineChars="200"/>
        <w:rPr>
          <w:color w:val="auto"/>
          <w:sz w:val="24"/>
          <w:szCs w:val="24"/>
          <w:highlight w:val="none"/>
        </w:rPr>
      </w:pPr>
      <w:r>
        <w:rPr>
          <w:color w:val="auto"/>
          <w:sz w:val="24"/>
          <w:szCs w:val="24"/>
          <w:highlight w:val="none"/>
        </w:rPr>
        <w:t xml:space="preserve">37.2.4.6 </w:t>
      </w:r>
      <w:r>
        <w:rPr>
          <w:rFonts w:hint="eastAsia"/>
          <w:color w:val="auto"/>
          <w:sz w:val="24"/>
          <w:szCs w:val="24"/>
          <w:highlight w:val="none"/>
        </w:rPr>
        <w:t>必须严谨、不得随意马虎。</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color w:val="auto"/>
          <w:sz w:val="24"/>
          <w:szCs w:val="24"/>
          <w:highlight w:val="none"/>
        </w:rPr>
      </w:pPr>
      <w:r>
        <w:rPr>
          <w:rFonts w:hint="eastAsia"/>
          <w:color w:val="auto"/>
          <w:sz w:val="24"/>
          <w:szCs w:val="24"/>
          <w:highlight w:val="none"/>
        </w:rPr>
        <w:t>37.4评标结束后，评标委员会递交评标报告并依法推荐中标候选人。</w:t>
      </w:r>
      <w:r>
        <w:rPr>
          <w:color w:val="auto"/>
          <w:sz w:val="24"/>
          <w:szCs w:val="24"/>
          <w:highlight w:val="none"/>
        </w:rPr>
        <w:t xml:space="preserve"> </w:t>
      </w:r>
    </w:p>
    <w:p>
      <w:pPr>
        <w:spacing w:line="360" w:lineRule="auto"/>
        <w:ind w:firstLine="480" w:firstLineChars="200"/>
        <w:rPr>
          <w:color w:val="auto"/>
          <w:sz w:val="24"/>
          <w:szCs w:val="24"/>
          <w:highlight w:val="none"/>
        </w:rPr>
      </w:pPr>
      <w:r>
        <w:rPr>
          <w:color w:val="auto"/>
          <w:sz w:val="24"/>
          <w:szCs w:val="24"/>
          <w:highlight w:val="none"/>
        </w:rPr>
        <w:t>38</w:t>
      </w:r>
      <w:r>
        <w:rPr>
          <w:rFonts w:hint="eastAsia"/>
          <w:color w:val="auto"/>
          <w:sz w:val="24"/>
          <w:szCs w:val="24"/>
          <w:highlight w:val="none"/>
        </w:rPr>
        <w:t>．投标文件的澄清</w:t>
      </w:r>
    </w:p>
    <w:p>
      <w:pPr>
        <w:spacing w:line="360" w:lineRule="auto"/>
        <w:ind w:firstLine="480" w:firstLineChars="200"/>
        <w:rPr>
          <w:color w:val="auto"/>
          <w:sz w:val="24"/>
          <w:szCs w:val="24"/>
          <w:highlight w:val="none"/>
        </w:rPr>
      </w:pPr>
      <w:r>
        <w:rPr>
          <w:color w:val="auto"/>
          <w:sz w:val="24"/>
          <w:szCs w:val="24"/>
          <w:highlight w:val="none"/>
        </w:rPr>
        <w:t>38.1</w:t>
      </w:r>
      <w:r>
        <w:rPr>
          <w:rFonts w:hint="eastAsia"/>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color w:val="auto"/>
          <w:sz w:val="24"/>
          <w:szCs w:val="24"/>
          <w:highlight w:val="none"/>
        </w:rPr>
      </w:pPr>
      <w:r>
        <w:rPr>
          <w:color w:val="auto"/>
          <w:sz w:val="24"/>
          <w:szCs w:val="24"/>
          <w:highlight w:val="none"/>
        </w:rPr>
        <w:t xml:space="preserve">38.2 </w:t>
      </w:r>
      <w:r>
        <w:rPr>
          <w:rFonts w:hint="eastAsia"/>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color w:val="auto"/>
          <w:sz w:val="24"/>
          <w:szCs w:val="24"/>
          <w:highlight w:val="none"/>
        </w:rPr>
      </w:pPr>
      <w:r>
        <w:rPr>
          <w:color w:val="auto"/>
          <w:sz w:val="24"/>
          <w:szCs w:val="24"/>
          <w:highlight w:val="none"/>
        </w:rPr>
        <w:t xml:space="preserve">38.3 </w:t>
      </w:r>
      <w:r>
        <w:rPr>
          <w:rFonts w:hint="eastAsia"/>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color w:val="auto"/>
          <w:sz w:val="24"/>
          <w:szCs w:val="24"/>
          <w:highlight w:val="none"/>
        </w:rPr>
      </w:pPr>
      <w:r>
        <w:rPr>
          <w:color w:val="auto"/>
          <w:sz w:val="24"/>
          <w:szCs w:val="24"/>
          <w:highlight w:val="none"/>
        </w:rPr>
        <w:t>38.4</w:t>
      </w:r>
      <w:r>
        <w:rPr>
          <w:rFonts w:hint="eastAsia"/>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color w:val="auto"/>
          <w:sz w:val="24"/>
          <w:szCs w:val="24"/>
          <w:highlight w:val="none"/>
        </w:rPr>
      </w:pPr>
      <w:r>
        <w:rPr>
          <w:rFonts w:hint="eastAsia"/>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color w:val="auto"/>
          <w:sz w:val="24"/>
          <w:szCs w:val="24"/>
          <w:highlight w:val="none"/>
        </w:rPr>
      </w:pPr>
      <w:r>
        <w:rPr>
          <w:color w:val="auto"/>
          <w:sz w:val="24"/>
          <w:szCs w:val="24"/>
          <w:highlight w:val="none"/>
        </w:rPr>
        <w:t>39</w:t>
      </w:r>
      <w:r>
        <w:rPr>
          <w:rFonts w:hint="eastAsia"/>
          <w:color w:val="auto"/>
          <w:sz w:val="24"/>
          <w:szCs w:val="24"/>
          <w:highlight w:val="none"/>
        </w:rPr>
        <w:t>．定标</w:t>
      </w:r>
    </w:p>
    <w:p>
      <w:pPr>
        <w:spacing w:line="360" w:lineRule="auto"/>
        <w:ind w:firstLine="480" w:firstLineChars="200"/>
        <w:rPr>
          <w:color w:val="auto"/>
          <w:sz w:val="24"/>
          <w:szCs w:val="24"/>
          <w:highlight w:val="none"/>
        </w:rPr>
      </w:pPr>
      <w:r>
        <w:rPr>
          <w:color w:val="auto"/>
          <w:sz w:val="24"/>
          <w:szCs w:val="24"/>
          <w:highlight w:val="none"/>
        </w:rPr>
        <w:t xml:space="preserve">39.1 </w:t>
      </w:r>
      <w:r>
        <w:rPr>
          <w:rFonts w:hint="eastAsia"/>
          <w:color w:val="auto"/>
          <w:sz w:val="24"/>
          <w:szCs w:val="24"/>
          <w:highlight w:val="none"/>
        </w:rPr>
        <w:t>招标人根据评标委员会递交的评标报告，最终审定中标人。</w:t>
      </w:r>
    </w:p>
    <w:p>
      <w:pPr>
        <w:spacing w:line="360" w:lineRule="auto"/>
        <w:ind w:firstLine="480" w:firstLineChars="200"/>
        <w:rPr>
          <w:color w:val="auto"/>
          <w:sz w:val="24"/>
          <w:szCs w:val="24"/>
          <w:highlight w:val="none"/>
        </w:rPr>
      </w:pPr>
      <w:r>
        <w:rPr>
          <w:color w:val="auto"/>
          <w:sz w:val="24"/>
          <w:szCs w:val="24"/>
          <w:highlight w:val="none"/>
        </w:rPr>
        <w:t xml:space="preserve">39.2 </w:t>
      </w:r>
      <w:r>
        <w:rPr>
          <w:rFonts w:hint="eastAsia"/>
          <w:color w:val="auto"/>
          <w:sz w:val="24"/>
          <w:szCs w:val="24"/>
          <w:highlight w:val="none"/>
        </w:rPr>
        <w:t>依法必须进行公开招标的项目，招标人应当确定排名第一的中标候选人为中标人。</w:t>
      </w:r>
    </w:p>
    <w:p>
      <w:pPr>
        <w:spacing w:line="360" w:lineRule="auto"/>
        <w:ind w:firstLine="480" w:firstLineChars="200"/>
        <w:rPr>
          <w:color w:val="auto"/>
          <w:sz w:val="24"/>
          <w:szCs w:val="24"/>
          <w:highlight w:val="none"/>
        </w:rPr>
      </w:pPr>
      <w:r>
        <w:rPr>
          <w:color w:val="auto"/>
          <w:sz w:val="24"/>
          <w:szCs w:val="24"/>
          <w:highlight w:val="none"/>
        </w:rPr>
        <w:t>39.3</w:t>
      </w:r>
      <w:r>
        <w:rPr>
          <w:rFonts w:hint="eastAsia"/>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color w:val="auto"/>
          <w:sz w:val="24"/>
          <w:szCs w:val="24"/>
          <w:highlight w:val="none"/>
        </w:rPr>
      </w:pPr>
      <w:r>
        <w:rPr>
          <w:color w:val="auto"/>
          <w:sz w:val="24"/>
          <w:szCs w:val="24"/>
          <w:highlight w:val="none"/>
        </w:rPr>
        <w:t>39.4</w:t>
      </w:r>
      <w:r>
        <w:rPr>
          <w:rFonts w:hint="eastAsia"/>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color w:val="auto"/>
          <w:sz w:val="24"/>
          <w:szCs w:val="24"/>
          <w:highlight w:val="none"/>
        </w:rPr>
      </w:pPr>
      <w:r>
        <w:rPr>
          <w:rFonts w:hint="eastAsia"/>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color w:val="auto"/>
          <w:highlight w:val="none"/>
        </w:rPr>
      </w:pPr>
      <w:bookmarkStart w:id="22" w:name="_Toc6205"/>
      <w:r>
        <w:rPr>
          <w:rFonts w:hint="eastAsia"/>
          <w:color w:val="auto"/>
          <w:highlight w:val="none"/>
        </w:rPr>
        <w:t>（二）开标评标办法程序和细则</w:t>
      </w:r>
      <w:bookmarkEnd w:id="22"/>
    </w:p>
    <w:p>
      <w:pPr>
        <w:spacing w:line="360" w:lineRule="auto"/>
        <w:ind w:firstLine="480" w:firstLineChars="200"/>
        <w:rPr>
          <w:color w:val="auto"/>
          <w:sz w:val="24"/>
          <w:szCs w:val="24"/>
          <w:highlight w:val="none"/>
        </w:rPr>
      </w:pPr>
      <w:r>
        <w:rPr>
          <w:rFonts w:hint="eastAsia"/>
          <w:color w:val="auto"/>
          <w:sz w:val="24"/>
          <w:szCs w:val="24"/>
          <w:highlight w:val="none"/>
        </w:rPr>
        <w:t>注：以下八种评标办法所述企业综合诚信评价分数即投标截止当日广州市工程招标代理行业协会网站上公布的企业综合诚信评价</w:t>
      </w:r>
      <w:r>
        <w:rPr>
          <w:color w:val="auto"/>
          <w:sz w:val="24"/>
          <w:szCs w:val="24"/>
          <w:highlight w:val="none"/>
        </w:rPr>
        <w:t>60</w:t>
      </w:r>
      <w:r>
        <w:rPr>
          <w:rFonts w:hint="eastAsia"/>
          <w:color w:val="auto"/>
          <w:sz w:val="24"/>
          <w:szCs w:val="24"/>
          <w:highlight w:val="none"/>
        </w:rPr>
        <w:t>日诚信分。</w:t>
      </w:r>
    </w:p>
    <w:p>
      <w:pPr>
        <w:widowControl/>
        <w:spacing w:before="100" w:beforeAutospacing="1" w:after="100" w:afterAutospacing="1"/>
        <w:ind w:firstLine="540" w:firstLineChars="200"/>
        <w:jc w:val="left"/>
        <w:outlineLvl w:val="2"/>
        <w:rPr>
          <w:rFonts w:cs="宋体"/>
          <w:color w:val="auto"/>
          <w:kern w:val="0"/>
          <w:sz w:val="27"/>
          <w:szCs w:val="27"/>
          <w:highlight w:val="none"/>
        </w:rPr>
      </w:pPr>
      <w:bookmarkStart w:id="23" w:name="_Toc27910"/>
      <w:bookmarkStart w:id="24" w:name="_Toc26319"/>
      <w:bookmarkStart w:id="25" w:name="_Toc25530"/>
      <w:r>
        <w:rPr>
          <w:rFonts w:hint="eastAsia" w:cs="宋体"/>
          <w:color w:val="auto"/>
          <w:kern w:val="0"/>
          <w:sz w:val="27"/>
          <w:szCs w:val="27"/>
          <w:highlight w:val="none"/>
        </w:rPr>
        <w:t>可选办法七（适合综合评分法四，技术标与经济标同时开启）</w:t>
      </w:r>
      <w:bookmarkEnd w:id="23"/>
      <w:bookmarkEnd w:id="24"/>
      <w:bookmarkEnd w:id="25"/>
    </w:p>
    <w:p>
      <w:pPr>
        <w:snapToGrid w:val="0"/>
        <w:spacing w:line="360" w:lineRule="auto"/>
        <w:ind w:firstLine="480" w:firstLineChars="200"/>
        <w:rPr>
          <w:color w:val="auto"/>
          <w:sz w:val="24"/>
          <w:szCs w:val="24"/>
          <w:highlight w:val="none"/>
        </w:rPr>
      </w:pPr>
      <w:r>
        <w:rPr>
          <w:rFonts w:hint="eastAsia"/>
          <w:color w:val="auto"/>
          <w:sz w:val="24"/>
          <w:szCs w:val="24"/>
          <w:highlight w:val="none"/>
        </w:rPr>
        <w:t>40．开标和评标程序</w:t>
      </w:r>
    </w:p>
    <w:p>
      <w:pPr>
        <w:snapToGrid w:val="0"/>
        <w:spacing w:line="360" w:lineRule="auto"/>
        <w:ind w:firstLine="480" w:firstLineChars="200"/>
        <w:rPr>
          <w:color w:val="auto"/>
          <w:sz w:val="24"/>
          <w:szCs w:val="24"/>
          <w:highlight w:val="none"/>
        </w:rPr>
      </w:pPr>
      <w:r>
        <w:rPr>
          <w:rFonts w:hint="eastAsia"/>
          <w:color w:val="auto"/>
          <w:sz w:val="24"/>
          <w:szCs w:val="24"/>
          <w:highlight w:val="none"/>
        </w:rPr>
        <w:t>40.1技术标（含资格审查文件）与经济标投标文件同时公开开标；</w:t>
      </w:r>
    </w:p>
    <w:p>
      <w:pPr>
        <w:snapToGrid w:val="0"/>
        <w:spacing w:line="360" w:lineRule="auto"/>
        <w:ind w:firstLine="480" w:firstLineChars="200"/>
        <w:rPr>
          <w:color w:val="auto"/>
          <w:sz w:val="24"/>
          <w:szCs w:val="24"/>
          <w:highlight w:val="none"/>
        </w:rPr>
      </w:pPr>
      <w:r>
        <w:rPr>
          <w:rFonts w:hint="eastAsia"/>
          <w:color w:val="auto"/>
          <w:sz w:val="24"/>
          <w:szCs w:val="24"/>
          <w:highlight w:val="none"/>
        </w:rPr>
        <w:t>40.2由评标委员会对所有已公开开标的投标人进行资格审查；</w:t>
      </w:r>
    </w:p>
    <w:p>
      <w:pPr>
        <w:snapToGrid w:val="0"/>
        <w:spacing w:line="360" w:lineRule="auto"/>
        <w:ind w:firstLine="480" w:firstLineChars="200"/>
        <w:rPr>
          <w:color w:val="auto"/>
          <w:sz w:val="24"/>
          <w:szCs w:val="24"/>
          <w:highlight w:val="none"/>
        </w:rPr>
      </w:pPr>
      <w:r>
        <w:rPr>
          <w:rFonts w:hint="eastAsia"/>
          <w:color w:val="auto"/>
          <w:sz w:val="24"/>
          <w:szCs w:val="24"/>
          <w:highlight w:val="none"/>
        </w:rPr>
        <w:t>40.3技术标投标文件有效性审查；</w:t>
      </w:r>
    </w:p>
    <w:p>
      <w:pPr>
        <w:snapToGrid w:val="0"/>
        <w:spacing w:line="360" w:lineRule="auto"/>
        <w:ind w:firstLine="480" w:firstLineChars="200"/>
        <w:rPr>
          <w:color w:val="auto"/>
          <w:sz w:val="24"/>
          <w:szCs w:val="24"/>
          <w:highlight w:val="none"/>
        </w:rPr>
      </w:pPr>
      <w:r>
        <w:rPr>
          <w:rFonts w:hint="eastAsia"/>
          <w:color w:val="auto"/>
          <w:sz w:val="24"/>
          <w:szCs w:val="24"/>
          <w:highlight w:val="none"/>
        </w:rPr>
        <w:t>40.4技术标详细审查评分；</w:t>
      </w:r>
    </w:p>
    <w:p>
      <w:pPr>
        <w:snapToGrid w:val="0"/>
        <w:spacing w:line="360" w:lineRule="auto"/>
        <w:ind w:firstLine="480" w:firstLineChars="200"/>
        <w:rPr>
          <w:color w:val="auto"/>
          <w:sz w:val="24"/>
          <w:szCs w:val="24"/>
          <w:highlight w:val="none"/>
        </w:rPr>
      </w:pPr>
      <w:r>
        <w:rPr>
          <w:rFonts w:hint="eastAsia"/>
          <w:color w:val="auto"/>
          <w:sz w:val="24"/>
          <w:szCs w:val="24"/>
          <w:highlight w:val="none"/>
        </w:rPr>
        <w:t>40.5经济标详细审查评分；</w:t>
      </w:r>
      <w:r>
        <w:rPr>
          <w:color w:val="auto"/>
          <w:sz w:val="24"/>
          <w:szCs w:val="24"/>
          <w:highlight w:val="none"/>
        </w:rPr>
        <w:t xml:space="preserve"> </w:t>
      </w:r>
    </w:p>
    <w:p>
      <w:pPr>
        <w:snapToGrid w:val="0"/>
        <w:spacing w:line="360" w:lineRule="auto"/>
        <w:ind w:firstLine="480" w:firstLineChars="200"/>
        <w:rPr>
          <w:color w:val="auto"/>
          <w:sz w:val="24"/>
          <w:szCs w:val="24"/>
          <w:highlight w:val="none"/>
        </w:rPr>
      </w:pPr>
      <w:r>
        <w:rPr>
          <w:rFonts w:hint="eastAsia"/>
          <w:color w:val="auto"/>
          <w:sz w:val="24"/>
          <w:szCs w:val="24"/>
          <w:highlight w:val="none"/>
        </w:rPr>
        <w:t>40.6评标委员会按照投标人总得分由高至低排序；</w:t>
      </w:r>
    </w:p>
    <w:p>
      <w:pPr>
        <w:snapToGrid w:val="0"/>
        <w:spacing w:line="360" w:lineRule="auto"/>
        <w:ind w:firstLine="480" w:firstLineChars="200"/>
        <w:rPr>
          <w:color w:val="auto"/>
          <w:sz w:val="24"/>
          <w:szCs w:val="24"/>
          <w:highlight w:val="none"/>
        </w:rPr>
      </w:pPr>
      <w:r>
        <w:rPr>
          <w:rFonts w:hint="eastAsia"/>
          <w:color w:val="auto"/>
          <w:sz w:val="24"/>
          <w:szCs w:val="24"/>
          <w:highlight w:val="none"/>
        </w:rPr>
        <w:t>40.7经济标投标文件有效性审查；</w:t>
      </w:r>
    </w:p>
    <w:p>
      <w:pPr>
        <w:snapToGrid w:val="0"/>
        <w:spacing w:line="360" w:lineRule="auto"/>
        <w:ind w:firstLine="480" w:firstLineChars="200"/>
        <w:rPr>
          <w:color w:val="auto"/>
          <w:szCs w:val="21"/>
          <w:highlight w:val="none"/>
        </w:rPr>
      </w:pPr>
      <w:r>
        <w:rPr>
          <w:rFonts w:hint="eastAsia"/>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color w:val="auto"/>
          <w:sz w:val="24"/>
          <w:szCs w:val="24"/>
          <w:highlight w:val="none"/>
        </w:rPr>
      </w:pPr>
      <w:r>
        <w:rPr>
          <w:rFonts w:hint="eastAsia"/>
          <w:color w:val="auto"/>
          <w:sz w:val="24"/>
          <w:szCs w:val="24"/>
          <w:highlight w:val="none"/>
        </w:rPr>
        <w:t>41．开标细则</w:t>
      </w:r>
    </w:p>
    <w:p>
      <w:pPr>
        <w:snapToGrid w:val="0"/>
        <w:spacing w:line="360" w:lineRule="auto"/>
        <w:ind w:firstLine="480" w:firstLineChars="200"/>
        <w:rPr>
          <w:color w:val="auto"/>
          <w:sz w:val="24"/>
          <w:szCs w:val="24"/>
          <w:highlight w:val="none"/>
        </w:rPr>
      </w:pPr>
      <w:r>
        <w:rPr>
          <w:rFonts w:hint="eastAsia"/>
          <w:color w:val="auto"/>
          <w:sz w:val="24"/>
          <w:szCs w:val="24"/>
          <w:highlight w:val="none"/>
        </w:rPr>
        <w:t>41.1开标由招标人主持；</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 细则</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41.2.1投标截止期前，各投标人递交投标文件（包括技术标投标文件、经济标投标文件）至</w:t>
      </w:r>
      <w:r>
        <w:rPr>
          <w:rFonts w:hint="eastAsia"/>
          <w:color w:val="auto"/>
          <w:sz w:val="24"/>
          <w:szCs w:val="24"/>
          <w:highlight w:val="none"/>
          <w:u w:val="single"/>
        </w:rPr>
        <w:t xml:space="preserve">        </w:t>
      </w:r>
      <w:r>
        <w:rPr>
          <w:rFonts w:hint="eastAsia"/>
          <w:color w:val="auto"/>
          <w:sz w:val="24"/>
          <w:szCs w:val="24"/>
          <w:highlight w:val="none"/>
        </w:rPr>
        <w:t xml:space="preserve">交易平台。有关投标文件提交的事项详见第一章投标须知。 </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41.2.2开标前，首先由招标人随机抽取确定该工程计算评标参考价的等分点值X。</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41.2.3开标时，投标人代表有权参加现场开标或</w:t>
      </w:r>
      <w:r>
        <w:rPr>
          <w:rFonts w:hint="eastAsia"/>
          <w:b/>
          <w:bCs/>
          <w:color w:val="auto"/>
          <w:sz w:val="24"/>
          <w:szCs w:val="24"/>
          <w:highlight w:val="none"/>
        </w:rPr>
        <w:t>在线开标</w:t>
      </w:r>
      <w:r>
        <w:rPr>
          <w:rFonts w:hint="eastAsia"/>
          <w:color w:val="auto"/>
          <w:sz w:val="24"/>
          <w:szCs w:val="24"/>
          <w:highlight w:val="none"/>
        </w:rPr>
        <w:t>，也可以自主决定不参加开标，若投标人代表对开标过程有异议的，</w:t>
      </w:r>
      <w:r>
        <w:rPr>
          <w:rFonts w:hint="eastAsia"/>
          <w:b/>
          <w:bCs/>
          <w:color w:val="auto"/>
          <w:sz w:val="24"/>
          <w:szCs w:val="24"/>
          <w:highlight w:val="none"/>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color w:val="auto"/>
          <w:sz w:val="24"/>
          <w:szCs w:val="24"/>
          <w:highlight w:val="none"/>
        </w:rPr>
        <w:t>。</w:t>
      </w:r>
    </w:p>
    <w:p>
      <w:pPr>
        <w:snapToGrid w:val="0"/>
        <w:spacing w:line="360" w:lineRule="auto"/>
        <w:ind w:firstLine="480" w:firstLineChars="200"/>
        <w:rPr>
          <w:color w:val="auto"/>
          <w:sz w:val="24"/>
          <w:szCs w:val="24"/>
          <w:highlight w:val="none"/>
        </w:rPr>
      </w:pPr>
      <w:r>
        <w:rPr>
          <w:rFonts w:hint="eastAsia"/>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color w:val="auto"/>
          <w:sz w:val="24"/>
          <w:szCs w:val="24"/>
          <w:highlight w:val="none"/>
        </w:rPr>
      </w:pPr>
      <w:r>
        <w:rPr>
          <w:rFonts w:hint="eastAsia"/>
          <w:color w:val="auto"/>
          <w:sz w:val="24"/>
          <w:szCs w:val="24"/>
          <w:highlight w:val="none"/>
        </w:rPr>
        <w:t>41.2.4.1开标时，公布：a、投标人名称；b、</w:t>
      </w:r>
      <w:r>
        <w:rPr>
          <w:rFonts w:hint="eastAsia"/>
          <w:color w:val="auto"/>
          <w:sz w:val="24"/>
          <w:highlight w:val="none"/>
        </w:rPr>
        <w:t>投标文件</w:t>
      </w:r>
      <w:r>
        <w:rPr>
          <w:rFonts w:hint="eastAsia"/>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color w:val="auto"/>
          <w:sz w:val="24"/>
          <w:szCs w:val="24"/>
          <w:highlight w:val="none"/>
        </w:rPr>
      </w:pPr>
      <w:r>
        <w:rPr>
          <w:rFonts w:hint="eastAsia"/>
          <w:color w:val="auto"/>
          <w:sz w:val="24"/>
          <w:szCs w:val="24"/>
          <w:highlight w:val="none"/>
        </w:rPr>
        <w:t>41.3招标人对开标过程进行记录，并存档备查，投标人在技术标开标记录上签字。</w:t>
      </w:r>
    </w:p>
    <w:p>
      <w:pPr>
        <w:snapToGrid w:val="0"/>
        <w:spacing w:line="360" w:lineRule="auto"/>
        <w:ind w:firstLine="480" w:firstLineChars="200"/>
        <w:rPr>
          <w:color w:val="auto"/>
          <w:sz w:val="24"/>
          <w:szCs w:val="24"/>
          <w:highlight w:val="none"/>
        </w:rPr>
      </w:pPr>
      <w:r>
        <w:rPr>
          <w:rFonts w:hint="eastAsia"/>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color w:val="auto"/>
          <w:sz w:val="24"/>
          <w:szCs w:val="24"/>
          <w:highlight w:val="none"/>
        </w:rPr>
      </w:pPr>
      <w:r>
        <w:rPr>
          <w:rFonts w:hint="eastAsia"/>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pPr>
        <w:widowControl/>
        <w:spacing w:line="360" w:lineRule="auto"/>
        <w:ind w:firstLine="482" w:firstLineChars="200"/>
        <w:rPr>
          <w:b/>
          <w:bCs/>
          <w:color w:val="auto"/>
          <w:kern w:val="0"/>
          <w:sz w:val="24"/>
          <w:szCs w:val="24"/>
          <w:highlight w:val="none"/>
        </w:rPr>
      </w:pPr>
      <w:r>
        <w:rPr>
          <w:rFonts w:hint="eastAsia" w:cs="仿宋"/>
          <w:b/>
          <w:bCs/>
          <w:color w:val="auto"/>
          <w:kern w:val="0"/>
          <w:sz w:val="24"/>
          <w:szCs w:val="24"/>
          <w:highlight w:val="none"/>
        </w:rPr>
        <w:t>方法一：加权平均法</w:t>
      </w:r>
    </w:p>
    <w:p>
      <w:pPr>
        <w:spacing w:line="360" w:lineRule="auto"/>
        <w:ind w:firstLine="480" w:firstLineChars="200"/>
        <w:rPr>
          <w:rFonts w:cs="仿宋"/>
          <w:color w:val="auto"/>
          <w:sz w:val="24"/>
          <w:szCs w:val="24"/>
          <w:highlight w:val="none"/>
        </w:rPr>
      </w:pPr>
      <w:r>
        <w:rPr>
          <w:rFonts w:hint="eastAsia" w:cs="仿宋"/>
          <w:color w:val="auto"/>
          <w:sz w:val="24"/>
          <w:szCs w:val="24"/>
          <w:highlight w:val="none"/>
        </w:rPr>
        <w:t>技术标或技术标加诚信得分（具体由招标人自定）前</w:t>
      </w:r>
      <w:r>
        <w:rPr>
          <w:rFonts w:cs="仿宋"/>
          <w:color w:val="auto"/>
          <w:sz w:val="24"/>
          <w:szCs w:val="24"/>
          <w:highlight w:val="none"/>
        </w:rPr>
        <w:t>N</w:t>
      </w:r>
      <w:r>
        <w:rPr>
          <w:rFonts w:hint="eastAsia" w:cs="仿宋"/>
          <w:color w:val="auto"/>
          <w:sz w:val="24"/>
          <w:szCs w:val="24"/>
          <w:highlight w:val="none"/>
        </w:rPr>
        <w:t>名（N≥5，具体由招标人自定）的经济报价加权平均，计算评标参考价。公式如下：</w:t>
      </w:r>
    </w:p>
    <w:p>
      <w:pPr>
        <w:spacing w:line="360" w:lineRule="auto"/>
        <w:ind w:firstLine="480" w:firstLineChars="200"/>
        <w:rPr>
          <w:rFonts w:cs="仿宋"/>
          <w:color w:val="auto"/>
          <w:sz w:val="24"/>
          <w:szCs w:val="24"/>
          <w:highlight w:val="none"/>
        </w:rPr>
      </w:pPr>
      <w:r>
        <w:rPr>
          <w:rFonts w:hint="eastAsia" w:cs="仿宋"/>
          <w:color w:val="auto"/>
          <w:sz w:val="24"/>
          <w:szCs w:val="24"/>
          <w:highlight w:val="none"/>
        </w:rPr>
        <w:t>评标参考价</w:t>
      </w:r>
      <w:r>
        <w:rPr>
          <w:rFonts w:cs="仿宋"/>
          <w:color w:val="auto"/>
          <w:sz w:val="24"/>
          <w:szCs w:val="24"/>
          <w:highlight w:val="none"/>
        </w:rPr>
        <w:t>=</w:t>
      </w:r>
      <w:r>
        <w:rPr>
          <w:rFonts w:hint="eastAsia" w:cs="仿宋"/>
          <w:color w:val="auto"/>
          <w:sz w:val="24"/>
          <w:szCs w:val="24"/>
          <w:highlight w:val="none"/>
        </w:rPr>
        <w:t>Σ（投标人的投标报价</w:t>
      </w:r>
      <w:r>
        <w:rPr>
          <w:rFonts w:cs="仿宋"/>
          <w:color w:val="auto"/>
          <w:sz w:val="24"/>
          <w:szCs w:val="24"/>
          <w:highlight w:val="none"/>
        </w:rPr>
        <w:t>*</w:t>
      </w:r>
      <w:r>
        <w:rPr>
          <w:rFonts w:hint="eastAsia" w:cs="仿宋"/>
          <w:color w:val="auto"/>
          <w:sz w:val="24"/>
          <w:szCs w:val="24"/>
          <w:highlight w:val="none"/>
        </w:rPr>
        <w:t>报价权重）。</w:t>
      </w:r>
    </w:p>
    <w:p>
      <w:pPr>
        <w:spacing w:line="360" w:lineRule="auto"/>
        <w:ind w:firstLine="480" w:firstLineChars="200"/>
        <w:rPr>
          <w:rFonts w:cs="仿宋"/>
          <w:color w:val="auto"/>
          <w:sz w:val="24"/>
          <w:szCs w:val="24"/>
          <w:highlight w:val="none"/>
        </w:rPr>
      </w:pPr>
      <w:r>
        <w:rPr>
          <w:rFonts w:hint="eastAsia" w:cs="仿宋"/>
          <w:color w:val="auto"/>
          <w:sz w:val="24"/>
          <w:szCs w:val="24"/>
          <w:highlight w:val="none"/>
        </w:rPr>
        <w:t>其中：报价权重的计算方法为：将</w:t>
      </w:r>
      <w:r>
        <w:rPr>
          <w:rFonts w:cs="仿宋"/>
          <w:color w:val="auto"/>
          <w:sz w:val="24"/>
          <w:szCs w:val="24"/>
          <w:highlight w:val="none"/>
        </w:rPr>
        <w:t>N</w:t>
      </w:r>
      <w:r>
        <w:rPr>
          <w:rFonts w:hint="eastAsia" w:cs="仿宋"/>
          <w:color w:val="auto"/>
          <w:sz w:val="24"/>
          <w:szCs w:val="24"/>
          <w:highlight w:val="none"/>
        </w:rPr>
        <w:t>名投标人按技术分由高至低进行排序，第一名投标人的权重为（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sz w:val="24"/>
          <w:szCs w:val="24"/>
          <w:highlight w:val="none"/>
        </w:rPr>
        <w:pict>
          <v:shape id="_x0000_i1031" o:spt="75" type="#_x0000_t75" style="height:35.25pt;width:30pt;" filled="f" stroked="f" coordsize="21600,21600">
            <v:path/>
            <v:fill on="f" focussize="0,0"/>
            <v:stroke on="f"/>
            <v:imagedata r:id="rId26" chromakey="#FFFFFF" o:title=""/>
            <o:lock v:ext="edit" grouping="f" rotation="f" aspectratio="t"/>
            <w10:wrap type="none"/>
            <w10:anchorlock/>
          </v:shape>
        </w:pict>
      </w:r>
      <w:r>
        <w:rPr>
          <w:rFonts w:cs="仿宋"/>
          <w:color w:val="auto"/>
          <w:sz w:val="24"/>
          <w:szCs w:val="24"/>
          <w:highlight w:val="none"/>
        </w:rPr>
        <w:fldChar w:fldCharType="separate"/>
      </w:r>
      <w:r>
        <w:rPr>
          <w:color w:val="auto"/>
          <w:sz w:val="24"/>
          <w:szCs w:val="24"/>
          <w:highlight w:val="none"/>
        </w:rPr>
        <w:pict>
          <v:shape id="_x0000_i1032" o:spt="75" type="#_x0000_t75" style="height:35.25pt;width:30pt;" filled="f" stroked="f" coordsize="21600,21600">
            <v:path/>
            <v:fill on="f" focussize="0,0"/>
            <v:stroke on="f"/>
            <v:imagedata r:id="rId26" chromakey="#FFFFFF" o:title=""/>
            <o:lock v:ext="edit" grouping="f" rotation="f" aspectratio="t"/>
            <w10:wrap type="none"/>
            <w10:anchorlock/>
          </v:shape>
        </w:pict>
      </w:r>
      <w:r>
        <w:rPr>
          <w:rFonts w:cs="仿宋"/>
          <w:color w:val="auto"/>
          <w:sz w:val="24"/>
          <w:szCs w:val="24"/>
          <w:highlight w:val="none"/>
        </w:rPr>
        <w:fldChar w:fldCharType="end"/>
      </w:r>
      <w:r>
        <w:rPr>
          <w:rFonts w:hint="eastAsia" w:cs="仿宋"/>
          <w:color w:val="auto"/>
          <w:sz w:val="24"/>
          <w:szCs w:val="24"/>
          <w:highlight w:val="none"/>
        </w:rPr>
        <w:t>），第二名投标人的权重为（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position w:val="-23"/>
          <w:sz w:val="24"/>
          <w:szCs w:val="24"/>
          <w:highlight w:val="none"/>
        </w:rPr>
        <w:pict>
          <v:shape id="_x0000_i1033" o:spt="75" type="#_x0000_t75" style="height:31.5pt;width:25.5pt;" filled="f" stroked="f" coordsize="21600,21600">
            <v:path/>
            <v:fill on="f" focussize="0,0"/>
            <v:stroke on="f"/>
            <v:imagedata r:id="rId27" chromakey="#FFFFFF" o:title=""/>
            <o:lock v:ext="edit" grouping="f" rotation="f" aspectratio="t"/>
            <w10:wrap type="none"/>
            <w10:anchorlock/>
          </v:shape>
        </w:pict>
      </w:r>
      <w:r>
        <w:rPr>
          <w:rFonts w:cs="仿宋"/>
          <w:color w:val="auto"/>
          <w:sz w:val="24"/>
          <w:szCs w:val="24"/>
          <w:highlight w:val="none"/>
        </w:rPr>
        <w:fldChar w:fldCharType="separate"/>
      </w:r>
      <w:r>
        <w:rPr>
          <w:color w:val="auto"/>
          <w:position w:val="-23"/>
          <w:sz w:val="24"/>
          <w:szCs w:val="24"/>
          <w:highlight w:val="none"/>
        </w:rPr>
        <w:pict>
          <v:shape id="_x0000_i1034" o:spt="75" type="#_x0000_t75" style="height:31.5pt;width:25.5pt;" filled="f" stroked="f" coordsize="21600,21600">
            <v:path/>
            <v:fill on="f" focussize="0,0"/>
            <v:stroke on="f"/>
            <v:imagedata r:id="rId27" chromakey="#FFFFFF" o:title=""/>
            <o:lock v:ext="edit" grouping="f" rotation="f" aspectratio="t"/>
            <w10:wrap type="none"/>
            <w10:anchorlock/>
          </v:shape>
        </w:pict>
      </w:r>
      <w:r>
        <w:rPr>
          <w:rFonts w:cs="仿宋"/>
          <w:color w:val="auto"/>
          <w:sz w:val="24"/>
          <w:szCs w:val="24"/>
          <w:highlight w:val="none"/>
        </w:rPr>
        <w:fldChar w:fldCharType="end"/>
      </w:r>
      <w:r>
        <w:rPr>
          <w:rFonts w:hint="eastAsia" w:cs="仿宋"/>
          <w:color w:val="auto"/>
          <w:sz w:val="24"/>
          <w:szCs w:val="24"/>
          <w:highlight w:val="none"/>
        </w:rPr>
        <w:t>），以此类推，最后一名投标人的权重为（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position w:val="-23"/>
          <w:sz w:val="24"/>
          <w:szCs w:val="24"/>
          <w:highlight w:val="none"/>
        </w:rPr>
        <w:pict>
          <v:shape id="_x0000_i1035" o:spt="75" type="#_x0000_t75" style="height:31.5pt;width:25.5pt;" filled="f" stroked="f" coordsize="21600,21600">
            <v:path/>
            <v:fill on="f" focussize="0,0"/>
            <v:stroke on="f"/>
            <v:imagedata r:id="rId28" chromakey="#FFFFFF" o:title=""/>
            <o:lock v:ext="edit" grouping="f" rotation="f" aspectratio="t"/>
            <w10:wrap type="none"/>
            <w10:anchorlock/>
          </v:shape>
        </w:pict>
      </w:r>
      <w:r>
        <w:rPr>
          <w:rFonts w:cs="仿宋"/>
          <w:color w:val="auto"/>
          <w:sz w:val="24"/>
          <w:szCs w:val="24"/>
          <w:highlight w:val="none"/>
        </w:rPr>
        <w:fldChar w:fldCharType="separate"/>
      </w:r>
      <w:r>
        <w:rPr>
          <w:color w:val="auto"/>
          <w:position w:val="-23"/>
          <w:sz w:val="24"/>
          <w:szCs w:val="24"/>
          <w:highlight w:val="none"/>
        </w:rPr>
        <w:pict>
          <v:shape id="_x0000_i1036" o:spt="75" type="#_x0000_t75" style="height:31.5pt;width:25.5pt;" filled="f" stroked="f" coordsize="21600,21600">
            <v:path/>
            <v:fill on="f" focussize="0,0"/>
            <v:stroke on="f"/>
            <v:imagedata r:id="rId28" chromakey="#FFFFFF" o:title=""/>
            <o:lock v:ext="edit" grouping="f" rotation="f" aspectratio="t"/>
            <w10:wrap type="none"/>
            <w10:anchorlock/>
          </v:shape>
        </w:pict>
      </w:r>
      <w:r>
        <w:rPr>
          <w:rFonts w:cs="仿宋"/>
          <w:color w:val="auto"/>
          <w:sz w:val="24"/>
          <w:szCs w:val="24"/>
          <w:highlight w:val="none"/>
        </w:rPr>
        <w:fldChar w:fldCharType="end"/>
      </w:r>
      <w:r>
        <w:rPr>
          <w:rFonts w:hint="eastAsia" w:cs="仿宋"/>
          <w:color w:val="auto"/>
          <w:sz w:val="24"/>
          <w:szCs w:val="24"/>
          <w:highlight w:val="none"/>
        </w:rPr>
        <w:t>）。</w:t>
      </w:r>
    </w:p>
    <w:p>
      <w:pPr>
        <w:widowControl/>
        <w:spacing w:line="360" w:lineRule="auto"/>
        <w:ind w:firstLine="482" w:firstLineChars="200"/>
        <w:rPr>
          <w:b/>
          <w:bCs/>
          <w:color w:val="auto"/>
          <w:kern w:val="0"/>
          <w:sz w:val="24"/>
          <w:szCs w:val="24"/>
          <w:highlight w:val="none"/>
        </w:rPr>
      </w:pPr>
      <w:r>
        <w:rPr>
          <w:rFonts w:hint="eastAsia" w:cs="仿宋"/>
          <w:b/>
          <w:bCs/>
          <w:color w:val="auto"/>
          <w:kern w:val="0"/>
          <w:sz w:val="24"/>
          <w:szCs w:val="24"/>
          <w:highlight w:val="none"/>
        </w:rPr>
        <w:t>方法二：区间抽取法</w:t>
      </w:r>
    </w:p>
    <w:p>
      <w:pPr>
        <w:widowControl/>
        <w:spacing w:line="360" w:lineRule="auto"/>
        <w:ind w:firstLine="480" w:firstLineChars="200"/>
        <w:rPr>
          <w:color w:val="auto"/>
          <w:kern w:val="0"/>
          <w:sz w:val="24"/>
          <w:szCs w:val="24"/>
          <w:highlight w:val="none"/>
        </w:rPr>
      </w:pPr>
      <w:r>
        <w:rPr>
          <w:rFonts w:hint="eastAsia"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80" w:firstLineChars="200"/>
        <w:rPr>
          <w:color w:val="auto"/>
          <w:kern w:val="0"/>
          <w:sz w:val="24"/>
          <w:szCs w:val="24"/>
          <w:highlight w:val="none"/>
          <w:vertAlign w:val="subscript"/>
        </w:rPr>
      </w:pPr>
      <w:r>
        <w:rPr>
          <w:rFonts w:hint="eastAsia" w:cs="仿宋"/>
          <w:color w:val="auto"/>
          <w:kern w:val="0"/>
          <w:sz w:val="24"/>
          <w:szCs w:val="24"/>
          <w:highlight w:val="none"/>
        </w:rPr>
        <w:t>评标参考价</w:t>
      </w:r>
      <w:r>
        <w:rPr>
          <w:rFonts w:cs="仿宋"/>
          <w:color w:val="auto"/>
          <w:kern w:val="0"/>
          <w:sz w:val="24"/>
          <w:szCs w:val="24"/>
          <w:highlight w:val="none"/>
        </w:rPr>
        <w:t>=</w:t>
      </w:r>
      <w:r>
        <w:rPr>
          <w:rFonts w:hint="eastAsia" w:cs="仿宋"/>
          <w:color w:val="auto"/>
          <w:kern w:val="0"/>
          <w:sz w:val="24"/>
          <w:szCs w:val="24"/>
          <w:highlight w:val="none"/>
        </w:rPr>
        <w:t>（</w:t>
      </w:r>
      <w:r>
        <w:rPr>
          <w:rFonts w:cs="仿宋"/>
          <w:color w:val="auto"/>
          <w:kern w:val="0"/>
          <w:sz w:val="24"/>
          <w:szCs w:val="24"/>
          <w:highlight w:val="none"/>
        </w:rPr>
        <w:t>Q</w:t>
      </w:r>
      <w:r>
        <w:rPr>
          <w:rFonts w:hint="eastAsia" w:cs="仿宋"/>
          <w:color w:val="auto"/>
          <w:kern w:val="0"/>
          <w:sz w:val="24"/>
          <w:szCs w:val="24"/>
          <w:highlight w:val="none"/>
          <w:vertAlign w:val="subscript"/>
        </w:rPr>
        <w:t>高</w:t>
      </w:r>
      <w:r>
        <w:rPr>
          <w:rFonts w:cs="仿宋"/>
          <w:color w:val="auto"/>
          <w:kern w:val="0"/>
          <w:sz w:val="24"/>
          <w:szCs w:val="24"/>
          <w:highlight w:val="none"/>
        </w:rPr>
        <w:t>-Q</w:t>
      </w:r>
      <w:r>
        <w:rPr>
          <w:rFonts w:hint="eastAsia" w:cs="仿宋"/>
          <w:color w:val="auto"/>
          <w:kern w:val="0"/>
          <w:sz w:val="24"/>
          <w:szCs w:val="24"/>
          <w:highlight w:val="none"/>
          <w:vertAlign w:val="subscript"/>
        </w:rPr>
        <w:t>低</w:t>
      </w:r>
      <w:r>
        <w:rPr>
          <w:rFonts w:hint="eastAsia" w:cs="仿宋"/>
          <w:color w:val="auto"/>
          <w:kern w:val="0"/>
          <w:sz w:val="24"/>
          <w:szCs w:val="24"/>
          <w:highlight w:val="none"/>
        </w:rPr>
        <w:t>）</w:t>
      </w:r>
      <w:r>
        <w:rPr>
          <w:rFonts w:cs="仿宋"/>
          <w:color w:val="auto"/>
          <w:kern w:val="0"/>
          <w:sz w:val="24"/>
          <w:szCs w:val="24"/>
          <w:highlight w:val="none"/>
        </w:rPr>
        <w:t>/100*</w:t>
      </w:r>
      <w:r>
        <w:rPr>
          <w:rFonts w:hint="eastAsia" w:cs="仿宋"/>
          <w:color w:val="auto"/>
          <w:kern w:val="0"/>
          <w:sz w:val="24"/>
          <w:szCs w:val="24"/>
          <w:highlight w:val="none"/>
        </w:rPr>
        <w:t>Ｘ</w:t>
      </w:r>
      <w:r>
        <w:rPr>
          <w:rFonts w:cs="仿宋"/>
          <w:color w:val="auto"/>
          <w:kern w:val="0"/>
          <w:sz w:val="24"/>
          <w:szCs w:val="24"/>
          <w:highlight w:val="none"/>
        </w:rPr>
        <w:t>+Q</w:t>
      </w:r>
      <w:r>
        <w:rPr>
          <w:rFonts w:hint="eastAsia" w:cs="仿宋"/>
          <w:color w:val="auto"/>
          <w:kern w:val="0"/>
          <w:sz w:val="24"/>
          <w:szCs w:val="24"/>
          <w:highlight w:val="none"/>
          <w:vertAlign w:val="subscript"/>
        </w:rPr>
        <w:t>低</w:t>
      </w:r>
    </w:p>
    <w:p>
      <w:pPr>
        <w:widowControl/>
        <w:spacing w:line="360" w:lineRule="auto"/>
        <w:ind w:firstLine="480" w:firstLineChars="200"/>
        <w:rPr>
          <w:color w:val="auto"/>
          <w:sz w:val="24"/>
          <w:szCs w:val="24"/>
          <w:highlight w:val="none"/>
        </w:rPr>
      </w:pPr>
      <w:r>
        <w:rPr>
          <w:rFonts w:cs="仿宋"/>
          <w:color w:val="auto"/>
          <w:sz w:val="24"/>
          <w:szCs w:val="24"/>
          <w:highlight w:val="none"/>
        </w:rPr>
        <w:t>Q</w:t>
      </w:r>
      <w:r>
        <w:rPr>
          <w:rFonts w:hint="eastAsia" w:cs="仿宋"/>
          <w:color w:val="auto"/>
          <w:sz w:val="24"/>
          <w:szCs w:val="24"/>
          <w:highlight w:val="none"/>
          <w:vertAlign w:val="subscript"/>
        </w:rPr>
        <w:t>低</w:t>
      </w:r>
      <w:r>
        <w:rPr>
          <w:rFonts w:hint="eastAsia"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cs="仿宋"/>
          <w:color w:val="auto"/>
          <w:sz w:val="24"/>
          <w:szCs w:val="24"/>
          <w:highlight w:val="none"/>
        </w:rPr>
      </w:pPr>
      <w:r>
        <w:rPr>
          <w:rFonts w:cs="仿宋"/>
          <w:color w:val="auto"/>
          <w:kern w:val="0"/>
          <w:sz w:val="24"/>
          <w:szCs w:val="24"/>
          <w:highlight w:val="none"/>
        </w:rPr>
        <w:t>Q</w:t>
      </w:r>
      <w:r>
        <w:rPr>
          <w:rFonts w:hint="eastAsia" w:cs="仿宋"/>
          <w:color w:val="auto"/>
          <w:kern w:val="0"/>
          <w:sz w:val="24"/>
          <w:szCs w:val="24"/>
          <w:highlight w:val="none"/>
          <w:vertAlign w:val="subscript"/>
        </w:rPr>
        <w:t>高</w:t>
      </w:r>
      <w:r>
        <w:rPr>
          <w:rFonts w:hint="eastAsia" w:cs="仿宋"/>
          <w:color w:val="auto"/>
          <w:sz w:val="24"/>
          <w:szCs w:val="24"/>
          <w:highlight w:val="none"/>
        </w:rPr>
        <w:t>：为最高投标限价</w:t>
      </w:r>
    </w:p>
    <w:p>
      <w:pPr>
        <w:spacing w:line="360" w:lineRule="auto"/>
        <w:ind w:firstLine="480" w:firstLineChars="200"/>
        <w:rPr>
          <w:color w:val="auto"/>
          <w:sz w:val="24"/>
          <w:szCs w:val="24"/>
          <w:highlight w:val="none"/>
        </w:rPr>
      </w:pPr>
      <w:r>
        <w:rPr>
          <w:rFonts w:cs="仿宋"/>
          <w:color w:val="auto"/>
          <w:sz w:val="24"/>
          <w:szCs w:val="24"/>
          <w:highlight w:val="none"/>
        </w:rPr>
        <w:t>X:</w:t>
      </w:r>
      <w:r>
        <w:rPr>
          <w:rFonts w:hint="eastAsia" w:cs="仿宋"/>
          <w:color w:val="auto"/>
          <w:sz w:val="24"/>
          <w:szCs w:val="24"/>
          <w:highlight w:val="none"/>
        </w:rPr>
        <w:t>为等分点值，在开标前从</w:t>
      </w:r>
      <w:r>
        <w:rPr>
          <w:rFonts w:cs="仿宋"/>
          <w:color w:val="auto"/>
          <w:sz w:val="24"/>
          <w:szCs w:val="24"/>
          <w:highlight w:val="none"/>
        </w:rPr>
        <w:t>[0,100]</w:t>
      </w:r>
      <w:r>
        <w:rPr>
          <w:rFonts w:hint="eastAsia" w:cs="仿宋"/>
          <w:color w:val="auto"/>
          <w:sz w:val="24"/>
          <w:szCs w:val="24"/>
          <w:highlight w:val="none"/>
        </w:rPr>
        <w:t>整数中随机抽取</w:t>
      </w:r>
    </w:p>
    <w:p>
      <w:pPr>
        <w:spacing w:line="360" w:lineRule="auto"/>
        <w:ind w:firstLine="480" w:firstLineChars="200"/>
        <w:rPr>
          <w:color w:val="auto"/>
          <w:sz w:val="24"/>
          <w:szCs w:val="24"/>
          <w:highlight w:val="none"/>
        </w:rPr>
      </w:pPr>
      <w:r>
        <w:rPr>
          <w:rFonts w:hint="eastAsia" w:cs="宋体"/>
          <w:color w:val="auto"/>
          <w:kern w:val="0"/>
          <w:sz w:val="24"/>
          <w:szCs w:val="24"/>
          <w:highlight w:val="none"/>
        </w:rPr>
        <w:t>45.3</w:t>
      </w:r>
      <w:r>
        <w:rPr>
          <w:rFonts w:hint="eastAsia"/>
          <w:color w:val="auto"/>
          <w:sz w:val="24"/>
          <w:szCs w:val="24"/>
          <w:highlight w:val="none"/>
        </w:rPr>
        <w:t>当标价等于评标参考价时得</w:t>
      </w:r>
      <w:r>
        <w:rPr>
          <w:color w:val="auto"/>
          <w:sz w:val="24"/>
          <w:szCs w:val="24"/>
          <w:highlight w:val="none"/>
        </w:rPr>
        <w:t>100</w:t>
      </w:r>
      <w:r>
        <w:rPr>
          <w:rFonts w:hint="eastAsia"/>
          <w:color w:val="auto"/>
          <w:sz w:val="24"/>
          <w:szCs w:val="24"/>
          <w:highlight w:val="none"/>
        </w:rPr>
        <w:t>分，标价每高于评标参考价</w:t>
      </w:r>
      <w:r>
        <w:rPr>
          <w:color w:val="auto"/>
          <w:sz w:val="24"/>
          <w:szCs w:val="24"/>
          <w:highlight w:val="none"/>
        </w:rPr>
        <w:t>1%</w:t>
      </w:r>
      <w:r>
        <w:rPr>
          <w:rFonts w:hint="eastAsia"/>
          <w:color w:val="auto"/>
          <w:sz w:val="24"/>
          <w:szCs w:val="24"/>
          <w:highlight w:val="none"/>
        </w:rPr>
        <w:t>，扣0</w:t>
      </w:r>
      <w:r>
        <w:rPr>
          <w:color w:val="auto"/>
          <w:sz w:val="24"/>
          <w:szCs w:val="24"/>
          <w:highlight w:val="none"/>
        </w:rPr>
        <w:t>.5</w:t>
      </w:r>
      <w:r>
        <w:rPr>
          <w:rFonts w:hint="eastAsia"/>
          <w:color w:val="auto"/>
          <w:sz w:val="24"/>
          <w:szCs w:val="24"/>
          <w:highlight w:val="none"/>
        </w:rPr>
        <w:t>分，每低于评标参考价</w:t>
      </w:r>
      <w:r>
        <w:rPr>
          <w:color w:val="auto"/>
          <w:sz w:val="24"/>
          <w:szCs w:val="24"/>
          <w:highlight w:val="none"/>
        </w:rPr>
        <w:t>1%</w:t>
      </w:r>
      <w:r>
        <w:rPr>
          <w:rFonts w:hint="eastAsia"/>
          <w:color w:val="auto"/>
          <w:sz w:val="24"/>
          <w:szCs w:val="24"/>
          <w:highlight w:val="none"/>
        </w:rPr>
        <w:t>，扣0.2分，扣至</w:t>
      </w:r>
      <w:r>
        <w:rPr>
          <w:color w:val="auto"/>
          <w:sz w:val="24"/>
          <w:szCs w:val="24"/>
          <w:highlight w:val="none"/>
        </w:rPr>
        <w:t>0</w:t>
      </w:r>
      <w:r>
        <w:rPr>
          <w:rFonts w:hint="eastAsia"/>
          <w:color w:val="auto"/>
          <w:sz w:val="24"/>
          <w:szCs w:val="24"/>
          <w:highlight w:val="none"/>
        </w:rPr>
        <w:t>分为止，得出经济分，精确到小数点后两位。</w:t>
      </w:r>
    </w:p>
    <w:p>
      <w:pPr>
        <w:pStyle w:val="5"/>
        <w:tabs>
          <w:tab w:val="left" w:pos="7380"/>
        </w:tabs>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color w:val="auto"/>
          <w:sz w:val="24"/>
          <w:szCs w:val="24"/>
          <w:highlight w:val="none"/>
        </w:rPr>
      </w:pPr>
      <w:r>
        <w:rPr>
          <w:rFonts w:hint="eastAsia"/>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6.2.1如果数字表示的金额和用文字表示的金额不一致时，应以文字表示的金额为准；</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6.2.2经算术复核的投标人报价与其投标报价不一致时，按就低不就高原则确定其最终报价；</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w:t>
      </w:r>
      <w:r>
        <w:rPr>
          <w:color w:val="auto"/>
          <w:sz w:val="24"/>
          <w:szCs w:val="24"/>
          <w:highlight w:val="none"/>
        </w:rPr>
        <w:t>4</w:t>
      </w:r>
      <w:r>
        <w:rPr>
          <w:rFonts w:hint="eastAsia"/>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color w:val="auto"/>
          <w:sz w:val="24"/>
          <w:szCs w:val="24"/>
          <w:highlight w:val="none"/>
        </w:rPr>
      </w:pPr>
      <w:r>
        <w:rPr>
          <w:rFonts w:hint="eastAsia"/>
          <w:color w:val="auto"/>
          <w:sz w:val="24"/>
          <w:szCs w:val="24"/>
          <w:highlight w:val="none"/>
        </w:rPr>
        <w:t xml:space="preserve"> </w:t>
      </w:r>
      <w:r>
        <w:rPr>
          <w:color w:val="auto"/>
          <w:sz w:val="24"/>
          <w:szCs w:val="24"/>
          <w:highlight w:val="none"/>
        </w:rPr>
        <w:t>4</w:t>
      </w:r>
      <w:r>
        <w:rPr>
          <w:rFonts w:hint="eastAsia"/>
          <w:color w:val="auto"/>
          <w:sz w:val="24"/>
          <w:szCs w:val="24"/>
          <w:highlight w:val="none"/>
        </w:rPr>
        <w:t>6.2.</w:t>
      </w:r>
      <w:r>
        <w:rPr>
          <w:color w:val="auto"/>
          <w:sz w:val="24"/>
          <w:szCs w:val="24"/>
          <w:highlight w:val="none"/>
        </w:rPr>
        <w:t>5</w:t>
      </w:r>
      <w:r>
        <w:rPr>
          <w:rFonts w:hint="eastAsia"/>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6</w:t>
      </w:r>
      <w:r>
        <w:rPr>
          <w:rFonts w:hint="eastAsia"/>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7</w:t>
      </w:r>
      <w:r>
        <w:rPr>
          <w:rFonts w:hint="eastAsia"/>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6.2.</w:t>
      </w:r>
      <w:r>
        <w:rPr>
          <w:color w:val="auto"/>
          <w:sz w:val="24"/>
          <w:szCs w:val="24"/>
          <w:highlight w:val="none"/>
        </w:rPr>
        <w:t>8</w:t>
      </w:r>
      <w:r>
        <w:rPr>
          <w:rFonts w:hint="eastAsia"/>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8.评标委员会应在通过投标文件经济标有效性审查的投标人中，按步骤45.4确定的投标人第二阶段排序，推荐前</w:t>
      </w:r>
      <w:r>
        <w:rPr>
          <w:color w:val="auto"/>
          <w:sz w:val="24"/>
          <w:szCs w:val="24"/>
          <w:highlight w:val="none"/>
        </w:rPr>
        <w:t>3</w:t>
      </w:r>
      <w:r>
        <w:rPr>
          <w:rFonts w:hint="eastAsia"/>
          <w:color w:val="auto"/>
          <w:sz w:val="24"/>
          <w:szCs w:val="24"/>
          <w:highlight w:val="none"/>
        </w:rPr>
        <w:t>名依次为第一中标候选人至第三中标候选人</w:t>
      </w:r>
      <w:r>
        <w:rPr>
          <w:color w:val="auto"/>
          <w:sz w:val="24"/>
          <w:szCs w:val="24"/>
          <w:highlight w:val="none"/>
        </w:rPr>
        <w:t>,</w:t>
      </w:r>
      <w:r>
        <w:rPr>
          <w:rFonts w:hint="eastAsia"/>
          <w:color w:val="auto"/>
          <w:sz w:val="24"/>
          <w:szCs w:val="24"/>
          <w:highlight w:val="none"/>
        </w:rPr>
        <w:t>并编制评标报告。</w:t>
      </w:r>
    </w:p>
    <w:p>
      <w:pPr>
        <w:spacing w:line="360" w:lineRule="auto"/>
        <w:ind w:firstLine="480" w:firstLineChars="200"/>
        <w:rPr>
          <w:rFonts w:hint="eastAsia" w:cs="宋体"/>
          <w:color w:val="auto"/>
          <w:sz w:val="24"/>
          <w:szCs w:val="24"/>
          <w:highlight w:val="none"/>
        </w:rPr>
      </w:pPr>
      <w:r>
        <w:rPr>
          <w:color w:val="auto"/>
          <w:sz w:val="24"/>
          <w:szCs w:val="24"/>
          <w:highlight w:val="none"/>
        </w:rPr>
        <w:t>4</w:t>
      </w:r>
      <w:r>
        <w:rPr>
          <w:rFonts w:hint="eastAsia"/>
          <w:color w:val="auto"/>
          <w:sz w:val="24"/>
          <w:szCs w:val="24"/>
          <w:highlight w:val="none"/>
        </w:rPr>
        <w:t>9.若通过经济标有效性审查的投标人不足三家，应当依法重新招标。（当</w:t>
      </w:r>
      <w:r>
        <w:rPr>
          <w:color w:val="auto"/>
          <w:sz w:val="24"/>
          <w:szCs w:val="24"/>
          <w:highlight w:val="none"/>
        </w:rPr>
        <w:t>N</w:t>
      </w:r>
      <w:r>
        <w:rPr>
          <w:rFonts w:hint="eastAsia"/>
          <w:color w:val="auto"/>
          <w:sz w:val="24"/>
          <w:szCs w:val="24"/>
          <w:highlight w:val="none"/>
        </w:rPr>
        <w:t>个标段同时招标且不允许兼中时，若有效投标人不足</w:t>
      </w:r>
      <w:r>
        <w:rPr>
          <w:color w:val="auto"/>
          <w:sz w:val="24"/>
          <w:szCs w:val="24"/>
          <w:highlight w:val="none"/>
        </w:rPr>
        <w:t>N+2</w:t>
      </w:r>
      <w:r>
        <w:rPr>
          <w:rFonts w:hint="eastAsia"/>
          <w:color w:val="auto"/>
          <w:sz w:val="24"/>
          <w:szCs w:val="24"/>
          <w:highlight w:val="none"/>
        </w:rPr>
        <w:t>家，应当依法重新招标）。</w:t>
      </w:r>
    </w:p>
    <w:p>
      <w:pPr>
        <w:widowControl/>
        <w:snapToGrid w:val="0"/>
        <w:spacing w:line="360" w:lineRule="auto"/>
        <w:ind w:right="102"/>
        <w:jc w:val="left"/>
        <w:rPr>
          <w:color w:val="auto"/>
          <w:sz w:val="24"/>
          <w:szCs w:val="24"/>
          <w:highlight w:val="none"/>
        </w:rPr>
      </w:pPr>
    </w:p>
    <w:p>
      <w:pPr>
        <w:widowControl/>
        <w:snapToGrid w:val="0"/>
        <w:spacing w:line="360" w:lineRule="auto"/>
        <w:ind w:right="102"/>
        <w:jc w:val="left"/>
        <w:rPr>
          <w:color w:val="auto"/>
          <w:sz w:val="24"/>
          <w:szCs w:val="24"/>
          <w:highlight w:val="none"/>
        </w:rPr>
        <w:sectPr>
          <w:footerReference r:id="rId10" w:type="first"/>
          <w:footerReference r:id="rId9" w:type="default"/>
          <w:endnotePr>
            <w:numFmt w:val="decimal"/>
          </w:endnotePr>
          <w:pgSz w:w="11906" w:h="16838"/>
          <w:pgMar w:top="850" w:right="1020" w:bottom="850" w:left="1134" w:header="851" w:footer="454" w:gutter="0"/>
          <w:pgNumType w:start="1"/>
          <w:cols w:space="720" w:num="1"/>
          <w:docGrid w:type="lines" w:linePitch="312" w:charSpace="0"/>
        </w:sectPr>
      </w:pPr>
    </w:p>
    <w:p>
      <w:pPr>
        <w:widowControl/>
        <w:snapToGrid w:val="0"/>
        <w:spacing w:line="360" w:lineRule="auto"/>
        <w:ind w:right="102"/>
        <w:jc w:val="left"/>
        <w:rPr>
          <w:color w:val="auto"/>
          <w:szCs w:val="21"/>
          <w:highlight w:val="none"/>
        </w:rPr>
      </w:pPr>
      <w:r>
        <w:rPr>
          <w:rFonts w:hint="eastAsia"/>
          <w:color w:val="auto"/>
          <w:szCs w:val="21"/>
          <w:highlight w:val="none"/>
        </w:rPr>
        <w:t>附表一</w:t>
      </w:r>
    </w:p>
    <w:p>
      <w:pPr>
        <w:jc w:val="center"/>
        <w:rPr>
          <w:rFonts w:hint="eastAsia"/>
          <w:b/>
          <w:color w:val="auto"/>
          <w:sz w:val="36"/>
          <w:szCs w:val="36"/>
          <w:highlight w:val="none"/>
        </w:rPr>
      </w:pPr>
      <w:r>
        <w:rPr>
          <w:rFonts w:hint="eastAsia"/>
          <w:b/>
          <w:color w:val="auto"/>
          <w:sz w:val="36"/>
          <w:szCs w:val="36"/>
          <w:highlight w:val="none"/>
        </w:rPr>
        <w:t>资格审查表</w:t>
      </w:r>
    </w:p>
    <w:p>
      <w:pPr>
        <w:rPr>
          <w:color w:val="auto"/>
          <w:sz w:val="24"/>
          <w:szCs w:val="24"/>
          <w:highlight w:val="none"/>
        </w:rPr>
      </w:pPr>
      <w:r>
        <w:rPr>
          <w:rFonts w:hint="eastAsia"/>
          <w:color w:val="auto"/>
          <w:szCs w:val="21"/>
          <w:highlight w:val="none"/>
        </w:rPr>
        <w:t>工程名称：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214"/>
        <w:gridCol w:w="71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b/>
                <w:color w:val="auto"/>
                <w:szCs w:val="21"/>
                <w:highlight w:val="none"/>
              </w:rPr>
            </w:pPr>
            <w:r>
              <w:rPr>
                <w:rFonts w:hint="eastAsia" w:cs="宋体"/>
                <w:b/>
                <w:color w:val="auto"/>
                <w:szCs w:val="21"/>
                <w:highlight w:val="none"/>
              </w:rPr>
              <w:t>序号</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b/>
                <w:color w:val="auto"/>
                <w:szCs w:val="21"/>
                <w:highlight w:val="none"/>
              </w:rPr>
            </w:pPr>
            <w:r>
              <w:rPr>
                <w:rFonts w:hint="eastAsia" w:cs="宋体"/>
                <w:b/>
                <w:color w:val="auto"/>
                <w:szCs w:val="21"/>
                <w:highlight w:val="none"/>
              </w:rPr>
              <w:t>审查项目</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b/>
                <w:color w:val="auto"/>
                <w:szCs w:val="21"/>
                <w:highlight w:val="none"/>
              </w:rPr>
            </w:pPr>
            <w:r>
              <w:rPr>
                <w:rFonts w:hint="eastAsia" w:cs="宋体"/>
                <w:b/>
                <w:color w:val="auto"/>
                <w:szCs w:val="21"/>
                <w:highlight w:val="none"/>
              </w:rPr>
              <w:t>须审查的资料</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b/>
                <w:color w:val="auto"/>
                <w:szCs w:val="21"/>
                <w:highlight w:val="none"/>
              </w:rPr>
            </w:pPr>
            <w:r>
              <w:rPr>
                <w:rFonts w:hint="eastAsia"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1</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投标人参加投标的意思表达清楚，投标人代表被授权有效</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投标人声明、法定代表人证明书；委托投标的还应提供法人授权委托证明书</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2</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投标人具有独立法人资格，按国家法律经营</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营业执照在广州市住建行业信用管理平台内上传件</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3</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投标人持有建设行政主管部门颁发的有效期内的企业资质证书及安全生产许可证；投标人资质符合公告要求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u w:val="single"/>
              </w:rPr>
            </w:pPr>
            <w:r>
              <w:rPr>
                <w:rFonts w:hint="eastAsia" w:cs="宋体"/>
                <w:color w:val="auto"/>
                <w:szCs w:val="21"/>
                <w:highlight w:val="none"/>
              </w:rPr>
              <w:t>资质证书及安全生产许可证在广州市住建行业信用管理平台内上传件；</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4</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投标人拟担任本工程项目负责人符合公告要求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pStyle w:val="14"/>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有效期内的注册建造师注册证书在广州市住建行业信用平台内上传件。</w:t>
            </w:r>
          </w:p>
          <w:p>
            <w:pPr>
              <w:pStyle w:val="14"/>
              <w:rPr>
                <w:rFonts w:cs="宋体"/>
                <w:color w:val="auto"/>
                <w:sz w:val="21"/>
                <w:szCs w:val="21"/>
                <w:highlight w:val="none"/>
                <w:u w:val="single"/>
              </w:rPr>
            </w:pPr>
            <w:r>
              <w:rPr>
                <w:rFonts w:hint="eastAsia" w:hAnsi="宋体" w:cs="宋体"/>
                <w:color w:val="auto"/>
                <w:kern w:val="2"/>
                <w:sz w:val="21"/>
                <w:szCs w:val="21"/>
                <w:highlight w:val="none"/>
                <w:lang w:val="en-US" w:eastAsia="zh-CN"/>
              </w:rPr>
              <w:t>（注：打印建造师电子证书后，应在个人签名处手写本人签名再上传广州市住建行业信用平台，上传件未手写签名或与签名图像笔迹不一致的，该电子证书无效。）</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5</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szCs w:val="21"/>
                <w:highlight w:val="none"/>
              </w:rPr>
            </w:pPr>
            <w:r>
              <w:rPr>
                <w:rFonts w:hint="eastAsia" w:cs="宋体"/>
                <w:color w:val="auto"/>
                <w:szCs w:val="21"/>
                <w:highlight w:val="none"/>
              </w:rPr>
              <w:t>持有项目经理安全培训考核合格证（Ｂ类）或能够提供广东省建筑施工企业管理人员安全生产考核信息系统安全生产管理人员证书信息的打印页</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持有项目经理安全培训考核合格证（Ｂ类）或能够提供广东省建筑施工企业管理人员安全生产考核信息系统安全生产管理人员证书信息的打印页在广州市住建行业信用管理平台内上传件</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6</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color w:val="auto"/>
                <w:szCs w:val="21"/>
                <w:highlight w:val="none"/>
                <w:lang w:eastAsia="zh-CN"/>
              </w:rPr>
            </w:pPr>
            <w:r>
              <w:rPr>
                <w:rFonts w:hint="eastAsia" w:cs="宋体"/>
                <w:color w:val="auto"/>
                <w:szCs w:val="21"/>
                <w:highlight w:val="none"/>
              </w:rPr>
              <w:t>投标人拟担任本工程技术负责人符合公告要求</w:t>
            </w:r>
            <w:r>
              <w:rPr>
                <w:rFonts w:hint="eastAsia" w:cs="宋体"/>
                <w:color w:val="auto"/>
                <w:szCs w:val="21"/>
                <w:highlight w:val="none"/>
                <w:lang w:eastAsia="zh-CN"/>
              </w:rPr>
              <w:t>（</w:t>
            </w:r>
            <w:r>
              <w:rPr>
                <w:rFonts w:hint="eastAsia" w:cs="宋体"/>
                <w:color w:val="auto"/>
                <w:szCs w:val="21"/>
                <w:highlight w:val="none"/>
                <w:lang w:val="en-US" w:eastAsia="zh-CN"/>
              </w:rPr>
              <w:t>如有</w:t>
            </w:r>
            <w:r>
              <w:rPr>
                <w:rFonts w:hint="eastAsia" w:cs="宋体"/>
                <w:color w:val="auto"/>
                <w:szCs w:val="21"/>
                <w:highlight w:val="none"/>
                <w:lang w:eastAsia="zh-CN"/>
              </w:rPr>
              <w:t>）</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bCs/>
                <w:color w:val="auto"/>
                <w:szCs w:val="21"/>
                <w:highlight w:val="none"/>
                <w:u w:val="single"/>
              </w:rPr>
              <w:t>拟委派技术负责人的职称证书扫描件</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7</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专职安全员须具有在有效期内的安全生产考核合格证（C类）或广东省建筑施工企业管理人员安全生产考核信息系统安全生产管理人员证书信息的打印页</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bCs/>
                <w:color w:val="auto"/>
                <w:szCs w:val="21"/>
                <w:highlight w:val="none"/>
              </w:rPr>
              <w:t>专职安全员须具有在有效期内的安全生产考核合格证（C类）或广东省建筑施工企业管理人员安全生产考核信息系统安全生产管理人员证书信息的打印页</w:t>
            </w:r>
            <w:r>
              <w:rPr>
                <w:rFonts w:hint="eastAsia" w:cs="宋体"/>
                <w:color w:val="auto"/>
                <w:szCs w:val="21"/>
                <w:highlight w:val="none"/>
              </w:rPr>
              <w:t>在广州市住建行业信用管理平台内上传件</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8</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r>
              <w:rPr>
                <w:rFonts w:hint="eastAsia" w:cs="宋体"/>
                <w:color w:val="auto"/>
                <w:szCs w:val="21"/>
                <w:highlight w:val="none"/>
              </w:rPr>
              <w:t>投标人提供的投标人声明符合公告要求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s="宋体"/>
                <w:color w:val="auto"/>
                <w:szCs w:val="21"/>
                <w:highlight w:val="none"/>
              </w:rPr>
              <w:t>投标人声明</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9</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投标人声明中签字的项目负责人和技术负责人与本项目拟派的项目负责人和技术负责人一致</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网上投标时选择拟投标的项目负责人、资格审查文件中拟委派的技术负责人及投标人声明</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10</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jc w:val="left"/>
              <w:rPr>
                <w:rFonts w:cs="宋体"/>
                <w:color w:val="auto"/>
                <w:szCs w:val="21"/>
                <w:highlight w:val="none"/>
              </w:rPr>
            </w:pPr>
            <w:r>
              <w:rPr>
                <w:rFonts w:hint="eastAsia"/>
                <w:color w:val="auto"/>
                <w:szCs w:val="21"/>
                <w:highlight w:val="none"/>
              </w:rPr>
              <w:t>关于联合体投标：本项目不接受联合体投标。</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s="宋体"/>
                <w:color w:val="auto"/>
                <w:szCs w:val="21"/>
                <w:highlight w:val="none"/>
              </w:rPr>
            </w:pPr>
            <w:r>
              <w:rPr>
                <w:rFonts w:hint="eastAsia"/>
                <w:color w:val="auto"/>
                <w:szCs w:val="21"/>
                <w:highlight w:val="none"/>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1</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wordWrap w:val="0"/>
              <w:rPr>
                <w:rFonts w:cs="宋体"/>
                <w:color w:val="auto"/>
                <w:szCs w:val="21"/>
                <w:highlight w:val="none"/>
              </w:rPr>
            </w:pPr>
            <w:r>
              <w:rPr>
                <w:rFonts w:hint="eastAsia" w:cs="宋体"/>
                <w:color w:val="auto"/>
                <w:szCs w:val="21"/>
                <w:highlight w:val="none"/>
              </w:rPr>
              <w:t>资格审查前，投标人须在广州市住房和城乡建设局建立企业信用档案及拟担任本工程项目负责人、专职安全员须是本企业信用档案中的在册人员。</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rPr>
                <w:rFonts w:hint="eastAsia" w:hAnsi="Courier New"/>
                <w:color w:val="auto"/>
                <w:kern w:val="0"/>
                <w:szCs w:val="21"/>
                <w:highlight w:val="none"/>
              </w:rPr>
            </w:pPr>
            <w:r>
              <w:rPr>
                <w:rFonts w:hint="eastAsia" w:cs="宋体"/>
                <w:color w:val="auto"/>
                <w:szCs w:val="21"/>
                <w:highlight w:val="none"/>
              </w:rPr>
              <w:t>投标人在广州市住建行业信用管理平台内企业信用档案的企业和人员信息。</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2</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投标人未出现以下情形：与其它投标人的单位负责人为同一人或者存在控股、管理关系的（按投标人提供的《投标人声明》第八条内容进行评审）。</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投标人声明</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3</w:t>
            </w:r>
          </w:p>
        </w:tc>
        <w:tc>
          <w:tcPr>
            <w:tcW w:w="6214" w:type="dxa"/>
            <w:tcBorders>
              <w:top w:val="single" w:color="auto" w:sz="4" w:space="0"/>
              <w:left w:val="single" w:color="auto" w:sz="4" w:space="0"/>
              <w:bottom w:val="single" w:color="auto" w:sz="4" w:space="0"/>
              <w:right w:val="single" w:color="auto" w:sz="4" w:space="0"/>
            </w:tcBorders>
            <w:noWrap w:val="0"/>
            <w:vAlign w:val="center"/>
          </w:tcPr>
          <w:p>
            <w:pPr>
              <w:jc w:val="left"/>
              <w:rPr>
                <w:rFonts w:cs="宋体"/>
                <w:color w:val="auto"/>
                <w:szCs w:val="21"/>
                <w:highlight w:val="none"/>
              </w:rPr>
            </w:pPr>
            <w:r>
              <w:rPr>
                <w:rFonts w:hint="eastAsia" w:cs="宋体"/>
                <w:color w:val="auto"/>
                <w:szCs w:val="21"/>
                <w:highlight w:val="none"/>
                <w:u w:val="single"/>
              </w:rPr>
              <w:t>投标人</w:t>
            </w:r>
            <w:r>
              <w:rPr>
                <w:rFonts w:hint="eastAsia"/>
                <w:color w:val="auto"/>
                <w:szCs w:val="21"/>
                <w:highlight w:val="none"/>
                <w:u w:val="single"/>
              </w:rPr>
              <w:t>未被列入拖欠农民工工资失信联合惩戒对象名单</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jc w:val="left"/>
              <w:rPr>
                <w:rFonts w:cs="宋体"/>
                <w:color w:val="auto"/>
                <w:szCs w:val="21"/>
                <w:highlight w:val="none"/>
              </w:rPr>
            </w:pPr>
            <w:r>
              <w:rPr>
                <w:rFonts w:hint="eastAsia" w:cs="宋体"/>
                <w:color w:val="auto"/>
                <w:szCs w:val="21"/>
                <w:highlight w:val="none"/>
                <w:u w:val="single"/>
              </w:rPr>
              <w:t>未被列入拖欠农民工工资失信联合惩戒对象名单。（投标人无需提交资料，资格审查时，根据交易中心系统比对结果为准）</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auto"/>
                <w:szCs w:val="21"/>
                <w:highlight w:val="none"/>
              </w:rPr>
            </w:pPr>
          </w:p>
        </w:tc>
      </w:tr>
    </w:tbl>
    <w:p>
      <w:pPr>
        <w:ind w:firstLine="420" w:firstLineChars="200"/>
        <w:rPr>
          <w:color w:val="auto"/>
          <w:szCs w:val="21"/>
          <w:highlight w:val="none"/>
        </w:rPr>
      </w:pPr>
      <w:r>
        <w:rPr>
          <w:rFonts w:hint="eastAsia"/>
          <w:color w:val="auto"/>
          <w:szCs w:val="21"/>
          <w:highlight w:val="none"/>
        </w:rPr>
        <w:t xml:space="preserve">注：1、每一项目符合的打“○”，不符合的打“×”； </w:t>
      </w:r>
    </w:p>
    <w:p>
      <w:pPr>
        <w:ind w:firstLine="420" w:firstLineChars="200"/>
        <w:rPr>
          <w:color w:val="auto"/>
          <w:szCs w:val="21"/>
          <w:highlight w:val="none"/>
        </w:rPr>
      </w:pPr>
      <w:r>
        <w:rPr>
          <w:rFonts w:hint="eastAsia"/>
          <w:color w:val="auto"/>
          <w:szCs w:val="21"/>
          <w:highlight w:val="none"/>
        </w:rPr>
        <w:t>2、若评委意见不一致时，则按少数服从多数的原则，作出评审结论。汇总后，出现一个“×”的结论为“不通过”。</w:t>
      </w:r>
    </w:p>
    <w:p>
      <w:pPr>
        <w:ind w:firstLine="420" w:firstLineChars="200"/>
        <w:rPr>
          <w:color w:val="auto"/>
          <w:szCs w:val="21"/>
          <w:highlight w:val="none"/>
        </w:rPr>
      </w:pPr>
      <w:r>
        <w:rPr>
          <w:rFonts w:hint="eastAsia"/>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ind w:firstLine="420" w:firstLineChars="200"/>
        <w:rPr>
          <w:color w:val="auto"/>
          <w:highlight w:val="none"/>
        </w:rPr>
        <w:sectPr>
          <w:endnotePr>
            <w:numFmt w:val="decimal"/>
          </w:endnotePr>
          <w:pgSz w:w="16838" w:h="11905" w:orient="landscape"/>
          <w:pgMar w:top="850" w:right="1020" w:bottom="850" w:left="1134" w:header="850" w:footer="454" w:gutter="0"/>
          <w:cols w:space="720" w:num="1"/>
          <w:titlePg/>
          <w:docGrid w:type="lines" w:linePitch="319"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95"/>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序号</w:t>
            </w:r>
          </w:p>
        </w:tc>
        <w:tc>
          <w:tcPr>
            <w:tcW w:w="1109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投标人</w:t>
            </w:r>
          </w:p>
          <w:p>
            <w:pPr>
              <w:adjustRightInd w:val="0"/>
              <w:rPr>
                <w:color w:val="auto"/>
                <w:szCs w:val="21"/>
                <w:highlight w:val="none"/>
              </w:rPr>
            </w:pPr>
          </w:p>
          <w:p>
            <w:pPr>
              <w:adjustRightInd w:val="0"/>
              <w:rPr>
                <w:color w:val="auto"/>
                <w:szCs w:val="21"/>
                <w:highlight w:val="none"/>
              </w:rPr>
            </w:pPr>
            <w:r>
              <w:rPr>
                <w:rFonts w:hint="eastAsia"/>
                <w:color w:val="auto"/>
                <w:szCs w:val="21"/>
                <w:highlight w:val="none"/>
              </w:rPr>
              <w:t>评审内容</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1</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s="宋体"/>
                <w:color w:val="auto"/>
                <w:szCs w:val="21"/>
                <w:highlight w:val="none"/>
                <w:u w:val="single"/>
              </w:rPr>
              <w:t>《广州建设工程施工招标投标书》中的投标总工期</w:t>
            </w:r>
            <w:r>
              <w:rPr>
                <w:rFonts w:hint="eastAsia"/>
                <w:color w:val="auto"/>
                <w:szCs w:val="21"/>
                <w:highlight w:val="none"/>
              </w:rPr>
              <w:t>不能满足完成投标项目工期的；</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2</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cs="宋体"/>
                <w:color w:val="auto"/>
                <w:szCs w:val="21"/>
                <w:highlight w:val="none"/>
                <w:u w:val="single"/>
              </w:rPr>
            </w:pPr>
            <w:r>
              <w:rPr>
                <w:rFonts w:hint="eastAsia" w:cs="宋体"/>
                <w:color w:val="auto"/>
                <w:szCs w:val="21"/>
                <w:highlight w:val="none"/>
                <w:u w:val="single"/>
              </w:rPr>
              <w:t>《广州建设工程施工招标投标书》中的工程质量标准不符合招标文件要求的；</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3</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投标文件中没有有效的法定代表人证明书，或由委托代理人</w:t>
            </w:r>
            <w:r>
              <w:rPr>
                <w:rFonts w:hint="eastAsia"/>
                <w:color w:val="auto"/>
                <w:szCs w:val="21"/>
                <w:highlight w:val="none"/>
                <w:u w:val="single"/>
              </w:rPr>
              <w:t>签署或盖章</w:t>
            </w:r>
            <w:r>
              <w:rPr>
                <w:rFonts w:hint="eastAsia"/>
                <w:color w:val="auto"/>
                <w:szCs w:val="21"/>
                <w:highlight w:val="none"/>
              </w:rPr>
              <w:t>的投标文件中没有法定代表人授权书；</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4</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（指招标文件第四章提供格式一、格式二、格式三）</w:t>
            </w:r>
            <w:r>
              <w:rPr>
                <w:rFonts w:hint="eastAsia" w:cs="宋体"/>
                <w:color w:val="auto"/>
                <w:szCs w:val="21"/>
                <w:highlight w:val="none"/>
              </w:rPr>
              <w:t>，或主要内容（指投标文件组成内容）不全，或关键字迹模糊、无法辨认的；</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5</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投标人之间存在《广东省实施&lt;中华人民共和国招标投标法&gt;》第十六条所禁止的情形的；</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6</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无《参与编制技术标投标文件人员名单》的</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eastAsia="宋体"/>
                <w:color w:val="auto"/>
                <w:szCs w:val="21"/>
                <w:highlight w:val="none"/>
                <w:lang w:eastAsia="zh-CN"/>
              </w:rPr>
            </w:pPr>
            <w:r>
              <w:rPr>
                <w:rFonts w:hint="eastAsia"/>
                <w:color w:val="auto"/>
                <w:szCs w:val="21"/>
                <w:highlight w:val="none"/>
                <w:lang w:val="en-US" w:eastAsia="zh-CN"/>
              </w:rPr>
              <w:t>7</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color w:val="auto"/>
                <w:szCs w:val="21"/>
                <w:highlight w:val="none"/>
              </w:rPr>
            </w:pPr>
            <w:r>
              <w:rPr>
                <w:rFonts w:hint="eastAsia"/>
                <w:color w:val="auto"/>
                <w:szCs w:val="21"/>
                <w:highlight w:val="none"/>
              </w:rPr>
              <w:t>投标人与本项目其他投标人加密打包投标文件电脑机器特征码一致的(以交易平台评标系统的检索信息为准)</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color w:val="auto"/>
                <w:szCs w:val="21"/>
                <w:highlight w:val="none"/>
                <w:lang w:val="en-US" w:eastAsia="zh-CN"/>
              </w:rPr>
            </w:pPr>
            <w:r>
              <w:rPr>
                <w:rFonts w:hint="eastAsia"/>
                <w:color w:val="auto"/>
                <w:szCs w:val="21"/>
                <w:highlight w:val="none"/>
                <w:lang w:val="en-US" w:eastAsia="zh-CN"/>
              </w:rPr>
              <w:t>8</w:t>
            </w:r>
          </w:p>
        </w:tc>
        <w:tc>
          <w:tcPr>
            <w:tcW w:w="1109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color w:val="auto"/>
                <w:szCs w:val="21"/>
                <w:highlight w:val="none"/>
              </w:rPr>
            </w:pPr>
            <w:r>
              <w:rPr>
                <w:rFonts w:hint="eastAsia"/>
                <w:color w:val="auto"/>
                <w:szCs w:val="21"/>
                <w:highlight w:val="none"/>
                <w:lang w:eastAsia="zh-CN"/>
              </w:rPr>
              <w:t>没有按第</w:t>
            </w:r>
            <w:r>
              <w:rPr>
                <w:rFonts w:hint="eastAsia"/>
                <w:color w:val="auto"/>
                <w:szCs w:val="21"/>
                <w:highlight w:val="none"/>
                <w:lang w:val="en-US" w:eastAsia="zh-CN"/>
              </w:rPr>
              <w:t>五章“</w:t>
            </w:r>
            <w:r>
              <w:rPr>
                <w:rFonts w:hint="eastAsia"/>
                <w:color w:val="auto"/>
                <w:szCs w:val="21"/>
                <w:highlight w:val="none"/>
              </w:rPr>
              <w:t>★</w:t>
            </w:r>
            <w:r>
              <w:rPr>
                <w:rFonts w:hint="eastAsia"/>
                <w:color w:val="auto"/>
                <w:szCs w:val="21"/>
                <w:highlight w:val="none"/>
                <w:lang w:val="en-US" w:eastAsia="zh-CN"/>
              </w:rPr>
              <w:t>”条款要求编制投标文件。</w:t>
            </w: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adjustRightInd w:val="0"/>
              <w:rPr>
                <w:color w:val="auto"/>
                <w:szCs w:val="21"/>
                <w:highlight w:val="none"/>
              </w:rPr>
            </w:pPr>
          </w:p>
        </w:tc>
      </w:tr>
    </w:tbl>
    <w:p>
      <w:pPr>
        <w:rPr>
          <w:color w:val="auto"/>
          <w:szCs w:val="21"/>
          <w:highlight w:val="none"/>
        </w:rPr>
      </w:pPr>
      <w:r>
        <w:rPr>
          <w:rFonts w:hint="eastAsia"/>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color w:val="auto"/>
          <w:szCs w:val="21"/>
          <w:highlight w:val="none"/>
        </w:rPr>
      </w:pPr>
      <w:r>
        <w:rPr>
          <w:rFonts w:hint="eastAsia"/>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color w:val="auto"/>
          <w:szCs w:val="21"/>
          <w:highlight w:val="none"/>
        </w:rPr>
      </w:pPr>
      <w:r>
        <w:rPr>
          <w:rFonts w:hint="eastAsia"/>
          <w:color w:val="auto"/>
          <w:szCs w:val="21"/>
          <w:highlight w:val="none"/>
        </w:rPr>
        <w:t>3.凡出现以上任何一项情形，结论均为无效，否则就为有效。</w:t>
      </w:r>
    </w:p>
    <w:p>
      <w:pPr>
        <w:rPr>
          <w:color w:val="auto"/>
          <w:szCs w:val="21"/>
          <w:highlight w:val="none"/>
        </w:rPr>
      </w:pPr>
      <w:r>
        <w:rPr>
          <w:rFonts w:hint="eastAsia"/>
          <w:color w:val="auto"/>
          <w:szCs w:val="21"/>
          <w:highlight w:val="none"/>
        </w:rPr>
        <w:t>4.如对本表中某种情形的评审意见不一致时，以评标委员会过半数成员的意见作为评标委员会对该情形的认定结论。</w:t>
      </w:r>
    </w:p>
    <w:p>
      <w:pPr>
        <w:ind w:firstLine="420" w:firstLineChars="200"/>
        <w:rPr>
          <w:color w:val="auto"/>
          <w:szCs w:val="21"/>
          <w:highlight w:val="none"/>
        </w:rPr>
      </w:pPr>
      <w:r>
        <w:rPr>
          <w:rFonts w:hint="eastAsia"/>
          <w:color w:val="auto"/>
          <w:szCs w:val="21"/>
          <w:highlight w:val="none"/>
        </w:rPr>
        <w:t>评委签名：</w:t>
      </w:r>
    </w:p>
    <w:p>
      <w:pPr>
        <w:rPr>
          <w:rFonts w:hint="eastAsia"/>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935"/>
        <w:gridCol w:w="778"/>
        <w:gridCol w:w="778"/>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序号</w:t>
            </w:r>
          </w:p>
        </w:tc>
        <w:tc>
          <w:tcPr>
            <w:tcW w:w="1193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投标人</w:t>
            </w:r>
          </w:p>
          <w:p>
            <w:pPr>
              <w:rPr>
                <w:color w:val="auto"/>
                <w:szCs w:val="21"/>
                <w:highlight w:val="none"/>
              </w:rPr>
            </w:pPr>
            <w:r>
              <w:rPr>
                <w:rFonts w:hint="eastAsia"/>
                <w:color w:val="auto"/>
                <w:szCs w:val="21"/>
                <w:highlight w:val="none"/>
              </w:rPr>
              <w:t>评审内容</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1</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对同一招标项目出现两个或以上的投标报价，且没有申明哪个有效；</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2</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投标报价高于最高投标限价的；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3</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2" w:leftChars="-1"/>
              <w:jc w:val="left"/>
              <w:rPr>
                <w:color w:val="auto"/>
                <w:szCs w:val="21"/>
                <w:highlight w:val="none"/>
              </w:rPr>
            </w:pPr>
            <w:r>
              <w:rPr>
                <w:rFonts w:hint="eastAsia" w:cs="宋体"/>
                <w:color w:val="auto"/>
                <w:highlight w:val="none"/>
                <w:u w:val="single"/>
              </w:rPr>
              <w:t>投标报价低于成本警戒价的（投标人的报价明显低于其他投标报价或者在设有标底时明显低于标底，使得其投标报价可能低于其个别成本，又不能合理说明或者不能提供相关证明材料的，由评标委员会认定该投标人以低于成本报价竞标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4</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算术复核后的投标报价与原投标报价相比存在1%或以上误差的；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5</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（指招标文件第四章提供格式四、格式五、格式六）</w:t>
            </w:r>
            <w:r>
              <w:rPr>
                <w:rFonts w:hint="eastAsia" w:cs="宋体"/>
                <w:color w:val="auto"/>
                <w:szCs w:val="21"/>
                <w:highlight w:val="none"/>
              </w:rPr>
              <w:t>，或主要内容不全，或关键字迹模糊、无法辨认的；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6</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不同投标人的投标报价中</w:t>
            </w:r>
            <w:r>
              <w:rPr>
                <w:rFonts w:hint="eastAsia"/>
                <w:color w:val="auto"/>
                <w:szCs w:val="21"/>
                <w:highlight w:val="none"/>
                <w:lang w:eastAsia="zh-CN"/>
              </w:rPr>
              <w:t>部分</w:t>
            </w:r>
            <w:r>
              <w:rPr>
                <w:rFonts w:hint="eastAsia"/>
                <w:color w:val="auto"/>
                <w:szCs w:val="21"/>
                <w:highlight w:val="none"/>
              </w:rPr>
              <w:t>分项工程量清单综合单价相似度达到80%及以上的(以</w:t>
            </w:r>
            <w:r>
              <w:rPr>
                <w:rFonts w:hint="eastAsia"/>
                <w:color w:val="auto"/>
                <w:szCs w:val="21"/>
                <w:highlight w:val="none"/>
                <w:u w:val="single"/>
              </w:rPr>
              <w:t>广州交易集团有限公司（广州公共资源交易中心）</w:t>
            </w:r>
            <w:r>
              <w:rPr>
                <w:rFonts w:hint="eastAsia"/>
                <w:color w:val="auto"/>
                <w:szCs w:val="21"/>
                <w:highlight w:val="none"/>
              </w:rPr>
              <w:t>交易平台评标系统的检索信息为准)；</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7</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投标人之间存在《广东省实施&lt;中华人民共和国招标投标法&gt;》第十六条所禁止的情形的；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8</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无《参与编制经济标投标文件人员名单》的；</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9</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无《对投标文件编制的承诺》</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10</w:t>
            </w:r>
          </w:p>
        </w:tc>
        <w:tc>
          <w:tcPr>
            <w:tcW w:w="11935"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szCs w:val="21"/>
                <w:highlight w:val="none"/>
              </w:rPr>
            </w:pPr>
            <w:r>
              <w:rPr>
                <w:rFonts w:hint="eastAsia"/>
                <w:color w:val="auto"/>
                <w:szCs w:val="21"/>
                <w:highlight w:val="none"/>
              </w:rPr>
              <w:t>投标人与本项目其他投标人的投标文件工程量清单编制机器硬件信息一致的（以交易平台评标系统的检索信息为准）</w:t>
            </w: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rPr>
                <w:color w:val="auto"/>
                <w:szCs w:val="21"/>
                <w:highlight w:val="none"/>
              </w:rPr>
            </w:pPr>
          </w:p>
        </w:tc>
      </w:tr>
    </w:tbl>
    <w:p>
      <w:pPr>
        <w:ind w:firstLine="458"/>
        <w:rPr>
          <w:color w:val="auto"/>
          <w:szCs w:val="21"/>
          <w:highlight w:val="none"/>
        </w:rPr>
      </w:pPr>
      <w:r>
        <w:rPr>
          <w:rFonts w:hint="eastAsia"/>
          <w:color w:val="auto"/>
          <w:szCs w:val="21"/>
          <w:highlight w:val="none"/>
        </w:rPr>
        <w:t>注：</w:t>
      </w:r>
      <w:r>
        <w:rPr>
          <w:color w:val="auto"/>
          <w:szCs w:val="21"/>
          <w:highlight w:val="none"/>
        </w:rPr>
        <w:t>1.本表使用GZZB2018-3招标文件范本，与范本内容不同之处均以下划线标明。</w:t>
      </w:r>
    </w:p>
    <w:p>
      <w:pPr>
        <w:ind w:firstLine="458"/>
        <w:rPr>
          <w:color w:val="auto"/>
          <w:szCs w:val="21"/>
          <w:highlight w:val="none"/>
        </w:rPr>
      </w:pPr>
      <w:r>
        <w:rPr>
          <w:color w:val="auto"/>
          <w:szCs w:val="21"/>
          <w:highlight w:val="none"/>
        </w:rPr>
        <w:t>2.凡出现以上任何一项情形，结论均为无效，否则就为有效。</w:t>
      </w:r>
    </w:p>
    <w:p>
      <w:pPr>
        <w:ind w:firstLine="458"/>
        <w:rPr>
          <w:color w:val="auto"/>
          <w:szCs w:val="21"/>
          <w:highlight w:val="none"/>
        </w:rPr>
      </w:pPr>
      <w:r>
        <w:rPr>
          <w:color w:val="auto"/>
          <w:szCs w:val="21"/>
          <w:highlight w:val="none"/>
        </w:rPr>
        <w:t>3.如对本表中某种情形的评审意见不一致时，以评标委员会过半数成员的意见作为评标委员会对该情形的认定结论。</w:t>
      </w:r>
    </w:p>
    <w:p>
      <w:pPr>
        <w:ind w:firstLine="458"/>
        <w:rPr>
          <w:color w:val="auto"/>
          <w:szCs w:val="21"/>
          <w:highlight w:val="none"/>
        </w:rPr>
      </w:pPr>
      <w:r>
        <w:rPr>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ascii="宋体" w:hAnsi="宋体"/>
          <w:color w:val="auto"/>
          <w:szCs w:val="21"/>
          <w:highlight w:val="none"/>
        </w:rPr>
        <w:sectPr>
          <w:endnotePr>
            <w:numFmt w:val="decimal"/>
          </w:endnotePr>
          <w:pgSz w:w="16838" w:h="11905" w:orient="landscape"/>
          <w:pgMar w:top="850" w:right="1020" w:bottom="850" w:left="1134" w:header="850" w:footer="454" w:gutter="0"/>
          <w:cols w:space="720" w:num="1"/>
          <w:titlePg/>
          <w:docGrid w:type="lines" w:linePitch="319" w:charSpace="0"/>
        </w:sectPr>
      </w:pPr>
      <w:r>
        <w:rPr>
          <w:rFonts w:hint="eastAsia" w:ascii="宋体" w:hAnsi="宋体"/>
          <w:color w:val="auto"/>
          <w:szCs w:val="21"/>
          <w:highlight w:val="none"/>
        </w:rPr>
        <w:t>评委签名：</w:t>
      </w:r>
    </w:p>
    <w:p>
      <w:pPr>
        <w:rPr>
          <w:rFonts w:hint="eastAsia"/>
          <w:color w:val="auto"/>
          <w:szCs w:val="21"/>
          <w:highlight w:val="none"/>
          <w:lang w:eastAsia="zh-CN"/>
        </w:rPr>
      </w:pPr>
      <w:r>
        <w:rPr>
          <w:rFonts w:hint="eastAsia"/>
          <w:color w:val="auto"/>
          <w:szCs w:val="21"/>
          <w:highlight w:val="none"/>
        </w:rPr>
        <w:t>附表四</w:t>
      </w:r>
      <w:r>
        <w:rPr>
          <w:rFonts w:hint="eastAsia"/>
          <w:color w:val="auto"/>
          <w:szCs w:val="21"/>
          <w:highlight w:val="none"/>
          <w:lang w:eastAsia="zh-CN"/>
        </w:rPr>
        <w:t>：</w:t>
      </w:r>
    </w:p>
    <w:p>
      <w:pPr>
        <w:pStyle w:val="14"/>
        <w:jc w:val="center"/>
        <w:rPr>
          <w:rFonts w:hint="eastAsia"/>
          <w:color w:val="auto"/>
          <w:highlight w:val="none"/>
          <w:lang w:eastAsia="zh-CN"/>
        </w:rPr>
      </w:pPr>
      <w:r>
        <w:rPr>
          <w:rFonts w:hint="eastAsia"/>
          <w:b/>
          <w:color w:val="auto"/>
          <w:sz w:val="36"/>
          <w:szCs w:val="36"/>
          <w:highlight w:val="none"/>
        </w:rPr>
        <w:t>技术标详细审查评分表</w:t>
      </w:r>
    </w:p>
    <w:tbl>
      <w:tblPr>
        <w:tblStyle w:val="28"/>
        <w:tblW w:w="0" w:type="auto"/>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1339"/>
        <w:gridCol w:w="610"/>
        <w:gridCol w:w="11709"/>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PrEx>
        <w:trPr>
          <w:trHeight w:val="87" w:hRule="atLeast"/>
          <w:tblHeader/>
          <w:jc w:val="center"/>
        </w:trPr>
        <w:tc>
          <w:tcPr>
            <w:tcW w:w="1327" w:type="dxa"/>
            <w:tcBorders>
              <w:top w:val="single" w:color="000000" w:sz="8" w:space="0"/>
              <w:left w:val="single" w:color="000000" w:sz="8"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b/>
                <w:bCs/>
                <w:color w:val="auto"/>
                <w:sz w:val="28"/>
                <w:szCs w:val="28"/>
                <w:highlight w:val="none"/>
              </w:rPr>
            </w:pPr>
            <w:r>
              <w:rPr>
                <w:rStyle w:val="42"/>
                <w:rFonts w:hint="eastAsia" w:cs="宋体"/>
                <w:b/>
                <w:bCs/>
                <w:color w:val="auto"/>
                <w:sz w:val="28"/>
                <w:szCs w:val="28"/>
                <w:highlight w:val="none"/>
              </w:rPr>
              <w:t>评分项目</w:t>
            </w:r>
          </w:p>
        </w:tc>
        <w:tc>
          <w:tcPr>
            <w:tcW w:w="1339" w:type="dxa"/>
            <w:tcBorders>
              <w:top w:val="single" w:color="000000" w:sz="8"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b/>
                <w:bCs/>
                <w:color w:val="auto"/>
                <w:sz w:val="28"/>
                <w:szCs w:val="28"/>
                <w:highlight w:val="none"/>
              </w:rPr>
            </w:pPr>
            <w:r>
              <w:rPr>
                <w:rStyle w:val="42"/>
                <w:rFonts w:hint="eastAsia" w:cs="宋体"/>
                <w:b/>
                <w:bCs/>
                <w:color w:val="auto"/>
                <w:sz w:val="28"/>
                <w:szCs w:val="28"/>
                <w:highlight w:val="none"/>
              </w:rPr>
              <w:t>评分内容</w:t>
            </w:r>
          </w:p>
        </w:tc>
        <w:tc>
          <w:tcPr>
            <w:tcW w:w="610" w:type="dxa"/>
            <w:tcBorders>
              <w:top w:val="single" w:color="000000" w:sz="8"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b/>
                <w:bCs/>
                <w:color w:val="auto"/>
                <w:sz w:val="28"/>
                <w:szCs w:val="28"/>
                <w:highlight w:val="none"/>
              </w:rPr>
            </w:pPr>
            <w:r>
              <w:rPr>
                <w:rStyle w:val="42"/>
                <w:rFonts w:hint="eastAsia" w:cs="宋体"/>
                <w:b/>
                <w:bCs/>
                <w:color w:val="auto"/>
                <w:sz w:val="28"/>
                <w:szCs w:val="28"/>
                <w:highlight w:val="none"/>
              </w:rPr>
              <w:t>分值</w:t>
            </w:r>
          </w:p>
        </w:tc>
        <w:tc>
          <w:tcPr>
            <w:tcW w:w="11709" w:type="dxa"/>
            <w:tcBorders>
              <w:top w:val="single" w:color="000000" w:sz="8"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b/>
                <w:bCs/>
                <w:color w:val="auto"/>
                <w:sz w:val="28"/>
                <w:szCs w:val="28"/>
                <w:highlight w:val="none"/>
              </w:rPr>
            </w:pPr>
            <w:r>
              <w:rPr>
                <w:rStyle w:val="42"/>
                <w:rFonts w:hint="eastAsia" w:cs="宋体"/>
                <w:b/>
                <w:bCs/>
                <w:color w:val="auto"/>
                <w:sz w:val="28"/>
                <w:szCs w:val="28"/>
                <w:highlight w:val="none"/>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0" w:hRule="atLeast"/>
          <w:jc w:val="center"/>
        </w:trPr>
        <w:tc>
          <w:tcPr>
            <w:tcW w:w="1327" w:type="dxa"/>
            <w:vMerge w:val="restart"/>
            <w:tcBorders>
              <w:top w:val="single" w:color="000000" w:sz="4" w:space="0"/>
              <w:left w:val="single" w:color="000000" w:sz="8" w:space="0"/>
              <w:right w:val="single" w:color="000000" w:sz="4" w:space="0"/>
            </w:tcBorders>
            <w:noWrap w:val="0"/>
            <w:vAlign w:val="center"/>
          </w:tcPr>
          <w:p>
            <w:pPr>
              <w:shd w:val="clear" w:color="auto" w:fill="FFFFFF"/>
              <w:snapToGrid w:val="0"/>
              <w:spacing w:line="300" w:lineRule="exact"/>
              <w:jc w:val="center"/>
              <w:rPr>
                <w:rStyle w:val="42"/>
                <w:rFonts w:cs="宋体"/>
                <w:color w:val="auto"/>
                <w:sz w:val="28"/>
                <w:szCs w:val="28"/>
                <w:highlight w:val="none"/>
              </w:rPr>
            </w:pPr>
            <w:r>
              <w:rPr>
                <w:rStyle w:val="42"/>
                <w:rFonts w:hint="eastAsia" w:cs="宋体"/>
                <w:color w:val="auto"/>
                <w:sz w:val="28"/>
                <w:szCs w:val="28"/>
                <w:highlight w:val="none"/>
              </w:rPr>
              <w:t>一、企业资信（</w:t>
            </w:r>
            <w:r>
              <w:rPr>
                <w:rStyle w:val="42"/>
                <w:rFonts w:hint="eastAsia" w:cs="宋体"/>
                <w:color w:val="auto"/>
                <w:sz w:val="28"/>
                <w:szCs w:val="28"/>
                <w:highlight w:val="none"/>
                <w:lang w:val="en-US" w:eastAsia="zh-CN"/>
              </w:rPr>
              <w:t>6</w:t>
            </w:r>
            <w:r>
              <w:rPr>
                <w:rStyle w:val="42"/>
                <w:rFonts w:hint="eastAsia" w:cs="宋体"/>
                <w:color w:val="auto"/>
                <w:sz w:val="28"/>
                <w:szCs w:val="28"/>
                <w:highlight w:val="none"/>
              </w:rPr>
              <w:t>分）</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00" w:lineRule="exact"/>
              <w:ind w:right="134" w:rightChars="64"/>
              <w:jc w:val="center"/>
              <w:rPr>
                <w:rFonts w:hint="default" w:eastAsia="宋体" w:cs="宋体"/>
                <w:color w:val="auto"/>
                <w:kern w:val="0"/>
                <w:sz w:val="28"/>
                <w:szCs w:val="28"/>
                <w:highlight w:val="none"/>
                <w:lang w:val="en-US" w:eastAsia="zh-CN"/>
              </w:rPr>
            </w:pPr>
            <w:r>
              <w:rPr>
                <w:rFonts w:hint="eastAsia" w:cs="宋体"/>
                <w:color w:val="auto"/>
                <w:kern w:val="0"/>
                <w:sz w:val="28"/>
                <w:szCs w:val="28"/>
                <w:highlight w:val="none"/>
                <w:lang w:val="en-US" w:eastAsia="zh-CN"/>
              </w:rPr>
              <w:t>工程奖项</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Fonts w:hint="eastAsia" w:eastAsia="宋体" w:cs="宋体"/>
                <w:color w:val="auto"/>
                <w:sz w:val="28"/>
                <w:szCs w:val="28"/>
                <w:highlight w:val="none"/>
                <w:lang w:val="en-US" w:eastAsia="zh-CN"/>
              </w:rPr>
            </w:pPr>
            <w:r>
              <w:rPr>
                <w:rFonts w:hint="eastAsia" w:cs="宋体"/>
                <w:color w:val="auto"/>
                <w:sz w:val="28"/>
                <w:szCs w:val="28"/>
                <w:highlight w:val="none"/>
                <w:lang w:val="en-US" w:eastAsia="zh-CN"/>
              </w:rPr>
              <w:t>3</w:t>
            </w:r>
          </w:p>
        </w:tc>
        <w:tc>
          <w:tcPr>
            <w:tcW w:w="1170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00" w:lineRule="exact"/>
              <w:rPr>
                <w:rFonts w:cs="宋体"/>
                <w:color w:val="auto"/>
                <w:sz w:val="28"/>
                <w:szCs w:val="28"/>
                <w:highlight w:val="none"/>
              </w:rPr>
            </w:pPr>
            <w:r>
              <w:rPr>
                <w:rFonts w:hint="eastAsia" w:cs="宋体"/>
                <w:color w:val="auto"/>
                <w:sz w:val="28"/>
                <w:szCs w:val="28"/>
                <w:highlight w:val="none"/>
              </w:rPr>
              <w:t>投标人自20</w:t>
            </w:r>
            <w:r>
              <w:rPr>
                <w:rFonts w:hint="eastAsia" w:cs="宋体"/>
                <w:color w:val="auto"/>
                <w:sz w:val="28"/>
                <w:szCs w:val="28"/>
                <w:highlight w:val="none"/>
                <w:lang w:val="en-US" w:eastAsia="zh-CN"/>
              </w:rPr>
              <w:t>19</w:t>
            </w:r>
            <w:r>
              <w:rPr>
                <w:rFonts w:hint="eastAsia" w:cs="宋体"/>
                <w:color w:val="auto"/>
                <w:sz w:val="28"/>
                <w:szCs w:val="28"/>
                <w:highlight w:val="none"/>
              </w:rPr>
              <w:t>年1月1日至投标截止日止获得过市级或以上</w:t>
            </w:r>
            <w:r>
              <w:rPr>
                <w:rFonts w:hint="eastAsia" w:cs="宋体"/>
                <w:color w:val="auto"/>
                <w:sz w:val="28"/>
                <w:szCs w:val="28"/>
                <w:highlight w:val="none"/>
                <w:lang w:eastAsia="zh-CN"/>
              </w:rPr>
              <w:t>房屋建筑</w:t>
            </w:r>
            <w:r>
              <w:rPr>
                <w:rFonts w:hint="eastAsia" w:cs="宋体"/>
                <w:color w:val="auto"/>
                <w:sz w:val="28"/>
                <w:szCs w:val="28"/>
                <w:highlight w:val="none"/>
              </w:rPr>
              <w:t>工程奖项的，每项得</w:t>
            </w:r>
            <w:r>
              <w:rPr>
                <w:rFonts w:hint="eastAsia" w:cs="宋体"/>
                <w:color w:val="auto"/>
                <w:sz w:val="28"/>
                <w:szCs w:val="28"/>
                <w:highlight w:val="none"/>
                <w:lang w:val="en-US" w:eastAsia="zh-CN"/>
              </w:rPr>
              <w:t>1</w:t>
            </w:r>
            <w:r>
              <w:rPr>
                <w:rFonts w:hint="eastAsia" w:cs="宋体"/>
                <w:color w:val="auto"/>
                <w:sz w:val="28"/>
                <w:szCs w:val="28"/>
                <w:highlight w:val="none"/>
              </w:rPr>
              <w:t>分，本项最高得</w:t>
            </w:r>
            <w:r>
              <w:rPr>
                <w:rFonts w:hint="eastAsia" w:cs="宋体"/>
                <w:color w:val="auto"/>
                <w:sz w:val="28"/>
                <w:szCs w:val="28"/>
                <w:highlight w:val="none"/>
                <w:lang w:val="en-US" w:eastAsia="zh-CN"/>
              </w:rPr>
              <w:t>3</w:t>
            </w:r>
            <w:r>
              <w:rPr>
                <w:rFonts w:hint="eastAsia" w:cs="宋体"/>
                <w:color w:val="auto"/>
                <w:sz w:val="28"/>
                <w:szCs w:val="28"/>
                <w:highlight w:val="none"/>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 w:hRule="atLeast"/>
          <w:jc w:val="center"/>
        </w:trPr>
        <w:tc>
          <w:tcPr>
            <w:tcW w:w="1327" w:type="dxa"/>
            <w:vMerge w:val="continue"/>
            <w:tcBorders>
              <w:left w:val="single" w:color="000000" w:sz="8" w:space="0"/>
              <w:right w:val="single" w:color="000000" w:sz="4" w:space="0"/>
            </w:tcBorders>
            <w:noWrap w:val="0"/>
            <w:vAlign w:val="center"/>
          </w:tcPr>
          <w:p>
            <w:pPr>
              <w:widowControl/>
              <w:shd w:val="clear" w:color="auto" w:fill="FFFFFF"/>
              <w:spacing w:line="300" w:lineRule="exact"/>
              <w:jc w:val="left"/>
              <w:rPr>
                <w:rStyle w:val="42"/>
                <w:rFonts w:cs="宋体"/>
                <w:color w:val="auto"/>
                <w:sz w:val="28"/>
                <w:szCs w:val="28"/>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pStyle w:val="52"/>
              <w:shd w:val="clear" w:color="auto" w:fill="FFFFFF"/>
              <w:spacing w:line="3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企业</w:t>
            </w:r>
            <w:r>
              <w:rPr>
                <w:rFonts w:hint="eastAsia" w:ascii="宋体" w:hAnsi="宋体" w:eastAsia="宋体" w:cs="宋体"/>
                <w:color w:val="auto"/>
                <w:sz w:val="28"/>
                <w:szCs w:val="28"/>
                <w:highlight w:val="none"/>
                <w:lang w:eastAsia="zh-CN"/>
              </w:rPr>
              <w:t>业绩</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eastAsia="宋体" w:cs="宋体"/>
                <w:color w:val="auto"/>
                <w:sz w:val="28"/>
                <w:szCs w:val="28"/>
                <w:highlight w:val="none"/>
                <w:lang w:val="en-US" w:eastAsia="zh-CN"/>
              </w:rPr>
            </w:pPr>
            <w:r>
              <w:rPr>
                <w:rStyle w:val="42"/>
                <w:rFonts w:hint="eastAsia" w:cs="宋体"/>
                <w:color w:val="auto"/>
                <w:sz w:val="28"/>
                <w:szCs w:val="28"/>
                <w:highlight w:val="none"/>
                <w:lang w:val="en-US" w:eastAsia="zh-CN"/>
              </w:rPr>
              <w:t>1.8</w:t>
            </w:r>
          </w:p>
        </w:tc>
        <w:tc>
          <w:tcPr>
            <w:tcW w:w="11709"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FFFFFF"/>
              <w:spacing w:line="300" w:lineRule="exact"/>
              <w:rPr>
                <w:rFonts w:hint="eastAsia" w:eastAsia="宋体" w:cs="宋体"/>
                <w:color w:val="auto"/>
                <w:sz w:val="28"/>
                <w:szCs w:val="28"/>
                <w:highlight w:val="none"/>
                <w:lang w:val="en-US" w:eastAsia="zh-CN"/>
              </w:rPr>
            </w:pPr>
          </w:p>
          <w:p>
            <w:pPr>
              <w:shd w:val="clear" w:color="auto" w:fill="FFFFFF"/>
              <w:spacing w:line="300" w:lineRule="exact"/>
              <w:rPr>
                <w:rFonts w:hint="eastAsia" w:eastAsia="宋体" w:cs="宋体"/>
                <w:color w:val="auto"/>
                <w:sz w:val="28"/>
                <w:szCs w:val="28"/>
                <w:highlight w:val="none"/>
                <w:lang w:eastAsia="zh-CN"/>
              </w:rPr>
            </w:pPr>
            <w:r>
              <w:rPr>
                <w:rFonts w:hint="eastAsia" w:eastAsia="宋体" w:cs="宋体"/>
                <w:color w:val="auto"/>
                <w:sz w:val="28"/>
                <w:szCs w:val="28"/>
                <w:highlight w:val="none"/>
                <w:lang w:val="en-US" w:eastAsia="zh-CN"/>
              </w:rPr>
              <w:t>投标人自2021年1月1日至今，完成过质量合格且合同价大于或等于500万元的类似工程业绩，每项得0.3分，本项最高得1.8分。 注：类似工程业绩是指房屋建筑类装修修缮工程的业绩。须提供合同关键页面（合同首页、金额页、服务或货物内容页、双方落款页）、竣工验收文件原件彩色扫描件，并提供合同期内任意一份收款发票或银行收款凭证等证明材料，扫描件不提供或提供的不符合要求的不得分。业绩金额以施工合同（不含补充合同）为准、完成时间以有效的竣工验收文件载明的竣工（验收）时间为准。提供的上述材料需能证明该项业绩为房屋建筑类装修修缮工程，如以上材料不能体现是房屋建筑类装修修缮工程业绩的，则提供其他能证明其是房屋建筑类装修修缮工程的材料。业绩承接单位为投标单位，其子公司均不计算在内。</w:t>
            </w:r>
          </w:p>
          <w:p>
            <w:pPr>
              <w:shd w:val="clear" w:color="auto" w:fill="FFFFFF"/>
              <w:spacing w:line="300" w:lineRule="exact"/>
              <w:rPr>
                <w:rFonts w:hint="eastAsia" w:eastAsia="宋体" w:cs="宋体"/>
                <w:color w:val="auto"/>
                <w:sz w:val="28"/>
                <w:szCs w:val="28"/>
                <w:highlight w:val="none"/>
                <w:lang w:eastAsia="zh-CN"/>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37" w:hRule="atLeast"/>
          <w:jc w:val="center"/>
        </w:trPr>
        <w:tc>
          <w:tcPr>
            <w:tcW w:w="1327" w:type="dxa"/>
            <w:vMerge w:val="continue"/>
            <w:tcBorders>
              <w:left w:val="single" w:color="000000" w:sz="8" w:space="0"/>
              <w:right w:val="single" w:color="000000" w:sz="4" w:space="0"/>
            </w:tcBorders>
            <w:noWrap w:val="0"/>
            <w:vAlign w:val="center"/>
          </w:tcPr>
          <w:p>
            <w:pPr>
              <w:widowControl/>
              <w:shd w:val="clear" w:color="auto" w:fill="FFFFFF"/>
              <w:spacing w:line="300" w:lineRule="exact"/>
              <w:jc w:val="left"/>
              <w:rPr>
                <w:rStyle w:val="42"/>
                <w:rFonts w:cs="宋体"/>
                <w:color w:val="auto"/>
                <w:sz w:val="28"/>
                <w:szCs w:val="28"/>
                <w:highlight w:val="none"/>
              </w:rPr>
            </w:pPr>
          </w:p>
        </w:tc>
        <w:tc>
          <w:tcPr>
            <w:tcW w:w="1339" w:type="dxa"/>
            <w:vMerge w:val="restart"/>
            <w:tcBorders>
              <w:top w:val="single" w:color="000000" w:sz="4" w:space="0"/>
              <w:left w:val="single" w:color="000000" w:sz="4" w:space="0"/>
              <w:right w:val="single" w:color="000000" w:sz="4" w:space="0"/>
            </w:tcBorders>
            <w:noWrap w:val="0"/>
            <w:vAlign w:val="center"/>
          </w:tcPr>
          <w:p>
            <w:pPr>
              <w:pStyle w:val="52"/>
              <w:shd w:val="clear" w:color="auto" w:fill="FFFFFF"/>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第三方评价</w:t>
            </w:r>
          </w:p>
          <w:p>
            <w:pPr>
              <w:pStyle w:val="52"/>
              <w:shd w:val="clear" w:color="auto" w:fill="FFFFFF"/>
              <w:spacing w:line="300" w:lineRule="exact"/>
              <w:jc w:val="center"/>
              <w:rPr>
                <w:rFonts w:hint="eastAsia" w:ascii="宋体" w:hAnsi="宋体" w:eastAsia="宋体" w:cs="宋体"/>
                <w:color w:val="auto"/>
                <w:sz w:val="28"/>
                <w:szCs w:val="28"/>
                <w:highlight w:val="none"/>
              </w:rPr>
            </w:pPr>
          </w:p>
        </w:tc>
        <w:tc>
          <w:tcPr>
            <w:tcW w:w="610" w:type="dxa"/>
            <w:vMerge w:val="restart"/>
            <w:tcBorders>
              <w:top w:val="single" w:color="000000" w:sz="4" w:space="0"/>
              <w:left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cs="宋体"/>
                <w:color w:val="auto"/>
                <w:sz w:val="28"/>
                <w:szCs w:val="28"/>
                <w:highlight w:val="none"/>
                <w:lang w:val="en-US" w:eastAsia="zh-CN"/>
              </w:rPr>
            </w:pPr>
            <w:r>
              <w:rPr>
                <w:rStyle w:val="42"/>
                <w:rFonts w:hint="eastAsia" w:cs="宋体"/>
                <w:color w:val="auto"/>
                <w:sz w:val="28"/>
                <w:szCs w:val="28"/>
                <w:highlight w:val="none"/>
                <w:lang w:val="en-US" w:eastAsia="zh-CN"/>
              </w:rPr>
              <w:t>1.2</w:t>
            </w:r>
          </w:p>
          <w:p>
            <w:pPr>
              <w:shd w:val="clear" w:color="auto" w:fill="FFFFFF"/>
              <w:snapToGrid w:val="0"/>
              <w:spacing w:line="300" w:lineRule="exact"/>
              <w:jc w:val="center"/>
              <w:rPr>
                <w:rStyle w:val="42"/>
                <w:rFonts w:hint="default" w:cs="宋体"/>
                <w:color w:val="auto"/>
                <w:sz w:val="28"/>
                <w:szCs w:val="28"/>
                <w:highlight w:val="none"/>
                <w:lang w:val="en-US" w:eastAsia="zh-CN"/>
              </w:rPr>
            </w:pPr>
          </w:p>
        </w:tc>
        <w:tc>
          <w:tcPr>
            <w:tcW w:w="1170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至投标截止时间止，投标人连续获得“纳税信用 A 级”称号5年或以上的，得</w:t>
            </w:r>
            <w:r>
              <w:rPr>
                <w:rFonts w:hint="eastAsia" w:ascii="宋体" w:hAnsi="宋体" w:eastAsia="宋体" w:cs="Times New Roman"/>
                <w:color w:val="auto"/>
                <w:sz w:val="28"/>
                <w:szCs w:val="28"/>
                <w:highlight w:val="none"/>
                <w:lang w:val="en-US" w:eastAsia="zh-CN"/>
              </w:rPr>
              <w:t>0.9</w:t>
            </w:r>
            <w:r>
              <w:rPr>
                <w:rFonts w:hint="eastAsia" w:ascii="宋体" w:hAnsi="宋体" w:eastAsia="宋体" w:cs="Times New Roman"/>
                <w:color w:val="auto"/>
                <w:sz w:val="28"/>
                <w:szCs w:val="28"/>
                <w:highlight w:val="none"/>
              </w:rPr>
              <w:t>分；连续4年的，得</w:t>
            </w:r>
            <w:r>
              <w:rPr>
                <w:rFonts w:hint="eastAsia" w:eastAsia="宋体" w:cs="Times New Roman"/>
                <w:color w:val="auto"/>
                <w:sz w:val="28"/>
                <w:szCs w:val="28"/>
                <w:highlight w:val="none"/>
                <w:lang w:val="en-US" w:eastAsia="zh-CN"/>
              </w:rPr>
              <w:t>0.7</w:t>
            </w:r>
            <w:r>
              <w:rPr>
                <w:rFonts w:hint="eastAsia" w:ascii="宋体" w:hAnsi="宋体" w:eastAsia="宋体" w:cs="Times New Roman"/>
                <w:color w:val="auto"/>
                <w:sz w:val="28"/>
                <w:szCs w:val="28"/>
                <w:highlight w:val="none"/>
              </w:rPr>
              <w:t>分；连续3年的，得</w:t>
            </w:r>
            <w:r>
              <w:rPr>
                <w:rFonts w:hint="eastAsia" w:ascii="宋体" w:hAnsi="宋体" w:eastAsia="宋体" w:cs="Times New Roman"/>
                <w:color w:val="auto"/>
                <w:sz w:val="28"/>
                <w:szCs w:val="28"/>
                <w:highlight w:val="none"/>
                <w:lang w:val="en-US" w:eastAsia="zh-CN"/>
              </w:rPr>
              <w:t>0.</w:t>
            </w:r>
            <w:r>
              <w:rPr>
                <w:rFonts w:hint="eastAsia" w:eastAsia="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rPr>
              <w:t>分；连续2年，得</w:t>
            </w:r>
            <w:r>
              <w:rPr>
                <w:rFonts w:hint="eastAsia" w:ascii="宋体" w:hAnsi="宋体" w:eastAsia="宋体" w:cs="Times New Roman"/>
                <w:color w:val="auto"/>
                <w:sz w:val="28"/>
                <w:szCs w:val="28"/>
                <w:highlight w:val="none"/>
                <w:lang w:val="en-US" w:eastAsia="zh-CN"/>
              </w:rPr>
              <w:t>0.3</w:t>
            </w:r>
            <w:r>
              <w:rPr>
                <w:rFonts w:hint="eastAsia" w:ascii="宋体" w:hAnsi="宋体" w:eastAsia="宋体" w:cs="Times New Roman"/>
                <w:color w:val="auto"/>
                <w:sz w:val="28"/>
                <w:szCs w:val="28"/>
                <w:highlight w:val="none"/>
              </w:rPr>
              <w:t>分；1年，得</w:t>
            </w:r>
            <w:r>
              <w:rPr>
                <w:rFonts w:hint="eastAsia" w:ascii="宋体" w:hAnsi="宋体" w:eastAsia="宋体" w:cs="Times New Roman"/>
                <w:color w:val="auto"/>
                <w:sz w:val="28"/>
                <w:szCs w:val="28"/>
                <w:highlight w:val="none"/>
                <w:lang w:val="en-US" w:eastAsia="zh-CN"/>
              </w:rPr>
              <w:t>0.1</w:t>
            </w:r>
            <w:r>
              <w:rPr>
                <w:rFonts w:hint="eastAsia" w:ascii="宋体" w:hAnsi="宋体" w:eastAsia="宋体" w:cs="Times New Roman"/>
                <w:color w:val="auto"/>
                <w:sz w:val="28"/>
                <w:szCs w:val="28"/>
                <w:highlight w:val="none"/>
              </w:rPr>
              <w:t>分。不符合上述条件的不得分，本项最高得</w:t>
            </w:r>
            <w:r>
              <w:rPr>
                <w:rFonts w:hint="eastAsia" w:ascii="宋体" w:hAnsi="宋体" w:eastAsia="宋体" w:cs="Times New Roman"/>
                <w:color w:val="auto"/>
                <w:sz w:val="28"/>
                <w:szCs w:val="28"/>
                <w:highlight w:val="none"/>
                <w:lang w:val="en-US" w:eastAsia="zh-CN"/>
              </w:rPr>
              <w:t>0.9</w:t>
            </w:r>
            <w:r>
              <w:rPr>
                <w:rFonts w:hint="eastAsia" w:ascii="宋体" w:hAnsi="宋体" w:eastAsia="宋体" w:cs="Times New Roman"/>
                <w:color w:val="auto"/>
                <w:sz w:val="28"/>
                <w:szCs w:val="28"/>
                <w:highlight w:val="none"/>
              </w:rPr>
              <w:t>分。</w:t>
            </w:r>
          </w:p>
          <w:p>
            <w:pPr>
              <w:rPr>
                <w:color w:val="auto"/>
                <w:highlight w:val="none"/>
              </w:rPr>
            </w:pPr>
            <w:r>
              <w:rPr>
                <w:rFonts w:hint="eastAsia" w:ascii="宋体" w:hAnsi="宋体" w:eastAsia="宋体" w:cs="Times New Roman"/>
                <w:color w:val="auto"/>
                <w:sz w:val="28"/>
                <w:szCs w:val="28"/>
                <w:highlight w:val="none"/>
              </w:rPr>
              <w:t>注：“纳税信用A级纳税人”须含最新评审年度（202</w:t>
            </w: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年度），只计算投标人自身（不计算投标人的子公司），须提交省级或以上税务局网站纳税信用信息查询结果的网页截图及A级纳税人证书扫描件，上述资料显示的纳税人名称须与投标人单位全称一致。不符合条件或未按要求提供证明材料的不计分。时间以评价年度为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27" w:type="dxa"/>
            <w:vMerge w:val="continue"/>
            <w:tcBorders>
              <w:left w:val="single" w:color="000000" w:sz="8" w:space="0"/>
              <w:bottom w:val="single" w:color="000000" w:sz="4" w:space="0"/>
              <w:right w:val="single" w:color="000000" w:sz="4" w:space="0"/>
            </w:tcBorders>
            <w:noWrap w:val="0"/>
            <w:vAlign w:val="center"/>
          </w:tcPr>
          <w:p>
            <w:pPr>
              <w:widowControl/>
              <w:shd w:val="clear" w:color="auto" w:fill="FFFFFF"/>
              <w:spacing w:line="300" w:lineRule="exact"/>
              <w:jc w:val="left"/>
              <w:rPr>
                <w:rStyle w:val="42"/>
                <w:rFonts w:cs="宋体"/>
                <w:color w:val="auto"/>
                <w:sz w:val="28"/>
                <w:szCs w:val="28"/>
                <w:highlight w:val="none"/>
              </w:rPr>
            </w:pPr>
          </w:p>
        </w:tc>
        <w:tc>
          <w:tcPr>
            <w:tcW w:w="1339" w:type="dxa"/>
            <w:vMerge w:val="continue"/>
            <w:tcBorders>
              <w:left w:val="single" w:color="000000" w:sz="4" w:space="0"/>
              <w:bottom w:val="single" w:color="000000" w:sz="4" w:space="0"/>
              <w:right w:val="single" w:color="000000" w:sz="4" w:space="0"/>
            </w:tcBorders>
            <w:noWrap w:val="0"/>
            <w:vAlign w:val="center"/>
          </w:tcPr>
          <w:p>
            <w:pPr>
              <w:pStyle w:val="52"/>
              <w:shd w:val="clear" w:color="auto" w:fill="FFFFFF"/>
              <w:spacing w:line="300" w:lineRule="exact"/>
              <w:jc w:val="center"/>
              <w:rPr>
                <w:rFonts w:hint="eastAsia" w:ascii="宋体" w:hAnsi="宋体" w:eastAsia="宋体" w:cs="宋体"/>
                <w:color w:val="auto"/>
                <w:sz w:val="28"/>
                <w:szCs w:val="28"/>
                <w:highlight w:val="none"/>
              </w:rPr>
            </w:pPr>
          </w:p>
        </w:tc>
        <w:tc>
          <w:tcPr>
            <w:tcW w:w="610" w:type="dxa"/>
            <w:vMerge w:val="continue"/>
            <w:tcBorders>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cs="宋体"/>
                <w:color w:val="auto"/>
                <w:sz w:val="28"/>
                <w:szCs w:val="28"/>
                <w:highlight w:val="none"/>
                <w:lang w:val="en-US" w:eastAsia="zh-CN"/>
              </w:rPr>
            </w:pPr>
          </w:p>
        </w:tc>
        <w:tc>
          <w:tcPr>
            <w:tcW w:w="1170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在有效期内的质量管理体系、环境管理体系、职业健康安全管理体系认证情况 （提供有效证书扫描件并加盖电子公章）</w:t>
            </w:r>
          </w:p>
          <w:p>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每提供 1 个，得 </w:t>
            </w:r>
            <w:r>
              <w:rPr>
                <w:rFonts w:hint="eastAsia" w:ascii="宋体" w:hAnsi="宋体" w:eastAsia="宋体" w:cs="Times New Roman"/>
                <w:color w:val="auto"/>
                <w:sz w:val="28"/>
                <w:szCs w:val="28"/>
                <w:highlight w:val="none"/>
                <w:lang w:val="en-US" w:eastAsia="zh-CN"/>
              </w:rPr>
              <w:t>0.1</w:t>
            </w:r>
            <w:r>
              <w:rPr>
                <w:rFonts w:hint="eastAsia" w:ascii="宋体" w:hAnsi="宋体" w:eastAsia="宋体" w:cs="Times New Roman"/>
                <w:color w:val="auto"/>
                <w:sz w:val="28"/>
                <w:szCs w:val="28"/>
                <w:highlight w:val="none"/>
              </w:rPr>
              <w:t xml:space="preserve">分，最高得 </w:t>
            </w:r>
            <w:r>
              <w:rPr>
                <w:rFonts w:hint="eastAsia" w:ascii="宋体" w:hAnsi="宋体" w:eastAsia="宋体" w:cs="Times New Roman"/>
                <w:color w:val="auto"/>
                <w:sz w:val="28"/>
                <w:szCs w:val="28"/>
                <w:highlight w:val="none"/>
                <w:lang w:val="en-US" w:eastAsia="zh-CN"/>
              </w:rPr>
              <w:t>0.3</w:t>
            </w:r>
            <w:r>
              <w:rPr>
                <w:rFonts w:hint="eastAsia" w:ascii="宋体" w:hAnsi="宋体" w:eastAsia="宋体" w:cs="Times New Roman"/>
                <w:color w:val="auto"/>
                <w:sz w:val="28"/>
                <w:szCs w:val="28"/>
                <w:highlight w:val="none"/>
              </w:rPr>
              <w:t>分。 未提供或材料 不符，得 0 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restart"/>
            <w:tcBorders>
              <w:top w:val="single" w:color="000000" w:sz="4" w:space="0"/>
              <w:left w:val="single" w:color="000000" w:sz="8" w:space="0"/>
              <w:right w:val="single" w:color="000000" w:sz="4" w:space="0"/>
            </w:tcBorders>
            <w:noWrap w:val="0"/>
            <w:vAlign w:val="center"/>
          </w:tcPr>
          <w:p>
            <w:pPr>
              <w:numPr>
                <w:ilvl w:val="0"/>
                <w:numId w:val="1"/>
              </w:numPr>
              <w:shd w:val="clear" w:color="auto" w:fill="FFFFFF"/>
              <w:snapToGrid w:val="0"/>
              <w:spacing w:line="300" w:lineRule="exact"/>
              <w:jc w:val="center"/>
              <w:rPr>
                <w:rStyle w:val="42"/>
                <w:rFonts w:cs="宋体"/>
                <w:color w:val="auto"/>
                <w:sz w:val="28"/>
                <w:szCs w:val="28"/>
                <w:highlight w:val="none"/>
              </w:rPr>
            </w:pPr>
            <w:r>
              <w:rPr>
                <w:rStyle w:val="42"/>
                <w:rFonts w:hint="eastAsia" w:cs="宋体"/>
                <w:color w:val="auto"/>
                <w:sz w:val="28"/>
                <w:szCs w:val="28"/>
                <w:highlight w:val="none"/>
              </w:rPr>
              <w:t>项目管理机构能力</w:t>
            </w:r>
          </w:p>
          <w:p>
            <w:pPr>
              <w:shd w:val="clear" w:color="auto" w:fill="FFFFFF"/>
              <w:snapToGrid w:val="0"/>
              <w:spacing w:line="300" w:lineRule="exact"/>
              <w:jc w:val="center"/>
              <w:rPr>
                <w:rStyle w:val="42"/>
                <w:rFonts w:cs="宋体"/>
                <w:color w:val="auto"/>
                <w:sz w:val="28"/>
                <w:szCs w:val="28"/>
                <w:highlight w:val="none"/>
              </w:rPr>
            </w:pPr>
            <w:r>
              <w:rPr>
                <w:rStyle w:val="42"/>
                <w:rFonts w:hint="eastAsia" w:cs="宋体"/>
                <w:color w:val="auto"/>
                <w:sz w:val="28"/>
                <w:szCs w:val="28"/>
                <w:highlight w:val="none"/>
              </w:rPr>
              <w:t>（</w:t>
            </w:r>
            <w:r>
              <w:rPr>
                <w:rStyle w:val="42"/>
                <w:rFonts w:hint="eastAsia" w:cs="宋体"/>
                <w:color w:val="auto"/>
                <w:sz w:val="28"/>
                <w:szCs w:val="28"/>
                <w:highlight w:val="none"/>
                <w:lang w:val="en-US" w:eastAsia="zh-CN"/>
              </w:rPr>
              <w:t>14</w:t>
            </w:r>
            <w:r>
              <w:rPr>
                <w:rStyle w:val="42"/>
                <w:rFonts w:hint="eastAsia" w:cs="宋体"/>
                <w:color w:val="auto"/>
                <w:sz w:val="28"/>
                <w:szCs w:val="28"/>
                <w:highlight w:val="none"/>
              </w:rPr>
              <w:t>分）</w:t>
            </w:r>
          </w:p>
        </w:tc>
        <w:tc>
          <w:tcPr>
            <w:tcW w:w="1339" w:type="dxa"/>
            <w:tcBorders>
              <w:top w:val="single" w:color="000000" w:sz="4" w:space="0"/>
              <w:left w:val="single" w:color="000000" w:sz="4" w:space="0"/>
              <w:right w:val="single" w:color="000000" w:sz="4" w:space="0"/>
            </w:tcBorders>
            <w:noWrap w:val="0"/>
            <w:vAlign w:val="center"/>
          </w:tcPr>
          <w:p>
            <w:pPr>
              <w:shd w:val="clear" w:color="auto" w:fill="FFFFFF"/>
              <w:spacing w:line="300" w:lineRule="exact"/>
              <w:ind w:right="134" w:rightChars="64"/>
              <w:jc w:val="center"/>
              <w:rPr>
                <w:rStyle w:val="42"/>
                <w:rFonts w:hint="eastAsia" w:cs="宋体"/>
                <w:color w:val="auto"/>
                <w:sz w:val="28"/>
                <w:szCs w:val="28"/>
                <w:highlight w:val="none"/>
              </w:rPr>
            </w:pPr>
            <w:r>
              <w:rPr>
                <w:rStyle w:val="42"/>
                <w:rFonts w:hint="eastAsia" w:cs="宋体"/>
                <w:color w:val="auto"/>
                <w:sz w:val="28"/>
                <w:szCs w:val="28"/>
                <w:highlight w:val="none"/>
              </w:rPr>
              <w:t>技术负责人</w:t>
            </w:r>
          </w:p>
        </w:tc>
        <w:tc>
          <w:tcPr>
            <w:tcW w:w="610" w:type="dxa"/>
            <w:tcBorders>
              <w:top w:val="single" w:color="000000" w:sz="4" w:space="0"/>
              <w:left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eastAsia="宋体" w:cs="宋体"/>
                <w:color w:val="auto"/>
                <w:sz w:val="28"/>
                <w:szCs w:val="28"/>
                <w:highlight w:val="none"/>
                <w:lang w:val="en-US" w:eastAsia="zh-CN"/>
              </w:rPr>
            </w:pPr>
            <w:r>
              <w:rPr>
                <w:rStyle w:val="42"/>
                <w:rFonts w:hint="eastAsia" w:cs="宋体"/>
                <w:color w:val="auto"/>
                <w:sz w:val="28"/>
                <w:szCs w:val="28"/>
                <w:highlight w:val="none"/>
                <w:lang w:val="en-US" w:eastAsia="zh-CN"/>
              </w:rPr>
              <w:t>2.5</w:t>
            </w:r>
          </w:p>
        </w:tc>
        <w:tc>
          <w:tcPr>
            <w:tcW w:w="11709" w:type="dxa"/>
            <w:tcBorders>
              <w:top w:val="single" w:color="000000" w:sz="4" w:space="0"/>
              <w:left w:val="single" w:color="000000" w:sz="4" w:space="0"/>
              <w:right w:val="single" w:color="000000" w:sz="4" w:space="0"/>
            </w:tcBorders>
            <w:noWrap w:val="0"/>
            <w:vAlign w:val="center"/>
          </w:tcPr>
          <w:p>
            <w:pPr>
              <w:pStyle w:val="16"/>
              <w:shd w:val="clear" w:color="auto" w:fill="FFFFFF"/>
              <w:spacing w:line="3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拟派</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pStyle w:val="16"/>
              <w:shd w:val="clear" w:color="auto" w:fill="FFFFFF"/>
              <w:spacing w:line="3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高级或以上技术职称，得1</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分:具有</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中级技术职称，得0.</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分:不符合上述条件的不得分，本项最高得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w:t>
            </w:r>
          </w:p>
          <w:p>
            <w:pPr>
              <w:pStyle w:val="16"/>
              <w:shd w:val="clear" w:color="auto" w:fill="FFFFFF"/>
              <w:spacing w:line="3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2、具有相关工作经验(年限以</w:t>
            </w:r>
            <w:r>
              <w:rPr>
                <w:rFonts w:hint="eastAsia" w:ascii="宋体" w:hAnsi="宋体" w:eastAsia="宋体" w:cs="宋体"/>
                <w:color w:val="auto"/>
                <w:sz w:val="28"/>
                <w:szCs w:val="28"/>
                <w:highlight w:val="none"/>
                <w:lang w:eastAsia="zh-CN"/>
              </w:rPr>
              <w:t>全日制最高学历</w:t>
            </w:r>
            <w:r>
              <w:rPr>
                <w:rFonts w:hint="eastAsia" w:ascii="宋体" w:hAnsi="宋体" w:eastAsia="宋体" w:cs="宋体"/>
                <w:color w:val="auto"/>
                <w:sz w:val="28"/>
                <w:szCs w:val="28"/>
                <w:highlight w:val="none"/>
              </w:rPr>
              <w:t>毕业证书时间计算)10年以上(不含本数)的得1</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分;具有相关工作经验10~5年(均含本数)的得0.</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分;5年以下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不含本数）</w:t>
            </w:r>
            <w:r>
              <w:rPr>
                <w:rFonts w:hint="eastAsia" w:ascii="宋体" w:hAnsi="宋体" w:eastAsia="宋体" w:cs="宋体"/>
                <w:color w:val="auto"/>
                <w:sz w:val="28"/>
                <w:szCs w:val="28"/>
                <w:highlight w:val="none"/>
              </w:rPr>
              <w:t>不得分</w:t>
            </w:r>
            <w:r>
              <w:rPr>
                <w:rFonts w:hint="eastAsia" w:ascii="宋体" w:hAnsi="宋体" w:eastAsia="宋体" w:cs="宋体"/>
                <w:color w:val="auto"/>
                <w:sz w:val="28"/>
                <w:szCs w:val="28"/>
                <w:highlight w:val="none"/>
                <w:lang w:eastAsia="zh-CN"/>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pPr>
              <w:shd w:val="clear" w:color="auto" w:fill="FFFFFF"/>
              <w:snapToGrid w:val="0"/>
              <w:spacing w:line="300" w:lineRule="exact"/>
              <w:jc w:val="center"/>
              <w:rPr>
                <w:rStyle w:val="42"/>
                <w:rFonts w:cs="宋体"/>
                <w:color w:val="auto"/>
                <w:sz w:val="28"/>
                <w:szCs w:val="28"/>
                <w:highlight w:val="none"/>
              </w:rPr>
            </w:pPr>
          </w:p>
        </w:tc>
        <w:tc>
          <w:tcPr>
            <w:tcW w:w="1339" w:type="dxa"/>
            <w:tcBorders>
              <w:top w:val="single" w:color="000000" w:sz="4" w:space="0"/>
              <w:left w:val="single" w:color="000000" w:sz="4" w:space="0"/>
              <w:right w:val="single" w:color="000000" w:sz="4" w:space="0"/>
            </w:tcBorders>
            <w:noWrap w:val="0"/>
            <w:vAlign w:val="center"/>
          </w:tcPr>
          <w:p>
            <w:pPr>
              <w:shd w:val="clear" w:color="auto" w:fill="FFFFFF"/>
              <w:spacing w:line="300" w:lineRule="exact"/>
              <w:ind w:right="134" w:rightChars="64"/>
              <w:jc w:val="center"/>
              <w:rPr>
                <w:rStyle w:val="42"/>
                <w:rFonts w:cs="宋体"/>
                <w:color w:val="auto"/>
                <w:sz w:val="28"/>
                <w:szCs w:val="28"/>
                <w:highlight w:val="none"/>
              </w:rPr>
            </w:pPr>
            <w:r>
              <w:rPr>
                <w:rStyle w:val="42"/>
                <w:rFonts w:hint="eastAsia" w:cs="宋体"/>
                <w:color w:val="auto"/>
                <w:sz w:val="28"/>
                <w:szCs w:val="28"/>
                <w:highlight w:val="none"/>
              </w:rPr>
              <w:t>质量负责人</w:t>
            </w:r>
          </w:p>
        </w:tc>
        <w:tc>
          <w:tcPr>
            <w:tcW w:w="610" w:type="dxa"/>
            <w:tcBorders>
              <w:top w:val="single" w:color="000000" w:sz="4" w:space="0"/>
              <w:left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eastAsia="宋体" w:cs="宋体"/>
                <w:color w:val="auto"/>
                <w:sz w:val="28"/>
                <w:szCs w:val="28"/>
                <w:highlight w:val="none"/>
                <w:lang w:val="en-US" w:eastAsia="zh-CN"/>
              </w:rPr>
            </w:pPr>
            <w:r>
              <w:rPr>
                <w:rStyle w:val="42"/>
                <w:rFonts w:hint="eastAsia" w:cs="宋体"/>
                <w:color w:val="auto"/>
                <w:sz w:val="28"/>
                <w:szCs w:val="28"/>
                <w:highlight w:val="none"/>
                <w:lang w:val="en-US" w:eastAsia="zh-CN"/>
              </w:rPr>
              <w:t>2.5</w:t>
            </w:r>
          </w:p>
        </w:tc>
        <w:tc>
          <w:tcPr>
            <w:tcW w:w="11709" w:type="dxa"/>
            <w:tcBorders>
              <w:top w:val="single" w:color="000000" w:sz="4" w:space="0"/>
              <w:left w:val="single" w:color="000000" w:sz="4" w:space="0"/>
              <w:right w:val="single" w:color="000000" w:sz="4" w:space="0"/>
            </w:tcBorders>
            <w:noWrap w:val="0"/>
            <w:vAlign w:val="center"/>
          </w:tcPr>
          <w:p>
            <w:pPr>
              <w:shd w:val="clear" w:color="auto" w:fill="FFFFFF"/>
              <w:spacing w:line="300" w:lineRule="exact"/>
              <w:rPr>
                <w:rFonts w:cs="宋体"/>
                <w:color w:val="auto"/>
                <w:sz w:val="28"/>
                <w:szCs w:val="28"/>
                <w:highlight w:val="none"/>
              </w:rPr>
            </w:pPr>
            <w:r>
              <w:rPr>
                <w:rFonts w:hint="eastAsia" w:cs="宋体"/>
                <w:color w:val="auto"/>
                <w:kern w:val="0"/>
                <w:sz w:val="28"/>
                <w:szCs w:val="28"/>
                <w:highlight w:val="none"/>
              </w:rPr>
              <w:t>拟派质量负责人</w:t>
            </w:r>
            <w:r>
              <w:rPr>
                <w:rFonts w:hint="eastAsia" w:cs="宋体"/>
                <w:color w:val="auto"/>
                <w:kern w:val="0"/>
                <w:sz w:val="28"/>
                <w:szCs w:val="28"/>
                <w:highlight w:val="none"/>
                <w:lang w:eastAsia="zh-CN"/>
              </w:rPr>
              <w:t>（</w:t>
            </w:r>
            <w:r>
              <w:rPr>
                <w:rFonts w:hint="eastAsia" w:cs="宋体"/>
                <w:color w:val="auto"/>
                <w:kern w:val="0"/>
                <w:sz w:val="28"/>
                <w:szCs w:val="28"/>
                <w:highlight w:val="none"/>
                <w:lang w:val="en-US" w:eastAsia="zh-CN"/>
              </w:rPr>
              <w:t>1人</w:t>
            </w:r>
            <w:r>
              <w:rPr>
                <w:rFonts w:hint="eastAsia" w:cs="宋体"/>
                <w:color w:val="auto"/>
                <w:kern w:val="0"/>
                <w:sz w:val="28"/>
                <w:szCs w:val="28"/>
                <w:highlight w:val="none"/>
                <w:lang w:eastAsia="zh-CN"/>
              </w:rPr>
              <w:t>）</w:t>
            </w:r>
            <w:r>
              <w:rPr>
                <w:rFonts w:hint="eastAsia" w:cs="宋体"/>
                <w:color w:val="auto"/>
                <w:kern w:val="0"/>
                <w:sz w:val="28"/>
                <w:szCs w:val="28"/>
                <w:highlight w:val="none"/>
              </w:rPr>
              <w:t>：</w:t>
            </w:r>
          </w:p>
          <w:p>
            <w:pPr>
              <w:pStyle w:val="16"/>
              <w:shd w:val="clear" w:color="auto" w:fill="FFFFFF"/>
              <w:spacing w:line="3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1、质量负责人具备</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高级或以上职称，得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分；具备</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中级职称，得</w:t>
            </w:r>
            <w:r>
              <w:rPr>
                <w:rFonts w:hint="eastAsia" w:ascii="宋体" w:hAnsi="宋体" w:eastAsia="宋体" w:cs="宋体"/>
                <w:color w:val="auto"/>
                <w:sz w:val="28"/>
                <w:szCs w:val="28"/>
                <w:highlight w:val="none"/>
                <w:lang w:val="en-US" w:eastAsia="zh-CN"/>
              </w:rPr>
              <w:t>0.6</w:t>
            </w:r>
            <w:r>
              <w:rPr>
                <w:rFonts w:hint="eastAsia" w:ascii="宋体" w:hAnsi="宋体" w:eastAsia="宋体" w:cs="宋体"/>
                <w:color w:val="auto"/>
                <w:sz w:val="28"/>
                <w:szCs w:val="28"/>
                <w:highlight w:val="none"/>
              </w:rPr>
              <w:t>分。不符合上述条件的不得分，本项最高得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w:t>
            </w:r>
          </w:p>
          <w:p>
            <w:pPr>
              <w:pStyle w:val="16"/>
              <w:shd w:val="clear" w:color="auto" w:fill="FFFFFF"/>
              <w:spacing w:line="300" w:lineRule="exact"/>
              <w:rPr>
                <w:rFonts w:ascii="宋体" w:hAnsi="宋体" w:eastAsia="宋体" w:cs="宋体"/>
                <w:color w:val="auto"/>
                <w:kern w:val="2"/>
                <w:sz w:val="28"/>
                <w:szCs w:val="28"/>
                <w:highlight w:val="none"/>
              </w:rPr>
            </w:pPr>
            <w:r>
              <w:rPr>
                <w:rFonts w:hint="eastAsia" w:ascii="宋体" w:hAnsi="宋体" w:eastAsia="宋体" w:cs="宋体"/>
                <w:color w:val="auto"/>
                <w:sz w:val="28"/>
                <w:szCs w:val="28"/>
                <w:highlight w:val="none"/>
              </w:rPr>
              <w:t>2、具有相关工作经验(年限以</w:t>
            </w:r>
            <w:r>
              <w:rPr>
                <w:rFonts w:hint="eastAsia" w:ascii="宋体" w:hAnsi="宋体" w:eastAsia="宋体" w:cs="宋体"/>
                <w:color w:val="auto"/>
                <w:sz w:val="28"/>
                <w:szCs w:val="28"/>
                <w:highlight w:val="none"/>
                <w:lang w:eastAsia="zh-CN"/>
              </w:rPr>
              <w:t>全日制最高学历</w:t>
            </w:r>
            <w:r>
              <w:rPr>
                <w:rFonts w:hint="eastAsia" w:ascii="宋体" w:hAnsi="宋体" w:eastAsia="宋体" w:cs="宋体"/>
                <w:color w:val="auto"/>
                <w:sz w:val="28"/>
                <w:szCs w:val="28"/>
                <w:highlight w:val="none"/>
              </w:rPr>
              <w:t>毕业证书时间计算)10年以上(不含本数)的得1</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分;具有相关工作经验10~5年(均含本数)的得0.</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分;5年以下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不含本数）</w:t>
            </w:r>
            <w:r>
              <w:rPr>
                <w:rFonts w:hint="eastAsia" w:ascii="宋体" w:hAnsi="宋体" w:eastAsia="宋体" w:cs="宋体"/>
                <w:color w:val="auto"/>
                <w:sz w:val="28"/>
                <w:szCs w:val="28"/>
                <w:highlight w:val="none"/>
              </w:rPr>
              <w:t>不得分</w:t>
            </w:r>
            <w:r>
              <w:rPr>
                <w:rFonts w:hint="eastAsia" w:ascii="宋体" w:hAnsi="宋体" w:eastAsia="宋体" w:cs="宋体"/>
                <w:color w:val="auto"/>
                <w:sz w:val="28"/>
                <w:szCs w:val="28"/>
                <w:highlight w:val="none"/>
                <w:lang w:eastAsia="zh-CN"/>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0" w:hRule="atLeast"/>
          <w:jc w:val="center"/>
        </w:trPr>
        <w:tc>
          <w:tcPr>
            <w:tcW w:w="1327" w:type="dxa"/>
            <w:vMerge w:val="continue"/>
            <w:tcBorders>
              <w:left w:val="single" w:color="000000" w:sz="8" w:space="0"/>
              <w:right w:val="single" w:color="000000" w:sz="4" w:space="0"/>
            </w:tcBorders>
            <w:noWrap w:val="0"/>
            <w:vAlign w:val="center"/>
          </w:tcPr>
          <w:p>
            <w:pPr>
              <w:shd w:val="clear" w:color="auto" w:fill="FFFFFF"/>
              <w:snapToGrid w:val="0"/>
              <w:spacing w:line="300" w:lineRule="exact"/>
              <w:jc w:val="center"/>
              <w:rPr>
                <w:rStyle w:val="42"/>
                <w:rFonts w:cs="宋体"/>
                <w:color w:val="auto"/>
                <w:sz w:val="28"/>
                <w:szCs w:val="28"/>
                <w:highlight w:val="none"/>
              </w:rPr>
            </w:pPr>
          </w:p>
        </w:tc>
        <w:tc>
          <w:tcPr>
            <w:tcW w:w="1339" w:type="dxa"/>
            <w:tcBorders>
              <w:top w:val="single" w:color="000000" w:sz="4" w:space="0"/>
              <w:left w:val="single" w:color="000000" w:sz="4" w:space="0"/>
              <w:right w:val="single" w:color="000000" w:sz="4" w:space="0"/>
            </w:tcBorders>
            <w:noWrap w:val="0"/>
            <w:vAlign w:val="center"/>
          </w:tcPr>
          <w:p>
            <w:pPr>
              <w:shd w:val="clear" w:color="auto" w:fill="FFFFFF"/>
              <w:spacing w:line="300" w:lineRule="exact"/>
              <w:ind w:right="134" w:rightChars="64"/>
              <w:jc w:val="center"/>
              <w:rPr>
                <w:rStyle w:val="42"/>
                <w:rFonts w:cs="宋体"/>
                <w:color w:val="auto"/>
                <w:sz w:val="28"/>
                <w:szCs w:val="28"/>
                <w:highlight w:val="none"/>
              </w:rPr>
            </w:pPr>
            <w:r>
              <w:rPr>
                <w:rStyle w:val="42"/>
                <w:rFonts w:hint="eastAsia" w:cs="宋体"/>
                <w:color w:val="auto"/>
                <w:sz w:val="28"/>
                <w:szCs w:val="28"/>
                <w:highlight w:val="none"/>
              </w:rPr>
              <w:t>施工负责人</w:t>
            </w:r>
          </w:p>
        </w:tc>
        <w:tc>
          <w:tcPr>
            <w:tcW w:w="610" w:type="dxa"/>
            <w:tcBorders>
              <w:top w:val="single" w:color="000000" w:sz="4" w:space="0"/>
              <w:left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cs="宋体"/>
                <w:color w:val="auto"/>
                <w:sz w:val="28"/>
                <w:szCs w:val="28"/>
                <w:highlight w:val="none"/>
                <w:lang w:val="en-US"/>
              </w:rPr>
            </w:pPr>
            <w:r>
              <w:rPr>
                <w:rStyle w:val="42"/>
                <w:rFonts w:hint="eastAsia" w:cs="宋体"/>
                <w:color w:val="auto"/>
                <w:sz w:val="28"/>
                <w:szCs w:val="28"/>
                <w:highlight w:val="none"/>
                <w:lang w:val="en-US" w:eastAsia="zh-CN"/>
              </w:rPr>
              <w:t>2.5</w:t>
            </w:r>
          </w:p>
        </w:tc>
        <w:tc>
          <w:tcPr>
            <w:tcW w:w="11709" w:type="dxa"/>
            <w:tcBorders>
              <w:top w:val="single" w:color="000000" w:sz="4" w:space="0"/>
              <w:left w:val="single" w:color="000000" w:sz="4" w:space="0"/>
              <w:right w:val="single" w:color="000000" w:sz="4" w:space="0"/>
            </w:tcBorders>
            <w:noWrap w:val="0"/>
            <w:vAlign w:val="center"/>
          </w:tcPr>
          <w:p>
            <w:pPr>
              <w:pStyle w:val="16"/>
              <w:shd w:val="clear" w:color="auto" w:fill="FFFFFF"/>
              <w:spacing w:line="300" w:lineRule="exact"/>
              <w:ind w:left="286" w:hanging="285" w:hangingChars="1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拟派</w:t>
            </w:r>
            <w:r>
              <w:rPr>
                <w:rFonts w:hint="eastAsia" w:ascii="宋体" w:hAnsi="宋体" w:eastAsia="宋体" w:cs="宋体"/>
                <w:color w:val="auto"/>
                <w:sz w:val="28"/>
                <w:szCs w:val="28"/>
                <w:highlight w:val="none"/>
                <w:lang w:val="en-US" w:eastAsia="zh-CN"/>
              </w:rPr>
              <w:t>施工负责人（1人）</w:t>
            </w:r>
            <w:r>
              <w:rPr>
                <w:rFonts w:hint="eastAsia" w:ascii="宋体" w:hAnsi="宋体" w:eastAsia="宋体" w:cs="宋体"/>
                <w:color w:val="auto"/>
                <w:sz w:val="28"/>
                <w:szCs w:val="28"/>
                <w:highlight w:val="none"/>
              </w:rPr>
              <w:t>：</w:t>
            </w:r>
          </w:p>
          <w:p>
            <w:pPr>
              <w:pStyle w:val="16"/>
              <w:shd w:val="clear" w:color="auto" w:fill="FFFFFF"/>
              <w:spacing w:line="300" w:lineRule="exact"/>
              <w:ind w:left="286" w:hanging="285" w:hangingChars="1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施工</w:t>
            </w:r>
            <w:r>
              <w:rPr>
                <w:rFonts w:hint="eastAsia" w:ascii="宋体" w:hAnsi="宋体" w:eastAsia="宋体" w:cs="宋体"/>
                <w:color w:val="auto"/>
                <w:sz w:val="28"/>
                <w:szCs w:val="28"/>
                <w:highlight w:val="none"/>
              </w:rPr>
              <w:t>负责人具备</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高级或以上职称，得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分；具备</w:t>
            </w:r>
            <w:r>
              <w:rPr>
                <w:rFonts w:hint="eastAsia" w:ascii="宋体" w:hAnsi="宋体" w:eastAsia="宋体" w:cs="宋体"/>
                <w:color w:val="auto"/>
                <w:sz w:val="28"/>
                <w:szCs w:val="28"/>
                <w:highlight w:val="none"/>
                <w:lang w:eastAsia="zh-CN"/>
              </w:rPr>
              <w:t>建筑工程类</w:t>
            </w:r>
            <w:r>
              <w:rPr>
                <w:rFonts w:hint="eastAsia" w:ascii="宋体" w:hAnsi="宋体" w:eastAsia="宋体" w:cs="宋体"/>
                <w:color w:val="auto"/>
                <w:sz w:val="28"/>
                <w:szCs w:val="28"/>
                <w:highlight w:val="none"/>
              </w:rPr>
              <w:t>中级职称，得</w:t>
            </w:r>
            <w:r>
              <w:rPr>
                <w:rFonts w:hint="eastAsia" w:ascii="宋体" w:hAnsi="宋体" w:eastAsia="宋体" w:cs="宋体"/>
                <w:color w:val="auto"/>
                <w:sz w:val="28"/>
                <w:szCs w:val="28"/>
                <w:highlight w:val="none"/>
                <w:lang w:val="en-US" w:eastAsia="zh-CN"/>
              </w:rPr>
              <w:t>0.6</w:t>
            </w:r>
            <w:r>
              <w:rPr>
                <w:rFonts w:hint="eastAsia" w:ascii="宋体" w:hAnsi="宋体" w:eastAsia="宋体" w:cs="宋体"/>
                <w:color w:val="auto"/>
                <w:sz w:val="28"/>
                <w:szCs w:val="28"/>
                <w:highlight w:val="none"/>
              </w:rPr>
              <w:t>分。不符合上述条件的不得分，本项最高得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w:t>
            </w:r>
          </w:p>
          <w:p>
            <w:pPr>
              <w:pStyle w:val="16"/>
              <w:shd w:val="clear" w:color="auto" w:fill="FFFFFF"/>
              <w:spacing w:line="300" w:lineRule="exact"/>
              <w:ind w:left="286" w:hanging="285" w:hangingChars="102"/>
              <w:rPr>
                <w:rFonts w:ascii="宋体" w:hAnsi="宋体" w:cs="宋体"/>
                <w:color w:val="auto"/>
                <w:sz w:val="28"/>
                <w:szCs w:val="28"/>
                <w:highlight w:val="none"/>
                <w:u w:val="single"/>
              </w:rPr>
            </w:pPr>
            <w:r>
              <w:rPr>
                <w:rFonts w:hint="eastAsia" w:ascii="宋体" w:hAnsi="宋体" w:eastAsia="宋体" w:cs="宋体"/>
                <w:color w:val="auto"/>
                <w:sz w:val="28"/>
                <w:szCs w:val="28"/>
                <w:highlight w:val="none"/>
              </w:rPr>
              <w:t>2、具有相关工作经验(年限以</w:t>
            </w:r>
            <w:r>
              <w:rPr>
                <w:rFonts w:hint="eastAsia" w:ascii="宋体" w:hAnsi="宋体" w:eastAsia="宋体" w:cs="宋体"/>
                <w:color w:val="auto"/>
                <w:sz w:val="28"/>
                <w:szCs w:val="28"/>
                <w:highlight w:val="none"/>
                <w:lang w:eastAsia="zh-CN"/>
              </w:rPr>
              <w:t>全日制最高学历</w:t>
            </w:r>
            <w:r>
              <w:rPr>
                <w:rFonts w:hint="eastAsia" w:ascii="宋体" w:hAnsi="宋体" w:eastAsia="宋体" w:cs="宋体"/>
                <w:color w:val="auto"/>
                <w:sz w:val="28"/>
                <w:szCs w:val="28"/>
                <w:highlight w:val="none"/>
              </w:rPr>
              <w:t>毕业证书时间计算)10年以上(不含本数)的得1</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分;具有相关工作经验10~5年的(均含本数)得0.</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分;5年以下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不含本数）</w:t>
            </w:r>
            <w:r>
              <w:rPr>
                <w:rFonts w:hint="eastAsia" w:ascii="宋体" w:hAnsi="宋体" w:eastAsia="宋体" w:cs="宋体"/>
                <w:color w:val="auto"/>
                <w:sz w:val="28"/>
                <w:szCs w:val="28"/>
                <w:highlight w:val="none"/>
              </w:rPr>
              <w:t>不得分</w:t>
            </w:r>
            <w:r>
              <w:rPr>
                <w:rFonts w:hint="eastAsia" w:ascii="宋体" w:hAnsi="宋体" w:eastAsia="宋体" w:cs="宋体"/>
                <w:color w:val="auto"/>
                <w:sz w:val="28"/>
                <w:szCs w:val="28"/>
                <w:highlight w:val="none"/>
                <w:lang w:eastAsia="zh-CN"/>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0" w:hRule="atLeast"/>
          <w:jc w:val="center"/>
        </w:trPr>
        <w:tc>
          <w:tcPr>
            <w:tcW w:w="1327" w:type="dxa"/>
            <w:vMerge w:val="continue"/>
            <w:tcBorders>
              <w:left w:val="single" w:color="000000" w:sz="8" w:space="0"/>
              <w:right w:val="single" w:color="000000" w:sz="4" w:space="0"/>
            </w:tcBorders>
            <w:noWrap w:val="0"/>
            <w:vAlign w:val="center"/>
          </w:tcPr>
          <w:p>
            <w:pPr>
              <w:widowControl/>
              <w:shd w:val="clear" w:color="auto" w:fill="FFFFFF"/>
              <w:spacing w:line="300" w:lineRule="exact"/>
              <w:jc w:val="left"/>
              <w:rPr>
                <w:rStyle w:val="42"/>
                <w:rFonts w:cs="宋体"/>
                <w:color w:val="auto"/>
                <w:sz w:val="28"/>
                <w:szCs w:val="28"/>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00" w:lineRule="exact"/>
              <w:ind w:right="134" w:rightChars="64"/>
              <w:jc w:val="center"/>
              <w:rPr>
                <w:rStyle w:val="42"/>
                <w:rFonts w:cs="宋体"/>
                <w:color w:val="auto"/>
                <w:kern w:val="0"/>
                <w:sz w:val="28"/>
                <w:szCs w:val="28"/>
                <w:highlight w:val="none"/>
              </w:rPr>
            </w:pPr>
            <w:r>
              <w:rPr>
                <w:rStyle w:val="42"/>
                <w:rFonts w:hint="eastAsia" w:cs="宋体"/>
                <w:color w:val="auto"/>
                <w:sz w:val="28"/>
                <w:szCs w:val="28"/>
                <w:highlight w:val="none"/>
              </w:rPr>
              <w:t>造价负责人</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hint="default" w:cs="宋体"/>
                <w:color w:val="auto"/>
                <w:sz w:val="28"/>
                <w:szCs w:val="28"/>
                <w:highlight w:val="none"/>
                <w:lang w:val="en-US"/>
              </w:rPr>
            </w:pPr>
            <w:r>
              <w:rPr>
                <w:rStyle w:val="42"/>
                <w:rFonts w:hint="eastAsia" w:cs="宋体"/>
                <w:color w:val="auto"/>
                <w:sz w:val="28"/>
                <w:szCs w:val="28"/>
                <w:highlight w:val="none"/>
                <w:lang w:val="en-US" w:eastAsia="zh-CN"/>
              </w:rPr>
              <w:t>2.5</w:t>
            </w:r>
          </w:p>
        </w:tc>
        <w:tc>
          <w:tcPr>
            <w:tcW w:w="11709" w:type="dxa"/>
            <w:tcBorders>
              <w:top w:val="single" w:color="000000" w:sz="4" w:space="0"/>
              <w:left w:val="single" w:color="000000" w:sz="4" w:space="0"/>
              <w:bottom w:val="single" w:color="000000" w:sz="4" w:space="0"/>
              <w:right w:val="single" w:color="000000" w:sz="4" w:space="0"/>
            </w:tcBorders>
            <w:noWrap w:val="0"/>
            <w:vAlign w:val="center"/>
          </w:tcPr>
          <w:p>
            <w:pPr>
              <w:pStyle w:val="16"/>
              <w:shd w:val="clear" w:color="auto" w:fill="FFFFFF"/>
              <w:spacing w:line="300" w:lineRule="exact"/>
              <w:ind w:left="286" w:hanging="285" w:hangingChars="1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拟派造价负责人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shd w:val="clear" w:color="auto" w:fill="FFFFFF"/>
              <w:snapToGrid w:val="0"/>
              <w:spacing w:line="300" w:lineRule="exact"/>
              <w:ind w:right="42" w:rightChars="20"/>
              <w:rPr>
                <w:rFonts w:hint="eastAsia" w:eastAsia="宋体" w:cs="宋体"/>
                <w:color w:val="auto"/>
                <w:sz w:val="28"/>
                <w:szCs w:val="28"/>
                <w:highlight w:val="none"/>
                <w:lang w:eastAsia="zh-CN"/>
              </w:rPr>
            </w:pPr>
            <w:r>
              <w:rPr>
                <w:rFonts w:hint="eastAsia" w:cs="宋体"/>
                <w:color w:val="auto"/>
                <w:sz w:val="28"/>
                <w:szCs w:val="28"/>
                <w:highlight w:val="none"/>
              </w:rPr>
              <w:t>1、具</w:t>
            </w:r>
            <w:r>
              <w:rPr>
                <w:rFonts w:hint="eastAsia" w:cs="宋体"/>
                <w:color w:val="auto"/>
                <w:sz w:val="28"/>
                <w:szCs w:val="28"/>
                <w:highlight w:val="none"/>
                <w:lang w:eastAsia="zh-CN"/>
              </w:rPr>
              <w:t>备一</w:t>
            </w:r>
            <w:r>
              <w:rPr>
                <w:rFonts w:hint="eastAsia" w:cs="宋体"/>
                <w:color w:val="auto"/>
                <w:sz w:val="28"/>
                <w:szCs w:val="28"/>
                <w:highlight w:val="none"/>
              </w:rPr>
              <w:t>级注册造价工程师</w:t>
            </w:r>
            <w:r>
              <w:rPr>
                <w:rFonts w:hint="eastAsia" w:cs="宋体"/>
                <w:color w:val="auto"/>
                <w:sz w:val="28"/>
                <w:szCs w:val="28"/>
                <w:highlight w:val="none"/>
                <w:lang w:eastAsia="zh-CN"/>
              </w:rPr>
              <w:t>，得</w:t>
            </w:r>
            <w:r>
              <w:rPr>
                <w:rFonts w:hint="eastAsia" w:cs="宋体"/>
                <w:color w:val="auto"/>
                <w:sz w:val="28"/>
                <w:szCs w:val="28"/>
                <w:highlight w:val="none"/>
                <w:lang w:val="en-US" w:eastAsia="zh-CN"/>
              </w:rPr>
              <w:t>1.25</w:t>
            </w:r>
            <w:r>
              <w:rPr>
                <w:rFonts w:hint="eastAsia" w:cs="宋体"/>
                <w:color w:val="auto"/>
                <w:sz w:val="28"/>
                <w:szCs w:val="28"/>
                <w:highlight w:val="none"/>
              </w:rPr>
              <w:t>分</w:t>
            </w:r>
            <w:r>
              <w:rPr>
                <w:rFonts w:hint="eastAsia" w:cs="宋体"/>
                <w:color w:val="auto"/>
                <w:sz w:val="28"/>
                <w:szCs w:val="28"/>
                <w:highlight w:val="none"/>
                <w:lang w:eastAsia="zh-CN"/>
              </w:rPr>
              <w:t>；</w:t>
            </w:r>
            <w:r>
              <w:rPr>
                <w:rFonts w:hint="eastAsia" w:cs="宋体"/>
                <w:color w:val="auto"/>
                <w:sz w:val="28"/>
                <w:szCs w:val="28"/>
                <w:highlight w:val="none"/>
              </w:rPr>
              <w:t>具备二级注册造价工程师资格，得0</w:t>
            </w:r>
            <w:r>
              <w:rPr>
                <w:rFonts w:hint="eastAsia" w:cs="宋体"/>
                <w:color w:val="auto"/>
                <w:sz w:val="28"/>
                <w:szCs w:val="28"/>
                <w:highlight w:val="none"/>
                <w:lang w:val="en-US" w:eastAsia="zh-CN"/>
              </w:rPr>
              <w:t>.6</w:t>
            </w:r>
            <w:r>
              <w:rPr>
                <w:rFonts w:hint="eastAsia" w:cs="宋体"/>
                <w:color w:val="auto"/>
                <w:sz w:val="28"/>
                <w:szCs w:val="28"/>
                <w:highlight w:val="none"/>
              </w:rPr>
              <w:t>分;</w:t>
            </w:r>
            <w:r>
              <w:rPr>
                <w:rFonts w:hint="eastAsia" w:ascii="宋体" w:hAnsi="宋体" w:eastAsia="宋体" w:cs="宋体"/>
                <w:color w:val="auto"/>
                <w:sz w:val="28"/>
                <w:szCs w:val="28"/>
                <w:highlight w:val="none"/>
              </w:rPr>
              <w:t>不符合上述条件的不得分，本项最高得</w:t>
            </w:r>
            <w:r>
              <w:rPr>
                <w:rFonts w:hint="eastAsia" w:ascii="宋体" w:hAnsi="宋体" w:eastAsia="宋体" w:cs="宋体"/>
                <w:color w:val="auto"/>
                <w:sz w:val="28"/>
                <w:szCs w:val="28"/>
                <w:highlight w:val="none"/>
                <w:lang w:val="en-US" w:eastAsia="zh-CN"/>
              </w:rPr>
              <w:t>1.25</w:t>
            </w:r>
            <w:r>
              <w:rPr>
                <w:rFonts w:hint="eastAsia" w:ascii="宋体" w:hAnsi="宋体" w:eastAsia="宋体" w:cs="宋体"/>
                <w:color w:val="auto"/>
                <w:sz w:val="28"/>
                <w:szCs w:val="28"/>
                <w:highlight w:val="none"/>
              </w:rPr>
              <w:t>分。</w:t>
            </w:r>
          </w:p>
          <w:p>
            <w:pPr>
              <w:shd w:val="clear" w:color="auto" w:fill="FFFFFF"/>
              <w:snapToGrid w:val="0"/>
              <w:spacing w:line="300" w:lineRule="exact"/>
              <w:ind w:right="42" w:rightChars="20"/>
              <w:rPr>
                <w:rFonts w:hint="eastAsia" w:eastAsia="宋体" w:cs="宋体"/>
                <w:color w:val="auto"/>
                <w:sz w:val="28"/>
                <w:szCs w:val="28"/>
                <w:highlight w:val="none"/>
                <w:lang w:eastAsia="zh-CN"/>
              </w:rPr>
            </w:pPr>
            <w:r>
              <w:rPr>
                <w:rFonts w:hint="eastAsia" w:cs="宋体"/>
                <w:color w:val="auto"/>
                <w:sz w:val="28"/>
                <w:szCs w:val="28"/>
                <w:highlight w:val="none"/>
              </w:rPr>
              <w:t>2、具有相关工作经验(年限以</w:t>
            </w:r>
            <w:r>
              <w:rPr>
                <w:rFonts w:hint="eastAsia" w:ascii="宋体" w:hAnsi="宋体" w:eastAsia="宋体" w:cs="宋体"/>
                <w:color w:val="auto"/>
                <w:sz w:val="28"/>
                <w:szCs w:val="28"/>
                <w:highlight w:val="none"/>
                <w:lang w:eastAsia="zh-CN"/>
              </w:rPr>
              <w:t>全日制最高学历</w:t>
            </w:r>
            <w:r>
              <w:rPr>
                <w:rFonts w:hint="eastAsia" w:cs="宋体"/>
                <w:color w:val="auto"/>
                <w:sz w:val="28"/>
                <w:szCs w:val="28"/>
                <w:highlight w:val="none"/>
              </w:rPr>
              <w:t>毕业证书时间计算)10年以上(不含本数)的，得1</w:t>
            </w:r>
            <w:r>
              <w:rPr>
                <w:rFonts w:hint="eastAsia" w:cs="宋体"/>
                <w:color w:val="auto"/>
                <w:sz w:val="28"/>
                <w:szCs w:val="28"/>
                <w:highlight w:val="none"/>
                <w:lang w:val="en-US" w:eastAsia="zh-CN"/>
              </w:rPr>
              <w:t>.25</w:t>
            </w:r>
            <w:r>
              <w:rPr>
                <w:rFonts w:hint="eastAsia" w:cs="宋体"/>
                <w:color w:val="auto"/>
                <w:sz w:val="28"/>
                <w:szCs w:val="28"/>
                <w:highlight w:val="none"/>
              </w:rPr>
              <w:t>分;具有相关工作经验10~5年(均含本数)的，得0.</w:t>
            </w:r>
            <w:r>
              <w:rPr>
                <w:rFonts w:hint="eastAsia" w:cs="宋体"/>
                <w:color w:val="auto"/>
                <w:sz w:val="28"/>
                <w:szCs w:val="28"/>
                <w:highlight w:val="none"/>
                <w:lang w:val="en-US" w:eastAsia="zh-CN"/>
              </w:rPr>
              <w:t>6</w:t>
            </w:r>
            <w:r>
              <w:rPr>
                <w:rFonts w:hint="eastAsia" w:cs="宋体"/>
                <w:color w:val="auto"/>
                <w:sz w:val="28"/>
                <w:szCs w:val="28"/>
                <w:highlight w:val="none"/>
              </w:rPr>
              <w:t>分</w:t>
            </w:r>
            <w:r>
              <w:rPr>
                <w:rFonts w:hint="eastAsia" w:cs="宋体"/>
                <w:color w:val="auto"/>
                <w:sz w:val="28"/>
                <w:szCs w:val="28"/>
                <w:highlight w:val="none"/>
                <w:lang w:eastAsia="zh-CN"/>
              </w:rPr>
              <w:t>；5年以下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不含本数）</w:t>
            </w:r>
            <w:r>
              <w:rPr>
                <w:rFonts w:hint="eastAsia" w:cs="宋体"/>
                <w:color w:val="auto"/>
                <w:sz w:val="28"/>
                <w:szCs w:val="28"/>
                <w:highlight w:val="none"/>
                <w:lang w:eastAsia="zh-CN"/>
              </w:rPr>
              <w:t>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9" w:hRule="atLeast"/>
          <w:jc w:val="center"/>
        </w:trPr>
        <w:tc>
          <w:tcPr>
            <w:tcW w:w="1327" w:type="dxa"/>
            <w:vMerge w:val="continue"/>
            <w:tcBorders>
              <w:left w:val="single" w:color="000000" w:sz="8" w:space="0"/>
              <w:right w:val="single" w:color="000000" w:sz="4" w:space="0"/>
            </w:tcBorders>
            <w:noWrap w:val="0"/>
            <w:vAlign w:val="center"/>
          </w:tcPr>
          <w:p>
            <w:pPr>
              <w:widowControl/>
              <w:shd w:val="clear" w:color="auto" w:fill="FFFFFF"/>
              <w:spacing w:line="300" w:lineRule="exact"/>
              <w:jc w:val="left"/>
              <w:rPr>
                <w:rStyle w:val="42"/>
                <w:rFonts w:cs="宋体"/>
                <w:color w:val="auto"/>
                <w:sz w:val="28"/>
                <w:szCs w:val="28"/>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00" w:lineRule="exact"/>
              <w:ind w:right="134" w:rightChars="64"/>
              <w:jc w:val="center"/>
              <w:rPr>
                <w:rStyle w:val="42"/>
                <w:rFonts w:hint="default" w:eastAsia="宋体" w:cs="宋体"/>
                <w:color w:val="auto"/>
                <w:sz w:val="28"/>
                <w:szCs w:val="28"/>
                <w:highlight w:val="none"/>
                <w:lang w:val="en-US" w:eastAsia="zh-CN"/>
              </w:rPr>
            </w:pPr>
            <w:r>
              <w:rPr>
                <w:rFonts w:hint="eastAsia" w:cs="宋体"/>
                <w:color w:val="auto"/>
                <w:kern w:val="0"/>
                <w:sz w:val="28"/>
                <w:szCs w:val="28"/>
                <w:highlight w:val="none"/>
                <w:lang w:val="en-US" w:eastAsia="zh-CN"/>
              </w:rPr>
              <w:t>其他专业人员</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color w:val="auto"/>
                <w:sz w:val="28"/>
                <w:szCs w:val="28"/>
                <w:highlight w:val="none"/>
              </w:rPr>
            </w:pPr>
            <w:r>
              <w:rPr>
                <w:rStyle w:val="42"/>
                <w:rFonts w:hint="eastAsia" w:cs="宋体"/>
                <w:color w:val="auto"/>
                <w:sz w:val="28"/>
                <w:szCs w:val="28"/>
                <w:highlight w:val="none"/>
                <w:lang w:val="en-US" w:eastAsia="zh-CN"/>
              </w:rPr>
              <w:t>4</w:t>
            </w:r>
          </w:p>
        </w:tc>
        <w:tc>
          <w:tcPr>
            <w:tcW w:w="11709" w:type="dxa"/>
            <w:tcBorders>
              <w:top w:val="single" w:color="000000" w:sz="4" w:space="0"/>
              <w:left w:val="single" w:color="000000" w:sz="4" w:space="0"/>
              <w:bottom w:val="single" w:color="auto" w:sz="4" w:space="0"/>
              <w:right w:val="single" w:color="000000" w:sz="4" w:space="0"/>
            </w:tcBorders>
            <w:noWrap w:val="0"/>
            <w:vAlign w:val="center"/>
          </w:tcPr>
          <w:p>
            <w:pPr>
              <w:pStyle w:val="16"/>
              <w:shd w:val="clear" w:color="auto" w:fill="FFFFFF"/>
              <w:spacing w:line="300" w:lineRule="exact"/>
              <w:ind w:left="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除项目负责人、技术负责人、质量负责人、施工负责人、造价负责人外</w:t>
            </w:r>
            <w:r>
              <w:rPr>
                <w:rFonts w:hint="eastAsia" w:ascii="宋体" w:hAnsi="宋体" w:eastAsia="宋体" w:cs="宋体"/>
                <w:color w:val="auto"/>
                <w:sz w:val="28"/>
                <w:szCs w:val="28"/>
                <w:highlight w:val="none"/>
                <w:lang w:eastAsia="zh-CN"/>
              </w:rPr>
              <w:t>，拟投入本项目的人员配置完善合理,关键技术工种能保证项目顺利实施保障项目质量、安全及周边环境等要求，其中:材料员1人、资料员1人，以上人员不得兼任，全部满足得</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分，少1人扣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分，直至扣完为止。</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 w:hRule="atLeast"/>
          <w:jc w:val="center"/>
        </w:trPr>
        <w:tc>
          <w:tcPr>
            <w:tcW w:w="2666" w:type="dxa"/>
            <w:gridSpan w:val="2"/>
            <w:tcBorders>
              <w:top w:val="single" w:color="000000" w:sz="4" w:space="0"/>
              <w:left w:val="single" w:color="000000" w:sz="8" w:space="0"/>
              <w:bottom w:val="single" w:color="000000" w:sz="4" w:space="0"/>
              <w:right w:val="single" w:color="000000" w:sz="4" w:space="0"/>
            </w:tcBorders>
            <w:noWrap w:val="0"/>
            <w:vAlign w:val="center"/>
          </w:tcPr>
          <w:p>
            <w:pPr>
              <w:shd w:val="clear" w:color="auto" w:fill="FFFFFF"/>
              <w:snapToGrid w:val="0"/>
              <w:spacing w:line="300" w:lineRule="exact"/>
              <w:jc w:val="center"/>
              <w:rPr>
                <w:rStyle w:val="42"/>
                <w:rFonts w:cs="宋体"/>
                <w:color w:val="auto"/>
                <w:sz w:val="28"/>
                <w:szCs w:val="28"/>
                <w:highlight w:val="none"/>
              </w:rPr>
            </w:pPr>
            <w:r>
              <w:rPr>
                <w:rStyle w:val="42"/>
                <w:rFonts w:hint="eastAsia" w:cs="宋体"/>
                <w:color w:val="auto"/>
                <w:sz w:val="28"/>
                <w:szCs w:val="28"/>
                <w:highlight w:val="none"/>
              </w:rPr>
              <w:t>合计</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00" w:lineRule="exact"/>
              <w:jc w:val="center"/>
              <w:rPr>
                <w:rStyle w:val="42"/>
                <w:rFonts w:hint="default" w:eastAsia="宋体" w:cs="宋体"/>
                <w:color w:val="auto"/>
                <w:sz w:val="28"/>
                <w:szCs w:val="28"/>
                <w:highlight w:val="none"/>
                <w:lang w:val="en-US" w:eastAsia="zh-CN"/>
              </w:rPr>
            </w:pPr>
            <w:r>
              <w:rPr>
                <w:rStyle w:val="42"/>
                <w:rFonts w:hint="eastAsia" w:cs="宋体"/>
                <w:color w:val="auto"/>
                <w:kern w:val="0"/>
                <w:sz w:val="28"/>
                <w:szCs w:val="28"/>
                <w:highlight w:val="none"/>
                <w:lang w:val="en-US" w:eastAsia="zh-CN"/>
              </w:rPr>
              <w:t>20</w:t>
            </w:r>
          </w:p>
        </w:tc>
        <w:tc>
          <w:tcPr>
            <w:tcW w:w="1170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00" w:lineRule="exact"/>
              <w:rPr>
                <w:rStyle w:val="42"/>
                <w:rFonts w:cs="宋体"/>
                <w:color w:val="auto"/>
                <w:sz w:val="28"/>
                <w:szCs w:val="28"/>
                <w:highlight w:val="none"/>
              </w:rPr>
            </w:pPr>
          </w:p>
        </w:tc>
      </w:tr>
    </w:tbl>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w:t>
      </w:r>
    </w:p>
    <w:p>
      <w:pPr>
        <w:pStyle w:val="5"/>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1、项目管理机构能力:</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项目管理团队人员是指在本公司人员，不含子公司人员，如投标人为集团公司，则不含其集团下属的子公司人员。(2)以上人员均不可兼任，人员须提供对应的职称证书或资格证书、注册证、毕业证等相关证明材料扫描件,不提供或提供不齐全不得分。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(2)所有人员应同时提供2024年9月,在投标单位(不含投标人的子公司或母公司人员，含分公司)缴纳社保的证明材料。</w:t>
      </w:r>
    </w:p>
    <w:p>
      <w:pPr>
        <w:pStyle w:val="5"/>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2、企业获奖情况:</w:t>
      </w:r>
      <w:r>
        <w:rPr>
          <w:rFonts w:hint="eastAsia" w:ascii="宋体" w:hAnsi="宋体" w:cs="宋体"/>
          <w:color w:val="auto"/>
          <w:szCs w:val="21"/>
          <w:highlight w:val="none"/>
          <w:lang w:val="en-US" w:eastAsia="zh-CN"/>
        </w:rPr>
        <w:t>（1）工程获奖可取自广州市住建行业信用管理平台或提供获奖证书原件彩色扫描件。时间以获奖证书颁奖时间为准。国家级质量或安全奖项包括：中国建设工程鲁班奖、国家优质工程金质奖、国家优质工程奖、中国土木工程詹天佑奖、建设工程项目施工安全生产标准化工地(原国家AAA级安全文明标准化诚信工地)；省、市级质量或安全奖项是指由省、市级建设行政主管部门或行业协会颁发的工程优质奖或结构类奖或安全文明类奖项，不含技术类奖项。奖项只计算承建单位，不含参建单位。同一工程项目获得多个符合要求奖项的，只按一个奖项计算，不重复计算。只计算房建类工程项目，其他非房建类工程项目奖项，如路桥、铁路、水利、电力、化工、冶金、装修、QC、市政等项目奖项不参与计分。</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获奖取自广州市住建行业信用管理平台的，投标人须同时提交广州市住建行业信用管理平台中获奖业绩的网页信息截图和获奖材料上传件以供核对，提交网页信息截图与递交投标文件截止时信用管理平台上传件不一致的，以信用管理平台上传件为准。</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获奖提供获奖证书原件彩色扫描件的，投标人须提供获奖证书原件彩色扫描件，并同时提供获奖业绩的中标通知书（或免招标证明文件）、施工合同（不含补充合同）原件彩色扫描件并加盖投标人企业电子印章。不符合上述条件或上述资料相关信息不一致或提供的资料不齐全的获奖业绩不予评审。由行业学会或行业协会颁发的奖项，行业学会或行业协会需在民政部门备案。评标委员会对获奖业绩的评审以投标人提供的完整的证明资料为依据。</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(3)时间以获奖证书颁发时间为准。</w:t>
      </w:r>
    </w:p>
    <w:p>
      <w:pPr>
        <w:pStyle w:val="5"/>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3、第三方评价:</w:t>
      </w:r>
      <w:r>
        <w:rPr>
          <w:rFonts w:hint="eastAsia" w:ascii="宋体" w:hAnsi="宋体" w:cs="宋体"/>
          <w:color w:val="auto"/>
          <w:szCs w:val="21"/>
          <w:highlight w:val="none"/>
          <w:lang w:val="en-US" w:eastAsia="zh-CN"/>
        </w:rPr>
        <w:t>需提供相关证书扫描件及认证认可业务信息统一查询平台(http://cx.cnea.cn/)在投标截止时间前最新状态的查询结果截图(状态须为有效)，材料不齐不能得分。</w:t>
      </w:r>
    </w:p>
    <w:p>
      <w:pPr>
        <w:pStyle w:val="5"/>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4、企业研发能力:</w:t>
      </w:r>
      <w:r>
        <w:rPr>
          <w:rFonts w:hint="eastAsia" w:ascii="宋体" w:hAnsi="宋体" w:cs="宋体"/>
          <w:color w:val="auto"/>
          <w:szCs w:val="21"/>
          <w:highlight w:val="none"/>
          <w:lang w:val="en-US" w:eastAsia="zh-CN"/>
        </w:rPr>
        <w:t>发明专利以中华人民共和国国家知识产权局网站(https://www.cnipa.gov.cn/，网站中的“专利检索查询”-“公众查询”)可查询的专利为准，投标人须提交(有效期内)可反映企业专利类型为“发明专利”和“实用新型”、专利号授权公告日的查询页面打印件加盖公章，时间以授权公告日为准,投标人须提交(有效期内)可反映企业专利类型为不限于“发明专利”或“实用新型”、专利号的查询网上页,时间以授权公告日为准。</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以上所附证书证明文件均须提供原件彩色扫描件，投标人提供的网页截图或原件彩色扫描件必须加盖投标人电子印章且内容必须清晰可辨,如因网页截图或原件彩色扫描件内容模糊导致评标时无法判断的，后果由投标人自负。上述资料不提供或提供不完整或提供不符合要求的不得分。</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6、中标单位需准备投标文件涉及的所有原件，在签订合同前待查，如原件不齐或与原件不符的，招标人有权上报建设行政主管部门。</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7、评委评分的算术平均值为投标人的最终得分。分数出现小数点，保留小数点后二位小数，第三位小数四舍五入。</w:t>
      </w:r>
    </w:p>
    <w:p>
      <w:pPr>
        <w:pStyle w:val="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8、投标人所提供资料同时满足多个档次的，按满足的最高档次得分。</w:t>
      </w:r>
    </w:p>
    <w:p>
      <w:pPr>
        <w:pStyle w:val="5"/>
        <w:jc w:val="left"/>
        <w:rPr>
          <w:b/>
          <w:color w:val="auto"/>
          <w:sz w:val="36"/>
          <w:szCs w:val="36"/>
          <w:highlight w:val="none"/>
        </w:rPr>
      </w:pPr>
      <w:r>
        <w:rPr>
          <w:rFonts w:hint="eastAsia" w:ascii="宋体" w:hAnsi="宋体" w:cs="宋体"/>
          <w:color w:val="auto"/>
          <w:szCs w:val="21"/>
          <w:highlight w:val="none"/>
        </w:rPr>
        <w:t>评委签名：</w:t>
      </w:r>
    </w:p>
    <w:p>
      <w:pPr>
        <w:rPr>
          <w:color w:val="auto"/>
          <w:szCs w:val="21"/>
          <w:highlight w:val="none"/>
        </w:rPr>
        <w:sectPr>
          <w:headerReference r:id="rId12" w:type="first"/>
          <w:footerReference r:id="rId14" w:type="first"/>
          <w:headerReference r:id="rId11" w:type="default"/>
          <w:footerReference r:id="rId13" w:type="default"/>
          <w:pgSz w:w="16838" w:h="11905" w:orient="landscape"/>
          <w:pgMar w:top="850" w:right="1020" w:bottom="850" w:left="1134" w:header="850" w:footer="454" w:gutter="0"/>
          <w:cols w:space="720" w:num="1"/>
          <w:titlePg/>
          <w:docGrid w:type="lines" w:linePitch="331" w:charSpace="0"/>
        </w:sectPr>
      </w:pP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投标报价</w:t>
            </w:r>
            <w:r>
              <w:rPr>
                <w:color w:val="auto"/>
                <w:szCs w:val="21"/>
                <w:highlight w:val="none"/>
              </w:rPr>
              <w:t>PT</w:t>
            </w:r>
            <w:r>
              <w:rPr>
                <w:rFonts w:hint="eastAsia"/>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报价权</w:t>
            </w:r>
            <w:r>
              <w:rPr>
                <w:rFonts w:hint="eastAsia"/>
                <w:color w:val="auto"/>
                <w:sz w:val="18"/>
                <w:szCs w:val="18"/>
                <w:highlight w:val="none"/>
              </w:rPr>
              <w:t>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偏差（（</w:t>
            </w:r>
            <w:r>
              <w:rPr>
                <w:color w:val="auto"/>
                <w:szCs w:val="21"/>
                <w:highlight w:val="none"/>
              </w:rPr>
              <w:t>PT-PC</w:t>
            </w:r>
            <w:r>
              <w:rPr>
                <w:rFonts w:hint="eastAsia"/>
                <w:color w:val="auto"/>
                <w:szCs w:val="21"/>
                <w:highlight w:val="none"/>
              </w:rPr>
              <w:t>）</w:t>
            </w:r>
            <w:r>
              <w:rPr>
                <w:color w:val="auto"/>
                <w:szCs w:val="21"/>
                <w:highlight w:val="none"/>
              </w:rPr>
              <w:t>/PC</w:t>
            </w:r>
            <w:r>
              <w:rPr>
                <w:rFonts w:hint="eastAsia"/>
                <w:color w:val="auto"/>
                <w:szCs w:val="21"/>
                <w:highlight w:val="none"/>
              </w:rPr>
              <w:t>）（</w:t>
            </w:r>
            <w:r>
              <w:rPr>
                <w:color w:val="auto"/>
                <w:szCs w:val="21"/>
                <w:highlight w:val="none"/>
              </w:rPr>
              <w:t>%</w:t>
            </w:r>
            <w:r>
              <w:rPr>
                <w:rFonts w:hint="eastAsia"/>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减分（</w:t>
            </w:r>
            <w:r>
              <w:rPr>
                <w:color w:val="auto"/>
                <w:szCs w:val="21"/>
                <w:highlight w:val="none"/>
              </w:rPr>
              <w:t>A</w:t>
            </w:r>
            <w:r>
              <w:rPr>
                <w:rFonts w:hint="eastAsia"/>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得分</w:t>
            </w:r>
            <w:r>
              <w:rPr>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p>
        </w:tc>
      </w:tr>
    </w:tbl>
    <w:p>
      <w:pPr>
        <w:rPr>
          <w:b/>
          <w:color w:val="auto"/>
          <w:szCs w:val="21"/>
          <w:highlight w:val="none"/>
        </w:rPr>
      </w:pPr>
      <w:r>
        <w:rPr>
          <w:rFonts w:hint="eastAsia"/>
          <w:color w:val="auto"/>
          <w:szCs w:val="21"/>
          <w:highlight w:val="none"/>
        </w:rPr>
        <w:t>评委签名：</w:t>
      </w:r>
      <w:r>
        <w:rPr>
          <w:b/>
          <w:color w:val="auto"/>
          <w:sz w:val="36"/>
          <w:szCs w:val="36"/>
          <w:highlight w:val="none"/>
        </w:rPr>
        <w:br w:type="page"/>
      </w: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hint="eastAsia"/>
          <w:color w:val="auto"/>
          <w:kern w:val="0"/>
          <w:szCs w:val="21"/>
          <w:highlight w:val="none"/>
        </w:rPr>
        <w:t>投标人</w:t>
      </w:r>
      <w:r>
        <w:rPr>
          <w:color w:val="auto"/>
          <w:kern w:val="0"/>
          <w:szCs w:val="21"/>
          <w:highlight w:val="none"/>
        </w:rPr>
        <w:t xml:space="preserve">:                                                  </w:t>
      </w:r>
      <w:r>
        <w:rPr>
          <w:rFonts w:hint="eastAsia"/>
          <w:color w:val="auto"/>
          <w:kern w:val="0"/>
          <w:szCs w:val="21"/>
          <w:highlight w:val="none"/>
        </w:rPr>
        <w:t>单位：元</w:t>
      </w:r>
    </w:p>
    <w:tbl>
      <w:tblPr>
        <w:tblStyle w:val="28"/>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修正前投标</w:t>
            </w:r>
          </w:p>
          <w:p>
            <w:pPr>
              <w:rPr>
                <w:color w:val="auto"/>
                <w:kern w:val="0"/>
                <w:szCs w:val="21"/>
                <w:highlight w:val="none"/>
              </w:rPr>
            </w:pPr>
            <w:r>
              <w:rPr>
                <w:rFonts w:hint="eastAsia"/>
                <w:color w:val="auto"/>
                <w:kern w:val="0"/>
                <w:szCs w:val="21"/>
                <w:highlight w:val="none"/>
              </w:rPr>
              <w:t>报价</w:t>
            </w:r>
            <w:r>
              <w:rPr>
                <w:color w:val="auto"/>
                <w:kern w:val="0"/>
                <w:szCs w:val="21"/>
                <w:highlight w:val="none"/>
              </w:rPr>
              <w:t>A</w:t>
            </w:r>
          </w:p>
        </w:tc>
        <w:tc>
          <w:tcPr>
            <w:tcW w:w="157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修正后投标</w:t>
            </w:r>
          </w:p>
          <w:p>
            <w:pPr>
              <w:rPr>
                <w:color w:val="auto"/>
                <w:kern w:val="0"/>
                <w:szCs w:val="21"/>
                <w:highlight w:val="none"/>
              </w:rPr>
            </w:pPr>
            <w:r>
              <w:rPr>
                <w:rFonts w:hint="eastAsia"/>
                <w:color w:val="auto"/>
                <w:kern w:val="0"/>
                <w:szCs w:val="21"/>
                <w:highlight w:val="none"/>
              </w:rPr>
              <w:t>报价</w:t>
            </w:r>
            <w:r>
              <w:rPr>
                <w:color w:val="auto"/>
                <w:kern w:val="0"/>
                <w:szCs w:val="21"/>
                <w:highlight w:val="none"/>
              </w:rPr>
              <w:t>B</w:t>
            </w:r>
          </w:p>
        </w:tc>
        <w:tc>
          <w:tcPr>
            <w:tcW w:w="157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修正率</w:t>
            </w:r>
          </w:p>
          <w:p>
            <w:pPr>
              <w:rPr>
                <w:color w:val="auto"/>
                <w:kern w:val="0"/>
                <w:szCs w:val="21"/>
                <w:highlight w:val="none"/>
              </w:rPr>
            </w:pPr>
            <w:r>
              <w:rPr>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当</w:t>
            </w:r>
            <w:r>
              <w:rPr>
                <w:color w:val="auto"/>
                <w:kern w:val="0"/>
                <w:szCs w:val="21"/>
                <w:highlight w:val="none"/>
              </w:rPr>
              <w:t>B&gt;A</w:t>
            </w:r>
            <w:r>
              <w:rPr>
                <w:rFonts w:hint="eastAsia"/>
                <w:color w:val="auto"/>
                <w:kern w:val="0"/>
                <w:szCs w:val="21"/>
                <w:highlight w:val="none"/>
              </w:rPr>
              <w:t>时，修正后报价与原报价的差额；当</w:t>
            </w:r>
            <w:r>
              <w:rPr>
                <w:color w:val="auto"/>
                <w:kern w:val="0"/>
                <w:szCs w:val="21"/>
                <w:highlight w:val="none"/>
              </w:rPr>
              <w:t>B</w:t>
            </w:r>
            <w:r>
              <w:rPr>
                <w:rFonts w:hint="eastAsia"/>
                <w:color w:val="auto"/>
                <w:kern w:val="0"/>
                <w:szCs w:val="21"/>
                <w:highlight w:val="none"/>
              </w:rPr>
              <w:t>≤</w:t>
            </w:r>
            <w:r>
              <w:rPr>
                <w:color w:val="auto"/>
                <w:kern w:val="0"/>
                <w:szCs w:val="21"/>
                <w:highlight w:val="none"/>
              </w:rPr>
              <w:t>A</w:t>
            </w:r>
            <w:r>
              <w:rPr>
                <w:rFonts w:hint="eastAsia"/>
                <w:color w:val="auto"/>
                <w:kern w:val="0"/>
                <w:szCs w:val="21"/>
                <w:highlight w:val="none"/>
              </w:rPr>
              <w:t>时</w:t>
            </w:r>
            <w:r>
              <w:rPr>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1]</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2]</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n]</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投标总报价</w:t>
            </w:r>
          </w:p>
        </w:tc>
        <w:tc>
          <w:tcPr>
            <w:tcW w:w="1602"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pPr>
              <w:rPr>
                <w:color w:val="auto"/>
                <w:kern w:val="0"/>
                <w:szCs w:val="21"/>
                <w:highlight w:val="none"/>
              </w:rPr>
            </w:pPr>
            <w:r>
              <w:rPr>
                <w:rFonts w:hint="eastAsia"/>
                <w:color w:val="auto"/>
                <w:kern w:val="0"/>
                <w:szCs w:val="21"/>
                <w:highlight w:val="none"/>
              </w:rPr>
              <w:t>∑</w:t>
            </w:r>
            <w:r>
              <w:rPr>
                <w:color w:val="auto"/>
                <w:kern w:val="0"/>
                <w:szCs w:val="21"/>
                <w:highlight w:val="none"/>
              </w:rPr>
              <w:t>A=A</w:t>
            </w:r>
            <w:r>
              <w:rPr>
                <w:color w:val="auto"/>
                <w:kern w:val="0"/>
                <w:szCs w:val="21"/>
                <w:highlight w:val="none"/>
                <w:vertAlign w:val="subscript"/>
              </w:rPr>
              <w:t>1</w:t>
            </w:r>
            <w:r>
              <w:rPr>
                <w:color w:val="auto"/>
                <w:kern w:val="0"/>
                <w:szCs w:val="21"/>
                <w:highlight w:val="none"/>
              </w:rPr>
              <w:t>+A</w:t>
            </w:r>
            <w:r>
              <w:rPr>
                <w:color w:val="auto"/>
                <w:kern w:val="0"/>
                <w:szCs w:val="21"/>
                <w:highlight w:val="none"/>
                <w:vertAlign w:val="subscript"/>
              </w:rPr>
              <w:t>2</w:t>
            </w:r>
            <w:r>
              <w:rPr>
                <w:color w:val="auto"/>
                <w:kern w:val="0"/>
                <w:szCs w:val="21"/>
                <w:highlight w:val="none"/>
              </w:rPr>
              <w:t>+</w:t>
            </w:r>
            <w:r>
              <w:rPr>
                <w:rFonts w:hint="eastAsia"/>
                <w:color w:val="auto"/>
                <w:kern w:val="0"/>
                <w:szCs w:val="21"/>
                <w:highlight w:val="none"/>
              </w:rPr>
              <w:t>…</w:t>
            </w:r>
            <w:r>
              <w:rPr>
                <w:color w:val="auto"/>
                <w:kern w:val="0"/>
                <w:szCs w:val="21"/>
                <w:highlight w:val="none"/>
              </w:rPr>
              <w:t>An</w:t>
            </w:r>
            <w:r>
              <w:rPr>
                <w:rFonts w:hint="eastAsia"/>
                <w:color w:val="auto"/>
                <w:kern w:val="0"/>
                <w:szCs w:val="21"/>
                <w:highlight w:val="none"/>
              </w:rPr>
              <w:t>；∑</w:t>
            </w:r>
            <w:r>
              <w:rPr>
                <w:color w:val="auto"/>
                <w:kern w:val="0"/>
                <w:szCs w:val="21"/>
                <w:highlight w:val="none"/>
              </w:rPr>
              <w:t>B=B</w:t>
            </w:r>
            <w:r>
              <w:rPr>
                <w:color w:val="auto"/>
                <w:kern w:val="0"/>
                <w:szCs w:val="21"/>
                <w:highlight w:val="none"/>
                <w:vertAlign w:val="subscript"/>
              </w:rPr>
              <w:t>1</w:t>
            </w:r>
            <w:r>
              <w:rPr>
                <w:color w:val="auto"/>
                <w:kern w:val="0"/>
                <w:szCs w:val="21"/>
                <w:highlight w:val="none"/>
              </w:rPr>
              <w:t>+B</w:t>
            </w:r>
            <w:r>
              <w:rPr>
                <w:color w:val="auto"/>
                <w:kern w:val="0"/>
                <w:szCs w:val="21"/>
                <w:highlight w:val="none"/>
                <w:vertAlign w:val="subscript"/>
              </w:rPr>
              <w:t>2</w:t>
            </w:r>
            <w:r>
              <w:rPr>
                <w:color w:val="auto"/>
                <w:kern w:val="0"/>
                <w:szCs w:val="21"/>
                <w:highlight w:val="none"/>
              </w:rPr>
              <w:t>+</w:t>
            </w:r>
            <w:r>
              <w:rPr>
                <w:rFonts w:hint="eastAsia"/>
                <w:color w:val="auto"/>
                <w:kern w:val="0"/>
                <w:szCs w:val="21"/>
                <w:highlight w:val="none"/>
              </w:rPr>
              <w:t>…</w:t>
            </w:r>
            <w:r>
              <w:rPr>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eastAsia="仿宋_GB2312"/>
          <w:color w:val="auto"/>
          <w:szCs w:val="21"/>
          <w:highlight w:val="none"/>
        </w:rPr>
        <w:sectPr>
          <w:headerReference r:id="rId17" w:type="first"/>
          <w:footerReference r:id="rId20" w:type="first"/>
          <w:headerReference r:id="rId15" w:type="default"/>
          <w:footerReference r:id="rId18" w:type="default"/>
          <w:headerReference r:id="rId16" w:type="even"/>
          <w:footerReference r:id="rId19" w:type="even"/>
          <w:endnotePr>
            <w:numFmt w:val="decimal"/>
          </w:endnotePr>
          <w:pgSz w:w="16838" w:h="11905" w:orient="landscape"/>
          <w:pgMar w:top="850" w:right="1020" w:bottom="850" w:left="1134" w:header="850" w:footer="454" w:gutter="0"/>
          <w:cols w:space="720" w:num="1"/>
          <w:titlePg/>
          <w:docGrid w:type="lines" w:linePitch="331" w:charSpace="0"/>
        </w:sectPr>
      </w:pPr>
    </w:p>
    <w:p>
      <w:pPr>
        <w:pStyle w:val="3"/>
        <w:jc w:val="center"/>
        <w:rPr>
          <w:rFonts w:hint="default"/>
          <w:color w:val="auto"/>
          <w:highlight w:val="none"/>
        </w:rPr>
      </w:pPr>
      <w:bookmarkStart w:id="26" w:name="_Toc17298"/>
      <w:r>
        <w:rPr>
          <w:color w:val="auto"/>
          <w:highlight w:val="none"/>
        </w:rPr>
        <w:t>第三章  合同条款</w:t>
      </w:r>
      <w:bookmarkEnd w:id="26"/>
    </w:p>
    <w:p>
      <w:pPr>
        <w:rPr>
          <w:b/>
          <w:color w:val="auto"/>
          <w:sz w:val="24"/>
          <w:szCs w:val="24"/>
          <w:highlight w:val="none"/>
        </w:rPr>
      </w:pPr>
      <w:r>
        <w:rPr>
          <w:rFonts w:hint="eastAsia"/>
          <w:color w:val="auto"/>
          <w:sz w:val="24"/>
          <w:szCs w:val="24"/>
          <w:highlight w:val="none"/>
        </w:rPr>
        <w:t>注：另册。</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14"/>
        <w:spacing w:line="360" w:lineRule="auto"/>
        <w:rPr>
          <w:color w:val="auto"/>
          <w:sz w:val="24"/>
          <w:szCs w:val="24"/>
          <w:highlight w:val="none"/>
        </w:rPr>
      </w:pPr>
    </w:p>
    <w:p>
      <w:pPr>
        <w:pStyle w:val="14"/>
        <w:spacing w:line="360" w:lineRule="auto"/>
        <w:rPr>
          <w:color w:val="auto"/>
          <w:sz w:val="24"/>
          <w:szCs w:val="24"/>
          <w:highlight w:val="none"/>
        </w:rPr>
      </w:pPr>
    </w:p>
    <w:p>
      <w:pPr>
        <w:pStyle w:val="3"/>
        <w:jc w:val="center"/>
        <w:rPr>
          <w:rFonts w:hint="default"/>
          <w:color w:val="auto"/>
          <w:highlight w:val="none"/>
        </w:rPr>
      </w:pPr>
      <w:bookmarkStart w:id="27" w:name="_Toc1892"/>
      <w:r>
        <w:rPr>
          <w:color w:val="auto"/>
          <w:highlight w:val="none"/>
        </w:rPr>
        <w:br w:type="page"/>
      </w:r>
      <w:r>
        <w:rPr>
          <w:color w:val="auto"/>
          <w:highlight w:val="none"/>
        </w:rPr>
        <w:t>第四章  投标文件格式</w:t>
      </w:r>
      <w:bookmarkEnd w:id="27"/>
    </w:p>
    <w:p>
      <w:pPr>
        <w:pStyle w:val="62"/>
        <w:spacing w:before="162" w:line="360" w:lineRule="auto"/>
        <w:outlineLvl w:val="0"/>
        <w:rPr>
          <w:rFonts w:eastAsia="宋体"/>
          <w:color w:val="auto"/>
          <w:highlight w:val="none"/>
        </w:rPr>
      </w:pPr>
      <w:bookmarkStart w:id="28" w:name="_Toc7019446"/>
      <w:bookmarkStart w:id="29" w:name="_Toc21259"/>
      <w:bookmarkStart w:id="30" w:name="_Toc8084"/>
      <w:bookmarkStart w:id="31" w:name="_Toc142664190"/>
      <w:r>
        <w:rPr>
          <w:rFonts w:hint="eastAsia" w:eastAsia="宋体"/>
          <w:color w:val="auto"/>
          <w:highlight w:val="none"/>
        </w:rPr>
        <w:t>一、技术标投标文件格式</w:t>
      </w:r>
      <w:bookmarkEnd w:id="28"/>
      <w:bookmarkEnd w:id="29"/>
      <w:bookmarkEnd w:id="30"/>
      <w:bookmarkEnd w:id="31"/>
      <w:bookmarkStart w:id="32" w:name="_Toc60070621"/>
      <w:bookmarkStart w:id="33" w:name="_Toc61541786"/>
    </w:p>
    <w:p>
      <w:pPr>
        <w:pStyle w:val="8"/>
        <w:rPr>
          <w:color w:val="auto"/>
          <w:highlight w:val="none"/>
        </w:rPr>
      </w:pPr>
      <w:bookmarkStart w:id="34" w:name="_Toc4848"/>
      <w:bookmarkStart w:id="35" w:name="_Toc142664191"/>
      <w:r>
        <w:rPr>
          <w:rFonts w:hint="eastAsia"/>
          <w:color w:val="auto"/>
          <w:highlight w:val="none"/>
        </w:rPr>
        <w:t>格式一：</w:t>
      </w:r>
      <w:bookmarkEnd w:id="32"/>
      <w:bookmarkEnd w:id="33"/>
      <w:bookmarkEnd w:id="34"/>
      <w:bookmarkEnd w:id="35"/>
    </w:p>
    <w:p>
      <w:pPr>
        <w:autoSpaceDE w:val="0"/>
        <w:autoSpaceDN w:val="0"/>
        <w:adjustRightInd w:val="0"/>
        <w:ind w:left="-540" w:leftChars="-257" w:firstLine="1135" w:firstLineChars="257"/>
        <w:jc w:val="center"/>
        <w:rPr>
          <w:b/>
          <w:bCs/>
          <w:color w:val="auto"/>
          <w:sz w:val="52"/>
          <w:szCs w:val="52"/>
          <w:highlight w:val="none"/>
        </w:rPr>
      </w:pPr>
      <w:r>
        <w:rPr>
          <w:rFonts w:hint="eastAsia" w:cs="宋体"/>
          <w:b/>
          <w:bCs/>
          <w:color w:val="auto"/>
          <w:sz w:val="44"/>
          <w:szCs w:val="44"/>
          <w:highlight w:val="none"/>
          <w:lang w:val="zh-CN"/>
        </w:rPr>
        <w:t>广州建设工程施工招标投标书</w:t>
      </w:r>
    </w:p>
    <w:tbl>
      <w:tblPr>
        <w:tblStyle w:val="2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其中：</w:t>
            </w:r>
            <w:r>
              <w:rPr>
                <w:rFonts w:hint="eastAsia" w:cs="宋体"/>
                <w:b/>
                <w:bCs/>
                <w:color w:val="auto"/>
                <w:sz w:val="24"/>
                <w:szCs w:val="24"/>
                <w:highlight w:val="none"/>
                <w:lang w:val="zh-CN"/>
              </w:rPr>
              <w:t>人工费</w:t>
            </w:r>
            <w:r>
              <w:rPr>
                <w:rFonts w:hint="eastAsia"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b/>
                <w:bCs/>
                <w:color w:val="auto"/>
                <w:sz w:val="24"/>
                <w:szCs w:val="24"/>
                <w:highlight w:val="none"/>
                <w:lang w:val="zh-CN"/>
              </w:rPr>
            </w:pPr>
            <w:r>
              <w:rPr>
                <w:rFonts w:hint="eastAsia" w:cs="宋体"/>
                <w:b/>
                <w:bCs/>
                <w:color w:val="auto"/>
                <w:sz w:val="24"/>
                <w:szCs w:val="24"/>
                <w:highlight w:val="none"/>
                <w:lang w:val="zh-CN"/>
              </w:rPr>
              <w:t>其中：</w:t>
            </w:r>
            <w:r>
              <w:rPr>
                <w:rFonts w:hint="eastAsia"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b/>
                <w:color w:val="auto"/>
                <w:sz w:val="24"/>
                <w:szCs w:val="24"/>
                <w:highlight w:val="none"/>
                <w:lang w:val="zh-CN"/>
              </w:rPr>
            </w:pPr>
            <w:r>
              <w:rPr>
                <w:rFonts w:hint="eastAsia" w:cs="宋体"/>
                <w:b/>
                <w:color w:val="auto"/>
                <w:sz w:val="24"/>
                <w:szCs w:val="24"/>
                <w:highlight w:val="none"/>
                <w:lang w:val="zh-CN"/>
              </w:rPr>
              <w:t>投</w:t>
            </w:r>
            <w:r>
              <w:rPr>
                <w:rFonts w:cs="宋体"/>
                <w:b/>
                <w:color w:val="auto"/>
                <w:sz w:val="24"/>
                <w:szCs w:val="24"/>
                <w:highlight w:val="none"/>
                <w:lang w:val="zh-CN"/>
              </w:rPr>
              <w:t xml:space="preserve"> </w:t>
            </w:r>
            <w:r>
              <w:rPr>
                <w:rFonts w:hint="eastAsia" w:cs="宋体"/>
                <w:b/>
                <w:color w:val="auto"/>
                <w:sz w:val="24"/>
                <w:szCs w:val="24"/>
                <w:highlight w:val="none"/>
                <w:lang w:val="zh-CN"/>
              </w:rPr>
              <w:t>标</w:t>
            </w:r>
            <w:r>
              <w:rPr>
                <w:rFonts w:cs="宋体"/>
                <w:b/>
                <w:color w:val="auto"/>
                <w:sz w:val="24"/>
                <w:szCs w:val="24"/>
                <w:highlight w:val="none"/>
                <w:lang w:val="zh-CN"/>
              </w:rPr>
              <w:t xml:space="preserve"> </w:t>
            </w:r>
            <w:r>
              <w:rPr>
                <w:rFonts w:hint="eastAsia" w:cs="宋体"/>
                <w:b/>
                <w:color w:val="auto"/>
                <w:sz w:val="24"/>
                <w:szCs w:val="24"/>
                <w:highlight w:val="none"/>
                <w:lang w:val="zh-CN"/>
              </w:rPr>
              <w:t>总工</w:t>
            </w:r>
            <w:r>
              <w:rPr>
                <w:rFonts w:cs="宋体"/>
                <w:b/>
                <w:color w:val="auto"/>
                <w:sz w:val="24"/>
                <w:szCs w:val="24"/>
                <w:highlight w:val="none"/>
                <w:lang w:val="zh-CN"/>
              </w:rPr>
              <w:t xml:space="preserve"> </w:t>
            </w:r>
            <w:r>
              <w:rPr>
                <w:rFonts w:hint="eastAsia"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szCs w:val="24"/>
                <w:highlight w:val="none"/>
              </w:rPr>
            </w:pPr>
            <w:r>
              <w:rPr>
                <w:rFonts w:hint="eastAsia"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2" w:firstLineChars="196"/>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cs="宋体"/>
                <w:b/>
                <w:bCs/>
                <w:color w:val="auto"/>
                <w:sz w:val="24"/>
                <w:szCs w:val="24"/>
                <w:highlight w:val="none"/>
                <w:lang w:val="zh-CN"/>
              </w:rPr>
            </w:pPr>
          </w:p>
        </w:tc>
      </w:tr>
    </w:tbl>
    <w:p>
      <w:pPr>
        <w:widowControl/>
        <w:jc w:val="left"/>
        <w:rPr>
          <w:color w:val="auto"/>
          <w:highlight w:val="none"/>
        </w:rPr>
      </w:pPr>
      <w:r>
        <w:rPr>
          <w:b/>
          <w:color w:val="auto"/>
          <w:highlight w:val="none"/>
        </w:rPr>
        <w:br w:type="page"/>
      </w:r>
    </w:p>
    <w:p>
      <w:pPr>
        <w:pStyle w:val="8"/>
        <w:rPr>
          <w:color w:val="auto"/>
          <w:highlight w:val="none"/>
        </w:rPr>
      </w:pPr>
      <w:bookmarkStart w:id="36" w:name="_Toc61541793"/>
      <w:bookmarkStart w:id="37" w:name="_Toc60070630"/>
      <w:bookmarkStart w:id="38" w:name="_Toc25947"/>
      <w:bookmarkStart w:id="39" w:name="_Toc142664198"/>
      <w:bookmarkStart w:id="40" w:name="_Toc58838602"/>
      <w:r>
        <w:rPr>
          <w:rFonts w:hint="eastAsia"/>
          <w:color w:val="auto"/>
          <w:highlight w:val="none"/>
        </w:rPr>
        <w:t>格式二：</w:t>
      </w:r>
      <w:bookmarkEnd w:id="36"/>
      <w:bookmarkEnd w:id="37"/>
      <w:bookmarkEnd w:id="38"/>
      <w:bookmarkEnd w:id="39"/>
    </w:p>
    <w:bookmarkEnd w:id="40"/>
    <w:p>
      <w:pPr>
        <w:jc w:val="center"/>
        <w:rPr>
          <w:rFonts w:hint="eastAsia"/>
          <w:b/>
          <w:color w:val="auto"/>
          <w:sz w:val="36"/>
          <w:szCs w:val="36"/>
          <w:highlight w:val="none"/>
        </w:rPr>
      </w:pPr>
      <w:r>
        <w:rPr>
          <w:rFonts w:hint="eastAsia"/>
          <w:b/>
          <w:color w:val="auto"/>
          <w:sz w:val="36"/>
          <w:szCs w:val="36"/>
          <w:highlight w:val="none"/>
        </w:rPr>
        <w:t>危险性较大的分部分项工程清单及超过一定规模的危险性较大的分部分项工程清单</w:t>
      </w:r>
    </w:p>
    <w:p>
      <w:pPr>
        <w:numPr>
          <w:ilvl w:val="0"/>
          <w:numId w:val="2"/>
        </w:numPr>
        <w:autoSpaceDE w:val="0"/>
        <w:autoSpaceDN w:val="0"/>
        <w:adjustRightInd w:val="0"/>
        <w:spacing w:line="360" w:lineRule="auto"/>
        <w:jc w:val="left"/>
        <w:rPr>
          <w:snapToGrid w:val="0"/>
          <w:color w:val="auto"/>
          <w:spacing w:val="4"/>
          <w:kern w:val="0"/>
          <w:sz w:val="24"/>
          <w:szCs w:val="24"/>
          <w:highlight w:val="none"/>
        </w:rPr>
      </w:pPr>
      <w:r>
        <w:rPr>
          <w:rFonts w:hint="eastAsia"/>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2"/>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color w:val="auto"/>
          <w:sz w:val="24"/>
          <w:szCs w:val="36"/>
          <w:highlight w:val="none"/>
        </w:rPr>
        <w:t>√”标识。</w:t>
      </w:r>
    </w:p>
    <w:p>
      <w:pPr>
        <w:numPr>
          <w:ilvl w:val="0"/>
          <w:numId w:val="3"/>
        </w:numPr>
        <w:autoSpaceDE w:val="0"/>
        <w:autoSpaceDN w:val="0"/>
        <w:adjustRightInd w:val="0"/>
        <w:spacing w:line="360" w:lineRule="auto"/>
        <w:jc w:val="left"/>
        <w:rPr>
          <w:color w:val="auto"/>
          <w:sz w:val="24"/>
          <w:szCs w:val="36"/>
          <w:highlight w:val="none"/>
        </w:rPr>
      </w:pPr>
      <w:r>
        <w:rPr>
          <w:rFonts w:hint="eastAsia"/>
          <w:color w:val="auto"/>
          <w:sz w:val="24"/>
          <w:szCs w:val="28"/>
          <w:highlight w:val="none"/>
        </w:rPr>
        <w:t>投标单位同意建设单位在清单中标识的该项请在对应项打“</w:t>
      </w:r>
      <w:r>
        <w:rPr>
          <w:rFonts w:hint="eastAsia"/>
          <w:color w:val="auto"/>
          <w:sz w:val="24"/>
          <w:szCs w:val="36"/>
          <w:highlight w:val="none"/>
        </w:rPr>
        <w:t>√”标识，并与投标文件中提供相应的安全管理措施。</w:t>
      </w:r>
    </w:p>
    <w:p>
      <w:pPr>
        <w:numPr>
          <w:ilvl w:val="0"/>
          <w:numId w:val="3"/>
        </w:numPr>
        <w:autoSpaceDE w:val="0"/>
        <w:autoSpaceDN w:val="0"/>
        <w:adjustRightInd w:val="0"/>
        <w:spacing w:line="360" w:lineRule="auto"/>
        <w:jc w:val="left"/>
        <w:rPr>
          <w:color w:val="auto"/>
          <w:sz w:val="24"/>
          <w:szCs w:val="36"/>
          <w:highlight w:val="none"/>
        </w:rPr>
      </w:pPr>
      <w:r>
        <w:rPr>
          <w:rFonts w:hint="eastAsia"/>
          <w:color w:val="auto"/>
          <w:sz w:val="24"/>
          <w:szCs w:val="28"/>
          <w:highlight w:val="none"/>
        </w:rPr>
        <w:t>投标单位对清单中认为需要补充的该项请在对应项打“</w:t>
      </w:r>
      <w:r>
        <w:rPr>
          <w:rFonts w:hint="eastAsia"/>
          <w:color w:val="auto"/>
          <w:sz w:val="24"/>
          <w:szCs w:val="36"/>
          <w:highlight w:val="none"/>
        </w:rPr>
        <w:t>√”标识，并与投标文件中提供相应的安全管理措施。</w:t>
      </w:r>
    </w:p>
    <w:p>
      <w:pPr>
        <w:numPr>
          <w:ilvl w:val="0"/>
          <w:numId w:val="3"/>
        </w:numPr>
        <w:autoSpaceDE w:val="0"/>
        <w:autoSpaceDN w:val="0"/>
        <w:adjustRightInd w:val="0"/>
        <w:spacing w:line="360" w:lineRule="auto"/>
        <w:jc w:val="left"/>
        <w:rPr>
          <w:color w:val="auto"/>
          <w:sz w:val="24"/>
          <w:szCs w:val="28"/>
          <w:highlight w:val="none"/>
        </w:rPr>
      </w:pPr>
      <w:r>
        <w:rPr>
          <w:rFonts w:hint="eastAsia"/>
          <w:color w:val="auto"/>
          <w:sz w:val="24"/>
          <w:szCs w:val="36"/>
          <w:highlight w:val="none"/>
        </w:rPr>
        <w:t>投标单位不同意建设单位</w:t>
      </w:r>
      <w:r>
        <w:rPr>
          <w:rFonts w:hint="eastAsia"/>
          <w:color w:val="auto"/>
          <w:sz w:val="24"/>
          <w:szCs w:val="28"/>
          <w:highlight w:val="none"/>
        </w:rPr>
        <w:t>在清单中标识的该项</w:t>
      </w:r>
      <w:r>
        <w:rPr>
          <w:rFonts w:hint="eastAsia"/>
          <w:color w:val="auto"/>
          <w:sz w:val="24"/>
          <w:szCs w:val="36"/>
          <w:highlight w:val="none"/>
        </w:rPr>
        <w:t>请在对应项打“×”标识，并在备注栏填上相关说明。</w:t>
      </w:r>
    </w:p>
    <w:p>
      <w:pPr>
        <w:numPr>
          <w:ilvl w:val="0"/>
          <w:numId w:val="2"/>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投标单位应当在投标时根据招标人提供的下述第5点清单，在投标文件中编制专项施工方案。</w:t>
      </w:r>
    </w:p>
    <w:p>
      <w:pPr>
        <w:numPr>
          <w:ilvl w:val="0"/>
          <w:numId w:val="2"/>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2"/>
        </w:numPr>
        <w:autoSpaceDE w:val="0"/>
        <w:autoSpaceDN w:val="0"/>
        <w:adjustRightInd w:val="0"/>
        <w:spacing w:line="360" w:lineRule="auto"/>
        <w:jc w:val="left"/>
        <w:rPr>
          <w:color w:val="auto"/>
          <w:sz w:val="24"/>
          <w:szCs w:val="28"/>
          <w:highlight w:val="none"/>
        </w:rPr>
      </w:pPr>
      <w:r>
        <w:rPr>
          <w:rFonts w:hint="eastAsia"/>
          <w:color w:val="auto"/>
          <w:sz w:val="24"/>
          <w:szCs w:val="28"/>
          <w:highlight w:val="none"/>
        </w:rPr>
        <w:t>危险性较大的分部分项工程清单及超过一定规模的危险性较大的分部分项工程清单（参考版）：</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6"/>
        <w:gridCol w:w="1581"/>
        <w:gridCol w:w="158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b/>
                <w:color w:val="auto"/>
                <w:highlight w:val="none"/>
              </w:rPr>
              <w:t>一、危险性较大的分部分项工程清单</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建设单位</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投标单位</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一、基坑支护</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（一）开挖深度超过3m</w:t>
            </w:r>
            <w:r>
              <w:rPr>
                <w:rFonts w:hint="eastAsia"/>
                <w:color w:val="auto"/>
                <w:highlight w:val="none"/>
              </w:rPr>
              <w:t>（含</w:t>
            </w:r>
            <w:r>
              <w:rPr>
                <w:rFonts w:hint="eastAsia" w:ascii="Times New Roman" w:hAnsi="Times New Roman"/>
                <w:color w:val="auto"/>
                <w:highlight w:val="none"/>
              </w:rPr>
              <w:t>3m</w:t>
            </w:r>
            <w:r>
              <w:rPr>
                <w:rFonts w:hint="eastAsia"/>
                <w:color w:val="auto"/>
                <w:highlight w:val="none"/>
              </w:rPr>
              <w:t>）的基坑（槽）的土方开挖、支护、降水工程。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（二）开挖深度虽未超过3m</w:t>
            </w:r>
            <w:r>
              <w:rPr>
                <w:rFonts w:hint="eastAsia"/>
                <w:color w:val="auto"/>
                <w:highlight w:val="none"/>
              </w:rPr>
              <w:t>，但地质条件、周围环境和地下管线复杂，或影响毗邻建、构筑物安全的基坑（槽）的土方开挖、支护、降水工程。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二、模板工程及支撑体系</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（一）各类工具式模板工程：包括滑模、爬模、飞模、隧道模等工程。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（二）混凝土模板支撑工程：搭设高度5m</w:t>
            </w:r>
            <w:r>
              <w:rPr>
                <w:rFonts w:hint="eastAsia"/>
                <w:color w:val="auto"/>
                <w:highlight w:val="none"/>
              </w:rPr>
              <w:t>及以上，或搭设跨度</w:t>
            </w:r>
            <w:r>
              <w:rPr>
                <w:rFonts w:hint="eastAsia" w:ascii="Times New Roman" w:hAnsi="Times New Roman"/>
                <w:color w:val="auto"/>
                <w:highlight w:val="none"/>
              </w:rPr>
              <w:t>10m</w:t>
            </w:r>
            <w:r>
              <w:rPr>
                <w:rFonts w:hint="eastAsia"/>
                <w:color w:val="auto"/>
                <w:highlight w:val="none"/>
              </w:rPr>
              <w:t>及以上，或施工总荷载（荷载效应基本组合的设计值，以下简称设计值）</w:t>
            </w:r>
            <w:r>
              <w:rPr>
                <w:rFonts w:hint="eastAsia" w:ascii="Times New Roman" w:hAnsi="Times New Roman"/>
                <w:color w:val="auto"/>
                <w:highlight w:val="none"/>
              </w:rPr>
              <w:t>10kN/m2</w:t>
            </w:r>
            <w:r>
              <w:rPr>
                <w:rFonts w:hint="eastAsia"/>
                <w:color w:val="auto"/>
                <w:highlight w:val="none"/>
              </w:rPr>
              <w:t>及以上，或集中线荷载（设计值）</w:t>
            </w:r>
            <w:r>
              <w:rPr>
                <w:rFonts w:hint="eastAsia" w:ascii="Times New Roman" w:hAnsi="Times New Roman"/>
                <w:color w:val="auto"/>
                <w:highlight w:val="none"/>
              </w:rPr>
              <w:t>15kN/m</w:t>
            </w:r>
            <w:r>
              <w:rPr>
                <w:rFonts w:hint="eastAsia"/>
                <w:color w:val="auto"/>
                <w:highlight w:val="none"/>
              </w:rPr>
              <w:t>及以上，或高度大于支撑水平投影宽度且相对独立无联系构件的混凝土模板支撑工程。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cs="宋体"/>
                <w:color w:val="auto"/>
                <w:highlight w:val="none"/>
              </w:rPr>
            </w:pPr>
            <w:r>
              <w:rPr>
                <w:rFonts w:hint="eastAsia" w:ascii="Times New Roman" w:hAnsi="Times New Roman"/>
                <w:color w:val="auto"/>
                <w:highlight w:val="none"/>
              </w:rPr>
              <w:t>（三）承重支撑体系：用于钢结构安装等满堂支撑体系。</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cs="宋体"/>
                <w:color w:val="auto"/>
                <w:highlight w:val="none"/>
              </w:rPr>
            </w:pPr>
            <w:r>
              <w:rPr>
                <w:rFonts w:hint="eastAsia" w:ascii="Times New Roman" w:hAnsi="Times New Roman"/>
                <w:color w:val="auto"/>
                <w:highlight w:val="none"/>
              </w:rPr>
              <w:t>三、起重吊装及起重机械安装拆卸工程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cs="宋体"/>
                <w:color w:val="auto"/>
                <w:highlight w:val="none"/>
              </w:rPr>
            </w:pPr>
            <w:r>
              <w:rPr>
                <w:rFonts w:hint="eastAsia" w:ascii="Times New Roman" w:hAnsi="Times New Roman"/>
                <w:color w:val="auto"/>
                <w:highlight w:val="none"/>
              </w:rPr>
              <w:t>（一）采用非常规起重设备、方法，且单件起吊重量在10kN</w:t>
            </w:r>
            <w:r>
              <w:rPr>
                <w:rFonts w:hint="eastAsia"/>
                <w:color w:val="auto"/>
                <w:highlight w:val="none"/>
              </w:rPr>
              <w:t>及以上的起重吊装工程。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（二）采用起重机械进行安装的工程。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s="宋体"/>
                <w:color w:val="auto"/>
                <w:highlight w:val="none"/>
              </w:rPr>
            </w:pPr>
            <w:r>
              <w:rPr>
                <w:rFonts w:hint="eastAsia" w:ascii="Times New Roman" w:hAnsi="Times New Roman"/>
                <w:color w:val="auto"/>
                <w:highlight w:val="none"/>
              </w:rPr>
              <w:t>（三）起重机械安装和拆卸工程。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四、脚手架工程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（一）搭设高度24m</w:t>
            </w:r>
            <w:r>
              <w:rPr>
                <w:rFonts w:hint="eastAsia"/>
                <w:color w:val="auto"/>
                <w:highlight w:val="none"/>
              </w:rPr>
              <w:t>及以上的落地式钢管脚手架工程（包括采光井、电梯井脚手架）。</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（二）附着式升降脚手架工程。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（三）悬挑式脚手架工程。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（四）高处作业吊篮。</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（五）卸料平台、操作平台工程。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（六）异型脚手架工程。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五、拆除工程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可能影响行人、交通、电力设施、通讯设施或其它建、构筑物安全的拆除工程。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六、暗挖工程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采用矿山法、盾构法、顶管法施工的隧道、洞室工程。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七、其它</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（一）建筑幕墙安装工程。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（二）钢结构、网架和索膜结构安装工程。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（三）人工挖孔桩工程。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（四）水下作业工程。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（五）装配式建筑混凝土预制构件安装工程。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（六）采用新技术、新工艺、新材料、新设备可能影响工程施工安全，尚无国家、行业及地方技术标准的分部分项工程。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s="宋体"/>
                <w:b/>
                <w:color w:val="auto"/>
                <w:highlight w:val="none"/>
              </w:rPr>
            </w:pPr>
            <w:r>
              <w:rPr>
                <w:rFonts w:hint="eastAsia" w:ascii="Times New Roman" w:hAnsi="Times New Roman"/>
                <w:b/>
                <w:bCs/>
                <w:color w:val="auto"/>
                <w:highlight w:val="none"/>
              </w:rPr>
              <w:t>二、超过一定规模的危险性较大的分部分项工程清单</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一、深基坑工程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ind w:firstLine="480"/>
              <w:jc w:val="left"/>
              <w:rPr>
                <w:rFonts w:ascii="Times New Roman" w:hAnsi="Times New Roman"/>
                <w:color w:val="auto"/>
                <w:highlight w:val="none"/>
              </w:rPr>
            </w:pPr>
            <w:r>
              <w:rPr>
                <w:rFonts w:hint="eastAsia" w:ascii="Times New Roman" w:hAnsi="Times New Roman"/>
                <w:color w:val="auto"/>
                <w:highlight w:val="none"/>
              </w:rPr>
              <w:t>开挖深度超过5m</w:t>
            </w:r>
            <w:r>
              <w:rPr>
                <w:rFonts w:hint="eastAsia"/>
                <w:color w:val="auto"/>
                <w:highlight w:val="none"/>
              </w:rPr>
              <w:t>（含</w:t>
            </w:r>
            <w:r>
              <w:rPr>
                <w:rFonts w:hint="eastAsia" w:ascii="Times New Roman" w:hAnsi="Times New Roman"/>
                <w:color w:val="auto"/>
                <w:highlight w:val="none"/>
              </w:rPr>
              <w:t>5m</w:t>
            </w:r>
            <w:r>
              <w:rPr>
                <w:rFonts w:hint="eastAsia"/>
                <w:color w:val="auto"/>
                <w:highlight w:val="none"/>
              </w:rPr>
              <w:t>）的基坑（槽）的土方开挖、支护、降水工程。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ind w:firstLine="480"/>
              <w:jc w:val="left"/>
              <w:rPr>
                <w:rFonts w:ascii="Times New Roman" w:hAnsi="Times New Roman"/>
                <w:color w:val="auto"/>
                <w:highlight w:val="none"/>
              </w:rPr>
            </w:pPr>
            <w:r>
              <w:rPr>
                <w:rFonts w:hint="eastAsia" w:ascii="Times New Roman" w:hAnsi="Times New Roman"/>
                <w:color w:val="auto"/>
                <w:highlight w:val="none"/>
              </w:rPr>
              <w:t>二、模板工程及支撑体系</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ind w:firstLine="480"/>
              <w:jc w:val="left"/>
              <w:rPr>
                <w:rFonts w:ascii="Times New Roman" w:hAnsi="Times New Roman"/>
                <w:color w:val="auto"/>
                <w:highlight w:val="none"/>
              </w:rPr>
            </w:pPr>
            <w:r>
              <w:rPr>
                <w:rFonts w:hint="eastAsia" w:ascii="Times New Roman" w:hAnsi="Times New Roman"/>
                <w:color w:val="auto"/>
                <w:highlight w:val="none"/>
              </w:rPr>
              <w:t>（一）各类工具式模板工程：包括滑模、爬模、飞模、隧道模等工程。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ind w:firstLine="48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ind w:firstLine="480"/>
              <w:jc w:val="left"/>
              <w:rPr>
                <w:rFonts w:ascii="Times New Roman" w:hAnsi="Times New Roman"/>
                <w:color w:val="auto"/>
                <w:highlight w:val="none"/>
              </w:rPr>
            </w:pPr>
            <w:r>
              <w:rPr>
                <w:rFonts w:hint="eastAsia" w:ascii="Times New Roman" w:hAnsi="Times New Roman"/>
                <w:color w:val="auto"/>
                <w:highlight w:val="none"/>
              </w:rPr>
              <w:t>（二）混凝土模板支撑工程：搭设高度8m</w:t>
            </w:r>
            <w:r>
              <w:rPr>
                <w:rFonts w:hint="eastAsia"/>
                <w:color w:val="auto"/>
                <w:highlight w:val="none"/>
              </w:rPr>
              <w:t>及以上，或搭设跨度</w:t>
            </w:r>
            <w:r>
              <w:rPr>
                <w:rFonts w:hint="eastAsia" w:ascii="Times New Roman" w:hAnsi="Times New Roman"/>
                <w:color w:val="auto"/>
                <w:highlight w:val="none"/>
              </w:rPr>
              <w:t>18m</w:t>
            </w:r>
            <w:r>
              <w:rPr>
                <w:rFonts w:hint="eastAsia"/>
                <w:color w:val="auto"/>
                <w:highlight w:val="none"/>
              </w:rPr>
              <w:t>及以上，或施工总荷载（设计值）</w:t>
            </w:r>
            <w:r>
              <w:rPr>
                <w:rFonts w:hint="eastAsia" w:ascii="Times New Roman" w:hAnsi="Times New Roman"/>
                <w:color w:val="auto"/>
                <w:highlight w:val="none"/>
              </w:rPr>
              <w:t>15kN/m2</w:t>
            </w:r>
            <w:r>
              <w:rPr>
                <w:rFonts w:hint="eastAsia"/>
                <w:color w:val="auto"/>
                <w:highlight w:val="none"/>
              </w:rPr>
              <w:t>及以上，或集中线荷载（设计值）</w:t>
            </w:r>
            <w:r>
              <w:rPr>
                <w:rFonts w:hint="eastAsia" w:ascii="Times New Roman" w:hAnsi="Times New Roman"/>
                <w:color w:val="auto"/>
                <w:highlight w:val="none"/>
              </w:rPr>
              <w:t>20kN/m</w:t>
            </w:r>
            <w:r>
              <w:rPr>
                <w:rFonts w:hint="eastAsia"/>
                <w:color w:val="auto"/>
                <w:highlight w:val="none"/>
              </w:rPr>
              <w:t>及以上。</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（三）承重支撑体系：用于钢结构安装等满堂支撑体系，承受单点集中荷载7kN</w:t>
            </w:r>
            <w:r>
              <w:rPr>
                <w:rFonts w:hint="eastAsia"/>
                <w:color w:val="auto"/>
                <w:highlight w:val="none"/>
              </w:rPr>
              <w:t>及以上。</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三、起重吊装及起重机械安装拆卸工程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（一）采用非常规起重设备、方法，且单件起吊重量在100kN</w:t>
            </w:r>
            <w:r>
              <w:rPr>
                <w:rFonts w:hint="eastAsia"/>
                <w:color w:val="auto"/>
                <w:highlight w:val="none"/>
              </w:rPr>
              <w:t>及以上的起重吊装工程。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（二）起重量300kN</w:t>
            </w:r>
            <w:r>
              <w:rPr>
                <w:rFonts w:hint="eastAsia"/>
                <w:color w:val="auto"/>
                <w:highlight w:val="none"/>
              </w:rPr>
              <w:t>及以上，或搭设总高度</w:t>
            </w:r>
            <w:r>
              <w:rPr>
                <w:rFonts w:hint="eastAsia" w:ascii="Times New Roman" w:hAnsi="Times New Roman"/>
                <w:color w:val="auto"/>
                <w:highlight w:val="none"/>
              </w:rPr>
              <w:t>200m</w:t>
            </w:r>
            <w:r>
              <w:rPr>
                <w:rFonts w:hint="eastAsia"/>
                <w:color w:val="auto"/>
                <w:highlight w:val="none"/>
              </w:rPr>
              <w:t>及以上，或搭设基础标高在</w:t>
            </w:r>
            <w:r>
              <w:rPr>
                <w:rFonts w:hint="eastAsia" w:ascii="Times New Roman" w:hAnsi="Times New Roman"/>
                <w:color w:val="auto"/>
                <w:highlight w:val="none"/>
              </w:rPr>
              <w:t>200m</w:t>
            </w:r>
            <w:r>
              <w:rPr>
                <w:rFonts w:hint="eastAsia"/>
                <w:color w:val="auto"/>
                <w:highlight w:val="none"/>
              </w:rPr>
              <w:t>及以上的起重机械安装和拆卸工程。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四、脚手架工程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（一）搭设高度50m</w:t>
            </w:r>
            <w:r>
              <w:rPr>
                <w:rFonts w:hint="eastAsia"/>
                <w:color w:val="auto"/>
                <w:highlight w:val="none"/>
              </w:rPr>
              <w:t>及以上的落地式钢管脚手架工程。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（二）提升高度在150m</w:t>
            </w:r>
            <w:r>
              <w:rPr>
                <w:rFonts w:hint="eastAsia"/>
                <w:color w:val="auto"/>
                <w:highlight w:val="none"/>
              </w:rPr>
              <w:t>及以上的附着式升降脚手架工程或附着式升降操作平台工程。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（三）分段架体搭设高度20m</w:t>
            </w:r>
            <w:r>
              <w:rPr>
                <w:rFonts w:hint="eastAsia"/>
                <w:color w:val="auto"/>
                <w:highlight w:val="none"/>
              </w:rPr>
              <w:t>及以上的悬挑式脚手架工程。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五、拆除工程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（一）码头、桥梁、高架、烟囱、水塔或拆除中容易引起有毒有害气（液）体或粉尘扩散、易燃易爆事故发生的特殊建、构筑物的拆除工程。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（二）文物保护建筑、优秀历史建筑或历史文化风貌区影响范围内的拆除工程。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六、暗挖工程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采用矿山法、盾构法、顶管法施工的隧道、洞室工程。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七、其它</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（一）施工高度50m</w:t>
            </w:r>
            <w:r>
              <w:rPr>
                <w:rFonts w:hint="eastAsia"/>
                <w:color w:val="auto"/>
                <w:highlight w:val="none"/>
              </w:rPr>
              <w:t>及以上的建筑幕墙安装工程。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（二）跨度36m</w:t>
            </w:r>
            <w:r>
              <w:rPr>
                <w:rFonts w:hint="eastAsia"/>
                <w:color w:val="auto"/>
                <w:highlight w:val="none"/>
              </w:rPr>
              <w:t>及以上的钢结构安装工程，或跨度</w:t>
            </w:r>
            <w:r>
              <w:rPr>
                <w:rFonts w:hint="eastAsia" w:ascii="Times New Roman" w:hAnsi="Times New Roman"/>
                <w:color w:val="auto"/>
                <w:highlight w:val="none"/>
              </w:rPr>
              <w:t>60m</w:t>
            </w:r>
            <w:r>
              <w:rPr>
                <w:rFonts w:hint="eastAsia"/>
                <w:color w:val="auto"/>
                <w:highlight w:val="none"/>
              </w:rPr>
              <w:t>及以上的网架和索膜结构安装工程。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（三）开挖深度16m</w:t>
            </w:r>
            <w:r>
              <w:rPr>
                <w:rFonts w:hint="eastAsia"/>
                <w:color w:val="auto"/>
                <w:highlight w:val="none"/>
              </w:rPr>
              <w:t>及以上的人工挖孔桩工程。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（四）水下作业工程。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（五）重量1000kN</w:t>
            </w:r>
            <w:r>
              <w:rPr>
                <w:rFonts w:hint="eastAsia"/>
                <w:color w:val="auto"/>
                <w:highlight w:val="none"/>
              </w:rPr>
              <w:t>及以上的大型结构整体顶升、平移、转体等施工工艺。</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6"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color w:val="auto"/>
                <w:highlight w:val="none"/>
              </w:rPr>
            </w:pPr>
            <w:r>
              <w:rPr>
                <w:rFonts w:hint="eastAsia" w:ascii="Times New Roman" w:hAnsi="Times New Roman"/>
                <w:color w:val="auto"/>
                <w:highlight w:val="none"/>
              </w:rPr>
              <w:t>（六）采用新技术、新工艺、新材料、新设备可能影响工程施工安全，尚无国家、行业及地方技术标准的分部分项工程。</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hint="eastAsia" w:ascii="Times New Roman" w:hAnsi="Times New Roman"/>
                <w:color w:val="auto"/>
                <w:highlight w:val="none"/>
              </w:rPr>
              <w:t>(     )</w:t>
            </w:r>
          </w:p>
        </w:tc>
        <w:tc>
          <w:tcPr>
            <w:tcW w:w="158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Times New Roman" w:hAnsi="Times New Roman"/>
                <w:color w:val="auto"/>
                <w:highlight w:val="none"/>
              </w:rPr>
              <w:t>(     )</w:t>
            </w:r>
          </w:p>
        </w:tc>
        <w:tc>
          <w:tcPr>
            <w:tcW w:w="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auto"/>
                <w:highlight w:val="none"/>
              </w:rPr>
            </w:pPr>
          </w:p>
        </w:tc>
      </w:tr>
    </w:tbl>
    <w:p>
      <w:pPr>
        <w:topLinePunct/>
        <w:adjustRightInd w:val="0"/>
        <w:snapToGrid w:val="0"/>
        <w:spacing w:line="360" w:lineRule="auto"/>
        <w:ind w:firstLine="496" w:firstLineChars="200"/>
        <w:rPr>
          <w:color w:val="auto"/>
          <w:spacing w:val="4"/>
          <w:kern w:val="0"/>
          <w:sz w:val="24"/>
          <w:szCs w:val="24"/>
          <w:highlight w:val="none"/>
        </w:rPr>
      </w:pP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法定代表人或授权代理人（签字或盖章）：</w:t>
      </w:r>
    </w:p>
    <w:p>
      <w:pPr>
        <w:autoSpaceDE w:val="0"/>
        <w:autoSpaceDN w:val="0"/>
        <w:adjustRightInd w:val="0"/>
        <w:spacing w:line="360" w:lineRule="auto"/>
        <w:ind w:firstLine="691" w:firstLineChars="279"/>
        <w:rPr>
          <w:color w:val="auto"/>
          <w:highlight w:val="none"/>
        </w:rPr>
      </w:pPr>
      <w:r>
        <w:rPr>
          <w:rFonts w:hint="eastAsia" w:cs="宋体"/>
          <w:snapToGrid w:val="0"/>
          <w:color w:val="auto"/>
          <w:spacing w:val="4"/>
          <w:kern w:val="0"/>
          <w:sz w:val="24"/>
          <w:szCs w:val="24"/>
          <w:highlight w:val="none"/>
        </w:rPr>
        <w:t>日    期：    年    月    日</w:t>
      </w:r>
    </w:p>
    <w:p>
      <w:pPr>
        <w:widowControl/>
        <w:jc w:val="left"/>
        <w:rPr>
          <w:color w:val="auto"/>
          <w:highlight w:val="none"/>
        </w:rPr>
      </w:pPr>
    </w:p>
    <w:p>
      <w:pPr>
        <w:pStyle w:val="8"/>
        <w:rPr>
          <w:color w:val="auto"/>
          <w:highlight w:val="none"/>
        </w:rPr>
      </w:pPr>
      <w:bookmarkStart w:id="41" w:name="_Toc6852"/>
      <w:bookmarkStart w:id="42" w:name="_Toc60070631"/>
      <w:bookmarkStart w:id="43" w:name="_Toc58838603"/>
      <w:bookmarkStart w:id="44" w:name="_Toc61541795"/>
      <w:bookmarkStart w:id="45" w:name="_Toc142664199"/>
      <w:r>
        <w:rPr>
          <w:rFonts w:hint="eastAsia"/>
          <w:color w:val="auto"/>
          <w:highlight w:val="none"/>
        </w:rPr>
        <w:br w:type="page"/>
      </w:r>
      <w:r>
        <w:rPr>
          <w:rFonts w:hint="eastAsia"/>
          <w:color w:val="auto"/>
          <w:highlight w:val="none"/>
        </w:rPr>
        <w:t>格式三：</w:t>
      </w:r>
      <w:bookmarkEnd w:id="41"/>
      <w:bookmarkEnd w:id="42"/>
      <w:bookmarkEnd w:id="43"/>
      <w:bookmarkEnd w:id="44"/>
      <w:bookmarkEnd w:id="45"/>
    </w:p>
    <w:p>
      <w:pPr>
        <w:jc w:val="center"/>
        <w:rPr>
          <w:b/>
          <w:color w:val="auto"/>
          <w:sz w:val="36"/>
          <w:szCs w:val="36"/>
          <w:highlight w:val="none"/>
        </w:rPr>
      </w:pPr>
      <w:r>
        <w:rPr>
          <w:rFonts w:hint="eastAsia"/>
          <w:b/>
          <w:color w:val="auto"/>
          <w:sz w:val="36"/>
          <w:szCs w:val="36"/>
          <w:highlight w:val="none"/>
        </w:rPr>
        <w:t>参与编制技术标投标文件人员名单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07"/>
        <w:gridCol w:w="2753"/>
        <w:gridCol w:w="263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96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姓名</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职务</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所承担工作</w:t>
            </w: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身份证号码</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7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75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cs="宋体"/>
                <w:color w:val="auto"/>
                <w:szCs w:val="21"/>
                <w:highlight w:val="none"/>
              </w:rPr>
            </w:pPr>
          </w:p>
        </w:tc>
      </w:tr>
    </w:tbl>
    <w:p>
      <w:pPr>
        <w:autoSpaceDE w:val="0"/>
        <w:autoSpaceDN w:val="0"/>
        <w:adjustRightInd w:val="0"/>
        <w:spacing w:line="360" w:lineRule="auto"/>
        <w:rPr>
          <w:rFonts w:cs="宋体"/>
          <w:bCs/>
          <w:color w:val="auto"/>
          <w:sz w:val="24"/>
          <w:szCs w:val="24"/>
          <w:highlight w:val="none"/>
        </w:rPr>
      </w:pPr>
      <w:r>
        <w:rPr>
          <w:rFonts w:hint="eastAsia" w:cs="宋体"/>
          <w:color w:val="auto"/>
          <w:sz w:val="24"/>
          <w:szCs w:val="24"/>
          <w:highlight w:val="none"/>
        </w:rPr>
        <w:t>注：参与编制技术标书所有人员名单应包括如编制技术投标方案、负责清样校对、负责打印及复印等所有人员在内的人员名单。</w:t>
      </w:r>
    </w:p>
    <w:p>
      <w:pPr>
        <w:rPr>
          <w:color w:val="auto"/>
          <w:highlight w:val="none"/>
        </w:rPr>
      </w:pPr>
    </w:p>
    <w:p>
      <w:pPr>
        <w:widowControl/>
        <w:jc w:val="left"/>
        <w:rPr>
          <w:color w:val="auto"/>
          <w:highlight w:val="none"/>
        </w:rPr>
      </w:pPr>
      <w:r>
        <w:rPr>
          <w:color w:val="auto"/>
          <w:highlight w:val="none"/>
        </w:rPr>
        <w:br w:type="page"/>
      </w:r>
    </w:p>
    <w:p>
      <w:pPr>
        <w:pStyle w:val="62"/>
        <w:spacing w:before="162" w:line="360" w:lineRule="auto"/>
        <w:outlineLvl w:val="0"/>
        <w:rPr>
          <w:rFonts w:hint="eastAsia" w:eastAsia="宋体"/>
          <w:color w:val="auto"/>
          <w:highlight w:val="none"/>
        </w:rPr>
      </w:pPr>
      <w:bookmarkStart w:id="46" w:name="_Toc61541796"/>
      <w:bookmarkStart w:id="47" w:name="_Toc142664200"/>
      <w:bookmarkStart w:id="48" w:name="_Toc3807"/>
      <w:bookmarkStart w:id="49" w:name="_Toc58838604"/>
      <w:r>
        <w:rPr>
          <w:rFonts w:hint="eastAsia" w:eastAsia="宋体"/>
          <w:color w:val="auto"/>
          <w:highlight w:val="none"/>
        </w:rPr>
        <w:t>二、经济标投标文件格式</w:t>
      </w:r>
      <w:bookmarkEnd w:id="46"/>
      <w:bookmarkEnd w:id="47"/>
      <w:bookmarkEnd w:id="48"/>
      <w:bookmarkEnd w:id="49"/>
    </w:p>
    <w:p>
      <w:pPr>
        <w:pStyle w:val="8"/>
        <w:rPr>
          <w:rFonts w:cs="宋体"/>
          <w:b/>
          <w:bCs/>
          <w:color w:val="auto"/>
          <w:sz w:val="44"/>
          <w:szCs w:val="44"/>
          <w:highlight w:val="none"/>
          <w:lang w:val="zh-CN"/>
        </w:rPr>
      </w:pPr>
      <w:bookmarkStart w:id="50" w:name="_Toc6493862"/>
      <w:bookmarkStart w:id="51" w:name="_Toc58838605"/>
      <w:bookmarkStart w:id="52" w:name="_Toc23866"/>
      <w:bookmarkStart w:id="53" w:name="_Toc142664201"/>
      <w:bookmarkStart w:id="54" w:name="_Toc61541797"/>
      <w:bookmarkStart w:id="55" w:name="_Toc60070633"/>
      <w:r>
        <w:rPr>
          <w:rFonts w:hint="eastAsia"/>
          <w:snapToGrid w:val="0"/>
          <w:color w:val="auto"/>
          <w:highlight w:val="none"/>
        </w:rPr>
        <w:t>格式</w:t>
      </w:r>
      <w:bookmarkEnd w:id="50"/>
      <w:bookmarkEnd w:id="51"/>
      <w:r>
        <w:rPr>
          <w:rFonts w:hint="eastAsia"/>
          <w:snapToGrid w:val="0"/>
          <w:color w:val="auto"/>
          <w:highlight w:val="none"/>
        </w:rPr>
        <w:t>四：</w:t>
      </w:r>
      <w:bookmarkEnd w:id="52"/>
      <w:bookmarkEnd w:id="53"/>
      <w:bookmarkEnd w:id="54"/>
      <w:bookmarkEnd w:id="55"/>
    </w:p>
    <w:p>
      <w:pPr>
        <w:jc w:val="center"/>
        <w:rPr>
          <w:b/>
          <w:color w:val="auto"/>
          <w:sz w:val="36"/>
          <w:szCs w:val="36"/>
          <w:highlight w:val="none"/>
        </w:rPr>
      </w:pPr>
      <w:bookmarkStart w:id="56" w:name="_Toc58838606"/>
      <w:r>
        <w:rPr>
          <w:rFonts w:hint="eastAsia"/>
          <w:b/>
          <w:color w:val="auto"/>
          <w:sz w:val="36"/>
          <w:szCs w:val="36"/>
          <w:highlight w:val="none"/>
        </w:rPr>
        <w:t>广州建设工程施工招标投标书（经济标）</w:t>
      </w:r>
      <w:bookmarkEnd w:id="56"/>
    </w:p>
    <w:tbl>
      <w:tblPr>
        <w:tblStyle w:val="2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其中：</w:t>
            </w:r>
            <w:r>
              <w:rPr>
                <w:rFonts w:hint="eastAsia" w:cs="宋体"/>
                <w:bCs/>
                <w:color w:val="auto"/>
                <w:sz w:val="24"/>
                <w:szCs w:val="24"/>
                <w:highlight w:val="none"/>
                <w:lang w:val="zh-CN"/>
              </w:rPr>
              <w:t>人工费</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noWrap w:val="0"/>
            <w:vAlign w:val="center"/>
          </w:tcPr>
          <w:p>
            <w:pPr>
              <w:widowControl/>
              <w:jc w:val="left"/>
              <w:rPr>
                <w:rFonts w:cs="宋体"/>
                <w:b/>
                <w:color w:val="auto"/>
                <w:sz w:val="24"/>
                <w:szCs w:val="24"/>
                <w:highlight w:val="none"/>
                <w:lang w:val="zh-CN"/>
              </w:rPr>
            </w:pPr>
            <w:r>
              <w:rPr>
                <w:rFonts w:hint="eastAsia" w:cs="宋体"/>
                <w:bCs/>
                <w:color w:val="auto"/>
                <w:sz w:val="24"/>
                <w:szCs w:val="24"/>
                <w:highlight w:val="none"/>
                <w:lang w:val="zh-CN"/>
              </w:rPr>
              <w:t>其中：</w:t>
            </w:r>
            <w:r>
              <w:rPr>
                <w:rFonts w:hint="eastAsia"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pPr>
              <w:widowControl/>
              <w:jc w:val="left"/>
              <w:rPr>
                <w:rFonts w:cs="宋体"/>
                <w:bCs/>
                <w:color w:val="auto"/>
                <w:sz w:val="24"/>
                <w:szCs w:val="24"/>
                <w:highlight w:val="none"/>
                <w:lang w:val="zh-CN"/>
              </w:rPr>
            </w:pPr>
            <w:r>
              <w:rPr>
                <w:rFonts w:hint="eastAsia" w:cs="宋体"/>
                <w:bCs/>
                <w:color w:val="auto"/>
                <w:sz w:val="24"/>
                <w:szCs w:val="24"/>
                <w:highlight w:val="none"/>
                <w:lang w:val="zh-CN"/>
              </w:rPr>
              <w:t>其中： 暂列金额</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pPr>
              <w:widowControl/>
              <w:jc w:val="left"/>
              <w:rPr>
                <w:rFonts w:cs="宋体"/>
                <w:bCs/>
                <w:color w:val="auto"/>
                <w:sz w:val="24"/>
                <w:szCs w:val="24"/>
                <w:highlight w:val="none"/>
                <w:lang w:val="zh-CN"/>
              </w:rPr>
            </w:pPr>
            <w:r>
              <w:rPr>
                <w:rFonts w:hint="eastAsia" w:cs="宋体"/>
                <w:bCs/>
                <w:color w:val="auto"/>
                <w:sz w:val="24"/>
                <w:szCs w:val="24"/>
                <w:highlight w:val="none"/>
                <w:lang w:val="zh-CN"/>
              </w:rPr>
              <w:t>其中： 暂估价</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kern w:val="2"/>
                <w:sz w:val="24"/>
                <w:szCs w:val="24"/>
                <w:highlight w:val="none"/>
                <w:lang w:val="zh-CN" w:eastAsia="zh-CN" w:bidi="ar-SA"/>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kern w:val="2"/>
                <w:sz w:val="24"/>
                <w:szCs w:val="24"/>
                <w:highlight w:val="none"/>
                <w:lang w:val="zh-CN" w:eastAsia="zh-CN" w:bidi="ar-SA"/>
              </w:rPr>
            </w:pPr>
            <w:r>
              <w:rPr>
                <w:rFonts w:hint="eastAsia"/>
                <w:color w:val="auto"/>
                <w:sz w:val="24"/>
                <w:szCs w:val="24"/>
                <w:highlight w:val="none"/>
              </w:rPr>
              <w:t>小写：</w:t>
            </w:r>
          </w:p>
        </w:tc>
      </w:tr>
    </w:tbl>
    <w:p>
      <w:pPr>
        <w:autoSpaceDE w:val="0"/>
        <w:autoSpaceDN w:val="0"/>
        <w:adjustRightInd w:val="0"/>
        <w:jc w:val="left"/>
        <w:rPr>
          <w:rFonts w:cs="宋体"/>
          <w:b/>
          <w:color w:val="auto"/>
          <w:sz w:val="24"/>
          <w:szCs w:val="24"/>
          <w:highlight w:val="none"/>
          <w:lang w:val="zh-CN"/>
        </w:rPr>
      </w:pPr>
      <w:r>
        <w:rPr>
          <w:color w:val="auto"/>
          <w:highlight w:val="none"/>
        </w:rPr>
        <w:br w:type="page"/>
      </w:r>
      <w:bookmarkStart w:id="57" w:name="_Toc6493863"/>
      <w:bookmarkStart w:id="58" w:name="_Toc58838607"/>
      <w:bookmarkStart w:id="59" w:name="_Toc60070634"/>
      <w:bookmarkStart w:id="60" w:name="_Toc61541798"/>
    </w:p>
    <w:p>
      <w:pPr>
        <w:pStyle w:val="8"/>
        <w:rPr>
          <w:bCs/>
          <w:color w:val="auto"/>
          <w:highlight w:val="none"/>
        </w:rPr>
      </w:pPr>
      <w:bookmarkStart w:id="61" w:name="_Toc31505"/>
      <w:bookmarkStart w:id="62" w:name="_Toc142664202"/>
      <w:r>
        <w:rPr>
          <w:rFonts w:hint="eastAsia"/>
          <w:snapToGrid w:val="0"/>
          <w:color w:val="auto"/>
          <w:highlight w:val="none"/>
        </w:rPr>
        <w:t>格式</w:t>
      </w:r>
      <w:bookmarkEnd w:id="57"/>
      <w:bookmarkEnd w:id="58"/>
      <w:r>
        <w:rPr>
          <w:rFonts w:hint="eastAsia"/>
          <w:snapToGrid w:val="0"/>
          <w:color w:val="auto"/>
          <w:highlight w:val="none"/>
        </w:rPr>
        <w:t>五：</w:t>
      </w:r>
      <w:bookmarkEnd w:id="59"/>
      <w:bookmarkEnd w:id="60"/>
      <w:bookmarkEnd w:id="61"/>
      <w:bookmarkEnd w:id="62"/>
    </w:p>
    <w:p>
      <w:pPr>
        <w:jc w:val="center"/>
        <w:rPr>
          <w:b/>
          <w:color w:val="auto"/>
          <w:sz w:val="36"/>
          <w:szCs w:val="36"/>
          <w:highlight w:val="none"/>
        </w:rPr>
      </w:pPr>
      <w:bookmarkStart w:id="63" w:name="_Toc58838608"/>
      <w:r>
        <w:rPr>
          <w:rFonts w:hint="eastAsia"/>
          <w:b/>
          <w:color w:val="auto"/>
          <w:sz w:val="36"/>
          <w:szCs w:val="36"/>
          <w:highlight w:val="none"/>
        </w:rPr>
        <w:t>参与编制经济标投标文件人员名单</w:t>
      </w:r>
      <w:bookmarkEnd w:id="6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609"/>
        <w:gridCol w:w="2749"/>
        <w:gridCol w:w="263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967" w:type="dxa"/>
            <w:gridSpan w:val="5"/>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83" w:type="dxa"/>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姓名</w:t>
            </w:r>
          </w:p>
        </w:tc>
        <w:tc>
          <w:tcPr>
            <w:tcW w:w="1609" w:type="dxa"/>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职务</w:t>
            </w:r>
          </w:p>
        </w:tc>
        <w:tc>
          <w:tcPr>
            <w:tcW w:w="2749" w:type="dxa"/>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所承担工作</w:t>
            </w:r>
          </w:p>
        </w:tc>
        <w:tc>
          <w:tcPr>
            <w:tcW w:w="2635" w:type="dxa"/>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身份证号码</w:t>
            </w:r>
          </w:p>
        </w:tc>
        <w:tc>
          <w:tcPr>
            <w:tcW w:w="1591" w:type="dxa"/>
            <w:noWrap w:val="0"/>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83" w:type="dxa"/>
            <w:noWrap w:val="0"/>
            <w:vAlign w:val="center"/>
          </w:tcPr>
          <w:p>
            <w:pPr>
              <w:tabs>
                <w:tab w:val="left" w:pos="720"/>
              </w:tabs>
              <w:snapToGrid w:val="0"/>
              <w:spacing w:line="360" w:lineRule="auto"/>
              <w:jc w:val="center"/>
              <w:rPr>
                <w:color w:val="auto"/>
                <w:sz w:val="24"/>
                <w:szCs w:val="24"/>
                <w:highlight w:val="none"/>
              </w:rPr>
            </w:pPr>
          </w:p>
        </w:tc>
        <w:tc>
          <w:tcPr>
            <w:tcW w:w="1609" w:type="dxa"/>
            <w:noWrap w:val="0"/>
            <w:vAlign w:val="center"/>
          </w:tcPr>
          <w:p>
            <w:pPr>
              <w:tabs>
                <w:tab w:val="left" w:pos="720"/>
              </w:tabs>
              <w:snapToGrid w:val="0"/>
              <w:spacing w:line="360" w:lineRule="auto"/>
              <w:jc w:val="center"/>
              <w:rPr>
                <w:color w:val="auto"/>
                <w:sz w:val="24"/>
                <w:szCs w:val="24"/>
                <w:highlight w:val="none"/>
              </w:rPr>
            </w:pPr>
          </w:p>
        </w:tc>
        <w:tc>
          <w:tcPr>
            <w:tcW w:w="2749" w:type="dxa"/>
            <w:noWrap w:val="0"/>
            <w:vAlign w:val="center"/>
          </w:tcPr>
          <w:p>
            <w:pPr>
              <w:tabs>
                <w:tab w:val="left" w:pos="720"/>
              </w:tabs>
              <w:snapToGrid w:val="0"/>
              <w:spacing w:line="360" w:lineRule="auto"/>
              <w:jc w:val="center"/>
              <w:rPr>
                <w:color w:val="auto"/>
                <w:sz w:val="24"/>
                <w:szCs w:val="24"/>
                <w:highlight w:val="none"/>
              </w:rPr>
            </w:pPr>
          </w:p>
        </w:tc>
        <w:tc>
          <w:tcPr>
            <w:tcW w:w="2635" w:type="dxa"/>
            <w:noWrap w:val="0"/>
            <w:vAlign w:val="center"/>
          </w:tcPr>
          <w:p>
            <w:pPr>
              <w:tabs>
                <w:tab w:val="left" w:pos="720"/>
              </w:tabs>
              <w:snapToGrid w:val="0"/>
              <w:spacing w:line="360" w:lineRule="auto"/>
              <w:jc w:val="center"/>
              <w:rPr>
                <w:color w:val="auto"/>
                <w:sz w:val="24"/>
                <w:szCs w:val="24"/>
                <w:highlight w:val="none"/>
              </w:rPr>
            </w:pPr>
          </w:p>
        </w:tc>
        <w:tc>
          <w:tcPr>
            <w:tcW w:w="1591" w:type="dxa"/>
            <w:noWrap w:val="0"/>
            <w:vAlign w:val="center"/>
          </w:tcPr>
          <w:p>
            <w:pPr>
              <w:tabs>
                <w:tab w:val="left" w:pos="720"/>
              </w:tabs>
              <w:snapToGrid w:val="0"/>
              <w:spacing w:line="360" w:lineRule="auto"/>
              <w:jc w:val="center"/>
              <w:rPr>
                <w:color w:val="auto"/>
                <w:sz w:val="24"/>
                <w:szCs w:val="24"/>
                <w:highlight w:val="none"/>
              </w:rPr>
            </w:pPr>
          </w:p>
        </w:tc>
      </w:tr>
    </w:tbl>
    <w:p>
      <w:pPr>
        <w:tabs>
          <w:tab w:val="left" w:pos="720"/>
        </w:tabs>
        <w:snapToGrid w:val="0"/>
        <w:spacing w:line="360" w:lineRule="auto"/>
        <w:rPr>
          <w:color w:val="auto"/>
          <w:sz w:val="24"/>
          <w:szCs w:val="24"/>
          <w:highlight w:val="none"/>
        </w:rPr>
      </w:pPr>
    </w:p>
    <w:p>
      <w:pPr>
        <w:rPr>
          <w:color w:val="auto"/>
          <w:highlight w:val="none"/>
        </w:rPr>
      </w:pPr>
      <w:r>
        <w:rPr>
          <w:rFonts w:hint="eastAsia"/>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pPr>
        <w:widowControl/>
        <w:jc w:val="left"/>
        <w:rPr>
          <w:rFonts w:cs="宋体"/>
          <w:b/>
          <w:color w:val="auto"/>
          <w:kern w:val="0"/>
          <w:sz w:val="24"/>
          <w:szCs w:val="24"/>
          <w:highlight w:val="none"/>
        </w:rPr>
      </w:pPr>
      <w:r>
        <w:rPr>
          <w:color w:val="auto"/>
          <w:highlight w:val="none"/>
        </w:rPr>
        <w:br w:type="page"/>
      </w:r>
    </w:p>
    <w:p>
      <w:pPr>
        <w:pStyle w:val="8"/>
        <w:rPr>
          <w:color w:val="auto"/>
          <w:highlight w:val="none"/>
        </w:rPr>
      </w:pPr>
      <w:bookmarkStart w:id="64" w:name="_Toc142664203"/>
      <w:bookmarkStart w:id="65" w:name="_Toc60070635"/>
      <w:bookmarkStart w:id="66" w:name="_Toc61541799"/>
      <w:bookmarkStart w:id="67" w:name="_Toc11271"/>
      <w:r>
        <w:rPr>
          <w:rFonts w:hint="eastAsia"/>
          <w:color w:val="auto"/>
          <w:highlight w:val="none"/>
        </w:rPr>
        <w:t>格式</w:t>
      </w:r>
      <w:r>
        <w:rPr>
          <w:rFonts w:hint="eastAsia"/>
          <w:snapToGrid w:val="0"/>
          <w:color w:val="auto"/>
          <w:highlight w:val="none"/>
        </w:rPr>
        <w:t>六</w:t>
      </w:r>
      <w:r>
        <w:rPr>
          <w:rFonts w:hint="eastAsia"/>
          <w:color w:val="auto"/>
          <w:kern w:val="2"/>
          <w:highlight w:val="none"/>
        </w:rPr>
        <w:t>：</w:t>
      </w:r>
      <w:bookmarkEnd w:id="64"/>
      <w:bookmarkEnd w:id="65"/>
      <w:bookmarkEnd w:id="66"/>
      <w:bookmarkEnd w:id="67"/>
    </w:p>
    <w:p>
      <w:pPr>
        <w:pStyle w:val="5"/>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对投标文件编制的承诺</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1.被授权人清楚投标文件编制的具体情况，包括工程量清单、以及投标文件的加密打包的理解；</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480" w:firstLineChars="200"/>
        <w:rPr>
          <w:rFonts w:hint="eastAsia" w:ascii="宋体" w:hAnsi="宋体" w:cs="宋体"/>
          <w:color w:val="auto"/>
          <w:sz w:val="24"/>
          <w:szCs w:val="24"/>
          <w:highlight w:val="none"/>
        </w:rPr>
      </w:pP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投 标 人：    （盖章）</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法定代表人或授权代理人（签字或盖章）：</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日    期：    年    月    日</w:t>
      </w:r>
    </w:p>
    <w:p>
      <w:pPr>
        <w:pStyle w:val="5"/>
        <w:spacing w:after="0" w:line="360" w:lineRule="auto"/>
        <w:ind w:firstLine="0"/>
        <w:jc w:val="center"/>
        <w:rPr>
          <w:rFonts w:hint="eastAsia" w:ascii="宋体" w:hAnsi="宋体" w:cs="宋体"/>
          <w:b/>
          <w:color w:val="auto"/>
          <w:sz w:val="36"/>
          <w:szCs w:val="36"/>
          <w:highlight w:val="none"/>
        </w:rPr>
      </w:pPr>
    </w:p>
    <w:p>
      <w:pPr>
        <w:pStyle w:val="5"/>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投标文件编制情况</w:t>
      </w:r>
    </w:p>
    <w:p>
      <w:pPr>
        <w:pStyle w:val="5"/>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28"/>
        <w:tblW w:w="0" w:type="auto"/>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2056" w:hRule="atLeast"/>
        </w:trPr>
        <w:tc>
          <w:tcPr>
            <w:tcW w:w="9967" w:type="dxa"/>
            <w:noWrap w:val="0"/>
            <w:vAlign w:val="top"/>
          </w:tcPr>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投标文件加密打包的电脑  自有    □      外包    □   其他    □</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电脑类型</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电脑所属单位</w:t>
            </w:r>
          </w:p>
          <w:p>
            <w:pPr>
              <w:pStyle w:val="5"/>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电脑所在地址        （如××市××区(县) ××街（路）××号××大厦××房）</w:t>
            </w:r>
          </w:p>
        </w:tc>
      </w:tr>
    </w:tbl>
    <w:p>
      <w:pPr>
        <w:tabs>
          <w:tab w:val="left" w:pos="720"/>
        </w:tabs>
        <w:snapToGrid w:val="0"/>
        <w:spacing w:line="360" w:lineRule="auto"/>
        <w:jc w:val="center"/>
        <w:outlineLvl w:val="0"/>
        <w:rPr>
          <w:rStyle w:val="44"/>
          <w:rFonts w:hint="default"/>
          <w:color w:val="auto"/>
          <w:highlight w:val="none"/>
        </w:rPr>
      </w:pPr>
      <w:bookmarkStart w:id="68" w:name="_Toc18983"/>
      <w:r>
        <w:rPr>
          <w:rStyle w:val="44"/>
          <w:rFonts w:hint="default"/>
          <w:color w:val="auto"/>
          <w:highlight w:val="none"/>
        </w:rPr>
        <w:br w:type="page"/>
      </w:r>
      <w:r>
        <w:rPr>
          <w:rStyle w:val="44"/>
          <w:rFonts w:hint="default"/>
          <w:color w:val="auto"/>
          <w:highlight w:val="none"/>
        </w:rPr>
        <w:t>第五章  技术条件（工程建设标准）</w:t>
      </w:r>
      <w:bookmarkEnd w:id="68"/>
    </w:p>
    <w:p>
      <w:pPr>
        <w:spacing w:line="276" w:lineRule="auto"/>
        <w:rPr>
          <w:rFonts w:cs="宋体"/>
          <w:b/>
          <w:color w:val="auto"/>
          <w:sz w:val="24"/>
          <w:szCs w:val="24"/>
          <w:highlight w:val="none"/>
        </w:rPr>
      </w:pPr>
      <w:r>
        <w:rPr>
          <w:rFonts w:hint="eastAsia" w:cs="宋体"/>
          <w:b/>
          <w:color w:val="auto"/>
          <w:sz w:val="24"/>
          <w:szCs w:val="24"/>
          <w:highlight w:val="none"/>
        </w:rPr>
        <w:t>一、标准</w:t>
      </w:r>
    </w:p>
    <w:p>
      <w:pPr>
        <w:rPr>
          <w:rFonts w:hint="eastAsia" w:eastAsia="宋体"/>
          <w:color w:val="auto"/>
          <w:highlight w:val="none"/>
          <w:lang w:eastAsia="zh-CN"/>
        </w:rPr>
      </w:pPr>
      <w:r>
        <w:rPr>
          <w:color w:val="auto"/>
          <w:sz w:val="28"/>
          <w:highlight w:val="none"/>
        </w:rPr>
        <w:t>1、工程名称：</w:t>
      </w:r>
      <w:r>
        <w:rPr>
          <w:rFonts w:hint="eastAsia"/>
          <w:color w:val="auto"/>
          <w:sz w:val="28"/>
          <w:highlight w:val="none"/>
          <w:lang w:eastAsia="zh-CN"/>
        </w:rPr>
        <w:t>广州市社会福利院龙洞院区学童楼维修工程项目</w:t>
      </w:r>
    </w:p>
    <w:p>
      <w:pPr>
        <w:rPr>
          <w:rFonts w:hint="eastAsia"/>
          <w:color w:val="auto"/>
          <w:sz w:val="28"/>
          <w:highlight w:val="none"/>
          <w:lang w:eastAsia="zh-CN"/>
        </w:rPr>
      </w:pPr>
      <w:r>
        <w:rPr>
          <w:color w:val="auto"/>
          <w:sz w:val="28"/>
          <w:highlight w:val="none"/>
        </w:rPr>
        <w:t>2、建设地点：</w:t>
      </w:r>
      <w:r>
        <w:rPr>
          <w:rFonts w:hint="default"/>
          <w:color w:val="auto"/>
          <w:sz w:val="28"/>
          <w:highlight w:val="none"/>
        </w:rPr>
        <w:t>广州市社会福利院龙洞院区</w:t>
      </w:r>
      <w:r>
        <w:rPr>
          <w:rFonts w:hint="eastAsia"/>
          <w:color w:val="auto"/>
          <w:sz w:val="28"/>
          <w:highlight w:val="none"/>
          <w:lang w:eastAsia="zh-CN"/>
        </w:rPr>
        <w:t>（广州市天河区龙湖路233号）</w:t>
      </w:r>
    </w:p>
    <w:p>
      <w:pPr>
        <w:rPr>
          <w:rFonts w:hint="eastAsia"/>
          <w:color w:val="auto"/>
          <w:sz w:val="28"/>
          <w:highlight w:val="none"/>
        </w:rPr>
      </w:pPr>
      <w:r>
        <w:rPr>
          <w:color w:val="auto"/>
          <w:sz w:val="28"/>
          <w:highlight w:val="none"/>
        </w:rPr>
        <w:t>3、建设内容：</w:t>
      </w:r>
      <w:r>
        <w:rPr>
          <w:rFonts w:hint="eastAsia"/>
          <w:color w:val="auto"/>
          <w:sz w:val="28"/>
          <w:highlight w:val="none"/>
        </w:rPr>
        <w:t>我院龙洞院区学童楼建于200</w:t>
      </w:r>
      <w:r>
        <w:rPr>
          <w:rFonts w:hint="eastAsia"/>
          <w:color w:val="auto"/>
          <w:sz w:val="28"/>
          <w:highlight w:val="none"/>
          <w:lang w:val="en-US" w:eastAsia="zh-CN"/>
        </w:rPr>
        <w:t>6</w:t>
      </w:r>
      <w:r>
        <w:rPr>
          <w:rFonts w:hint="eastAsia"/>
          <w:color w:val="auto"/>
          <w:sz w:val="28"/>
          <w:highlight w:val="none"/>
        </w:rPr>
        <w:t>年底，一栋六层框架结构，拟进行维修，维修项目包括:室内供配电照明系统、给水排水系统、火灾自动报警系统、卫生间抽排风送风系统、卫生间地面楼板渗漏、室内墙体天花板抹灰、室内走廊天花板装饰、阳台走廊防护网、门体残旧破损等维修改造项目，维修总面积为3063平方米</w:t>
      </w:r>
      <w:r>
        <w:rPr>
          <w:rFonts w:hint="default"/>
          <w:color w:val="auto"/>
          <w:sz w:val="28"/>
          <w:highlight w:val="none"/>
          <w:lang w:val="en-US" w:eastAsia="zh-CN"/>
        </w:rPr>
        <w:t>。</w:t>
      </w:r>
      <w:r>
        <w:rPr>
          <w:rFonts w:hint="eastAsia"/>
          <w:color w:val="auto"/>
          <w:sz w:val="28"/>
          <w:highlight w:val="none"/>
          <w:lang w:val="en-US" w:eastAsia="zh-CN"/>
        </w:rPr>
        <w:t>投标人应</w:t>
      </w:r>
      <w:r>
        <w:rPr>
          <w:rFonts w:hint="default"/>
          <w:color w:val="auto"/>
          <w:sz w:val="28"/>
          <w:highlight w:val="none"/>
        </w:rPr>
        <w:t>配合办理施工过程的</w:t>
      </w:r>
      <w:r>
        <w:rPr>
          <w:rFonts w:hint="eastAsia"/>
          <w:color w:val="auto"/>
          <w:sz w:val="28"/>
          <w:highlight w:val="none"/>
          <w:lang w:eastAsia="zh-CN"/>
        </w:rPr>
        <w:t>报批</w:t>
      </w:r>
      <w:r>
        <w:rPr>
          <w:rFonts w:hint="default"/>
          <w:color w:val="auto"/>
          <w:sz w:val="28"/>
          <w:highlight w:val="none"/>
        </w:rPr>
        <w:t>程序、办理项目结算等其他相关工作。</w:t>
      </w:r>
      <w:r>
        <w:rPr>
          <w:rFonts w:hint="eastAsia"/>
          <w:color w:val="auto"/>
          <w:sz w:val="28"/>
          <w:highlight w:val="none"/>
          <w:lang w:val="en-US" w:eastAsia="zh-CN"/>
        </w:rPr>
        <w:t>（具体以招标图纸及招标过程相关资料所含全部内容为准）。</w:t>
      </w:r>
    </w:p>
    <w:p>
      <w:pPr>
        <w:rPr>
          <w:color w:val="auto"/>
          <w:sz w:val="28"/>
          <w:highlight w:val="none"/>
        </w:rPr>
      </w:pPr>
      <w:r>
        <w:rPr>
          <w:color w:val="auto"/>
          <w:sz w:val="28"/>
          <w:highlight w:val="none"/>
        </w:rPr>
        <w:t>4、</w:t>
      </w:r>
      <w:r>
        <w:rPr>
          <w:rFonts w:hint="eastAsia"/>
          <w:color w:val="auto"/>
          <w:sz w:val="28"/>
          <w:highlight w:val="none"/>
        </w:rPr>
        <w:t>总承包，包括但不限于包工、包料、包工期、包设备、包运输费、包质量、包水电费、包安全、包人员住宿、包安全、包文明施工、包承包范围内工程验收通过、包移交、包结算、包竣工资料编制及移交、包垂直运输、包材料及设备堆放费、包人材机二次进出场费，包常规材料检测及检验、包实验、包调试与测验、包试运行、包保修、包承包人应当购买的保险、包通水、通电、包管理费、包措施费、包成品保护、包施工噪音排污费、包夜间施工费、包赶工费、包材料周转费、包材料转运费、包二次转运费、包垃圾清运、包利润等一切与工程相关的费用。现场临水临电的接驳，发包人只提供临水临电驳接点，由承包人自行接驳，此部分费用金额按实结算，由承包人交给发包人。综合单价包干，项目措施费包干，工程量按实结算，规费费率不予调整。</w:t>
      </w:r>
    </w:p>
    <w:p>
      <w:pPr>
        <w:rPr>
          <w:color w:val="auto"/>
          <w:highlight w:val="none"/>
        </w:rPr>
      </w:pPr>
      <w:r>
        <w:rPr>
          <w:color w:val="auto"/>
          <w:sz w:val="28"/>
          <w:highlight w:val="none"/>
        </w:rPr>
        <w:t>5、质量要求：工程质量标准按照国家质量验收标准执行，未有国家质量标准的按照行业和广东省的质量验收标准执行，确保符合国家、省、市《建设工程质量管理条例》质量验收标准，并达到合格或（以上标准）</w:t>
      </w:r>
    </w:p>
    <w:p>
      <w:pPr>
        <w:rPr>
          <w:color w:val="auto"/>
          <w:highlight w:val="none"/>
        </w:rPr>
      </w:pPr>
      <w:r>
        <w:rPr>
          <w:color w:val="auto"/>
          <w:sz w:val="28"/>
          <w:highlight w:val="none"/>
        </w:rPr>
        <w:t>6、安全文明施工要求：执行《建筑施工安全检查标准》（JGJ59-99）和《广州市建设工程文明施工管理规定》（广州市人民政府令第62号）的规定、《广州市建委关于规范建筑施工安全管理标准的通知》穗建筑[2005]652号及现行的省、市关于安全文明施工的相关规定。</w:t>
      </w:r>
    </w:p>
    <w:p>
      <w:pPr>
        <w:rPr>
          <w:color w:val="auto"/>
          <w:highlight w:val="none"/>
        </w:rPr>
      </w:pPr>
      <w:r>
        <w:rPr>
          <w:color w:val="auto"/>
          <w:sz w:val="28"/>
          <w:highlight w:val="none"/>
        </w:rPr>
        <w:t>7、总包及分包规定：成交供应商为施工总承包单位，不允许转包，不允许违法分包。</w:t>
      </w:r>
    </w:p>
    <w:p>
      <w:pPr>
        <w:rPr>
          <w:color w:val="auto"/>
          <w:highlight w:val="none"/>
        </w:rPr>
      </w:pPr>
      <w:r>
        <w:rPr>
          <w:color w:val="auto"/>
          <w:sz w:val="28"/>
          <w:highlight w:val="none"/>
        </w:rPr>
        <w:t>8、缺陷责任期：执行《中华人民共和国建筑法》、《建设工程质量管理条例》和《房屋建筑工程质量保修办法》等有关规定。（自工程竣工验收合格签字生效之日起计算）</w:t>
      </w:r>
    </w:p>
    <w:p>
      <w:pPr>
        <w:rPr>
          <w:color w:val="auto"/>
          <w:highlight w:val="none"/>
        </w:rPr>
      </w:pPr>
      <w:r>
        <w:rPr>
          <w:color w:val="auto"/>
          <w:sz w:val="28"/>
          <w:highlight w:val="none"/>
        </w:rPr>
        <w:t>9、工期要求：工程开工</w:t>
      </w:r>
      <w:r>
        <w:rPr>
          <w:rFonts w:hint="eastAsia"/>
          <w:color w:val="auto"/>
          <w:sz w:val="28"/>
          <w:highlight w:val="none"/>
          <w:lang w:val="en-US" w:eastAsia="zh-CN"/>
        </w:rPr>
        <w:t>210</w:t>
      </w:r>
      <w:r>
        <w:rPr>
          <w:color w:val="auto"/>
          <w:sz w:val="28"/>
          <w:highlight w:val="none"/>
        </w:rPr>
        <w:t>个日历天内完成施工并通过验收</w:t>
      </w:r>
    </w:p>
    <w:p>
      <w:pPr>
        <w:rPr>
          <w:color w:val="auto"/>
          <w:highlight w:val="none"/>
        </w:rPr>
      </w:pPr>
      <w:r>
        <w:rPr>
          <w:color w:val="auto"/>
          <w:sz w:val="28"/>
          <w:highlight w:val="none"/>
        </w:rPr>
        <w:t>10、本项目最高限价：</w:t>
      </w:r>
      <w:r>
        <w:rPr>
          <w:rFonts w:hint="eastAsia"/>
          <w:color w:val="auto"/>
          <w:sz w:val="28"/>
          <w:highlight w:val="none"/>
          <w:lang w:val="en-US" w:eastAsia="zh-CN"/>
        </w:rPr>
        <w:t>5,604,443.41</w:t>
      </w:r>
      <w:r>
        <w:rPr>
          <w:color w:val="auto"/>
          <w:sz w:val="28"/>
          <w:highlight w:val="none"/>
        </w:rPr>
        <w:t>元（其中绿色施工安全防护措施费为：</w:t>
      </w:r>
      <w:r>
        <w:rPr>
          <w:rFonts w:hint="eastAsia"/>
          <w:color w:val="auto"/>
          <w:sz w:val="28"/>
          <w:highlight w:val="none"/>
          <w:lang w:val="en-US" w:eastAsia="zh-CN"/>
        </w:rPr>
        <w:t>464,806.99</w:t>
      </w:r>
      <w:r>
        <w:rPr>
          <w:color w:val="auto"/>
          <w:sz w:val="28"/>
          <w:highlight w:val="none"/>
        </w:rPr>
        <w:t>元，暂列金额</w:t>
      </w:r>
      <w:r>
        <w:rPr>
          <w:rFonts w:hint="eastAsia"/>
          <w:color w:val="auto"/>
          <w:sz w:val="28"/>
          <w:highlight w:val="none"/>
          <w:lang w:val="en-US" w:eastAsia="zh-CN"/>
        </w:rPr>
        <w:t>210376.83</w:t>
      </w:r>
      <w:r>
        <w:rPr>
          <w:color w:val="auto"/>
          <w:sz w:val="28"/>
          <w:highlight w:val="none"/>
        </w:rPr>
        <w:t>元</w:t>
      </w:r>
      <w:r>
        <w:rPr>
          <w:rFonts w:hint="eastAsia"/>
          <w:color w:val="auto"/>
          <w:sz w:val="28"/>
          <w:highlight w:val="none"/>
          <w:lang w:eastAsia="zh-CN"/>
        </w:rPr>
        <w:t>，暂估价</w:t>
      </w:r>
      <w:r>
        <w:rPr>
          <w:rFonts w:hint="eastAsia"/>
          <w:color w:val="auto"/>
          <w:sz w:val="28"/>
          <w:highlight w:val="none"/>
          <w:lang w:val="en-US" w:eastAsia="zh-CN"/>
        </w:rPr>
        <w:t>15000元</w:t>
      </w:r>
      <w:r>
        <w:rPr>
          <w:color w:val="auto"/>
          <w:sz w:val="28"/>
          <w:highlight w:val="none"/>
        </w:rPr>
        <w:t>），绿色施工安全防护措施费</w:t>
      </w:r>
      <w:r>
        <w:rPr>
          <w:rFonts w:hint="eastAsia"/>
          <w:color w:val="auto"/>
          <w:sz w:val="28"/>
          <w:highlight w:val="none"/>
          <w:lang w:eastAsia="zh-CN"/>
        </w:rPr>
        <w:t>、</w:t>
      </w:r>
      <w:r>
        <w:rPr>
          <w:color w:val="auto"/>
          <w:sz w:val="28"/>
          <w:highlight w:val="none"/>
        </w:rPr>
        <w:t>暂列金额</w:t>
      </w:r>
      <w:r>
        <w:rPr>
          <w:rFonts w:hint="eastAsia"/>
          <w:color w:val="auto"/>
          <w:sz w:val="28"/>
          <w:highlight w:val="none"/>
          <w:lang w:eastAsia="zh-CN"/>
        </w:rPr>
        <w:t>、暂估价</w:t>
      </w:r>
      <w:r>
        <w:rPr>
          <w:color w:val="auto"/>
          <w:sz w:val="28"/>
          <w:highlight w:val="none"/>
        </w:rPr>
        <w:t>为不可竞争费用。</w:t>
      </w:r>
    </w:p>
    <w:p>
      <w:pPr>
        <w:rPr>
          <w:color w:val="auto"/>
          <w:highlight w:val="none"/>
        </w:rPr>
      </w:pPr>
      <w:r>
        <w:rPr>
          <w:color w:val="auto"/>
          <w:sz w:val="28"/>
          <w:highlight w:val="none"/>
        </w:rPr>
        <w:t>11、★供应商须按照采购项目工程量清单（详见附件）进行报价</w:t>
      </w:r>
    </w:p>
    <w:p>
      <w:pPr>
        <w:rPr>
          <w:color w:val="auto"/>
          <w:highlight w:val="none"/>
        </w:rPr>
      </w:pPr>
      <w:r>
        <w:rPr>
          <w:color w:val="auto"/>
          <w:sz w:val="28"/>
          <w:highlight w:val="none"/>
        </w:rPr>
        <w:t>二、技术要求</w:t>
      </w:r>
    </w:p>
    <w:p>
      <w:pPr>
        <w:rPr>
          <w:color w:val="auto"/>
          <w:highlight w:val="none"/>
        </w:rPr>
      </w:pPr>
      <w:r>
        <w:rPr>
          <w:color w:val="auto"/>
          <w:sz w:val="28"/>
          <w:highlight w:val="none"/>
        </w:rPr>
        <w:t>1、设计图纸（详见附件）</w:t>
      </w:r>
    </w:p>
    <w:p>
      <w:pPr>
        <w:rPr>
          <w:color w:val="auto"/>
          <w:highlight w:val="none"/>
        </w:rPr>
      </w:pPr>
      <w:r>
        <w:rPr>
          <w:color w:val="auto"/>
          <w:sz w:val="28"/>
          <w:highlight w:val="none"/>
        </w:rPr>
        <w:t>2、采购项目工程量清单（详见附件）</w:t>
      </w:r>
    </w:p>
    <w:p>
      <w:pPr>
        <w:rPr>
          <w:color w:val="auto"/>
          <w:highlight w:val="none"/>
        </w:rPr>
      </w:pPr>
      <w:r>
        <w:rPr>
          <w:color w:val="auto"/>
          <w:sz w:val="28"/>
          <w:highlight w:val="none"/>
        </w:rPr>
        <w:t>3、供应商根据项目情况编制总体施工方案及技术保证措施、施工总进度计划及工期、质量保证措施、安全施工、文明施工与环境保护措施、施工现场组织机构、成品保护及现场管理措施、资源配备计划。</w:t>
      </w:r>
    </w:p>
    <w:p>
      <w:pPr>
        <w:rPr>
          <w:color w:val="auto"/>
          <w:highlight w:val="none"/>
        </w:rPr>
      </w:pPr>
      <w:r>
        <w:rPr>
          <w:color w:val="auto"/>
          <w:sz w:val="28"/>
          <w:highlight w:val="none"/>
        </w:rPr>
        <w:t>三、付款方式</w:t>
      </w:r>
    </w:p>
    <w:p>
      <w:pPr>
        <w:rPr>
          <w:color w:val="auto"/>
          <w:sz w:val="28"/>
          <w:highlight w:val="none"/>
        </w:rPr>
      </w:pPr>
      <w:r>
        <w:rPr>
          <w:color w:val="auto"/>
          <w:sz w:val="28"/>
          <w:highlight w:val="none"/>
        </w:rPr>
        <w:t xml:space="preserve">1、中标人收到采购人开工通知并进场施工，可向采购人申请支付至合同价（扣除暂列金额）的30%； </w:t>
      </w:r>
    </w:p>
    <w:p>
      <w:pPr>
        <w:rPr>
          <w:color w:val="auto"/>
          <w:sz w:val="28"/>
          <w:highlight w:val="none"/>
        </w:rPr>
      </w:pPr>
      <w:r>
        <w:rPr>
          <w:color w:val="auto"/>
          <w:sz w:val="28"/>
          <w:highlight w:val="none"/>
        </w:rPr>
        <w:t>2</w:t>
      </w:r>
      <w:r>
        <w:rPr>
          <w:rFonts w:hint="eastAsia"/>
          <w:color w:val="auto"/>
          <w:sz w:val="28"/>
          <w:highlight w:val="none"/>
        </w:rPr>
        <w:t>、</w:t>
      </w:r>
      <w:r>
        <w:rPr>
          <w:color w:val="auto"/>
          <w:sz w:val="28"/>
          <w:highlight w:val="none"/>
        </w:rPr>
        <w:t>待上级部门资金到位后，根据施工单位的形象进度，申请支付到已完成工程量的8</w:t>
      </w:r>
      <w:r>
        <w:rPr>
          <w:rFonts w:hint="eastAsia"/>
          <w:color w:val="auto"/>
          <w:sz w:val="28"/>
          <w:highlight w:val="none"/>
          <w:lang w:val="en-US" w:eastAsia="zh-CN"/>
        </w:rPr>
        <w:t>0</w:t>
      </w:r>
      <w:r>
        <w:rPr>
          <w:color w:val="auto"/>
          <w:sz w:val="28"/>
          <w:highlight w:val="none"/>
        </w:rPr>
        <w:t>%，即实际支付工程款＝中标人完成实际工程进度款*8</w:t>
      </w:r>
      <w:r>
        <w:rPr>
          <w:rFonts w:hint="eastAsia"/>
          <w:color w:val="auto"/>
          <w:sz w:val="28"/>
          <w:highlight w:val="none"/>
          <w:lang w:val="en-US" w:eastAsia="zh-CN"/>
        </w:rPr>
        <w:t>0</w:t>
      </w:r>
      <w:r>
        <w:rPr>
          <w:color w:val="auto"/>
          <w:sz w:val="28"/>
          <w:highlight w:val="none"/>
        </w:rPr>
        <w:t>%－已支付款金额；</w:t>
      </w:r>
    </w:p>
    <w:p>
      <w:pPr>
        <w:rPr>
          <w:color w:val="auto"/>
          <w:sz w:val="28"/>
          <w:highlight w:val="none"/>
        </w:rPr>
      </w:pPr>
      <w:r>
        <w:rPr>
          <w:color w:val="auto"/>
          <w:sz w:val="28"/>
          <w:highlight w:val="none"/>
        </w:rPr>
        <w:t>3</w:t>
      </w:r>
      <w:r>
        <w:rPr>
          <w:rFonts w:hint="eastAsia"/>
          <w:color w:val="auto"/>
          <w:sz w:val="28"/>
          <w:highlight w:val="none"/>
        </w:rPr>
        <w:t>、</w:t>
      </w:r>
      <w:r>
        <w:rPr>
          <w:color w:val="auto"/>
          <w:sz w:val="28"/>
          <w:highlight w:val="none"/>
        </w:rPr>
        <w:t>工程完工及验收合格后,待上级部门资金到位后，可申请支付至合同价（扣除暂列金额</w:t>
      </w:r>
      <w:r>
        <w:rPr>
          <w:rFonts w:hint="eastAsia"/>
          <w:color w:val="auto"/>
          <w:sz w:val="28"/>
          <w:highlight w:val="none"/>
          <w:lang w:eastAsia="zh-CN"/>
        </w:rPr>
        <w:t>、暂估价</w:t>
      </w:r>
      <w:r>
        <w:rPr>
          <w:color w:val="auto"/>
          <w:sz w:val="28"/>
          <w:highlight w:val="none"/>
        </w:rPr>
        <w:t>）的8</w:t>
      </w:r>
      <w:r>
        <w:rPr>
          <w:rFonts w:hint="eastAsia"/>
          <w:color w:val="auto"/>
          <w:sz w:val="28"/>
          <w:highlight w:val="none"/>
          <w:lang w:val="en-US" w:eastAsia="zh-CN"/>
        </w:rPr>
        <w:t>0</w:t>
      </w:r>
      <w:r>
        <w:rPr>
          <w:color w:val="auto"/>
          <w:sz w:val="28"/>
          <w:highlight w:val="none"/>
        </w:rPr>
        <w:t>%；</w:t>
      </w:r>
    </w:p>
    <w:p>
      <w:pPr>
        <w:rPr>
          <w:color w:val="auto"/>
          <w:sz w:val="28"/>
          <w:highlight w:val="none"/>
        </w:rPr>
      </w:pPr>
      <w:r>
        <w:rPr>
          <w:rFonts w:hint="eastAsia"/>
          <w:color w:val="auto"/>
          <w:sz w:val="28"/>
          <w:highlight w:val="none"/>
        </w:rPr>
        <w:t>4、广州市财政结算评审完成</w:t>
      </w:r>
      <w:r>
        <w:rPr>
          <w:color w:val="auto"/>
          <w:sz w:val="28"/>
          <w:highlight w:val="none"/>
        </w:rPr>
        <w:t>，待上级部门资金到位后，中标人以支票、转帐、银行保函等非现金形式提交审核价3%的质保金后，可向采购人申请支付至结算审核价100%。</w:t>
      </w:r>
    </w:p>
    <w:p>
      <w:pPr>
        <w:rPr>
          <w:color w:val="auto"/>
          <w:sz w:val="28"/>
          <w:highlight w:val="none"/>
        </w:rPr>
      </w:pPr>
      <w:r>
        <w:rPr>
          <w:rFonts w:hint="eastAsia"/>
          <w:color w:val="auto"/>
          <w:sz w:val="28"/>
          <w:highlight w:val="none"/>
        </w:rPr>
        <w:t>5、</w:t>
      </w:r>
      <w:r>
        <w:rPr>
          <w:color w:val="auto"/>
          <w:sz w:val="28"/>
          <w:highlight w:val="none"/>
        </w:rPr>
        <w:t>中标人须在采购人办理支付手续前5个工作日内，提供等额的正式发票，以便采购人及时办理支付手续。</w:t>
      </w:r>
    </w:p>
    <w:p>
      <w:pPr>
        <w:rPr>
          <w:color w:val="auto"/>
          <w:highlight w:val="none"/>
        </w:rPr>
      </w:pPr>
      <w:r>
        <w:rPr>
          <w:rFonts w:hint="eastAsia"/>
          <w:color w:val="auto"/>
          <w:sz w:val="28"/>
          <w:highlight w:val="none"/>
        </w:rPr>
        <w:t>6、</w:t>
      </w:r>
      <w:r>
        <w:rPr>
          <w:color w:val="auto"/>
          <w:sz w:val="28"/>
          <w:highlight w:val="none"/>
        </w:rPr>
        <w:t>款项支付以财政资金下达为前提。因采购人使用的是财政资金，在中标人向采购人申请支付后，采购人向政府财政部门提出支付申请，即视为采购人完成支付义务。中标人谅解由于采购人项目财政资金没有到位造成的款项支付逾期不作为违约责任，因采购人年度支出预算不足无法足额支付当期费用的，则应顺延到下一</w:t>
      </w:r>
      <w:r>
        <w:rPr>
          <w:rFonts w:hint="eastAsia"/>
          <w:color w:val="auto"/>
          <w:sz w:val="28"/>
          <w:highlight w:val="none"/>
          <w:lang w:val="en-US" w:eastAsia="zh-CN"/>
        </w:rPr>
        <w:t>财政年度</w:t>
      </w:r>
      <w:r>
        <w:rPr>
          <w:color w:val="auto"/>
          <w:sz w:val="28"/>
          <w:highlight w:val="none"/>
        </w:rPr>
        <w:t>完成该期剩余款的支付，由于财政资金拨款不到位而导致采购人逾期付款的，采购人不承担违约责任，中标人不因上述原因拒绝为采购人提供服务。如出现政府财政局开展财务年度结算工作，期间暂停办理财政支出业务等情况</w:t>
      </w:r>
      <w:r>
        <w:rPr>
          <w:rFonts w:hint="eastAsia"/>
          <w:color w:val="auto"/>
          <w:sz w:val="28"/>
          <w:highlight w:val="none"/>
        </w:rPr>
        <w:t>，采购人不承担违约责任，中标人不得因上述原因拒绝履行合同义务。</w:t>
      </w:r>
    </w:p>
    <w:p>
      <w:pPr>
        <w:rPr>
          <w:color w:val="auto"/>
          <w:highlight w:val="none"/>
        </w:rPr>
      </w:pPr>
    </w:p>
    <w:p>
      <w:pPr>
        <w:rPr>
          <w:color w:val="auto"/>
          <w:highlight w:val="none"/>
        </w:rPr>
      </w:pPr>
      <w:r>
        <w:rPr>
          <w:color w:val="auto"/>
          <w:sz w:val="28"/>
          <w:highlight w:val="none"/>
        </w:rPr>
        <w:t>四、验收要求</w:t>
      </w:r>
    </w:p>
    <w:p>
      <w:pPr>
        <w:rPr>
          <w:color w:val="auto"/>
          <w:highlight w:val="none"/>
        </w:rPr>
      </w:pPr>
      <w:r>
        <w:rPr>
          <w:color w:val="auto"/>
          <w:sz w:val="28"/>
          <w:highlight w:val="none"/>
        </w:rPr>
        <w:t>完成本工程施工图纸、工程量清单和合同约定的全部内容，工程质量标准按照国家质量验收标准执行，未有国家质量标准的按照行业和广东省的质量验收标准执行，确保符合国家、省、市《建设工程质量管理条例》质量验收标准，并达到合格或以上标准。</w:t>
      </w:r>
    </w:p>
    <w:p>
      <w:pPr>
        <w:pStyle w:val="24"/>
        <w:widowControl/>
        <w:shd w:val="clear" w:color="auto" w:fill="FFFFFF"/>
        <w:spacing w:before="0" w:beforeAutospacing="0" w:after="0" w:afterAutospacing="0" w:line="360" w:lineRule="atLeast"/>
        <w:jc w:val="center"/>
        <w:rPr>
          <w:rFonts w:ascii="微软雅黑" w:hAnsi="微软雅黑" w:eastAsia="微软雅黑" w:cs="微软雅黑"/>
          <w:color w:val="auto"/>
          <w:szCs w:val="24"/>
          <w:highlight w:val="none"/>
        </w:rPr>
      </w:pPr>
      <w:r>
        <w:rPr>
          <w:rFonts w:cs="宋体"/>
          <w:color w:val="auto"/>
          <w:sz w:val="24"/>
          <w:szCs w:val="24"/>
          <w:highlight w:val="none"/>
        </w:rPr>
        <w:br w:type="page"/>
      </w:r>
      <w:r>
        <w:rPr>
          <w:rStyle w:val="30"/>
          <w:rFonts w:ascii="仿宋" w:hAnsi="仿宋" w:eastAsia="仿宋" w:cs="仿宋"/>
          <w:bCs/>
          <w:color w:val="auto"/>
          <w:kern w:val="2"/>
          <w:sz w:val="21"/>
          <w:szCs w:val="24"/>
          <w:highlight w:val="none"/>
          <w:shd w:val="clear" w:color="auto" w:fill="FFFFFF"/>
          <w:lang w:bidi="ar"/>
        </w:rPr>
        <w:t>施工现场建筑垃圾源头减量的具体要求和建筑垃圾综合利用产品的使用要求</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1.2建筑垃圾应当按照国家有关规定进行分类，实行分类收集、分类贮存、分类运输、分类处置。</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1.5工程泥浆应当在施工现场进行脱水固化处理。施工现场不具备条件的，应当采用罐装器具密闭运输至依法设置的建筑垃圾处置场所进行处置。水上工程中依法无需经脱水处理的除外。</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widowControl/>
        <w:shd w:val="clear" w:color="auto" w:fill="FFFFFF"/>
        <w:spacing w:before="0" w:beforeAutospacing="0" w:after="0" w:afterAutospacing="0" w:line="360" w:lineRule="atLeast"/>
        <w:ind w:left="0" w:right="0" w:firstLine="480"/>
        <w:jc w:val="both"/>
        <w:rPr>
          <w:rFonts w:hint="eastAsia" w:ascii="微软雅黑" w:hAnsi="微软雅黑" w:eastAsia="微软雅黑" w:cs="微软雅黑"/>
          <w:color w:val="auto"/>
          <w:kern w:val="0"/>
          <w:sz w:val="24"/>
          <w:szCs w:val="24"/>
          <w:highlight w:val="none"/>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1.7施工单位严格遵守并执行《广东省建筑垃圾管理条例》。</w:t>
      </w:r>
    </w:p>
    <w:p>
      <w:pPr>
        <w:spacing w:line="276" w:lineRule="auto"/>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rPr>
          <w:rFonts w:cs="宋体"/>
          <w:color w:val="auto"/>
          <w:sz w:val="24"/>
          <w:szCs w:val="24"/>
          <w:highlight w:val="none"/>
        </w:rPr>
      </w:pPr>
    </w:p>
    <w:p>
      <w:pPr>
        <w:pStyle w:val="9"/>
        <w:ind w:firstLine="480"/>
        <w:rPr>
          <w:rFonts w:cs="宋体"/>
          <w:color w:val="auto"/>
          <w:sz w:val="24"/>
          <w:szCs w:val="24"/>
          <w:highlight w:val="none"/>
        </w:rPr>
      </w:pPr>
    </w:p>
    <w:p>
      <w:pPr>
        <w:pStyle w:val="48"/>
        <w:tabs>
          <w:tab w:val="left" w:pos="1260"/>
        </w:tabs>
        <w:ind w:firstLine="0" w:firstLineChars="0"/>
        <w:rPr>
          <w:rFonts w:hint="default"/>
          <w:color w:val="auto"/>
          <w:highlight w:val="none"/>
        </w:rPr>
      </w:pPr>
    </w:p>
    <w:p>
      <w:pPr>
        <w:pStyle w:val="3"/>
        <w:jc w:val="center"/>
        <w:rPr>
          <w:rFonts w:hint="default"/>
          <w:color w:val="auto"/>
          <w:highlight w:val="none"/>
        </w:rPr>
      </w:pPr>
      <w:r>
        <w:rPr>
          <w:color w:val="auto"/>
          <w:highlight w:val="none"/>
        </w:rPr>
        <w:br w:type="page"/>
      </w:r>
      <w:bookmarkStart w:id="69" w:name="_Toc11116"/>
      <w:r>
        <w:rPr>
          <w:color w:val="auto"/>
          <w:highlight w:val="none"/>
        </w:rPr>
        <w:t>第六章  图纸及勘察资料</w:t>
      </w:r>
      <w:bookmarkEnd w:id="69"/>
    </w:p>
    <w:p>
      <w:pPr>
        <w:topLinePunct/>
        <w:adjustRightInd w:val="0"/>
        <w:snapToGrid w:val="0"/>
        <w:spacing w:line="360" w:lineRule="auto"/>
        <w:jc w:val="center"/>
        <w:rPr>
          <w:rFonts w:hint="eastAsia" w:cs="宋体"/>
          <w:snapToGrid w:val="0"/>
          <w:color w:val="auto"/>
          <w:spacing w:val="4"/>
          <w:kern w:val="0"/>
          <w:sz w:val="24"/>
          <w:szCs w:val="24"/>
          <w:highlight w:val="none"/>
        </w:rPr>
      </w:pPr>
    </w:p>
    <w:p>
      <w:pPr>
        <w:topLinePunct/>
        <w:adjustRightInd w:val="0"/>
        <w:snapToGrid w:val="0"/>
        <w:spacing w:line="360" w:lineRule="auto"/>
        <w:rPr>
          <w:rFonts w:hint="eastAsia"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注：另册。</w:t>
      </w:r>
    </w:p>
    <w:p>
      <w:pPr>
        <w:jc w:val="center"/>
        <w:rPr>
          <w:rFonts w:cs="宋体"/>
          <w:b/>
          <w:bCs/>
          <w:color w:val="auto"/>
          <w:sz w:val="28"/>
          <w:szCs w:val="28"/>
          <w:highlight w:val="none"/>
        </w:rPr>
      </w:pPr>
    </w:p>
    <w:p>
      <w:pPr>
        <w:pStyle w:val="3"/>
        <w:jc w:val="center"/>
        <w:rPr>
          <w:rFonts w:hint="default"/>
          <w:color w:val="auto"/>
          <w:highlight w:val="none"/>
        </w:rPr>
      </w:pPr>
      <w:r>
        <w:rPr>
          <w:color w:val="auto"/>
          <w:sz w:val="24"/>
          <w:szCs w:val="24"/>
          <w:highlight w:val="none"/>
        </w:rPr>
        <w:br w:type="page"/>
      </w:r>
      <w:bookmarkStart w:id="70" w:name="_Toc10400"/>
      <w:r>
        <w:rPr>
          <w:color w:val="auto"/>
          <w:highlight w:val="none"/>
        </w:rPr>
        <w:t>第七章  工程量清单</w:t>
      </w:r>
      <w:bookmarkEnd w:id="70"/>
    </w:p>
    <w:p>
      <w:pPr>
        <w:rPr>
          <w:b/>
          <w:color w:val="auto"/>
          <w:sz w:val="24"/>
          <w:szCs w:val="24"/>
          <w:highlight w:val="none"/>
        </w:rPr>
      </w:pPr>
      <w:r>
        <w:rPr>
          <w:rFonts w:hint="eastAsia"/>
          <w:color w:val="auto"/>
          <w:sz w:val="24"/>
          <w:szCs w:val="24"/>
          <w:highlight w:val="none"/>
        </w:rPr>
        <w:t>注：另册。</w:t>
      </w:r>
    </w:p>
    <w:p>
      <w:pPr>
        <w:pStyle w:val="5"/>
        <w:spacing w:after="0" w:line="360" w:lineRule="auto"/>
        <w:ind w:left="-2" w:leftChars="-1" w:firstLine="960" w:firstLineChars="400"/>
        <w:rPr>
          <w:rFonts w:ascii="宋体"/>
          <w:color w:val="auto"/>
          <w:sz w:val="24"/>
          <w:highlight w:val="none"/>
        </w:rPr>
      </w:pPr>
    </w:p>
    <w:p>
      <w:pPr>
        <w:pStyle w:val="3"/>
        <w:rPr>
          <w:rFonts w:hint="default"/>
          <w:color w:val="auto"/>
          <w:highlight w:val="none"/>
        </w:rPr>
      </w:pPr>
    </w:p>
    <w:p>
      <w:pPr>
        <w:pStyle w:val="3"/>
        <w:jc w:val="center"/>
        <w:rPr>
          <w:rFonts w:hint="default"/>
          <w:color w:val="auto"/>
          <w:highlight w:val="none"/>
        </w:rPr>
      </w:pPr>
      <w:r>
        <w:rPr>
          <w:color w:val="auto"/>
          <w:sz w:val="24"/>
          <w:szCs w:val="24"/>
          <w:highlight w:val="none"/>
        </w:rPr>
        <w:br w:type="page"/>
      </w:r>
      <w:bookmarkStart w:id="71" w:name="_Toc4649"/>
      <w:r>
        <w:rPr>
          <w:color w:val="auto"/>
          <w:highlight w:val="none"/>
        </w:rPr>
        <w:t>第八章  最高投标限价</w:t>
      </w:r>
      <w:bookmarkEnd w:id="71"/>
    </w:p>
    <w:p>
      <w:pPr>
        <w:spacing w:line="360" w:lineRule="auto"/>
        <w:ind w:firstLine="480"/>
        <w:rPr>
          <w:color w:val="auto"/>
          <w:sz w:val="24"/>
          <w:szCs w:val="24"/>
          <w:highlight w:val="none"/>
        </w:rPr>
      </w:pPr>
    </w:p>
    <w:p>
      <w:pPr>
        <w:spacing w:line="600" w:lineRule="exact"/>
        <w:rPr>
          <w:color w:val="auto"/>
          <w:sz w:val="24"/>
          <w:szCs w:val="24"/>
          <w:highlight w:val="none"/>
        </w:rPr>
      </w:pPr>
      <w:r>
        <w:rPr>
          <w:rFonts w:hint="eastAsia"/>
          <w:color w:val="auto"/>
          <w:sz w:val="24"/>
          <w:szCs w:val="24"/>
          <w:highlight w:val="none"/>
        </w:rPr>
        <w:t>注：详见《最高投标限价公布函》</w:t>
      </w:r>
    </w:p>
    <w:p>
      <w:pPr>
        <w:pStyle w:val="24"/>
        <w:widowControl/>
        <w:shd w:val="clear" w:color="auto" w:fill="FFFFFF"/>
        <w:spacing w:before="0" w:beforeAutospacing="0" w:after="0" w:afterAutospacing="0" w:line="360" w:lineRule="atLeast"/>
        <w:ind w:firstLine="480"/>
        <w:jc w:val="both"/>
        <w:rPr>
          <w:rFonts w:hint="eastAsia" w:ascii="微软雅黑" w:hAnsi="微软雅黑" w:eastAsia="微软雅黑" w:cs="微软雅黑"/>
          <w:color w:val="auto"/>
          <w:szCs w:val="24"/>
          <w:highlight w:val="none"/>
        </w:rPr>
      </w:pPr>
      <w:r>
        <w:rPr>
          <w:color w:val="auto"/>
          <w:highlight w:val="none"/>
        </w:rPr>
        <w:br w:type="page"/>
      </w:r>
    </w:p>
    <w:p>
      <w:pPr>
        <w:rPr>
          <w:color w:val="auto"/>
          <w:highlight w:val="none"/>
        </w:rPr>
      </w:pPr>
    </w:p>
    <w:sectPr>
      <w:headerReference r:id="rId22" w:type="first"/>
      <w:footerReference r:id="rId24" w:type="first"/>
      <w:headerReference r:id="rId21" w:type="default"/>
      <w:footerReference r:id="rId23" w:type="default"/>
      <w:pgSz w:w="11905" w:h="16838"/>
      <w:pgMar w:top="850" w:right="1020" w:bottom="850" w:left="1134" w:header="850" w:footer="454" w:gutter="0"/>
      <w:cols w:space="720" w:num="1"/>
      <w:titlePg/>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jc w:val="right"/>
      <w:rPr>
        <w:rStyle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38" o:spid="_x0000_s10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39" o:spid="_x0000_s103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40" o:spid="_x0000_s104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rPr>
        <w:rStyle w:val="31"/>
      </w:rPr>
    </w:pPr>
    <w:r>
      <w:fldChar w:fldCharType="begin"/>
    </w:r>
    <w:r>
      <w:rPr>
        <w:rStyle w:val="31"/>
      </w:rPr>
      <w:instrText xml:space="preserve">PAGE  </w:instrText>
    </w:r>
    <w:r>
      <w:fldChar w:fldCharType="separate"/>
    </w:r>
    <w:r>
      <w:rPr>
        <w:rStyle w:val="31"/>
        <w:rFonts w:hint="eastAsia"/>
      </w:rPr>
      <w:t>一</w:t>
    </w:r>
    <w:r>
      <w:rPr>
        <w:rStyle w:val="31"/>
      </w:rPr>
      <w:t>–2</w:t>
    </w:r>
    <w:r>
      <w:fldChar w:fldCharType="end"/>
    </w:r>
  </w:p>
  <w:p>
    <w:pPr>
      <w:pStyle w:val="1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jc w:val="right"/>
      <w:rPr>
        <w:rStyle w:val="31"/>
      </w:rPr>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pPr>
    <w:r>
      <w:pict>
        <v:shape id="_x0000_s1033" o:spid="_x0000_s1033" o:spt="202" type="#_x0000_t202" style="position:absolute;left:0pt;margin-top:0pt;height:11pt;width:24.2pt;mso-position-horizontal:center;mso-position-horizontal-relative:margin;mso-wrap-style:none;z-index:251659264;mso-width-relative:page;mso-height-relative:page;" filled="f" stroked="f" coordsize="21600,21600" o:gfxdata="UEsDBAoAAAAAAIdO4kAAAAAAAAAAAAAAAAAEAAAAZHJzL1BLAwQUAAAACACHTuJAddMq8tEAAAAD&#10;AQAADwAAAGRycy9kb3ducmV2LnhtbE2PwWrDMBBE74X8g9hAbo0UE1rjWM4hkEtvTUuhN8XaWCbS&#10;ykiKY/991F7ay8Iww8zbej85y0YMsfckYbMWwJBar3vqJHx+HJ9LYDEp0sp6QgkzRtg3i6daVdrf&#10;6R3HU+pYLqFYKQkmpaHiPLYGnYprPyBl7+KDUynL0HEd1D2XO8sLIV64Uz3lBaMGPBhsr6ebk/A6&#10;fXkcIh7w+zK2wfRzad9mKVfLjdgBSzilvzD84Gd0aDLT2d9IR2Yl5EfS783ettwCO0soCgG8qfl/&#10;9uYBUEsDBBQAAAAIAIdO4kCl2TxdxwEAAIsDAAAOAAAAZHJzL2Uyb0RvYy54bWytU82O0zAQviPx&#10;Dpbv1OkWsTRqugJVi5AQIC08gOvYjSX/yeM26QvAG3Diwp3n6nPs2Em7sFz2wCWdzEy/+b5vJqub&#10;wRpykBG0dw2dzypKpBO+1W7X0K9fbl+8pgQSdy033smGHiXQm/XzZ6s+1PLKd960MhIEcVD3oaFd&#10;SqFmDEQnLYeZD9JhUfloecLXuGNt5D2iW8OuquoV631sQ/RCAmB2MxbphBifAuiV0kJuvNhb6dKI&#10;GqXhCSVBpwPQdWGrlBTpk1IgEzENRaWpPHEIxtv8ZOsVr3eRh06LiQJ/CoVHmizXDodeoDY8cbKP&#10;+h8oq0X04FWaCW/ZKKQ4girm1SNv7joeZNGCVkO4mA7/D1Z8PHyORLcNXVLiuMWFn358P/38ffr1&#10;jSyzPX2AGrvuAval4a0f8GjOecBkVj2oaPMv6iFYR3OPF3PlkIjA5KK6XrzEisDSfLG8ror57OHP&#10;IUJ6J70lOWhoxN0VS/nhAyQkgq3nljzL+VttTNmfcX8lsDFnWGY+MsxRGrbDJGfr2yOq6XHtDXV4&#10;5ZSY9w5dzRdyDuI52E5BngHhzT7h4MIno45Q0zDcUaE53VM+gj/fS9fDN7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XTKvLRAAAAAwEAAA8AAAAAAAAAAQAgAAAAIgAAAGRycy9kb3ducmV2Lnht&#10;bFBLAQIUABQAAAAIAIdO4kCl2TxdxwEAAIsDAAAOAAAAAAAAAAEAIAAAACABAABkcnMvZTJvRG9j&#10;LnhtbFBLBQYAAAAABgAGAFkBAABZBQAAAAA=&#10;">
          <v:path/>
          <v:fill on="f" focussize="0,0"/>
          <v:stroke on="f"/>
          <v:imagedata o:title=""/>
          <o:lock v:ext="edit" aspectratio="f"/>
          <v:textbox inset="0mm,0mm,0mm,0mm" style="mso-fit-shape-to-text:t;">
            <w:txbxContent>
              <w:p>
                <w:pPr>
                  <w:pStyle w:val="18"/>
                  <w:ind w:firstLine="392"/>
                </w:pPr>
                <w:r>
                  <w:fldChar w:fldCharType="begin"/>
                </w:r>
                <w:r>
                  <w:rPr>
                    <w:rStyle w:val="31"/>
                  </w:rPr>
                  <w:instrText xml:space="preserve"> PAGE </w:instrText>
                </w:r>
                <w:r>
                  <w:fldChar w:fldCharType="separate"/>
                </w:r>
                <w:r>
                  <w:rPr>
                    <w:rStyle w:val="31"/>
                  </w:rPr>
                  <w:t>52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1"/>
      </w:rPr>
    </w:pPr>
    <w:r>
      <w:fldChar w:fldCharType="begin"/>
    </w:r>
    <w:r>
      <w:rPr>
        <w:rStyle w:val="31"/>
      </w:rPr>
      <w:instrText xml:space="preserve">PAGE  </w:instrText>
    </w:r>
    <w:r>
      <w:fldChar w:fldCharType="separate"/>
    </w:r>
    <w:r>
      <w:rPr>
        <w:rStyle w:val="31"/>
        <w:rFonts w:hint="eastAsia"/>
      </w:rPr>
      <w:t>一</w:t>
    </w:r>
    <w:r>
      <w:rPr>
        <w:rStyle w:val="31"/>
      </w:rPr>
      <w:t>–2</w:t>
    </w:r>
    <w:r>
      <w:fldChar w:fldCharType="end"/>
    </w:r>
  </w:p>
  <w:p>
    <w:pPr>
      <w:pStyle w:val="18"/>
      <w:ind w:right="360" w:firstLine="360"/>
      <w:jc w:val="center"/>
    </w:pP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i/>
        <w:iCs/>
      </w:rPr>
    </w:pPr>
    <w:r>
      <w:rPr>
        <w:rFonts w:hint="eastAsia"/>
        <w:i/>
        <w:iCs/>
      </w:rPr>
      <w:t>横枝岗路道路排水改造工程招标文件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ED03B6F"/>
    <w:multiLevelType w:val="singleLevel"/>
    <w:tmpl w:val="2ED03B6F"/>
    <w:lvl w:ilvl="0" w:tentative="0">
      <w:start w:val="2"/>
      <w:numFmt w:val="chineseCounting"/>
      <w:suff w:val="nothing"/>
      <w:lvlText w:val="%1、"/>
      <w:lvlJc w:val="left"/>
      <w:rPr>
        <w:rFonts w:hint="eastAsia"/>
      </w:rPr>
    </w:lvl>
  </w:abstractNum>
  <w:abstractNum w:abstractNumId="2">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hyphenationZone w:val="36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5ODk4ZGU4NjE5YTdkYzViYTRhY2Y0NDRmMTA2ZWEifQ=="/>
    <w:docVar w:name="KGWebUrl" w:val="http://10.125.10.1/weaver/weaver.file.FileDownloadForNews?uuid=06ceb9b0-c586-4dc6-ac7c-15b01639d3a1&amp;fileid=1113559&amp;type=document&amp;isofficeview=0"/>
  </w:docVars>
  <w:rsids>
    <w:rsidRoot w:val="18691B45"/>
    <w:rsid w:val="00001056"/>
    <w:rsid w:val="0001052C"/>
    <w:rsid w:val="00012143"/>
    <w:rsid w:val="000220C9"/>
    <w:rsid w:val="00031611"/>
    <w:rsid w:val="00042DFE"/>
    <w:rsid w:val="00046E5A"/>
    <w:rsid w:val="00051460"/>
    <w:rsid w:val="000901D0"/>
    <w:rsid w:val="000D11F9"/>
    <w:rsid w:val="000E28B6"/>
    <w:rsid w:val="000F27A2"/>
    <w:rsid w:val="000F4F1B"/>
    <w:rsid w:val="00101CF3"/>
    <w:rsid w:val="001034E1"/>
    <w:rsid w:val="00110D03"/>
    <w:rsid w:val="0012367E"/>
    <w:rsid w:val="0013213A"/>
    <w:rsid w:val="00140BBD"/>
    <w:rsid w:val="001A07DA"/>
    <w:rsid w:val="001B48B9"/>
    <w:rsid w:val="001D60D8"/>
    <w:rsid w:val="0020706E"/>
    <w:rsid w:val="00214EA6"/>
    <w:rsid w:val="00221F9D"/>
    <w:rsid w:val="002959B5"/>
    <w:rsid w:val="002C11EE"/>
    <w:rsid w:val="002C3318"/>
    <w:rsid w:val="002E5EAF"/>
    <w:rsid w:val="002F3418"/>
    <w:rsid w:val="00306EB8"/>
    <w:rsid w:val="00371450"/>
    <w:rsid w:val="00380BEB"/>
    <w:rsid w:val="003A7A6F"/>
    <w:rsid w:val="003B0CD0"/>
    <w:rsid w:val="003B49AE"/>
    <w:rsid w:val="003E2174"/>
    <w:rsid w:val="003E2499"/>
    <w:rsid w:val="003E4D71"/>
    <w:rsid w:val="003E6CDE"/>
    <w:rsid w:val="00416A07"/>
    <w:rsid w:val="00426010"/>
    <w:rsid w:val="0048161A"/>
    <w:rsid w:val="004914D9"/>
    <w:rsid w:val="00492A85"/>
    <w:rsid w:val="004A067A"/>
    <w:rsid w:val="004A2C2B"/>
    <w:rsid w:val="004B0500"/>
    <w:rsid w:val="004B2021"/>
    <w:rsid w:val="004C6823"/>
    <w:rsid w:val="005102C6"/>
    <w:rsid w:val="00577FF0"/>
    <w:rsid w:val="005A6CD2"/>
    <w:rsid w:val="005D25B6"/>
    <w:rsid w:val="005F36B5"/>
    <w:rsid w:val="00610FFE"/>
    <w:rsid w:val="00622602"/>
    <w:rsid w:val="00644BFB"/>
    <w:rsid w:val="00674FC0"/>
    <w:rsid w:val="00685E03"/>
    <w:rsid w:val="00697693"/>
    <w:rsid w:val="006A1109"/>
    <w:rsid w:val="006A3FF9"/>
    <w:rsid w:val="006C2E93"/>
    <w:rsid w:val="006D1F01"/>
    <w:rsid w:val="00704336"/>
    <w:rsid w:val="0070581E"/>
    <w:rsid w:val="00710A57"/>
    <w:rsid w:val="00727210"/>
    <w:rsid w:val="007742EC"/>
    <w:rsid w:val="007768DB"/>
    <w:rsid w:val="00776F4A"/>
    <w:rsid w:val="00794D5B"/>
    <w:rsid w:val="00796E8B"/>
    <w:rsid w:val="007B3B1D"/>
    <w:rsid w:val="0081771B"/>
    <w:rsid w:val="00825D35"/>
    <w:rsid w:val="008264AE"/>
    <w:rsid w:val="00833D65"/>
    <w:rsid w:val="0085637B"/>
    <w:rsid w:val="008578DE"/>
    <w:rsid w:val="008954FD"/>
    <w:rsid w:val="008A1189"/>
    <w:rsid w:val="008F22C0"/>
    <w:rsid w:val="00900B41"/>
    <w:rsid w:val="00920C0D"/>
    <w:rsid w:val="00925BA3"/>
    <w:rsid w:val="00932F1F"/>
    <w:rsid w:val="00933D6C"/>
    <w:rsid w:val="00945DDE"/>
    <w:rsid w:val="00952F30"/>
    <w:rsid w:val="00964F26"/>
    <w:rsid w:val="00974E3B"/>
    <w:rsid w:val="00985FB1"/>
    <w:rsid w:val="009A4A3E"/>
    <w:rsid w:val="009C7A9E"/>
    <w:rsid w:val="009D25B1"/>
    <w:rsid w:val="009E36D1"/>
    <w:rsid w:val="009E4646"/>
    <w:rsid w:val="00A37960"/>
    <w:rsid w:val="00A55C49"/>
    <w:rsid w:val="00A62C80"/>
    <w:rsid w:val="00A6349D"/>
    <w:rsid w:val="00A71DB1"/>
    <w:rsid w:val="00A93735"/>
    <w:rsid w:val="00AC5988"/>
    <w:rsid w:val="00B43058"/>
    <w:rsid w:val="00B5370D"/>
    <w:rsid w:val="00B54368"/>
    <w:rsid w:val="00B551A6"/>
    <w:rsid w:val="00B8380A"/>
    <w:rsid w:val="00BA196E"/>
    <w:rsid w:val="00BB6BB7"/>
    <w:rsid w:val="00BE37F4"/>
    <w:rsid w:val="00C00249"/>
    <w:rsid w:val="00C06B23"/>
    <w:rsid w:val="00C430BD"/>
    <w:rsid w:val="00C558E9"/>
    <w:rsid w:val="00C74ADB"/>
    <w:rsid w:val="00CA0E99"/>
    <w:rsid w:val="00CB1183"/>
    <w:rsid w:val="00CE34BE"/>
    <w:rsid w:val="00CE597A"/>
    <w:rsid w:val="00D022D0"/>
    <w:rsid w:val="00D149BD"/>
    <w:rsid w:val="00D15E7D"/>
    <w:rsid w:val="00D3263A"/>
    <w:rsid w:val="00D36F05"/>
    <w:rsid w:val="00D52326"/>
    <w:rsid w:val="00D535D3"/>
    <w:rsid w:val="00D567B8"/>
    <w:rsid w:val="00D9132D"/>
    <w:rsid w:val="00D952DD"/>
    <w:rsid w:val="00DB3AE1"/>
    <w:rsid w:val="00DC6E48"/>
    <w:rsid w:val="00DD6356"/>
    <w:rsid w:val="00DD6787"/>
    <w:rsid w:val="00DE6EC5"/>
    <w:rsid w:val="00E23DEF"/>
    <w:rsid w:val="00E34990"/>
    <w:rsid w:val="00E75B65"/>
    <w:rsid w:val="00E97BD7"/>
    <w:rsid w:val="00EA401F"/>
    <w:rsid w:val="00EB4028"/>
    <w:rsid w:val="00EB7AAD"/>
    <w:rsid w:val="00EE0FF6"/>
    <w:rsid w:val="00F21BA7"/>
    <w:rsid w:val="00FB5433"/>
    <w:rsid w:val="00FC7EDA"/>
    <w:rsid w:val="00FF125E"/>
    <w:rsid w:val="00FF63BA"/>
    <w:rsid w:val="01085094"/>
    <w:rsid w:val="014545C7"/>
    <w:rsid w:val="01B77A9C"/>
    <w:rsid w:val="01C54B55"/>
    <w:rsid w:val="027374C7"/>
    <w:rsid w:val="03394EB3"/>
    <w:rsid w:val="043E6852"/>
    <w:rsid w:val="04AB0032"/>
    <w:rsid w:val="05112AD7"/>
    <w:rsid w:val="063050BA"/>
    <w:rsid w:val="065F30B4"/>
    <w:rsid w:val="066B22B0"/>
    <w:rsid w:val="06B1491D"/>
    <w:rsid w:val="06FC6B58"/>
    <w:rsid w:val="073E3F98"/>
    <w:rsid w:val="078761D7"/>
    <w:rsid w:val="07895A92"/>
    <w:rsid w:val="078D3A1F"/>
    <w:rsid w:val="093555D0"/>
    <w:rsid w:val="09C94AB7"/>
    <w:rsid w:val="0A2763AD"/>
    <w:rsid w:val="0A392343"/>
    <w:rsid w:val="0ABE30B5"/>
    <w:rsid w:val="0AE20526"/>
    <w:rsid w:val="0AFD0EBC"/>
    <w:rsid w:val="0B37485F"/>
    <w:rsid w:val="0B683CDE"/>
    <w:rsid w:val="0B917393"/>
    <w:rsid w:val="0BAB48FD"/>
    <w:rsid w:val="0BF05890"/>
    <w:rsid w:val="0CDC0FDD"/>
    <w:rsid w:val="0D7114A6"/>
    <w:rsid w:val="0DE6032D"/>
    <w:rsid w:val="0E2EF3BC"/>
    <w:rsid w:val="0E653621"/>
    <w:rsid w:val="0E81551F"/>
    <w:rsid w:val="0EFA4D2B"/>
    <w:rsid w:val="0F296723"/>
    <w:rsid w:val="0FD013F3"/>
    <w:rsid w:val="103026FD"/>
    <w:rsid w:val="10944070"/>
    <w:rsid w:val="10C4382B"/>
    <w:rsid w:val="10D12FA9"/>
    <w:rsid w:val="118916FB"/>
    <w:rsid w:val="11A11443"/>
    <w:rsid w:val="123C0533"/>
    <w:rsid w:val="13432D1C"/>
    <w:rsid w:val="134D0507"/>
    <w:rsid w:val="13FA41EA"/>
    <w:rsid w:val="14276011"/>
    <w:rsid w:val="149671C2"/>
    <w:rsid w:val="14A656DE"/>
    <w:rsid w:val="14C5728E"/>
    <w:rsid w:val="14CB142B"/>
    <w:rsid w:val="15AA1760"/>
    <w:rsid w:val="16797F90"/>
    <w:rsid w:val="177E008F"/>
    <w:rsid w:val="178C6AE7"/>
    <w:rsid w:val="180C7F98"/>
    <w:rsid w:val="18431A11"/>
    <w:rsid w:val="186146C9"/>
    <w:rsid w:val="18691B45"/>
    <w:rsid w:val="1A7A361D"/>
    <w:rsid w:val="1B010022"/>
    <w:rsid w:val="1B065B6B"/>
    <w:rsid w:val="1B1F51DA"/>
    <w:rsid w:val="1B943177"/>
    <w:rsid w:val="1CB41354"/>
    <w:rsid w:val="1CE04199"/>
    <w:rsid w:val="1D0E51AB"/>
    <w:rsid w:val="1D3D13F5"/>
    <w:rsid w:val="1D9568BF"/>
    <w:rsid w:val="1DB65EEF"/>
    <w:rsid w:val="1DBC468C"/>
    <w:rsid w:val="1E285121"/>
    <w:rsid w:val="1E425765"/>
    <w:rsid w:val="1E4F157F"/>
    <w:rsid w:val="1F572E39"/>
    <w:rsid w:val="1F681AAE"/>
    <w:rsid w:val="1F6F425A"/>
    <w:rsid w:val="1F7D4D1A"/>
    <w:rsid w:val="1F7F910B"/>
    <w:rsid w:val="1FFB2364"/>
    <w:rsid w:val="208C08C0"/>
    <w:rsid w:val="20C5683A"/>
    <w:rsid w:val="210448FA"/>
    <w:rsid w:val="21B9784C"/>
    <w:rsid w:val="22A91AE4"/>
    <w:rsid w:val="22AC349C"/>
    <w:rsid w:val="2423055F"/>
    <w:rsid w:val="242330D3"/>
    <w:rsid w:val="245711E5"/>
    <w:rsid w:val="247749FB"/>
    <w:rsid w:val="247D1E58"/>
    <w:rsid w:val="24DA203D"/>
    <w:rsid w:val="252F683D"/>
    <w:rsid w:val="25AA68F3"/>
    <w:rsid w:val="25E32352"/>
    <w:rsid w:val="26155209"/>
    <w:rsid w:val="26B71E80"/>
    <w:rsid w:val="26ED4A31"/>
    <w:rsid w:val="27041BFB"/>
    <w:rsid w:val="27537CF7"/>
    <w:rsid w:val="279F65D1"/>
    <w:rsid w:val="27A75FE0"/>
    <w:rsid w:val="28D0107B"/>
    <w:rsid w:val="298962E5"/>
    <w:rsid w:val="2A6308E4"/>
    <w:rsid w:val="2AC035DC"/>
    <w:rsid w:val="2ACF41CB"/>
    <w:rsid w:val="2BDB26FC"/>
    <w:rsid w:val="2CD4365A"/>
    <w:rsid w:val="2CF67E1D"/>
    <w:rsid w:val="2D316324"/>
    <w:rsid w:val="2D6C39C1"/>
    <w:rsid w:val="2D8172D3"/>
    <w:rsid w:val="2DD1437F"/>
    <w:rsid w:val="2F5702EB"/>
    <w:rsid w:val="30A9726C"/>
    <w:rsid w:val="30FA7AC8"/>
    <w:rsid w:val="310E70CF"/>
    <w:rsid w:val="317715A3"/>
    <w:rsid w:val="318536C5"/>
    <w:rsid w:val="31B62868"/>
    <w:rsid w:val="32066801"/>
    <w:rsid w:val="32090C24"/>
    <w:rsid w:val="33370B5F"/>
    <w:rsid w:val="33707B73"/>
    <w:rsid w:val="337870E7"/>
    <w:rsid w:val="337A6C9E"/>
    <w:rsid w:val="339935C8"/>
    <w:rsid w:val="33994426"/>
    <w:rsid w:val="33A60511"/>
    <w:rsid w:val="33FC7554"/>
    <w:rsid w:val="345E5E9B"/>
    <w:rsid w:val="34715675"/>
    <w:rsid w:val="34846778"/>
    <w:rsid w:val="34B61CCD"/>
    <w:rsid w:val="35C940F6"/>
    <w:rsid w:val="35DF2CF0"/>
    <w:rsid w:val="36313714"/>
    <w:rsid w:val="36453593"/>
    <w:rsid w:val="37166CDE"/>
    <w:rsid w:val="371A1BEB"/>
    <w:rsid w:val="37605E71"/>
    <w:rsid w:val="3929719C"/>
    <w:rsid w:val="39B50DC2"/>
    <w:rsid w:val="39DC01CA"/>
    <w:rsid w:val="39F71049"/>
    <w:rsid w:val="3A053765"/>
    <w:rsid w:val="3A2843E4"/>
    <w:rsid w:val="3A43428E"/>
    <w:rsid w:val="3AC33028"/>
    <w:rsid w:val="3B04741B"/>
    <w:rsid w:val="3B147FDE"/>
    <w:rsid w:val="3BAC19BF"/>
    <w:rsid w:val="3C017B83"/>
    <w:rsid w:val="3C5C5E44"/>
    <w:rsid w:val="3CA414C6"/>
    <w:rsid w:val="3CFB0E50"/>
    <w:rsid w:val="3D3E0D3C"/>
    <w:rsid w:val="3D6F6D49"/>
    <w:rsid w:val="3D9000B9"/>
    <w:rsid w:val="3DCB6A74"/>
    <w:rsid w:val="3DFD4754"/>
    <w:rsid w:val="3E105DAB"/>
    <w:rsid w:val="3E920F90"/>
    <w:rsid w:val="3E926BAB"/>
    <w:rsid w:val="3EB05508"/>
    <w:rsid w:val="3EED47C8"/>
    <w:rsid w:val="3EF61F4F"/>
    <w:rsid w:val="3F0D4E6A"/>
    <w:rsid w:val="3FD046A9"/>
    <w:rsid w:val="402C0C28"/>
    <w:rsid w:val="40325807"/>
    <w:rsid w:val="40420E03"/>
    <w:rsid w:val="40546965"/>
    <w:rsid w:val="40BF2194"/>
    <w:rsid w:val="411E2EC7"/>
    <w:rsid w:val="4176520B"/>
    <w:rsid w:val="41A924CD"/>
    <w:rsid w:val="41C30093"/>
    <w:rsid w:val="42073DF3"/>
    <w:rsid w:val="42733236"/>
    <w:rsid w:val="42A61B98"/>
    <w:rsid w:val="42E103B8"/>
    <w:rsid w:val="42E46002"/>
    <w:rsid w:val="431E31A2"/>
    <w:rsid w:val="43BB7819"/>
    <w:rsid w:val="43C024AB"/>
    <w:rsid w:val="441C6812"/>
    <w:rsid w:val="446F2A7E"/>
    <w:rsid w:val="45617644"/>
    <w:rsid w:val="45F227C3"/>
    <w:rsid w:val="470840C9"/>
    <w:rsid w:val="473F7648"/>
    <w:rsid w:val="477F442B"/>
    <w:rsid w:val="47CF53B3"/>
    <w:rsid w:val="47D817FE"/>
    <w:rsid w:val="47EC7D13"/>
    <w:rsid w:val="47FF698D"/>
    <w:rsid w:val="48AD6E5F"/>
    <w:rsid w:val="49462F85"/>
    <w:rsid w:val="49971F00"/>
    <w:rsid w:val="49B37AF6"/>
    <w:rsid w:val="49D552BF"/>
    <w:rsid w:val="49E5170E"/>
    <w:rsid w:val="49F337AF"/>
    <w:rsid w:val="4A0D48A8"/>
    <w:rsid w:val="4A8A62E2"/>
    <w:rsid w:val="4AC13B3F"/>
    <w:rsid w:val="4ADB30B3"/>
    <w:rsid w:val="4BCD7E5B"/>
    <w:rsid w:val="4C30245F"/>
    <w:rsid w:val="4C431F90"/>
    <w:rsid w:val="4C5446C5"/>
    <w:rsid w:val="4D3E3638"/>
    <w:rsid w:val="4EAE109E"/>
    <w:rsid w:val="4EDC1D7B"/>
    <w:rsid w:val="4F6D6302"/>
    <w:rsid w:val="4F6E1485"/>
    <w:rsid w:val="4F993A9D"/>
    <w:rsid w:val="4FEE1EAF"/>
    <w:rsid w:val="50192C46"/>
    <w:rsid w:val="5019541D"/>
    <w:rsid w:val="506F7733"/>
    <w:rsid w:val="5128119B"/>
    <w:rsid w:val="519E3DF4"/>
    <w:rsid w:val="51C0381F"/>
    <w:rsid w:val="51FA7CAD"/>
    <w:rsid w:val="52000189"/>
    <w:rsid w:val="52194C6B"/>
    <w:rsid w:val="532C6CD6"/>
    <w:rsid w:val="53861423"/>
    <w:rsid w:val="53D2363F"/>
    <w:rsid w:val="54041F40"/>
    <w:rsid w:val="542465CB"/>
    <w:rsid w:val="5440577E"/>
    <w:rsid w:val="546A42C5"/>
    <w:rsid w:val="54EA4070"/>
    <w:rsid w:val="55F864E9"/>
    <w:rsid w:val="55FD4A17"/>
    <w:rsid w:val="55FF08D9"/>
    <w:rsid w:val="564F3020"/>
    <w:rsid w:val="56606DC6"/>
    <w:rsid w:val="56931CA9"/>
    <w:rsid w:val="56A928C5"/>
    <w:rsid w:val="57E171D9"/>
    <w:rsid w:val="58125520"/>
    <w:rsid w:val="58BB48C8"/>
    <w:rsid w:val="5B5C4D58"/>
    <w:rsid w:val="5B68187B"/>
    <w:rsid w:val="5BB274F1"/>
    <w:rsid w:val="5CB52971"/>
    <w:rsid w:val="5D844320"/>
    <w:rsid w:val="5DF92ED0"/>
    <w:rsid w:val="5E421FE3"/>
    <w:rsid w:val="5E6C3504"/>
    <w:rsid w:val="5ED74D42"/>
    <w:rsid w:val="5F0A29BB"/>
    <w:rsid w:val="5F1E3940"/>
    <w:rsid w:val="5F264BA0"/>
    <w:rsid w:val="5F6F3D2D"/>
    <w:rsid w:val="5F785919"/>
    <w:rsid w:val="5FC475C3"/>
    <w:rsid w:val="603C558D"/>
    <w:rsid w:val="6083496C"/>
    <w:rsid w:val="60BD381C"/>
    <w:rsid w:val="612745C0"/>
    <w:rsid w:val="613F7CC2"/>
    <w:rsid w:val="61F8244A"/>
    <w:rsid w:val="6223471B"/>
    <w:rsid w:val="623E51B7"/>
    <w:rsid w:val="629912B7"/>
    <w:rsid w:val="629C7683"/>
    <w:rsid w:val="62C27B96"/>
    <w:rsid w:val="630F739D"/>
    <w:rsid w:val="637D5149"/>
    <w:rsid w:val="637F6EE9"/>
    <w:rsid w:val="63AF0C1D"/>
    <w:rsid w:val="63BA261B"/>
    <w:rsid w:val="63FF1670"/>
    <w:rsid w:val="647614C2"/>
    <w:rsid w:val="65590BCD"/>
    <w:rsid w:val="65834337"/>
    <w:rsid w:val="66882EA5"/>
    <w:rsid w:val="66AE2D81"/>
    <w:rsid w:val="67255BAE"/>
    <w:rsid w:val="67487AF8"/>
    <w:rsid w:val="67705E13"/>
    <w:rsid w:val="677FC6B8"/>
    <w:rsid w:val="679B09B6"/>
    <w:rsid w:val="680A0702"/>
    <w:rsid w:val="685F66EA"/>
    <w:rsid w:val="69512AEE"/>
    <w:rsid w:val="6A1126B4"/>
    <w:rsid w:val="6BDD77EF"/>
    <w:rsid w:val="6BE10D31"/>
    <w:rsid w:val="6C951164"/>
    <w:rsid w:val="6CD137EF"/>
    <w:rsid w:val="6D934AB3"/>
    <w:rsid w:val="6EA26388"/>
    <w:rsid w:val="6F0C2ABA"/>
    <w:rsid w:val="6FB72105"/>
    <w:rsid w:val="6FB801B6"/>
    <w:rsid w:val="71B25DFA"/>
    <w:rsid w:val="71B26DB0"/>
    <w:rsid w:val="71C43FD8"/>
    <w:rsid w:val="71F65A94"/>
    <w:rsid w:val="722C2936"/>
    <w:rsid w:val="722D4AB3"/>
    <w:rsid w:val="72760635"/>
    <w:rsid w:val="72C83167"/>
    <w:rsid w:val="731C29AB"/>
    <w:rsid w:val="733E5795"/>
    <w:rsid w:val="735F4B4E"/>
    <w:rsid w:val="737248AC"/>
    <w:rsid w:val="738357A3"/>
    <w:rsid w:val="73A26FDA"/>
    <w:rsid w:val="745942EE"/>
    <w:rsid w:val="75AC49BA"/>
    <w:rsid w:val="75B72C09"/>
    <w:rsid w:val="76CA4427"/>
    <w:rsid w:val="77796444"/>
    <w:rsid w:val="77D7DC68"/>
    <w:rsid w:val="7862793A"/>
    <w:rsid w:val="78F41CD4"/>
    <w:rsid w:val="79134850"/>
    <w:rsid w:val="795135CA"/>
    <w:rsid w:val="7951761B"/>
    <w:rsid w:val="79DDD5E3"/>
    <w:rsid w:val="7A095340"/>
    <w:rsid w:val="7A721A4A"/>
    <w:rsid w:val="7AA17C39"/>
    <w:rsid w:val="7AB83655"/>
    <w:rsid w:val="7B3B2338"/>
    <w:rsid w:val="7B474C85"/>
    <w:rsid w:val="7BB60A1C"/>
    <w:rsid w:val="7BB73ED8"/>
    <w:rsid w:val="7BC22AEF"/>
    <w:rsid w:val="7BFD5343"/>
    <w:rsid w:val="7C4043BE"/>
    <w:rsid w:val="7C4B4301"/>
    <w:rsid w:val="7C66698D"/>
    <w:rsid w:val="7CEF804E"/>
    <w:rsid w:val="7CFF1148"/>
    <w:rsid w:val="7D2A1231"/>
    <w:rsid w:val="7D473C75"/>
    <w:rsid w:val="7D8340B5"/>
    <w:rsid w:val="7DBF4FA6"/>
    <w:rsid w:val="7DC11F98"/>
    <w:rsid w:val="7DDF0F58"/>
    <w:rsid w:val="7E1A18AF"/>
    <w:rsid w:val="7E6671D0"/>
    <w:rsid w:val="7EA550CF"/>
    <w:rsid w:val="7EEF57CB"/>
    <w:rsid w:val="7EFD07A1"/>
    <w:rsid w:val="7FC20D7E"/>
    <w:rsid w:val="9FC77E48"/>
    <w:rsid w:val="D55F07D8"/>
    <w:rsid w:val="EFEFF2C2"/>
    <w:rsid w:val="FDFEF7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2"/>
      <w:lang w:val="en-US" w:eastAsia="zh-CN" w:bidi="ar-SA"/>
    </w:rPr>
  </w:style>
  <w:style w:type="paragraph" w:styleId="3">
    <w:name w:val="heading 1"/>
    <w:basedOn w:val="4"/>
    <w:next w:val="5"/>
    <w:link w:val="34"/>
    <w:qFormat/>
    <w:uiPriority w:val="0"/>
    <w:pPr>
      <w:spacing w:before="100" w:beforeAutospacing="1" w:after="100" w:afterAutospacing="1"/>
      <w:jc w:val="left"/>
      <w:outlineLvl w:val="0"/>
    </w:pPr>
    <w:rPr>
      <w:rFonts w:hint="eastAsia"/>
      <w:kern w:val="44"/>
      <w:sz w:val="48"/>
      <w:szCs w:val="4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8">
    <w:name w:val="heading 3"/>
    <w:basedOn w:val="1"/>
    <w:next w:val="1"/>
    <w:qFormat/>
    <w:uiPriority w:val="0"/>
    <w:pPr>
      <w:widowControl/>
      <w:spacing w:before="100" w:beforeAutospacing="1" w:after="100" w:afterAutospacing="1"/>
      <w:jc w:val="left"/>
      <w:outlineLvl w:val="2"/>
    </w:pPr>
    <w:rPr>
      <w:kern w:val="0"/>
      <w:sz w:val="27"/>
      <w:szCs w:val="27"/>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Title"/>
    <w:basedOn w:val="1"/>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rPr>
      <w:rFonts w:ascii="Times New Roman" w:hAnsi="Times New Roman"/>
    </w:rPr>
  </w:style>
  <w:style w:type="paragraph" w:styleId="6">
    <w:name w:val="Body Text"/>
    <w:basedOn w:val="1"/>
    <w:next w:val="1"/>
    <w:unhideWhenUsed/>
    <w:qFormat/>
    <w:uiPriority w:val="99"/>
    <w:pPr>
      <w:spacing w:after="120"/>
    </w:pPr>
    <w:rPr>
      <w:rFonts w:ascii="Calibri" w:hAnsi="Calibri"/>
      <w:kern w:val="0"/>
      <w:sz w:val="20"/>
      <w:szCs w:val="20"/>
    </w:rPr>
  </w:style>
  <w:style w:type="paragraph" w:styleId="9">
    <w:name w:val="Normal Indent"/>
    <w:basedOn w:val="1"/>
    <w:qFormat/>
    <w:uiPriority w:val="0"/>
    <w:pPr>
      <w:ind w:firstLine="420" w:firstLineChars="200"/>
    </w:pPr>
  </w:style>
  <w:style w:type="paragraph" w:styleId="10">
    <w:name w:val="annotation text"/>
    <w:basedOn w:val="1"/>
    <w:link w:val="35"/>
    <w:unhideWhenUsed/>
    <w:qFormat/>
    <w:uiPriority w:val="99"/>
    <w:pPr>
      <w:jc w:val="left"/>
    </w:pPr>
    <w:rPr>
      <w:rFonts w:ascii="Calibri" w:hAnsi="Calibri"/>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eastAsia="宋体" w:cs="Times New Roman"/>
      <w:szCs w:val="24"/>
      <w:lang w:bidi="ar-SA"/>
    </w:rPr>
  </w:style>
  <w:style w:type="paragraph" w:styleId="13">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4">
    <w:name w:val="Plain Text"/>
    <w:basedOn w:val="1"/>
    <w:next w:val="1"/>
    <w:qFormat/>
    <w:uiPriority w:val="0"/>
    <w:rPr>
      <w:rFonts w:hAnsi="Courier New"/>
      <w:kern w:val="0"/>
      <w:sz w:val="20"/>
      <w:szCs w:val="20"/>
    </w:rPr>
  </w:style>
  <w:style w:type="paragraph" w:styleId="15">
    <w:name w:val="Date"/>
    <w:basedOn w:val="1"/>
    <w:next w:val="1"/>
    <w:qFormat/>
    <w:uiPriority w:val="0"/>
    <w:rPr>
      <w:rFonts w:ascii="Times New Roman" w:hAnsi="Times New Roman"/>
      <w:kern w:val="0"/>
      <w:sz w:val="20"/>
      <w:szCs w:val="20"/>
    </w:rPr>
  </w:style>
  <w:style w:type="paragraph" w:styleId="16">
    <w:name w:val="endnote text"/>
    <w:basedOn w:val="1"/>
    <w:link w:val="36"/>
    <w:qFormat/>
    <w:uiPriority w:val="0"/>
    <w:pPr>
      <w:snapToGrid w:val="0"/>
      <w:jc w:val="left"/>
    </w:pPr>
    <w:rPr>
      <w:rFonts w:ascii="Times New Roman" w:hAnsi="Times New Roman" w:eastAsia="等线" w:cs="Times New Roman"/>
      <w:kern w:val="0"/>
      <w:sz w:val="20"/>
      <w:szCs w:val="20"/>
    </w:rPr>
  </w:style>
  <w:style w:type="paragraph" w:styleId="17">
    <w:name w:val="Balloon Text"/>
    <w:basedOn w:val="1"/>
    <w:link w:val="37"/>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2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2">
    <w:name w:val="Body Text 2"/>
    <w:basedOn w:val="1"/>
    <w:qFormat/>
    <w:uiPriority w:val="0"/>
    <w:rPr>
      <w:kern w:val="0"/>
      <w:sz w:val="20"/>
      <w:szCs w:val="24"/>
      <w:u w:val="single"/>
    </w:rPr>
  </w:style>
  <w:style w:type="paragraph" w:styleId="23">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5">
    <w:name w:val="index 1"/>
    <w:basedOn w:val="1"/>
    <w:next w:val="1"/>
    <w:qFormat/>
    <w:uiPriority w:val="0"/>
    <w:rPr>
      <w:rFonts w:ascii="Times New Roman" w:hAnsi="Times New Roman" w:eastAsia="仿宋_GB2312"/>
      <w:sz w:val="28"/>
      <w:szCs w:val="20"/>
    </w:rPr>
  </w:style>
  <w:style w:type="paragraph" w:styleId="26">
    <w:name w:val="annotation subject"/>
    <w:basedOn w:val="10"/>
    <w:next w:val="10"/>
    <w:link w:val="38"/>
    <w:qFormat/>
    <w:uiPriority w:val="0"/>
    <w:rPr>
      <w:rFonts w:ascii="宋体" w:hAnsi="宋体"/>
      <w:b/>
      <w:bCs/>
    </w:rPr>
  </w:style>
  <w:style w:type="paragraph" w:styleId="27">
    <w:name w:val="Body Text First Indent 2"/>
    <w:basedOn w:val="11"/>
    <w:qFormat/>
    <w:uiPriority w:val="0"/>
    <w:pPr>
      <w:ind w:firstLine="420" w:firstLineChars="200"/>
    </w:pPr>
  </w:style>
  <w:style w:type="character" w:styleId="30">
    <w:name w:val="Strong"/>
    <w:qFormat/>
    <w:uiPriority w:val="0"/>
    <w:rPr>
      <w:b/>
    </w:rPr>
  </w:style>
  <w:style w:type="character" w:styleId="31">
    <w:name w:val="page number"/>
    <w:qFormat/>
    <w:uiPriority w:val="0"/>
    <w:rPr>
      <w:rFonts w:cs="Times New Roman"/>
    </w:rPr>
  </w:style>
  <w:style w:type="character" w:styleId="32">
    <w:name w:val="Hyperlink"/>
    <w:unhideWhenUsed/>
    <w:qFormat/>
    <w:uiPriority w:val="99"/>
    <w:rPr>
      <w:color w:val="000000"/>
      <w:u w:val="none"/>
    </w:rPr>
  </w:style>
  <w:style w:type="character" w:styleId="33">
    <w:name w:val="annotation reference"/>
    <w:qFormat/>
    <w:uiPriority w:val="0"/>
    <w:rPr>
      <w:sz w:val="21"/>
      <w:szCs w:val="21"/>
    </w:rPr>
  </w:style>
  <w:style w:type="character" w:customStyle="1" w:styleId="34">
    <w:name w:val="标题 1 字符1"/>
    <w:link w:val="3"/>
    <w:qFormat/>
    <w:uiPriority w:val="0"/>
    <w:rPr>
      <w:rFonts w:ascii="宋体" w:hAnsi="宋体" w:eastAsia="宋体" w:cs="宋体"/>
      <w:b/>
      <w:kern w:val="44"/>
      <w:sz w:val="28"/>
      <w:szCs w:val="28"/>
    </w:rPr>
  </w:style>
  <w:style w:type="character" w:customStyle="1" w:styleId="35">
    <w:name w:val="批注文字 字符"/>
    <w:link w:val="10"/>
    <w:qFormat/>
    <w:uiPriority w:val="99"/>
    <w:rPr>
      <w:kern w:val="2"/>
      <w:sz w:val="21"/>
      <w:szCs w:val="22"/>
    </w:rPr>
  </w:style>
  <w:style w:type="character" w:customStyle="1" w:styleId="36">
    <w:name w:val="尾注文本 字符"/>
    <w:link w:val="16"/>
    <w:qFormat/>
    <w:uiPriority w:val="0"/>
    <w:rPr>
      <w:rFonts w:eastAsia="等线"/>
    </w:rPr>
  </w:style>
  <w:style w:type="character" w:customStyle="1" w:styleId="37">
    <w:name w:val="批注框文本 字符"/>
    <w:link w:val="17"/>
    <w:qFormat/>
    <w:uiPriority w:val="0"/>
    <w:rPr>
      <w:rFonts w:ascii="宋体" w:hAnsi="宋体"/>
      <w:kern w:val="2"/>
      <w:sz w:val="18"/>
      <w:szCs w:val="18"/>
    </w:rPr>
  </w:style>
  <w:style w:type="character" w:customStyle="1" w:styleId="38">
    <w:name w:val="批注主题 字符"/>
    <w:link w:val="26"/>
    <w:qFormat/>
    <w:uiPriority w:val="0"/>
    <w:rPr>
      <w:rFonts w:ascii="宋体" w:hAnsi="宋体"/>
      <w:b/>
      <w:bCs/>
      <w:kern w:val="2"/>
      <w:sz w:val="21"/>
      <w:szCs w:val="22"/>
    </w:rPr>
  </w:style>
  <w:style w:type="character" w:customStyle="1" w:styleId="39">
    <w:name w:val="font11"/>
    <w:qFormat/>
    <w:uiPriority w:val="0"/>
    <w:rPr>
      <w:rFonts w:hint="eastAsia" w:ascii="宋体" w:hAnsi="宋体" w:eastAsia="宋体"/>
      <w:color w:val="000000"/>
      <w:sz w:val="24"/>
      <w:szCs w:val="24"/>
      <w:u w:val="single"/>
    </w:rPr>
  </w:style>
  <w:style w:type="character" w:customStyle="1" w:styleId="40">
    <w:name w:val="font51"/>
    <w:qFormat/>
    <w:uiPriority w:val="0"/>
    <w:rPr>
      <w:rFonts w:hint="eastAsia" w:ascii="宋体" w:hAnsi="宋体" w:eastAsia="宋体" w:cs="宋体"/>
      <w:color w:val="000000"/>
      <w:sz w:val="20"/>
      <w:szCs w:val="20"/>
      <w:u w:val="none"/>
    </w:rPr>
  </w:style>
  <w:style w:type="character" w:customStyle="1" w:styleId="41">
    <w:name w:val="font71"/>
    <w:qFormat/>
    <w:uiPriority w:val="0"/>
    <w:rPr>
      <w:rFonts w:hint="eastAsia" w:ascii="宋体" w:hAnsi="宋体" w:eastAsia="宋体" w:cs="宋体"/>
      <w:color w:val="000000"/>
      <w:sz w:val="20"/>
      <w:szCs w:val="20"/>
      <w:u w:val="none"/>
    </w:rPr>
  </w:style>
  <w:style w:type="character" w:customStyle="1" w:styleId="42">
    <w:name w:val="NormalCharacter"/>
    <w:qFormat/>
    <w:uiPriority w:val="0"/>
  </w:style>
  <w:style w:type="character" w:customStyle="1" w:styleId="43">
    <w:name w:val="font01"/>
    <w:qFormat/>
    <w:uiPriority w:val="0"/>
    <w:rPr>
      <w:rFonts w:hint="eastAsia" w:ascii="仿宋" w:hAnsi="仿宋" w:eastAsia="仿宋" w:cs="仿宋"/>
      <w:color w:val="000000"/>
      <w:sz w:val="28"/>
      <w:szCs w:val="28"/>
      <w:u w:val="none"/>
    </w:rPr>
  </w:style>
  <w:style w:type="character" w:customStyle="1" w:styleId="44">
    <w:name w:val="标题 1 字符"/>
    <w:qFormat/>
    <w:uiPriority w:val="0"/>
    <w:rPr>
      <w:rFonts w:hint="eastAsia"/>
      <w:b/>
      <w:kern w:val="44"/>
      <w:sz w:val="48"/>
      <w:szCs w:val="48"/>
    </w:rPr>
  </w:style>
  <w:style w:type="paragraph" w:customStyle="1" w:styleId="45">
    <w:name w:val="修订1"/>
    <w:unhideWhenUsed/>
    <w:qFormat/>
    <w:uiPriority w:val="99"/>
    <w:rPr>
      <w:rFonts w:ascii="宋体" w:hAnsi="宋体" w:eastAsia="宋体" w:cs="Times New Roman"/>
      <w:kern w:val="2"/>
      <w:sz w:val="21"/>
      <w:szCs w:val="22"/>
      <w:lang w:val="en-US" w:eastAsia="zh-CN" w:bidi="ar-SA"/>
    </w:rPr>
  </w:style>
  <w:style w:type="paragraph" w:customStyle="1" w:styleId="46">
    <w:name w:val="Char Char Char Char"/>
    <w:basedOn w:val="1"/>
    <w:qFormat/>
    <w:uiPriority w:val="0"/>
    <w:rPr>
      <w:rFonts w:ascii="Times New Roman" w:hAnsi="Times New Roman"/>
      <w:sz w:val="30"/>
      <w:szCs w:val="24"/>
    </w:rPr>
  </w:style>
  <w:style w:type="paragraph" w:customStyle="1" w:styleId="47">
    <w:name w:val="正题"/>
    <w:basedOn w:val="48"/>
    <w:next w:val="48"/>
    <w:qFormat/>
    <w:uiPriority w:val="0"/>
    <w:pPr>
      <w:ind w:firstLine="0" w:firstLineChars="0"/>
      <w:jc w:val="center"/>
    </w:pPr>
    <w:rPr>
      <w:rFonts w:eastAsia="黑体"/>
      <w:b/>
      <w:sz w:val="36"/>
      <w:szCs w:val="36"/>
    </w:rPr>
  </w:style>
  <w:style w:type="paragraph" w:customStyle="1" w:styleId="48">
    <w:name w:val="文一"/>
    <w:basedOn w:val="1"/>
    <w:qFormat/>
    <w:uiPriority w:val="0"/>
    <w:pPr>
      <w:topLinePunct/>
      <w:adjustRightInd w:val="0"/>
      <w:snapToGrid w:val="0"/>
      <w:spacing w:line="360" w:lineRule="auto"/>
      <w:ind w:firstLine="200" w:firstLineChars="200"/>
    </w:pPr>
    <w:rPr>
      <w:rFonts w:hint="eastAsia"/>
      <w:snapToGrid w:val="0"/>
      <w:spacing w:val="4"/>
      <w:kern w:val="0"/>
      <w:sz w:val="24"/>
      <w:szCs w:val="24"/>
    </w:rPr>
  </w:style>
  <w:style w:type="paragraph" w:customStyle="1" w:styleId="49">
    <w:name w:val="封一"/>
    <w:basedOn w:val="48"/>
    <w:next w:val="48"/>
    <w:qFormat/>
    <w:uiPriority w:val="0"/>
    <w:pPr>
      <w:ind w:firstLine="0" w:firstLineChars="0"/>
      <w:jc w:val="center"/>
    </w:pPr>
    <w:rPr>
      <w:rFonts w:ascii="Times New Roman" w:hAnsi="Times New Roman" w:eastAsia="黑体"/>
      <w:b/>
      <w:sz w:val="84"/>
      <w:szCs w:val="84"/>
    </w:rPr>
  </w:style>
  <w:style w:type="paragraph" w:customStyle="1" w:styleId="50">
    <w:name w:val="BodyText"/>
    <w:basedOn w:val="1"/>
    <w:qFormat/>
    <w:uiPriority w:val="0"/>
    <w:pPr>
      <w:spacing w:after="120"/>
    </w:pPr>
    <w:rPr>
      <w:rFonts w:ascii="Times New Roman" w:hAnsi="Times New Roman"/>
      <w:kern w:val="0"/>
      <w:sz w:val="20"/>
      <w:szCs w:val="20"/>
    </w:rPr>
  </w:style>
  <w:style w:type="paragraph" w:customStyle="1" w:styleId="51">
    <w:name w:val="表头"/>
    <w:basedOn w:val="1"/>
    <w:qFormat/>
    <w:uiPriority w:val="0"/>
    <w:pPr>
      <w:spacing w:line="360" w:lineRule="auto"/>
      <w:jc w:val="center"/>
    </w:pPr>
    <w:rPr>
      <w:rFonts w:ascii="黑体" w:hAnsi="Times New Roman" w:eastAsia="黑体"/>
      <w:kern w:val="0"/>
      <w:sz w:val="24"/>
      <w:szCs w:val="20"/>
    </w:rPr>
  </w:style>
  <w:style w:type="paragraph" w:customStyle="1" w:styleId="52">
    <w:name w:val="正文 New New"/>
    <w:qFormat/>
    <w:uiPriority w:val="0"/>
    <w:pPr>
      <w:widowControl w:val="0"/>
      <w:jc w:val="both"/>
    </w:pPr>
    <w:rPr>
      <w:rFonts w:ascii="Calibri" w:hAnsi="Calibri" w:eastAsia="楷体_GB2312" w:cs="Times New Roman"/>
      <w:lang w:val="en-US" w:eastAsia="zh-CN" w:bidi="ar-SA"/>
    </w:rPr>
  </w:style>
  <w:style w:type="paragraph" w:customStyle="1" w:styleId="53">
    <w:name w:val="文提"/>
    <w:basedOn w:val="48"/>
    <w:qFormat/>
    <w:uiPriority w:val="0"/>
    <w:pPr>
      <w:ind w:firstLine="0" w:firstLineChars="0"/>
    </w:pPr>
    <w:rPr>
      <w:rFonts w:ascii="Times New Roman" w:hAnsi="Times New Roman" w:eastAsia="黑体" w:cs="宋体"/>
      <w:b/>
    </w:rPr>
  </w:style>
  <w:style w:type="paragraph" w:customStyle="1" w:styleId="5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5">
    <w:name w:val="Revision"/>
    <w:semiHidden/>
    <w:qFormat/>
    <w:uiPriority w:val="99"/>
    <w:rPr>
      <w:rFonts w:ascii="宋体" w:hAnsi="宋体" w:eastAsia="宋体" w:cs="Times New Roman"/>
      <w:kern w:val="2"/>
      <w:sz w:val="21"/>
      <w:szCs w:val="22"/>
      <w:lang w:val="en-US" w:eastAsia="zh-CN" w:bidi="ar-SA"/>
    </w:rPr>
  </w:style>
  <w:style w:type="paragraph" w:customStyle="1" w:styleId="56">
    <w:name w:val="正文文本缩进 New New"/>
    <w:basedOn w:val="1"/>
    <w:qFormat/>
    <w:uiPriority w:val="0"/>
    <w:pPr>
      <w:spacing w:after="120"/>
      <w:ind w:left="420" w:leftChars="200"/>
    </w:pPr>
    <w:rPr>
      <w:rFonts w:ascii="Times New Roman" w:eastAsia="楷体_GB2312"/>
      <w:szCs w:val="20"/>
    </w:rPr>
  </w:style>
  <w:style w:type="paragraph" w:customStyle="1" w:styleId="57">
    <w:name w:val="正文5"/>
    <w:qFormat/>
    <w:uiPriority w:val="0"/>
    <w:pPr>
      <w:jc w:val="both"/>
    </w:pPr>
    <w:rPr>
      <w:rFonts w:ascii="Calibri" w:hAnsi="Calibri" w:eastAsia="宋体" w:cs="宋体"/>
      <w:kern w:val="2"/>
      <w:sz w:val="21"/>
      <w:szCs w:val="21"/>
      <w:lang w:val="en-US" w:eastAsia="zh-CN" w:bidi="ar-SA"/>
    </w:rPr>
  </w:style>
  <w:style w:type="paragraph" w:customStyle="1" w:styleId="58">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9">
    <w:name w:val="封二"/>
    <w:basedOn w:val="48"/>
    <w:next w:val="48"/>
    <w:qFormat/>
    <w:uiPriority w:val="0"/>
    <w:pPr>
      <w:ind w:firstLine="0" w:firstLineChars="0"/>
      <w:jc w:val="center"/>
    </w:pPr>
    <w:rPr>
      <w:rFonts w:ascii="Times New Roman" w:hAnsi="Times New Roman" w:eastAsia="黑体"/>
      <w:b/>
      <w:sz w:val="36"/>
      <w:szCs w:val="36"/>
    </w:rPr>
  </w:style>
  <w:style w:type="paragraph" w:styleId="60">
    <w:name w:val="List Paragraph"/>
    <w:basedOn w:val="1"/>
    <w:qFormat/>
    <w:uiPriority w:val="0"/>
    <w:pPr>
      <w:ind w:firstLine="420" w:firstLineChars="200"/>
    </w:pPr>
    <w:rPr>
      <w:rFonts w:ascii="Times New Roman" w:hAnsi="Times New Roman"/>
      <w:szCs w:val="20"/>
    </w:rPr>
  </w:style>
  <w:style w:type="paragraph" w:customStyle="1" w:styleId="61">
    <w:name w:val="修订2"/>
    <w:semiHidden/>
    <w:qFormat/>
    <w:uiPriority w:val="99"/>
    <w:rPr>
      <w:rFonts w:ascii="宋体" w:hAnsi="宋体" w:eastAsia="宋体" w:cs="Times New Roman"/>
      <w:kern w:val="2"/>
      <w:sz w:val="21"/>
      <w:szCs w:val="22"/>
      <w:lang w:val="en-US" w:eastAsia="zh-CN" w:bidi="ar-SA"/>
    </w:rPr>
  </w:style>
  <w:style w:type="paragraph" w:customStyle="1" w:styleId="62">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63">
    <w:name w:val="封四"/>
    <w:basedOn w:val="48"/>
    <w:next w:val="48"/>
    <w:qFormat/>
    <w:uiPriority w:val="0"/>
    <w:pPr>
      <w:jc w:val="left"/>
    </w:pPr>
    <w:rPr>
      <w:rFonts w:ascii="Times New Roman" w:hAnsi="Times New Roman"/>
      <w:sz w:val="30"/>
      <w:szCs w:val="30"/>
    </w:rPr>
  </w:style>
  <w:style w:type="paragraph" w:customStyle="1" w:styleId="64">
    <w:name w:val="文二"/>
    <w:basedOn w:val="1"/>
    <w:qFormat/>
    <w:uiPriority w:val="0"/>
    <w:pPr>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4" textRotate="1"/>
    <customShpInfo spid="_x0000_s1033"/>
    <customShpInfo spid="_x0000_s1035" textRotate="1"/>
    <customShpInfo spid="_x0000_s1036" textRotate="1"/>
    <customShpInfo spid="_x0000_s1037" textRotate="1"/>
    <customShpInfo spid="_x0000_s1038" textRotate="1"/>
    <customShpInfo spid="_x0000_s1039" textRotate="1"/>
    <customShpInfo spid="_x0000_s104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53220</Words>
  <Characters>56097</Characters>
  <Lines>445</Lines>
  <Paragraphs>125</Paragraphs>
  <TotalTime>56</TotalTime>
  <ScaleCrop>false</ScaleCrop>
  <LinksUpToDate>false</LinksUpToDate>
  <CharactersWithSpaces>58761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2023-09-24T11:27:00Z</dcterms:created>
  <dc:creator>Administrator</dc:creator>
  <cp:lastModifiedBy>刘博意</cp:lastModifiedBy>
  <cp:lastPrinted>2024-04-21T04:16:00Z</cp:lastPrinted>
  <dcterms:modified xsi:type="dcterms:W3CDTF">2024-10-16T03:16:18Z</dcterms:modified>
  <dc:title>广州市社会福利院龙洞院区学童楼维修工程项目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4CB63982E822506E628B0867F89319CF</vt:lpwstr>
  </property>
</Properties>
</file>