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56C04">
      <w:pPr>
        <w:rPr>
          <w:b/>
          <w:color w:val="000000"/>
          <w:sz w:val="44"/>
          <w:highlight w:val="none"/>
        </w:rPr>
      </w:pPr>
      <w:bookmarkStart w:id="0" w:name="_Hlk58119901"/>
    </w:p>
    <w:p w14:paraId="75BDA5B3">
      <w:pPr>
        <w:spacing w:line="360" w:lineRule="auto"/>
        <w:jc w:val="center"/>
        <w:rPr>
          <w:rFonts w:ascii="宋体" w:hAnsi="宋体" w:cs="宋体"/>
          <w:b/>
          <w:bCs/>
          <w:sz w:val="44"/>
          <w:szCs w:val="44"/>
          <w:highlight w:val="none"/>
        </w:rPr>
      </w:pPr>
      <w:r>
        <w:rPr>
          <w:rFonts w:hint="eastAsia" w:ascii="宋体" w:hAnsi="宋体" w:cs="宋体"/>
          <w:b/>
          <w:kern w:val="0"/>
          <w:sz w:val="44"/>
          <w:szCs w:val="44"/>
          <w:highlight w:val="none"/>
        </w:rPr>
        <w:t>凯得雪松智汇中心智能化（西地块）工程施工专业承包</w:t>
      </w:r>
    </w:p>
    <w:p w14:paraId="078AB27A">
      <w:pPr>
        <w:spacing w:line="360" w:lineRule="auto"/>
        <w:jc w:val="center"/>
        <w:rPr>
          <w:rFonts w:ascii="宋体" w:hAnsi="宋体" w:cs="宋体"/>
          <w:b/>
          <w:bCs/>
          <w:spacing w:val="26"/>
          <w:sz w:val="72"/>
          <w:szCs w:val="72"/>
          <w:highlight w:val="none"/>
        </w:rPr>
      </w:pPr>
    </w:p>
    <w:p w14:paraId="6EED9BE7">
      <w:pPr>
        <w:spacing w:line="360" w:lineRule="auto"/>
        <w:jc w:val="center"/>
        <w:rPr>
          <w:rFonts w:ascii="宋体" w:hAnsi="宋体" w:cs="宋体"/>
          <w:b/>
          <w:bCs/>
          <w:spacing w:val="26"/>
          <w:sz w:val="72"/>
          <w:szCs w:val="72"/>
          <w:highlight w:val="none"/>
        </w:rPr>
      </w:pPr>
    </w:p>
    <w:p w14:paraId="2C82E5DB">
      <w:pPr>
        <w:spacing w:line="360" w:lineRule="auto"/>
        <w:jc w:val="center"/>
        <w:rPr>
          <w:rFonts w:ascii="宋体" w:hAnsi="宋体" w:cs="宋体"/>
          <w:b/>
          <w:bCs/>
          <w:spacing w:val="26"/>
          <w:sz w:val="72"/>
          <w:szCs w:val="72"/>
          <w:highlight w:val="none"/>
        </w:rPr>
      </w:pPr>
    </w:p>
    <w:p w14:paraId="34B8BCA1">
      <w:pPr>
        <w:spacing w:line="360" w:lineRule="auto"/>
        <w:jc w:val="center"/>
        <w:rPr>
          <w:rFonts w:ascii="宋体" w:hAnsi="宋体" w:cs="宋体"/>
          <w:b/>
          <w:bCs/>
          <w:spacing w:val="26"/>
          <w:sz w:val="72"/>
          <w:szCs w:val="72"/>
          <w:highlight w:val="none"/>
        </w:rPr>
      </w:pPr>
    </w:p>
    <w:p w14:paraId="2E293D90">
      <w:pPr>
        <w:spacing w:line="360" w:lineRule="auto"/>
        <w:jc w:val="center"/>
        <w:rPr>
          <w:rFonts w:ascii="宋体" w:hAnsi="宋体" w:cs="宋体"/>
          <w:b/>
          <w:bCs/>
          <w:spacing w:val="26"/>
          <w:sz w:val="112"/>
          <w:szCs w:val="112"/>
          <w:highlight w:val="none"/>
        </w:rPr>
      </w:pPr>
      <w:r>
        <w:rPr>
          <w:rFonts w:hint="eastAsia" w:ascii="宋体" w:hAnsi="宋体" w:cs="宋体"/>
          <w:b/>
          <w:bCs/>
          <w:spacing w:val="26"/>
          <w:sz w:val="112"/>
          <w:szCs w:val="112"/>
          <w:highlight w:val="none"/>
        </w:rPr>
        <w:t>招标文件</w:t>
      </w:r>
    </w:p>
    <w:p w14:paraId="7F2B8551">
      <w:pPr>
        <w:spacing w:line="360" w:lineRule="auto"/>
        <w:jc w:val="center"/>
        <w:rPr>
          <w:rFonts w:ascii="宋体" w:hAnsi="宋体" w:cs="宋体"/>
          <w:sz w:val="32"/>
          <w:highlight w:val="none"/>
        </w:rPr>
      </w:pPr>
    </w:p>
    <w:p w14:paraId="43A6639F">
      <w:pPr>
        <w:spacing w:line="360" w:lineRule="auto"/>
        <w:ind w:firstLine="2560" w:firstLineChars="800"/>
        <w:rPr>
          <w:rFonts w:ascii="宋体" w:hAnsi="宋体" w:cs="宋体"/>
          <w:sz w:val="32"/>
          <w:highlight w:val="none"/>
        </w:rPr>
      </w:pPr>
    </w:p>
    <w:p w14:paraId="61489384">
      <w:pPr>
        <w:spacing w:line="360" w:lineRule="auto"/>
        <w:rPr>
          <w:rFonts w:ascii="宋体" w:hAnsi="宋体" w:cs="宋体"/>
          <w:sz w:val="52"/>
          <w:highlight w:val="none"/>
        </w:rPr>
      </w:pPr>
    </w:p>
    <w:p w14:paraId="3850171B">
      <w:pPr>
        <w:spacing w:line="360" w:lineRule="auto"/>
        <w:rPr>
          <w:rFonts w:ascii="宋体" w:hAnsi="宋体" w:cs="宋体"/>
          <w:sz w:val="30"/>
          <w:szCs w:val="30"/>
          <w:highlight w:val="none"/>
        </w:rPr>
      </w:pPr>
    </w:p>
    <w:p w14:paraId="73932CB7">
      <w:pPr>
        <w:spacing w:line="360" w:lineRule="auto"/>
        <w:ind w:left="2995" w:leftChars="426" w:hanging="2100" w:hangingChars="700"/>
        <w:rPr>
          <w:rFonts w:ascii="宋体" w:hAnsi="宋体" w:cs="宋体"/>
          <w:sz w:val="30"/>
          <w:szCs w:val="30"/>
          <w:highlight w:val="none"/>
        </w:rPr>
      </w:pPr>
    </w:p>
    <w:p w14:paraId="70275460">
      <w:pPr>
        <w:spacing w:line="360" w:lineRule="auto"/>
        <w:ind w:left="2995" w:leftChars="426" w:hanging="2100" w:hangingChars="700"/>
        <w:rPr>
          <w:rFonts w:ascii="宋体" w:hAnsi="宋体" w:cs="宋体"/>
          <w:sz w:val="30"/>
          <w:szCs w:val="30"/>
          <w:highlight w:val="none"/>
        </w:rPr>
      </w:pPr>
    </w:p>
    <w:p w14:paraId="2FDCD64B">
      <w:pPr>
        <w:pStyle w:val="6"/>
        <w:rPr>
          <w:highlight w:val="none"/>
        </w:rPr>
      </w:pPr>
    </w:p>
    <w:p w14:paraId="4615D8FB">
      <w:pPr>
        <w:rPr>
          <w:highlight w:val="none"/>
        </w:rPr>
      </w:pPr>
    </w:p>
    <w:p w14:paraId="4F31F7F0">
      <w:pPr>
        <w:spacing w:line="360" w:lineRule="auto"/>
        <w:ind w:left="2995" w:leftChars="426" w:hanging="2100" w:hangingChars="700"/>
        <w:rPr>
          <w:rFonts w:ascii="宋体" w:hAnsi="宋体" w:cs="宋体"/>
          <w:sz w:val="30"/>
          <w:szCs w:val="30"/>
          <w:highlight w:val="none"/>
        </w:rPr>
      </w:pPr>
    </w:p>
    <w:p w14:paraId="4B019B76">
      <w:pPr>
        <w:spacing w:line="360" w:lineRule="auto"/>
        <w:jc w:val="center"/>
        <w:outlineLvl w:val="0"/>
        <w:rPr>
          <w:rFonts w:ascii="宋体" w:hAnsi="宋体" w:cs="宋体"/>
          <w:b/>
          <w:bCs/>
          <w:spacing w:val="-2"/>
          <w:sz w:val="30"/>
          <w:szCs w:val="30"/>
          <w:highlight w:val="none"/>
        </w:rPr>
      </w:pPr>
      <w:r>
        <w:rPr>
          <w:rFonts w:hint="eastAsia" w:ascii="宋体" w:hAnsi="宋体" w:cs="宋体"/>
          <w:b/>
          <w:bCs/>
          <w:spacing w:val="-2"/>
          <w:sz w:val="30"/>
          <w:szCs w:val="30"/>
          <w:highlight w:val="none"/>
        </w:rPr>
        <w:t>招标人： 广州松瓴企业管理有限公司</w:t>
      </w:r>
    </w:p>
    <w:p w14:paraId="17B5DF94">
      <w:pPr>
        <w:spacing w:line="360" w:lineRule="auto"/>
        <w:jc w:val="center"/>
        <w:outlineLvl w:val="0"/>
        <w:rPr>
          <w:rFonts w:ascii="宋体" w:hAnsi="宋体" w:cs="宋体"/>
          <w:b/>
          <w:bCs/>
          <w:spacing w:val="-2"/>
          <w:sz w:val="30"/>
          <w:szCs w:val="30"/>
          <w:highlight w:val="none"/>
        </w:rPr>
      </w:pPr>
      <w:r>
        <w:rPr>
          <w:rFonts w:hint="eastAsia" w:ascii="宋体" w:hAnsi="宋体" w:cs="宋体"/>
          <w:b/>
          <w:bCs/>
          <w:spacing w:val="-2"/>
          <w:sz w:val="30"/>
          <w:szCs w:val="30"/>
          <w:highlight w:val="none"/>
        </w:rPr>
        <w:t>招标代理机构：广东粤能工程管理有限公司</w:t>
      </w:r>
    </w:p>
    <w:p w14:paraId="374EDED9">
      <w:pPr>
        <w:pStyle w:val="6"/>
        <w:jc w:val="center"/>
        <w:rPr>
          <w:highlight w:val="none"/>
        </w:rPr>
      </w:pPr>
      <w:r>
        <w:rPr>
          <w:rFonts w:hint="eastAsia" w:ascii="宋体" w:hAnsi="宋体" w:cs="宋体"/>
          <w:b/>
          <w:bCs/>
          <w:spacing w:val="-2"/>
          <w:sz w:val="30"/>
          <w:szCs w:val="30"/>
          <w:highlight w:val="none"/>
        </w:rPr>
        <w:t>日期：2024年10月</w:t>
      </w:r>
    </w:p>
    <w:p w14:paraId="67C7F981">
      <w:pPr>
        <w:pStyle w:val="6"/>
        <w:rPr>
          <w:highlight w:val="none"/>
        </w:rPr>
      </w:pPr>
    </w:p>
    <w:p w14:paraId="7DBBBF6C">
      <w:pPr>
        <w:pStyle w:val="6"/>
        <w:rPr>
          <w:highlight w:val="none"/>
        </w:rPr>
      </w:pPr>
    </w:p>
    <w:bookmarkEnd w:id="0"/>
    <w:p w14:paraId="26AB9237">
      <w:pPr>
        <w:jc w:val="center"/>
        <w:rPr>
          <w:rFonts w:ascii="宋体" w:hAnsi="宋体"/>
          <w:b/>
          <w:caps/>
          <w:color w:val="000000"/>
          <w:kern w:val="0"/>
          <w:sz w:val="44"/>
          <w:szCs w:val="44"/>
          <w:highlight w:val="none"/>
        </w:rPr>
      </w:pPr>
      <w:r>
        <w:rPr>
          <w:rStyle w:val="59"/>
          <w:rFonts w:hint="eastAsia"/>
          <w:b/>
          <w:bCs/>
          <w:color w:val="000000"/>
          <w:sz w:val="44"/>
          <w:szCs w:val="44"/>
          <w:highlight w:val="none"/>
          <w:u w:val="none"/>
        </w:rPr>
        <w:t>目  录</w:t>
      </w:r>
    </w:p>
    <w:p w14:paraId="1F1504C0">
      <w:pPr>
        <w:pStyle w:val="34"/>
        <w:tabs>
          <w:tab w:val="right" w:leader="dot" w:pos="9070"/>
          <w:tab w:val="clear" w:pos="9060"/>
        </w:tabs>
        <w:rPr>
          <w:color w:val="000000"/>
          <w:highlight w:val="none"/>
        </w:rPr>
      </w:pPr>
      <w:r>
        <w:rPr>
          <w:color w:val="000000"/>
          <w:highlight w:val="none"/>
        </w:rPr>
        <w:fldChar w:fldCharType="begin"/>
      </w:r>
      <w:r>
        <w:rPr>
          <w:color w:val="000000"/>
          <w:highlight w:val="none"/>
        </w:rPr>
        <w:instrText xml:space="preserve"> TOC \o "1-3" \h \z \u </w:instrText>
      </w:r>
      <w:r>
        <w:rPr>
          <w:color w:val="000000"/>
          <w:highlight w:val="none"/>
        </w:rPr>
        <w:fldChar w:fldCharType="separate"/>
      </w:r>
      <w:r>
        <w:rPr>
          <w:highlight w:val="none"/>
        </w:rPr>
        <w:fldChar w:fldCharType="begin"/>
      </w:r>
      <w:r>
        <w:rPr>
          <w:highlight w:val="none"/>
        </w:rPr>
        <w:instrText xml:space="preserve"> HYPERLINK \l "_Toc16772" </w:instrText>
      </w:r>
      <w:r>
        <w:rPr>
          <w:highlight w:val="none"/>
        </w:rPr>
        <w:fldChar w:fldCharType="separate"/>
      </w:r>
      <w:r>
        <w:rPr>
          <w:rFonts w:hint="eastAsia"/>
          <w:color w:val="000000"/>
          <w:highlight w:val="none"/>
        </w:rPr>
        <w:t>第一章投标须知</w:t>
      </w:r>
      <w:r>
        <w:rPr>
          <w:color w:val="000000"/>
          <w:highlight w:val="none"/>
        </w:rPr>
        <w:tab/>
      </w:r>
      <w:r>
        <w:rPr>
          <w:color w:val="000000"/>
          <w:highlight w:val="none"/>
        </w:rPr>
        <w:fldChar w:fldCharType="begin"/>
      </w:r>
      <w:r>
        <w:rPr>
          <w:color w:val="000000"/>
          <w:highlight w:val="none"/>
        </w:rPr>
        <w:instrText xml:space="preserve"> PAGEREF _Toc16772 \h </w:instrText>
      </w:r>
      <w:r>
        <w:rPr>
          <w:color w:val="000000"/>
          <w:highlight w:val="none"/>
        </w:rPr>
        <w:fldChar w:fldCharType="separate"/>
      </w:r>
      <w:r>
        <w:rPr>
          <w:color w:val="000000"/>
          <w:highlight w:val="none"/>
        </w:rPr>
        <w:t>3</w:t>
      </w:r>
      <w:r>
        <w:rPr>
          <w:color w:val="000000"/>
          <w:highlight w:val="none"/>
        </w:rPr>
        <w:fldChar w:fldCharType="end"/>
      </w:r>
      <w:r>
        <w:rPr>
          <w:color w:val="000000"/>
          <w:highlight w:val="none"/>
        </w:rPr>
        <w:fldChar w:fldCharType="end"/>
      </w:r>
    </w:p>
    <w:p w14:paraId="0463F925">
      <w:pPr>
        <w:pStyle w:val="42"/>
        <w:tabs>
          <w:tab w:val="right" w:leader="dot" w:pos="9070"/>
          <w:tab w:val="clear" w:pos="9060"/>
        </w:tabs>
        <w:rPr>
          <w:color w:val="000000"/>
          <w:highlight w:val="none"/>
        </w:rPr>
      </w:pPr>
      <w:r>
        <w:rPr>
          <w:highlight w:val="none"/>
        </w:rPr>
        <w:fldChar w:fldCharType="begin"/>
      </w:r>
      <w:r>
        <w:rPr>
          <w:highlight w:val="none"/>
        </w:rPr>
        <w:instrText xml:space="preserve"> HYPERLINK \l "_Toc2525" </w:instrText>
      </w:r>
      <w:r>
        <w:rPr>
          <w:highlight w:val="none"/>
        </w:rPr>
        <w:fldChar w:fldCharType="separate"/>
      </w:r>
      <w:r>
        <w:rPr>
          <w:rFonts w:hint="eastAsia"/>
          <w:color w:val="000000"/>
          <w:highlight w:val="none"/>
        </w:rPr>
        <w:t>一、投标须知前附表</w:t>
      </w:r>
      <w:r>
        <w:rPr>
          <w:color w:val="000000"/>
          <w:highlight w:val="none"/>
        </w:rPr>
        <w:tab/>
      </w:r>
      <w:r>
        <w:rPr>
          <w:color w:val="000000"/>
          <w:highlight w:val="none"/>
        </w:rPr>
        <w:fldChar w:fldCharType="begin"/>
      </w:r>
      <w:r>
        <w:rPr>
          <w:color w:val="000000"/>
          <w:highlight w:val="none"/>
        </w:rPr>
        <w:instrText xml:space="preserve"> PAGEREF _Toc2525 \h </w:instrText>
      </w:r>
      <w:r>
        <w:rPr>
          <w:color w:val="000000"/>
          <w:highlight w:val="none"/>
        </w:rPr>
        <w:fldChar w:fldCharType="separate"/>
      </w:r>
      <w:r>
        <w:rPr>
          <w:color w:val="000000"/>
          <w:highlight w:val="none"/>
        </w:rPr>
        <w:t>3</w:t>
      </w:r>
      <w:r>
        <w:rPr>
          <w:color w:val="000000"/>
          <w:highlight w:val="none"/>
        </w:rPr>
        <w:fldChar w:fldCharType="end"/>
      </w:r>
      <w:r>
        <w:rPr>
          <w:color w:val="000000"/>
          <w:highlight w:val="none"/>
        </w:rPr>
        <w:fldChar w:fldCharType="end"/>
      </w:r>
    </w:p>
    <w:p w14:paraId="0A59A72F">
      <w:pPr>
        <w:pStyle w:val="42"/>
        <w:tabs>
          <w:tab w:val="right" w:leader="dot" w:pos="9070"/>
          <w:tab w:val="clear" w:pos="9060"/>
        </w:tabs>
        <w:rPr>
          <w:color w:val="000000"/>
          <w:highlight w:val="none"/>
        </w:rPr>
      </w:pPr>
      <w:r>
        <w:rPr>
          <w:highlight w:val="none"/>
        </w:rPr>
        <w:fldChar w:fldCharType="begin"/>
      </w:r>
      <w:r>
        <w:rPr>
          <w:highlight w:val="none"/>
        </w:rPr>
        <w:instrText xml:space="preserve"> HYPERLINK \l "_Toc20514" </w:instrText>
      </w:r>
      <w:r>
        <w:rPr>
          <w:highlight w:val="none"/>
        </w:rPr>
        <w:fldChar w:fldCharType="separate"/>
      </w:r>
      <w:r>
        <w:rPr>
          <w:rFonts w:hint="eastAsia"/>
          <w:color w:val="000000"/>
          <w:highlight w:val="none"/>
        </w:rPr>
        <w:t>二、投标须知修改表</w:t>
      </w:r>
      <w:r>
        <w:rPr>
          <w:color w:val="000000"/>
          <w:highlight w:val="none"/>
        </w:rPr>
        <w:tab/>
      </w:r>
      <w:r>
        <w:rPr>
          <w:color w:val="000000"/>
          <w:highlight w:val="none"/>
        </w:rPr>
        <w:fldChar w:fldCharType="begin"/>
      </w:r>
      <w:r>
        <w:rPr>
          <w:color w:val="000000"/>
          <w:highlight w:val="none"/>
        </w:rPr>
        <w:instrText xml:space="preserve"> PAGEREF _Toc20514 \h </w:instrText>
      </w:r>
      <w:r>
        <w:rPr>
          <w:color w:val="000000"/>
          <w:highlight w:val="none"/>
        </w:rPr>
        <w:fldChar w:fldCharType="separate"/>
      </w:r>
      <w:r>
        <w:rPr>
          <w:color w:val="000000"/>
          <w:highlight w:val="none"/>
        </w:rPr>
        <w:t>8</w:t>
      </w:r>
      <w:r>
        <w:rPr>
          <w:color w:val="000000"/>
          <w:highlight w:val="none"/>
        </w:rPr>
        <w:fldChar w:fldCharType="end"/>
      </w:r>
      <w:r>
        <w:rPr>
          <w:color w:val="000000"/>
          <w:highlight w:val="none"/>
        </w:rPr>
        <w:fldChar w:fldCharType="end"/>
      </w:r>
    </w:p>
    <w:p w14:paraId="2C6F6608">
      <w:pPr>
        <w:pStyle w:val="42"/>
        <w:tabs>
          <w:tab w:val="right" w:leader="dot" w:pos="9070"/>
          <w:tab w:val="clear" w:pos="9060"/>
        </w:tabs>
        <w:rPr>
          <w:color w:val="000000"/>
          <w:highlight w:val="none"/>
        </w:rPr>
      </w:pPr>
      <w:r>
        <w:rPr>
          <w:highlight w:val="none"/>
        </w:rPr>
        <w:fldChar w:fldCharType="begin"/>
      </w:r>
      <w:r>
        <w:rPr>
          <w:highlight w:val="none"/>
        </w:rPr>
        <w:instrText xml:space="preserve"> HYPERLINK \l "_Toc25050" </w:instrText>
      </w:r>
      <w:r>
        <w:rPr>
          <w:highlight w:val="none"/>
        </w:rPr>
        <w:fldChar w:fldCharType="separate"/>
      </w:r>
      <w:r>
        <w:rPr>
          <w:rFonts w:hint="eastAsia"/>
          <w:color w:val="000000"/>
          <w:highlight w:val="none"/>
        </w:rPr>
        <w:t>三、投标须知通用条款</w:t>
      </w:r>
      <w:r>
        <w:rPr>
          <w:color w:val="000000"/>
          <w:highlight w:val="none"/>
        </w:rPr>
        <w:tab/>
      </w:r>
      <w:r>
        <w:rPr>
          <w:color w:val="000000"/>
          <w:highlight w:val="none"/>
        </w:rPr>
        <w:fldChar w:fldCharType="begin"/>
      </w:r>
      <w:r>
        <w:rPr>
          <w:color w:val="000000"/>
          <w:highlight w:val="none"/>
        </w:rPr>
        <w:instrText xml:space="preserve"> PAGEREF _Toc25050 \h </w:instrText>
      </w:r>
      <w:r>
        <w:rPr>
          <w:color w:val="000000"/>
          <w:highlight w:val="none"/>
        </w:rPr>
        <w:fldChar w:fldCharType="separate"/>
      </w:r>
      <w:r>
        <w:rPr>
          <w:color w:val="000000"/>
          <w:highlight w:val="none"/>
        </w:rPr>
        <w:t>19</w:t>
      </w:r>
      <w:r>
        <w:rPr>
          <w:color w:val="000000"/>
          <w:highlight w:val="none"/>
        </w:rPr>
        <w:fldChar w:fldCharType="end"/>
      </w:r>
      <w:r>
        <w:rPr>
          <w:color w:val="000000"/>
          <w:highlight w:val="none"/>
        </w:rPr>
        <w:fldChar w:fldCharType="end"/>
      </w:r>
    </w:p>
    <w:p w14:paraId="48A9FDF9">
      <w:pPr>
        <w:pStyle w:val="24"/>
        <w:tabs>
          <w:tab w:val="right" w:leader="dot" w:pos="9070"/>
        </w:tabs>
        <w:ind w:left="840"/>
        <w:rPr>
          <w:color w:val="000000"/>
          <w:highlight w:val="none"/>
        </w:rPr>
      </w:pPr>
      <w:r>
        <w:rPr>
          <w:highlight w:val="none"/>
        </w:rPr>
        <w:fldChar w:fldCharType="begin"/>
      </w:r>
      <w:r>
        <w:rPr>
          <w:highlight w:val="none"/>
        </w:rPr>
        <w:instrText xml:space="preserve"> HYPERLINK \l "_Toc30670" </w:instrText>
      </w:r>
      <w:r>
        <w:rPr>
          <w:highlight w:val="none"/>
        </w:rPr>
        <w:fldChar w:fldCharType="separate"/>
      </w:r>
      <w:r>
        <w:rPr>
          <w:rFonts w:hint="eastAsia"/>
          <w:color w:val="000000"/>
          <w:highlight w:val="none"/>
        </w:rPr>
        <w:t>（一）总则</w:t>
      </w:r>
      <w:r>
        <w:rPr>
          <w:color w:val="000000"/>
          <w:highlight w:val="none"/>
        </w:rPr>
        <w:tab/>
      </w:r>
      <w:r>
        <w:rPr>
          <w:color w:val="000000"/>
          <w:highlight w:val="none"/>
        </w:rPr>
        <w:fldChar w:fldCharType="begin"/>
      </w:r>
      <w:r>
        <w:rPr>
          <w:color w:val="000000"/>
          <w:highlight w:val="none"/>
        </w:rPr>
        <w:instrText xml:space="preserve"> PAGEREF _Toc30670 \h </w:instrText>
      </w:r>
      <w:r>
        <w:rPr>
          <w:color w:val="000000"/>
          <w:highlight w:val="none"/>
        </w:rPr>
        <w:fldChar w:fldCharType="separate"/>
      </w:r>
      <w:r>
        <w:rPr>
          <w:color w:val="000000"/>
          <w:highlight w:val="none"/>
        </w:rPr>
        <w:t>19</w:t>
      </w:r>
      <w:r>
        <w:rPr>
          <w:color w:val="000000"/>
          <w:highlight w:val="none"/>
        </w:rPr>
        <w:fldChar w:fldCharType="end"/>
      </w:r>
      <w:r>
        <w:rPr>
          <w:color w:val="000000"/>
          <w:highlight w:val="none"/>
        </w:rPr>
        <w:fldChar w:fldCharType="end"/>
      </w:r>
    </w:p>
    <w:p w14:paraId="3C8114B8">
      <w:pPr>
        <w:pStyle w:val="24"/>
        <w:tabs>
          <w:tab w:val="right" w:leader="dot" w:pos="9070"/>
        </w:tabs>
        <w:ind w:left="840"/>
        <w:rPr>
          <w:color w:val="000000"/>
          <w:highlight w:val="none"/>
        </w:rPr>
      </w:pPr>
      <w:r>
        <w:rPr>
          <w:highlight w:val="none"/>
        </w:rPr>
        <w:fldChar w:fldCharType="begin"/>
      </w:r>
      <w:r>
        <w:rPr>
          <w:highlight w:val="none"/>
        </w:rPr>
        <w:instrText xml:space="preserve"> HYPERLINK \l "_Toc10892" </w:instrText>
      </w:r>
      <w:r>
        <w:rPr>
          <w:highlight w:val="none"/>
        </w:rPr>
        <w:fldChar w:fldCharType="separate"/>
      </w:r>
      <w:r>
        <w:rPr>
          <w:rFonts w:hint="eastAsia"/>
          <w:color w:val="000000"/>
          <w:szCs w:val="21"/>
          <w:highlight w:val="none"/>
        </w:rPr>
        <w:t>（二）招标文件</w:t>
      </w:r>
      <w:r>
        <w:rPr>
          <w:color w:val="000000"/>
          <w:highlight w:val="none"/>
        </w:rPr>
        <w:tab/>
      </w:r>
      <w:r>
        <w:rPr>
          <w:color w:val="000000"/>
          <w:highlight w:val="none"/>
        </w:rPr>
        <w:fldChar w:fldCharType="end"/>
      </w:r>
      <w:r>
        <w:rPr>
          <w:rFonts w:hint="eastAsia"/>
          <w:highlight w:val="none"/>
        </w:rPr>
        <w:t>20</w:t>
      </w:r>
    </w:p>
    <w:p w14:paraId="3F04B9D3">
      <w:pPr>
        <w:pStyle w:val="24"/>
        <w:tabs>
          <w:tab w:val="right" w:leader="dot" w:pos="9070"/>
        </w:tabs>
        <w:ind w:left="840"/>
        <w:rPr>
          <w:color w:val="000000"/>
          <w:highlight w:val="none"/>
        </w:rPr>
      </w:pPr>
      <w:r>
        <w:rPr>
          <w:highlight w:val="none"/>
        </w:rPr>
        <w:fldChar w:fldCharType="begin"/>
      </w:r>
      <w:r>
        <w:rPr>
          <w:highlight w:val="none"/>
        </w:rPr>
        <w:instrText xml:space="preserve"> HYPERLINK \l "_Toc29364" </w:instrText>
      </w:r>
      <w:r>
        <w:rPr>
          <w:highlight w:val="none"/>
        </w:rPr>
        <w:fldChar w:fldCharType="separate"/>
      </w:r>
      <w:r>
        <w:rPr>
          <w:rFonts w:hint="eastAsia"/>
          <w:color w:val="000000"/>
          <w:szCs w:val="21"/>
          <w:highlight w:val="none"/>
        </w:rPr>
        <w:t>（三）投标文件的编制</w:t>
      </w:r>
      <w:r>
        <w:rPr>
          <w:color w:val="000000"/>
          <w:highlight w:val="none"/>
        </w:rPr>
        <w:tab/>
      </w:r>
      <w:r>
        <w:rPr>
          <w:color w:val="000000"/>
          <w:highlight w:val="none"/>
        </w:rPr>
        <w:fldChar w:fldCharType="end"/>
      </w:r>
      <w:r>
        <w:rPr>
          <w:rFonts w:hint="eastAsia"/>
          <w:highlight w:val="none"/>
        </w:rPr>
        <w:t xml:space="preserve"> 21</w:t>
      </w:r>
    </w:p>
    <w:p w14:paraId="3359AB78">
      <w:pPr>
        <w:pStyle w:val="24"/>
        <w:tabs>
          <w:tab w:val="right" w:leader="dot" w:pos="9070"/>
        </w:tabs>
        <w:ind w:left="840"/>
        <w:rPr>
          <w:color w:val="000000"/>
          <w:highlight w:val="none"/>
        </w:rPr>
      </w:pPr>
      <w:r>
        <w:rPr>
          <w:highlight w:val="none"/>
        </w:rPr>
        <w:fldChar w:fldCharType="begin"/>
      </w:r>
      <w:r>
        <w:rPr>
          <w:highlight w:val="none"/>
        </w:rPr>
        <w:instrText xml:space="preserve"> HYPERLINK \l "_Toc32388" </w:instrText>
      </w:r>
      <w:r>
        <w:rPr>
          <w:highlight w:val="none"/>
        </w:rPr>
        <w:fldChar w:fldCharType="separate"/>
      </w:r>
      <w:r>
        <w:rPr>
          <w:rFonts w:hint="eastAsia"/>
          <w:color w:val="000000"/>
          <w:szCs w:val="21"/>
          <w:highlight w:val="none"/>
        </w:rPr>
        <w:t>（五）开标、评标、定标及合同签定</w:t>
      </w:r>
      <w:r>
        <w:rPr>
          <w:color w:val="000000"/>
          <w:highlight w:val="none"/>
        </w:rPr>
        <w:tab/>
      </w:r>
      <w:r>
        <w:rPr>
          <w:color w:val="000000"/>
          <w:highlight w:val="none"/>
        </w:rPr>
        <w:fldChar w:fldCharType="end"/>
      </w:r>
      <w:r>
        <w:rPr>
          <w:rFonts w:hint="eastAsia"/>
          <w:highlight w:val="none"/>
        </w:rPr>
        <w:t xml:space="preserve"> 30</w:t>
      </w:r>
    </w:p>
    <w:p w14:paraId="1213EFF1">
      <w:pPr>
        <w:pStyle w:val="34"/>
        <w:tabs>
          <w:tab w:val="right" w:leader="dot" w:pos="9070"/>
          <w:tab w:val="clear" w:pos="9060"/>
        </w:tabs>
        <w:rPr>
          <w:color w:val="000000"/>
          <w:highlight w:val="none"/>
        </w:rPr>
      </w:pPr>
      <w:r>
        <w:rPr>
          <w:highlight w:val="none"/>
        </w:rPr>
        <w:fldChar w:fldCharType="begin"/>
      </w:r>
      <w:r>
        <w:rPr>
          <w:highlight w:val="none"/>
        </w:rPr>
        <w:instrText xml:space="preserve"> HYPERLINK \l "_Toc24045" </w:instrText>
      </w:r>
      <w:r>
        <w:rPr>
          <w:highlight w:val="none"/>
        </w:rPr>
        <w:fldChar w:fldCharType="separate"/>
      </w:r>
      <w:r>
        <w:rPr>
          <w:rFonts w:hint="eastAsia"/>
          <w:color w:val="000000"/>
          <w:highlight w:val="none"/>
        </w:rPr>
        <w:t>第二章开标、评标及定标办法</w:t>
      </w:r>
      <w:r>
        <w:rPr>
          <w:color w:val="000000"/>
          <w:highlight w:val="none"/>
        </w:rPr>
        <w:tab/>
      </w:r>
      <w:r>
        <w:rPr>
          <w:color w:val="000000"/>
          <w:highlight w:val="none"/>
        </w:rPr>
        <w:fldChar w:fldCharType="begin"/>
      </w:r>
      <w:r>
        <w:rPr>
          <w:color w:val="000000"/>
          <w:highlight w:val="none"/>
        </w:rPr>
        <w:instrText xml:space="preserve"> PAGEREF _Toc24045 \h </w:instrText>
      </w:r>
      <w:r>
        <w:rPr>
          <w:color w:val="000000"/>
          <w:highlight w:val="none"/>
        </w:rPr>
        <w:fldChar w:fldCharType="separate"/>
      </w:r>
      <w:r>
        <w:rPr>
          <w:color w:val="000000"/>
          <w:highlight w:val="none"/>
        </w:rPr>
        <w:t>33</w:t>
      </w:r>
      <w:r>
        <w:rPr>
          <w:color w:val="000000"/>
          <w:highlight w:val="none"/>
        </w:rPr>
        <w:fldChar w:fldCharType="end"/>
      </w:r>
      <w:r>
        <w:rPr>
          <w:color w:val="000000"/>
          <w:highlight w:val="none"/>
        </w:rPr>
        <w:fldChar w:fldCharType="end"/>
      </w:r>
    </w:p>
    <w:p w14:paraId="21E89FC2">
      <w:pPr>
        <w:pStyle w:val="42"/>
        <w:tabs>
          <w:tab w:val="right" w:leader="dot" w:pos="9070"/>
          <w:tab w:val="clear" w:pos="9060"/>
        </w:tabs>
        <w:rPr>
          <w:color w:val="000000"/>
          <w:highlight w:val="none"/>
        </w:rPr>
      </w:pPr>
      <w:r>
        <w:rPr>
          <w:highlight w:val="none"/>
        </w:rPr>
        <w:fldChar w:fldCharType="begin"/>
      </w:r>
      <w:r>
        <w:rPr>
          <w:highlight w:val="none"/>
        </w:rPr>
        <w:instrText xml:space="preserve"> HYPERLINK \l "_Toc26651" </w:instrText>
      </w:r>
      <w:r>
        <w:rPr>
          <w:highlight w:val="none"/>
        </w:rPr>
        <w:fldChar w:fldCharType="separate"/>
      </w:r>
      <w:r>
        <w:rPr>
          <w:rFonts w:hint="eastAsia"/>
          <w:color w:val="000000"/>
          <w:szCs w:val="28"/>
          <w:highlight w:val="none"/>
        </w:rPr>
        <w:t>一、</w:t>
      </w:r>
      <w:r>
        <w:rPr>
          <w:rFonts w:hint="eastAsia"/>
          <w:color w:val="000000"/>
          <w:highlight w:val="none"/>
        </w:rPr>
        <w:t>开标、评标及定标办法修改表</w:t>
      </w:r>
      <w:r>
        <w:rPr>
          <w:color w:val="000000"/>
          <w:highlight w:val="none"/>
        </w:rPr>
        <w:tab/>
      </w:r>
      <w:r>
        <w:rPr>
          <w:color w:val="000000"/>
          <w:highlight w:val="none"/>
        </w:rPr>
        <w:fldChar w:fldCharType="begin"/>
      </w:r>
      <w:r>
        <w:rPr>
          <w:color w:val="000000"/>
          <w:highlight w:val="none"/>
        </w:rPr>
        <w:instrText xml:space="preserve"> PAGEREF _Toc26651 \h </w:instrText>
      </w:r>
      <w:r>
        <w:rPr>
          <w:color w:val="000000"/>
          <w:highlight w:val="none"/>
        </w:rPr>
        <w:fldChar w:fldCharType="separate"/>
      </w:r>
      <w:r>
        <w:rPr>
          <w:color w:val="000000"/>
          <w:highlight w:val="none"/>
        </w:rPr>
        <w:t>33</w:t>
      </w:r>
      <w:r>
        <w:rPr>
          <w:color w:val="000000"/>
          <w:highlight w:val="none"/>
        </w:rPr>
        <w:fldChar w:fldCharType="end"/>
      </w:r>
      <w:r>
        <w:rPr>
          <w:color w:val="000000"/>
          <w:highlight w:val="none"/>
        </w:rPr>
        <w:fldChar w:fldCharType="end"/>
      </w:r>
    </w:p>
    <w:p w14:paraId="74459995">
      <w:pPr>
        <w:pStyle w:val="42"/>
        <w:tabs>
          <w:tab w:val="right" w:leader="dot" w:pos="9070"/>
          <w:tab w:val="clear" w:pos="9060"/>
        </w:tabs>
        <w:rPr>
          <w:color w:val="000000"/>
          <w:highlight w:val="none"/>
        </w:rPr>
      </w:pPr>
      <w:r>
        <w:rPr>
          <w:highlight w:val="none"/>
        </w:rPr>
        <w:fldChar w:fldCharType="begin"/>
      </w:r>
      <w:r>
        <w:rPr>
          <w:highlight w:val="none"/>
        </w:rPr>
        <w:instrText xml:space="preserve"> HYPERLINK \l "_Toc32131" </w:instrText>
      </w:r>
      <w:r>
        <w:rPr>
          <w:highlight w:val="none"/>
        </w:rPr>
        <w:fldChar w:fldCharType="separate"/>
      </w:r>
      <w:r>
        <w:rPr>
          <w:rFonts w:hint="eastAsia"/>
          <w:color w:val="000000"/>
          <w:highlight w:val="none"/>
        </w:rPr>
        <w:t>二、开标、评标及定标办法</w:t>
      </w:r>
      <w:r>
        <w:rPr>
          <w:rFonts w:hint="eastAsia"/>
          <w:color w:val="000000"/>
          <w:szCs w:val="30"/>
          <w:highlight w:val="none"/>
        </w:rPr>
        <w:t>通用条款</w:t>
      </w:r>
      <w:r>
        <w:rPr>
          <w:color w:val="000000"/>
          <w:highlight w:val="none"/>
        </w:rPr>
        <w:tab/>
      </w:r>
      <w:r>
        <w:rPr>
          <w:color w:val="000000"/>
          <w:highlight w:val="none"/>
        </w:rPr>
        <w:fldChar w:fldCharType="begin"/>
      </w:r>
      <w:r>
        <w:rPr>
          <w:color w:val="000000"/>
          <w:highlight w:val="none"/>
        </w:rPr>
        <w:instrText xml:space="preserve"> PAGEREF _Toc32131 \h </w:instrText>
      </w:r>
      <w:r>
        <w:rPr>
          <w:color w:val="000000"/>
          <w:highlight w:val="none"/>
        </w:rPr>
        <w:fldChar w:fldCharType="separate"/>
      </w:r>
      <w:r>
        <w:rPr>
          <w:color w:val="000000"/>
          <w:highlight w:val="none"/>
        </w:rPr>
        <w:t>38</w:t>
      </w:r>
      <w:r>
        <w:rPr>
          <w:color w:val="000000"/>
          <w:highlight w:val="none"/>
        </w:rPr>
        <w:fldChar w:fldCharType="end"/>
      </w:r>
      <w:r>
        <w:rPr>
          <w:color w:val="000000"/>
          <w:highlight w:val="none"/>
        </w:rPr>
        <w:fldChar w:fldCharType="end"/>
      </w:r>
    </w:p>
    <w:p w14:paraId="2D21ED9B">
      <w:pPr>
        <w:pStyle w:val="24"/>
        <w:tabs>
          <w:tab w:val="right" w:leader="dot" w:pos="9070"/>
        </w:tabs>
        <w:ind w:left="840"/>
        <w:rPr>
          <w:color w:val="000000"/>
          <w:highlight w:val="none"/>
        </w:rPr>
      </w:pPr>
      <w:r>
        <w:rPr>
          <w:highlight w:val="none"/>
        </w:rPr>
        <w:fldChar w:fldCharType="begin"/>
      </w:r>
      <w:r>
        <w:rPr>
          <w:highlight w:val="none"/>
        </w:rPr>
        <w:instrText xml:space="preserve"> HYPERLINK \l "_Toc23008" </w:instrText>
      </w:r>
      <w:r>
        <w:rPr>
          <w:highlight w:val="none"/>
        </w:rPr>
        <w:fldChar w:fldCharType="separate"/>
      </w:r>
      <w:r>
        <w:rPr>
          <w:rFonts w:hint="eastAsia"/>
          <w:color w:val="000000"/>
          <w:highlight w:val="none"/>
        </w:rPr>
        <w:t>（一）总则</w:t>
      </w:r>
      <w:r>
        <w:rPr>
          <w:color w:val="000000"/>
          <w:highlight w:val="none"/>
        </w:rPr>
        <w:tab/>
      </w:r>
      <w:r>
        <w:rPr>
          <w:color w:val="000000"/>
          <w:highlight w:val="none"/>
        </w:rPr>
        <w:fldChar w:fldCharType="begin"/>
      </w:r>
      <w:r>
        <w:rPr>
          <w:color w:val="000000"/>
          <w:highlight w:val="none"/>
        </w:rPr>
        <w:instrText xml:space="preserve"> PAGEREF _Toc23008 \h </w:instrText>
      </w:r>
      <w:r>
        <w:rPr>
          <w:color w:val="000000"/>
          <w:highlight w:val="none"/>
        </w:rPr>
        <w:fldChar w:fldCharType="separate"/>
      </w:r>
      <w:r>
        <w:rPr>
          <w:color w:val="000000"/>
          <w:highlight w:val="none"/>
        </w:rPr>
        <w:t>38</w:t>
      </w:r>
      <w:r>
        <w:rPr>
          <w:color w:val="000000"/>
          <w:highlight w:val="none"/>
        </w:rPr>
        <w:fldChar w:fldCharType="end"/>
      </w:r>
      <w:r>
        <w:rPr>
          <w:color w:val="000000"/>
          <w:highlight w:val="none"/>
        </w:rPr>
        <w:fldChar w:fldCharType="end"/>
      </w:r>
    </w:p>
    <w:p w14:paraId="09A50C2F">
      <w:pPr>
        <w:pStyle w:val="24"/>
        <w:tabs>
          <w:tab w:val="right" w:leader="dot" w:pos="9070"/>
        </w:tabs>
        <w:ind w:left="840"/>
        <w:rPr>
          <w:color w:val="000000"/>
          <w:highlight w:val="none"/>
        </w:rPr>
      </w:pPr>
      <w:r>
        <w:rPr>
          <w:highlight w:val="none"/>
        </w:rPr>
        <w:fldChar w:fldCharType="begin"/>
      </w:r>
      <w:r>
        <w:rPr>
          <w:highlight w:val="none"/>
        </w:rPr>
        <w:instrText xml:space="preserve"> HYPERLINK \l "_Toc1465" </w:instrText>
      </w:r>
      <w:r>
        <w:rPr>
          <w:highlight w:val="none"/>
        </w:rPr>
        <w:fldChar w:fldCharType="separate"/>
      </w:r>
      <w:r>
        <w:rPr>
          <w:rFonts w:hint="eastAsia" w:cs="宋体"/>
          <w:bCs/>
          <w:color w:val="000000"/>
          <w:szCs w:val="24"/>
          <w:highlight w:val="none"/>
        </w:rPr>
        <w:t>（二）开标评标办法程序和细则</w:t>
      </w:r>
      <w:r>
        <w:rPr>
          <w:color w:val="000000"/>
          <w:highlight w:val="none"/>
        </w:rPr>
        <w:tab/>
      </w:r>
      <w:r>
        <w:rPr>
          <w:color w:val="000000"/>
          <w:highlight w:val="none"/>
        </w:rPr>
        <w:fldChar w:fldCharType="begin"/>
      </w:r>
      <w:r>
        <w:rPr>
          <w:color w:val="000000"/>
          <w:highlight w:val="none"/>
        </w:rPr>
        <w:instrText xml:space="preserve"> PAGEREF _Toc1465 \h </w:instrText>
      </w:r>
      <w:r>
        <w:rPr>
          <w:color w:val="000000"/>
          <w:highlight w:val="none"/>
        </w:rPr>
        <w:fldChar w:fldCharType="separate"/>
      </w:r>
      <w:r>
        <w:rPr>
          <w:color w:val="000000"/>
          <w:highlight w:val="none"/>
        </w:rPr>
        <w:t>40</w:t>
      </w:r>
      <w:r>
        <w:rPr>
          <w:color w:val="000000"/>
          <w:highlight w:val="none"/>
        </w:rPr>
        <w:fldChar w:fldCharType="end"/>
      </w:r>
      <w:r>
        <w:rPr>
          <w:color w:val="000000"/>
          <w:highlight w:val="none"/>
        </w:rPr>
        <w:fldChar w:fldCharType="end"/>
      </w:r>
    </w:p>
    <w:p w14:paraId="1BD11562">
      <w:pPr>
        <w:pStyle w:val="24"/>
        <w:tabs>
          <w:tab w:val="right" w:leader="dot" w:pos="9070"/>
        </w:tabs>
        <w:ind w:left="840"/>
        <w:rPr>
          <w:color w:val="000000"/>
          <w:highlight w:val="none"/>
        </w:rPr>
      </w:pPr>
      <w:r>
        <w:rPr>
          <w:highlight w:val="none"/>
        </w:rPr>
        <w:fldChar w:fldCharType="begin"/>
      </w:r>
      <w:r>
        <w:rPr>
          <w:highlight w:val="none"/>
        </w:rPr>
        <w:instrText xml:space="preserve"> HYPERLINK \l "_Toc15188" </w:instrText>
      </w:r>
      <w:r>
        <w:rPr>
          <w:highlight w:val="none"/>
        </w:rPr>
        <w:fldChar w:fldCharType="separate"/>
      </w:r>
      <w:r>
        <w:rPr>
          <w:rFonts w:hint="eastAsia"/>
          <w:color w:val="000000"/>
          <w:highlight w:val="none"/>
        </w:rPr>
        <w:t>可选办法七（适合综合评分法四，技术标与经济标同时开启）</w:t>
      </w:r>
      <w:r>
        <w:rPr>
          <w:color w:val="000000"/>
          <w:highlight w:val="none"/>
        </w:rPr>
        <w:tab/>
      </w:r>
      <w:r>
        <w:rPr>
          <w:color w:val="000000"/>
          <w:highlight w:val="none"/>
        </w:rPr>
        <w:fldChar w:fldCharType="begin"/>
      </w:r>
      <w:r>
        <w:rPr>
          <w:color w:val="000000"/>
          <w:highlight w:val="none"/>
        </w:rPr>
        <w:instrText xml:space="preserve"> PAGEREF _Toc15188 \h </w:instrText>
      </w:r>
      <w:r>
        <w:rPr>
          <w:color w:val="000000"/>
          <w:highlight w:val="none"/>
        </w:rPr>
        <w:fldChar w:fldCharType="separate"/>
      </w:r>
      <w:r>
        <w:rPr>
          <w:color w:val="000000"/>
          <w:highlight w:val="none"/>
        </w:rPr>
        <w:t>40</w:t>
      </w:r>
      <w:r>
        <w:rPr>
          <w:color w:val="000000"/>
          <w:highlight w:val="none"/>
        </w:rPr>
        <w:fldChar w:fldCharType="end"/>
      </w:r>
      <w:r>
        <w:rPr>
          <w:color w:val="000000"/>
          <w:highlight w:val="none"/>
        </w:rPr>
        <w:fldChar w:fldCharType="end"/>
      </w:r>
    </w:p>
    <w:p w14:paraId="3F2E0DD1">
      <w:pPr>
        <w:pStyle w:val="34"/>
        <w:tabs>
          <w:tab w:val="right" w:leader="dot" w:pos="9070"/>
          <w:tab w:val="clear" w:pos="9060"/>
        </w:tabs>
        <w:rPr>
          <w:color w:val="000000"/>
          <w:highlight w:val="none"/>
        </w:rPr>
      </w:pPr>
      <w:r>
        <w:rPr>
          <w:highlight w:val="none"/>
        </w:rPr>
        <w:fldChar w:fldCharType="begin"/>
      </w:r>
      <w:r>
        <w:rPr>
          <w:highlight w:val="none"/>
        </w:rPr>
        <w:instrText xml:space="preserve"> HYPERLINK \l "_Toc15169" </w:instrText>
      </w:r>
      <w:r>
        <w:rPr>
          <w:highlight w:val="none"/>
        </w:rPr>
        <w:fldChar w:fldCharType="separate"/>
      </w:r>
      <w:r>
        <w:rPr>
          <w:rFonts w:hint="eastAsia" w:cs="宋体"/>
          <w:color w:val="000000"/>
          <w:highlight w:val="none"/>
        </w:rPr>
        <w:t>第三章 合同条款</w:t>
      </w:r>
      <w:r>
        <w:rPr>
          <w:color w:val="000000"/>
          <w:highlight w:val="none"/>
        </w:rPr>
        <w:tab/>
      </w:r>
      <w:r>
        <w:rPr>
          <w:color w:val="000000"/>
          <w:highlight w:val="none"/>
        </w:rPr>
        <w:fldChar w:fldCharType="end"/>
      </w:r>
      <w:r>
        <w:rPr>
          <w:color w:val="000000"/>
          <w:highlight w:val="none"/>
        </w:rPr>
        <w:t>56</w:t>
      </w:r>
    </w:p>
    <w:p w14:paraId="64D4F420">
      <w:pPr>
        <w:pStyle w:val="34"/>
        <w:tabs>
          <w:tab w:val="right" w:leader="dot" w:pos="9070"/>
          <w:tab w:val="clear" w:pos="9060"/>
        </w:tabs>
        <w:rPr>
          <w:color w:val="000000"/>
          <w:highlight w:val="none"/>
        </w:rPr>
      </w:pPr>
      <w:r>
        <w:rPr>
          <w:highlight w:val="none"/>
        </w:rPr>
        <w:fldChar w:fldCharType="begin"/>
      </w:r>
      <w:r>
        <w:rPr>
          <w:highlight w:val="none"/>
        </w:rPr>
        <w:instrText xml:space="preserve"> HYPERLINK \l "_Toc30332" </w:instrText>
      </w:r>
      <w:r>
        <w:rPr>
          <w:highlight w:val="none"/>
        </w:rPr>
        <w:fldChar w:fldCharType="separate"/>
      </w:r>
      <w:r>
        <w:rPr>
          <w:rFonts w:hint="eastAsia"/>
          <w:color w:val="000000"/>
          <w:highlight w:val="none"/>
        </w:rPr>
        <w:t>第四章投标文件格式</w:t>
      </w:r>
      <w:r>
        <w:rPr>
          <w:color w:val="000000"/>
          <w:highlight w:val="none"/>
        </w:rPr>
        <w:tab/>
      </w:r>
      <w:r>
        <w:rPr>
          <w:color w:val="000000"/>
          <w:highlight w:val="none"/>
        </w:rPr>
        <w:fldChar w:fldCharType="end"/>
      </w:r>
      <w:r>
        <w:rPr>
          <w:color w:val="000000"/>
          <w:highlight w:val="none"/>
        </w:rPr>
        <w:t>57</w:t>
      </w:r>
    </w:p>
    <w:p w14:paraId="58A64A5D">
      <w:pPr>
        <w:pStyle w:val="34"/>
        <w:tabs>
          <w:tab w:val="right" w:leader="dot" w:pos="9070"/>
          <w:tab w:val="clear" w:pos="9060"/>
        </w:tabs>
        <w:rPr>
          <w:color w:val="000000"/>
          <w:highlight w:val="none"/>
        </w:rPr>
      </w:pPr>
      <w:r>
        <w:rPr>
          <w:highlight w:val="none"/>
        </w:rPr>
        <w:fldChar w:fldCharType="begin"/>
      </w:r>
      <w:r>
        <w:rPr>
          <w:highlight w:val="none"/>
        </w:rPr>
        <w:instrText xml:space="preserve"> HYPERLINK \l "_Toc25637" </w:instrText>
      </w:r>
      <w:r>
        <w:rPr>
          <w:highlight w:val="none"/>
        </w:rPr>
        <w:fldChar w:fldCharType="separate"/>
      </w:r>
      <w:r>
        <w:rPr>
          <w:rFonts w:hint="eastAsia"/>
          <w:color w:val="000000"/>
          <w:highlight w:val="none"/>
        </w:rPr>
        <w:t>第五章技术条件（工程建设标准）</w:t>
      </w:r>
      <w:r>
        <w:rPr>
          <w:color w:val="000000"/>
          <w:highlight w:val="none"/>
        </w:rPr>
        <w:tab/>
      </w:r>
      <w:r>
        <w:rPr>
          <w:color w:val="000000"/>
          <w:highlight w:val="none"/>
        </w:rPr>
        <w:fldChar w:fldCharType="end"/>
      </w:r>
      <w:r>
        <w:rPr>
          <w:color w:val="000000"/>
          <w:highlight w:val="none"/>
        </w:rPr>
        <w:t>66</w:t>
      </w:r>
    </w:p>
    <w:p w14:paraId="7E7FAA59">
      <w:pPr>
        <w:pStyle w:val="34"/>
        <w:tabs>
          <w:tab w:val="right" w:leader="dot" w:pos="9070"/>
          <w:tab w:val="clear" w:pos="9060"/>
        </w:tabs>
        <w:rPr>
          <w:color w:val="000000"/>
          <w:highlight w:val="none"/>
        </w:rPr>
      </w:pPr>
      <w:r>
        <w:rPr>
          <w:highlight w:val="none"/>
        </w:rPr>
        <w:fldChar w:fldCharType="begin"/>
      </w:r>
      <w:r>
        <w:rPr>
          <w:highlight w:val="none"/>
        </w:rPr>
        <w:instrText xml:space="preserve"> HYPERLINK \l "_Toc26155" </w:instrText>
      </w:r>
      <w:r>
        <w:rPr>
          <w:highlight w:val="none"/>
        </w:rPr>
        <w:fldChar w:fldCharType="separate"/>
      </w:r>
      <w:r>
        <w:rPr>
          <w:rFonts w:hint="eastAsia"/>
          <w:color w:val="000000"/>
          <w:highlight w:val="none"/>
        </w:rPr>
        <w:t>第六章图纸及勘察资料（另册）</w:t>
      </w:r>
      <w:r>
        <w:rPr>
          <w:color w:val="000000"/>
          <w:highlight w:val="none"/>
        </w:rPr>
        <w:tab/>
      </w:r>
      <w:r>
        <w:rPr>
          <w:color w:val="000000"/>
          <w:highlight w:val="none"/>
        </w:rPr>
        <w:fldChar w:fldCharType="end"/>
      </w:r>
      <w:r>
        <w:rPr>
          <w:color w:val="000000"/>
          <w:highlight w:val="none"/>
        </w:rPr>
        <w:t>67</w:t>
      </w:r>
    </w:p>
    <w:p w14:paraId="02B70D00">
      <w:pPr>
        <w:pStyle w:val="34"/>
        <w:tabs>
          <w:tab w:val="right" w:leader="dot" w:pos="9070"/>
          <w:tab w:val="clear" w:pos="9060"/>
        </w:tabs>
        <w:rPr>
          <w:color w:val="000000"/>
          <w:highlight w:val="none"/>
        </w:rPr>
      </w:pPr>
      <w:r>
        <w:rPr>
          <w:highlight w:val="none"/>
        </w:rPr>
        <w:fldChar w:fldCharType="begin"/>
      </w:r>
      <w:r>
        <w:rPr>
          <w:highlight w:val="none"/>
        </w:rPr>
        <w:instrText xml:space="preserve"> HYPERLINK \l "_Toc17959" </w:instrText>
      </w:r>
      <w:r>
        <w:rPr>
          <w:highlight w:val="none"/>
        </w:rPr>
        <w:fldChar w:fldCharType="separate"/>
      </w:r>
      <w:r>
        <w:rPr>
          <w:rFonts w:hint="eastAsia"/>
          <w:color w:val="000000"/>
          <w:highlight w:val="none"/>
        </w:rPr>
        <w:t>第七章工程量清单（另册）</w:t>
      </w:r>
      <w:r>
        <w:rPr>
          <w:color w:val="000000"/>
          <w:highlight w:val="none"/>
        </w:rPr>
        <w:tab/>
      </w:r>
      <w:r>
        <w:rPr>
          <w:color w:val="000000"/>
          <w:highlight w:val="none"/>
        </w:rPr>
        <w:fldChar w:fldCharType="end"/>
      </w:r>
      <w:r>
        <w:rPr>
          <w:color w:val="000000"/>
          <w:highlight w:val="none"/>
        </w:rPr>
        <w:t>68</w:t>
      </w:r>
    </w:p>
    <w:p w14:paraId="437A656F">
      <w:pPr>
        <w:pStyle w:val="34"/>
        <w:tabs>
          <w:tab w:val="right" w:leader="dot" w:pos="9070"/>
          <w:tab w:val="clear" w:pos="9060"/>
        </w:tabs>
        <w:rPr>
          <w:color w:val="000000"/>
          <w:highlight w:val="none"/>
        </w:rPr>
      </w:pPr>
      <w:r>
        <w:rPr>
          <w:highlight w:val="none"/>
        </w:rPr>
        <w:fldChar w:fldCharType="begin"/>
      </w:r>
      <w:r>
        <w:rPr>
          <w:highlight w:val="none"/>
        </w:rPr>
        <w:instrText xml:space="preserve"> HYPERLINK \l "_Toc22648" </w:instrText>
      </w:r>
      <w:r>
        <w:rPr>
          <w:highlight w:val="none"/>
        </w:rPr>
        <w:fldChar w:fldCharType="separate"/>
      </w:r>
      <w:r>
        <w:rPr>
          <w:rFonts w:hint="eastAsia"/>
          <w:color w:val="000000"/>
          <w:highlight w:val="none"/>
        </w:rPr>
        <w:t>第八章最高投标限价（另册）</w:t>
      </w:r>
      <w:r>
        <w:rPr>
          <w:color w:val="000000"/>
          <w:highlight w:val="none"/>
        </w:rPr>
        <w:tab/>
      </w:r>
      <w:r>
        <w:rPr>
          <w:color w:val="000000"/>
          <w:highlight w:val="none"/>
        </w:rPr>
        <w:fldChar w:fldCharType="end"/>
      </w:r>
      <w:r>
        <w:rPr>
          <w:color w:val="000000"/>
          <w:highlight w:val="none"/>
        </w:rPr>
        <w:t>69</w:t>
      </w:r>
    </w:p>
    <w:p w14:paraId="0F61BD3A">
      <w:pPr>
        <w:pStyle w:val="2"/>
        <w:jc w:val="center"/>
        <w:rPr>
          <w:color w:val="000000"/>
          <w:highlight w:val="none"/>
        </w:rPr>
        <w:sectPr>
          <w:footerReference r:id="rId4" w:type="first"/>
          <w:footerReference r:id="rId3" w:type="default"/>
          <w:endnotePr>
            <w:numFmt w:val="decimal"/>
          </w:endnotePr>
          <w:type w:val="continuous"/>
          <w:pgSz w:w="11906" w:h="16838"/>
          <w:pgMar w:top="1134" w:right="1418" w:bottom="1247" w:left="1418" w:header="851" w:footer="907" w:gutter="0"/>
          <w:pgNumType w:start="1"/>
          <w:cols w:space="720" w:num="1"/>
          <w:docGrid w:type="lines" w:linePitch="312" w:charSpace="0"/>
        </w:sectPr>
      </w:pPr>
      <w:r>
        <w:rPr>
          <w:color w:val="000000"/>
          <w:highlight w:val="none"/>
        </w:rPr>
        <w:fldChar w:fldCharType="end"/>
      </w:r>
      <w:bookmarkStart w:id="1" w:name="_Toc16772"/>
    </w:p>
    <w:p w14:paraId="0634FFF3">
      <w:pPr>
        <w:pStyle w:val="2"/>
        <w:jc w:val="center"/>
        <w:rPr>
          <w:color w:val="000000"/>
          <w:highlight w:val="none"/>
        </w:rPr>
      </w:pPr>
      <w:r>
        <w:rPr>
          <w:color w:val="000000"/>
          <w:highlight w:val="none"/>
        </w:rPr>
        <w:br w:type="page"/>
      </w:r>
      <w:r>
        <w:rPr>
          <w:rFonts w:hint="eastAsia"/>
          <w:color w:val="000000"/>
          <w:highlight w:val="none"/>
        </w:rPr>
        <w:t>第一章投标须知</w:t>
      </w:r>
      <w:bookmarkEnd w:id="1"/>
    </w:p>
    <w:p w14:paraId="3A4BAF38">
      <w:pPr>
        <w:pStyle w:val="3"/>
        <w:ind w:left="0"/>
        <w:rPr>
          <w:highlight w:val="none"/>
        </w:rPr>
      </w:pPr>
      <w:bookmarkStart w:id="2" w:name="_Toc58188148"/>
      <w:bookmarkStart w:id="3" w:name="_Toc50391289"/>
      <w:bookmarkStart w:id="4" w:name="_Toc2525"/>
      <w:r>
        <w:rPr>
          <w:rFonts w:hint="eastAsia"/>
          <w:highlight w:val="none"/>
        </w:rPr>
        <w:t>一、投标须知前附表</w:t>
      </w:r>
      <w:bookmarkEnd w:id="2"/>
      <w:bookmarkEnd w:id="3"/>
      <w:bookmarkEnd w:id="4"/>
    </w:p>
    <w:p w14:paraId="048DDC0D">
      <w:pPr>
        <w:pStyle w:val="6"/>
        <w:spacing w:line="360" w:lineRule="auto"/>
        <w:ind w:firstLine="0"/>
        <w:rPr>
          <w:rFonts w:ascii="宋体" w:hAnsi="宋体"/>
          <w:b/>
          <w:color w:val="000000"/>
          <w:sz w:val="24"/>
          <w:szCs w:val="24"/>
          <w:highlight w:val="none"/>
        </w:rPr>
      </w:pPr>
      <w:r>
        <w:rPr>
          <w:rFonts w:hint="eastAsia" w:ascii="宋体" w:hAnsi="宋体"/>
          <w:b/>
          <w:color w:val="000000"/>
          <w:sz w:val="24"/>
          <w:szCs w:val="24"/>
          <w:highlight w: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51"/>
        <w:tblW w:w="9350" w:type="dxa"/>
        <w:tblInd w:w="123"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810"/>
        <w:gridCol w:w="5857"/>
      </w:tblGrid>
      <w:tr w14:paraId="592306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blHeader/>
        </w:trPr>
        <w:tc>
          <w:tcPr>
            <w:tcW w:w="702" w:type="dxa"/>
            <w:tcBorders>
              <w:top w:val="double" w:color="auto" w:sz="4" w:space="0"/>
              <w:left w:val="double" w:color="auto" w:sz="4" w:space="0"/>
              <w:bottom w:val="single" w:color="auto" w:sz="4" w:space="0"/>
              <w:right w:val="single" w:color="auto" w:sz="4" w:space="0"/>
            </w:tcBorders>
            <w:vAlign w:val="center"/>
          </w:tcPr>
          <w:p w14:paraId="513F96FE">
            <w:pPr>
              <w:rPr>
                <w:rFonts w:ascii="宋体" w:hAnsi="宋体"/>
                <w:color w:val="000000"/>
                <w:szCs w:val="21"/>
                <w:highlight w:val="none"/>
              </w:rPr>
            </w:pPr>
            <w:r>
              <w:rPr>
                <w:rFonts w:hint="eastAsia" w:ascii="宋体" w:hAnsi="宋体"/>
                <w:color w:val="000000"/>
                <w:szCs w:val="21"/>
                <w:highlight w:val="none"/>
              </w:rPr>
              <w:t>项目</w:t>
            </w:r>
          </w:p>
        </w:tc>
        <w:tc>
          <w:tcPr>
            <w:tcW w:w="981" w:type="dxa"/>
            <w:tcBorders>
              <w:top w:val="double" w:color="auto" w:sz="4" w:space="0"/>
              <w:left w:val="single" w:color="auto" w:sz="4" w:space="0"/>
              <w:bottom w:val="single" w:color="auto" w:sz="4" w:space="0"/>
              <w:right w:val="single" w:color="auto" w:sz="4" w:space="0"/>
            </w:tcBorders>
            <w:vAlign w:val="center"/>
          </w:tcPr>
          <w:p w14:paraId="0F9077ED">
            <w:pPr>
              <w:rPr>
                <w:rFonts w:ascii="宋体" w:hAnsi="宋体"/>
                <w:color w:val="000000"/>
                <w:szCs w:val="21"/>
                <w:highlight w:val="none"/>
              </w:rPr>
            </w:pPr>
            <w:r>
              <w:rPr>
                <w:rFonts w:hint="eastAsia" w:ascii="宋体" w:hAnsi="宋体"/>
                <w:color w:val="000000"/>
                <w:szCs w:val="21"/>
                <w:highlight w:val="none"/>
              </w:rPr>
              <w:t>条款号</w:t>
            </w:r>
          </w:p>
        </w:tc>
        <w:tc>
          <w:tcPr>
            <w:tcW w:w="1810" w:type="dxa"/>
            <w:tcBorders>
              <w:top w:val="double" w:color="auto" w:sz="4" w:space="0"/>
              <w:left w:val="single" w:color="auto" w:sz="4" w:space="0"/>
              <w:bottom w:val="single" w:color="auto" w:sz="4" w:space="0"/>
              <w:right w:val="single" w:color="auto" w:sz="4" w:space="0"/>
            </w:tcBorders>
            <w:vAlign w:val="center"/>
          </w:tcPr>
          <w:p w14:paraId="345576EC">
            <w:pPr>
              <w:ind w:firstLine="458"/>
              <w:rPr>
                <w:rFonts w:ascii="宋体" w:hAnsi="宋体"/>
                <w:color w:val="000000"/>
                <w:szCs w:val="21"/>
                <w:highlight w:val="none"/>
              </w:rPr>
            </w:pPr>
            <w:r>
              <w:rPr>
                <w:rFonts w:hint="eastAsia" w:ascii="宋体" w:hAnsi="宋体"/>
                <w:color w:val="000000"/>
                <w:szCs w:val="21"/>
                <w:highlight w:val="none"/>
              </w:rPr>
              <w:t>内容</w:t>
            </w:r>
          </w:p>
        </w:tc>
        <w:tc>
          <w:tcPr>
            <w:tcW w:w="5857" w:type="dxa"/>
            <w:tcBorders>
              <w:top w:val="double" w:color="auto" w:sz="4" w:space="0"/>
              <w:left w:val="single" w:color="auto" w:sz="4" w:space="0"/>
              <w:bottom w:val="single" w:color="auto" w:sz="4" w:space="0"/>
              <w:right w:val="double" w:color="auto" w:sz="4" w:space="0"/>
            </w:tcBorders>
            <w:vAlign w:val="center"/>
          </w:tcPr>
          <w:p w14:paraId="4DBFFB93">
            <w:pPr>
              <w:pStyle w:val="29"/>
              <w:ind w:firstLine="458"/>
              <w:jc w:val="center"/>
              <w:rPr>
                <w:rFonts w:ascii="宋体" w:hAnsi="宋体"/>
                <w:color w:val="000000"/>
                <w:kern w:val="2"/>
                <w:sz w:val="21"/>
                <w:szCs w:val="21"/>
                <w:highlight w:val="none"/>
              </w:rPr>
            </w:pPr>
            <w:r>
              <w:rPr>
                <w:rFonts w:hint="eastAsia" w:ascii="宋体" w:hAnsi="宋体"/>
                <w:color w:val="000000"/>
                <w:kern w:val="2"/>
                <w:sz w:val="21"/>
                <w:szCs w:val="21"/>
                <w:highlight w:val="none"/>
              </w:rPr>
              <w:t>说明与要求</w:t>
            </w:r>
          </w:p>
        </w:tc>
      </w:tr>
      <w:tr w14:paraId="2E60B1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14:paraId="2FCE7C3C">
            <w:pPr>
              <w:rPr>
                <w:rFonts w:ascii="宋体" w:hAnsi="宋体"/>
                <w:color w:val="000000"/>
                <w:szCs w:val="21"/>
                <w:highlight w:val="none"/>
              </w:rPr>
            </w:pPr>
            <w:r>
              <w:rPr>
                <w:rFonts w:ascii="宋体" w:hAnsi="宋体"/>
                <w:color w:val="000000"/>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14:paraId="1F80C91D">
            <w:pPr>
              <w:rPr>
                <w:rFonts w:ascii="宋体" w:hAnsi="宋体"/>
                <w:color w:val="000000"/>
                <w:szCs w:val="21"/>
                <w:highlight w:val="none"/>
              </w:rPr>
            </w:pPr>
            <w:r>
              <w:rPr>
                <w:rFonts w:ascii="宋体" w:hAnsi="宋体"/>
                <w:color w:val="000000"/>
                <w:szCs w:val="21"/>
                <w:highlight w:val="none"/>
              </w:rPr>
              <w:t>1</w:t>
            </w:r>
          </w:p>
        </w:tc>
        <w:tc>
          <w:tcPr>
            <w:tcW w:w="1810" w:type="dxa"/>
            <w:tcBorders>
              <w:top w:val="single" w:color="auto" w:sz="4" w:space="0"/>
              <w:left w:val="single" w:color="auto" w:sz="4" w:space="0"/>
              <w:bottom w:val="single" w:color="auto" w:sz="4" w:space="0"/>
              <w:right w:val="single" w:color="auto" w:sz="4" w:space="0"/>
            </w:tcBorders>
            <w:vAlign w:val="center"/>
          </w:tcPr>
          <w:p w14:paraId="2AB023AB">
            <w:pPr>
              <w:rPr>
                <w:rFonts w:ascii="宋体" w:hAnsi="宋体"/>
                <w:color w:val="000000"/>
                <w:szCs w:val="21"/>
                <w:highlight w:val="none"/>
              </w:rPr>
            </w:pPr>
            <w:r>
              <w:rPr>
                <w:rFonts w:hint="eastAsia" w:ascii="宋体" w:hAnsi="宋体"/>
                <w:color w:val="000000"/>
                <w:szCs w:val="21"/>
                <w:highlight w:val="none"/>
              </w:rPr>
              <w:t>定义</w:t>
            </w:r>
          </w:p>
        </w:tc>
        <w:tc>
          <w:tcPr>
            <w:tcW w:w="5857" w:type="dxa"/>
            <w:tcBorders>
              <w:top w:val="single" w:color="auto" w:sz="4" w:space="0"/>
              <w:left w:val="single" w:color="auto" w:sz="4" w:space="0"/>
              <w:bottom w:val="single" w:color="auto" w:sz="4" w:space="0"/>
              <w:right w:val="double" w:color="auto" w:sz="4" w:space="0"/>
            </w:tcBorders>
            <w:vAlign w:val="center"/>
          </w:tcPr>
          <w:p w14:paraId="4255318F">
            <w:pPr>
              <w:rPr>
                <w:rFonts w:ascii="宋体" w:hAnsi="宋体"/>
                <w:color w:val="000000"/>
                <w:highlight w:val="none"/>
                <w:u w:val="single"/>
              </w:rPr>
            </w:pPr>
            <w:r>
              <w:rPr>
                <w:rFonts w:hint="eastAsia" w:ascii="宋体" w:hAnsi="宋体"/>
                <w:color w:val="000000"/>
                <w:highlight w:val="none"/>
              </w:rPr>
              <w:t>招标人（即发包人）：</w:t>
            </w:r>
            <w:r>
              <w:rPr>
                <w:rFonts w:hint="eastAsia" w:ascii="宋体" w:hAnsi="宋体"/>
                <w:color w:val="000000"/>
                <w:highlight w:val="none"/>
                <w:u w:val="single"/>
              </w:rPr>
              <w:t xml:space="preserve">广州松瓴企业管理有限公司 </w:t>
            </w:r>
          </w:p>
          <w:p w14:paraId="595B1E01">
            <w:pPr>
              <w:rPr>
                <w:rFonts w:ascii="宋体" w:hAnsi="宋体"/>
                <w:color w:val="000000"/>
                <w:highlight w:val="none"/>
                <w:u w:val="single"/>
              </w:rPr>
            </w:pPr>
            <w:r>
              <w:rPr>
                <w:rFonts w:hint="eastAsia" w:ascii="宋体" w:hAnsi="宋体"/>
                <w:color w:val="000000"/>
                <w:highlight w:val="none"/>
              </w:rPr>
              <w:t>项目代建单位：</w:t>
            </w:r>
            <w:r>
              <w:rPr>
                <w:rFonts w:hint="eastAsia" w:ascii="宋体" w:hAnsi="宋体"/>
                <w:color w:val="000000"/>
                <w:highlight w:val="none"/>
                <w:u w:val="single"/>
              </w:rPr>
              <w:t>/</w:t>
            </w:r>
          </w:p>
          <w:p w14:paraId="179AEB26">
            <w:pPr>
              <w:rPr>
                <w:rFonts w:ascii="宋体" w:hAnsi="宋体"/>
                <w:color w:val="000000"/>
                <w:highlight w:val="none"/>
                <w:u w:val="single"/>
              </w:rPr>
            </w:pPr>
            <w:r>
              <w:rPr>
                <w:rFonts w:hint="eastAsia" w:ascii="宋体" w:hAnsi="宋体"/>
                <w:color w:val="000000"/>
                <w:highlight w:val="none"/>
              </w:rPr>
              <w:t>招标代理：</w:t>
            </w:r>
            <w:r>
              <w:rPr>
                <w:rFonts w:hint="eastAsia" w:ascii="宋体" w:hAnsi="宋体"/>
                <w:color w:val="000000"/>
                <w:highlight w:val="none"/>
                <w:u w:val="single"/>
              </w:rPr>
              <w:t xml:space="preserve">广东粤能工程管理有限公司  </w:t>
            </w:r>
          </w:p>
          <w:p w14:paraId="2D3BE207">
            <w:pPr>
              <w:rPr>
                <w:rFonts w:ascii="宋体" w:hAnsi="宋体"/>
                <w:highlight w:val="none"/>
              </w:rPr>
            </w:pPr>
            <w:r>
              <w:rPr>
                <w:rFonts w:hint="eastAsia" w:ascii="宋体" w:hAnsi="宋体"/>
                <w:highlight w:val="none"/>
              </w:rPr>
              <w:t>总承包单位：</w:t>
            </w:r>
            <w:r>
              <w:rPr>
                <w:rFonts w:hint="eastAsia" w:ascii="宋体" w:hAnsi="宋体"/>
                <w:highlight w:val="none"/>
                <w:u w:val="single"/>
              </w:rPr>
              <w:t xml:space="preserve">  广州协安建设工程有限公司                         </w:t>
            </w:r>
          </w:p>
          <w:p w14:paraId="6D5AFC7C">
            <w:pPr>
              <w:rPr>
                <w:rFonts w:ascii="宋体" w:hAnsi="宋体"/>
                <w:highlight w:val="none"/>
                <w:u w:val="single"/>
              </w:rPr>
            </w:pPr>
            <w:r>
              <w:rPr>
                <w:rFonts w:hint="eastAsia" w:ascii="宋体" w:hAnsi="宋体"/>
                <w:highlight w:val="none"/>
              </w:rPr>
              <w:t>设计单位：</w:t>
            </w:r>
            <w:r>
              <w:rPr>
                <w:rStyle w:val="114"/>
                <w:rFonts w:hint="eastAsia"/>
                <w:color w:val="000000"/>
                <w:highlight w:val="none"/>
                <w:u w:val="single"/>
              </w:rPr>
              <w:t>深圳市华阳国际工程设计股份有限公司</w:t>
            </w:r>
            <w:r>
              <w:rPr>
                <w:rFonts w:hint="eastAsia" w:ascii="宋体" w:hAnsi="宋体"/>
                <w:highlight w:val="none"/>
                <w:u w:val="single"/>
              </w:rPr>
              <w:t xml:space="preserve">                                </w:t>
            </w:r>
          </w:p>
          <w:p w14:paraId="569507FF">
            <w:pPr>
              <w:rPr>
                <w:rFonts w:ascii="宋体" w:hAnsi="宋体"/>
                <w:color w:val="000000"/>
                <w:szCs w:val="21"/>
                <w:highlight w:val="none"/>
              </w:rPr>
            </w:pPr>
            <w:r>
              <w:rPr>
                <w:rFonts w:hint="eastAsia" w:ascii="宋体" w:hAnsi="宋体"/>
                <w:highlight w:val="none"/>
              </w:rPr>
              <w:t>监理单位：</w:t>
            </w:r>
            <w:r>
              <w:rPr>
                <w:rFonts w:hint="eastAsia" w:ascii="宋体" w:hAnsi="宋体"/>
                <w:highlight w:val="none"/>
                <w:u w:val="single"/>
              </w:rPr>
              <w:t xml:space="preserve">  </w:t>
            </w:r>
            <w:r>
              <w:rPr>
                <w:rStyle w:val="114"/>
                <w:rFonts w:hint="eastAsia"/>
                <w:color w:val="000000"/>
                <w:highlight w:val="none"/>
                <w:u w:val="single"/>
              </w:rPr>
              <w:t>广州市市政工程监理有限公司</w:t>
            </w:r>
            <w:r>
              <w:rPr>
                <w:rFonts w:hint="eastAsia" w:ascii="宋体" w:hAnsi="宋体"/>
                <w:highlight w:val="none"/>
                <w:u w:val="single"/>
              </w:rPr>
              <w:t xml:space="preserve">                 </w:t>
            </w:r>
            <w:r>
              <w:rPr>
                <w:rFonts w:hint="eastAsia" w:ascii="宋体" w:hAnsi="宋体"/>
                <w:highlight w:val="none"/>
                <w:u w:val="single"/>
              </w:rPr>
              <w:t xml:space="preserve">          </w:t>
            </w:r>
          </w:p>
        </w:tc>
      </w:tr>
      <w:tr w14:paraId="1C22D9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02" w:type="dxa"/>
            <w:tcBorders>
              <w:top w:val="single" w:color="auto" w:sz="4" w:space="0"/>
              <w:left w:val="double" w:color="auto" w:sz="4" w:space="0"/>
              <w:bottom w:val="single" w:color="auto" w:sz="4" w:space="0"/>
              <w:right w:val="single" w:color="auto" w:sz="4" w:space="0"/>
            </w:tcBorders>
            <w:vAlign w:val="center"/>
          </w:tcPr>
          <w:p w14:paraId="4E8C42B6">
            <w:pPr>
              <w:rPr>
                <w:rFonts w:ascii="宋体" w:hAnsi="宋体"/>
                <w:color w:val="000000"/>
                <w:szCs w:val="21"/>
                <w:highlight w:val="none"/>
              </w:rPr>
            </w:pPr>
            <w:r>
              <w:rPr>
                <w:rFonts w:ascii="宋体" w:hAnsi="宋体"/>
                <w:color w:val="000000"/>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14:paraId="75E8214C">
            <w:pPr>
              <w:rPr>
                <w:rFonts w:ascii="宋体" w:hAnsi="宋体"/>
                <w:color w:val="000000"/>
                <w:szCs w:val="21"/>
                <w:highlight w:val="none"/>
              </w:rPr>
            </w:pPr>
            <w:r>
              <w:rPr>
                <w:rFonts w:ascii="宋体" w:hAnsi="宋体"/>
                <w:color w:val="000000"/>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65525100">
            <w:pPr>
              <w:rPr>
                <w:rFonts w:ascii="宋体" w:hAnsi="宋体"/>
                <w:color w:val="000000"/>
                <w:szCs w:val="21"/>
                <w:highlight w:val="none"/>
              </w:rPr>
            </w:pPr>
            <w:r>
              <w:rPr>
                <w:rFonts w:hint="eastAsia" w:ascii="宋体" w:hAnsi="宋体"/>
                <w:color w:val="000000"/>
                <w:szCs w:val="21"/>
                <w:highlight w:val="none"/>
              </w:rPr>
              <w:t>工程名称</w:t>
            </w:r>
          </w:p>
        </w:tc>
        <w:tc>
          <w:tcPr>
            <w:tcW w:w="5857" w:type="dxa"/>
            <w:tcBorders>
              <w:top w:val="single" w:color="auto" w:sz="4" w:space="0"/>
              <w:left w:val="single" w:color="auto" w:sz="4" w:space="0"/>
              <w:bottom w:val="single" w:color="auto" w:sz="4" w:space="0"/>
              <w:right w:val="double" w:color="auto" w:sz="4" w:space="0"/>
            </w:tcBorders>
            <w:vAlign w:val="center"/>
          </w:tcPr>
          <w:p w14:paraId="21FA5886">
            <w:pPr>
              <w:rPr>
                <w:rFonts w:ascii="宋体" w:hAnsi="宋体"/>
                <w:color w:val="000000"/>
                <w:szCs w:val="21"/>
                <w:highlight w:val="none"/>
                <w:u w:val="single"/>
              </w:rPr>
            </w:pPr>
            <w:r>
              <w:rPr>
                <w:rFonts w:hint="eastAsia" w:ascii="宋体" w:hAnsi="宋体"/>
                <w:color w:val="000000"/>
                <w:szCs w:val="21"/>
                <w:highlight w:val="none"/>
                <w:u w:val="single"/>
              </w:rPr>
              <w:t>凯得雪松智汇中心智能化（西地块）工程施工专业承包</w:t>
            </w:r>
          </w:p>
        </w:tc>
      </w:tr>
      <w:tr w14:paraId="6FA6C7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02" w:type="dxa"/>
            <w:tcBorders>
              <w:top w:val="single" w:color="auto" w:sz="4" w:space="0"/>
              <w:left w:val="double" w:color="auto" w:sz="4" w:space="0"/>
              <w:bottom w:val="single" w:color="auto" w:sz="4" w:space="0"/>
              <w:right w:val="single" w:color="auto" w:sz="4" w:space="0"/>
            </w:tcBorders>
            <w:vAlign w:val="center"/>
          </w:tcPr>
          <w:p w14:paraId="7FF584E0">
            <w:pPr>
              <w:rPr>
                <w:rFonts w:ascii="宋体" w:hAnsi="宋体"/>
                <w:color w:val="000000"/>
                <w:szCs w:val="21"/>
                <w:highlight w:val="none"/>
              </w:rPr>
            </w:pPr>
            <w:r>
              <w:rPr>
                <w:rFonts w:ascii="宋体" w:hAnsi="宋体"/>
                <w:color w:val="000000"/>
                <w:szCs w:val="21"/>
                <w:highlight w:val="none"/>
              </w:rPr>
              <w:t>3</w:t>
            </w:r>
          </w:p>
        </w:tc>
        <w:tc>
          <w:tcPr>
            <w:tcW w:w="981" w:type="dxa"/>
            <w:tcBorders>
              <w:top w:val="single" w:color="auto" w:sz="4" w:space="0"/>
              <w:left w:val="single" w:color="auto" w:sz="4" w:space="0"/>
              <w:bottom w:val="single" w:color="auto" w:sz="4" w:space="0"/>
              <w:right w:val="single" w:color="auto" w:sz="4" w:space="0"/>
            </w:tcBorders>
            <w:vAlign w:val="center"/>
          </w:tcPr>
          <w:p w14:paraId="08F785A8">
            <w:pPr>
              <w:rPr>
                <w:rFonts w:ascii="宋体" w:hAnsi="宋体"/>
                <w:color w:val="000000"/>
                <w:szCs w:val="21"/>
                <w:highlight w:val="none"/>
              </w:rPr>
            </w:pPr>
            <w:r>
              <w:rPr>
                <w:rFonts w:ascii="宋体" w:hAnsi="宋体"/>
                <w:color w:val="000000"/>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1ACF3050">
            <w:pPr>
              <w:rPr>
                <w:rFonts w:ascii="宋体" w:hAnsi="宋体"/>
                <w:color w:val="000000"/>
                <w:szCs w:val="21"/>
                <w:highlight w:val="none"/>
              </w:rPr>
            </w:pPr>
            <w:r>
              <w:rPr>
                <w:rFonts w:hint="eastAsia" w:ascii="宋体" w:hAnsi="宋体"/>
                <w:color w:val="000000"/>
                <w:szCs w:val="21"/>
                <w:highlight w:val="none"/>
              </w:rPr>
              <w:t>建设地点</w:t>
            </w:r>
          </w:p>
        </w:tc>
        <w:tc>
          <w:tcPr>
            <w:tcW w:w="5857" w:type="dxa"/>
            <w:tcBorders>
              <w:top w:val="single" w:color="auto" w:sz="4" w:space="0"/>
              <w:left w:val="single" w:color="auto" w:sz="4" w:space="0"/>
              <w:bottom w:val="single" w:color="auto" w:sz="4" w:space="0"/>
              <w:right w:val="double" w:color="auto" w:sz="4" w:space="0"/>
            </w:tcBorders>
            <w:vAlign w:val="center"/>
          </w:tcPr>
          <w:p w14:paraId="197D1BF8">
            <w:pPr>
              <w:rPr>
                <w:rFonts w:ascii="宋体" w:hAnsi="宋体"/>
                <w:color w:val="000000"/>
                <w:szCs w:val="21"/>
                <w:highlight w:val="none"/>
                <w:u w:val="single"/>
              </w:rPr>
            </w:pPr>
            <w:r>
              <w:rPr>
                <w:rFonts w:hint="eastAsia" w:ascii="宋体" w:hAnsi="宋体"/>
                <w:color w:val="000000"/>
                <w:szCs w:val="21"/>
                <w:highlight w:val="none"/>
                <w:u w:val="single"/>
              </w:rPr>
              <w:t>黄埔区科学城开创大道以南、荔红二路西侧。</w:t>
            </w:r>
          </w:p>
        </w:tc>
      </w:tr>
      <w:tr w14:paraId="4D81F6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14:paraId="6C47BFE4">
            <w:pPr>
              <w:rPr>
                <w:rFonts w:ascii="宋体" w:hAnsi="宋体"/>
                <w:color w:val="000000"/>
                <w:szCs w:val="21"/>
                <w:highlight w:val="none"/>
              </w:rPr>
            </w:pPr>
            <w:r>
              <w:rPr>
                <w:rFonts w:ascii="宋体" w:hAnsi="宋体"/>
                <w:color w:val="000000"/>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14:paraId="179991EE">
            <w:pPr>
              <w:rPr>
                <w:rFonts w:ascii="宋体" w:hAnsi="宋体"/>
                <w:color w:val="000000"/>
                <w:szCs w:val="21"/>
                <w:highlight w:val="none"/>
              </w:rPr>
            </w:pPr>
            <w:r>
              <w:rPr>
                <w:rFonts w:ascii="宋体" w:hAnsi="宋体"/>
                <w:color w:val="000000"/>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798013ED">
            <w:pPr>
              <w:rPr>
                <w:rFonts w:ascii="宋体" w:hAnsi="宋体"/>
                <w:color w:val="000000"/>
                <w:szCs w:val="21"/>
                <w:highlight w:val="none"/>
              </w:rPr>
            </w:pPr>
            <w:r>
              <w:rPr>
                <w:rFonts w:hint="eastAsia" w:ascii="宋体" w:hAnsi="宋体"/>
                <w:color w:val="000000"/>
                <w:szCs w:val="21"/>
                <w:highlight w:val="none"/>
              </w:rPr>
              <w:t>建设规模</w:t>
            </w:r>
          </w:p>
        </w:tc>
        <w:tc>
          <w:tcPr>
            <w:tcW w:w="5857" w:type="dxa"/>
            <w:tcBorders>
              <w:top w:val="single" w:color="auto" w:sz="4" w:space="0"/>
              <w:left w:val="single" w:color="auto" w:sz="4" w:space="0"/>
              <w:bottom w:val="single" w:color="auto" w:sz="4" w:space="0"/>
              <w:right w:val="double" w:color="auto" w:sz="4" w:space="0"/>
            </w:tcBorders>
            <w:vAlign w:val="center"/>
          </w:tcPr>
          <w:p w14:paraId="41895B57">
            <w:pPr>
              <w:snapToGrid w:val="0"/>
              <w:rPr>
                <w:rFonts w:ascii="宋体" w:hAnsi="宋体"/>
                <w:color w:val="000000"/>
                <w:szCs w:val="21"/>
                <w:highlight w:val="none"/>
                <w:u w:val="single"/>
              </w:rPr>
            </w:pPr>
            <w:r>
              <w:rPr>
                <w:rFonts w:hint="eastAsia" w:ascii="宋体" w:hAnsi="宋体" w:cs="宋体"/>
                <w:color w:val="000000"/>
                <w:kern w:val="0"/>
                <w:szCs w:val="21"/>
                <w:highlight w:val="none"/>
                <w:u w:val="single"/>
                <w:lang w:val="zh-CN"/>
              </w:rPr>
              <w:t>详见本工程招标公告</w:t>
            </w:r>
          </w:p>
        </w:tc>
      </w:tr>
      <w:tr w14:paraId="7CF6B7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702" w:type="dxa"/>
            <w:tcBorders>
              <w:top w:val="single" w:color="auto" w:sz="4" w:space="0"/>
              <w:left w:val="double" w:color="auto" w:sz="4" w:space="0"/>
              <w:bottom w:val="single" w:color="auto" w:sz="4" w:space="0"/>
              <w:right w:val="single" w:color="auto" w:sz="4" w:space="0"/>
            </w:tcBorders>
            <w:vAlign w:val="center"/>
          </w:tcPr>
          <w:p w14:paraId="0DD44A5D">
            <w:pPr>
              <w:rPr>
                <w:rFonts w:ascii="宋体" w:hAnsi="宋体"/>
                <w:color w:val="000000"/>
                <w:szCs w:val="21"/>
                <w:highlight w:val="none"/>
              </w:rPr>
            </w:pPr>
            <w:r>
              <w:rPr>
                <w:rFonts w:ascii="宋体" w:hAnsi="宋体"/>
                <w:color w:val="000000"/>
                <w:szCs w:val="21"/>
                <w:highlight w:val="none"/>
              </w:rPr>
              <w:t>5</w:t>
            </w:r>
          </w:p>
        </w:tc>
        <w:tc>
          <w:tcPr>
            <w:tcW w:w="981" w:type="dxa"/>
            <w:tcBorders>
              <w:top w:val="single" w:color="auto" w:sz="4" w:space="0"/>
              <w:left w:val="single" w:color="auto" w:sz="4" w:space="0"/>
              <w:bottom w:val="single" w:color="auto" w:sz="4" w:space="0"/>
              <w:right w:val="single" w:color="auto" w:sz="4" w:space="0"/>
            </w:tcBorders>
            <w:vAlign w:val="center"/>
          </w:tcPr>
          <w:p w14:paraId="243594B3">
            <w:pPr>
              <w:rPr>
                <w:rFonts w:ascii="宋体" w:hAnsi="宋体"/>
                <w:color w:val="000000"/>
                <w:szCs w:val="21"/>
                <w:highlight w:val="none"/>
              </w:rPr>
            </w:pPr>
            <w:r>
              <w:rPr>
                <w:rFonts w:ascii="宋体" w:hAnsi="宋体"/>
                <w:color w:val="000000"/>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3696525F">
            <w:pPr>
              <w:rPr>
                <w:rFonts w:ascii="宋体" w:hAnsi="宋体"/>
                <w:szCs w:val="21"/>
                <w:highlight w:val="none"/>
              </w:rPr>
            </w:pPr>
            <w:r>
              <w:rPr>
                <w:rFonts w:hint="eastAsia" w:ascii="宋体" w:hAnsi="宋体"/>
                <w:szCs w:val="21"/>
                <w:highlight w:val="none"/>
              </w:rPr>
              <w:t>承包方式</w:t>
            </w:r>
          </w:p>
        </w:tc>
        <w:tc>
          <w:tcPr>
            <w:tcW w:w="5857" w:type="dxa"/>
            <w:tcBorders>
              <w:top w:val="single" w:color="auto" w:sz="4" w:space="0"/>
              <w:left w:val="single" w:color="auto" w:sz="4" w:space="0"/>
              <w:bottom w:val="single" w:color="auto" w:sz="4" w:space="0"/>
              <w:right w:val="double" w:color="auto" w:sz="4" w:space="0"/>
            </w:tcBorders>
            <w:vAlign w:val="center"/>
          </w:tcPr>
          <w:p w14:paraId="3FE2DAF5">
            <w:pPr>
              <w:rPr>
                <w:rFonts w:ascii="宋体" w:hAnsi="宋体"/>
                <w:szCs w:val="21"/>
                <w:highlight w:val="none"/>
              </w:rPr>
            </w:pPr>
            <w:r>
              <w:rPr>
                <w:rFonts w:hint="eastAsia" w:ascii="宋体" w:hAnsi="宋体" w:cs="宋体"/>
                <w:szCs w:val="21"/>
                <w:highlight w:val="none"/>
                <w:u w:val="single"/>
              </w:rPr>
              <w:t>包深化设计、包工、包料、包机械、包工期、包质量、包安全、包文明施工、包工人工资、包劳保、包调试、包验收、包综合治理、包保修、包税费、包移交及培训。工程量清单综合单价包干、项目措施费包干。</w:t>
            </w:r>
          </w:p>
        </w:tc>
      </w:tr>
      <w:tr w14:paraId="6B7C56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02" w:type="dxa"/>
            <w:tcBorders>
              <w:top w:val="single" w:color="auto" w:sz="4" w:space="0"/>
              <w:left w:val="double" w:color="auto" w:sz="4" w:space="0"/>
              <w:bottom w:val="single" w:color="auto" w:sz="4" w:space="0"/>
              <w:right w:val="single" w:color="auto" w:sz="4" w:space="0"/>
            </w:tcBorders>
            <w:vAlign w:val="center"/>
          </w:tcPr>
          <w:p w14:paraId="1FF15D6A">
            <w:pPr>
              <w:rPr>
                <w:rFonts w:ascii="宋体" w:hAnsi="宋体"/>
                <w:color w:val="000000"/>
                <w:szCs w:val="21"/>
                <w:highlight w:val="none"/>
              </w:rPr>
            </w:pPr>
            <w:r>
              <w:rPr>
                <w:rFonts w:ascii="宋体" w:hAnsi="宋体"/>
                <w:color w:val="000000"/>
                <w:szCs w:val="21"/>
                <w:highlight w:val="none"/>
              </w:rPr>
              <w:t>6</w:t>
            </w:r>
          </w:p>
        </w:tc>
        <w:tc>
          <w:tcPr>
            <w:tcW w:w="981" w:type="dxa"/>
            <w:tcBorders>
              <w:top w:val="single" w:color="auto" w:sz="4" w:space="0"/>
              <w:left w:val="single" w:color="auto" w:sz="4" w:space="0"/>
              <w:bottom w:val="single" w:color="auto" w:sz="4" w:space="0"/>
              <w:right w:val="single" w:color="auto" w:sz="4" w:space="0"/>
            </w:tcBorders>
            <w:vAlign w:val="center"/>
          </w:tcPr>
          <w:p w14:paraId="09995ED6">
            <w:pPr>
              <w:rPr>
                <w:rFonts w:ascii="宋体" w:hAnsi="宋体"/>
                <w:color w:val="000000"/>
                <w:szCs w:val="21"/>
                <w:highlight w:val="none"/>
              </w:rPr>
            </w:pPr>
            <w:r>
              <w:rPr>
                <w:rFonts w:ascii="宋体" w:hAnsi="宋体"/>
                <w:color w:val="000000"/>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5BD7FB7A">
            <w:pPr>
              <w:rPr>
                <w:rFonts w:ascii="宋体" w:hAnsi="宋体"/>
                <w:szCs w:val="21"/>
                <w:highlight w:val="none"/>
              </w:rPr>
            </w:pPr>
            <w:r>
              <w:rPr>
                <w:rFonts w:hint="eastAsia" w:ascii="宋体" w:hAnsi="宋体"/>
                <w:szCs w:val="21"/>
                <w:highlight w:val="none"/>
              </w:rPr>
              <w:t>质量标准</w:t>
            </w:r>
          </w:p>
        </w:tc>
        <w:tc>
          <w:tcPr>
            <w:tcW w:w="5857" w:type="dxa"/>
            <w:tcBorders>
              <w:top w:val="single" w:color="auto" w:sz="4" w:space="0"/>
              <w:left w:val="single" w:color="auto" w:sz="4" w:space="0"/>
              <w:bottom w:val="single" w:color="auto" w:sz="4" w:space="0"/>
              <w:right w:val="double" w:color="auto" w:sz="4" w:space="0"/>
            </w:tcBorders>
            <w:vAlign w:val="center"/>
          </w:tcPr>
          <w:p w14:paraId="07D758F5">
            <w:pPr>
              <w:rPr>
                <w:rFonts w:ascii="宋体" w:hAnsi="宋体"/>
                <w:szCs w:val="21"/>
                <w:highlight w:val="none"/>
                <w:u w:val="single"/>
              </w:rPr>
            </w:pPr>
            <w:r>
              <w:rPr>
                <w:rFonts w:hint="eastAsia" w:ascii="宋体" w:hAnsi="宋体"/>
                <w:szCs w:val="21"/>
                <w:highlight w:val="none"/>
                <w:u w:val="single"/>
              </w:rPr>
              <w:t>执行国家、省或行业现行的工程建设质量验收标准及规范，须达到合格验收质量等级标准，满足招标人使用要求。</w:t>
            </w:r>
          </w:p>
        </w:tc>
      </w:tr>
      <w:tr w14:paraId="3BD2A5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14:paraId="1C008FB2">
            <w:pPr>
              <w:rPr>
                <w:rFonts w:ascii="宋体" w:hAnsi="宋体"/>
                <w:color w:val="000000"/>
                <w:szCs w:val="21"/>
                <w:highlight w:val="none"/>
              </w:rPr>
            </w:pPr>
            <w:r>
              <w:rPr>
                <w:rFonts w:ascii="宋体" w:hAnsi="宋体"/>
                <w:color w:val="000000"/>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14:paraId="5C956E90">
            <w:pPr>
              <w:rPr>
                <w:rFonts w:ascii="宋体" w:hAnsi="宋体"/>
                <w:color w:val="000000"/>
                <w:szCs w:val="21"/>
                <w:highlight w:val="none"/>
              </w:rPr>
            </w:pPr>
            <w:r>
              <w:rPr>
                <w:rFonts w:ascii="宋体" w:hAnsi="宋体"/>
                <w:color w:val="000000"/>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6BBF6E6A">
            <w:pPr>
              <w:rPr>
                <w:rFonts w:ascii="宋体" w:hAnsi="宋体"/>
                <w:szCs w:val="21"/>
                <w:highlight w:val="none"/>
              </w:rPr>
            </w:pPr>
            <w:r>
              <w:rPr>
                <w:rFonts w:hint="eastAsia" w:ascii="宋体" w:hAnsi="宋体"/>
                <w:szCs w:val="21"/>
                <w:highlight w:val="none"/>
              </w:rPr>
              <w:t>招标范围</w:t>
            </w:r>
          </w:p>
        </w:tc>
        <w:tc>
          <w:tcPr>
            <w:tcW w:w="5857" w:type="dxa"/>
            <w:tcBorders>
              <w:top w:val="single" w:color="auto" w:sz="4" w:space="0"/>
              <w:left w:val="single" w:color="auto" w:sz="4" w:space="0"/>
              <w:bottom w:val="single" w:color="auto" w:sz="4" w:space="0"/>
              <w:right w:val="double" w:color="auto" w:sz="4" w:space="0"/>
            </w:tcBorders>
            <w:vAlign w:val="center"/>
          </w:tcPr>
          <w:p w14:paraId="29FBCC20">
            <w:pPr>
              <w:rPr>
                <w:rFonts w:ascii="宋体" w:hAnsi="宋体"/>
                <w:szCs w:val="21"/>
                <w:highlight w:val="none"/>
                <w:u w:val="single"/>
              </w:rPr>
            </w:pPr>
            <w:r>
              <w:rPr>
                <w:rFonts w:hint="eastAsia" w:ascii="宋体" w:hAnsi="宋体" w:cs="宋体"/>
                <w:kern w:val="0"/>
                <w:szCs w:val="21"/>
                <w:highlight w:val="none"/>
                <w:u w:val="single"/>
                <w:lang w:val="zh-CN"/>
              </w:rPr>
              <w:t>详见本工程招标公告</w:t>
            </w:r>
          </w:p>
        </w:tc>
      </w:tr>
      <w:tr w14:paraId="06D53A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02" w:type="dxa"/>
            <w:tcBorders>
              <w:top w:val="single" w:color="auto" w:sz="4" w:space="0"/>
              <w:left w:val="double" w:color="auto" w:sz="4" w:space="0"/>
              <w:bottom w:val="single" w:color="auto" w:sz="4" w:space="0"/>
              <w:right w:val="single" w:color="auto" w:sz="4" w:space="0"/>
            </w:tcBorders>
            <w:vAlign w:val="center"/>
          </w:tcPr>
          <w:p w14:paraId="1B277404">
            <w:pPr>
              <w:rPr>
                <w:rFonts w:ascii="宋体" w:hAnsi="宋体"/>
                <w:color w:val="000000"/>
                <w:szCs w:val="21"/>
                <w:highlight w:val="none"/>
              </w:rPr>
            </w:pPr>
            <w:r>
              <w:rPr>
                <w:rFonts w:ascii="宋体" w:hAnsi="宋体"/>
                <w:color w:val="000000"/>
                <w:szCs w:val="21"/>
                <w:highlight w:val="none"/>
              </w:rPr>
              <w:t>8</w:t>
            </w:r>
          </w:p>
        </w:tc>
        <w:tc>
          <w:tcPr>
            <w:tcW w:w="981" w:type="dxa"/>
            <w:tcBorders>
              <w:top w:val="single" w:color="auto" w:sz="4" w:space="0"/>
              <w:left w:val="single" w:color="auto" w:sz="4" w:space="0"/>
              <w:bottom w:val="single" w:color="auto" w:sz="4" w:space="0"/>
              <w:right w:val="single" w:color="auto" w:sz="4" w:space="0"/>
            </w:tcBorders>
            <w:vAlign w:val="center"/>
          </w:tcPr>
          <w:p w14:paraId="539A6EFB">
            <w:pPr>
              <w:rPr>
                <w:rFonts w:ascii="宋体" w:hAnsi="宋体"/>
                <w:color w:val="000000"/>
                <w:szCs w:val="21"/>
                <w:highlight w:val="none"/>
              </w:rPr>
            </w:pPr>
            <w:r>
              <w:rPr>
                <w:rFonts w:ascii="宋体" w:hAnsi="宋体"/>
                <w:color w:val="000000"/>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66A06F7E">
            <w:pPr>
              <w:rPr>
                <w:rFonts w:ascii="宋体" w:hAnsi="宋体"/>
                <w:szCs w:val="21"/>
                <w:highlight w:val="none"/>
              </w:rPr>
            </w:pPr>
            <w:r>
              <w:rPr>
                <w:rFonts w:hint="eastAsia" w:ascii="宋体" w:hAnsi="宋体"/>
                <w:szCs w:val="21"/>
                <w:highlight w:val="none"/>
              </w:rPr>
              <w:t>工期要求</w:t>
            </w:r>
          </w:p>
        </w:tc>
        <w:tc>
          <w:tcPr>
            <w:tcW w:w="5857" w:type="dxa"/>
            <w:tcBorders>
              <w:top w:val="single" w:color="auto" w:sz="4" w:space="0"/>
              <w:left w:val="single" w:color="auto" w:sz="4" w:space="0"/>
              <w:bottom w:val="single" w:color="auto" w:sz="4" w:space="0"/>
              <w:right w:val="double" w:color="auto" w:sz="4" w:space="0"/>
            </w:tcBorders>
            <w:vAlign w:val="center"/>
          </w:tcPr>
          <w:p w14:paraId="33E22C96">
            <w:pPr>
              <w:rPr>
                <w:rFonts w:ascii="宋体" w:hAnsi="宋体"/>
                <w:szCs w:val="21"/>
                <w:highlight w:val="none"/>
              </w:rPr>
            </w:pPr>
            <w:r>
              <w:rPr>
                <w:rFonts w:hint="eastAsia" w:ascii="宋体" w:hAnsi="宋体"/>
                <w:highlight w:val="none"/>
              </w:rPr>
              <w:t>施工总期：合同总工期暂定</w:t>
            </w:r>
            <w:r>
              <w:rPr>
                <w:rFonts w:hAnsi="宋体" w:cs="宋体"/>
                <w:sz w:val="24"/>
                <w:szCs w:val="24"/>
                <w:highlight w:val="none"/>
              </w:rPr>
              <w:t>210</w:t>
            </w:r>
            <w:r>
              <w:rPr>
                <w:rFonts w:hint="eastAsia" w:ascii="宋体" w:hAnsi="宋体"/>
                <w:highlight w:val="none"/>
              </w:rPr>
              <w:t>日历天（完成承包范围内全部工作）。具体开工日期以招标人或者监理工程师发出开工指令为准。</w:t>
            </w:r>
          </w:p>
        </w:tc>
      </w:tr>
      <w:tr w14:paraId="6CC343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3D446369">
            <w:pPr>
              <w:rPr>
                <w:rFonts w:ascii="宋体" w:hAnsi="宋体"/>
                <w:color w:val="000000"/>
                <w:szCs w:val="21"/>
                <w:highlight w:val="none"/>
              </w:rPr>
            </w:pPr>
            <w:r>
              <w:rPr>
                <w:rFonts w:ascii="宋体" w:hAnsi="宋体"/>
                <w:color w:val="000000"/>
                <w:szCs w:val="21"/>
                <w:highlight w:val="none"/>
              </w:rPr>
              <w:t>9</w:t>
            </w:r>
          </w:p>
        </w:tc>
        <w:tc>
          <w:tcPr>
            <w:tcW w:w="981" w:type="dxa"/>
            <w:tcBorders>
              <w:top w:val="single" w:color="auto" w:sz="4" w:space="0"/>
              <w:left w:val="single" w:color="auto" w:sz="4" w:space="0"/>
              <w:bottom w:val="single" w:color="auto" w:sz="4" w:space="0"/>
              <w:right w:val="single" w:color="auto" w:sz="4" w:space="0"/>
            </w:tcBorders>
            <w:vAlign w:val="center"/>
          </w:tcPr>
          <w:p w14:paraId="03A67DC7">
            <w:pPr>
              <w:rPr>
                <w:rFonts w:ascii="宋体" w:hAnsi="宋体"/>
                <w:color w:val="000000"/>
                <w:szCs w:val="21"/>
                <w:highlight w:val="none"/>
              </w:rPr>
            </w:pPr>
            <w:r>
              <w:rPr>
                <w:rFonts w:ascii="宋体" w:hAnsi="宋体"/>
                <w:color w:val="000000"/>
                <w:szCs w:val="21"/>
                <w:highlight w:val="none"/>
              </w:rPr>
              <w:t>3.1</w:t>
            </w:r>
          </w:p>
        </w:tc>
        <w:tc>
          <w:tcPr>
            <w:tcW w:w="1810" w:type="dxa"/>
            <w:tcBorders>
              <w:top w:val="single" w:color="auto" w:sz="4" w:space="0"/>
              <w:left w:val="single" w:color="auto" w:sz="4" w:space="0"/>
              <w:bottom w:val="single" w:color="auto" w:sz="4" w:space="0"/>
              <w:right w:val="single" w:color="auto" w:sz="4" w:space="0"/>
            </w:tcBorders>
            <w:vAlign w:val="center"/>
          </w:tcPr>
          <w:p w14:paraId="2533EB79">
            <w:pPr>
              <w:rPr>
                <w:rFonts w:ascii="宋体" w:hAnsi="宋体"/>
                <w:color w:val="000000"/>
                <w:szCs w:val="21"/>
                <w:highlight w:val="none"/>
              </w:rPr>
            </w:pPr>
            <w:r>
              <w:rPr>
                <w:rFonts w:hint="eastAsia" w:ascii="宋体" w:hAnsi="宋体"/>
                <w:color w:val="000000"/>
                <w:szCs w:val="21"/>
                <w:highlight w:val="none"/>
              </w:rPr>
              <w:t>资金来源</w:t>
            </w:r>
          </w:p>
        </w:tc>
        <w:tc>
          <w:tcPr>
            <w:tcW w:w="5857" w:type="dxa"/>
            <w:tcBorders>
              <w:top w:val="single" w:color="auto" w:sz="4" w:space="0"/>
              <w:left w:val="single" w:color="auto" w:sz="4" w:space="0"/>
              <w:bottom w:val="single" w:color="auto" w:sz="4" w:space="0"/>
              <w:right w:val="double" w:color="auto" w:sz="4" w:space="0"/>
            </w:tcBorders>
            <w:vAlign w:val="center"/>
          </w:tcPr>
          <w:p w14:paraId="53DD52ED">
            <w:pPr>
              <w:rPr>
                <w:rFonts w:ascii="宋体" w:hAnsi="宋体"/>
                <w:color w:val="000000"/>
                <w:szCs w:val="21"/>
                <w:highlight w:val="none"/>
                <w:u w:val="single"/>
              </w:rPr>
            </w:pPr>
            <w:r>
              <w:rPr>
                <w:rFonts w:hint="eastAsia" w:ascii="宋体" w:hAnsi="宋体"/>
                <w:color w:val="000000"/>
                <w:szCs w:val="21"/>
                <w:highlight w:val="none"/>
                <w:u w:val="single"/>
              </w:rPr>
              <w:t>国有资金。</w:t>
            </w:r>
          </w:p>
        </w:tc>
      </w:tr>
      <w:tr w14:paraId="76B595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14:paraId="19FC0487">
            <w:pPr>
              <w:rPr>
                <w:rFonts w:ascii="宋体" w:hAnsi="宋体"/>
                <w:color w:val="000000"/>
                <w:szCs w:val="21"/>
                <w:highlight w:val="none"/>
              </w:rPr>
            </w:pPr>
            <w:r>
              <w:rPr>
                <w:rFonts w:ascii="宋体" w:hAnsi="宋体"/>
                <w:color w:val="000000"/>
                <w:szCs w:val="21"/>
                <w:highlight w:val="none"/>
              </w:rPr>
              <w:t>10</w:t>
            </w:r>
          </w:p>
        </w:tc>
        <w:tc>
          <w:tcPr>
            <w:tcW w:w="981" w:type="dxa"/>
            <w:tcBorders>
              <w:top w:val="single" w:color="auto" w:sz="4" w:space="0"/>
              <w:left w:val="single" w:color="auto" w:sz="4" w:space="0"/>
              <w:bottom w:val="single" w:color="auto" w:sz="4" w:space="0"/>
              <w:right w:val="single" w:color="auto" w:sz="4" w:space="0"/>
            </w:tcBorders>
            <w:vAlign w:val="center"/>
          </w:tcPr>
          <w:p w14:paraId="74467C4B">
            <w:pPr>
              <w:rPr>
                <w:rFonts w:ascii="宋体" w:hAnsi="宋体"/>
                <w:color w:val="000000"/>
                <w:szCs w:val="21"/>
                <w:highlight w:val="none"/>
              </w:rPr>
            </w:pPr>
            <w:r>
              <w:rPr>
                <w:rFonts w:ascii="宋体" w:hAnsi="宋体"/>
                <w:color w:val="000000"/>
                <w:szCs w:val="21"/>
                <w:highlight w:val="none"/>
              </w:rPr>
              <w:t>4.1</w:t>
            </w:r>
          </w:p>
        </w:tc>
        <w:tc>
          <w:tcPr>
            <w:tcW w:w="1810" w:type="dxa"/>
            <w:tcBorders>
              <w:top w:val="single" w:color="auto" w:sz="4" w:space="0"/>
              <w:left w:val="single" w:color="auto" w:sz="4" w:space="0"/>
              <w:bottom w:val="single" w:color="auto" w:sz="4" w:space="0"/>
              <w:right w:val="single" w:color="auto" w:sz="4" w:space="0"/>
            </w:tcBorders>
            <w:vAlign w:val="center"/>
          </w:tcPr>
          <w:p w14:paraId="4F1B2D80">
            <w:pPr>
              <w:rPr>
                <w:rFonts w:ascii="宋体" w:hAnsi="宋体"/>
                <w:color w:val="000000"/>
                <w:szCs w:val="21"/>
                <w:highlight w:val="none"/>
              </w:rPr>
            </w:pPr>
            <w:r>
              <w:rPr>
                <w:rFonts w:hint="eastAsia" w:ascii="宋体" w:hAnsi="宋体"/>
                <w:color w:val="000000"/>
                <w:szCs w:val="21"/>
                <w:highlight w:val="none"/>
              </w:rPr>
              <w:t>投标人资质等级及项目负责人等级要求</w:t>
            </w:r>
          </w:p>
        </w:tc>
        <w:tc>
          <w:tcPr>
            <w:tcW w:w="5857" w:type="dxa"/>
            <w:tcBorders>
              <w:top w:val="single" w:color="auto" w:sz="4" w:space="0"/>
              <w:left w:val="single" w:color="auto" w:sz="4" w:space="0"/>
              <w:bottom w:val="single" w:color="auto" w:sz="4" w:space="0"/>
              <w:right w:val="double" w:color="auto" w:sz="4" w:space="0"/>
            </w:tcBorders>
            <w:vAlign w:val="center"/>
          </w:tcPr>
          <w:p w14:paraId="60AD62D6">
            <w:pPr>
              <w:rPr>
                <w:rFonts w:ascii="宋体" w:hAnsi="宋体"/>
                <w:color w:val="000000"/>
                <w:szCs w:val="21"/>
                <w:highlight w:val="none"/>
              </w:rPr>
            </w:pPr>
            <w:r>
              <w:rPr>
                <w:rFonts w:hint="eastAsia" w:ascii="宋体" w:hAnsi="宋体"/>
                <w:color w:val="000000"/>
                <w:szCs w:val="21"/>
                <w:highlight w:val="none"/>
              </w:rPr>
              <w:t>详见本工程招标公告。</w:t>
            </w:r>
          </w:p>
        </w:tc>
      </w:tr>
      <w:tr w14:paraId="02F68D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2F3C7AFF">
            <w:pPr>
              <w:rPr>
                <w:rFonts w:ascii="宋体" w:hAnsi="宋体"/>
                <w:color w:val="000000"/>
                <w:szCs w:val="21"/>
                <w:highlight w:val="none"/>
              </w:rPr>
            </w:pPr>
            <w:r>
              <w:rPr>
                <w:rFonts w:ascii="宋体" w:hAnsi="宋体"/>
                <w:color w:val="000000"/>
                <w:szCs w:val="21"/>
                <w:highlight w:val="none"/>
              </w:rPr>
              <w:t>11</w:t>
            </w:r>
          </w:p>
        </w:tc>
        <w:tc>
          <w:tcPr>
            <w:tcW w:w="981" w:type="dxa"/>
            <w:tcBorders>
              <w:top w:val="single" w:color="auto" w:sz="4" w:space="0"/>
              <w:left w:val="single" w:color="auto" w:sz="4" w:space="0"/>
              <w:bottom w:val="single" w:color="auto" w:sz="4" w:space="0"/>
              <w:right w:val="single" w:color="auto" w:sz="4" w:space="0"/>
            </w:tcBorders>
            <w:vAlign w:val="center"/>
          </w:tcPr>
          <w:p w14:paraId="3E475E6E">
            <w:pPr>
              <w:ind w:firstLine="458"/>
              <w:rPr>
                <w:rFonts w:ascii="宋体" w:hAnsi="宋体"/>
                <w:color w:val="000000"/>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52FE7AFA">
            <w:pPr>
              <w:rPr>
                <w:rFonts w:ascii="宋体" w:hAnsi="宋体"/>
                <w:color w:val="000000"/>
                <w:szCs w:val="21"/>
                <w:highlight w:val="none"/>
              </w:rPr>
            </w:pPr>
            <w:r>
              <w:rPr>
                <w:rFonts w:hint="eastAsia" w:ascii="宋体" w:hAnsi="宋体"/>
                <w:color w:val="000000"/>
                <w:szCs w:val="21"/>
                <w:highlight w:val="none"/>
              </w:rPr>
              <w:t>资格审查方式</w:t>
            </w:r>
          </w:p>
        </w:tc>
        <w:tc>
          <w:tcPr>
            <w:tcW w:w="5857" w:type="dxa"/>
            <w:tcBorders>
              <w:top w:val="single" w:color="auto" w:sz="4" w:space="0"/>
              <w:left w:val="single" w:color="auto" w:sz="4" w:space="0"/>
              <w:bottom w:val="single" w:color="auto" w:sz="4" w:space="0"/>
              <w:right w:val="double" w:color="auto" w:sz="4" w:space="0"/>
            </w:tcBorders>
            <w:vAlign w:val="center"/>
          </w:tcPr>
          <w:p w14:paraId="07C09A92">
            <w:pPr>
              <w:rPr>
                <w:rFonts w:ascii="宋体" w:hAnsi="宋体"/>
                <w:color w:val="000000"/>
                <w:szCs w:val="21"/>
                <w:highlight w:val="none"/>
              </w:rPr>
            </w:pPr>
            <w:r>
              <w:rPr>
                <w:rFonts w:hint="eastAsia" w:ascii="宋体" w:hAnsi="宋体"/>
                <w:color w:val="000000"/>
                <w:szCs w:val="21"/>
                <w:highlight w:val="none"/>
              </w:rPr>
              <w:t>详见本工程招标公告。</w:t>
            </w:r>
          </w:p>
        </w:tc>
      </w:tr>
      <w:tr w14:paraId="714926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478D5C60">
            <w:pPr>
              <w:rPr>
                <w:rFonts w:ascii="宋体" w:hAnsi="宋体"/>
                <w:color w:val="000000"/>
                <w:szCs w:val="21"/>
                <w:highlight w:val="none"/>
              </w:rPr>
            </w:pPr>
            <w:r>
              <w:rPr>
                <w:rFonts w:ascii="宋体" w:hAnsi="宋体"/>
                <w:color w:val="000000"/>
                <w:szCs w:val="21"/>
                <w:highlight w:val="none"/>
              </w:rPr>
              <w:t>12</w:t>
            </w:r>
          </w:p>
        </w:tc>
        <w:tc>
          <w:tcPr>
            <w:tcW w:w="981" w:type="dxa"/>
            <w:tcBorders>
              <w:top w:val="single" w:color="auto" w:sz="4" w:space="0"/>
              <w:left w:val="single" w:color="auto" w:sz="4" w:space="0"/>
              <w:bottom w:val="single" w:color="auto" w:sz="4" w:space="0"/>
              <w:right w:val="single" w:color="auto" w:sz="4" w:space="0"/>
            </w:tcBorders>
            <w:vAlign w:val="center"/>
          </w:tcPr>
          <w:p w14:paraId="151D9B02">
            <w:pPr>
              <w:rPr>
                <w:rFonts w:ascii="宋体" w:hAnsi="宋体"/>
                <w:color w:val="000000"/>
                <w:szCs w:val="21"/>
                <w:highlight w:val="none"/>
              </w:rPr>
            </w:pPr>
            <w:r>
              <w:rPr>
                <w:rFonts w:ascii="宋体" w:hAnsi="宋体"/>
                <w:color w:val="000000"/>
                <w:szCs w:val="21"/>
                <w:highlight w:val="none"/>
              </w:rPr>
              <w:t>13.1</w:t>
            </w:r>
          </w:p>
        </w:tc>
        <w:tc>
          <w:tcPr>
            <w:tcW w:w="1810" w:type="dxa"/>
            <w:tcBorders>
              <w:top w:val="single" w:color="auto" w:sz="4" w:space="0"/>
              <w:left w:val="single" w:color="auto" w:sz="4" w:space="0"/>
              <w:bottom w:val="single" w:color="auto" w:sz="4" w:space="0"/>
              <w:right w:val="single" w:color="auto" w:sz="4" w:space="0"/>
            </w:tcBorders>
            <w:vAlign w:val="center"/>
          </w:tcPr>
          <w:p w14:paraId="2BD054D3">
            <w:pPr>
              <w:rPr>
                <w:rFonts w:ascii="宋体" w:hAnsi="宋体"/>
                <w:color w:val="000000"/>
                <w:szCs w:val="21"/>
                <w:highlight w:val="none"/>
              </w:rPr>
            </w:pPr>
            <w:r>
              <w:rPr>
                <w:rFonts w:hint="eastAsia" w:ascii="宋体" w:hAnsi="宋体"/>
                <w:color w:val="000000"/>
                <w:szCs w:val="21"/>
                <w:highlight w:val="none"/>
              </w:rPr>
              <w:t>报价以及单价和总价计算方式</w:t>
            </w:r>
          </w:p>
        </w:tc>
        <w:tc>
          <w:tcPr>
            <w:tcW w:w="5857" w:type="dxa"/>
            <w:tcBorders>
              <w:top w:val="single" w:color="auto" w:sz="4" w:space="0"/>
              <w:left w:val="single" w:color="auto" w:sz="4" w:space="0"/>
              <w:bottom w:val="single" w:color="auto" w:sz="4" w:space="0"/>
              <w:right w:val="double" w:color="auto" w:sz="4" w:space="0"/>
            </w:tcBorders>
            <w:vAlign w:val="center"/>
          </w:tcPr>
          <w:p w14:paraId="7252E5DC">
            <w:pPr>
              <w:rPr>
                <w:rFonts w:ascii="宋体" w:hAnsi="宋体"/>
                <w:color w:val="000000"/>
                <w:szCs w:val="21"/>
                <w:highlight w:val="none"/>
              </w:rPr>
            </w:pPr>
            <w:r>
              <w:rPr>
                <w:rFonts w:hint="eastAsia" w:ascii="宋体" w:hAnsi="宋体"/>
                <w:color w:val="000000"/>
                <w:szCs w:val="21"/>
                <w:highlight w:val="none"/>
              </w:rPr>
              <w:t>工程量清单计价。</w:t>
            </w:r>
          </w:p>
        </w:tc>
      </w:tr>
      <w:tr w14:paraId="295BB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1E56E6D3">
            <w:pPr>
              <w:rPr>
                <w:rFonts w:ascii="宋体" w:hAnsi="宋体"/>
                <w:color w:val="000000"/>
                <w:szCs w:val="21"/>
                <w:highlight w:val="none"/>
              </w:rPr>
            </w:pPr>
            <w:r>
              <w:rPr>
                <w:rFonts w:ascii="宋体" w:hAnsi="宋体"/>
                <w:color w:val="000000"/>
                <w:szCs w:val="21"/>
                <w:highlight w:val="none"/>
              </w:rPr>
              <w:t>13</w:t>
            </w:r>
          </w:p>
        </w:tc>
        <w:tc>
          <w:tcPr>
            <w:tcW w:w="981" w:type="dxa"/>
            <w:tcBorders>
              <w:top w:val="single" w:color="auto" w:sz="4" w:space="0"/>
              <w:left w:val="single" w:color="auto" w:sz="4" w:space="0"/>
              <w:bottom w:val="single" w:color="auto" w:sz="4" w:space="0"/>
              <w:right w:val="single" w:color="auto" w:sz="4" w:space="0"/>
            </w:tcBorders>
            <w:vAlign w:val="center"/>
          </w:tcPr>
          <w:p w14:paraId="06E1FCE8">
            <w:pPr>
              <w:rPr>
                <w:rFonts w:ascii="宋体" w:hAnsi="宋体"/>
                <w:color w:val="000000"/>
                <w:szCs w:val="21"/>
                <w:highlight w:val="none"/>
              </w:rPr>
            </w:pPr>
            <w:r>
              <w:rPr>
                <w:rFonts w:ascii="宋体" w:hAnsi="宋体"/>
                <w:color w:val="000000"/>
                <w:szCs w:val="21"/>
                <w:highlight w:val="none"/>
              </w:rPr>
              <w:t>15.1</w:t>
            </w:r>
          </w:p>
        </w:tc>
        <w:tc>
          <w:tcPr>
            <w:tcW w:w="1810" w:type="dxa"/>
            <w:tcBorders>
              <w:top w:val="single" w:color="auto" w:sz="4" w:space="0"/>
              <w:left w:val="single" w:color="auto" w:sz="4" w:space="0"/>
              <w:bottom w:val="single" w:color="auto" w:sz="4" w:space="0"/>
              <w:right w:val="single" w:color="auto" w:sz="4" w:space="0"/>
            </w:tcBorders>
            <w:vAlign w:val="center"/>
          </w:tcPr>
          <w:p w14:paraId="26AFF200">
            <w:pPr>
              <w:rPr>
                <w:rFonts w:ascii="宋体" w:hAnsi="宋体"/>
                <w:color w:val="000000"/>
                <w:szCs w:val="21"/>
                <w:highlight w:val="none"/>
              </w:rPr>
            </w:pPr>
            <w:r>
              <w:rPr>
                <w:rFonts w:hint="eastAsia" w:ascii="宋体" w:hAnsi="宋体"/>
                <w:color w:val="000000"/>
                <w:szCs w:val="21"/>
                <w:highlight w:val="none"/>
              </w:rPr>
              <w:t>投标有效期</w:t>
            </w:r>
          </w:p>
        </w:tc>
        <w:tc>
          <w:tcPr>
            <w:tcW w:w="5857" w:type="dxa"/>
            <w:tcBorders>
              <w:top w:val="single" w:color="auto" w:sz="4" w:space="0"/>
              <w:left w:val="single" w:color="auto" w:sz="4" w:space="0"/>
              <w:bottom w:val="single" w:color="auto" w:sz="4" w:space="0"/>
              <w:right w:val="double" w:color="auto" w:sz="4" w:space="0"/>
            </w:tcBorders>
            <w:vAlign w:val="center"/>
          </w:tcPr>
          <w:p w14:paraId="46E3B9CC">
            <w:pPr>
              <w:rPr>
                <w:rFonts w:ascii="宋体" w:hAnsi="宋体"/>
                <w:color w:val="000000"/>
                <w:szCs w:val="21"/>
                <w:highlight w:val="none"/>
                <w:u w:val="single"/>
              </w:rPr>
            </w:pPr>
            <w:r>
              <w:rPr>
                <w:rFonts w:hint="eastAsia" w:ascii="宋体" w:hAnsi="宋体"/>
                <w:color w:val="000000"/>
                <w:szCs w:val="21"/>
                <w:highlight w:val="none"/>
                <w:u w:val="single"/>
              </w:rPr>
              <w:t>90</w:t>
            </w:r>
            <w:r>
              <w:rPr>
                <w:rFonts w:hint="eastAsia" w:ascii="宋体" w:hAnsi="宋体"/>
                <w:color w:val="000000"/>
                <w:szCs w:val="21"/>
                <w:highlight w:val="none"/>
              </w:rPr>
              <w:t>日历天。（从投标截止之日计起）</w:t>
            </w:r>
            <w:r>
              <w:rPr>
                <w:rFonts w:hint="eastAsia" w:ascii="宋体" w:hAnsi="宋体" w:cs="宋体"/>
                <w:color w:val="000000"/>
                <w:szCs w:val="21"/>
                <w:highlight w:val="none"/>
                <w:u w:val="single"/>
              </w:rPr>
              <w:t>如出现异议或投诉，则投标有效期自动延长至异议或投诉处理结束后90日历天。</w:t>
            </w:r>
          </w:p>
        </w:tc>
      </w:tr>
      <w:tr w14:paraId="7AD729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3DCC9E56">
            <w:pPr>
              <w:rPr>
                <w:rFonts w:ascii="宋体" w:hAnsi="宋体"/>
                <w:color w:val="000000"/>
                <w:szCs w:val="21"/>
                <w:highlight w:val="none"/>
              </w:rPr>
            </w:pPr>
            <w:r>
              <w:rPr>
                <w:rFonts w:ascii="宋体" w:hAnsi="宋体"/>
                <w:color w:val="000000"/>
                <w:szCs w:val="21"/>
                <w:highlight w:val="none"/>
              </w:rPr>
              <w:t>14</w:t>
            </w:r>
          </w:p>
        </w:tc>
        <w:tc>
          <w:tcPr>
            <w:tcW w:w="981" w:type="dxa"/>
            <w:tcBorders>
              <w:top w:val="single" w:color="auto" w:sz="4" w:space="0"/>
              <w:left w:val="single" w:color="auto" w:sz="4" w:space="0"/>
              <w:bottom w:val="single" w:color="auto" w:sz="4" w:space="0"/>
              <w:right w:val="single" w:color="auto" w:sz="4" w:space="0"/>
            </w:tcBorders>
            <w:vAlign w:val="center"/>
          </w:tcPr>
          <w:p w14:paraId="6DE30BA0">
            <w:pPr>
              <w:rPr>
                <w:rFonts w:ascii="宋体" w:hAnsi="宋体"/>
                <w:color w:val="000000"/>
                <w:szCs w:val="21"/>
                <w:highlight w:val="none"/>
              </w:rPr>
            </w:pPr>
            <w:r>
              <w:rPr>
                <w:rFonts w:ascii="宋体" w:hAnsi="宋体"/>
                <w:color w:val="000000"/>
                <w:szCs w:val="21"/>
                <w:highlight w:val="none"/>
              </w:rPr>
              <w:t>16.1</w:t>
            </w:r>
          </w:p>
        </w:tc>
        <w:tc>
          <w:tcPr>
            <w:tcW w:w="1810" w:type="dxa"/>
            <w:tcBorders>
              <w:top w:val="single" w:color="auto" w:sz="4" w:space="0"/>
              <w:left w:val="single" w:color="auto" w:sz="4" w:space="0"/>
              <w:bottom w:val="single" w:color="auto" w:sz="4" w:space="0"/>
              <w:right w:val="single" w:color="auto" w:sz="4" w:space="0"/>
            </w:tcBorders>
            <w:vAlign w:val="center"/>
          </w:tcPr>
          <w:p w14:paraId="3A41F6C8">
            <w:pPr>
              <w:rPr>
                <w:rFonts w:ascii="宋体" w:hAnsi="宋体"/>
                <w:color w:val="000000"/>
                <w:szCs w:val="21"/>
                <w:highlight w:val="none"/>
              </w:rPr>
            </w:pPr>
            <w:r>
              <w:rPr>
                <w:rFonts w:hint="eastAsia" w:ascii="宋体" w:hAnsi="宋体"/>
                <w:color w:val="000000"/>
                <w:szCs w:val="21"/>
                <w:highlight w:val="none"/>
              </w:rPr>
              <w:t>投标保证金</w:t>
            </w:r>
          </w:p>
        </w:tc>
        <w:tc>
          <w:tcPr>
            <w:tcW w:w="5857" w:type="dxa"/>
            <w:tcBorders>
              <w:top w:val="single" w:color="auto" w:sz="4" w:space="0"/>
              <w:left w:val="single" w:color="auto" w:sz="4" w:space="0"/>
              <w:bottom w:val="single" w:color="auto" w:sz="4" w:space="0"/>
              <w:right w:val="double" w:color="auto" w:sz="4" w:space="0"/>
            </w:tcBorders>
            <w:vAlign w:val="center"/>
          </w:tcPr>
          <w:p w14:paraId="0FA521AA">
            <w:pPr>
              <w:spacing w:line="360" w:lineRule="exact"/>
              <w:rPr>
                <w:highlight w:val="none"/>
              </w:rPr>
            </w:pPr>
            <w:r>
              <w:rPr>
                <w:highlight w:val="none"/>
              </w:rPr>
              <w:t>方式二：本项目收取投标保证金5万元人民币，缴纳时间在递交投标文件截止时间之前</w:t>
            </w:r>
            <w:r>
              <w:rPr>
                <w:rFonts w:hint="eastAsia"/>
                <w:highlight w:val="none"/>
              </w:rPr>
              <w:t>。</w:t>
            </w:r>
          </w:p>
          <w:p w14:paraId="4D09236A">
            <w:pPr>
              <w:spacing w:line="360" w:lineRule="exact"/>
              <w:rPr>
                <w:highlight w:val="none"/>
              </w:rPr>
            </w:pPr>
            <w:r>
              <w:rPr>
                <w:rFonts w:hint="eastAsia"/>
                <w:highlight w:val="none"/>
              </w:rPr>
              <w:t>1、投标保证金可采用现金、支票、银行保函、保证保险、专业担保公司担保等形式，须在递交投标文件截止时间前完成缴纳。</w:t>
            </w:r>
          </w:p>
          <w:p w14:paraId="72A07D3C">
            <w:pPr>
              <w:spacing w:line="360" w:lineRule="exact"/>
              <w:rPr>
                <w:highlight w:val="none"/>
              </w:rPr>
            </w:pPr>
            <w:r>
              <w:rPr>
                <w:rFonts w:hint="eastAsia"/>
                <w:highlight w:val="none"/>
              </w:rPr>
              <w:t>2、现金或支票形式提交的，由</w:t>
            </w:r>
            <w:r>
              <w:rPr>
                <w:rFonts w:hint="eastAsia" w:cs="宋体"/>
                <w:szCs w:val="21"/>
                <w:highlight w:val="none"/>
                <w:u w:val="single"/>
              </w:rPr>
              <w:t>广州交易集团有限公司（广州公共资源交易中心）</w:t>
            </w:r>
            <w:r>
              <w:rPr>
                <w:rFonts w:hint="eastAsia"/>
                <w:highlight w:val="none"/>
              </w:rPr>
              <w:t>代收（保证金从投标人基本账户转账至</w:t>
            </w:r>
            <w:r>
              <w:rPr>
                <w:rFonts w:hint="eastAsia" w:cs="宋体"/>
                <w:szCs w:val="21"/>
                <w:highlight w:val="none"/>
                <w:u w:val="single"/>
              </w:rPr>
              <w:t>广州交易集团有限公司（广州公共资源交易中心）</w:t>
            </w:r>
            <w:r>
              <w:rPr>
                <w:rFonts w:hint="eastAsia"/>
                <w:highlight w:val="none"/>
              </w:rPr>
              <w:t>）。具体操作要求详见</w:t>
            </w:r>
            <w:r>
              <w:rPr>
                <w:rFonts w:hint="eastAsia" w:cs="宋体"/>
                <w:szCs w:val="21"/>
                <w:highlight w:val="none"/>
                <w:u w:val="single"/>
              </w:rPr>
              <w:t>广州交易集团有限公司（广州公共资源交易中心）</w:t>
            </w:r>
            <w:r>
              <w:rPr>
                <w:rFonts w:hint="eastAsia"/>
                <w:highlight w:val="none"/>
              </w:rPr>
              <w:t>最新的投标保证金缴纳操作流程及有关指引，递交事宜请自行咨询</w:t>
            </w:r>
            <w:r>
              <w:rPr>
                <w:rFonts w:hint="eastAsia" w:cs="宋体"/>
                <w:szCs w:val="21"/>
                <w:highlight w:val="none"/>
                <w:u w:val="single"/>
              </w:rPr>
              <w:t>广州交易集团有限公司（广州公共资源交易中心）</w:t>
            </w:r>
            <w:r>
              <w:rPr>
                <w:rFonts w:hint="eastAsia"/>
                <w:highlight w:val="none"/>
              </w:rPr>
              <w:t>；请各投标人在投标文件递交截止时间前按上述金额递交至</w:t>
            </w:r>
            <w:r>
              <w:rPr>
                <w:rFonts w:hint="eastAsia" w:cs="宋体"/>
                <w:szCs w:val="21"/>
                <w:highlight w:val="none"/>
                <w:u w:val="single"/>
              </w:rPr>
              <w:t>广州交易集团有限公司（广州公共资源交易中心）</w:t>
            </w:r>
            <w:r>
              <w:rPr>
                <w:rFonts w:hint="eastAsia"/>
                <w:highlight w:val="none"/>
              </w:rPr>
              <w:t>，到账情况以开标时</w:t>
            </w:r>
            <w:r>
              <w:rPr>
                <w:rFonts w:hint="eastAsia" w:cs="宋体"/>
                <w:szCs w:val="21"/>
                <w:highlight w:val="none"/>
                <w:u w:val="single"/>
              </w:rPr>
              <w:t>广州交易集团有限公司（广州公共资源交易中心）</w:t>
            </w:r>
            <w:r>
              <w:rPr>
                <w:rFonts w:hint="eastAsia"/>
                <w:highlight w:val="none"/>
              </w:rPr>
              <w:t>数据库查询的信息为准。</w:t>
            </w:r>
          </w:p>
          <w:p w14:paraId="11F15DF0">
            <w:pPr>
              <w:spacing w:line="360" w:lineRule="exact"/>
              <w:rPr>
                <w:highlight w:val="none"/>
              </w:rPr>
            </w:pPr>
            <w:r>
              <w:rPr>
                <w:rFonts w:hint="eastAsia"/>
                <w:highlight w:val="none"/>
              </w:rPr>
              <w:t>3、如采用银行保函或保证保险或专业担保公司担保的形式提交的，银行投标保函需开具给招标人，投标保证保险需开具给招标人（受益人也必须是招标人）。在开标前不强制要求提交相关文本原件，但投标人应在投标文件中提交投标保函或投标保证保险文本或专业担保公司担保的扫描件并加盖投标人电子印章。评审结束后，中标候选人应在中标候选人公示前提交其办理的投标保函或投标保证保险扫描件并在网上予以公示。如投标人选择在开标前提交相关文本原件的，可在投标截止时间前单独密封递交至开标室（密封袋上应写明“</w:t>
            </w:r>
            <w:r>
              <w:rPr>
                <w:highlight w:val="none"/>
              </w:rPr>
              <w:t>[工程名称]投标保证金凭证原件”，时间及地点同递交投标文件备用光盘或U盘的时间及地点一致）。</w:t>
            </w:r>
          </w:p>
          <w:p w14:paraId="73AD6C78">
            <w:pPr>
              <w:spacing w:line="360" w:lineRule="exact"/>
              <w:rPr>
                <w:highlight w:val="none"/>
              </w:rPr>
            </w:pPr>
            <w:r>
              <w:rPr>
                <w:rFonts w:hint="eastAsia"/>
                <w:highlight w:val="none"/>
              </w:rPr>
              <w:t>4、</w:t>
            </w:r>
            <w:r>
              <w:rPr>
                <w:highlight w:val="none"/>
              </w:rPr>
              <w:t>如采用非现金电子化形式递交投标保证金，按</w:t>
            </w:r>
            <w:r>
              <w:rPr>
                <w:rFonts w:hint="eastAsia" w:cs="宋体"/>
                <w:szCs w:val="21"/>
                <w:highlight w:val="none"/>
                <w:u w:val="single"/>
              </w:rPr>
              <w:t>广州交易集团有限公司（广州公共资源交易中心）</w:t>
            </w:r>
            <w:r>
              <w:rPr>
                <w:highlight w:val="none"/>
              </w:rPr>
              <w:t>发布的《广州公共资源交易中心关于开通电子保函服务功能的通知》操作。详见：</w:t>
            </w:r>
            <w:r>
              <w:rPr>
                <w:highlight w:val="none"/>
              </w:rPr>
              <w:fldChar w:fldCharType="begin"/>
            </w:r>
            <w:r>
              <w:rPr>
                <w:highlight w:val="none"/>
              </w:rPr>
              <w:instrText xml:space="preserve"> HYPERLINK "http://ggzy.gz.gov.cn/zxgg/822128.jhtml" </w:instrText>
            </w:r>
            <w:r>
              <w:rPr>
                <w:highlight w:val="none"/>
              </w:rPr>
              <w:fldChar w:fldCharType="separate"/>
            </w:r>
            <w:r>
              <w:rPr>
                <w:highlight w:val="none"/>
              </w:rPr>
              <w:t>http://ggzy.gz.gov.cn/zxgg/822128.jhtml</w:t>
            </w:r>
            <w:r>
              <w:rPr>
                <w:highlight w:val="none"/>
              </w:rPr>
              <w:fldChar w:fldCharType="end"/>
            </w:r>
            <w:r>
              <w:rPr>
                <w:rFonts w:hint="eastAsia"/>
                <w:highlight w:val="none"/>
              </w:rPr>
              <w:t>。</w:t>
            </w:r>
          </w:p>
          <w:p w14:paraId="5F271ED8">
            <w:pPr>
              <w:rPr>
                <w:highlight w:val="none"/>
              </w:rPr>
            </w:pPr>
            <w:r>
              <w:rPr>
                <w:rFonts w:hint="eastAsia"/>
                <w:highlight w:val="none"/>
              </w:rPr>
              <w:t>5、投标保证金有效期应当与投标有效期一致。</w:t>
            </w:r>
          </w:p>
        </w:tc>
      </w:tr>
      <w:tr w14:paraId="5E662D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2B72FA33">
            <w:pPr>
              <w:rPr>
                <w:rFonts w:ascii="宋体" w:hAnsi="宋体"/>
                <w:color w:val="000000"/>
                <w:szCs w:val="21"/>
                <w:highlight w:val="none"/>
              </w:rPr>
            </w:pPr>
            <w:r>
              <w:rPr>
                <w:rFonts w:ascii="宋体" w:hAnsi="宋体"/>
                <w:color w:val="000000"/>
                <w:szCs w:val="21"/>
                <w:highlight w:val="none"/>
              </w:rPr>
              <w:t>15</w:t>
            </w:r>
          </w:p>
        </w:tc>
        <w:tc>
          <w:tcPr>
            <w:tcW w:w="981" w:type="dxa"/>
            <w:tcBorders>
              <w:top w:val="single" w:color="auto" w:sz="4" w:space="0"/>
              <w:left w:val="single" w:color="auto" w:sz="4" w:space="0"/>
              <w:bottom w:val="single" w:color="auto" w:sz="4" w:space="0"/>
              <w:right w:val="single" w:color="auto" w:sz="4" w:space="0"/>
            </w:tcBorders>
            <w:vAlign w:val="center"/>
          </w:tcPr>
          <w:p w14:paraId="74F532FE">
            <w:pPr>
              <w:rPr>
                <w:rFonts w:ascii="宋体" w:hAnsi="宋体"/>
                <w:color w:val="000000"/>
                <w:szCs w:val="21"/>
                <w:highlight w:val="none"/>
              </w:rPr>
            </w:pPr>
            <w:r>
              <w:rPr>
                <w:rFonts w:ascii="宋体" w:hAnsi="宋体"/>
                <w:color w:val="000000"/>
                <w:szCs w:val="21"/>
                <w:highlight w:val="none"/>
              </w:rPr>
              <w:t>5</w:t>
            </w:r>
          </w:p>
        </w:tc>
        <w:tc>
          <w:tcPr>
            <w:tcW w:w="1810" w:type="dxa"/>
            <w:tcBorders>
              <w:top w:val="single" w:color="auto" w:sz="4" w:space="0"/>
              <w:left w:val="single" w:color="auto" w:sz="4" w:space="0"/>
              <w:bottom w:val="single" w:color="auto" w:sz="4" w:space="0"/>
              <w:right w:val="single" w:color="auto" w:sz="4" w:space="0"/>
            </w:tcBorders>
            <w:vAlign w:val="center"/>
          </w:tcPr>
          <w:p w14:paraId="7DB22A83">
            <w:pPr>
              <w:rPr>
                <w:rFonts w:ascii="宋体" w:hAnsi="宋体"/>
                <w:color w:val="000000"/>
                <w:szCs w:val="21"/>
                <w:highlight w:val="none"/>
              </w:rPr>
            </w:pPr>
            <w:r>
              <w:rPr>
                <w:rFonts w:hint="eastAsia" w:ascii="宋体" w:hAnsi="宋体"/>
                <w:color w:val="000000"/>
                <w:szCs w:val="21"/>
                <w:highlight w:val="none"/>
              </w:rPr>
              <w:t>踏勘现场</w:t>
            </w:r>
          </w:p>
        </w:tc>
        <w:tc>
          <w:tcPr>
            <w:tcW w:w="5857" w:type="dxa"/>
            <w:tcBorders>
              <w:top w:val="single" w:color="auto" w:sz="4" w:space="0"/>
              <w:left w:val="single" w:color="auto" w:sz="4" w:space="0"/>
              <w:bottom w:val="single" w:color="auto" w:sz="4" w:space="0"/>
              <w:right w:val="double" w:color="auto" w:sz="4" w:space="0"/>
            </w:tcBorders>
            <w:vAlign w:val="center"/>
          </w:tcPr>
          <w:p w14:paraId="3715E7B0">
            <w:pPr>
              <w:rPr>
                <w:rFonts w:ascii="宋体" w:hAnsi="宋体" w:cs="宋体"/>
                <w:color w:val="000000"/>
                <w:szCs w:val="21"/>
                <w:highlight w:val="none"/>
              </w:rPr>
            </w:pPr>
            <w:r>
              <w:rPr>
                <w:rFonts w:hint="eastAsia" w:ascii="宋体" w:hAnsi="宋体" w:cs="宋体"/>
                <w:szCs w:val="21"/>
                <w:highlight w:val="none"/>
                <w:u w:val="single"/>
              </w:rPr>
              <w:t>招标人不集中组织，由投标人自行踏勘。</w:t>
            </w:r>
          </w:p>
        </w:tc>
      </w:tr>
      <w:tr w14:paraId="33A94A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10F6A873">
            <w:pPr>
              <w:rPr>
                <w:rFonts w:ascii="宋体" w:hAnsi="宋体"/>
                <w:color w:val="000000"/>
                <w:szCs w:val="21"/>
                <w:highlight w:val="none"/>
              </w:rPr>
            </w:pPr>
            <w:r>
              <w:rPr>
                <w:rFonts w:ascii="宋体" w:hAnsi="宋体"/>
                <w:color w:val="000000"/>
                <w:szCs w:val="21"/>
                <w:highlight w:val="none"/>
              </w:rPr>
              <w:t>16</w:t>
            </w:r>
          </w:p>
        </w:tc>
        <w:tc>
          <w:tcPr>
            <w:tcW w:w="981" w:type="dxa"/>
            <w:tcBorders>
              <w:top w:val="single" w:color="auto" w:sz="4" w:space="0"/>
              <w:left w:val="single" w:color="auto" w:sz="4" w:space="0"/>
              <w:bottom w:val="single" w:color="auto" w:sz="4" w:space="0"/>
              <w:right w:val="single" w:color="auto" w:sz="4" w:space="0"/>
            </w:tcBorders>
            <w:vAlign w:val="center"/>
          </w:tcPr>
          <w:p w14:paraId="61A8FAFF">
            <w:pPr>
              <w:rPr>
                <w:rFonts w:ascii="宋体" w:hAnsi="宋体"/>
                <w:color w:val="000000"/>
                <w:szCs w:val="21"/>
                <w:highlight w:val="none"/>
              </w:rPr>
            </w:pPr>
            <w:r>
              <w:rPr>
                <w:rFonts w:ascii="宋体" w:hAnsi="宋体"/>
                <w:color w:val="000000"/>
                <w:szCs w:val="21"/>
                <w:highlight w:val="none"/>
              </w:rPr>
              <w:t>8</w:t>
            </w:r>
          </w:p>
        </w:tc>
        <w:tc>
          <w:tcPr>
            <w:tcW w:w="1810" w:type="dxa"/>
            <w:tcBorders>
              <w:top w:val="single" w:color="auto" w:sz="4" w:space="0"/>
              <w:left w:val="single" w:color="auto" w:sz="4" w:space="0"/>
              <w:bottom w:val="single" w:color="auto" w:sz="4" w:space="0"/>
              <w:right w:val="single" w:color="auto" w:sz="4" w:space="0"/>
            </w:tcBorders>
            <w:vAlign w:val="center"/>
          </w:tcPr>
          <w:p w14:paraId="2AB203D2">
            <w:pPr>
              <w:rPr>
                <w:rFonts w:ascii="宋体" w:hAnsi="宋体"/>
                <w:color w:val="000000"/>
                <w:szCs w:val="21"/>
                <w:highlight w:val="none"/>
              </w:rPr>
            </w:pPr>
            <w:r>
              <w:rPr>
                <w:rFonts w:hint="eastAsia" w:ascii="宋体" w:hAnsi="宋体"/>
                <w:color w:val="000000"/>
                <w:szCs w:val="21"/>
                <w:highlight w:val="none"/>
              </w:rPr>
              <w:t>投标答疑</w:t>
            </w:r>
          </w:p>
        </w:tc>
        <w:tc>
          <w:tcPr>
            <w:tcW w:w="5857" w:type="dxa"/>
            <w:tcBorders>
              <w:top w:val="single" w:color="auto" w:sz="4" w:space="0"/>
              <w:left w:val="single" w:color="auto" w:sz="4" w:space="0"/>
              <w:bottom w:val="single" w:color="auto" w:sz="4" w:space="0"/>
              <w:right w:val="double" w:color="auto" w:sz="4" w:space="0"/>
            </w:tcBorders>
            <w:vAlign w:val="center"/>
          </w:tcPr>
          <w:p w14:paraId="0A495A72">
            <w:pPr>
              <w:rPr>
                <w:rFonts w:ascii="宋体" w:hAnsi="宋体"/>
                <w:color w:val="000000"/>
                <w:szCs w:val="21"/>
                <w:highlight w:val="none"/>
              </w:rPr>
            </w:pPr>
            <w:r>
              <w:rPr>
                <w:rFonts w:hint="eastAsia" w:ascii="宋体" w:hAnsi="宋体"/>
                <w:color w:val="000000"/>
                <w:szCs w:val="21"/>
                <w:highlight w:val="none"/>
              </w:rPr>
              <w:t>疑问提交时间：</w:t>
            </w:r>
            <w:r>
              <w:rPr>
                <w:rFonts w:hint="eastAsia" w:ascii="宋体" w:hAnsi="宋体" w:cs="宋体"/>
                <w:color w:val="000000"/>
                <w:szCs w:val="21"/>
                <w:highlight w:val="none"/>
                <w:u w:val="single"/>
              </w:rPr>
              <w:t>以系统发布时间为准；</w:t>
            </w:r>
          </w:p>
          <w:p w14:paraId="3B1F8202">
            <w:pPr>
              <w:rPr>
                <w:rFonts w:ascii="宋体" w:hAnsi="宋体"/>
                <w:color w:val="000000"/>
                <w:szCs w:val="21"/>
                <w:highlight w:val="none"/>
              </w:rPr>
            </w:pPr>
            <w:r>
              <w:rPr>
                <w:rFonts w:hint="eastAsia" w:ascii="宋体" w:hAnsi="宋体"/>
                <w:color w:val="000000"/>
                <w:szCs w:val="21"/>
                <w:highlight w:val="none"/>
              </w:rPr>
              <w:t>形式：投标人的疑问通过</w:t>
            </w:r>
            <w:r>
              <w:rPr>
                <w:rFonts w:hint="eastAsia" w:ascii="宋体" w:hAnsi="宋体"/>
                <w:color w:val="000000"/>
                <w:szCs w:val="21"/>
                <w:highlight w:val="none"/>
                <w:u w:val="single"/>
              </w:rPr>
              <w:t>广州公共资源交易中心</w:t>
            </w:r>
            <w:r>
              <w:rPr>
                <w:rFonts w:hint="eastAsia" w:ascii="宋体" w:hAnsi="宋体"/>
                <w:color w:val="000000"/>
                <w:szCs w:val="21"/>
                <w:highlight w:val="none"/>
              </w:rPr>
              <w:t>交易平台提交。</w:t>
            </w:r>
          </w:p>
          <w:p w14:paraId="42CB6237">
            <w:pPr>
              <w:rPr>
                <w:rFonts w:ascii="宋体" w:hAnsi="宋体"/>
                <w:color w:val="000000"/>
                <w:szCs w:val="21"/>
                <w:highlight w:val="none"/>
                <w:u w:val="single"/>
              </w:rPr>
            </w:pPr>
            <w:r>
              <w:rPr>
                <w:rFonts w:hint="eastAsia" w:ascii="宋体" w:hAnsi="宋体"/>
                <w:color w:val="000000"/>
                <w:szCs w:val="21"/>
                <w:highlight w:val="none"/>
              </w:rPr>
              <w:t>具体要求：</w:t>
            </w:r>
            <w:r>
              <w:rPr>
                <w:rFonts w:hint="eastAsia" w:ascii="宋体" w:hAnsi="宋体"/>
                <w:color w:val="000000"/>
                <w:szCs w:val="21"/>
                <w:highlight w:val="none"/>
                <w:u w:val="single"/>
              </w:rPr>
              <w:t>招标答疑采用网上答疑方式进行。投标人若对招标文件（包括招标图纸、清单、最高投标限价）有疑问的，可在规定的时间内通过广州公共资源交易中心网站将问题提交给招标人或招标代理人。</w:t>
            </w:r>
          </w:p>
          <w:p w14:paraId="0F83A981">
            <w:pPr>
              <w:rPr>
                <w:rFonts w:ascii="宋体" w:hAnsi="宋体"/>
                <w:color w:val="000000"/>
                <w:szCs w:val="21"/>
                <w:highlight w:val="none"/>
                <w:u w:val="single"/>
              </w:rPr>
            </w:pPr>
            <w:r>
              <w:rPr>
                <w:rFonts w:hint="eastAsia" w:ascii="宋体" w:hAnsi="宋体"/>
                <w:color w:val="000000"/>
                <w:szCs w:val="21"/>
                <w:highlight w:val="none"/>
                <w:u w:val="single"/>
              </w:rPr>
              <w:t>网上答疑的操作指南为：投标人登录交易中心数字交易平台，进入“我是投标人（供应商）”-&gt;“我的投标”-&gt;“招标答疑提问”查询项目并提问。</w:t>
            </w:r>
          </w:p>
          <w:p w14:paraId="490A8551">
            <w:pPr>
              <w:rPr>
                <w:rFonts w:ascii="宋体" w:hAnsi="宋体"/>
                <w:color w:val="000000"/>
                <w:szCs w:val="21"/>
                <w:highlight w:val="none"/>
              </w:rPr>
            </w:pPr>
            <w:r>
              <w:rPr>
                <w:rFonts w:hint="eastAsia" w:ascii="宋体" w:hAnsi="宋体"/>
                <w:color w:val="000000"/>
                <w:szCs w:val="21"/>
                <w:highlight w:val="none"/>
              </w:rPr>
              <w:t>按照交易平台关于全流程电子化项目的相关指南进行操作，详见：</w:t>
            </w:r>
            <w:r>
              <w:rPr>
                <w:rFonts w:hint="eastAsia" w:ascii="宋体" w:hAnsi="宋体"/>
                <w:color w:val="000000"/>
                <w:szCs w:val="21"/>
                <w:highlight w:val="none"/>
                <w:u w:val="single"/>
              </w:rPr>
              <w:t>广州公共资源交易中心平台。</w:t>
            </w:r>
            <w:r>
              <w:rPr>
                <w:rFonts w:hint="eastAsia" w:ascii="宋体" w:hAnsi="宋体"/>
                <w:color w:val="000000"/>
                <w:szCs w:val="21"/>
                <w:highlight w:val="none"/>
              </w:rPr>
              <w:t xml:space="preserve"> 提问一律不得署名。</w:t>
            </w:r>
          </w:p>
        </w:tc>
      </w:tr>
      <w:tr w14:paraId="448963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00AAFE33">
            <w:pPr>
              <w:rPr>
                <w:rFonts w:ascii="宋体" w:hAnsi="宋体"/>
                <w:color w:val="000000"/>
                <w:szCs w:val="21"/>
                <w:highlight w:val="none"/>
              </w:rPr>
            </w:pPr>
            <w:r>
              <w:rPr>
                <w:rFonts w:ascii="宋体" w:hAnsi="宋体"/>
                <w:color w:val="000000"/>
                <w:szCs w:val="21"/>
                <w:highlight w:val="none"/>
              </w:rPr>
              <w:t>17</w:t>
            </w:r>
          </w:p>
        </w:tc>
        <w:tc>
          <w:tcPr>
            <w:tcW w:w="981" w:type="dxa"/>
            <w:tcBorders>
              <w:top w:val="single" w:color="auto" w:sz="4" w:space="0"/>
              <w:left w:val="single" w:color="auto" w:sz="4" w:space="0"/>
              <w:bottom w:val="single" w:color="auto" w:sz="4" w:space="0"/>
              <w:right w:val="single" w:color="auto" w:sz="4" w:space="0"/>
            </w:tcBorders>
            <w:vAlign w:val="center"/>
          </w:tcPr>
          <w:p w14:paraId="3AE6972F">
            <w:pPr>
              <w:rPr>
                <w:rFonts w:ascii="宋体" w:hAnsi="宋体"/>
                <w:color w:val="000000"/>
                <w:szCs w:val="21"/>
                <w:highlight w:val="none"/>
              </w:rPr>
            </w:pPr>
            <w:r>
              <w:rPr>
                <w:rFonts w:hint="eastAsia" w:ascii="宋体" w:hAnsi="宋体"/>
                <w:color w:val="000000"/>
                <w:szCs w:val="21"/>
                <w:highlight w:val="none"/>
              </w:rPr>
              <w:t>20</w:t>
            </w:r>
            <w:r>
              <w:rPr>
                <w:rFonts w:ascii="宋体" w:hAnsi="宋体"/>
                <w:color w:val="000000"/>
                <w:szCs w:val="21"/>
                <w:highlight w:val="none"/>
              </w:rPr>
              <w:t>.1</w:t>
            </w:r>
          </w:p>
        </w:tc>
        <w:tc>
          <w:tcPr>
            <w:tcW w:w="1810" w:type="dxa"/>
            <w:tcBorders>
              <w:top w:val="single" w:color="auto" w:sz="4" w:space="0"/>
              <w:left w:val="single" w:color="auto" w:sz="4" w:space="0"/>
              <w:bottom w:val="single" w:color="auto" w:sz="4" w:space="0"/>
              <w:right w:val="single" w:color="auto" w:sz="4" w:space="0"/>
            </w:tcBorders>
            <w:vAlign w:val="center"/>
          </w:tcPr>
          <w:p w14:paraId="3B42C9CE">
            <w:pPr>
              <w:rPr>
                <w:rFonts w:ascii="宋体" w:hAnsi="宋体"/>
                <w:color w:val="000000"/>
                <w:szCs w:val="21"/>
                <w:highlight w:val="none"/>
              </w:rPr>
            </w:pPr>
            <w:r>
              <w:rPr>
                <w:rFonts w:hint="eastAsia" w:ascii="宋体" w:hAnsi="宋体"/>
                <w:color w:val="000000"/>
                <w:szCs w:val="21"/>
                <w:highlight w:val="none"/>
              </w:rPr>
              <w:t>投标截止时间</w:t>
            </w:r>
          </w:p>
        </w:tc>
        <w:tc>
          <w:tcPr>
            <w:tcW w:w="5857" w:type="dxa"/>
            <w:tcBorders>
              <w:top w:val="single" w:color="auto" w:sz="4" w:space="0"/>
              <w:left w:val="single" w:color="auto" w:sz="4" w:space="0"/>
              <w:bottom w:val="single" w:color="auto" w:sz="4" w:space="0"/>
              <w:right w:val="double" w:color="auto" w:sz="4" w:space="0"/>
            </w:tcBorders>
            <w:vAlign w:val="center"/>
          </w:tcPr>
          <w:p w14:paraId="0C44C013">
            <w:pPr>
              <w:rPr>
                <w:rFonts w:ascii="宋体" w:hAnsi="宋体"/>
                <w:strike/>
                <w:color w:val="000000"/>
                <w:szCs w:val="21"/>
                <w:highlight w:val="none"/>
              </w:rPr>
            </w:pPr>
            <w:r>
              <w:rPr>
                <w:rFonts w:hint="eastAsia" w:ascii="宋体" w:hAnsi="宋体"/>
                <w:color w:val="000000"/>
                <w:szCs w:val="21"/>
                <w:highlight w:val="none"/>
                <w:u w:val="single"/>
              </w:rPr>
              <w:t>2024</w:t>
            </w:r>
            <w:r>
              <w:rPr>
                <w:rFonts w:hint="eastAsia" w:ascii="宋体" w:hAnsi="宋体"/>
                <w:color w:val="000000"/>
                <w:szCs w:val="21"/>
                <w:highlight w:val="none"/>
              </w:rPr>
              <w:t>年  月  日  时（北京时间）。（详见广州</w:t>
            </w:r>
            <w:r>
              <w:rPr>
                <w:rFonts w:ascii="宋体" w:hAnsi="宋体"/>
                <w:color w:val="000000"/>
                <w:szCs w:val="21"/>
                <w:highlight w:val="none"/>
              </w:rPr>
              <w:t>公共资源交易中心</w:t>
            </w:r>
            <w:r>
              <w:rPr>
                <w:rFonts w:hint="eastAsia" w:ascii="宋体" w:hAnsi="宋体"/>
                <w:color w:val="000000"/>
                <w:szCs w:val="21"/>
                <w:highlight w:val="none"/>
              </w:rPr>
              <w:t>网站信息）</w:t>
            </w:r>
          </w:p>
        </w:tc>
      </w:tr>
      <w:tr w14:paraId="5875E6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65B66F35">
            <w:pPr>
              <w:rPr>
                <w:rFonts w:ascii="宋体" w:hAnsi="宋体"/>
                <w:color w:val="000000"/>
                <w:szCs w:val="21"/>
                <w:highlight w:val="none"/>
              </w:rPr>
            </w:pPr>
            <w:r>
              <w:rPr>
                <w:rFonts w:hint="eastAsia" w:ascii="宋体" w:hAnsi="宋体"/>
                <w:color w:val="000000"/>
                <w:szCs w:val="21"/>
                <w:highlight w:val="none"/>
              </w:rPr>
              <w:t>1</w:t>
            </w:r>
            <w:r>
              <w:rPr>
                <w:rFonts w:ascii="宋体" w:hAnsi="宋体"/>
                <w:color w:val="000000"/>
                <w:szCs w:val="21"/>
                <w:highlight w:val="none"/>
              </w:rPr>
              <w:t>8</w:t>
            </w:r>
          </w:p>
        </w:tc>
        <w:tc>
          <w:tcPr>
            <w:tcW w:w="981" w:type="dxa"/>
            <w:tcBorders>
              <w:top w:val="single" w:color="auto" w:sz="4" w:space="0"/>
              <w:left w:val="single" w:color="auto" w:sz="4" w:space="0"/>
              <w:bottom w:val="single" w:color="auto" w:sz="4" w:space="0"/>
              <w:right w:val="single" w:color="auto" w:sz="4" w:space="0"/>
            </w:tcBorders>
            <w:vAlign w:val="center"/>
          </w:tcPr>
          <w:p w14:paraId="22D51E78">
            <w:pPr>
              <w:rPr>
                <w:rFonts w:ascii="宋体" w:hAnsi="宋体"/>
                <w:color w:val="000000"/>
                <w:szCs w:val="21"/>
                <w:highlight w:val="none"/>
              </w:rPr>
            </w:pPr>
            <w:r>
              <w:rPr>
                <w:rFonts w:ascii="宋体" w:hAnsi="宋体"/>
                <w:color w:val="000000"/>
                <w:szCs w:val="21"/>
                <w:highlight w:val="none"/>
              </w:rPr>
              <w:t>20.1</w:t>
            </w:r>
          </w:p>
        </w:tc>
        <w:tc>
          <w:tcPr>
            <w:tcW w:w="1810" w:type="dxa"/>
            <w:tcBorders>
              <w:top w:val="single" w:color="auto" w:sz="4" w:space="0"/>
              <w:left w:val="single" w:color="auto" w:sz="4" w:space="0"/>
              <w:bottom w:val="single" w:color="auto" w:sz="4" w:space="0"/>
              <w:right w:val="single" w:color="auto" w:sz="4" w:space="0"/>
            </w:tcBorders>
            <w:vAlign w:val="center"/>
          </w:tcPr>
          <w:p w14:paraId="64FEAFBE">
            <w:pPr>
              <w:rPr>
                <w:rFonts w:ascii="宋体" w:hAnsi="宋体"/>
                <w:color w:val="000000"/>
                <w:szCs w:val="21"/>
                <w:highlight w:val="none"/>
              </w:rPr>
            </w:pPr>
            <w:r>
              <w:rPr>
                <w:rFonts w:hint="eastAsia" w:ascii="宋体" w:hAnsi="宋体"/>
                <w:color w:val="000000"/>
                <w:szCs w:val="21"/>
                <w:highlight w:val="none"/>
              </w:rPr>
              <w:t>开标开始时间和地点</w:t>
            </w:r>
          </w:p>
        </w:tc>
        <w:tc>
          <w:tcPr>
            <w:tcW w:w="5857" w:type="dxa"/>
            <w:tcBorders>
              <w:top w:val="single" w:color="auto" w:sz="4" w:space="0"/>
              <w:left w:val="single" w:color="auto" w:sz="4" w:space="0"/>
              <w:bottom w:val="single" w:color="auto" w:sz="4" w:space="0"/>
              <w:right w:val="double" w:color="auto" w:sz="4" w:space="0"/>
            </w:tcBorders>
            <w:vAlign w:val="center"/>
          </w:tcPr>
          <w:p w14:paraId="19A8F72C">
            <w:pPr>
              <w:rPr>
                <w:rFonts w:ascii="宋体" w:hAnsi="宋体"/>
                <w:color w:val="000000"/>
                <w:szCs w:val="21"/>
                <w:highlight w:val="none"/>
              </w:rPr>
            </w:pPr>
            <w:r>
              <w:rPr>
                <w:rFonts w:hint="eastAsia" w:ascii="宋体" w:hAnsi="宋体"/>
                <w:color w:val="000000"/>
                <w:szCs w:val="21"/>
                <w:highlight w:val="none"/>
              </w:rPr>
              <w:t>（技术标和经济标同时开标）</w:t>
            </w:r>
          </w:p>
          <w:p w14:paraId="021F2316">
            <w:pPr>
              <w:rPr>
                <w:rFonts w:ascii="宋体" w:hAnsi="宋体"/>
                <w:color w:val="000000"/>
                <w:szCs w:val="21"/>
                <w:highlight w:val="none"/>
                <w:u w:val="single"/>
              </w:rPr>
            </w:pPr>
            <w:r>
              <w:rPr>
                <w:rFonts w:hint="eastAsia" w:ascii="宋体" w:hAnsi="宋体"/>
                <w:color w:val="000000"/>
                <w:szCs w:val="21"/>
                <w:highlight w:val="none"/>
              </w:rPr>
              <w:t>1.开标开始时间：</w:t>
            </w:r>
            <w:r>
              <w:rPr>
                <w:rFonts w:hint="eastAsia" w:ascii="宋体" w:hAnsi="宋体"/>
                <w:color w:val="000000"/>
                <w:szCs w:val="21"/>
                <w:highlight w:val="none"/>
                <w:u w:val="single"/>
              </w:rPr>
              <w:t>2024</w:t>
            </w:r>
            <w:r>
              <w:rPr>
                <w:rFonts w:hint="eastAsia" w:ascii="宋体" w:hAnsi="宋体"/>
                <w:color w:val="000000"/>
                <w:szCs w:val="21"/>
                <w:highlight w:val="none"/>
              </w:rPr>
              <w:t>年 月 日 时 分（与</w:t>
            </w:r>
            <w:r>
              <w:rPr>
                <w:rFonts w:ascii="宋体" w:hAnsi="宋体"/>
                <w:color w:val="000000"/>
                <w:szCs w:val="21"/>
                <w:highlight w:val="none"/>
              </w:rPr>
              <w:t>投标截止时间</w:t>
            </w:r>
            <w:r>
              <w:rPr>
                <w:rFonts w:hint="eastAsia" w:ascii="宋体" w:hAnsi="宋体"/>
                <w:color w:val="000000"/>
                <w:szCs w:val="21"/>
                <w:highlight w:val="none"/>
              </w:rPr>
              <w:t>为</w:t>
            </w:r>
            <w:r>
              <w:rPr>
                <w:rFonts w:ascii="宋体" w:hAnsi="宋体"/>
                <w:color w:val="000000"/>
                <w:szCs w:val="21"/>
                <w:highlight w:val="none"/>
              </w:rPr>
              <w:t>同一时间</w:t>
            </w:r>
            <w:r>
              <w:rPr>
                <w:rFonts w:hint="eastAsia" w:ascii="宋体" w:hAnsi="宋体"/>
                <w:color w:val="000000"/>
                <w:szCs w:val="21"/>
                <w:highlight w:val="none"/>
              </w:rPr>
              <w:t>），地点：</w:t>
            </w:r>
            <w:r>
              <w:rPr>
                <w:rFonts w:hint="eastAsia" w:ascii="宋体" w:hAnsi="宋体" w:cs="宋体"/>
                <w:color w:val="000000"/>
                <w:szCs w:val="21"/>
                <w:highlight w:val="none"/>
                <w:u w:val="single"/>
              </w:rPr>
              <w:t>广州公共资源交易中心黄埔交易部  开标室</w:t>
            </w:r>
            <w:r>
              <w:rPr>
                <w:rFonts w:hint="eastAsia" w:ascii="宋体" w:hAnsi="宋体"/>
                <w:color w:val="000000"/>
                <w:szCs w:val="21"/>
                <w:highlight w:val="none"/>
                <w:u w:val="single"/>
              </w:rPr>
              <w:t>。</w:t>
            </w:r>
          </w:p>
          <w:p w14:paraId="7F91BD22">
            <w:pPr>
              <w:rPr>
                <w:rFonts w:ascii="宋体" w:hAnsi="宋体"/>
                <w:color w:val="000000"/>
                <w:szCs w:val="21"/>
                <w:highlight w:val="none"/>
              </w:rPr>
            </w:pPr>
            <w:r>
              <w:rPr>
                <w:rFonts w:hint="eastAsia" w:ascii="宋体" w:hAnsi="宋体"/>
                <w:color w:val="000000"/>
                <w:szCs w:val="21"/>
                <w:highlight w:val="none"/>
              </w:rPr>
              <w:t>注：投标文件解密问题。投标人只用执行一次解密，招标人执行解密次数根据招标文件开标次数确定。</w:t>
            </w:r>
          </w:p>
          <w:p w14:paraId="1511BFC3">
            <w:pPr>
              <w:rPr>
                <w:rFonts w:ascii="宋体" w:hAnsi="宋体"/>
                <w:color w:val="000000"/>
                <w:highlight w:val="none"/>
              </w:rPr>
            </w:pPr>
            <w:r>
              <w:rPr>
                <w:rFonts w:hint="eastAsia" w:ascii="宋体" w:hAnsi="宋体"/>
                <w:color w:val="000000"/>
                <w:szCs w:val="21"/>
                <w:highlight w:val="none"/>
              </w:rPr>
              <w:t>2.递交投标文件备用光盘时间：</w:t>
            </w:r>
            <w:r>
              <w:rPr>
                <w:rFonts w:hint="eastAsia" w:ascii="宋体" w:hAnsi="宋体"/>
                <w:color w:val="000000"/>
                <w:szCs w:val="21"/>
                <w:highlight w:val="none"/>
                <w:u w:val="single"/>
              </w:rPr>
              <w:t>20</w:t>
            </w:r>
            <w:r>
              <w:rPr>
                <w:rFonts w:ascii="宋体" w:hAnsi="宋体"/>
                <w:color w:val="000000"/>
                <w:szCs w:val="21"/>
                <w:highlight w:val="none"/>
                <w:u w:val="single"/>
              </w:rPr>
              <w:t>2</w:t>
            </w:r>
            <w:r>
              <w:rPr>
                <w:rFonts w:hint="eastAsia" w:ascii="宋体" w:hAnsi="宋体"/>
                <w:color w:val="000000"/>
                <w:szCs w:val="21"/>
                <w:highlight w:val="none"/>
                <w:u w:val="single"/>
              </w:rPr>
              <w:t>4</w:t>
            </w:r>
            <w:r>
              <w:rPr>
                <w:rFonts w:hint="eastAsia" w:ascii="宋体" w:hAnsi="宋体"/>
                <w:color w:val="000000"/>
                <w:szCs w:val="21"/>
                <w:highlight w:val="none"/>
              </w:rPr>
              <w:t>年 月 日 时 分至</w:t>
            </w:r>
            <w:r>
              <w:rPr>
                <w:rFonts w:hint="eastAsia" w:ascii="宋体" w:hAnsi="宋体"/>
                <w:color w:val="000000"/>
                <w:szCs w:val="21"/>
                <w:highlight w:val="none"/>
                <w:u w:val="single"/>
              </w:rPr>
              <w:t>2024</w:t>
            </w:r>
            <w:r>
              <w:rPr>
                <w:rFonts w:hint="eastAsia" w:ascii="宋体" w:hAnsi="宋体"/>
                <w:color w:val="000000"/>
                <w:szCs w:val="21"/>
                <w:highlight w:val="none"/>
              </w:rPr>
              <w:t>年 月 日 时 分；递交地点：</w:t>
            </w:r>
            <w:r>
              <w:rPr>
                <w:rFonts w:hint="eastAsia" w:ascii="宋体" w:hAnsi="宋体" w:cs="宋体"/>
                <w:color w:val="000000"/>
                <w:szCs w:val="21"/>
                <w:highlight w:val="none"/>
                <w:u w:val="single"/>
              </w:rPr>
              <w:t>广州公共资源交易中心</w:t>
            </w:r>
            <w:r>
              <w:rPr>
                <w:rFonts w:hint="eastAsia" w:ascii="宋体" w:hAnsi="宋体"/>
                <w:color w:val="000000"/>
                <w:szCs w:val="21"/>
                <w:highlight w:val="none"/>
                <w:u w:val="single"/>
              </w:rPr>
              <w:t>黄埔交易部     室</w:t>
            </w:r>
            <w:r>
              <w:rPr>
                <w:rFonts w:hint="eastAsia" w:ascii="宋体" w:hAnsi="宋体"/>
                <w:color w:val="000000"/>
                <w:highlight w:val="none"/>
              </w:rPr>
              <w:t>。(建议安排在投标文件截止时间前15分钟至投标文件截止时间）</w:t>
            </w:r>
          </w:p>
          <w:p w14:paraId="64F6505D">
            <w:pPr>
              <w:rPr>
                <w:rFonts w:ascii="宋体" w:hAnsi="宋体"/>
                <w:color w:val="000000"/>
                <w:szCs w:val="21"/>
                <w:highlight w:val="none"/>
              </w:rPr>
            </w:pPr>
            <w:r>
              <w:rPr>
                <w:rFonts w:hint="eastAsia" w:ascii="宋体" w:hAnsi="宋体" w:cs="仿宋_GB2312"/>
                <w:color w:val="000000"/>
                <w:highlight w:val="none"/>
              </w:rPr>
              <w:t>上述时间及地点是否有改变，请密切留意招标答疑纪要的相关信息。（详见广州公共资源交易中心网站信息）</w:t>
            </w:r>
          </w:p>
        </w:tc>
      </w:tr>
      <w:tr w14:paraId="60FA2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702" w:type="dxa"/>
            <w:tcBorders>
              <w:top w:val="single" w:color="auto" w:sz="4" w:space="0"/>
              <w:left w:val="double" w:color="auto" w:sz="4" w:space="0"/>
              <w:bottom w:val="single" w:color="auto" w:sz="4" w:space="0"/>
              <w:right w:val="single" w:color="auto" w:sz="4" w:space="0"/>
            </w:tcBorders>
            <w:vAlign w:val="center"/>
          </w:tcPr>
          <w:p w14:paraId="3E106AF1">
            <w:pPr>
              <w:rPr>
                <w:rFonts w:ascii="宋体" w:hAnsi="宋体"/>
                <w:color w:val="000000"/>
                <w:szCs w:val="21"/>
                <w:highlight w:val="none"/>
              </w:rPr>
            </w:pPr>
            <w:r>
              <w:rPr>
                <w:rFonts w:ascii="宋体" w:hAnsi="宋体"/>
                <w:color w:val="000000"/>
                <w:szCs w:val="21"/>
                <w:highlight w:val="none"/>
              </w:rPr>
              <w:t>19</w:t>
            </w:r>
          </w:p>
        </w:tc>
        <w:tc>
          <w:tcPr>
            <w:tcW w:w="981" w:type="dxa"/>
            <w:tcBorders>
              <w:top w:val="single" w:color="auto" w:sz="4" w:space="0"/>
              <w:left w:val="single" w:color="auto" w:sz="4" w:space="0"/>
              <w:bottom w:val="single" w:color="auto" w:sz="4" w:space="0"/>
              <w:right w:val="single" w:color="auto" w:sz="4" w:space="0"/>
            </w:tcBorders>
            <w:vAlign w:val="center"/>
          </w:tcPr>
          <w:p w14:paraId="16E37306">
            <w:pPr>
              <w:rPr>
                <w:rFonts w:ascii="宋体" w:hAnsi="宋体"/>
                <w:color w:val="000000"/>
                <w:szCs w:val="21"/>
                <w:highlight w:val="none"/>
              </w:rPr>
            </w:pPr>
            <w:r>
              <w:rPr>
                <w:rFonts w:ascii="宋体" w:hAnsi="宋体"/>
                <w:color w:val="000000"/>
                <w:szCs w:val="21"/>
                <w:highlight w:val="none"/>
              </w:rPr>
              <w:t>26</w:t>
            </w:r>
          </w:p>
        </w:tc>
        <w:tc>
          <w:tcPr>
            <w:tcW w:w="1810" w:type="dxa"/>
            <w:tcBorders>
              <w:top w:val="single" w:color="auto" w:sz="4" w:space="0"/>
              <w:left w:val="single" w:color="auto" w:sz="4" w:space="0"/>
              <w:bottom w:val="single" w:color="auto" w:sz="4" w:space="0"/>
              <w:right w:val="single" w:color="auto" w:sz="4" w:space="0"/>
            </w:tcBorders>
            <w:vAlign w:val="center"/>
          </w:tcPr>
          <w:p w14:paraId="2EC06DFE">
            <w:pPr>
              <w:rPr>
                <w:rFonts w:ascii="宋体" w:hAnsi="宋体"/>
                <w:color w:val="000000"/>
                <w:szCs w:val="21"/>
                <w:highlight w:val="none"/>
              </w:rPr>
            </w:pPr>
            <w:r>
              <w:rPr>
                <w:rFonts w:hint="eastAsia" w:ascii="宋体" w:hAnsi="宋体"/>
                <w:color w:val="000000"/>
                <w:szCs w:val="21"/>
                <w:highlight w:val="none"/>
              </w:rPr>
              <w:t>开标评标办法</w:t>
            </w:r>
          </w:p>
        </w:tc>
        <w:tc>
          <w:tcPr>
            <w:tcW w:w="5857" w:type="dxa"/>
            <w:tcBorders>
              <w:top w:val="single" w:color="auto" w:sz="4" w:space="0"/>
              <w:left w:val="single" w:color="auto" w:sz="4" w:space="0"/>
              <w:bottom w:val="single" w:color="auto" w:sz="4" w:space="0"/>
              <w:right w:val="double" w:color="auto" w:sz="4" w:space="0"/>
            </w:tcBorders>
            <w:vAlign w:val="center"/>
          </w:tcPr>
          <w:p w14:paraId="274887AF">
            <w:pPr>
              <w:pStyle w:val="49"/>
              <w:ind w:firstLine="0"/>
              <w:rPr>
                <w:rFonts w:ascii="宋体" w:hAnsi="宋体" w:cs="宋体"/>
                <w:szCs w:val="21"/>
                <w:highlight w:val="none"/>
              </w:rPr>
            </w:pPr>
            <w:r>
              <w:rPr>
                <w:rFonts w:hint="eastAsia" w:ascii="宋体" w:hAnsi="宋体" w:cs="宋体"/>
                <w:szCs w:val="21"/>
                <w:highlight w:val="none"/>
              </w:rPr>
              <w:t>方式一：选取方法可选办法</w:t>
            </w:r>
            <w:r>
              <w:rPr>
                <w:rFonts w:hint="eastAsia" w:ascii="宋体" w:hAnsi="宋体" w:cs="宋体"/>
                <w:szCs w:val="21"/>
                <w:highlight w:val="none"/>
                <w:u w:val="single"/>
              </w:rPr>
              <w:t>七（适合综合评分法四，技术标与经济标同时开启）</w:t>
            </w:r>
            <w:r>
              <w:rPr>
                <w:rFonts w:hint="eastAsia" w:ascii="宋体" w:hAnsi="宋体" w:cs="宋体"/>
                <w:szCs w:val="21"/>
                <w:highlight w:val="none"/>
              </w:rPr>
              <w:t>；</w:t>
            </w:r>
          </w:p>
          <w:p w14:paraId="248A1952">
            <w:pPr>
              <w:pStyle w:val="49"/>
              <w:ind w:firstLine="0"/>
              <w:rPr>
                <w:rFonts w:ascii="宋体" w:hAnsi="宋体"/>
                <w:kern w:val="2"/>
                <w:sz w:val="21"/>
                <w:szCs w:val="21"/>
                <w:highlight w:val="none"/>
              </w:rPr>
            </w:pPr>
            <w:r>
              <w:rPr>
                <w:rFonts w:hint="eastAsia" w:ascii="宋体" w:hAnsi="宋体"/>
                <w:highlight w:val="none"/>
                <w:u w:val="single"/>
              </w:rPr>
              <w:t>投标人总得分=技术得分（</w:t>
            </w:r>
            <w:r>
              <w:rPr>
                <w:rFonts w:ascii="宋体" w:hAnsi="宋体"/>
                <w:highlight w:val="none"/>
                <w:u w:val="single"/>
              </w:rPr>
              <w:t>100</w:t>
            </w:r>
            <w:r>
              <w:rPr>
                <w:rFonts w:hint="eastAsia" w:ascii="宋体" w:hAnsi="宋体"/>
                <w:highlight w:val="none"/>
                <w:u w:val="single"/>
              </w:rPr>
              <w:t>分）×技术得分权重（20%）＋经济得分（100分）×经济得分权重（80%）。</w:t>
            </w:r>
          </w:p>
        </w:tc>
      </w:tr>
      <w:tr w14:paraId="099516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71C8F88">
            <w:pPr>
              <w:rPr>
                <w:rFonts w:ascii="宋体" w:hAnsi="宋体"/>
                <w:color w:val="000000"/>
                <w:szCs w:val="21"/>
                <w:highlight w:val="none"/>
              </w:rPr>
            </w:pPr>
            <w:r>
              <w:rPr>
                <w:rFonts w:hint="eastAsia" w:ascii="宋体" w:hAnsi="宋体" w:cs="宋体"/>
                <w:szCs w:val="21"/>
                <w:highlight w:val="none"/>
              </w:rPr>
              <w:t>20</w:t>
            </w:r>
          </w:p>
        </w:tc>
        <w:tc>
          <w:tcPr>
            <w:tcW w:w="981" w:type="dxa"/>
            <w:tcBorders>
              <w:top w:val="single" w:color="auto" w:sz="4" w:space="0"/>
              <w:left w:val="single" w:color="auto" w:sz="4" w:space="0"/>
              <w:bottom w:val="single" w:color="auto" w:sz="4" w:space="0"/>
              <w:right w:val="single" w:color="auto" w:sz="4" w:space="0"/>
            </w:tcBorders>
            <w:vAlign w:val="center"/>
          </w:tcPr>
          <w:p w14:paraId="1DBB55E2">
            <w:pPr>
              <w:rPr>
                <w:rFonts w:ascii="宋体" w:hAnsi="宋体"/>
                <w:color w:val="000000"/>
                <w:szCs w:val="21"/>
                <w:highlight w:val="none"/>
              </w:rPr>
            </w:pPr>
            <w:r>
              <w:rPr>
                <w:rFonts w:hint="eastAsia" w:ascii="宋体" w:hAnsi="宋体" w:cs="宋体"/>
                <w:szCs w:val="21"/>
                <w:highlight w:val="none"/>
              </w:rPr>
              <w:t>29.1</w:t>
            </w:r>
          </w:p>
        </w:tc>
        <w:tc>
          <w:tcPr>
            <w:tcW w:w="1810" w:type="dxa"/>
            <w:tcBorders>
              <w:top w:val="single" w:color="auto" w:sz="4" w:space="0"/>
              <w:left w:val="single" w:color="auto" w:sz="4" w:space="0"/>
              <w:bottom w:val="single" w:color="auto" w:sz="4" w:space="0"/>
              <w:right w:val="single" w:color="auto" w:sz="4" w:space="0"/>
            </w:tcBorders>
            <w:vAlign w:val="center"/>
          </w:tcPr>
          <w:p w14:paraId="36DA9425">
            <w:pPr>
              <w:rPr>
                <w:rFonts w:ascii="宋体" w:hAnsi="宋体"/>
                <w:color w:val="000000"/>
                <w:szCs w:val="21"/>
                <w:highlight w:val="none"/>
              </w:rPr>
            </w:pPr>
            <w:r>
              <w:rPr>
                <w:rFonts w:hint="eastAsia" w:ascii="宋体" w:hAnsi="宋体" w:cs="宋体"/>
                <w:szCs w:val="21"/>
                <w:highlight w:val="none"/>
              </w:rPr>
              <w:t>履约担保</w:t>
            </w:r>
          </w:p>
        </w:tc>
        <w:tc>
          <w:tcPr>
            <w:tcW w:w="5857" w:type="dxa"/>
            <w:tcBorders>
              <w:top w:val="single" w:color="auto" w:sz="4" w:space="0"/>
              <w:left w:val="single" w:color="auto" w:sz="4" w:space="0"/>
              <w:bottom w:val="single" w:color="auto" w:sz="4" w:space="0"/>
              <w:right w:val="double" w:color="auto" w:sz="4" w:space="0"/>
            </w:tcBorders>
            <w:vAlign w:val="center"/>
          </w:tcPr>
          <w:p w14:paraId="7A722F7F">
            <w:pPr>
              <w:rPr>
                <w:highlight w:val="none"/>
              </w:rPr>
            </w:pPr>
            <w:r>
              <w:rPr>
                <w:rFonts w:hint="eastAsia" w:ascii="宋体" w:hAnsi="宋体" w:cs="宋体"/>
                <w:highlight w:val="none"/>
              </w:rPr>
              <w:t>方式一：中标人提供的履约保证金为中标价款的10%。</w:t>
            </w:r>
          </w:p>
        </w:tc>
      </w:tr>
      <w:tr w14:paraId="2346B4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02" w:type="dxa"/>
            <w:tcBorders>
              <w:top w:val="single" w:color="auto" w:sz="4" w:space="0"/>
              <w:left w:val="double" w:color="auto" w:sz="4" w:space="0"/>
              <w:bottom w:val="single" w:color="auto" w:sz="4" w:space="0"/>
              <w:right w:val="single" w:color="auto" w:sz="4" w:space="0"/>
            </w:tcBorders>
            <w:vAlign w:val="center"/>
          </w:tcPr>
          <w:p w14:paraId="377D7368">
            <w:pPr>
              <w:rPr>
                <w:rFonts w:ascii="宋体" w:hAnsi="宋体"/>
                <w:color w:val="000000"/>
                <w:szCs w:val="21"/>
                <w:highlight w:val="none"/>
              </w:rPr>
            </w:pPr>
            <w:r>
              <w:rPr>
                <w:rFonts w:hint="eastAsia" w:ascii="宋体" w:hAnsi="宋体" w:cs="宋体"/>
                <w:szCs w:val="21"/>
                <w:highlight w:val="none"/>
              </w:rPr>
              <w:t>21</w:t>
            </w:r>
          </w:p>
        </w:tc>
        <w:tc>
          <w:tcPr>
            <w:tcW w:w="981" w:type="dxa"/>
            <w:tcBorders>
              <w:top w:val="single" w:color="auto" w:sz="4" w:space="0"/>
              <w:left w:val="single" w:color="auto" w:sz="4" w:space="0"/>
              <w:bottom w:val="single" w:color="auto" w:sz="4" w:space="0"/>
              <w:right w:val="single" w:color="auto" w:sz="4" w:space="0"/>
            </w:tcBorders>
            <w:vAlign w:val="center"/>
          </w:tcPr>
          <w:p w14:paraId="62C12AB4">
            <w:pPr>
              <w:rPr>
                <w:rFonts w:ascii="宋体" w:hAnsi="宋体"/>
                <w:color w:val="000000"/>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27903800">
            <w:pPr>
              <w:rPr>
                <w:rFonts w:ascii="宋体" w:hAnsi="宋体"/>
                <w:color w:val="000000"/>
                <w:szCs w:val="21"/>
                <w:highlight w:val="none"/>
              </w:rPr>
            </w:pPr>
            <w:r>
              <w:rPr>
                <w:rFonts w:hint="eastAsia" w:ascii="宋体" w:hAnsi="宋体" w:cs="宋体"/>
                <w:szCs w:val="21"/>
                <w:highlight w:val="none"/>
              </w:rPr>
              <w:t>最高投标限价</w:t>
            </w:r>
          </w:p>
        </w:tc>
        <w:tc>
          <w:tcPr>
            <w:tcW w:w="5857" w:type="dxa"/>
            <w:tcBorders>
              <w:top w:val="single" w:color="auto" w:sz="4" w:space="0"/>
              <w:left w:val="single" w:color="auto" w:sz="4" w:space="0"/>
              <w:bottom w:val="single" w:color="auto" w:sz="4" w:space="0"/>
              <w:right w:val="double" w:color="auto" w:sz="4" w:space="0"/>
            </w:tcBorders>
            <w:vAlign w:val="center"/>
          </w:tcPr>
          <w:p w14:paraId="62C10E19">
            <w:pPr>
              <w:pStyle w:val="6"/>
              <w:ind w:firstLine="0"/>
              <w:rPr>
                <w:highlight w:val="none"/>
              </w:rPr>
            </w:pPr>
            <w:r>
              <w:rPr>
                <w:rFonts w:hint="eastAsia" w:ascii="宋体" w:hAnsi="宋体" w:cs="宋体"/>
                <w:szCs w:val="21"/>
                <w:highlight w:val="none"/>
              </w:rPr>
              <w:t>本项目最高投标限价为人民币4860388.39元。</w:t>
            </w:r>
          </w:p>
        </w:tc>
      </w:tr>
      <w:tr w14:paraId="2C388C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702" w:type="dxa"/>
            <w:tcBorders>
              <w:top w:val="single" w:color="auto" w:sz="4" w:space="0"/>
              <w:left w:val="double" w:color="auto" w:sz="4" w:space="0"/>
              <w:bottom w:val="single" w:color="auto" w:sz="4" w:space="0"/>
              <w:right w:val="single" w:color="auto" w:sz="4" w:space="0"/>
            </w:tcBorders>
            <w:vAlign w:val="center"/>
          </w:tcPr>
          <w:p w14:paraId="6A861BD5">
            <w:pPr>
              <w:rPr>
                <w:rFonts w:ascii="宋体" w:hAnsi="宋体"/>
                <w:color w:val="000000"/>
                <w:szCs w:val="21"/>
                <w:highlight w:val="none"/>
              </w:rPr>
            </w:pPr>
            <w:r>
              <w:rPr>
                <w:rFonts w:hint="eastAsia" w:ascii="宋体" w:hAnsi="宋体" w:cs="宋体"/>
                <w:szCs w:val="21"/>
                <w:highlight w:val="none"/>
              </w:rPr>
              <w:t>22</w:t>
            </w:r>
          </w:p>
        </w:tc>
        <w:tc>
          <w:tcPr>
            <w:tcW w:w="981" w:type="dxa"/>
            <w:tcBorders>
              <w:top w:val="single" w:color="auto" w:sz="4" w:space="0"/>
              <w:left w:val="single" w:color="auto" w:sz="4" w:space="0"/>
              <w:bottom w:val="single" w:color="auto" w:sz="4" w:space="0"/>
              <w:right w:val="single" w:color="auto" w:sz="4" w:space="0"/>
            </w:tcBorders>
            <w:vAlign w:val="center"/>
          </w:tcPr>
          <w:p w14:paraId="35E6BC15">
            <w:pPr>
              <w:rPr>
                <w:rFonts w:ascii="宋体" w:hAnsi="宋体"/>
                <w:color w:val="000000"/>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6FCA3536">
            <w:pPr>
              <w:rPr>
                <w:rFonts w:ascii="宋体" w:hAnsi="宋体"/>
                <w:color w:val="000000"/>
                <w:szCs w:val="21"/>
                <w:highlight w:val="none"/>
              </w:rPr>
            </w:pPr>
            <w:r>
              <w:rPr>
                <w:rFonts w:hint="eastAsia" w:ascii="宋体" w:hAnsi="宋体" w:cs="宋体"/>
                <w:szCs w:val="21"/>
                <w:highlight w:val="none"/>
              </w:rPr>
              <w:t>非竞争费用</w:t>
            </w:r>
          </w:p>
        </w:tc>
        <w:tc>
          <w:tcPr>
            <w:tcW w:w="5857" w:type="dxa"/>
            <w:tcBorders>
              <w:top w:val="single" w:color="auto" w:sz="4" w:space="0"/>
              <w:left w:val="single" w:color="auto" w:sz="4" w:space="0"/>
              <w:bottom w:val="single" w:color="auto" w:sz="4" w:space="0"/>
              <w:right w:val="double" w:color="auto" w:sz="4" w:space="0"/>
            </w:tcBorders>
            <w:vAlign w:val="center"/>
          </w:tcPr>
          <w:p w14:paraId="3B6852AD">
            <w:pPr>
              <w:jc w:val="left"/>
              <w:rPr>
                <w:rFonts w:ascii="宋体" w:hAnsi="宋体"/>
                <w:color w:val="000000"/>
                <w:szCs w:val="21"/>
                <w:highlight w:val="none"/>
              </w:rPr>
            </w:pPr>
            <w:r>
              <w:rPr>
                <w:rFonts w:hint="eastAsia" w:ascii="宋体" w:hAnsi="宋体" w:cs="宋体"/>
                <w:szCs w:val="21"/>
                <w:highlight w:val="none"/>
              </w:rPr>
              <w:t>本项目绿色施工安全防护措施费为287401.7元，暂列金额为/元，暂估价为 / 元。（未按招标文件规定的金额填写的，由评标委员会按照招标文件规定的金额进行修正）</w:t>
            </w:r>
          </w:p>
        </w:tc>
      </w:tr>
      <w:tr w14:paraId="1A0ECA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702" w:type="dxa"/>
            <w:tcBorders>
              <w:top w:val="single" w:color="auto" w:sz="4" w:space="0"/>
              <w:left w:val="double" w:color="auto" w:sz="4" w:space="0"/>
              <w:bottom w:val="single" w:color="auto" w:sz="4" w:space="0"/>
              <w:right w:val="single" w:color="auto" w:sz="4" w:space="0"/>
            </w:tcBorders>
            <w:vAlign w:val="center"/>
          </w:tcPr>
          <w:p w14:paraId="10784899">
            <w:pPr>
              <w:rPr>
                <w:rFonts w:ascii="宋体" w:hAnsi="宋体"/>
                <w:color w:val="000000"/>
                <w:szCs w:val="21"/>
                <w:highlight w:val="none"/>
              </w:rPr>
            </w:pPr>
            <w:r>
              <w:rPr>
                <w:rFonts w:hint="eastAsia" w:ascii="宋体" w:hAnsi="宋体" w:cs="宋体"/>
                <w:szCs w:val="21"/>
                <w:highlight w:val="none"/>
              </w:rPr>
              <w:t>23</w:t>
            </w:r>
          </w:p>
        </w:tc>
        <w:tc>
          <w:tcPr>
            <w:tcW w:w="981" w:type="dxa"/>
            <w:tcBorders>
              <w:top w:val="single" w:color="auto" w:sz="4" w:space="0"/>
              <w:left w:val="single" w:color="auto" w:sz="4" w:space="0"/>
              <w:bottom w:val="single" w:color="auto" w:sz="4" w:space="0"/>
              <w:right w:val="single" w:color="auto" w:sz="4" w:space="0"/>
            </w:tcBorders>
            <w:vAlign w:val="center"/>
          </w:tcPr>
          <w:p w14:paraId="7185C0F6">
            <w:pPr>
              <w:rPr>
                <w:rFonts w:ascii="宋体" w:hAnsi="宋体"/>
                <w:color w:val="000000"/>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3348A417">
            <w:pPr>
              <w:pStyle w:val="49"/>
              <w:ind w:firstLine="0"/>
              <w:rPr>
                <w:rFonts w:ascii="宋体" w:hAnsi="宋体"/>
                <w:color w:val="000000"/>
                <w:kern w:val="2"/>
                <w:sz w:val="21"/>
                <w:szCs w:val="21"/>
                <w:highlight w:val="none"/>
              </w:rPr>
            </w:pPr>
            <w:r>
              <w:rPr>
                <w:rFonts w:hint="eastAsia" w:ascii="宋体" w:hAnsi="宋体" w:cs="宋体"/>
                <w:szCs w:val="21"/>
                <w:highlight w:val="none"/>
              </w:rPr>
              <w:t>保修期</w:t>
            </w:r>
          </w:p>
        </w:tc>
        <w:tc>
          <w:tcPr>
            <w:tcW w:w="5857" w:type="dxa"/>
            <w:tcBorders>
              <w:top w:val="single" w:color="auto" w:sz="4" w:space="0"/>
              <w:left w:val="single" w:color="auto" w:sz="4" w:space="0"/>
              <w:bottom w:val="single" w:color="auto" w:sz="4" w:space="0"/>
              <w:right w:val="double" w:color="auto" w:sz="4" w:space="0"/>
            </w:tcBorders>
            <w:vAlign w:val="center"/>
          </w:tcPr>
          <w:p w14:paraId="04CBD09D">
            <w:pPr>
              <w:rPr>
                <w:rFonts w:ascii="宋体" w:hAnsi="宋体"/>
                <w:color w:val="000000"/>
                <w:szCs w:val="21"/>
                <w:highlight w:val="none"/>
              </w:rPr>
            </w:pPr>
            <w:r>
              <w:rPr>
                <w:szCs w:val="21"/>
                <w:highlight w:val="none"/>
              </w:rPr>
              <w:t>按照《建设工程质量管理条例》规定。</w:t>
            </w:r>
          </w:p>
        </w:tc>
      </w:tr>
      <w:tr w14:paraId="1B026D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448474E0">
            <w:pPr>
              <w:rPr>
                <w:rFonts w:ascii="宋体" w:hAnsi="宋体"/>
                <w:color w:val="000000"/>
                <w:szCs w:val="21"/>
                <w:highlight w:val="none"/>
              </w:rPr>
            </w:pPr>
            <w:r>
              <w:rPr>
                <w:rFonts w:hint="eastAsia" w:ascii="宋体" w:hAnsi="宋体" w:cs="宋体"/>
                <w:szCs w:val="21"/>
                <w:highlight w:val="none"/>
              </w:rPr>
              <w:t>24</w:t>
            </w:r>
          </w:p>
        </w:tc>
        <w:tc>
          <w:tcPr>
            <w:tcW w:w="981" w:type="dxa"/>
            <w:tcBorders>
              <w:top w:val="single" w:color="auto" w:sz="4" w:space="0"/>
              <w:left w:val="single" w:color="auto" w:sz="4" w:space="0"/>
              <w:bottom w:val="single" w:color="auto" w:sz="4" w:space="0"/>
              <w:right w:val="single" w:color="auto" w:sz="4" w:space="0"/>
            </w:tcBorders>
            <w:vAlign w:val="center"/>
          </w:tcPr>
          <w:p w14:paraId="28848267">
            <w:pPr>
              <w:rPr>
                <w:rFonts w:ascii="宋体" w:hAnsi="宋体"/>
                <w:color w:val="000000"/>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7E8B78C3">
            <w:pPr>
              <w:rPr>
                <w:rFonts w:ascii="宋体" w:hAnsi="宋体"/>
                <w:color w:val="000000"/>
                <w:szCs w:val="21"/>
                <w:highlight w:val="none"/>
              </w:rPr>
            </w:pPr>
            <w:r>
              <w:rPr>
                <w:rFonts w:hint="eastAsia" w:ascii="宋体" w:hAnsi="宋体" w:cs="宋体"/>
                <w:szCs w:val="21"/>
                <w:highlight w:val="none"/>
              </w:rPr>
              <w:t>计算评标参考价的等分点值</w:t>
            </w:r>
          </w:p>
        </w:tc>
        <w:tc>
          <w:tcPr>
            <w:tcW w:w="5857" w:type="dxa"/>
            <w:tcBorders>
              <w:top w:val="single" w:color="auto" w:sz="4" w:space="0"/>
              <w:left w:val="single" w:color="auto" w:sz="4" w:space="0"/>
              <w:bottom w:val="single" w:color="auto" w:sz="4" w:space="0"/>
              <w:right w:val="double" w:color="auto" w:sz="4" w:space="0"/>
            </w:tcBorders>
            <w:vAlign w:val="center"/>
          </w:tcPr>
          <w:p w14:paraId="47A4DEC1">
            <w:pPr>
              <w:rPr>
                <w:rFonts w:ascii="宋体" w:hAnsi="宋体"/>
                <w:color w:val="000000"/>
                <w:szCs w:val="21"/>
                <w:highlight w:val="none"/>
                <w:u w:val="single"/>
              </w:rPr>
            </w:pPr>
            <w:r>
              <w:rPr>
                <w:rFonts w:hint="eastAsia" w:ascii="宋体" w:hAnsi="宋体" w:cs="宋体"/>
                <w:szCs w:val="21"/>
                <w:highlight w:val="none"/>
              </w:rPr>
              <w:t>本项目不适用。</w:t>
            </w:r>
          </w:p>
        </w:tc>
      </w:tr>
      <w:tr w14:paraId="001D44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702" w:type="dxa"/>
            <w:tcBorders>
              <w:top w:val="single" w:color="auto" w:sz="4" w:space="0"/>
              <w:left w:val="double" w:color="auto" w:sz="4" w:space="0"/>
              <w:bottom w:val="single" w:color="auto" w:sz="4" w:space="0"/>
              <w:right w:val="single" w:color="auto" w:sz="4" w:space="0"/>
            </w:tcBorders>
            <w:vAlign w:val="center"/>
          </w:tcPr>
          <w:p w14:paraId="47223F3E">
            <w:pPr>
              <w:rPr>
                <w:rFonts w:ascii="宋体" w:hAnsi="宋体"/>
                <w:color w:val="000000"/>
                <w:szCs w:val="21"/>
                <w:highlight w:val="none"/>
              </w:rPr>
            </w:pPr>
            <w:r>
              <w:rPr>
                <w:rFonts w:hint="eastAsia" w:ascii="宋体" w:hAnsi="宋体" w:cs="宋体"/>
                <w:szCs w:val="21"/>
                <w:highlight w:val="none"/>
              </w:rPr>
              <w:t>25</w:t>
            </w:r>
          </w:p>
        </w:tc>
        <w:tc>
          <w:tcPr>
            <w:tcW w:w="981" w:type="dxa"/>
            <w:tcBorders>
              <w:top w:val="single" w:color="auto" w:sz="4" w:space="0"/>
              <w:left w:val="single" w:color="auto" w:sz="4" w:space="0"/>
              <w:bottom w:val="single" w:color="auto" w:sz="4" w:space="0"/>
              <w:right w:val="single" w:color="auto" w:sz="4" w:space="0"/>
            </w:tcBorders>
            <w:vAlign w:val="center"/>
          </w:tcPr>
          <w:p w14:paraId="07E111B5">
            <w:pPr>
              <w:rPr>
                <w:rFonts w:ascii="宋体" w:hAnsi="宋体"/>
                <w:color w:val="000000"/>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6070FA9C">
            <w:pPr>
              <w:rPr>
                <w:rFonts w:ascii="宋体" w:hAnsi="宋体"/>
                <w:color w:val="000000"/>
                <w:szCs w:val="21"/>
                <w:highlight w:val="none"/>
              </w:rPr>
            </w:pPr>
            <w:r>
              <w:rPr>
                <w:rFonts w:hint="eastAsia" w:ascii="宋体" w:hAnsi="宋体" w:cs="宋体"/>
                <w:szCs w:val="21"/>
                <w:highlight w:val="none"/>
              </w:rPr>
              <w:t>进入第二阶段评审的家数</w:t>
            </w:r>
          </w:p>
        </w:tc>
        <w:tc>
          <w:tcPr>
            <w:tcW w:w="5857" w:type="dxa"/>
            <w:tcBorders>
              <w:top w:val="single" w:color="auto" w:sz="4" w:space="0"/>
              <w:left w:val="single" w:color="auto" w:sz="4" w:space="0"/>
              <w:bottom w:val="single" w:color="auto" w:sz="4" w:space="0"/>
              <w:right w:val="double" w:color="auto" w:sz="4" w:space="0"/>
            </w:tcBorders>
            <w:vAlign w:val="center"/>
          </w:tcPr>
          <w:p w14:paraId="694B12CD">
            <w:pPr>
              <w:rPr>
                <w:rFonts w:ascii="宋体" w:hAnsi="宋体"/>
                <w:color w:val="000000"/>
                <w:szCs w:val="21"/>
                <w:highlight w:val="none"/>
              </w:rPr>
            </w:pPr>
            <w:r>
              <w:rPr>
                <w:rFonts w:hint="eastAsia" w:ascii="宋体" w:hAnsi="宋体" w:cs="宋体"/>
                <w:szCs w:val="21"/>
                <w:highlight w:val="none"/>
              </w:rPr>
              <w:t xml:space="preserve">本项目不适用。 </w:t>
            </w:r>
          </w:p>
        </w:tc>
      </w:tr>
      <w:tr w14:paraId="69FF29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702" w:type="dxa"/>
            <w:tcBorders>
              <w:top w:val="single" w:color="auto" w:sz="4" w:space="0"/>
              <w:left w:val="double" w:color="auto" w:sz="4" w:space="0"/>
              <w:bottom w:val="single" w:color="auto" w:sz="4" w:space="0"/>
              <w:right w:val="single" w:color="auto" w:sz="4" w:space="0"/>
            </w:tcBorders>
            <w:vAlign w:val="center"/>
          </w:tcPr>
          <w:p w14:paraId="7DD5D58B">
            <w:pPr>
              <w:rPr>
                <w:rFonts w:ascii="宋体" w:hAnsi="宋体"/>
                <w:color w:val="000000"/>
                <w:szCs w:val="21"/>
                <w:highlight w:val="none"/>
              </w:rPr>
            </w:pPr>
            <w:r>
              <w:rPr>
                <w:rFonts w:hint="eastAsia" w:ascii="宋体" w:hAnsi="宋体" w:cs="宋体"/>
                <w:szCs w:val="21"/>
                <w:highlight w:val="none"/>
              </w:rPr>
              <w:t>26</w:t>
            </w:r>
          </w:p>
        </w:tc>
        <w:tc>
          <w:tcPr>
            <w:tcW w:w="981" w:type="dxa"/>
            <w:tcBorders>
              <w:top w:val="single" w:color="auto" w:sz="4" w:space="0"/>
              <w:left w:val="single" w:color="auto" w:sz="4" w:space="0"/>
              <w:bottom w:val="single" w:color="auto" w:sz="4" w:space="0"/>
              <w:right w:val="single" w:color="auto" w:sz="4" w:space="0"/>
            </w:tcBorders>
            <w:vAlign w:val="center"/>
          </w:tcPr>
          <w:p w14:paraId="0F6E2332">
            <w:pPr>
              <w:rPr>
                <w:rFonts w:ascii="宋体" w:hAnsi="宋体"/>
                <w:color w:val="000000"/>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0F48F408">
            <w:pPr>
              <w:rPr>
                <w:rFonts w:ascii="宋体" w:hAnsi="宋体"/>
                <w:color w:val="000000"/>
                <w:szCs w:val="21"/>
                <w:highlight w:val="none"/>
              </w:rPr>
            </w:pPr>
            <w:r>
              <w:rPr>
                <w:rFonts w:hint="eastAsia" w:ascii="宋体" w:hAnsi="宋体" w:cs="宋体"/>
                <w:szCs w:val="21"/>
                <w:highlight w:val="none"/>
              </w:rPr>
              <w:t>工程成本警戒价</w:t>
            </w:r>
          </w:p>
        </w:tc>
        <w:tc>
          <w:tcPr>
            <w:tcW w:w="5857" w:type="dxa"/>
            <w:tcBorders>
              <w:top w:val="single" w:color="auto" w:sz="4" w:space="0"/>
              <w:left w:val="single" w:color="auto" w:sz="4" w:space="0"/>
              <w:bottom w:val="single" w:color="auto" w:sz="4" w:space="0"/>
              <w:right w:val="double" w:color="auto" w:sz="4" w:space="0"/>
            </w:tcBorders>
            <w:vAlign w:val="center"/>
          </w:tcPr>
          <w:p w14:paraId="7CC69997">
            <w:pPr>
              <w:rPr>
                <w:rFonts w:ascii="宋体" w:hAnsi="宋体"/>
                <w:color w:val="000000"/>
                <w:szCs w:val="21"/>
                <w:highlight w:val="none"/>
              </w:rPr>
            </w:pPr>
            <w:r>
              <w:rPr>
                <w:rFonts w:hint="eastAsia" w:ascii="宋体" w:hAnsi="宋体"/>
                <w:szCs w:val="21"/>
                <w:highlight w:val="none"/>
              </w:rPr>
              <w:t>工程成本警戒价为</w:t>
            </w:r>
            <w:r>
              <w:rPr>
                <w:rFonts w:hint="eastAsia"/>
                <w:color w:val="121212"/>
                <w:highlight w:val="none"/>
                <w:u w:val="single"/>
              </w:rPr>
              <w:t>4374349.55</w:t>
            </w:r>
            <w:r>
              <w:rPr>
                <w:rFonts w:hint="eastAsia" w:ascii="宋体" w:hAnsi="宋体"/>
                <w:color w:val="121212"/>
                <w:szCs w:val="21"/>
                <w:highlight w:val="none"/>
                <w:u w:val="single"/>
              </w:rPr>
              <w:t>元（</w:t>
            </w:r>
            <w:r>
              <w:rPr>
                <w:rFonts w:hint="eastAsia" w:ascii="宋体" w:hAnsi="宋体"/>
                <w:szCs w:val="21"/>
                <w:highlight w:val="none"/>
                <w:u w:val="single"/>
              </w:rPr>
              <w:t>按最高投标限价的</w:t>
            </w:r>
            <w:r>
              <w:rPr>
                <w:rFonts w:hint="eastAsia"/>
                <w:highlight w:val="none"/>
                <w:u w:val="single"/>
              </w:rPr>
              <w:t>90%</w:t>
            </w:r>
            <w:r>
              <w:rPr>
                <w:rFonts w:hint="eastAsia" w:ascii="宋体" w:hAnsi="宋体"/>
                <w:szCs w:val="21"/>
                <w:highlight w:val="none"/>
                <w:u w:val="single"/>
              </w:rPr>
              <w:t>设置）</w:t>
            </w:r>
            <w:r>
              <w:rPr>
                <w:rFonts w:hint="eastAsia" w:ascii="宋体" w:hAnsi="宋体"/>
                <w:szCs w:val="21"/>
                <w:highlight w:val="none"/>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tc>
      </w:tr>
      <w:tr w14:paraId="48A562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CD585B2">
            <w:pPr>
              <w:rPr>
                <w:rFonts w:ascii="宋体" w:hAnsi="宋体"/>
                <w:color w:val="000000"/>
                <w:szCs w:val="21"/>
                <w:highlight w:val="none"/>
              </w:rPr>
            </w:pPr>
            <w:r>
              <w:rPr>
                <w:rFonts w:hint="eastAsia" w:ascii="宋体" w:hAnsi="宋体" w:cs="宋体"/>
                <w:szCs w:val="21"/>
                <w:highlight w:val="none"/>
              </w:rPr>
              <w:t>27</w:t>
            </w:r>
          </w:p>
        </w:tc>
        <w:tc>
          <w:tcPr>
            <w:tcW w:w="981" w:type="dxa"/>
            <w:tcBorders>
              <w:top w:val="single" w:color="auto" w:sz="4" w:space="0"/>
              <w:left w:val="single" w:color="auto" w:sz="4" w:space="0"/>
              <w:bottom w:val="single" w:color="auto" w:sz="4" w:space="0"/>
              <w:right w:val="single" w:color="auto" w:sz="4" w:space="0"/>
            </w:tcBorders>
            <w:vAlign w:val="center"/>
          </w:tcPr>
          <w:p w14:paraId="2676F88C">
            <w:pPr>
              <w:rPr>
                <w:rFonts w:ascii="宋体" w:hAnsi="宋体"/>
                <w:color w:val="000000"/>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3D29E881">
            <w:pPr>
              <w:rPr>
                <w:rFonts w:ascii="宋体" w:hAnsi="宋体"/>
                <w:color w:val="000000"/>
                <w:szCs w:val="21"/>
                <w:highlight w:val="none"/>
              </w:rPr>
            </w:pPr>
            <w:r>
              <w:rPr>
                <w:rFonts w:hint="eastAsia" w:ascii="宋体" w:hAnsi="宋体" w:cs="宋体"/>
                <w:szCs w:val="21"/>
                <w:highlight w:val="none"/>
              </w:rPr>
              <w:t>第一阶段各分值的权重</w:t>
            </w:r>
          </w:p>
        </w:tc>
        <w:tc>
          <w:tcPr>
            <w:tcW w:w="5857" w:type="dxa"/>
            <w:tcBorders>
              <w:top w:val="single" w:color="auto" w:sz="4" w:space="0"/>
              <w:left w:val="single" w:color="auto" w:sz="4" w:space="0"/>
              <w:bottom w:val="single" w:color="auto" w:sz="4" w:space="0"/>
              <w:right w:val="double" w:color="auto" w:sz="4" w:space="0"/>
            </w:tcBorders>
            <w:vAlign w:val="center"/>
          </w:tcPr>
          <w:p w14:paraId="0BC967F2">
            <w:pPr>
              <w:rPr>
                <w:rFonts w:ascii="宋体" w:hAnsi="宋体"/>
                <w:color w:val="000000"/>
                <w:szCs w:val="21"/>
                <w:highlight w:val="none"/>
                <w:u w:val="single"/>
              </w:rPr>
            </w:pPr>
            <w:r>
              <w:rPr>
                <w:rFonts w:hint="eastAsia" w:ascii="宋体" w:hAnsi="宋体" w:cs="宋体"/>
                <w:szCs w:val="21"/>
                <w:highlight w:val="none"/>
              </w:rPr>
              <w:t>本项目不适用。</w:t>
            </w:r>
          </w:p>
        </w:tc>
      </w:tr>
      <w:tr w14:paraId="677E01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0BC227BF">
            <w:pPr>
              <w:rPr>
                <w:rFonts w:ascii="宋体" w:hAnsi="宋体"/>
                <w:color w:val="000000"/>
                <w:szCs w:val="21"/>
                <w:highlight w:val="none"/>
              </w:rPr>
            </w:pPr>
            <w:r>
              <w:rPr>
                <w:rFonts w:hint="eastAsia" w:ascii="宋体" w:hAnsi="宋体" w:cs="宋体"/>
                <w:szCs w:val="21"/>
                <w:highlight w:val="none"/>
              </w:rPr>
              <w:t>28</w:t>
            </w:r>
          </w:p>
        </w:tc>
        <w:tc>
          <w:tcPr>
            <w:tcW w:w="981" w:type="dxa"/>
            <w:tcBorders>
              <w:top w:val="single" w:color="auto" w:sz="4" w:space="0"/>
              <w:left w:val="single" w:color="auto" w:sz="4" w:space="0"/>
              <w:bottom w:val="single" w:color="auto" w:sz="4" w:space="0"/>
              <w:right w:val="single" w:color="auto" w:sz="4" w:space="0"/>
            </w:tcBorders>
            <w:vAlign w:val="center"/>
          </w:tcPr>
          <w:p w14:paraId="327B752C">
            <w:pPr>
              <w:rPr>
                <w:rFonts w:ascii="宋体" w:hAnsi="宋体"/>
                <w:color w:val="000000"/>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454AE7F5">
            <w:pPr>
              <w:rPr>
                <w:rFonts w:ascii="宋体" w:hAnsi="宋体"/>
                <w:color w:val="000000"/>
                <w:szCs w:val="21"/>
                <w:highlight w:val="none"/>
              </w:rPr>
            </w:pPr>
            <w:r>
              <w:rPr>
                <w:rFonts w:hint="eastAsia" w:ascii="宋体" w:hAnsi="宋体" w:cs="宋体"/>
                <w:szCs w:val="21"/>
                <w:highlight w:val="none"/>
              </w:rPr>
              <w:t>评标委员会人数</w:t>
            </w:r>
          </w:p>
        </w:tc>
        <w:tc>
          <w:tcPr>
            <w:tcW w:w="5857" w:type="dxa"/>
            <w:tcBorders>
              <w:top w:val="single" w:color="auto" w:sz="4" w:space="0"/>
              <w:left w:val="single" w:color="auto" w:sz="4" w:space="0"/>
              <w:bottom w:val="single" w:color="auto" w:sz="4" w:space="0"/>
              <w:right w:val="double" w:color="auto" w:sz="4" w:space="0"/>
            </w:tcBorders>
            <w:vAlign w:val="center"/>
          </w:tcPr>
          <w:p w14:paraId="65B18D13">
            <w:pPr>
              <w:rPr>
                <w:rFonts w:ascii="宋体" w:hAnsi="宋体"/>
                <w:color w:val="000000"/>
                <w:szCs w:val="21"/>
                <w:highlight w:val="none"/>
                <w:u w:val="single"/>
              </w:rPr>
            </w:pPr>
            <w:r>
              <w:rPr>
                <w:rFonts w:hint="eastAsia" w:ascii="宋体" w:hAnsi="宋体" w:cs="宋体"/>
                <w:szCs w:val="21"/>
                <w:highlight w:val="none"/>
              </w:rPr>
              <w:t>评标委员会由招标人依法组建。</w:t>
            </w:r>
          </w:p>
        </w:tc>
      </w:tr>
      <w:tr w14:paraId="5AA443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68086451">
            <w:pPr>
              <w:rPr>
                <w:rFonts w:ascii="宋体" w:hAnsi="宋体"/>
                <w:color w:val="000000"/>
                <w:szCs w:val="21"/>
                <w:highlight w:val="none"/>
              </w:rPr>
            </w:pPr>
            <w:r>
              <w:rPr>
                <w:rFonts w:hint="eastAsia" w:ascii="宋体" w:hAnsi="宋体" w:cs="宋体"/>
                <w:szCs w:val="21"/>
                <w:highlight w:val="none"/>
              </w:rPr>
              <w:t>29</w:t>
            </w:r>
          </w:p>
        </w:tc>
        <w:tc>
          <w:tcPr>
            <w:tcW w:w="981" w:type="dxa"/>
            <w:tcBorders>
              <w:top w:val="single" w:color="auto" w:sz="4" w:space="0"/>
              <w:left w:val="single" w:color="auto" w:sz="4" w:space="0"/>
              <w:bottom w:val="single" w:color="auto" w:sz="4" w:space="0"/>
              <w:right w:val="single" w:color="auto" w:sz="4" w:space="0"/>
            </w:tcBorders>
            <w:vAlign w:val="center"/>
          </w:tcPr>
          <w:p w14:paraId="24FD7575">
            <w:pPr>
              <w:rPr>
                <w:rFonts w:ascii="宋体" w:hAnsi="宋体"/>
                <w:color w:val="000000"/>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2A8FD0EA">
            <w:pPr>
              <w:rPr>
                <w:rFonts w:ascii="宋体" w:hAnsi="宋体"/>
                <w:color w:val="000000"/>
                <w:kern w:val="0"/>
                <w:szCs w:val="21"/>
                <w:highlight w:val="none"/>
                <w:lang w:val="zh-CN"/>
              </w:rPr>
            </w:pPr>
            <w:r>
              <w:rPr>
                <w:rFonts w:hint="eastAsia" w:ascii="宋体" w:hAnsi="宋体" w:cs="宋体"/>
                <w:szCs w:val="21"/>
                <w:highlight w:val="none"/>
              </w:rPr>
              <w:t>企业综合诚信评价分数</w:t>
            </w:r>
          </w:p>
        </w:tc>
        <w:tc>
          <w:tcPr>
            <w:tcW w:w="5857" w:type="dxa"/>
            <w:tcBorders>
              <w:top w:val="single" w:color="auto" w:sz="4" w:space="0"/>
              <w:left w:val="single" w:color="auto" w:sz="4" w:space="0"/>
              <w:bottom w:val="single" w:color="auto" w:sz="4" w:space="0"/>
              <w:right w:val="double" w:color="auto" w:sz="4" w:space="0"/>
            </w:tcBorders>
            <w:vAlign w:val="center"/>
          </w:tcPr>
          <w:p w14:paraId="6A4E5874">
            <w:pPr>
              <w:rPr>
                <w:rFonts w:ascii="宋体" w:hAnsi="宋体"/>
                <w:color w:val="000000"/>
                <w:kern w:val="0"/>
                <w:szCs w:val="21"/>
                <w:highlight w:val="none"/>
                <w:lang w:val="zh-CN"/>
              </w:rPr>
            </w:pPr>
            <w:r>
              <w:rPr>
                <w:rFonts w:hint="eastAsia" w:ascii="宋体" w:hAnsi="宋体"/>
                <w:color w:val="000000"/>
                <w:kern w:val="0"/>
                <w:szCs w:val="21"/>
                <w:highlight w:val="none"/>
                <w:lang w:val="zh-CN"/>
              </w:rPr>
              <w:t>本项目不采用。</w:t>
            </w:r>
          </w:p>
        </w:tc>
      </w:tr>
      <w:tr w14:paraId="501C3A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6ACC5A70">
            <w:pPr>
              <w:rPr>
                <w:rFonts w:ascii="宋体" w:hAnsi="宋体" w:cs="宋体"/>
                <w:szCs w:val="21"/>
                <w:highlight w:val="none"/>
              </w:rPr>
            </w:pPr>
            <w:r>
              <w:rPr>
                <w:rFonts w:hint="eastAsia" w:ascii="宋体" w:hAnsi="宋体" w:cs="宋体"/>
                <w:szCs w:val="21"/>
                <w:highlight w:val="none"/>
              </w:rPr>
              <w:t>30</w:t>
            </w:r>
          </w:p>
        </w:tc>
        <w:tc>
          <w:tcPr>
            <w:tcW w:w="981" w:type="dxa"/>
            <w:tcBorders>
              <w:top w:val="single" w:color="auto" w:sz="4" w:space="0"/>
              <w:left w:val="single" w:color="auto" w:sz="4" w:space="0"/>
              <w:bottom w:val="single" w:color="auto" w:sz="4" w:space="0"/>
              <w:right w:val="single" w:color="auto" w:sz="4" w:space="0"/>
            </w:tcBorders>
            <w:vAlign w:val="center"/>
          </w:tcPr>
          <w:p w14:paraId="3CB65CC5">
            <w:pPr>
              <w:rPr>
                <w:rFonts w:ascii="宋体" w:hAnsi="宋体"/>
                <w:color w:val="000000"/>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3B11C291">
            <w:pPr>
              <w:rPr>
                <w:rFonts w:ascii="宋体" w:hAnsi="宋体" w:cs="宋体"/>
                <w:szCs w:val="21"/>
                <w:highlight w:val="none"/>
              </w:rPr>
            </w:pPr>
            <w:r>
              <w:rPr>
                <w:rFonts w:hint="eastAsia" w:ascii="宋体" w:hAnsi="宋体" w:cs="宋体"/>
                <w:szCs w:val="21"/>
                <w:highlight w:val="none"/>
              </w:rPr>
              <w:t>第二阶段投标人名次的排序方法（适用于办法一、办法二）</w:t>
            </w:r>
          </w:p>
        </w:tc>
        <w:tc>
          <w:tcPr>
            <w:tcW w:w="5857" w:type="dxa"/>
            <w:tcBorders>
              <w:top w:val="single" w:color="auto" w:sz="4" w:space="0"/>
              <w:left w:val="single" w:color="auto" w:sz="4" w:space="0"/>
              <w:bottom w:val="single" w:color="auto" w:sz="4" w:space="0"/>
              <w:right w:val="double" w:color="auto" w:sz="4" w:space="0"/>
            </w:tcBorders>
            <w:vAlign w:val="center"/>
          </w:tcPr>
          <w:p w14:paraId="3361F5B7">
            <w:pPr>
              <w:rPr>
                <w:rFonts w:ascii="宋体" w:hAnsi="宋体"/>
                <w:szCs w:val="21"/>
                <w:highlight w:val="none"/>
              </w:rPr>
            </w:pPr>
            <w:r>
              <w:rPr>
                <w:rFonts w:hint="eastAsia" w:ascii="宋体" w:hAnsi="宋体" w:cs="宋体"/>
                <w:szCs w:val="21"/>
                <w:highlight w:val="none"/>
              </w:rPr>
              <w:t xml:space="preserve">本项目不适用。 </w:t>
            </w:r>
          </w:p>
        </w:tc>
      </w:tr>
      <w:tr w14:paraId="72F140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65FA7CB4">
            <w:pPr>
              <w:rPr>
                <w:rFonts w:ascii="宋体" w:hAnsi="宋体" w:cs="宋体"/>
                <w:szCs w:val="21"/>
                <w:highlight w:val="none"/>
              </w:rPr>
            </w:pPr>
            <w:r>
              <w:rPr>
                <w:rFonts w:hint="eastAsia" w:ascii="宋体" w:hAnsi="宋体" w:cs="宋体"/>
                <w:szCs w:val="21"/>
                <w:highlight w:val="none"/>
              </w:rPr>
              <w:t>31</w:t>
            </w:r>
          </w:p>
        </w:tc>
        <w:tc>
          <w:tcPr>
            <w:tcW w:w="981" w:type="dxa"/>
            <w:tcBorders>
              <w:top w:val="single" w:color="auto" w:sz="4" w:space="0"/>
              <w:left w:val="single" w:color="auto" w:sz="4" w:space="0"/>
              <w:bottom w:val="single" w:color="auto" w:sz="4" w:space="0"/>
              <w:right w:val="single" w:color="auto" w:sz="4" w:space="0"/>
            </w:tcBorders>
            <w:vAlign w:val="center"/>
          </w:tcPr>
          <w:p w14:paraId="558EF110">
            <w:pPr>
              <w:rPr>
                <w:rFonts w:ascii="宋体" w:hAnsi="宋体"/>
                <w:color w:val="000000"/>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67C2CD53">
            <w:pPr>
              <w:rPr>
                <w:rFonts w:ascii="宋体" w:hAnsi="宋体" w:cs="宋体"/>
                <w:szCs w:val="21"/>
                <w:highlight w:val="none"/>
              </w:rPr>
            </w:pPr>
            <w:r>
              <w:rPr>
                <w:rFonts w:hint="eastAsia" w:ascii="宋体" w:hAnsi="宋体" w:cs="宋体"/>
                <w:szCs w:val="21"/>
                <w:highlight w:val="none"/>
              </w:rPr>
              <w:t>经济分相同情况下的排序方法（适用于办法三、办法四）</w:t>
            </w:r>
          </w:p>
        </w:tc>
        <w:tc>
          <w:tcPr>
            <w:tcW w:w="5857" w:type="dxa"/>
            <w:tcBorders>
              <w:top w:val="single" w:color="auto" w:sz="4" w:space="0"/>
              <w:left w:val="single" w:color="auto" w:sz="4" w:space="0"/>
              <w:bottom w:val="single" w:color="auto" w:sz="4" w:space="0"/>
              <w:right w:val="double" w:color="auto" w:sz="4" w:space="0"/>
            </w:tcBorders>
            <w:vAlign w:val="center"/>
          </w:tcPr>
          <w:p w14:paraId="374BD32D">
            <w:pPr>
              <w:rPr>
                <w:rFonts w:ascii="宋体" w:hAnsi="宋体"/>
                <w:szCs w:val="21"/>
                <w:highlight w:val="none"/>
              </w:rPr>
            </w:pPr>
            <w:r>
              <w:rPr>
                <w:rFonts w:hint="eastAsia" w:ascii="宋体" w:hAnsi="宋体" w:cs="宋体"/>
                <w:szCs w:val="21"/>
                <w:highlight w:val="none"/>
              </w:rPr>
              <w:t xml:space="preserve">本项目不适用。 </w:t>
            </w:r>
          </w:p>
        </w:tc>
      </w:tr>
      <w:tr w14:paraId="336BFB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2C3184B0">
            <w:pPr>
              <w:rPr>
                <w:rFonts w:ascii="宋体" w:hAnsi="宋体" w:cs="宋体"/>
                <w:szCs w:val="21"/>
                <w:highlight w:val="none"/>
              </w:rPr>
            </w:pPr>
            <w:r>
              <w:rPr>
                <w:rFonts w:hint="eastAsia" w:ascii="宋体" w:hAnsi="宋体" w:cs="宋体"/>
                <w:szCs w:val="21"/>
                <w:highlight w:val="none"/>
              </w:rPr>
              <w:t>32</w:t>
            </w:r>
          </w:p>
        </w:tc>
        <w:tc>
          <w:tcPr>
            <w:tcW w:w="981" w:type="dxa"/>
            <w:tcBorders>
              <w:top w:val="single" w:color="auto" w:sz="4" w:space="0"/>
              <w:left w:val="single" w:color="auto" w:sz="4" w:space="0"/>
              <w:bottom w:val="single" w:color="auto" w:sz="4" w:space="0"/>
              <w:right w:val="single" w:color="auto" w:sz="4" w:space="0"/>
            </w:tcBorders>
            <w:vAlign w:val="center"/>
          </w:tcPr>
          <w:p w14:paraId="02BC2670">
            <w:pPr>
              <w:rPr>
                <w:rFonts w:ascii="宋体" w:hAnsi="宋体"/>
                <w:color w:val="000000"/>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071B49A4">
            <w:pPr>
              <w:rPr>
                <w:rFonts w:ascii="宋体" w:hAnsi="宋体" w:cs="宋体"/>
                <w:szCs w:val="21"/>
                <w:highlight w:val="none"/>
              </w:rPr>
            </w:pPr>
            <w:r>
              <w:rPr>
                <w:rFonts w:hint="eastAsia" w:ascii="宋体" w:hAnsi="宋体" w:cs="宋体"/>
                <w:szCs w:val="21"/>
                <w:highlight w:val="none"/>
              </w:rPr>
              <w:t>第二阶段投标人名次的排序方法（适用于办法五、办法六）</w:t>
            </w:r>
          </w:p>
        </w:tc>
        <w:tc>
          <w:tcPr>
            <w:tcW w:w="5857" w:type="dxa"/>
            <w:tcBorders>
              <w:top w:val="single" w:color="auto" w:sz="4" w:space="0"/>
              <w:left w:val="single" w:color="auto" w:sz="4" w:space="0"/>
              <w:bottom w:val="single" w:color="auto" w:sz="4" w:space="0"/>
              <w:right w:val="double" w:color="auto" w:sz="4" w:space="0"/>
            </w:tcBorders>
            <w:vAlign w:val="center"/>
          </w:tcPr>
          <w:p w14:paraId="3CE4DFD6">
            <w:pPr>
              <w:rPr>
                <w:rFonts w:ascii="宋体" w:hAnsi="宋体"/>
                <w:szCs w:val="21"/>
                <w:highlight w:val="none"/>
              </w:rPr>
            </w:pPr>
            <w:r>
              <w:rPr>
                <w:rFonts w:hint="eastAsia" w:ascii="宋体" w:hAnsi="宋体" w:cs="宋体"/>
                <w:szCs w:val="21"/>
                <w:highlight w:val="none"/>
              </w:rPr>
              <w:t>本项目不适用。</w:t>
            </w:r>
          </w:p>
        </w:tc>
      </w:tr>
      <w:tr w14:paraId="23BBA1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50A06949">
            <w:pPr>
              <w:rPr>
                <w:rFonts w:ascii="宋体" w:hAnsi="宋体" w:cs="宋体"/>
                <w:szCs w:val="21"/>
                <w:highlight w:val="none"/>
              </w:rPr>
            </w:pPr>
            <w:r>
              <w:rPr>
                <w:rFonts w:hint="eastAsia" w:ascii="宋体" w:hAnsi="宋体" w:cs="宋体"/>
                <w:szCs w:val="21"/>
                <w:highlight w:val="none"/>
              </w:rPr>
              <w:t>33</w:t>
            </w:r>
          </w:p>
        </w:tc>
        <w:tc>
          <w:tcPr>
            <w:tcW w:w="981" w:type="dxa"/>
            <w:tcBorders>
              <w:top w:val="single" w:color="auto" w:sz="4" w:space="0"/>
              <w:left w:val="single" w:color="auto" w:sz="4" w:space="0"/>
              <w:bottom w:val="single" w:color="auto" w:sz="4" w:space="0"/>
              <w:right w:val="single" w:color="auto" w:sz="4" w:space="0"/>
            </w:tcBorders>
            <w:vAlign w:val="center"/>
          </w:tcPr>
          <w:p w14:paraId="34F3F8A7">
            <w:pPr>
              <w:rPr>
                <w:rFonts w:ascii="宋体" w:hAnsi="宋体"/>
                <w:color w:val="000000"/>
                <w:szCs w:val="21"/>
                <w:highlight w:val="none"/>
              </w:rPr>
            </w:pPr>
            <w:r>
              <w:rPr>
                <w:rFonts w:hint="eastAsia" w:ascii="宋体" w:hAnsi="宋体" w:cs="宋体"/>
                <w:szCs w:val="21"/>
                <w:highlight w:val="none"/>
              </w:rPr>
              <w:t>13.4、13.5.2</w:t>
            </w:r>
          </w:p>
        </w:tc>
        <w:tc>
          <w:tcPr>
            <w:tcW w:w="1810" w:type="dxa"/>
            <w:tcBorders>
              <w:top w:val="single" w:color="auto" w:sz="4" w:space="0"/>
              <w:left w:val="single" w:color="auto" w:sz="4" w:space="0"/>
              <w:bottom w:val="single" w:color="auto" w:sz="4" w:space="0"/>
              <w:right w:val="single" w:color="auto" w:sz="4" w:space="0"/>
            </w:tcBorders>
            <w:vAlign w:val="center"/>
          </w:tcPr>
          <w:p w14:paraId="0E96DE10">
            <w:pPr>
              <w:rPr>
                <w:rFonts w:ascii="宋体" w:hAnsi="宋体" w:cs="宋体"/>
                <w:szCs w:val="21"/>
                <w:highlight w:val="none"/>
              </w:rPr>
            </w:pPr>
            <w:r>
              <w:rPr>
                <w:rFonts w:hint="eastAsia" w:ascii="宋体" w:hAnsi="宋体" w:cs="宋体"/>
                <w:szCs w:val="21"/>
                <w:highlight w:val="none"/>
              </w:rPr>
              <w:t>合同价款的调整办法</w:t>
            </w:r>
          </w:p>
        </w:tc>
        <w:tc>
          <w:tcPr>
            <w:tcW w:w="5857" w:type="dxa"/>
            <w:tcBorders>
              <w:top w:val="single" w:color="auto" w:sz="4" w:space="0"/>
              <w:left w:val="single" w:color="auto" w:sz="4" w:space="0"/>
              <w:bottom w:val="single" w:color="auto" w:sz="4" w:space="0"/>
              <w:right w:val="double" w:color="auto" w:sz="4" w:space="0"/>
            </w:tcBorders>
            <w:vAlign w:val="center"/>
          </w:tcPr>
          <w:p w14:paraId="4CD1B28D">
            <w:pPr>
              <w:rPr>
                <w:rFonts w:ascii="宋体" w:hAnsi="宋体"/>
                <w:szCs w:val="21"/>
                <w:highlight w:val="none"/>
              </w:rPr>
            </w:pPr>
            <w:r>
              <w:rPr>
                <w:rFonts w:hint="eastAsia" w:ascii="宋体" w:hAnsi="宋体" w:cs="宋体"/>
                <w:bCs/>
                <w:szCs w:val="21"/>
                <w:highlight w:val="none"/>
                <w:u w:val="single"/>
              </w:rPr>
              <w:t>按合同条款相关约定调整。</w:t>
            </w:r>
          </w:p>
        </w:tc>
      </w:tr>
      <w:tr w14:paraId="11F210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0310E8F">
            <w:pPr>
              <w:rPr>
                <w:rFonts w:ascii="宋体" w:hAnsi="宋体" w:cs="宋体"/>
                <w:szCs w:val="21"/>
                <w:highlight w:val="none"/>
              </w:rPr>
            </w:pPr>
            <w:r>
              <w:rPr>
                <w:rFonts w:hint="eastAsia" w:ascii="宋体" w:hAnsi="宋体" w:cs="宋体"/>
                <w:szCs w:val="21"/>
                <w:highlight w:val="none"/>
              </w:rPr>
              <w:t>34</w:t>
            </w:r>
          </w:p>
        </w:tc>
        <w:tc>
          <w:tcPr>
            <w:tcW w:w="981" w:type="dxa"/>
            <w:tcBorders>
              <w:top w:val="single" w:color="auto" w:sz="4" w:space="0"/>
              <w:left w:val="single" w:color="auto" w:sz="4" w:space="0"/>
              <w:bottom w:val="single" w:color="auto" w:sz="4" w:space="0"/>
              <w:right w:val="single" w:color="auto" w:sz="4" w:space="0"/>
            </w:tcBorders>
            <w:vAlign w:val="center"/>
          </w:tcPr>
          <w:p w14:paraId="25088594">
            <w:pPr>
              <w:rPr>
                <w:rFonts w:ascii="宋体" w:hAnsi="宋体"/>
                <w:color w:val="000000"/>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52F93B88">
            <w:pPr>
              <w:rPr>
                <w:rFonts w:ascii="宋体" w:hAnsi="宋体" w:cs="宋体"/>
                <w:szCs w:val="21"/>
                <w:highlight w:val="none"/>
              </w:rPr>
            </w:pPr>
            <w:r>
              <w:rPr>
                <w:rFonts w:hint="eastAsia" w:ascii="宋体" w:hAnsi="宋体" w:cs="宋体"/>
                <w:kern w:val="0"/>
                <w:szCs w:val="21"/>
                <w:highlight w:val="none"/>
                <w:lang w:val="zh-CN"/>
              </w:rPr>
              <w:t>建设工程质量检测管理</w:t>
            </w:r>
            <w:r>
              <w:rPr>
                <w:rFonts w:hint="eastAsia" w:ascii="宋体" w:hAnsi="宋体" w:cs="宋体"/>
                <w:kern w:val="0"/>
                <w:szCs w:val="21"/>
                <w:highlight w:val="none"/>
              </w:rPr>
              <w:t>单位</w:t>
            </w:r>
          </w:p>
        </w:tc>
        <w:tc>
          <w:tcPr>
            <w:tcW w:w="5857" w:type="dxa"/>
            <w:tcBorders>
              <w:top w:val="single" w:color="auto" w:sz="4" w:space="0"/>
              <w:left w:val="single" w:color="auto" w:sz="4" w:space="0"/>
              <w:bottom w:val="single" w:color="auto" w:sz="4" w:space="0"/>
              <w:right w:val="double" w:color="auto" w:sz="4" w:space="0"/>
            </w:tcBorders>
            <w:vAlign w:val="center"/>
          </w:tcPr>
          <w:p w14:paraId="3E6DB629">
            <w:pPr>
              <w:rPr>
                <w:rFonts w:ascii="宋体" w:hAnsi="宋体"/>
                <w:szCs w:val="21"/>
                <w:highlight w:val="none"/>
              </w:rPr>
            </w:pPr>
            <w:r>
              <w:rPr>
                <w:rFonts w:hint="eastAsia" w:ascii="宋体" w:hAnsi="宋体" w:cs="宋体"/>
                <w:kern w:val="0"/>
                <w:szCs w:val="21"/>
                <w:highlight w:val="non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75CA9D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0E5C7FF5">
            <w:pPr>
              <w:rPr>
                <w:rFonts w:ascii="宋体" w:hAnsi="宋体" w:cs="宋体"/>
                <w:szCs w:val="21"/>
                <w:highlight w:val="none"/>
              </w:rPr>
            </w:pPr>
            <w:r>
              <w:rPr>
                <w:rFonts w:hint="eastAsia" w:ascii="宋体" w:hAnsi="宋体" w:cs="宋体"/>
                <w:szCs w:val="21"/>
                <w:highlight w:val="none"/>
              </w:rPr>
              <w:t>35</w:t>
            </w:r>
          </w:p>
        </w:tc>
        <w:tc>
          <w:tcPr>
            <w:tcW w:w="981" w:type="dxa"/>
            <w:tcBorders>
              <w:top w:val="single" w:color="auto" w:sz="4" w:space="0"/>
              <w:left w:val="single" w:color="auto" w:sz="4" w:space="0"/>
              <w:bottom w:val="single" w:color="auto" w:sz="4" w:space="0"/>
              <w:right w:val="single" w:color="auto" w:sz="4" w:space="0"/>
            </w:tcBorders>
            <w:vAlign w:val="center"/>
          </w:tcPr>
          <w:p w14:paraId="0DA59713">
            <w:pPr>
              <w:rPr>
                <w:rFonts w:ascii="宋体" w:hAnsi="宋体"/>
                <w:color w:val="000000"/>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24A168CE">
            <w:pPr>
              <w:rPr>
                <w:rFonts w:ascii="宋体" w:hAnsi="宋体" w:cs="宋体"/>
                <w:szCs w:val="21"/>
                <w:highlight w:val="none"/>
              </w:rPr>
            </w:pPr>
            <w:r>
              <w:rPr>
                <w:rFonts w:hint="eastAsia" w:ascii="宋体" w:hAnsi="宋体" w:cs="宋体"/>
                <w:kern w:val="0"/>
                <w:szCs w:val="21"/>
                <w:highlight w:val="none"/>
                <w:lang w:val="zh-CN"/>
              </w:rPr>
              <w:t>分包</w:t>
            </w:r>
          </w:p>
        </w:tc>
        <w:tc>
          <w:tcPr>
            <w:tcW w:w="5857" w:type="dxa"/>
            <w:tcBorders>
              <w:top w:val="single" w:color="auto" w:sz="4" w:space="0"/>
              <w:left w:val="single" w:color="auto" w:sz="4" w:space="0"/>
              <w:bottom w:val="single" w:color="auto" w:sz="4" w:space="0"/>
              <w:right w:val="double" w:color="auto" w:sz="4" w:space="0"/>
            </w:tcBorders>
            <w:vAlign w:val="center"/>
          </w:tcPr>
          <w:p w14:paraId="5F3E6374">
            <w:pPr>
              <w:rPr>
                <w:rFonts w:ascii="宋体" w:hAnsi="宋体" w:cs="宋体"/>
                <w:kern w:val="0"/>
                <w:szCs w:val="21"/>
                <w:highlight w:val="none"/>
                <w:lang w:val="zh-CN"/>
              </w:rPr>
            </w:pPr>
            <w:r>
              <w:rPr>
                <w:rFonts w:hint="eastAsia" w:ascii="宋体" w:hAnsi="宋体" w:cs="宋体"/>
                <w:kern w:val="0"/>
                <w:szCs w:val="21"/>
                <w:highlight w:val="none"/>
                <w:lang w:val="zh-CN"/>
              </w:rPr>
              <w:t>☑不允许；</w:t>
            </w:r>
          </w:p>
          <w:p w14:paraId="777A30F4">
            <w:pPr>
              <w:rPr>
                <w:rFonts w:ascii="宋体" w:hAnsi="宋体" w:cs="宋体"/>
                <w:kern w:val="0"/>
                <w:szCs w:val="21"/>
                <w:highlight w:val="none"/>
                <w:lang w:val="zh-CN"/>
              </w:rPr>
            </w:pPr>
            <w:r>
              <w:rPr>
                <w:rFonts w:hint="eastAsia" w:ascii="宋体" w:hAnsi="宋体" w:cs="宋体"/>
                <w:kern w:val="0"/>
                <w:szCs w:val="21"/>
                <w:highlight w:val="none"/>
                <w:lang w:val="zh-CN"/>
              </w:rPr>
              <w:t>□允许：分包内容要要求：</w:t>
            </w:r>
          </w:p>
          <w:p w14:paraId="25B4FC59">
            <w:pPr>
              <w:rPr>
                <w:rFonts w:ascii="宋体" w:hAnsi="宋体" w:cs="宋体"/>
                <w:kern w:val="0"/>
                <w:szCs w:val="21"/>
                <w:highlight w:val="none"/>
                <w:lang w:val="zh-CN"/>
              </w:rPr>
            </w:pPr>
            <w:r>
              <w:rPr>
                <w:rFonts w:hint="eastAsia" w:ascii="宋体" w:hAnsi="宋体" w:cs="宋体"/>
                <w:kern w:val="0"/>
                <w:szCs w:val="21"/>
                <w:highlight w:val="none"/>
                <w:lang w:val="zh-CN"/>
              </w:rPr>
              <w:t xml:space="preserve">        分包金额要求：</w:t>
            </w:r>
          </w:p>
          <w:p w14:paraId="2B41B7FA">
            <w:pPr>
              <w:rPr>
                <w:rFonts w:ascii="宋体" w:hAnsi="宋体" w:cs="宋体"/>
                <w:kern w:val="0"/>
                <w:szCs w:val="21"/>
                <w:highlight w:val="none"/>
                <w:lang w:val="zh-CN"/>
              </w:rPr>
            </w:pPr>
            <w:r>
              <w:rPr>
                <w:rFonts w:hint="eastAsia" w:ascii="宋体" w:hAnsi="宋体" w:cs="宋体"/>
                <w:kern w:val="0"/>
                <w:szCs w:val="21"/>
                <w:highlight w:val="none"/>
                <w:lang w:val="zh-CN"/>
              </w:rPr>
              <w:t xml:space="preserve">        对分包人的资质要求：</w:t>
            </w:r>
          </w:p>
          <w:p w14:paraId="133BBCE7">
            <w:pPr>
              <w:rPr>
                <w:rFonts w:ascii="宋体" w:hAnsi="宋体"/>
                <w:szCs w:val="21"/>
                <w:highlight w:val="none"/>
              </w:rPr>
            </w:pPr>
            <w:r>
              <w:rPr>
                <w:rFonts w:hint="eastAsia" w:ascii="宋体" w:hAnsi="宋体" w:cs="宋体"/>
                <w:kern w:val="0"/>
                <w:szCs w:val="21"/>
                <w:highlight w:val="none"/>
                <w:lang w:val="zh-CN"/>
              </w:rPr>
              <w:t xml:space="preserve">        对分包人的其他要求：</w:t>
            </w:r>
          </w:p>
        </w:tc>
      </w:tr>
      <w:tr w14:paraId="03E7AF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90ABD1A">
            <w:pPr>
              <w:rPr>
                <w:rFonts w:ascii="宋体" w:hAnsi="宋体"/>
                <w:color w:val="000000"/>
                <w:szCs w:val="21"/>
                <w:highlight w:val="none"/>
              </w:rPr>
            </w:pPr>
            <w:r>
              <w:rPr>
                <w:rFonts w:hint="eastAsia" w:ascii="宋体" w:hAnsi="宋体"/>
                <w:color w:val="000000"/>
                <w:szCs w:val="21"/>
                <w:highlight w:val="none"/>
              </w:rPr>
              <w:t>3</w:t>
            </w:r>
            <w:r>
              <w:rPr>
                <w:rFonts w:ascii="宋体" w:hAnsi="宋体"/>
                <w:color w:val="000000"/>
                <w:szCs w:val="21"/>
                <w:highlight w:val="none"/>
              </w:rPr>
              <w:t>6</w:t>
            </w:r>
          </w:p>
        </w:tc>
        <w:tc>
          <w:tcPr>
            <w:tcW w:w="981" w:type="dxa"/>
            <w:tcBorders>
              <w:top w:val="single" w:color="auto" w:sz="4" w:space="0"/>
              <w:left w:val="single" w:color="auto" w:sz="4" w:space="0"/>
              <w:bottom w:val="single" w:color="auto" w:sz="4" w:space="0"/>
              <w:right w:val="single" w:color="auto" w:sz="4" w:space="0"/>
            </w:tcBorders>
            <w:vAlign w:val="center"/>
          </w:tcPr>
          <w:p w14:paraId="2C0585F5">
            <w:pPr>
              <w:jc w:val="center"/>
              <w:rPr>
                <w:rFonts w:ascii="宋体" w:hAnsi="宋体"/>
                <w:color w:val="000000"/>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6AF0D70D">
            <w:pPr>
              <w:jc w:val="center"/>
              <w:rPr>
                <w:rFonts w:ascii="宋体" w:hAnsi="宋体"/>
                <w:color w:val="000000"/>
                <w:highlight w:val="none"/>
              </w:rPr>
            </w:pPr>
            <w:r>
              <w:rPr>
                <w:rFonts w:hint="eastAsia" w:ascii="宋体" w:hAnsi="宋体"/>
                <w:color w:val="000000"/>
                <w:highlight w:val="none"/>
              </w:rPr>
              <w:t>电子招标投标解密失败及突发情况的补救</w:t>
            </w:r>
          </w:p>
        </w:tc>
        <w:tc>
          <w:tcPr>
            <w:tcW w:w="5857" w:type="dxa"/>
            <w:tcBorders>
              <w:top w:val="single" w:color="auto" w:sz="4" w:space="0"/>
              <w:left w:val="single" w:color="auto" w:sz="4" w:space="0"/>
              <w:bottom w:val="single" w:color="auto" w:sz="4" w:space="0"/>
              <w:right w:val="double" w:color="auto" w:sz="4" w:space="0"/>
            </w:tcBorders>
            <w:vAlign w:val="center"/>
          </w:tcPr>
          <w:p w14:paraId="3476FFC4">
            <w:pPr>
              <w:rPr>
                <w:rFonts w:ascii="宋体" w:hAnsi="宋体" w:cs="Courier New"/>
                <w:color w:val="000000"/>
                <w:szCs w:val="21"/>
                <w:highlight w:val="none"/>
              </w:rPr>
            </w:pPr>
            <w:r>
              <w:rPr>
                <w:rFonts w:hint="eastAsia" w:ascii="宋体" w:hAnsi="宋体" w:cs="Courier New"/>
                <w:color w:val="000000"/>
                <w:szCs w:val="21"/>
                <w:highlight w:val="none"/>
              </w:rPr>
              <w:t>1.按照交易平台关于全流程电子化项目的相关指南进行操作。详见：</w:t>
            </w:r>
            <w:r>
              <w:rPr>
                <w:rFonts w:hint="eastAsia" w:ascii="宋体" w:hAnsi="宋体"/>
                <w:color w:val="000000"/>
                <w:szCs w:val="21"/>
                <w:highlight w:val="none"/>
                <w:u w:val="single"/>
              </w:rPr>
              <w:t>广州公共资源交易中心网站最新版《建设工程全流程电子化项目操作指南》</w:t>
            </w:r>
            <w:r>
              <w:rPr>
                <w:rFonts w:hint="eastAsia" w:ascii="宋体" w:hAnsi="宋体" w:cs="Courier New"/>
                <w:color w:val="000000"/>
                <w:szCs w:val="21"/>
                <w:highlight w:val="none"/>
              </w:rPr>
              <w:t>。</w:t>
            </w:r>
          </w:p>
          <w:p w14:paraId="543EC75C">
            <w:pPr>
              <w:rPr>
                <w:rFonts w:ascii="宋体" w:hAnsi="宋体" w:cs="Courier New"/>
                <w:color w:val="000000"/>
                <w:szCs w:val="21"/>
                <w:highlight w:val="none"/>
              </w:rPr>
            </w:pPr>
            <w:r>
              <w:rPr>
                <w:rFonts w:hint="eastAsia" w:ascii="宋体" w:hAnsi="宋体" w:cs="Courier New"/>
                <w:color w:val="000000"/>
                <w:szCs w:val="21"/>
                <w:highlight w:val="none"/>
              </w:rPr>
              <w:t>2.提交投标文件光盘备用</w:t>
            </w:r>
          </w:p>
          <w:p w14:paraId="0773075E">
            <w:pPr>
              <w:rPr>
                <w:rFonts w:ascii="宋体" w:hAnsi="宋体" w:cs="Courier New"/>
                <w:color w:val="000000"/>
                <w:szCs w:val="21"/>
                <w:highlight w:val="none"/>
              </w:rPr>
            </w:pPr>
            <w:r>
              <w:rPr>
                <w:rFonts w:hint="eastAsia" w:ascii="宋体" w:hAnsi="宋体" w:cs="Courier New"/>
                <w:color w:val="000000"/>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r>
              <w:rPr>
                <w:rFonts w:hint="eastAsia" w:ascii="宋体" w:hAnsi="宋体" w:cs="Courier New"/>
                <w:color w:val="000000"/>
                <w:szCs w:val="21"/>
                <w:highlight w:val="none"/>
                <w:u w:val="single"/>
              </w:rPr>
              <w:t>递交投标文件光盘备用时需提供法定人代表人证明书及授权委托书。</w:t>
            </w:r>
          </w:p>
          <w:p w14:paraId="62EE46B0">
            <w:pPr>
              <w:rPr>
                <w:rFonts w:ascii="宋体" w:hAnsi="宋体" w:cs="Courier New"/>
                <w:color w:val="000000"/>
                <w:szCs w:val="21"/>
                <w:highlight w:val="none"/>
              </w:rPr>
            </w:pPr>
            <w:r>
              <w:rPr>
                <w:rFonts w:hint="eastAsia" w:ascii="宋体" w:hAnsi="宋体" w:cs="Courier New"/>
                <w:color w:val="000000"/>
                <w:szCs w:val="21"/>
                <w:highlight w:val="none"/>
              </w:rPr>
              <w:t>3.补救方案</w:t>
            </w:r>
          </w:p>
          <w:p w14:paraId="6A1AA7D9">
            <w:pPr>
              <w:rPr>
                <w:rFonts w:ascii="宋体" w:hAnsi="宋体" w:cs="Courier New"/>
                <w:color w:val="000000"/>
                <w:szCs w:val="21"/>
                <w:highlight w:val="none"/>
              </w:rPr>
            </w:pPr>
            <w:r>
              <w:rPr>
                <w:rFonts w:hint="eastAsia" w:ascii="宋体" w:hAnsi="宋体" w:cs="Courier New"/>
                <w:color w:val="000000"/>
                <w:szCs w:val="21"/>
                <w:highlight w:val="none"/>
              </w:rPr>
              <w:t>（1）投标文件解密失败的补救方案：</w:t>
            </w:r>
          </w:p>
          <w:p w14:paraId="1BA62ED7">
            <w:pPr>
              <w:rPr>
                <w:rFonts w:ascii="宋体" w:hAnsi="宋体" w:cs="Courier New"/>
                <w:color w:val="000000"/>
                <w:szCs w:val="21"/>
                <w:highlight w:val="none"/>
              </w:rPr>
            </w:pPr>
            <w:r>
              <w:rPr>
                <w:rFonts w:hint="eastAsia" w:ascii="宋体" w:hAnsi="宋体" w:cs="Courier New"/>
                <w:color w:val="000000"/>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515F9D03">
            <w:pPr>
              <w:rPr>
                <w:rFonts w:ascii="宋体" w:hAnsi="宋体" w:cs="Courier New"/>
                <w:color w:val="000000"/>
                <w:szCs w:val="21"/>
                <w:highlight w:val="none"/>
              </w:rPr>
            </w:pPr>
            <w:r>
              <w:rPr>
                <w:rFonts w:hint="eastAsia" w:ascii="宋体" w:hAnsi="宋体" w:cs="Courier New"/>
                <w:color w:val="000000"/>
                <w:szCs w:val="21"/>
                <w:highlight w:val="none"/>
              </w:rPr>
              <w:t>（2）评标时突发情况的补救方案</w:t>
            </w:r>
          </w:p>
          <w:p w14:paraId="5C174AB0">
            <w:pPr>
              <w:rPr>
                <w:rFonts w:ascii="宋体" w:hAnsi="宋体" w:cs="Courier New"/>
                <w:color w:val="000000"/>
                <w:szCs w:val="21"/>
                <w:highlight w:val="none"/>
              </w:rPr>
            </w:pPr>
            <w:r>
              <w:rPr>
                <w:rFonts w:hint="eastAsia" w:ascii="宋体" w:hAnsi="宋体" w:cs="Courier New"/>
                <w:color w:val="000000"/>
                <w:szCs w:val="21"/>
                <w:highlight w:val="none"/>
              </w:rPr>
              <w:t>若遇不可抗力发生（指网络瘫痪、服务器损坏、交易系统故障短期无法恢复等因素），由评标委员会开启投标人递交的全部投标文件光盘，并按光盘内容进行评审。</w:t>
            </w:r>
          </w:p>
          <w:p w14:paraId="04993089">
            <w:pPr>
              <w:rPr>
                <w:rFonts w:ascii="宋体" w:hAnsi="宋体" w:cs="Courier New"/>
                <w:color w:val="000000"/>
                <w:szCs w:val="21"/>
                <w:highlight w:val="none"/>
              </w:rPr>
            </w:pPr>
            <w:r>
              <w:rPr>
                <w:rFonts w:hint="eastAsia" w:ascii="宋体" w:hAnsi="宋体" w:cs="Courier New"/>
                <w:color w:val="000000"/>
                <w:szCs w:val="21"/>
                <w:highlight w:val="none"/>
              </w:rPr>
              <w:t>（3）除发生上述情况外，开标评标均以投标人通过交易平台网上递交的电子投标文件为准。</w:t>
            </w:r>
          </w:p>
        </w:tc>
      </w:tr>
    </w:tbl>
    <w:p w14:paraId="6A36DAD5">
      <w:pPr>
        <w:pStyle w:val="3"/>
        <w:ind w:left="0"/>
        <w:jc w:val="left"/>
        <w:rPr>
          <w:highlight w:val="none"/>
        </w:rPr>
      </w:pPr>
    </w:p>
    <w:p w14:paraId="557606A7">
      <w:pPr>
        <w:pStyle w:val="3"/>
        <w:ind w:left="0"/>
        <w:rPr>
          <w:highlight w:val="none"/>
        </w:rPr>
      </w:pPr>
      <w:r>
        <w:rPr>
          <w:highlight w:val="none"/>
        </w:rPr>
        <w:br w:type="page"/>
      </w:r>
      <w:bookmarkStart w:id="5" w:name="_Toc20514"/>
      <w:bookmarkStart w:id="6" w:name="_Toc58188149"/>
      <w:bookmarkStart w:id="7" w:name="_Toc50391290"/>
      <w:r>
        <w:rPr>
          <w:rFonts w:hint="eastAsia"/>
          <w:highlight w:val="none"/>
        </w:rPr>
        <w:t>二、投标须知修改表</w:t>
      </w:r>
      <w:bookmarkEnd w:id="5"/>
      <w:bookmarkEnd w:id="6"/>
      <w:bookmarkEnd w:id="7"/>
    </w:p>
    <w:p w14:paraId="2BEA1660">
      <w:pPr>
        <w:pStyle w:val="49"/>
        <w:spacing w:line="360" w:lineRule="auto"/>
        <w:rPr>
          <w:b/>
          <w:color w:val="000000"/>
          <w:szCs w:val="21"/>
          <w:highlight w:val="none"/>
        </w:rPr>
      </w:pPr>
      <w:r>
        <w:rPr>
          <w:rFonts w:hint="eastAsia"/>
          <w:b/>
          <w:color w:val="000000"/>
          <w:szCs w:val="21"/>
          <w:highlight w:val="none"/>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http://zfcj.gz.gov.cn/）下载查阅。</w:t>
      </w:r>
    </w:p>
    <w:p w14:paraId="4E693552">
      <w:pPr>
        <w:pBdr>
          <w:bottom w:val="single" w:color="auto" w:sz="6" w:space="1"/>
        </w:pBdr>
        <w:spacing w:line="360" w:lineRule="auto"/>
        <w:ind w:firstLine="472" w:firstLineChars="224"/>
        <w:rPr>
          <w:rFonts w:ascii="宋体" w:hAnsi="宋体" w:cs="宋体"/>
          <w:b/>
          <w:szCs w:val="21"/>
          <w:highlight w:val="none"/>
        </w:rPr>
      </w:pPr>
      <w:r>
        <w:rPr>
          <w:rFonts w:hint="eastAsia" w:ascii="宋体" w:hAnsi="宋体" w:cs="宋体"/>
          <w:b/>
          <w:szCs w:val="21"/>
          <w:highlight w:val="none"/>
        </w:rPr>
        <w:t>条款号：2.5             修改类型：增加</w:t>
      </w:r>
    </w:p>
    <w:p w14:paraId="352F5977">
      <w:pPr>
        <w:pBdr>
          <w:bottom w:val="single" w:color="auto" w:sz="6" w:space="1"/>
        </w:pBdr>
        <w:spacing w:line="360" w:lineRule="auto"/>
        <w:ind w:firstLine="472" w:firstLineChars="224"/>
        <w:rPr>
          <w:rFonts w:ascii="宋体" w:hAnsi="宋体" w:cs="宋体"/>
          <w:b/>
          <w:szCs w:val="21"/>
          <w:highlight w:val="none"/>
        </w:rPr>
      </w:pPr>
      <w:r>
        <w:rPr>
          <w:rFonts w:hint="eastAsia" w:ascii="宋体" w:hAnsi="宋体" w:cs="宋体"/>
          <w:b/>
          <w:szCs w:val="21"/>
          <w:highlight w:val="none"/>
        </w:rPr>
        <w:t>现文：</w:t>
      </w:r>
      <w:r>
        <w:rPr>
          <w:rFonts w:hint="eastAsia" w:ascii="宋体" w:hAnsi="宋体" w:cs="宋体"/>
          <w:szCs w:val="21"/>
          <w:highlight w:val="none"/>
          <w:u w:val="single"/>
        </w:rPr>
        <w:t>2.5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14:paraId="7487F96D">
      <w:pPr>
        <w:spacing w:line="480" w:lineRule="auto"/>
        <w:ind w:firstLine="472" w:firstLineChars="224"/>
        <w:rPr>
          <w:rFonts w:ascii="宋体" w:hAnsi="宋体" w:cs="宋体"/>
          <w:b/>
          <w:szCs w:val="21"/>
          <w:highlight w:val="none"/>
        </w:rPr>
      </w:pPr>
      <w:r>
        <w:rPr>
          <w:rFonts w:hint="eastAsia" w:ascii="宋体" w:hAnsi="宋体" w:cs="宋体"/>
          <w:b/>
          <w:szCs w:val="21"/>
          <w:highlight w:val="none"/>
        </w:rPr>
        <w:t xml:space="preserve">条款号： </w:t>
      </w:r>
      <w:r>
        <w:rPr>
          <w:rFonts w:hint="eastAsia" w:ascii="宋体" w:hAnsi="宋体" w:cs="宋体"/>
          <w:szCs w:val="21"/>
          <w:highlight w:val="none"/>
        </w:rPr>
        <w:t>7.1</w:t>
      </w:r>
      <w:r>
        <w:rPr>
          <w:rFonts w:hint="eastAsia" w:ascii="宋体" w:hAnsi="宋体" w:cs="宋体"/>
          <w:b/>
          <w:szCs w:val="21"/>
          <w:highlight w:val="none"/>
        </w:rPr>
        <w:t xml:space="preserve">            修改类型：修改</w:t>
      </w:r>
    </w:p>
    <w:p w14:paraId="1F78CA94">
      <w:pPr>
        <w:spacing w:line="360" w:lineRule="auto"/>
        <w:ind w:firstLine="422" w:firstLineChars="200"/>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bCs/>
          <w:szCs w:val="21"/>
          <w:highlight w:val="none"/>
        </w:rPr>
        <w:t>7.1</w:t>
      </w:r>
      <w:r>
        <w:rPr>
          <w:rFonts w:hint="eastAsia" w:ascii="宋体" w:hAnsi="宋体" w:cs="宋体"/>
          <w:szCs w:val="21"/>
          <w:highlight w:val="none"/>
        </w:rPr>
        <w:t>本招标文件包括下列文件，以及所有按本须知第8条发出的招标答疑会会议纪要和按本须知第9条发出的澄清或修改：</w:t>
      </w:r>
    </w:p>
    <w:p w14:paraId="78004C88">
      <w:pPr>
        <w:pStyle w:val="49"/>
        <w:spacing w:after="0" w:line="360" w:lineRule="auto"/>
        <w:ind w:left="-2" w:firstLine="400" w:firstLineChars="200"/>
        <w:rPr>
          <w:rFonts w:ascii="宋体" w:hAnsi="宋体" w:cs="宋体"/>
          <w:szCs w:val="21"/>
          <w:highlight w:val="none"/>
        </w:rPr>
      </w:pPr>
      <w:r>
        <w:rPr>
          <w:rFonts w:hint="eastAsia" w:ascii="宋体" w:hAnsi="宋体" w:cs="宋体"/>
          <w:bCs/>
          <w:szCs w:val="21"/>
          <w:highlight w:val="none"/>
        </w:rPr>
        <w:t xml:space="preserve">第一章  </w:t>
      </w:r>
      <w:r>
        <w:rPr>
          <w:rFonts w:hint="eastAsia" w:ascii="宋体" w:hAnsi="宋体" w:cs="宋体"/>
          <w:szCs w:val="21"/>
          <w:highlight w:val="none"/>
        </w:rPr>
        <w:t>投标须知</w:t>
      </w:r>
    </w:p>
    <w:p w14:paraId="3E84E329">
      <w:pPr>
        <w:pStyle w:val="49"/>
        <w:spacing w:after="0" w:line="360" w:lineRule="auto"/>
        <w:ind w:left="-2" w:firstLine="400" w:firstLineChars="200"/>
        <w:rPr>
          <w:rFonts w:ascii="宋体" w:hAnsi="宋体" w:cs="宋体"/>
          <w:szCs w:val="21"/>
          <w:highlight w:val="none"/>
        </w:rPr>
      </w:pPr>
      <w:r>
        <w:rPr>
          <w:rFonts w:hint="eastAsia" w:ascii="宋体" w:hAnsi="宋体" w:cs="宋体"/>
          <w:bCs/>
          <w:szCs w:val="21"/>
          <w:highlight w:val="none"/>
        </w:rPr>
        <w:t xml:space="preserve">第二章  </w:t>
      </w:r>
      <w:r>
        <w:rPr>
          <w:rFonts w:hint="eastAsia" w:ascii="宋体" w:hAnsi="宋体" w:cs="宋体"/>
          <w:szCs w:val="21"/>
          <w:highlight w:val="none"/>
        </w:rPr>
        <w:t>开标、评标及定标办法</w:t>
      </w:r>
    </w:p>
    <w:p w14:paraId="0B0B6926">
      <w:pPr>
        <w:pStyle w:val="49"/>
        <w:spacing w:after="0" w:line="360" w:lineRule="auto"/>
        <w:ind w:left="-2" w:firstLine="400" w:firstLineChars="200"/>
        <w:rPr>
          <w:rFonts w:ascii="宋体" w:hAnsi="宋体" w:cs="宋体"/>
          <w:szCs w:val="21"/>
          <w:highlight w:val="none"/>
        </w:rPr>
      </w:pPr>
      <w:r>
        <w:rPr>
          <w:rFonts w:hint="eastAsia" w:ascii="宋体" w:hAnsi="宋体" w:cs="宋体"/>
          <w:szCs w:val="21"/>
          <w:highlight w:val="none"/>
        </w:rPr>
        <w:t>第三章  合同条款</w:t>
      </w:r>
    </w:p>
    <w:p w14:paraId="4FCD94B2">
      <w:pPr>
        <w:pStyle w:val="49"/>
        <w:spacing w:after="0" w:line="360" w:lineRule="auto"/>
        <w:ind w:firstLine="400" w:firstLineChars="200"/>
        <w:rPr>
          <w:rFonts w:ascii="宋体" w:hAnsi="宋体" w:cs="宋体"/>
          <w:szCs w:val="21"/>
          <w:highlight w:val="none"/>
        </w:rPr>
      </w:pPr>
      <w:r>
        <w:rPr>
          <w:rFonts w:hint="eastAsia" w:ascii="宋体" w:hAnsi="宋体" w:cs="宋体"/>
          <w:bCs/>
          <w:szCs w:val="21"/>
          <w:highlight w:val="none"/>
        </w:rPr>
        <w:t xml:space="preserve">第四章  </w:t>
      </w:r>
      <w:r>
        <w:rPr>
          <w:rFonts w:hint="eastAsia" w:ascii="宋体" w:hAnsi="宋体" w:cs="宋体"/>
          <w:szCs w:val="21"/>
          <w:highlight w:val="none"/>
        </w:rPr>
        <w:t>投标文件格式</w:t>
      </w:r>
    </w:p>
    <w:p w14:paraId="1CCE4BDB">
      <w:pPr>
        <w:pStyle w:val="49"/>
        <w:spacing w:after="0" w:line="360" w:lineRule="auto"/>
        <w:ind w:left="-2" w:firstLine="400" w:firstLineChars="200"/>
        <w:rPr>
          <w:rFonts w:ascii="宋体" w:hAnsi="宋体" w:cs="宋体"/>
          <w:szCs w:val="21"/>
          <w:highlight w:val="none"/>
        </w:rPr>
      </w:pPr>
      <w:r>
        <w:rPr>
          <w:rFonts w:hint="eastAsia" w:ascii="宋体" w:hAnsi="宋体" w:cs="宋体"/>
          <w:bCs/>
          <w:szCs w:val="21"/>
          <w:highlight w:val="none"/>
        </w:rPr>
        <w:t xml:space="preserve">第五章  </w:t>
      </w:r>
      <w:r>
        <w:rPr>
          <w:rFonts w:hint="eastAsia" w:ascii="宋体" w:hAnsi="宋体" w:cs="宋体"/>
          <w:szCs w:val="21"/>
          <w:highlight w:val="none"/>
        </w:rPr>
        <w:t>技术条件（工程建设标准）（另册）</w:t>
      </w:r>
    </w:p>
    <w:p w14:paraId="3140C635">
      <w:pPr>
        <w:pStyle w:val="49"/>
        <w:spacing w:after="0" w:line="360" w:lineRule="auto"/>
        <w:ind w:left="-2" w:firstLine="400" w:firstLineChars="200"/>
        <w:rPr>
          <w:rFonts w:ascii="宋体" w:hAnsi="宋体" w:cs="宋体"/>
          <w:szCs w:val="21"/>
          <w:highlight w:val="none"/>
        </w:rPr>
      </w:pPr>
      <w:r>
        <w:rPr>
          <w:rFonts w:hint="eastAsia" w:ascii="宋体" w:hAnsi="宋体" w:cs="宋体"/>
          <w:bCs/>
          <w:szCs w:val="21"/>
          <w:highlight w:val="none"/>
        </w:rPr>
        <w:t xml:space="preserve">第六章  </w:t>
      </w:r>
      <w:r>
        <w:rPr>
          <w:rFonts w:hint="eastAsia" w:ascii="宋体" w:hAnsi="宋体" w:cs="宋体"/>
          <w:szCs w:val="21"/>
          <w:highlight w:val="none"/>
        </w:rPr>
        <w:t>图纸及勘察资料（另册）</w:t>
      </w:r>
    </w:p>
    <w:p w14:paraId="1D00BB32">
      <w:pPr>
        <w:spacing w:line="360" w:lineRule="auto"/>
        <w:ind w:firstLine="420" w:firstLineChars="200"/>
        <w:rPr>
          <w:rFonts w:ascii="宋体" w:hAnsi="宋体" w:cs="宋体"/>
          <w:szCs w:val="21"/>
          <w:highlight w:val="none"/>
        </w:rPr>
      </w:pPr>
      <w:r>
        <w:rPr>
          <w:rFonts w:hint="eastAsia" w:ascii="宋体" w:hAnsi="宋体" w:cs="宋体"/>
          <w:szCs w:val="21"/>
          <w:highlight w:val="none"/>
        </w:rPr>
        <w:t>第七章  招标工程量清单（另册）</w:t>
      </w:r>
    </w:p>
    <w:p w14:paraId="401A1BC5">
      <w:pPr>
        <w:spacing w:line="360" w:lineRule="auto"/>
        <w:ind w:firstLine="420" w:firstLineChars="200"/>
        <w:rPr>
          <w:rFonts w:ascii="宋体" w:hAnsi="宋体" w:cs="宋体"/>
          <w:szCs w:val="21"/>
          <w:highlight w:val="none"/>
        </w:rPr>
      </w:pPr>
      <w:r>
        <w:rPr>
          <w:rFonts w:hint="eastAsia" w:ascii="宋体" w:hAnsi="宋体" w:cs="宋体"/>
          <w:szCs w:val="21"/>
          <w:highlight w:val="none"/>
        </w:rPr>
        <w:t>第八章  最高投标限价</w:t>
      </w:r>
    </w:p>
    <w:p w14:paraId="44A82DA8">
      <w:pPr>
        <w:spacing w:line="360" w:lineRule="auto"/>
        <w:ind w:firstLine="422" w:firstLineChars="200"/>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bCs/>
          <w:szCs w:val="21"/>
          <w:highlight w:val="none"/>
        </w:rPr>
        <w:t>7.1</w:t>
      </w:r>
      <w:r>
        <w:rPr>
          <w:rFonts w:hint="eastAsia" w:ascii="宋体" w:hAnsi="宋体" w:cs="宋体"/>
          <w:szCs w:val="21"/>
          <w:highlight w:val="none"/>
        </w:rPr>
        <w:t>本招标文件包括下列文件，以及所有按本须知第8条发出的招标答疑会会议纪要和按本须知第9条发出的澄清或修改：</w:t>
      </w:r>
    </w:p>
    <w:p w14:paraId="02EC5EC0">
      <w:pPr>
        <w:pStyle w:val="49"/>
        <w:spacing w:after="0" w:line="360" w:lineRule="auto"/>
        <w:ind w:left="-2" w:firstLine="400" w:firstLineChars="200"/>
        <w:rPr>
          <w:rFonts w:ascii="宋体" w:hAnsi="宋体" w:cs="宋体"/>
          <w:szCs w:val="21"/>
          <w:highlight w:val="none"/>
        </w:rPr>
      </w:pPr>
      <w:r>
        <w:rPr>
          <w:rFonts w:hint="eastAsia" w:ascii="宋体" w:hAnsi="宋体" w:cs="宋体"/>
          <w:bCs/>
          <w:szCs w:val="21"/>
          <w:highlight w:val="none"/>
        </w:rPr>
        <w:t xml:space="preserve">第一章  </w:t>
      </w:r>
      <w:r>
        <w:rPr>
          <w:rFonts w:hint="eastAsia" w:ascii="宋体" w:hAnsi="宋体" w:cs="宋体"/>
          <w:szCs w:val="21"/>
          <w:highlight w:val="none"/>
        </w:rPr>
        <w:t>投标须知</w:t>
      </w:r>
    </w:p>
    <w:p w14:paraId="40FBA1A0">
      <w:pPr>
        <w:pStyle w:val="49"/>
        <w:spacing w:after="0" w:line="360" w:lineRule="auto"/>
        <w:ind w:left="-2" w:firstLine="400" w:firstLineChars="200"/>
        <w:rPr>
          <w:rFonts w:ascii="宋体" w:hAnsi="宋体" w:cs="宋体"/>
          <w:szCs w:val="21"/>
          <w:highlight w:val="none"/>
        </w:rPr>
      </w:pPr>
      <w:r>
        <w:rPr>
          <w:rFonts w:hint="eastAsia" w:ascii="宋体" w:hAnsi="宋体" w:cs="宋体"/>
          <w:bCs/>
          <w:szCs w:val="21"/>
          <w:highlight w:val="none"/>
        </w:rPr>
        <w:t xml:space="preserve">第二章  </w:t>
      </w:r>
      <w:r>
        <w:rPr>
          <w:rFonts w:hint="eastAsia" w:ascii="宋体" w:hAnsi="宋体" w:cs="宋体"/>
          <w:szCs w:val="21"/>
          <w:highlight w:val="none"/>
        </w:rPr>
        <w:t>开标、评标及定标办法</w:t>
      </w:r>
    </w:p>
    <w:p w14:paraId="1074419C">
      <w:pPr>
        <w:pStyle w:val="49"/>
        <w:spacing w:after="0" w:line="360" w:lineRule="auto"/>
        <w:ind w:left="-2" w:firstLine="400" w:firstLineChars="200"/>
        <w:rPr>
          <w:rFonts w:ascii="宋体" w:hAnsi="宋体" w:cs="宋体"/>
          <w:szCs w:val="21"/>
          <w:highlight w:val="none"/>
          <w:u w:val="single"/>
        </w:rPr>
      </w:pPr>
      <w:r>
        <w:rPr>
          <w:rFonts w:hint="eastAsia" w:ascii="宋体" w:hAnsi="宋体" w:cs="宋体"/>
          <w:szCs w:val="21"/>
          <w:highlight w:val="none"/>
          <w:u w:val="single"/>
        </w:rPr>
        <w:t>第三章  合同条款（另册）</w:t>
      </w:r>
    </w:p>
    <w:p w14:paraId="5705B6EA">
      <w:pPr>
        <w:pStyle w:val="49"/>
        <w:spacing w:after="0" w:line="360" w:lineRule="auto"/>
        <w:ind w:firstLine="400" w:firstLineChars="200"/>
        <w:rPr>
          <w:rFonts w:ascii="宋体" w:hAnsi="宋体" w:cs="宋体"/>
          <w:szCs w:val="21"/>
          <w:highlight w:val="none"/>
        </w:rPr>
      </w:pPr>
      <w:r>
        <w:rPr>
          <w:rFonts w:hint="eastAsia" w:ascii="宋体" w:hAnsi="宋体" w:cs="宋体"/>
          <w:bCs/>
          <w:szCs w:val="21"/>
          <w:highlight w:val="none"/>
        </w:rPr>
        <w:t xml:space="preserve">第四章  </w:t>
      </w:r>
      <w:r>
        <w:rPr>
          <w:rFonts w:hint="eastAsia" w:ascii="宋体" w:hAnsi="宋体" w:cs="宋体"/>
          <w:szCs w:val="21"/>
          <w:highlight w:val="none"/>
        </w:rPr>
        <w:t>投标文件格式</w:t>
      </w:r>
    </w:p>
    <w:p w14:paraId="11472686">
      <w:pPr>
        <w:pStyle w:val="49"/>
        <w:spacing w:after="0" w:line="360" w:lineRule="auto"/>
        <w:ind w:left="-2" w:firstLine="400" w:firstLineChars="200"/>
        <w:rPr>
          <w:rFonts w:ascii="宋体" w:hAnsi="宋体" w:cs="宋体"/>
          <w:szCs w:val="21"/>
          <w:highlight w:val="none"/>
          <w:u w:val="single"/>
        </w:rPr>
      </w:pPr>
      <w:r>
        <w:rPr>
          <w:rFonts w:hint="eastAsia" w:ascii="宋体" w:hAnsi="宋体" w:cs="宋体"/>
          <w:bCs/>
          <w:szCs w:val="21"/>
          <w:highlight w:val="none"/>
          <w:u w:val="single"/>
        </w:rPr>
        <w:t xml:space="preserve">第五章  </w:t>
      </w:r>
      <w:r>
        <w:rPr>
          <w:rFonts w:hint="eastAsia" w:ascii="宋体" w:hAnsi="宋体" w:cs="宋体"/>
          <w:szCs w:val="21"/>
          <w:highlight w:val="none"/>
          <w:u w:val="single"/>
        </w:rPr>
        <w:t>技术条件（工程建设标准）</w:t>
      </w:r>
    </w:p>
    <w:p w14:paraId="719D8B4A">
      <w:pPr>
        <w:pStyle w:val="49"/>
        <w:spacing w:after="0" w:line="360" w:lineRule="auto"/>
        <w:ind w:left="-2" w:firstLine="400" w:firstLineChars="200"/>
        <w:rPr>
          <w:rFonts w:ascii="宋体" w:hAnsi="宋体" w:cs="宋体"/>
          <w:szCs w:val="21"/>
          <w:highlight w:val="none"/>
        </w:rPr>
      </w:pPr>
      <w:r>
        <w:rPr>
          <w:rFonts w:hint="eastAsia" w:ascii="宋体" w:hAnsi="宋体" w:cs="宋体"/>
          <w:bCs/>
          <w:szCs w:val="21"/>
          <w:highlight w:val="none"/>
        </w:rPr>
        <w:t xml:space="preserve">第六章  </w:t>
      </w:r>
      <w:r>
        <w:rPr>
          <w:rFonts w:hint="eastAsia" w:ascii="宋体" w:hAnsi="宋体" w:cs="宋体"/>
          <w:szCs w:val="21"/>
          <w:highlight w:val="none"/>
        </w:rPr>
        <w:t>图纸及勘察资料（另册）</w:t>
      </w:r>
    </w:p>
    <w:p w14:paraId="43F580F5">
      <w:pPr>
        <w:pStyle w:val="49"/>
        <w:spacing w:after="0" w:line="360" w:lineRule="auto"/>
        <w:ind w:left="-2" w:firstLine="400" w:firstLineChars="200"/>
        <w:rPr>
          <w:rFonts w:ascii="宋体" w:hAnsi="宋体" w:cs="宋体"/>
          <w:szCs w:val="21"/>
          <w:highlight w:val="none"/>
        </w:rPr>
      </w:pPr>
      <w:r>
        <w:rPr>
          <w:rFonts w:hint="eastAsia" w:ascii="宋体" w:hAnsi="宋体" w:cs="宋体"/>
          <w:bCs/>
          <w:szCs w:val="21"/>
          <w:highlight w:val="none"/>
        </w:rPr>
        <w:t>第七章  招标</w:t>
      </w:r>
      <w:r>
        <w:rPr>
          <w:rFonts w:hint="eastAsia" w:ascii="宋体" w:hAnsi="宋体" w:cs="宋体"/>
          <w:szCs w:val="21"/>
          <w:highlight w:val="none"/>
        </w:rPr>
        <w:t xml:space="preserve">工程量清单（另册） </w:t>
      </w:r>
    </w:p>
    <w:p w14:paraId="3C610036">
      <w:pPr>
        <w:pBdr>
          <w:bottom w:val="single" w:color="auto" w:sz="6" w:space="1"/>
        </w:pBdr>
        <w:spacing w:line="360" w:lineRule="auto"/>
        <w:ind w:firstLine="420" w:firstLineChars="200"/>
        <w:rPr>
          <w:rFonts w:ascii="宋体" w:hAnsi="宋体" w:cs="宋体"/>
          <w:b/>
          <w:szCs w:val="21"/>
          <w:highlight w:val="none"/>
        </w:rPr>
      </w:pPr>
      <w:r>
        <w:rPr>
          <w:rFonts w:hint="eastAsia" w:ascii="宋体" w:hAnsi="宋体" w:cs="宋体"/>
          <w:szCs w:val="21"/>
          <w:highlight w:val="none"/>
        </w:rPr>
        <w:t>第八章  最高投标限价</w:t>
      </w:r>
    </w:p>
    <w:p w14:paraId="7051DCD9">
      <w:pPr>
        <w:spacing w:line="480" w:lineRule="auto"/>
        <w:ind w:firstLine="472" w:firstLineChars="224"/>
        <w:rPr>
          <w:rFonts w:ascii="宋体" w:hAnsi="宋体" w:cs="宋体"/>
          <w:b/>
          <w:szCs w:val="21"/>
          <w:highlight w:val="none"/>
        </w:rPr>
      </w:pPr>
      <w:r>
        <w:rPr>
          <w:rFonts w:hint="eastAsia" w:ascii="宋体" w:hAnsi="宋体" w:cs="宋体"/>
          <w:b/>
          <w:szCs w:val="21"/>
          <w:highlight w:val="none"/>
        </w:rPr>
        <w:t>条款号：</w:t>
      </w:r>
      <w:r>
        <w:rPr>
          <w:rFonts w:hint="eastAsia" w:ascii="宋体" w:hAnsi="宋体" w:cs="宋体"/>
          <w:szCs w:val="21"/>
          <w:highlight w:val="none"/>
        </w:rPr>
        <w:t>8.1</w:t>
      </w:r>
      <w:r>
        <w:rPr>
          <w:rFonts w:hint="eastAsia" w:ascii="宋体" w:hAnsi="宋体" w:cs="宋体"/>
          <w:b/>
          <w:szCs w:val="21"/>
          <w:highlight w:val="none"/>
        </w:rPr>
        <w:t>修改类型：修改</w:t>
      </w:r>
    </w:p>
    <w:p w14:paraId="0F926ABE">
      <w:pPr>
        <w:pBdr>
          <w:bottom w:val="single" w:color="auto" w:sz="6" w:space="1"/>
        </w:pBdr>
        <w:spacing w:line="480" w:lineRule="auto"/>
        <w:ind w:firstLine="472" w:firstLineChars="224"/>
        <w:rPr>
          <w:rFonts w:ascii="宋体" w:hAnsi="宋体" w:cs="宋体"/>
          <w:b/>
          <w:szCs w:val="21"/>
          <w:highlight w:val="none"/>
        </w:rPr>
      </w:pPr>
      <w:r>
        <w:rPr>
          <w:rFonts w:hint="eastAsia" w:ascii="宋体" w:hAnsi="宋体" w:cs="宋体"/>
          <w:b/>
          <w:szCs w:val="21"/>
          <w:highlight w:val="none"/>
        </w:rPr>
        <w:t>原文：</w:t>
      </w:r>
      <w:r>
        <w:rPr>
          <w:rFonts w:hint="eastAsia" w:ascii="宋体" w:hAnsi="宋体" w:cs="宋体"/>
          <w:szCs w:val="21"/>
          <w:highlight w:val="none"/>
        </w:rPr>
        <w:t>8.1投标人若对招标文件（包括招标图纸）中有疑问，可以书面形式通过交易平台提交给招标人或招标代理人，提交形式见本须知前附表第16项。</w:t>
      </w:r>
    </w:p>
    <w:p w14:paraId="7F15C2E0">
      <w:pPr>
        <w:pBdr>
          <w:bottom w:val="single" w:color="auto" w:sz="6" w:space="1"/>
        </w:pBdr>
        <w:spacing w:line="360" w:lineRule="auto"/>
        <w:ind w:firstLine="413" w:firstLineChars="196"/>
        <w:rPr>
          <w:rFonts w:ascii="宋体" w:hAnsi="宋体" w:cs="宋体"/>
          <w:b/>
          <w:szCs w:val="21"/>
          <w:highlight w:val="none"/>
        </w:rPr>
      </w:pPr>
      <w:r>
        <w:rPr>
          <w:rFonts w:hint="eastAsia" w:ascii="宋体" w:hAnsi="宋体" w:cs="宋体"/>
          <w:b/>
          <w:szCs w:val="21"/>
          <w:highlight w:val="none"/>
        </w:rPr>
        <w:t>现文：</w:t>
      </w:r>
      <w:r>
        <w:rPr>
          <w:rFonts w:hint="eastAsia" w:ascii="宋体" w:hAnsi="宋体" w:cs="宋体"/>
          <w:szCs w:val="21"/>
          <w:highlight w:val="none"/>
          <w:u w:val="single"/>
        </w:rPr>
        <w:t>8.1招标答疑采用网上答疑方式进行。投标人若对招标文件（包括招标图纸、工程量清单、招标控制价、合同条款）有疑问的，可在规定的时间内通过广州公共资源交易中心交易平台提交给招标人或招标代理人，提交形式见本须知前附表第</w:t>
      </w:r>
      <w:r>
        <w:rPr>
          <w:rFonts w:ascii="宋体" w:hAnsi="宋体" w:cs="宋体"/>
          <w:szCs w:val="21"/>
          <w:highlight w:val="none"/>
          <w:u w:val="single"/>
        </w:rPr>
        <w:t>16</w:t>
      </w:r>
      <w:r>
        <w:rPr>
          <w:rFonts w:hint="eastAsia" w:ascii="宋体" w:hAnsi="宋体" w:cs="宋体"/>
          <w:szCs w:val="21"/>
          <w:highlight w:val="none"/>
          <w:u w:val="single"/>
        </w:rPr>
        <w:t>项。</w:t>
      </w:r>
    </w:p>
    <w:p w14:paraId="00E21300">
      <w:pPr>
        <w:spacing w:line="480" w:lineRule="auto"/>
        <w:ind w:firstLine="472" w:firstLineChars="224"/>
        <w:rPr>
          <w:rFonts w:ascii="宋体" w:hAnsi="宋体" w:cs="宋体"/>
          <w:b/>
          <w:szCs w:val="21"/>
          <w:highlight w:val="none"/>
        </w:rPr>
      </w:pPr>
      <w:r>
        <w:rPr>
          <w:rFonts w:hint="eastAsia" w:ascii="宋体" w:hAnsi="宋体" w:cs="宋体"/>
          <w:b/>
          <w:szCs w:val="21"/>
          <w:highlight w:val="none"/>
        </w:rPr>
        <w:t>条款号：</w:t>
      </w:r>
      <w:r>
        <w:rPr>
          <w:rFonts w:hint="eastAsia" w:ascii="宋体" w:hAnsi="宋体" w:cs="宋体"/>
          <w:szCs w:val="21"/>
          <w:highlight w:val="none"/>
        </w:rPr>
        <w:t>8.2</w:t>
      </w:r>
      <w:r>
        <w:rPr>
          <w:rFonts w:hint="eastAsia" w:ascii="宋体" w:hAnsi="宋体" w:cs="宋体"/>
          <w:b/>
          <w:szCs w:val="21"/>
          <w:highlight w:val="none"/>
        </w:rPr>
        <w:t xml:space="preserve">             修改类型：修改</w:t>
      </w:r>
    </w:p>
    <w:p w14:paraId="7BFF91C8">
      <w:pPr>
        <w:pStyle w:val="49"/>
        <w:spacing w:after="0" w:line="360" w:lineRule="auto"/>
        <w:ind w:firstLine="402" w:firstLineChars="200"/>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8.2招标答疑会会议纪要将在提交投标文件截止时间15日前在交易平台 “项目答疑纪要”专区公开发布。答疑纪要一经在交易平台发布，视作已发放给所有投标人。</w:t>
      </w:r>
    </w:p>
    <w:p w14:paraId="16889AFF">
      <w:pPr>
        <w:pBdr>
          <w:bottom w:val="single" w:color="auto" w:sz="6" w:space="1"/>
        </w:pBdr>
        <w:spacing w:line="360" w:lineRule="auto"/>
        <w:ind w:firstLine="422" w:firstLineChars="200"/>
        <w:rPr>
          <w:rFonts w:ascii="宋体" w:hAnsi="宋体" w:cs="宋体"/>
          <w:b/>
          <w:szCs w:val="21"/>
          <w:highlight w:val="none"/>
        </w:rPr>
      </w:pPr>
      <w:r>
        <w:rPr>
          <w:rFonts w:hint="eastAsia" w:ascii="宋体" w:hAnsi="宋体" w:cs="宋体"/>
          <w:b/>
          <w:szCs w:val="21"/>
          <w:highlight w:val="none"/>
        </w:rPr>
        <w:t>现文：</w:t>
      </w:r>
      <w:r>
        <w:rPr>
          <w:rFonts w:hint="eastAsia" w:ascii="宋体" w:hAnsi="宋体" w:cs="宋体"/>
          <w:szCs w:val="21"/>
          <w:highlight w:val="none"/>
        </w:rPr>
        <w:t>8.2招标答疑会会议纪要将在提交投标文件截止时间15日前在</w:t>
      </w:r>
      <w:r>
        <w:rPr>
          <w:rFonts w:hint="eastAsia" w:ascii="宋体" w:hAnsi="宋体" w:cs="宋体"/>
          <w:szCs w:val="21"/>
          <w:highlight w:val="none"/>
          <w:u w:val="single"/>
        </w:rPr>
        <w:t>广州公共资源交易中心</w:t>
      </w:r>
      <w:r>
        <w:rPr>
          <w:rFonts w:hint="eastAsia" w:ascii="宋体" w:hAnsi="宋体" w:cs="宋体"/>
          <w:szCs w:val="21"/>
          <w:highlight w:val="none"/>
        </w:rPr>
        <w:t>交易平台“项目答疑纪要”专区公开发布。答疑纪要一经在</w:t>
      </w:r>
      <w:r>
        <w:rPr>
          <w:rFonts w:hint="eastAsia" w:ascii="宋体" w:hAnsi="宋体" w:cs="宋体"/>
          <w:szCs w:val="21"/>
          <w:highlight w:val="none"/>
          <w:u w:val="single"/>
        </w:rPr>
        <w:t>广州公共资源交易中心</w:t>
      </w:r>
      <w:r>
        <w:rPr>
          <w:rFonts w:hint="eastAsia" w:ascii="宋体" w:hAnsi="宋体" w:cs="宋体"/>
          <w:szCs w:val="21"/>
          <w:highlight w:val="none"/>
        </w:rPr>
        <w:t>交易平台发布，视作已发放给所有投标人。</w:t>
      </w:r>
    </w:p>
    <w:p w14:paraId="11AEF8E3">
      <w:pPr>
        <w:spacing w:line="460" w:lineRule="exact"/>
        <w:ind w:firstLine="422" w:firstLineChars="200"/>
        <w:rPr>
          <w:rFonts w:ascii="宋体" w:hAnsi="宋体" w:cs="宋体"/>
          <w:kern w:val="0"/>
          <w:szCs w:val="21"/>
          <w:highlight w:val="none"/>
        </w:rPr>
      </w:pPr>
      <w:r>
        <w:rPr>
          <w:rFonts w:hint="eastAsia" w:ascii="宋体" w:hAnsi="宋体" w:cs="宋体"/>
          <w:b/>
          <w:kern w:val="0"/>
          <w:szCs w:val="21"/>
          <w:highlight w:val="none"/>
        </w:rPr>
        <w:t>条款号：</w:t>
      </w:r>
      <w:r>
        <w:rPr>
          <w:rFonts w:hint="eastAsia" w:ascii="宋体" w:hAnsi="宋体" w:cs="宋体"/>
          <w:kern w:val="0"/>
          <w:szCs w:val="21"/>
          <w:highlight w:val="none"/>
        </w:rPr>
        <w:t xml:space="preserve">8.4                                                         </w:t>
      </w:r>
      <w:r>
        <w:rPr>
          <w:rFonts w:hint="eastAsia" w:ascii="宋体" w:hAnsi="宋体" w:cs="宋体"/>
          <w:b/>
          <w:kern w:val="0"/>
          <w:szCs w:val="21"/>
          <w:highlight w:val="none"/>
        </w:rPr>
        <w:t>修改类型：修改</w:t>
      </w:r>
    </w:p>
    <w:p w14:paraId="008EE48D">
      <w:pPr>
        <w:spacing w:line="460" w:lineRule="exact"/>
        <w:ind w:firstLine="413" w:firstLineChars="196"/>
        <w:rPr>
          <w:rFonts w:ascii="宋体" w:hAnsi="宋体" w:cs="宋体"/>
          <w:kern w:val="0"/>
          <w:szCs w:val="21"/>
          <w:highlight w:val="none"/>
        </w:rPr>
      </w:pPr>
      <w:r>
        <w:rPr>
          <w:rFonts w:hint="eastAsia" w:ascii="宋体" w:hAnsi="宋体" w:cs="宋体"/>
          <w:b/>
          <w:kern w:val="0"/>
          <w:szCs w:val="21"/>
          <w:highlight w:val="none"/>
        </w:rPr>
        <w:t>原文：</w:t>
      </w:r>
      <w:r>
        <w:rPr>
          <w:rFonts w:hint="eastAsia" w:ascii="宋体" w:hAnsi="宋体" w:cs="宋体"/>
          <w:kern w:val="0"/>
          <w:szCs w:val="21"/>
          <w:highlight w:val="none"/>
        </w:rPr>
        <w:t>8.4若招标答疑会会议纪要与招标文件有矛盾，以答疑会议纪要最后发出的书面形式的文件为准。</w:t>
      </w:r>
    </w:p>
    <w:p w14:paraId="04E29EA9">
      <w:pPr>
        <w:pBdr>
          <w:bottom w:val="single" w:color="auto" w:sz="6" w:space="1"/>
        </w:pBdr>
        <w:spacing w:line="460" w:lineRule="exact"/>
        <w:ind w:firstLine="413" w:firstLineChars="196"/>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8.4若</w:t>
      </w:r>
      <w:r>
        <w:rPr>
          <w:rFonts w:hint="eastAsia" w:ascii="宋体" w:hAnsi="宋体" w:cs="宋体"/>
          <w:szCs w:val="21"/>
          <w:highlight w:val="none"/>
          <w:u w:val="single"/>
        </w:rPr>
        <w:t>招标答疑纪要</w:t>
      </w:r>
      <w:r>
        <w:rPr>
          <w:rFonts w:hint="eastAsia" w:ascii="宋体" w:hAnsi="宋体" w:cs="宋体"/>
          <w:szCs w:val="21"/>
          <w:highlight w:val="none"/>
        </w:rPr>
        <w:t>与招标文件有矛盾时，以</w:t>
      </w:r>
      <w:r>
        <w:rPr>
          <w:rFonts w:hint="eastAsia" w:ascii="宋体" w:hAnsi="宋体" w:cs="宋体"/>
          <w:szCs w:val="21"/>
          <w:highlight w:val="none"/>
          <w:u w:val="single"/>
        </w:rPr>
        <w:t>广州公共资源交易中心交易平台</w:t>
      </w:r>
      <w:r>
        <w:rPr>
          <w:rFonts w:hint="eastAsia" w:ascii="宋体" w:hAnsi="宋体" w:cs="宋体"/>
          <w:szCs w:val="21"/>
          <w:highlight w:val="none"/>
        </w:rPr>
        <w:t>最后发布的答疑纪要为准。</w:t>
      </w:r>
    </w:p>
    <w:p w14:paraId="04ED7E09">
      <w:pPr>
        <w:spacing w:line="480" w:lineRule="auto"/>
        <w:ind w:firstLine="472" w:firstLineChars="224"/>
        <w:rPr>
          <w:rFonts w:ascii="宋体" w:hAnsi="宋体" w:cs="宋体"/>
          <w:b/>
          <w:szCs w:val="21"/>
          <w:highlight w:val="none"/>
        </w:rPr>
      </w:pPr>
      <w:r>
        <w:rPr>
          <w:rFonts w:hint="eastAsia" w:ascii="宋体" w:hAnsi="宋体" w:cs="宋体"/>
          <w:b/>
          <w:szCs w:val="21"/>
          <w:highlight w:val="none"/>
        </w:rPr>
        <w:t xml:space="preserve">条款号： </w:t>
      </w:r>
      <w:r>
        <w:rPr>
          <w:rFonts w:hint="eastAsia" w:ascii="宋体" w:hAnsi="宋体" w:cs="宋体"/>
          <w:szCs w:val="21"/>
          <w:highlight w:val="none"/>
        </w:rPr>
        <w:t>9.2</w:t>
      </w:r>
      <w:r>
        <w:rPr>
          <w:rFonts w:hint="eastAsia" w:ascii="宋体" w:hAnsi="宋体" w:cs="宋体"/>
          <w:b/>
          <w:szCs w:val="21"/>
          <w:highlight w:val="none"/>
        </w:rPr>
        <w:t xml:space="preserve">            修改类型：修改</w:t>
      </w:r>
    </w:p>
    <w:p w14:paraId="2608C691">
      <w:pPr>
        <w:pStyle w:val="49"/>
        <w:spacing w:after="0" w:line="360" w:lineRule="auto"/>
        <w:ind w:firstLine="402" w:firstLineChars="200"/>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9.2招标文件的澄清或修改将在交易平台“项目答疑纪要”专区公开发布。答疑纪要一经在交易平台发布，视作已发放给所有投标人，以交易平台上网发布时间作为送达时间。</w:t>
      </w:r>
    </w:p>
    <w:p w14:paraId="39B67215">
      <w:pPr>
        <w:pBdr>
          <w:bottom w:val="single" w:color="auto" w:sz="6" w:space="1"/>
        </w:pBdr>
        <w:spacing w:line="360" w:lineRule="auto"/>
        <w:ind w:firstLine="422" w:firstLineChars="200"/>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9.2招标文件的澄清或修改将在</w:t>
      </w:r>
      <w:r>
        <w:rPr>
          <w:rFonts w:hint="eastAsia" w:ascii="宋体" w:hAnsi="宋体" w:cs="宋体"/>
          <w:szCs w:val="21"/>
          <w:highlight w:val="none"/>
          <w:u w:val="single"/>
        </w:rPr>
        <w:t>广州公共资源交易中心</w:t>
      </w:r>
      <w:r>
        <w:rPr>
          <w:rFonts w:hint="eastAsia" w:ascii="宋体" w:hAnsi="宋体" w:cs="宋体"/>
          <w:szCs w:val="21"/>
          <w:highlight w:val="none"/>
        </w:rPr>
        <w:t>交易平台“项目答疑纪要”专区公开发布。答疑纪要一经在</w:t>
      </w:r>
      <w:r>
        <w:rPr>
          <w:rFonts w:hint="eastAsia" w:ascii="宋体" w:hAnsi="宋体" w:cs="宋体"/>
          <w:szCs w:val="21"/>
          <w:highlight w:val="none"/>
          <w:u w:val="single"/>
        </w:rPr>
        <w:t>广州公共资源交易中心</w:t>
      </w:r>
      <w:r>
        <w:rPr>
          <w:rFonts w:hint="eastAsia" w:ascii="宋体" w:hAnsi="宋体" w:cs="宋体"/>
          <w:szCs w:val="21"/>
          <w:highlight w:val="none"/>
        </w:rPr>
        <w:t>交易平台发布，视作已发放给所有投标人，以</w:t>
      </w:r>
      <w:r>
        <w:rPr>
          <w:rFonts w:hint="eastAsia" w:ascii="宋体" w:hAnsi="宋体" w:cs="宋体"/>
          <w:szCs w:val="21"/>
          <w:highlight w:val="none"/>
          <w:u w:val="single"/>
        </w:rPr>
        <w:t>广州公共资源交易中心</w:t>
      </w:r>
      <w:r>
        <w:rPr>
          <w:rFonts w:hint="eastAsia" w:ascii="宋体" w:hAnsi="宋体" w:cs="宋体"/>
          <w:szCs w:val="21"/>
          <w:highlight w:val="none"/>
        </w:rPr>
        <w:t>交易平台发布时间作为送达时间。</w:t>
      </w:r>
    </w:p>
    <w:p w14:paraId="274369FF">
      <w:pPr>
        <w:spacing w:line="480" w:lineRule="auto"/>
        <w:ind w:firstLine="472" w:firstLineChars="224"/>
        <w:rPr>
          <w:rFonts w:ascii="宋体" w:hAnsi="宋体" w:cs="宋体"/>
          <w:b/>
          <w:szCs w:val="21"/>
          <w:highlight w:val="none"/>
        </w:rPr>
      </w:pPr>
      <w:r>
        <w:rPr>
          <w:rFonts w:hint="eastAsia" w:ascii="宋体" w:hAnsi="宋体" w:cs="宋体"/>
          <w:b/>
          <w:szCs w:val="21"/>
          <w:highlight w:val="none"/>
        </w:rPr>
        <w:t>条款号：</w:t>
      </w:r>
      <w:r>
        <w:rPr>
          <w:rFonts w:hint="eastAsia" w:ascii="宋体" w:hAnsi="宋体" w:cs="宋体"/>
          <w:szCs w:val="21"/>
          <w:highlight w:val="none"/>
        </w:rPr>
        <w:t>9.4</w:t>
      </w:r>
      <w:r>
        <w:rPr>
          <w:rFonts w:hint="eastAsia" w:ascii="宋体" w:hAnsi="宋体" w:cs="宋体"/>
          <w:b/>
          <w:szCs w:val="21"/>
          <w:highlight w:val="none"/>
        </w:rPr>
        <w:t>修改类型：修改</w:t>
      </w:r>
    </w:p>
    <w:p w14:paraId="6046115C">
      <w:pPr>
        <w:pBdr>
          <w:bottom w:val="single" w:color="auto" w:sz="6" w:space="1"/>
        </w:pBdr>
        <w:spacing w:line="360" w:lineRule="auto"/>
        <w:ind w:firstLine="527" w:firstLineChars="250"/>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9.4招标文件的澄清或修改均以书面形式明确的内容为准。当招标文件的澄清、修改、补充等在同一内容的表述不一致时，以最后发出的书面形式的文件为准。</w:t>
      </w:r>
    </w:p>
    <w:p w14:paraId="7B14D953">
      <w:pPr>
        <w:pBdr>
          <w:bottom w:val="single" w:color="auto" w:sz="6" w:space="1"/>
        </w:pBdr>
        <w:spacing w:line="360" w:lineRule="auto"/>
        <w:ind w:firstLine="472" w:firstLineChars="224"/>
        <w:rPr>
          <w:rFonts w:ascii="宋体" w:hAnsi="宋体" w:cs="宋体"/>
          <w:color w:val="000000"/>
          <w:szCs w:val="21"/>
          <w:highlight w:val="none"/>
        </w:rPr>
      </w:pPr>
      <w:r>
        <w:rPr>
          <w:rFonts w:hint="eastAsia" w:ascii="宋体" w:hAnsi="宋体" w:cs="宋体"/>
          <w:b/>
          <w:szCs w:val="21"/>
          <w:highlight w:val="none"/>
        </w:rPr>
        <w:t>现文：</w:t>
      </w:r>
      <w:r>
        <w:rPr>
          <w:rFonts w:hint="eastAsia" w:ascii="宋体" w:hAnsi="宋体" w:cs="宋体"/>
          <w:szCs w:val="21"/>
          <w:highlight w:val="none"/>
        </w:rPr>
        <w:t>9.4招标文件的澄清或修改均</w:t>
      </w:r>
      <w:r>
        <w:rPr>
          <w:rFonts w:hint="eastAsia" w:ascii="宋体" w:hAnsi="宋体" w:cs="宋体"/>
          <w:szCs w:val="21"/>
          <w:highlight w:val="none"/>
          <w:u w:val="single"/>
        </w:rPr>
        <w:t>在广州公共资源交易中心网站“项目答疑纪要”专区公开发布。</w:t>
      </w:r>
      <w:r>
        <w:rPr>
          <w:rFonts w:hint="eastAsia" w:ascii="宋体" w:hAnsi="宋体" w:cs="宋体"/>
          <w:szCs w:val="21"/>
          <w:highlight w:val="none"/>
        </w:rPr>
        <w:t>当招标文件的澄清、修改、补充等在同一内容的表述不一致时，以最后发出的文件为准。</w:t>
      </w:r>
    </w:p>
    <w:p w14:paraId="69E23C5C">
      <w:pPr>
        <w:spacing w:line="480" w:lineRule="auto"/>
        <w:ind w:firstLine="472" w:firstLineChars="224"/>
        <w:rPr>
          <w:rFonts w:ascii="宋体" w:hAnsi="宋体" w:cs="宋体"/>
          <w:b/>
          <w:color w:val="000000"/>
          <w:szCs w:val="21"/>
          <w:highlight w:val="none"/>
        </w:rPr>
      </w:pPr>
      <w:r>
        <w:rPr>
          <w:rFonts w:hint="eastAsia" w:ascii="宋体" w:hAnsi="宋体" w:cs="宋体"/>
          <w:b/>
          <w:color w:val="000000"/>
          <w:szCs w:val="21"/>
          <w:highlight w:val="none"/>
        </w:rPr>
        <w:t xml:space="preserve">条款号： </w:t>
      </w:r>
      <w:r>
        <w:rPr>
          <w:rFonts w:hint="eastAsia" w:ascii="宋体" w:hAnsi="宋体" w:cs="宋体"/>
          <w:bCs/>
          <w:color w:val="000000"/>
          <w:szCs w:val="21"/>
          <w:highlight w:val="none"/>
        </w:rPr>
        <w:t>11.2</w:t>
      </w:r>
      <w:r>
        <w:rPr>
          <w:rFonts w:hint="eastAsia" w:ascii="宋体" w:hAnsi="宋体" w:cs="宋体"/>
          <w:b/>
          <w:color w:val="000000"/>
          <w:szCs w:val="21"/>
          <w:highlight w:val="none"/>
        </w:rPr>
        <w:t xml:space="preserve">            修改类型：修改</w:t>
      </w:r>
    </w:p>
    <w:p w14:paraId="27329554">
      <w:pPr>
        <w:spacing w:line="360" w:lineRule="auto"/>
        <w:ind w:firstLine="422" w:firstLineChars="200"/>
        <w:rPr>
          <w:rFonts w:ascii="宋体" w:hAnsi="宋体" w:cs="宋体"/>
          <w:bCs/>
          <w:color w:val="000000"/>
          <w:szCs w:val="21"/>
          <w:highlight w:val="none"/>
        </w:rPr>
      </w:pPr>
      <w:r>
        <w:rPr>
          <w:rFonts w:hint="eastAsia" w:ascii="宋体" w:hAnsi="宋体" w:cs="宋体"/>
          <w:b/>
          <w:color w:val="000000"/>
          <w:szCs w:val="21"/>
          <w:highlight w:val="none"/>
        </w:rPr>
        <w:t>原文：</w:t>
      </w:r>
      <w:r>
        <w:rPr>
          <w:rFonts w:hint="eastAsia" w:ascii="宋体" w:hAnsi="宋体" w:cs="宋体"/>
          <w:bCs/>
          <w:color w:val="000000"/>
          <w:szCs w:val="21"/>
          <w:highlight w:val="none"/>
        </w:rPr>
        <w:t>11.2投标文件技术标部分主要包括下列内容:</w:t>
      </w:r>
    </w:p>
    <w:p w14:paraId="5A976D50">
      <w:pPr>
        <w:spacing w:line="360" w:lineRule="auto"/>
        <w:ind w:firstLine="420" w:firstLineChars="200"/>
        <w:rPr>
          <w:rFonts w:ascii="宋体" w:hAnsi="宋体" w:cs="宋体"/>
          <w:bCs/>
          <w:color w:val="000000"/>
          <w:szCs w:val="21"/>
          <w:highlight w:val="none"/>
        </w:rPr>
      </w:pPr>
      <w:r>
        <w:rPr>
          <w:rFonts w:hint="eastAsia" w:ascii="宋体" w:hAnsi="宋体" w:cs="宋体"/>
          <w:bCs/>
          <w:color w:val="000000"/>
          <w:szCs w:val="21"/>
          <w:highlight w:val="none"/>
        </w:rPr>
        <w:t>11.2.1 技术投标文件(按招标文件的要求填写)；</w:t>
      </w:r>
    </w:p>
    <w:p w14:paraId="7E497FEF">
      <w:pPr>
        <w:spacing w:line="360" w:lineRule="auto"/>
        <w:ind w:firstLine="420" w:firstLineChars="200"/>
        <w:rPr>
          <w:rFonts w:ascii="宋体" w:hAnsi="宋体" w:cs="宋体"/>
          <w:bCs/>
          <w:color w:val="000000"/>
          <w:szCs w:val="21"/>
          <w:highlight w:val="none"/>
        </w:rPr>
      </w:pPr>
      <w:r>
        <w:rPr>
          <w:rFonts w:hint="eastAsia" w:ascii="宋体" w:hAnsi="宋体" w:cs="宋体"/>
          <w:bCs/>
          <w:color w:val="000000"/>
          <w:szCs w:val="21"/>
          <w:highlight w:val="none"/>
        </w:rPr>
        <w:t>11.2.2 资格审查文件：</w:t>
      </w:r>
    </w:p>
    <w:p w14:paraId="64BDE6EA">
      <w:pPr>
        <w:spacing w:line="360" w:lineRule="auto"/>
        <w:ind w:firstLine="420" w:firstLineChars="200"/>
        <w:rPr>
          <w:rFonts w:ascii="宋体" w:hAnsi="宋体" w:cs="宋体"/>
          <w:bCs/>
          <w:color w:val="000000"/>
          <w:szCs w:val="21"/>
          <w:highlight w:val="none"/>
        </w:rPr>
      </w:pPr>
      <w:r>
        <w:rPr>
          <w:rFonts w:hint="eastAsia" w:ascii="宋体" w:hAnsi="宋体" w:cs="宋体"/>
          <w:bCs/>
          <w:color w:val="000000"/>
          <w:szCs w:val="21"/>
          <w:highlight w:val="none"/>
        </w:rPr>
        <w:t xml:space="preserve">（1）投标人声明； </w:t>
      </w:r>
    </w:p>
    <w:p w14:paraId="645078D8">
      <w:pPr>
        <w:spacing w:line="360" w:lineRule="auto"/>
        <w:ind w:firstLine="420" w:firstLineChars="200"/>
        <w:rPr>
          <w:rFonts w:ascii="宋体" w:hAnsi="宋体" w:cs="宋体"/>
          <w:bCs/>
          <w:color w:val="000000"/>
          <w:szCs w:val="21"/>
          <w:highlight w:val="none"/>
        </w:rPr>
      </w:pPr>
      <w:r>
        <w:rPr>
          <w:rFonts w:hint="eastAsia" w:ascii="宋体" w:hAnsi="宋体" w:cs="宋体"/>
          <w:bCs/>
          <w:color w:val="000000"/>
          <w:szCs w:val="21"/>
          <w:highlight w:val="none"/>
        </w:rPr>
        <w:t>（2）法定代表人证明书、法定代表人签字或盖章的本投标文件授权委托证明书；</w:t>
      </w:r>
    </w:p>
    <w:p w14:paraId="7E38EE80">
      <w:pPr>
        <w:spacing w:line="360" w:lineRule="auto"/>
        <w:ind w:firstLine="420" w:firstLineChars="200"/>
        <w:rPr>
          <w:rFonts w:ascii="宋体" w:hAnsi="宋体" w:cs="宋体"/>
          <w:bCs/>
          <w:color w:val="000000"/>
          <w:szCs w:val="21"/>
          <w:highlight w:val="none"/>
        </w:rPr>
      </w:pPr>
      <w:r>
        <w:rPr>
          <w:rFonts w:hint="eastAsia" w:ascii="宋体" w:hAnsi="宋体" w:cs="宋体"/>
          <w:bCs/>
          <w:color w:val="000000"/>
          <w:szCs w:val="21"/>
          <w:highlight w:val="none"/>
        </w:rPr>
        <w:t>（3）企业营业执照（取自库内上传件）；</w:t>
      </w:r>
    </w:p>
    <w:p w14:paraId="6922A440">
      <w:pPr>
        <w:spacing w:line="360" w:lineRule="auto"/>
        <w:ind w:firstLine="420" w:firstLineChars="200"/>
        <w:rPr>
          <w:rFonts w:ascii="宋体" w:hAnsi="宋体" w:cs="宋体"/>
          <w:bCs/>
          <w:color w:val="000000"/>
          <w:szCs w:val="21"/>
          <w:highlight w:val="none"/>
        </w:rPr>
      </w:pPr>
      <w:r>
        <w:rPr>
          <w:rFonts w:hint="eastAsia" w:ascii="宋体" w:hAnsi="宋体" w:cs="宋体"/>
          <w:bCs/>
          <w:color w:val="000000"/>
          <w:szCs w:val="21"/>
          <w:highlight w:val="none"/>
        </w:rPr>
        <w:t>（4）企业资质证书（取自库内上传件）；</w:t>
      </w:r>
    </w:p>
    <w:p w14:paraId="71041FE9">
      <w:pPr>
        <w:spacing w:line="360" w:lineRule="auto"/>
        <w:ind w:firstLine="420" w:firstLineChars="200"/>
        <w:rPr>
          <w:rFonts w:ascii="宋体" w:hAnsi="宋体" w:cs="宋体"/>
          <w:bCs/>
          <w:color w:val="000000"/>
          <w:szCs w:val="21"/>
          <w:highlight w:val="none"/>
        </w:rPr>
      </w:pPr>
      <w:r>
        <w:rPr>
          <w:rFonts w:hint="eastAsia" w:ascii="宋体" w:hAnsi="宋体" w:cs="宋体"/>
          <w:bCs/>
          <w:color w:val="000000"/>
          <w:szCs w:val="21"/>
          <w:highlight w:val="none"/>
        </w:rPr>
        <w:t>（5）建筑施工企业安全生产许可证（取自库内上传件）；</w:t>
      </w:r>
    </w:p>
    <w:p w14:paraId="464926BB">
      <w:pPr>
        <w:spacing w:line="360" w:lineRule="auto"/>
        <w:ind w:firstLine="420" w:firstLineChars="200"/>
        <w:rPr>
          <w:rFonts w:ascii="宋体" w:hAnsi="宋体" w:cs="宋体"/>
          <w:bCs/>
          <w:color w:val="000000"/>
          <w:szCs w:val="21"/>
          <w:highlight w:val="none"/>
        </w:rPr>
      </w:pPr>
      <w:r>
        <w:rPr>
          <w:rFonts w:hint="eastAsia" w:ascii="宋体" w:hAnsi="宋体" w:cs="宋体"/>
          <w:bCs/>
          <w:color w:val="000000"/>
          <w:szCs w:val="21"/>
          <w:highlight w:val="none"/>
        </w:rPr>
        <w:t>（6）项目负责人（按网上投标登记时选择拟投标的项目负责人）</w:t>
      </w:r>
    </w:p>
    <w:p w14:paraId="7F5F9BC9">
      <w:pPr>
        <w:spacing w:line="360" w:lineRule="auto"/>
        <w:ind w:firstLine="420" w:firstLineChars="200"/>
        <w:rPr>
          <w:rFonts w:ascii="宋体" w:hAnsi="宋体" w:cs="宋体"/>
          <w:bCs/>
          <w:color w:val="000000"/>
          <w:szCs w:val="21"/>
          <w:highlight w:val="none"/>
        </w:rPr>
      </w:pPr>
      <w:r>
        <w:rPr>
          <w:rFonts w:hint="eastAsia" w:ascii="宋体" w:hAnsi="宋体" w:cs="宋体"/>
          <w:bCs/>
          <w:color w:val="000000"/>
          <w:szCs w:val="21"/>
          <w:highlight w:val="none"/>
        </w:rPr>
        <w:t>（7）专职安全员（按网上投标登记时选择拟投标的专职安全员）</w:t>
      </w:r>
    </w:p>
    <w:p w14:paraId="11E875A5">
      <w:pPr>
        <w:spacing w:line="360" w:lineRule="auto"/>
        <w:ind w:firstLine="420" w:firstLineChars="200"/>
        <w:rPr>
          <w:rFonts w:ascii="宋体" w:hAnsi="宋体" w:cs="宋体"/>
          <w:bCs/>
          <w:color w:val="000000"/>
          <w:szCs w:val="21"/>
          <w:highlight w:val="none"/>
        </w:rPr>
      </w:pPr>
      <w:r>
        <w:rPr>
          <w:rFonts w:hint="eastAsia" w:ascii="宋体" w:hAnsi="宋体" w:cs="宋体"/>
          <w:bCs/>
          <w:color w:val="000000"/>
          <w:szCs w:val="21"/>
          <w:highlight w:val="none"/>
        </w:rPr>
        <w:t>（8）拟委托技术负责人的相关证书、资料（具体要求由招标人明确）</w:t>
      </w:r>
    </w:p>
    <w:p w14:paraId="1DF5E5BA">
      <w:pPr>
        <w:spacing w:line="360" w:lineRule="auto"/>
        <w:ind w:firstLine="420" w:firstLineChars="200"/>
        <w:rPr>
          <w:rFonts w:ascii="宋体" w:hAnsi="宋体" w:cs="宋体"/>
          <w:bCs/>
          <w:color w:val="000000"/>
          <w:szCs w:val="21"/>
          <w:highlight w:val="none"/>
        </w:rPr>
      </w:pPr>
      <w:r>
        <w:rPr>
          <w:rFonts w:hint="eastAsia" w:ascii="宋体" w:hAnsi="宋体" w:cs="宋体"/>
          <w:bCs/>
          <w:color w:val="000000"/>
          <w:szCs w:val="21"/>
          <w:highlight w:val="none"/>
        </w:rPr>
        <w:t xml:space="preserve">（9）拟委派项目负责人的建造师或临时建造师证书或二级注册建造师电子注册证书或小型项目负责人相关证明（取自库内上传件）； </w:t>
      </w:r>
    </w:p>
    <w:p w14:paraId="7D7ADF8B">
      <w:pPr>
        <w:spacing w:line="360" w:lineRule="auto"/>
        <w:ind w:firstLine="420" w:firstLineChars="200"/>
        <w:rPr>
          <w:rFonts w:ascii="宋体" w:hAnsi="宋体" w:cs="宋体"/>
          <w:bCs/>
          <w:color w:val="000000"/>
          <w:szCs w:val="21"/>
          <w:highlight w:val="none"/>
        </w:rPr>
      </w:pPr>
      <w:r>
        <w:rPr>
          <w:rFonts w:hint="eastAsia" w:ascii="宋体" w:hAnsi="宋体" w:cs="宋体"/>
          <w:bCs/>
          <w:color w:val="000000"/>
          <w:szCs w:val="21"/>
          <w:highlight w:val="none"/>
        </w:rPr>
        <w:t>（10）项目负责人安全培训考核合格证明或在有效期内的安全考核合格证书（B类）（取自库内上传件），</w:t>
      </w:r>
      <w:r>
        <w:rPr>
          <w:rFonts w:hint="eastAsia" w:ascii="宋体" w:hAnsi="宋体" w:cs="宋体"/>
          <w:color w:val="000000"/>
          <w:szCs w:val="21"/>
          <w:highlight w:val="none"/>
        </w:rPr>
        <w:t>或提供广东省建筑施工企业管理人员安全生产考核信息系统安全生产管理人员证书信息的网页截图</w:t>
      </w:r>
      <w:r>
        <w:rPr>
          <w:rFonts w:hint="eastAsia" w:ascii="宋体" w:hAnsi="宋体" w:cs="宋体"/>
          <w:bCs/>
          <w:color w:val="000000"/>
          <w:szCs w:val="21"/>
          <w:highlight w:val="none"/>
        </w:rPr>
        <w:t>；</w:t>
      </w:r>
    </w:p>
    <w:p w14:paraId="6DDEC291">
      <w:pPr>
        <w:spacing w:line="360" w:lineRule="auto"/>
        <w:ind w:firstLine="420" w:firstLineChars="200"/>
        <w:rPr>
          <w:rFonts w:ascii="宋体" w:hAnsi="宋体" w:cs="宋体"/>
          <w:bCs/>
          <w:color w:val="000000"/>
          <w:szCs w:val="21"/>
          <w:highlight w:val="none"/>
        </w:rPr>
      </w:pPr>
      <w:r>
        <w:rPr>
          <w:rFonts w:hint="eastAsia" w:ascii="宋体" w:hAnsi="宋体" w:cs="宋体"/>
          <w:bCs/>
          <w:color w:val="000000"/>
          <w:szCs w:val="21"/>
          <w:highlight w:val="none"/>
        </w:rPr>
        <w:t>（11）专职安全员须具有在有效期内的安全考核合格证书（C类）（取自库内上传件），</w:t>
      </w:r>
      <w:r>
        <w:rPr>
          <w:rFonts w:hint="eastAsia" w:ascii="宋体" w:hAnsi="宋体" w:cs="宋体"/>
          <w:color w:val="000000"/>
          <w:szCs w:val="21"/>
          <w:highlight w:val="none"/>
        </w:rPr>
        <w:t>或提供广东省建筑施工企业管理人员安全生产考核信息系统安全生产管理人员证书信息的网页截图</w:t>
      </w:r>
      <w:r>
        <w:rPr>
          <w:rFonts w:hint="eastAsia" w:ascii="宋体" w:hAnsi="宋体" w:cs="宋体"/>
          <w:bCs/>
          <w:color w:val="000000"/>
          <w:szCs w:val="21"/>
          <w:highlight w:val="none"/>
        </w:rPr>
        <w:t>；</w:t>
      </w:r>
    </w:p>
    <w:p w14:paraId="15DB243F">
      <w:pPr>
        <w:spacing w:line="360" w:lineRule="auto"/>
        <w:ind w:firstLine="420" w:firstLineChars="200"/>
        <w:rPr>
          <w:rFonts w:ascii="宋体" w:hAnsi="宋体" w:cs="宋体"/>
          <w:bCs/>
          <w:color w:val="000000"/>
          <w:szCs w:val="21"/>
          <w:highlight w:val="none"/>
        </w:rPr>
      </w:pPr>
      <w:r>
        <w:rPr>
          <w:rFonts w:hint="eastAsia" w:ascii="宋体" w:hAnsi="宋体" w:cs="宋体"/>
          <w:bCs/>
          <w:color w:val="000000"/>
          <w:szCs w:val="21"/>
          <w:highlight w:val="none"/>
        </w:rPr>
        <w:t>（12）用于资格审查的业绩（设置业绩要求时选择此项，投标人</w:t>
      </w:r>
      <w:r>
        <w:rPr>
          <w:rFonts w:hint="eastAsia" w:ascii="宋体" w:hAnsi="宋体" w:cs="宋体"/>
          <w:color w:val="000000"/>
          <w:szCs w:val="21"/>
          <w:highlight w:val="none"/>
        </w:rPr>
        <w:t>须提供类似工程业绩的项目名称及项目编号，具体格式由招标人自定</w:t>
      </w:r>
      <w:r>
        <w:rPr>
          <w:rFonts w:hint="eastAsia" w:ascii="宋体" w:hAnsi="宋体" w:cs="宋体"/>
          <w:bCs/>
          <w:color w:val="000000"/>
          <w:szCs w:val="21"/>
          <w:highlight w:val="none"/>
        </w:rPr>
        <w:t>）；</w:t>
      </w:r>
    </w:p>
    <w:p w14:paraId="130A4A33">
      <w:pPr>
        <w:spacing w:line="360" w:lineRule="auto"/>
        <w:ind w:firstLine="420" w:firstLineChars="200"/>
        <w:rPr>
          <w:rFonts w:ascii="宋体" w:hAnsi="宋体" w:cs="宋体"/>
          <w:bCs/>
          <w:color w:val="000000"/>
          <w:szCs w:val="21"/>
          <w:highlight w:val="none"/>
        </w:rPr>
      </w:pPr>
      <w:r>
        <w:rPr>
          <w:rFonts w:hint="eastAsia" w:ascii="宋体" w:hAnsi="宋体" w:cs="宋体"/>
          <w:bCs/>
          <w:color w:val="000000"/>
          <w:szCs w:val="21"/>
          <w:highlight w:val="none"/>
        </w:rPr>
        <w:t>（13）资格审查前，投标人须在广州市住房和城乡建设局建立企业信用档案，拟担任本工程项目负责人须是本企业信用档案中的在册人员。</w:t>
      </w:r>
    </w:p>
    <w:p w14:paraId="0CCD3AAE">
      <w:pPr>
        <w:spacing w:line="360" w:lineRule="auto"/>
        <w:ind w:firstLine="420" w:firstLineChars="200"/>
        <w:rPr>
          <w:rFonts w:ascii="宋体" w:hAnsi="宋体" w:cs="宋体"/>
          <w:bCs/>
          <w:color w:val="000000"/>
          <w:szCs w:val="21"/>
          <w:highlight w:val="none"/>
        </w:rPr>
      </w:pPr>
      <w:r>
        <w:rPr>
          <w:rFonts w:hint="eastAsia" w:ascii="宋体" w:hAnsi="宋体" w:cs="宋体"/>
          <w:bCs/>
          <w:color w:val="000000"/>
          <w:szCs w:val="21"/>
          <w:highlight w:val="none"/>
        </w:rPr>
        <w:t>（14）列明主办单位的联合体工作协议（采用联合体投标时需递交，投标人拟任本工程项目负责人应为联合体主办方信用档案中的在册人员，</w:t>
      </w:r>
      <w:r>
        <w:rPr>
          <w:rFonts w:hint="eastAsia" w:ascii="宋体" w:hAnsi="宋体" w:cs="宋体"/>
          <w:color w:val="000000"/>
          <w:szCs w:val="21"/>
          <w:highlight w:val="none"/>
        </w:rPr>
        <w:t>联合体工作协议应明确约定各方拟承担的工作和责任</w:t>
      </w:r>
      <w:r>
        <w:rPr>
          <w:rFonts w:hint="eastAsia" w:ascii="宋体" w:hAnsi="宋体" w:cs="宋体"/>
          <w:bCs/>
          <w:color w:val="000000"/>
          <w:szCs w:val="21"/>
          <w:highlight w:val="none"/>
        </w:rPr>
        <w:t xml:space="preserve">）； </w:t>
      </w:r>
    </w:p>
    <w:p w14:paraId="3850E8DF">
      <w:pPr>
        <w:spacing w:line="360" w:lineRule="auto"/>
        <w:ind w:firstLine="420" w:firstLineChars="200"/>
        <w:rPr>
          <w:rFonts w:ascii="宋体" w:hAnsi="宋体" w:cs="宋体"/>
          <w:bCs/>
          <w:color w:val="000000"/>
          <w:szCs w:val="21"/>
          <w:highlight w:val="none"/>
        </w:rPr>
      </w:pPr>
      <w:r>
        <w:rPr>
          <w:rFonts w:hint="eastAsia" w:ascii="宋体" w:hAnsi="宋体" w:cs="宋体"/>
          <w:bCs/>
          <w:color w:val="000000"/>
          <w:szCs w:val="21"/>
          <w:highlight w:val="none"/>
        </w:rPr>
        <w:t>（15）</w:t>
      </w:r>
      <w:r>
        <w:rPr>
          <w:rFonts w:hint="eastAsia" w:ascii="宋体" w:hAnsi="宋体" w:cs="宋体"/>
          <w:color w:val="000000"/>
          <w:szCs w:val="21"/>
          <w:highlight w:val="none"/>
        </w:rPr>
        <w:t>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14:paraId="13028DAE">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11.2.3项目管理机构配备。</w:t>
      </w:r>
    </w:p>
    <w:p w14:paraId="6401F771">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（1）投标人应列出该项目工程的施工组织机构构成和画出机构框架图及其负责人；</w:t>
      </w:r>
    </w:p>
    <w:p w14:paraId="3A7EA2D6">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（2）投标人应详细列出该施工组织机构中主要成员的名单、简历资料、职务职称和在本项目中拟担任的职务等资料，并附上有关证明材料扫描件；</w:t>
      </w:r>
    </w:p>
    <w:p w14:paraId="2739BE17">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（3）其他辅助说明资料。</w:t>
      </w:r>
    </w:p>
    <w:p w14:paraId="6D3E43BB">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11.2.4投标人在广州市可使用适合本工程的机械设备（附：机械设备为自有或租赁的说明；及承诺机械设备如属于租赁的，其租赁是不属于重复租赁）。</w:t>
      </w:r>
    </w:p>
    <w:p w14:paraId="08B952CD">
      <w:pPr>
        <w:tabs>
          <w:tab w:val="left" w:pos="1125"/>
        </w:tabs>
        <w:spacing w:line="360" w:lineRule="auto"/>
        <w:ind w:firstLine="420" w:firstLineChars="200"/>
        <w:rPr>
          <w:rFonts w:ascii="宋体" w:hAnsi="宋体" w:cs="宋体"/>
          <w:color w:val="000000"/>
          <w:szCs w:val="21"/>
          <w:highlight w:val="none"/>
        </w:rPr>
      </w:pPr>
      <w:r>
        <w:rPr>
          <w:rFonts w:hint="eastAsia" w:cs="宋体"/>
          <w:szCs w:val="21"/>
          <w:highlight w:val="none"/>
        </w:rPr>
        <w:t>11.2.5 施工组织设计或施工方案。（投标人在编制施工组织设计或施工方案时应按照招标人提出的施工现场建筑垃圾源头减量的具体要求以及建筑垃圾综合利用产品的使用要求提供相应措施。）</w:t>
      </w:r>
    </w:p>
    <w:p w14:paraId="48AA2B4F">
      <w:pPr>
        <w:tabs>
          <w:tab w:val="left" w:pos="1125"/>
        </w:tabs>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11.2.6按照</w:t>
      </w:r>
      <w:r>
        <w:rPr>
          <w:rFonts w:hint="eastAsia" w:ascii="宋体" w:hAnsi="宋体" w:cs="宋体"/>
          <w:bCs/>
          <w:color w:val="000000"/>
          <w:szCs w:val="21"/>
          <w:highlight w:val="none"/>
        </w:rPr>
        <w:t>招标文件要求</w:t>
      </w:r>
      <w:r>
        <w:rPr>
          <w:rFonts w:hint="eastAsia" w:ascii="宋体" w:hAnsi="宋体" w:cs="宋体"/>
          <w:color w:val="000000"/>
          <w:szCs w:val="21"/>
          <w:highlight w:val="none"/>
        </w:rPr>
        <w:t>填写的《参与编制技术标投标文件人员名单》。</w:t>
      </w:r>
    </w:p>
    <w:p w14:paraId="434C4F50">
      <w:pPr>
        <w:spacing w:line="360" w:lineRule="auto"/>
        <w:ind w:firstLine="422" w:firstLineChars="200"/>
        <w:rPr>
          <w:rFonts w:ascii="宋体" w:hAnsi="宋体" w:cs="宋体"/>
          <w:bCs/>
          <w:color w:val="000000"/>
          <w:szCs w:val="21"/>
          <w:highlight w:val="none"/>
        </w:rPr>
      </w:pPr>
      <w:r>
        <w:rPr>
          <w:rFonts w:hint="eastAsia" w:ascii="宋体" w:hAnsi="宋体" w:cs="宋体"/>
          <w:b/>
          <w:color w:val="000000"/>
          <w:szCs w:val="21"/>
          <w:highlight w:val="none"/>
        </w:rPr>
        <w:t>现文：</w:t>
      </w:r>
      <w:r>
        <w:rPr>
          <w:rFonts w:hint="eastAsia" w:ascii="宋体" w:hAnsi="宋体" w:cs="宋体"/>
          <w:bCs/>
          <w:color w:val="000000"/>
          <w:szCs w:val="21"/>
          <w:highlight w:val="none"/>
        </w:rPr>
        <w:t>11.2投标文件技术标部分</w:t>
      </w:r>
      <w:r>
        <w:rPr>
          <w:rFonts w:hint="eastAsia" w:ascii="宋体" w:hAnsi="宋体" w:cs="宋体"/>
          <w:bCs/>
          <w:color w:val="000000"/>
          <w:szCs w:val="21"/>
          <w:highlight w:val="none"/>
          <w:u w:val="single"/>
        </w:rPr>
        <w:t>（含资格审查文件）</w:t>
      </w:r>
      <w:r>
        <w:rPr>
          <w:rFonts w:hint="eastAsia" w:ascii="宋体" w:hAnsi="宋体" w:cs="宋体"/>
          <w:bCs/>
          <w:color w:val="000000"/>
          <w:szCs w:val="21"/>
          <w:highlight w:val="none"/>
        </w:rPr>
        <w:t>主要包括下列内容</w:t>
      </w:r>
      <w:r>
        <w:rPr>
          <w:rFonts w:hint="eastAsia" w:ascii="宋体" w:hAnsi="宋体" w:cs="宋体"/>
          <w:bCs/>
          <w:color w:val="000000"/>
          <w:szCs w:val="21"/>
          <w:highlight w:val="none"/>
          <w:u w:val="single"/>
        </w:rPr>
        <w:t>（除注明原件外，均为清晰扫描件即可）</w:t>
      </w:r>
      <w:r>
        <w:rPr>
          <w:rFonts w:hint="eastAsia" w:ascii="宋体" w:hAnsi="宋体" w:cs="宋体"/>
          <w:bCs/>
          <w:color w:val="000000"/>
          <w:szCs w:val="21"/>
          <w:highlight w:val="none"/>
        </w:rPr>
        <w:t>:</w:t>
      </w:r>
    </w:p>
    <w:p w14:paraId="618B9331">
      <w:pPr>
        <w:spacing w:line="360" w:lineRule="auto"/>
        <w:ind w:firstLine="420" w:firstLineChars="200"/>
        <w:rPr>
          <w:rFonts w:ascii="宋体" w:hAnsi="宋体" w:cs="宋体"/>
          <w:bCs/>
          <w:color w:val="000000"/>
          <w:szCs w:val="21"/>
          <w:highlight w:val="none"/>
        </w:rPr>
      </w:pPr>
      <w:r>
        <w:rPr>
          <w:rFonts w:hint="eastAsia" w:ascii="宋体" w:hAnsi="宋体" w:cs="宋体"/>
          <w:bCs/>
          <w:color w:val="000000"/>
          <w:szCs w:val="21"/>
          <w:highlight w:val="none"/>
        </w:rPr>
        <w:t>11.2.1</w:t>
      </w:r>
      <w:r>
        <w:rPr>
          <w:rFonts w:hint="eastAsia" w:ascii="宋体" w:hAnsi="宋体" w:cs="宋体"/>
          <w:bCs/>
          <w:color w:val="000000"/>
          <w:szCs w:val="21"/>
          <w:highlight w:val="none"/>
          <w:u w:val="single"/>
        </w:rPr>
        <w:t>广州建设工程施工招标投标书(需按招标文件第四章要求的格式填写，具体格式以《广州建设工程施工招标投标书（技术标）》为准；电子投标管理软件编制的“广州建设工程施工招标投标书”不作为否决投标的条件，投标人采用电子投标管理软件编制“广州建设工程施工招标投标书”时无法填写“项目编号”的可以不填写，没有填写“项目编号”也不作为否决投标的条件)</w:t>
      </w:r>
      <w:r>
        <w:rPr>
          <w:rFonts w:hint="eastAsia" w:ascii="宋体" w:hAnsi="宋体" w:cs="宋体"/>
          <w:bCs/>
          <w:color w:val="000000"/>
          <w:szCs w:val="21"/>
          <w:highlight w:val="none"/>
        </w:rPr>
        <w:t>；</w:t>
      </w:r>
    </w:p>
    <w:p w14:paraId="429AA48E">
      <w:pPr>
        <w:spacing w:line="360" w:lineRule="auto"/>
        <w:ind w:firstLine="420" w:firstLineChars="200"/>
        <w:rPr>
          <w:rFonts w:ascii="宋体" w:hAnsi="宋体" w:cs="宋体"/>
          <w:bCs/>
          <w:color w:val="000000"/>
          <w:szCs w:val="21"/>
          <w:highlight w:val="none"/>
        </w:rPr>
      </w:pPr>
      <w:r>
        <w:rPr>
          <w:rFonts w:hint="eastAsia" w:ascii="宋体" w:hAnsi="宋体" w:cs="宋体"/>
          <w:bCs/>
          <w:color w:val="000000"/>
          <w:szCs w:val="21"/>
          <w:highlight w:val="none"/>
        </w:rPr>
        <w:t>11.2.2 资格审查文件：</w:t>
      </w:r>
    </w:p>
    <w:p w14:paraId="41A7A8B0">
      <w:pPr>
        <w:spacing w:line="360" w:lineRule="auto"/>
        <w:ind w:firstLine="420" w:firstLineChars="200"/>
        <w:rPr>
          <w:rFonts w:ascii="宋体" w:hAnsi="宋体" w:cs="宋体"/>
          <w:bCs/>
          <w:color w:val="000000"/>
          <w:szCs w:val="21"/>
          <w:highlight w:val="none"/>
        </w:rPr>
      </w:pPr>
      <w:r>
        <w:rPr>
          <w:rFonts w:hint="eastAsia" w:ascii="宋体" w:hAnsi="宋体" w:cs="宋体"/>
          <w:bCs/>
          <w:color w:val="000000"/>
          <w:szCs w:val="21"/>
          <w:highlight w:val="none"/>
        </w:rPr>
        <w:t xml:space="preserve">（1）投标人声明； </w:t>
      </w:r>
    </w:p>
    <w:p w14:paraId="57FF3E41">
      <w:pPr>
        <w:spacing w:line="360" w:lineRule="auto"/>
        <w:ind w:firstLine="420" w:firstLineChars="200"/>
        <w:rPr>
          <w:rFonts w:ascii="宋体" w:hAnsi="宋体" w:cs="宋体"/>
          <w:bCs/>
          <w:color w:val="000000"/>
          <w:szCs w:val="21"/>
          <w:highlight w:val="none"/>
        </w:rPr>
      </w:pPr>
      <w:r>
        <w:rPr>
          <w:rFonts w:hint="eastAsia" w:ascii="宋体" w:hAnsi="宋体" w:cs="宋体"/>
          <w:bCs/>
          <w:color w:val="000000"/>
          <w:szCs w:val="21"/>
          <w:highlight w:val="none"/>
        </w:rPr>
        <w:t>（2）法定代表人证明书、法定代表人签字或盖章的本投标文件授权委托证明书；</w:t>
      </w:r>
    </w:p>
    <w:p w14:paraId="7604270A">
      <w:pPr>
        <w:spacing w:line="360" w:lineRule="auto"/>
        <w:ind w:firstLine="420" w:firstLineChars="200"/>
        <w:rPr>
          <w:rFonts w:ascii="宋体" w:hAnsi="宋体" w:cs="宋体"/>
          <w:bCs/>
          <w:color w:val="000000"/>
          <w:szCs w:val="21"/>
          <w:highlight w:val="none"/>
        </w:rPr>
      </w:pPr>
      <w:r>
        <w:rPr>
          <w:rFonts w:hint="eastAsia" w:ascii="宋体" w:hAnsi="宋体" w:cs="宋体"/>
          <w:bCs/>
          <w:color w:val="000000"/>
          <w:szCs w:val="21"/>
          <w:highlight w:val="none"/>
        </w:rPr>
        <w:t>（3）</w:t>
      </w:r>
      <w:r>
        <w:rPr>
          <w:rFonts w:hint="eastAsia" w:cs="宋体"/>
          <w:bCs/>
          <w:szCs w:val="21"/>
          <w:highlight w:val="none"/>
        </w:rPr>
        <w:t>企业营业执照（</w:t>
      </w:r>
      <w:r>
        <w:rPr>
          <w:rFonts w:hint="eastAsia" w:cs="宋体"/>
          <w:bCs/>
          <w:szCs w:val="21"/>
          <w:highlight w:val="none"/>
          <w:u w:val="single"/>
        </w:rPr>
        <w:t>取自广州市住建行业信用管理平台内上传件</w:t>
      </w:r>
      <w:r>
        <w:rPr>
          <w:rFonts w:hint="eastAsia" w:cs="宋体"/>
          <w:bCs/>
          <w:szCs w:val="21"/>
          <w:highlight w:val="none"/>
        </w:rPr>
        <w:t>）</w:t>
      </w:r>
      <w:r>
        <w:rPr>
          <w:rFonts w:hint="eastAsia" w:ascii="宋体" w:hAnsi="宋体" w:cs="宋体"/>
          <w:bCs/>
          <w:color w:val="000000"/>
          <w:szCs w:val="21"/>
          <w:highlight w:val="none"/>
        </w:rPr>
        <w:t>；</w:t>
      </w:r>
    </w:p>
    <w:p w14:paraId="185AAC43">
      <w:pPr>
        <w:spacing w:line="360" w:lineRule="auto"/>
        <w:ind w:firstLine="420" w:firstLineChars="200"/>
        <w:rPr>
          <w:rFonts w:ascii="宋体" w:hAnsi="宋体" w:cs="宋体"/>
          <w:bCs/>
          <w:color w:val="000000"/>
          <w:szCs w:val="21"/>
          <w:highlight w:val="none"/>
        </w:rPr>
      </w:pPr>
      <w:r>
        <w:rPr>
          <w:rFonts w:hint="eastAsia" w:ascii="宋体" w:hAnsi="宋体" w:cs="宋体"/>
          <w:bCs/>
          <w:color w:val="000000"/>
          <w:szCs w:val="21"/>
          <w:highlight w:val="none"/>
        </w:rPr>
        <w:t>（4）</w:t>
      </w:r>
      <w:r>
        <w:rPr>
          <w:rFonts w:hint="eastAsia" w:cs="宋体"/>
          <w:bCs/>
          <w:szCs w:val="21"/>
          <w:highlight w:val="none"/>
        </w:rPr>
        <w:t>企业资质证书（</w:t>
      </w:r>
      <w:r>
        <w:rPr>
          <w:rFonts w:hint="eastAsia" w:cs="宋体"/>
          <w:bCs/>
          <w:szCs w:val="21"/>
          <w:highlight w:val="none"/>
          <w:u w:val="single"/>
        </w:rPr>
        <w:t>取自广州市住建行业信用管理平台内上传件</w:t>
      </w:r>
      <w:r>
        <w:rPr>
          <w:rFonts w:hint="eastAsia" w:cs="宋体"/>
          <w:bCs/>
          <w:szCs w:val="21"/>
          <w:highlight w:val="none"/>
        </w:rPr>
        <w:t>）</w:t>
      </w:r>
      <w:r>
        <w:rPr>
          <w:rFonts w:hint="eastAsia" w:ascii="宋体" w:hAnsi="宋体" w:cs="宋体"/>
          <w:bCs/>
          <w:color w:val="000000"/>
          <w:szCs w:val="21"/>
          <w:highlight w:val="none"/>
        </w:rPr>
        <w:t>；</w:t>
      </w:r>
    </w:p>
    <w:p w14:paraId="698F431B">
      <w:pPr>
        <w:spacing w:line="360" w:lineRule="auto"/>
        <w:ind w:firstLine="420" w:firstLineChars="200"/>
        <w:rPr>
          <w:rFonts w:ascii="宋体" w:hAnsi="宋体" w:cs="宋体"/>
          <w:bCs/>
          <w:color w:val="000000"/>
          <w:szCs w:val="21"/>
          <w:highlight w:val="none"/>
        </w:rPr>
      </w:pPr>
      <w:r>
        <w:rPr>
          <w:rFonts w:hint="eastAsia" w:ascii="宋体" w:hAnsi="宋体" w:cs="宋体"/>
          <w:bCs/>
          <w:color w:val="000000"/>
          <w:szCs w:val="21"/>
          <w:highlight w:val="none"/>
        </w:rPr>
        <w:t>（5）</w:t>
      </w:r>
      <w:r>
        <w:rPr>
          <w:rFonts w:hint="eastAsia" w:cs="宋体"/>
          <w:bCs/>
          <w:szCs w:val="21"/>
          <w:highlight w:val="none"/>
        </w:rPr>
        <w:t>建筑施工企业安全生产许可证（</w:t>
      </w:r>
      <w:r>
        <w:rPr>
          <w:rFonts w:hint="eastAsia" w:cs="宋体"/>
          <w:bCs/>
          <w:szCs w:val="21"/>
          <w:highlight w:val="none"/>
          <w:u w:val="single"/>
        </w:rPr>
        <w:t>取自广州市住建行业信用管理平台内上传件</w:t>
      </w:r>
      <w:r>
        <w:rPr>
          <w:rFonts w:hint="eastAsia" w:cs="宋体"/>
          <w:bCs/>
          <w:szCs w:val="21"/>
          <w:highlight w:val="none"/>
        </w:rPr>
        <w:t>）</w:t>
      </w:r>
      <w:r>
        <w:rPr>
          <w:rFonts w:hint="eastAsia" w:ascii="宋体" w:hAnsi="宋体" w:cs="宋体"/>
          <w:bCs/>
          <w:color w:val="000000"/>
          <w:szCs w:val="21"/>
          <w:highlight w:val="none"/>
        </w:rPr>
        <w:t>；</w:t>
      </w:r>
    </w:p>
    <w:p w14:paraId="380E4890">
      <w:pPr>
        <w:spacing w:line="360" w:lineRule="auto"/>
        <w:ind w:firstLine="420" w:firstLineChars="200"/>
        <w:rPr>
          <w:rFonts w:ascii="宋体" w:hAnsi="宋体" w:cs="宋体"/>
          <w:bCs/>
          <w:color w:val="000000"/>
          <w:szCs w:val="21"/>
          <w:highlight w:val="none"/>
        </w:rPr>
      </w:pPr>
      <w:r>
        <w:rPr>
          <w:rFonts w:hint="eastAsia" w:ascii="宋体" w:hAnsi="宋体" w:cs="宋体"/>
          <w:bCs/>
          <w:color w:val="000000"/>
          <w:szCs w:val="21"/>
          <w:highlight w:val="none"/>
        </w:rPr>
        <w:t>（6）项目负责人（按网上投标登记时选择拟投标的项目负责人）；</w:t>
      </w:r>
    </w:p>
    <w:p w14:paraId="1702896B">
      <w:pPr>
        <w:spacing w:line="360" w:lineRule="auto"/>
        <w:ind w:firstLine="420" w:firstLineChars="200"/>
        <w:rPr>
          <w:rFonts w:ascii="宋体" w:hAnsi="宋体" w:cs="宋体"/>
          <w:bCs/>
          <w:color w:val="000000"/>
          <w:szCs w:val="21"/>
          <w:highlight w:val="none"/>
        </w:rPr>
      </w:pPr>
      <w:r>
        <w:rPr>
          <w:rFonts w:hint="eastAsia" w:ascii="宋体" w:hAnsi="宋体" w:cs="宋体"/>
          <w:bCs/>
          <w:color w:val="000000"/>
          <w:szCs w:val="21"/>
          <w:highlight w:val="none"/>
        </w:rPr>
        <w:t>（7）专职安全员（按网上投标登记时选择拟投标的专职安全员）；</w:t>
      </w:r>
    </w:p>
    <w:p w14:paraId="575E7DD3">
      <w:pPr>
        <w:spacing w:line="360" w:lineRule="auto"/>
        <w:ind w:firstLine="420" w:firstLineChars="200"/>
        <w:rPr>
          <w:rFonts w:ascii="宋体" w:hAnsi="宋体" w:cs="宋体"/>
          <w:bCs/>
          <w:color w:val="000000"/>
          <w:szCs w:val="21"/>
          <w:highlight w:val="none"/>
          <w:u w:val="single"/>
        </w:rPr>
      </w:pPr>
      <w:r>
        <w:rPr>
          <w:rFonts w:hint="eastAsia" w:ascii="宋体" w:hAnsi="宋体" w:cs="宋体"/>
          <w:bCs/>
          <w:color w:val="000000"/>
          <w:szCs w:val="21"/>
          <w:highlight w:val="none"/>
        </w:rPr>
        <w:t>（8）</w:t>
      </w:r>
      <w:r>
        <w:rPr>
          <w:rFonts w:hint="eastAsia" w:cs="宋体"/>
          <w:bCs/>
          <w:szCs w:val="21"/>
          <w:highlight w:val="none"/>
          <w:u w:val="single"/>
        </w:rPr>
        <w:t>拟委派技术负责人的职称证书（提供职称证书清晰扫描件或取自广州市住建行业信用管理平台内上传件）；</w:t>
      </w:r>
    </w:p>
    <w:p w14:paraId="5F0DEB15">
      <w:pPr>
        <w:spacing w:line="360" w:lineRule="auto"/>
        <w:ind w:firstLine="420" w:firstLineChars="200"/>
        <w:rPr>
          <w:rFonts w:ascii="宋体" w:hAnsi="宋体" w:cs="宋体"/>
          <w:bCs/>
          <w:color w:val="000000"/>
          <w:szCs w:val="21"/>
          <w:highlight w:val="none"/>
        </w:rPr>
      </w:pPr>
      <w:r>
        <w:rPr>
          <w:rFonts w:hint="eastAsia" w:ascii="宋体" w:hAnsi="宋体" w:cs="宋体"/>
          <w:bCs/>
          <w:color w:val="000000"/>
          <w:szCs w:val="21"/>
          <w:highlight w:val="none"/>
        </w:rPr>
        <w:t>（9）</w:t>
      </w:r>
      <w:r>
        <w:rPr>
          <w:rFonts w:hint="eastAsia" w:cs="宋体"/>
          <w:bCs/>
          <w:szCs w:val="21"/>
          <w:highlight w:val="none"/>
          <w:u w:val="single"/>
        </w:rPr>
        <w:t>拟委派项目负责人的建造师证书</w:t>
      </w:r>
      <w:r>
        <w:rPr>
          <w:rFonts w:hint="eastAsia" w:cs="宋体"/>
          <w:bCs/>
          <w:szCs w:val="21"/>
          <w:highlight w:val="none"/>
        </w:rPr>
        <w:t>（</w:t>
      </w:r>
      <w:r>
        <w:rPr>
          <w:rFonts w:hint="eastAsia" w:cs="宋体"/>
          <w:bCs/>
          <w:szCs w:val="21"/>
          <w:highlight w:val="none"/>
          <w:u w:val="single"/>
        </w:rPr>
        <w:t>取自广州市住建行业信用管理平台内上传件</w:t>
      </w:r>
      <w:r>
        <w:rPr>
          <w:rFonts w:hint="eastAsia" w:cs="宋体"/>
          <w:bCs/>
          <w:szCs w:val="21"/>
          <w:highlight w:val="none"/>
        </w:rPr>
        <w:t>）</w:t>
      </w:r>
      <w:r>
        <w:rPr>
          <w:rFonts w:hint="eastAsia" w:ascii="宋体" w:hAnsi="宋体" w:cs="宋体"/>
          <w:bCs/>
          <w:color w:val="000000"/>
          <w:szCs w:val="21"/>
          <w:highlight w:val="none"/>
        </w:rPr>
        <w:t xml:space="preserve">； </w:t>
      </w:r>
    </w:p>
    <w:p w14:paraId="34005FE5">
      <w:pPr>
        <w:spacing w:line="360" w:lineRule="auto"/>
        <w:ind w:firstLine="420" w:firstLineChars="200"/>
        <w:rPr>
          <w:rFonts w:ascii="宋体" w:hAnsi="宋体" w:cs="宋体"/>
          <w:bCs/>
          <w:color w:val="000000"/>
          <w:szCs w:val="21"/>
          <w:highlight w:val="none"/>
        </w:rPr>
      </w:pPr>
      <w:r>
        <w:rPr>
          <w:rFonts w:hint="eastAsia" w:ascii="宋体" w:hAnsi="宋体" w:cs="宋体"/>
          <w:bCs/>
          <w:color w:val="000000"/>
          <w:szCs w:val="21"/>
          <w:highlight w:val="none"/>
        </w:rPr>
        <w:t>（10）</w:t>
      </w:r>
      <w:r>
        <w:rPr>
          <w:rFonts w:hint="eastAsia" w:cs="宋体"/>
          <w:bCs/>
          <w:szCs w:val="21"/>
          <w:highlight w:val="none"/>
        </w:rPr>
        <w:t>项目负责人安全生产考核合格证明或在有效期内的安全考核合格证书（B类）（</w:t>
      </w:r>
      <w:r>
        <w:rPr>
          <w:rFonts w:hint="eastAsia" w:cs="宋体"/>
          <w:bCs/>
          <w:szCs w:val="21"/>
          <w:highlight w:val="none"/>
          <w:u w:val="single"/>
        </w:rPr>
        <w:t>取自广州市住建行业信用管理平台内上传件</w:t>
      </w:r>
      <w:r>
        <w:rPr>
          <w:rFonts w:hint="eastAsia" w:cs="宋体"/>
          <w:bCs/>
          <w:szCs w:val="21"/>
          <w:highlight w:val="none"/>
        </w:rPr>
        <w:t>），或建筑施工企业项目负责人安全生产考核合格证书；</w:t>
      </w:r>
    </w:p>
    <w:p w14:paraId="0D6B90D0">
      <w:pPr>
        <w:spacing w:line="360" w:lineRule="auto"/>
        <w:ind w:firstLine="420" w:firstLineChars="200"/>
        <w:rPr>
          <w:rFonts w:ascii="宋体" w:hAnsi="宋体" w:cs="宋体"/>
          <w:bCs/>
          <w:color w:val="000000"/>
          <w:szCs w:val="21"/>
          <w:highlight w:val="none"/>
        </w:rPr>
      </w:pPr>
      <w:r>
        <w:rPr>
          <w:rFonts w:hint="eastAsia" w:ascii="宋体" w:hAnsi="宋体" w:cs="宋体"/>
          <w:bCs/>
          <w:color w:val="000000"/>
          <w:szCs w:val="21"/>
          <w:highlight w:val="none"/>
        </w:rPr>
        <w:t>（11）</w:t>
      </w:r>
      <w:r>
        <w:rPr>
          <w:rFonts w:hint="eastAsia" w:cs="宋体"/>
          <w:bCs/>
          <w:szCs w:val="21"/>
          <w:highlight w:val="none"/>
        </w:rPr>
        <w:t>专职安全员须具有在有效期内的安全生产考核合格证（C类）或建筑施工企业专职安全生产管理人员安全生产考核合格证（C3）（</w:t>
      </w:r>
      <w:r>
        <w:rPr>
          <w:rFonts w:hint="eastAsia" w:cs="宋体"/>
          <w:bCs/>
          <w:szCs w:val="21"/>
          <w:highlight w:val="none"/>
          <w:u w:val="single"/>
        </w:rPr>
        <w:t>取自广州市住建行业信用管理平台内上传件</w:t>
      </w:r>
      <w:r>
        <w:rPr>
          <w:rFonts w:hint="eastAsia" w:cs="宋体"/>
          <w:bCs/>
          <w:szCs w:val="21"/>
          <w:highlight w:val="none"/>
        </w:rPr>
        <w:t>）；</w:t>
      </w:r>
    </w:p>
    <w:p w14:paraId="729F2D03">
      <w:pPr>
        <w:spacing w:line="360" w:lineRule="auto"/>
        <w:ind w:firstLine="420" w:firstLineChars="200"/>
        <w:rPr>
          <w:rFonts w:ascii="宋体" w:hAnsi="宋体" w:cs="宋体"/>
          <w:bCs/>
          <w:szCs w:val="21"/>
          <w:highlight w:val="none"/>
        </w:rPr>
      </w:pPr>
      <w:r>
        <w:rPr>
          <w:rFonts w:hint="eastAsia" w:ascii="宋体" w:hAnsi="宋体" w:cs="宋体"/>
          <w:bCs/>
          <w:color w:val="000000"/>
          <w:szCs w:val="21"/>
          <w:highlight w:val="none"/>
        </w:rPr>
        <w:t>（12）</w:t>
      </w:r>
      <w:r>
        <w:rPr>
          <w:rFonts w:hint="eastAsia" w:cs="宋体"/>
          <w:bCs/>
          <w:szCs w:val="21"/>
          <w:highlight w:val="none"/>
        </w:rPr>
        <w:t>用于资格审查的业绩（投标人</w:t>
      </w:r>
      <w:r>
        <w:rPr>
          <w:rFonts w:hint="eastAsia" w:cs="宋体"/>
          <w:szCs w:val="21"/>
          <w:highlight w:val="none"/>
        </w:rPr>
        <w:t>须提供类似工程业绩的项目名称及项目编号</w:t>
      </w:r>
      <w:r>
        <w:rPr>
          <w:rFonts w:hint="eastAsia" w:cs="宋体"/>
          <w:bCs/>
          <w:szCs w:val="21"/>
          <w:highlight w:val="none"/>
        </w:rPr>
        <w:t>）；</w:t>
      </w:r>
    </w:p>
    <w:p w14:paraId="5F8EC7CB">
      <w:pPr>
        <w:spacing w:line="360" w:lineRule="auto"/>
        <w:ind w:firstLine="420" w:firstLineChars="200"/>
        <w:rPr>
          <w:rFonts w:ascii="宋体" w:hAnsi="宋体" w:cs="宋体"/>
          <w:bCs/>
          <w:color w:val="000000"/>
          <w:szCs w:val="21"/>
          <w:highlight w:val="none"/>
        </w:rPr>
      </w:pPr>
      <w:r>
        <w:rPr>
          <w:rFonts w:hint="eastAsia" w:ascii="宋体" w:hAnsi="宋体" w:cs="宋体"/>
          <w:bCs/>
          <w:color w:val="000000"/>
          <w:szCs w:val="21"/>
          <w:highlight w:val="none"/>
        </w:rPr>
        <w:t>（13）</w:t>
      </w:r>
      <w:r>
        <w:rPr>
          <w:rFonts w:hint="eastAsia" w:cs="宋体"/>
          <w:szCs w:val="21"/>
          <w:highlight w:val="none"/>
        </w:rPr>
        <w:t>资格审查前，投标人须在广州市住房和城乡建设局建立企业信用档案及拟担任本工程项目负责人、专职安全员须是本企业信用档案中的在册人员。企业信用档案取自投标截止时间投标人在信用管理平台内的信息，投标人无需提交相关资料，若招标人延长递交投标文件截止时间的，信用档案信息的评审时点也相应延长。（信用档案办理详见《广州市住建行业信用管理平台施工企业信息录入指引》</w:t>
      </w:r>
      <w:r>
        <w:rPr>
          <w:highlight w:val="none"/>
        </w:rPr>
        <w:fldChar w:fldCharType="begin"/>
      </w:r>
      <w:r>
        <w:rPr>
          <w:highlight w:val="none"/>
        </w:rPr>
        <w:instrText xml:space="preserve"> HYPERLINK "http://zfcj.gz.gov.cn/zwgk/zsdwxxgkzl/gzsjzyglfwzx/bszy/content/post_8074009.html" </w:instrText>
      </w:r>
      <w:r>
        <w:rPr>
          <w:highlight w:val="none"/>
        </w:rPr>
        <w:fldChar w:fldCharType="separate"/>
      </w:r>
      <w:r>
        <w:rPr>
          <w:rStyle w:val="59"/>
          <w:rFonts w:hint="eastAsia" w:cs="宋体"/>
          <w:color w:val="auto"/>
          <w:szCs w:val="21"/>
          <w:highlight w:val="none"/>
        </w:rPr>
        <w:t>http://zfcj.gz.gov.cn/zwgk/zsdwxxgkzl/gzsjzyglfwzx/bszy/content/post_8074009.html</w:t>
      </w:r>
      <w:r>
        <w:rPr>
          <w:rStyle w:val="59"/>
          <w:rFonts w:hint="eastAsia" w:cs="宋体"/>
          <w:color w:val="auto"/>
          <w:szCs w:val="21"/>
          <w:highlight w:val="none"/>
        </w:rPr>
        <w:fldChar w:fldCharType="end"/>
      </w:r>
      <w:r>
        <w:rPr>
          <w:rFonts w:hint="eastAsia" w:cs="宋体"/>
          <w:szCs w:val="21"/>
          <w:highlight w:val="none"/>
        </w:rPr>
        <w:t>）；</w:t>
      </w:r>
    </w:p>
    <w:p w14:paraId="0393B2C2">
      <w:pPr>
        <w:spacing w:line="360" w:lineRule="auto"/>
        <w:ind w:firstLine="420" w:firstLineChars="200"/>
        <w:rPr>
          <w:rFonts w:ascii="宋体" w:hAnsi="宋体" w:cs="宋体"/>
          <w:bCs/>
          <w:color w:val="000000"/>
          <w:szCs w:val="21"/>
          <w:highlight w:val="none"/>
        </w:rPr>
      </w:pPr>
      <w:r>
        <w:rPr>
          <w:rFonts w:hint="eastAsia" w:ascii="宋体" w:hAnsi="宋体" w:cs="宋体"/>
          <w:bCs/>
          <w:color w:val="000000"/>
          <w:szCs w:val="21"/>
          <w:highlight w:val="none"/>
        </w:rPr>
        <w:t>（14）</w:t>
      </w:r>
      <w:r>
        <w:rPr>
          <w:rFonts w:hint="eastAsia" w:cs="宋体"/>
          <w:bCs/>
          <w:szCs w:val="21"/>
          <w:highlight w:val="none"/>
          <w:u w:val="single"/>
        </w:rPr>
        <w:t>投标人未被列入拖欠农民工工资失信联合惩戒对象名单；（投标人无需提交资料，资格审查时，根据交易中心系统比对结果为准）</w:t>
      </w:r>
    </w:p>
    <w:p w14:paraId="543D6131">
      <w:pPr>
        <w:spacing w:line="360" w:lineRule="auto"/>
        <w:ind w:firstLine="420" w:firstLineChars="200"/>
        <w:rPr>
          <w:rFonts w:ascii="宋体" w:hAnsi="宋体" w:cs="宋体"/>
          <w:bCs/>
          <w:color w:val="000000"/>
          <w:szCs w:val="21"/>
          <w:highlight w:val="none"/>
          <w:u w:val="single"/>
        </w:rPr>
      </w:pPr>
      <w:r>
        <w:rPr>
          <w:rFonts w:hint="eastAsia" w:ascii="宋体" w:hAnsi="宋体" w:cs="宋体"/>
          <w:bCs/>
          <w:color w:val="000000"/>
          <w:szCs w:val="21"/>
          <w:highlight w:val="none"/>
        </w:rPr>
        <w:t>（15）其他满足资格审查合格条件的证明材料。</w:t>
      </w:r>
    </w:p>
    <w:p w14:paraId="51C66ECA">
      <w:pPr>
        <w:spacing w:line="360" w:lineRule="auto"/>
        <w:ind w:firstLine="420" w:firstLineChars="200"/>
        <w:rPr>
          <w:rFonts w:ascii="宋体" w:hAnsi="宋体"/>
          <w:color w:val="000000"/>
          <w:szCs w:val="20"/>
          <w:highlight w:val="none"/>
        </w:rPr>
      </w:pPr>
      <w:r>
        <w:rPr>
          <w:rFonts w:hint="eastAsia" w:ascii="宋体" w:hAnsi="宋体"/>
          <w:color w:val="000000"/>
          <w:szCs w:val="20"/>
          <w:highlight w:val="none"/>
        </w:rPr>
        <w:t>11.2.3按照招标文件要求填写的《参与编制技术标投标文件人员名单》、《响应招标文件所附施工组织设计要点的承诺书》、《投 标 函》。</w:t>
      </w:r>
    </w:p>
    <w:p w14:paraId="44951AFE">
      <w:pPr>
        <w:spacing w:line="360" w:lineRule="auto"/>
        <w:ind w:firstLine="420" w:firstLineChars="200"/>
        <w:rPr>
          <w:rFonts w:ascii="宋体" w:hAnsi="宋体"/>
          <w:color w:val="000000"/>
          <w:szCs w:val="20"/>
          <w:highlight w:val="none"/>
        </w:rPr>
      </w:pPr>
      <w:r>
        <w:rPr>
          <w:rFonts w:hint="eastAsia" w:ascii="宋体" w:hAnsi="宋体"/>
          <w:color w:val="000000"/>
          <w:szCs w:val="20"/>
          <w:highlight w:val="none"/>
        </w:rPr>
        <w:t>11.2.4技术标评分证明材料；</w:t>
      </w:r>
    </w:p>
    <w:p w14:paraId="2739536C">
      <w:pPr>
        <w:spacing w:line="360" w:lineRule="auto"/>
        <w:ind w:firstLine="420" w:firstLineChars="200"/>
        <w:rPr>
          <w:rFonts w:ascii="宋体" w:hAnsi="宋体"/>
          <w:color w:val="000000"/>
          <w:szCs w:val="20"/>
          <w:highlight w:val="none"/>
        </w:rPr>
      </w:pPr>
      <w:r>
        <w:rPr>
          <w:rFonts w:hint="eastAsia" w:ascii="宋体" w:hAnsi="宋体"/>
          <w:color w:val="000000"/>
          <w:szCs w:val="20"/>
          <w:highlight w:val="none"/>
        </w:rPr>
        <w:t>11.2.5《危险性较大的分部分项工程安全管理措施》（格式见第四章）。</w:t>
      </w:r>
    </w:p>
    <w:p w14:paraId="5D422535">
      <w:pPr>
        <w:spacing w:line="360" w:lineRule="auto"/>
        <w:ind w:firstLine="420" w:firstLineChars="200"/>
        <w:rPr>
          <w:rFonts w:ascii="宋体" w:hAnsi="宋体"/>
          <w:color w:val="000000"/>
          <w:szCs w:val="20"/>
          <w:highlight w:val="none"/>
        </w:rPr>
      </w:pPr>
      <w:r>
        <w:rPr>
          <w:rFonts w:hint="eastAsia" w:ascii="宋体" w:hAnsi="宋体"/>
          <w:color w:val="000000"/>
          <w:szCs w:val="20"/>
          <w:highlight w:val="none"/>
        </w:rPr>
        <w:t>11.2.6投标人认为应提供的其他资料。</w:t>
      </w:r>
    </w:p>
    <w:p w14:paraId="4D9A4D53">
      <w:pPr>
        <w:spacing w:line="360" w:lineRule="auto"/>
        <w:ind w:firstLine="420" w:firstLineChars="200"/>
        <w:rPr>
          <w:rFonts w:ascii="宋体" w:hAnsi="宋体" w:cs="宋体"/>
          <w:szCs w:val="21"/>
          <w:highlight w:val="none"/>
        </w:rPr>
      </w:pPr>
    </w:p>
    <w:p w14:paraId="339558A6">
      <w:pPr>
        <w:pBdr>
          <w:bottom w:val="single" w:color="auto" w:sz="6" w:space="1"/>
        </w:pBdr>
        <w:spacing w:line="360" w:lineRule="auto"/>
        <w:rPr>
          <w:rFonts w:ascii="宋体" w:hAnsi="宋体" w:cs="宋体"/>
          <w:color w:val="000000"/>
          <w:szCs w:val="21"/>
          <w:highlight w:val="none"/>
        </w:rPr>
      </w:pPr>
    </w:p>
    <w:p w14:paraId="03769693">
      <w:pPr>
        <w:spacing w:line="480" w:lineRule="auto"/>
        <w:ind w:firstLine="472" w:firstLineChars="224"/>
        <w:rPr>
          <w:rFonts w:ascii="宋体" w:hAnsi="宋体" w:cs="宋体"/>
          <w:b/>
          <w:szCs w:val="21"/>
          <w:highlight w:val="none"/>
        </w:rPr>
      </w:pPr>
      <w:r>
        <w:rPr>
          <w:rFonts w:hint="eastAsia" w:ascii="宋体" w:hAnsi="宋体" w:cs="宋体"/>
          <w:b/>
          <w:szCs w:val="21"/>
          <w:highlight w:val="none"/>
        </w:rPr>
        <w:t xml:space="preserve">条款号： </w:t>
      </w:r>
      <w:r>
        <w:rPr>
          <w:rFonts w:hint="eastAsia" w:ascii="宋体" w:hAnsi="宋体" w:cs="宋体"/>
          <w:bCs/>
          <w:szCs w:val="21"/>
          <w:highlight w:val="none"/>
        </w:rPr>
        <w:t>11.3</w:t>
      </w:r>
      <w:r>
        <w:rPr>
          <w:rFonts w:hint="eastAsia" w:ascii="宋体" w:hAnsi="宋体" w:cs="宋体"/>
          <w:b/>
          <w:szCs w:val="21"/>
          <w:highlight w:val="none"/>
        </w:rPr>
        <w:t xml:space="preserve">            修改类型：修改</w:t>
      </w:r>
    </w:p>
    <w:p w14:paraId="777B36B4">
      <w:pPr>
        <w:spacing w:line="360" w:lineRule="auto"/>
        <w:ind w:firstLine="422" w:firstLineChars="200"/>
        <w:rPr>
          <w:rFonts w:ascii="宋体" w:hAnsi="宋体" w:cs="宋体"/>
          <w:bCs/>
          <w:szCs w:val="21"/>
          <w:highlight w:val="none"/>
        </w:rPr>
      </w:pPr>
      <w:r>
        <w:rPr>
          <w:rFonts w:hint="eastAsia" w:ascii="宋体" w:hAnsi="宋体" w:cs="宋体"/>
          <w:b/>
          <w:szCs w:val="21"/>
          <w:highlight w:val="none"/>
        </w:rPr>
        <w:t>原文：</w:t>
      </w:r>
      <w:r>
        <w:rPr>
          <w:rFonts w:hint="eastAsia" w:ascii="宋体" w:hAnsi="宋体" w:cs="宋体"/>
          <w:bCs/>
          <w:szCs w:val="21"/>
          <w:highlight w:val="none"/>
        </w:rPr>
        <w:t>11.3 经济部分投标文件主要包括下列内容：</w:t>
      </w:r>
    </w:p>
    <w:p w14:paraId="4CEE8529">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11.3.1 经济投标文件(按招标文件的要求填写)。</w:t>
      </w:r>
    </w:p>
    <w:p w14:paraId="757753C7">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14:paraId="7DD5E9FB">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（1）投标总价封面、扉页；</w:t>
      </w:r>
    </w:p>
    <w:p w14:paraId="127E4995">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（2）总说明</w:t>
      </w:r>
    </w:p>
    <w:p w14:paraId="11D9954D">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（3）工程项目投标报价汇总表；</w:t>
      </w:r>
    </w:p>
    <w:p w14:paraId="634158FA">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（4）单项工程投标报价汇总表；</w:t>
      </w:r>
    </w:p>
    <w:p w14:paraId="5CFF5CE3">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（5）单位工程投标报价汇总表；</w:t>
      </w:r>
    </w:p>
    <w:p w14:paraId="4B9B6A26">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（6）分部分项工程清单与计价表；</w:t>
      </w:r>
    </w:p>
    <w:p w14:paraId="24440D0C">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（7）单价措施项目清单与计价表；</w:t>
      </w:r>
    </w:p>
    <w:p w14:paraId="61B545A5">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（8）总价措施项目清单与计价表；</w:t>
      </w:r>
    </w:p>
    <w:p w14:paraId="023DC54E">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（9）综合单价分析表；</w:t>
      </w:r>
    </w:p>
    <w:p w14:paraId="16C6E634">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（10）其他项目清单与计价汇总表；</w:t>
      </w:r>
    </w:p>
    <w:p w14:paraId="677A1A74">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（11）暂列金额明细表；</w:t>
      </w:r>
    </w:p>
    <w:p w14:paraId="5255C282">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（12）材料（工程设备）暂估价明细表；</w:t>
      </w:r>
    </w:p>
    <w:p w14:paraId="3F13E46C">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（13）专业工程暂估价明细表；</w:t>
      </w:r>
    </w:p>
    <w:p w14:paraId="792ECBFD">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（14）计日工表；</w:t>
      </w:r>
    </w:p>
    <w:p w14:paraId="13549110">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（15）专业承包服务计价表；</w:t>
      </w:r>
    </w:p>
    <w:p w14:paraId="2E4DD8DF">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（16）规费和税金项目计价表；</w:t>
      </w:r>
    </w:p>
    <w:p w14:paraId="7B85B67B">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 xml:space="preserve"> （17）人工、主要材料和设备一览表</w:t>
      </w:r>
    </w:p>
    <w:p w14:paraId="53B673DC">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11.3.3按照招标文件要求填写的《参与编制经济标投标文件人员名单》。</w:t>
      </w:r>
    </w:p>
    <w:p w14:paraId="19879D69">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11.3.4若投标人的投标报价低于工程成本警戒价的，投标人还须提供详细的施工组织设计、单价、措施性费用、单价分析表、主要材料价格表、投标人成本分析供评标委员会评审。</w:t>
      </w:r>
    </w:p>
    <w:p w14:paraId="02AE7A7F">
      <w:pPr>
        <w:spacing w:line="360" w:lineRule="auto"/>
        <w:ind w:firstLine="527" w:firstLineChars="250"/>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11.3 经济部分投标文件主要包括下列内容：</w:t>
      </w:r>
    </w:p>
    <w:p w14:paraId="7A9E1A32">
      <w:pPr>
        <w:spacing w:line="360" w:lineRule="auto"/>
        <w:ind w:firstLine="525" w:firstLineChars="250"/>
        <w:rPr>
          <w:rFonts w:ascii="宋体" w:hAnsi="宋体" w:cs="宋体"/>
          <w:szCs w:val="21"/>
          <w:highlight w:val="none"/>
        </w:rPr>
      </w:pPr>
      <w:r>
        <w:rPr>
          <w:rFonts w:hint="eastAsia" w:ascii="宋体" w:hAnsi="宋体" w:cs="宋体"/>
          <w:szCs w:val="21"/>
          <w:highlight w:val="none"/>
        </w:rPr>
        <w:t xml:space="preserve">11.3.1 </w:t>
      </w:r>
      <w:r>
        <w:rPr>
          <w:rFonts w:hint="eastAsia" w:ascii="宋体" w:hAnsi="宋体" w:cs="宋体"/>
          <w:szCs w:val="21"/>
          <w:highlight w:val="none"/>
          <w:u w:val="single"/>
        </w:rPr>
        <w:t>广州建设工程施工招标投标书</w:t>
      </w:r>
      <w:r>
        <w:rPr>
          <w:rFonts w:hint="eastAsia" w:ascii="宋体" w:hAnsi="宋体" w:cs="宋体"/>
          <w:szCs w:val="21"/>
          <w:highlight w:val="none"/>
        </w:rPr>
        <w:t>。</w:t>
      </w:r>
    </w:p>
    <w:p w14:paraId="1E5FFBFC">
      <w:pPr>
        <w:spacing w:line="360" w:lineRule="auto"/>
        <w:ind w:firstLine="525" w:firstLineChars="250"/>
        <w:rPr>
          <w:rFonts w:ascii="宋体" w:hAnsi="宋体" w:cs="宋体"/>
          <w:szCs w:val="21"/>
          <w:highlight w:val="none"/>
        </w:rPr>
      </w:pPr>
      <w:r>
        <w:rPr>
          <w:rFonts w:hint="eastAsia" w:ascii="宋体" w:hAnsi="宋体" w:cs="宋体"/>
          <w:szCs w:val="21"/>
          <w:highlight w:val="none"/>
        </w:rPr>
        <w:t>11.3.2 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s="宋体"/>
          <w:szCs w:val="21"/>
          <w:highlight w:val="none"/>
          <w:u w:val="single"/>
        </w:rPr>
        <w:t>（投标报价的工程量清单的组成、格式等由广州公共资源交易中心的投标文件管理软件自动生成）</w:t>
      </w:r>
    </w:p>
    <w:p w14:paraId="6352BADA">
      <w:pPr>
        <w:spacing w:line="360" w:lineRule="auto"/>
        <w:ind w:firstLine="420" w:firstLineChars="200"/>
        <w:rPr>
          <w:rFonts w:ascii="宋体" w:hAnsi="宋体" w:cs="宋体"/>
          <w:szCs w:val="21"/>
          <w:highlight w:val="none"/>
        </w:rPr>
      </w:pPr>
      <w:r>
        <w:rPr>
          <w:rFonts w:hint="eastAsia" w:ascii="宋体" w:hAnsi="宋体" w:cs="宋体"/>
          <w:szCs w:val="21"/>
          <w:highlight w:val="none"/>
        </w:rPr>
        <w:t>11.3.3 按照招标文件要求填写的《参与编制经济标投标文件人员名单》。</w:t>
      </w:r>
    </w:p>
    <w:p w14:paraId="77D721E5">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11.3.4 《对投标文件编制的承诺》。</w:t>
      </w:r>
    </w:p>
    <w:p w14:paraId="133C5331">
      <w:pPr>
        <w:pBdr>
          <w:bottom w:val="single" w:color="auto" w:sz="4" w:space="0"/>
        </w:pBdr>
        <w:spacing w:line="360" w:lineRule="auto"/>
        <w:ind w:firstLine="470" w:firstLineChars="224"/>
        <w:rPr>
          <w:rFonts w:ascii="宋体" w:hAnsi="宋体" w:cs="宋体"/>
          <w:color w:val="000000"/>
          <w:szCs w:val="21"/>
          <w:highlight w:val="none"/>
          <w:u w:val="single"/>
        </w:rPr>
      </w:pPr>
      <w:r>
        <w:rPr>
          <w:rFonts w:hint="eastAsia" w:ascii="宋体" w:hAnsi="宋体" w:cs="宋体"/>
          <w:szCs w:val="21"/>
          <w:highlight w:val="none"/>
          <w:u w:val="single"/>
        </w:rPr>
        <w:t>11.3.5</w:t>
      </w:r>
      <w:r>
        <w:rPr>
          <w:rFonts w:hint="eastAsia" w:ascii="宋体" w:hAnsi="宋体" w:cs="宋体"/>
          <w:szCs w:val="21"/>
          <w:highlight w:val="none"/>
        </w:rPr>
        <w:t xml:space="preserve"> 若投标人的投标报价低于工程成本警戒价的，投标人还须提供详细的施工组织设计、单价、措施性费用、单价分析表、主要材料价格表、投标人成本分析供评标委员会评审</w:t>
      </w:r>
      <w:r>
        <w:rPr>
          <w:rFonts w:hint="eastAsia" w:ascii="宋体" w:hAnsi="宋体" w:cs="宋体"/>
          <w:bCs/>
          <w:szCs w:val="21"/>
          <w:highlight w:val="none"/>
        </w:rPr>
        <w:t>。</w:t>
      </w:r>
    </w:p>
    <w:p w14:paraId="0C50422A">
      <w:pPr>
        <w:adjustRightInd w:val="0"/>
        <w:spacing w:line="360" w:lineRule="auto"/>
        <w:ind w:firstLine="413" w:firstLineChars="196"/>
        <w:textAlignment w:val="baseline"/>
        <w:rPr>
          <w:rFonts w:ascii="宋体" w:hAnsi="宋体" w:cs="宋体"/>
          <w:b/>
          <w:color w:val="000000"/>
          <w:szCs w:val="21"/>
          <w:highlight w:val="none"/>
        </w:rPr>
      </w:pPr>
      <w:r>
        <w:rPr>
          <w:rFonts w:hint="eastAsia" w:ascii="宋体" w:hAnsi="宋体" w:cs="宋体"/>
          <w:b/>
          <w:color w:val="000000"/>
          <w:szCs w:val="21"/>
          <w:highlight w:val="none"/>
        </w:rPr>
        <w:t>条款号：11.3.2             修改类型：修改</w:t>
      </w:r>
    </w:p>
    <w:p w14:paraId="7E07040B">
      <w:pPr>
        <w:adjustRightInd w:val="0"/>
        <w:spacing w:line="360" w:lineRule="auto"/>
        <w:ind w:firstLine="413" w:firstLineChars="196"/>
        <w:textAlignment w:val="baseline"/>
        <w:rPr>
          <w:rFonts w:ascii="宋体" w:hAnsi="宋体"/>
          <w:color w:val="000000"/>
          <w:szCs w:val="21"/>
          <w:highlight w:val="none"/>
        </w:rPr>
      </w:pPr>
      <w:r>
        <w:rPr>
          <w:rFonts w:hint="eastAsia" w:ascii="宋体" w:hAnsi="宋体" w:cs="宋体"/>
          <w:b/>
          <w:color w:val="000000"/>
          <w:szCs w:val="21"/>
          <w:highlight w:val="none"/>
        </w:rPr>
        <w:t>原文：</w:t>
      </w:r>
      <w:r>
        <w:rPr>
          <w:rFonts w:hint="eastAsia" w:ascii="宋体" w:hAnsi="宋体" w:cs="宋体"/>
          <w:color w:val="000000"/>
          <w:szCs w:val="21"/>
          <w:highlight w:val="none"/>
        </w:rPr>
        <w:t>11.3.2</w:t>
      </w:r>
      <w:r>
        <w:rPr>
          <w:rFonts w:hint="eastAsia" w:ascii="宋体" w:hAnsi="宋体"/>
          <w:color w:val="000000"/>
          <w:szCs w:val="21"/>
          <w:highlight w:val="non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14:paraId="6E332270">
      <w:pPr>
        <w:adjustRightInd w:val="0"/>
        <w:spacing w:line="360" w:lineRule="auto"/>
        <w:ind w:firstLine="411" w:firstLineChars="196"/>
        <w:textAlignment w:val="baseline"/>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1</w:t>
      </w:r>
      <w:r>
        <w:rPr>
          <w:rFonts w:hint="eastAsia" w:ascii="宋体" w:hAnsi="宋体"/>
          <w:color w:val="000000"/>
          <w:szCs w:val="21"/>
          <w:highlight w:val="none"/>
        </w:rPr>
        <w:t>）投标总价封面、扉页；</w:t>
      </w:r>
    </w:p>
    <w:p w14:paraId="3ABD1A0D">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（2）总说明；</w:t>
      </w:r>
    </w:p>
    <w:p w14:paraId="039D25D7">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（3）工程项目投标报价汇总表；</w:t>
      </w:r>
    </w:p>
    <w:p w14:paraId="3EC156AA">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（4）单项工程投标报价汇总表；</w:t>
      </w:r>
    </w:p>
    <w:p w14:paraId="1A267C05">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（5）单位工程投标报价汇总表；</w:t>
      </w:r>
    </w:p>
    <w:p w14:paraId="51709180">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（6）分部分项工程清单与计价表；</w:t>
      </w:r>
    </w:p>
    <w:p w14:paraId="668AB27D">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（7）单价措施项目清单与计价表；</w:t>
      </w:r>
    </w:p>
    <w:p w14:paraId="71EE6130">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（8）总价措施项目清单与计价表；</w:t>
      </w:r>
    </w:p>
    <w:p w14:paraId="61137156">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（9）综合单价分析表；</w:t>
      </w:r>
    </w:p>
    <w:p w14:paraId="41EFD6AB">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（10）其他项目清单与计价汇总表；</w:t>
      </w:r>
    </w:p>
    <w:p w14:paraId="290B4393">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（11）暂列金额明细表；</w:t>
      </w:r>
    </w:p>
    <w:p w14:paraId="302C35FF">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（12）材料（工程设备）暂估价明细表；</w:t>
      </w:r>
    </w:p>
    <w:p w14:paraId="2B203814">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（13）专业工程暂估价明细表；</w:t>
      </w:r>
    </w:p>
    <w:p w14:paraId="0E1412D6">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（14）计日工表；</w:t>
      </w:r>
    </w:p>
    <w:p w14:paraId="33235EBB">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（15）总承包服务计价表；</w:t>
      </w:r>
    </w:p>
    <w:p w14:paraId="6EF5EE3E">
      <w:pPr>
        <w:adjustRightInd w:val="0"/>
        <w:spacing w:line="360" w:lineRule="auto"/>
        <w:ind w:firstLine="411" w:firstLineChars="196"/>
        <w:textAlignment w:val="baseline"/>
        <w:rPr>
          <w:rFonts w:ascii="宋体" w:hAnsi="宋体" w:cs="宋体"/>
          <w:color w:val="000000"/>
          <w:szCs w:val="21"/>
          <w:highlight w:val="none"/>
        </w:rPr>
      </w:pPr>
      <w:r>
        <w:rPr>
          <w:rFonts w:hint="eastAsia" w:ascii="宋体" w:hAnsi="宋体" w:cs="宋体"/>
          <w:color w:val="000000"/>
          <w:szCs w:val="21"/>
          <w:highlight w:val="none"/>
        </w:rPr>
        <w:t>（16）规费和税金项目计价表；</w:t>
      </w:r>
    </w:p>
    <w:p w14:paraId="6BC1B735">
      <w:pPr>
        <w:adjustRightInd w:val="0"/>
        <w:spacing w:line="360" w:lineRule="auto"/>
        <w:ind w:firstLine="411" w:firstLineChars="196"/>
        <w:textAlignment w:val="baseline"/>
        <w:rPr>
          <w:rFonts w:ascii="宋体" w:hAnsi="宋体" w:cs="宋体"/>
          <w:b/>
          <w:color w:val="000000"/>
          <w:szCs w:val="21"/>
          <w:highlight w:val="none"/>
        </w:rPr>
      </w:pPr>
      <w:r>
        <w:rPr>
          <w:rFonts w:hint="eastAsia" w:ascii="宋体" w:hAnsi="宋体" w:cs="宋体"/>
          <w:color w:val="000000"/>
          <w:szCs w:val="21"/>
          <w:highlight w:val="none"/>
        </w:rPr>
        <w:t>（17）人工、主要材料和设备一览表</w:t>
      </w:r>
    </w:p>
    <w:p w14:paraId="019E61AC">
      <w:pPr>
        <w:pBdr>
          <w:bottom w:val="single" w:color="auto" w:sz="6" w:space="1"/>
        </w:pBdr>
        <w:adjustRightInd w:val="0"/>
        <w:spacing w:line="360" w:lineRule="auto"/>
        <w:ind w:firstLine="413" w:firstLineChars="196"/>
        <w:textAlignment w:val="baseline"/>
        <w:rPr>
          <w:rFonts w:ascii="宋体" w:hAnsi="宋体"/>
          <w:color w:val="000000"/>
          <w:szCs w:val="21"/>
          <w:highlight w:val="none"/>
        </w:rPr>
      </w:pPr>
      <w:r>
        <w:rPr>
          <w:rFonts w:hint="eastAsia" w:ascii="宋体" w:hAnsi="宋体" w:cs="宋体"/>
          <w:b/>
          <w:color w:val="000000"/>
          <w:szCs w:val="21"/>
          <w:highlight w:val="none"/>
        </w:rPr>
        <w:t>现文：</w:t>
      </w:r>
      <w:r>
        <w:rPr>
          <w:rFonts w:hint="eastAsia" w:ascii="宋体" w:hAnsi="宋体" w:cs="宋体"/>
          <w:color w:val="000000"/>
          <w:szCs w:val="21"/>
          <w:highlight w:val="none"/>
        </w:rPr>
        <w:t>11.3.2</w:t>
      </w:r>
      <w:r>
        <w:rPr>
          <w:rFonts w:hint="eastAsia" w:ascii="宋体" w:hAnsi="宋体"/>
          <w:color w:val="000000"/>
          <w:szCs w:val="21"/>
          <w:highlight w:val="non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14:paraId="3415A8E0">
      <w:pPr>
        <w:pBdr>
          <w:bottom w:val="single" w:color="auto" w:sz="6" w:space="1"/>
        </w:pBdr>
        <w:adjustRightInd w:val="0"/>
        <w:spacing w:line="360" w:lineRule="auto"/>
        <w:ind w:firstLine="411" w:firstLineChars="196"/>
        <w:textAlignment w:val="baseline"/>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1</w:t>
      </w:r>
      <w:r>
        <w:rPr>
          <w:rFonts w:hint="eastAsia" w:ascii="宋体" w:hAnsi="宋体"/>
          <w:color w:val="000000"/>
          <w:szCs w:val="21"/>
          <w:highlight w:val="none"/>
        </w:rPr>
        <w:t>）投标总价封面、扉页；</w:t>
      </w:r>
    </w:p>
    <w:p w14:paraId="3DFC655B">
      <w:pPr>
        <w:pBdr>
          <w:bottom w:val="single" w:color="auto" w:sz="6" w:space="1"/>
        </w:pBdr>
        <w:adjustRightInd w:val="0"/>
        <w:spacing w:line="360" w:lineRule="auto"/>
        <w:ind w:firstLine="411" w:firstLineChars="196"/>
        <w:textAlignment w:val="baseline"/>
        <w:rPr>
          <w:rFonts w:ascii="宋体" w:hAnsi="宋体" w:cs="宋体"/>
          <w:color w:val="000000"/>
          <w:szCs w:val="21"/>
          <w:highlight w:val="none"/>
        </w:rPr>
      </w:pPr>
      <w:r>
        <w:rPr>
          <w:rFonts w:hint="eastAsia" w:ascii="宋体" w:hAnsi="宋体" w:cs="宋体"/>
          <w:color w:val="000000"/>
          <w:szCs w:val="21"/>
          <w:highlight w:val="none"/>
        </w:rPr>
        <w:t>（2）总说明；</w:t>
      </w:r>
    </w:p>
    <w:p w14:paraId="16C91A15">
      <w:pPr>
        <w:pBdr>
          <w:bottom w:val="single" w:color="auto" w:sz="6" w:space="1"/>
        </w:pBdr>
        <w:adjustRightInd w:val="0"/>
        <w:spacing w:line="360" w:lineRule="auto"/>
        <w:ind w:firstLine="411" w:firstLineChars="196"/>
        <w:textAlignment w:val="baseline"/>
        <w:rPr>
          <w:rFonts w:ascii="宋体" w:hAnsi="宋体" w:cs="宋体"/>
          <w:b/>
          <w:color w:val="000000"/>
          <w:szCs w:val="21"/>
          <w:highlight w:val="none"/>
        </w:rPr>
      </w:pPr>
      <w:r>
        <w:rPr>
          <w:rFonts w:hint="eastAsia" w:ascii="宋体" w:hAnsi="宋体" w:cs="宋体"/>
          <w:color w:val="000000"/>
          <w:szCs w:val="21"/>
          <w:highlight w:val="none"/>
          <w:u w:val="single"/>
        </w:rPr>
        <w:t>（3）工程量清单报价表及综合单价分析表（相关表格的内容及格式要求以招标人发出的最新版电子招标文件中的相应内容及格式为准）；</w:t>
      </w:r>
    </w:p>
    <w:p w14:paraId="3BFA5479">
      <w:pPr>
        <w:pBdr>
          <w:bottom w:val="single" w:color="auto" w:sz="6" w:space="1"/>
        </w:pBdr>
        <w:adjustRightInd w:val="0"/>
        <w:spacing w:line="360" w:lineRule="auto"/>
        <w:ind w:firstLine="411" w:firstLineChars="196"/>
        <w:textAlignment w:val="baseline"/>
        <w:rPr>
          <w:rFonts w:ascii="宋体" w:hAnsi="宋体" w:cs="宋体"/>
          <w:color w:val="000000"/>
          <w:szCs w:val="21"/>
          <w:highlight w:val="none"/>
        </w:rPr>
      </w:pPr>
      <w:r>
        <w:rPr>
          <w:rFonts w:hint="eastAsia" w:ascii="宋体" w:hAnsi="宋体" w:cs="宋体"/>
          <w:color w:val="000000"/>
          <w:szCs w:val="21"/>
          <w:highlight w:val="none"/>
          <w:u w:val="single"/>
        </w:rPr>
        <w:t>（4）其它辅助说明资料（包括但不限于招标文件要求填写的《</w:t>
      </w:r>
      <w:r>
        <w:rPr>
          <w:rFonts w:hint="eastAsia" w:ascii="宋体" w:hAnsi="宋体"/>
          <w:color w:val="000000"/>
          <w:szCs w:val="21"/>
          <w:highlight w:val="none"/>
          <w:u w:val="single"/>
        </w:rPr>
        <w:t>对投标文件编制的承诺</w:t>
      </w:r>
      <w:r>
        <w:rPr>
          <w:rFonts w:hint="eastAsia" w:ascii="宋体" w:hAnsi="宋体" w:cs="宋体"/>
          <w:color w:val="000000"/>
          <w:szCs w:val="21"/>
          <w:highlight w:val="none"/>
          <w:u w:val="single"/>
        </w:rPr>
        <w:t>》，格式见招标文件第四章）</w:t>
      </w:r>
      <w:r>
        <w:rPr>
          <w:rFonts w:hint="eastAsia" w:ascii="宋体" w:hAnsi="宋体" w:cs="宋体"/>
          <w:color w:val="000000"/>
          <w:szCs w:val="21"/>
          <w:highlight w:val="none"/>
        </w:rPr>
        <w:t>。</w:t>
      </w:r>
    </w:p>
    <w:p w14:paraId="0D876C51">
      <w:pPr>
        <w:spacing w:line="480" w:lineRule="auto"/>
        <w:ind w:firstLine="472" w:firstLineChars="224"/>
        <w:rPr>
          <w:rFonts w:ascii="宋体" w:hAnsi="宋体" w:cs="宋体"/>
          <w:b/>
          <w:szCs w:val="21"/>
          <w:highlight w:val="none"/>
        </w:rPr>
      </w:pPr>
      <w:r>
        <w:rPr>
          <w:rFonts w:hint="eastAsia" w:ascii="宋体" w:hAnsi="宋体" w:cs="宋体"/>
          <w:b/>
          <w:szCs w:val="21"/>
          <w:highlight w:val="none"/>
        </w:rPr>
        <w:t>条款号：</w:t>
      </w:r>
      <w:r>
        <w:rPr>
          <w:rFonts w:hint="eastAsia" w:ascii="宋体" w:hAnsi="宋体" w:cs="宋体"/>
          <w:kern w:val="0"/>
          <w:szCs w:val="21"/>
          <w:highlight w:val="none"/>
        </w:rPr>
        <w:t xml:space="preserve">12.2、12.3  </w:t>
      </w:r>
      <w:r>
        <w:rPr>
          <w:rFonts w:hint="eastAsia" w:ascii="宋体" w:hAnsi="宋体" w:cs="宋体"/>
          <w:b/>
          <w:szCs w:val="21"/>
          <w:highlight w:val="none"/>
        </w:rPr>
        <w:t xml:space="preserve">        修改类型：修改</w:t>
      </w:r>
    </w:p>
    <w:p w14:paraId="1F532869">
      <w:pPr>
        <w:pStyle w:val="49"/>
        <w:spacing w:after="0" w:line="360" w:lineRule="auto"/>
        <w:ind w:firstLine="402" w:firstLineChars="200"/>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12.2投标文件全部采用电子文档，投标文件所附证书证件均为原件扫描件，并采用单位数字证书，按招标文件要求在相应位置加盖电子印章。</w:t>
      </w:r>
      <w:r>
        <w:rPr>
          <w:rFonts w:hint="eastAsia" w:ascii="宋体" w:hAnsi="宋体" w:cs="宋体"/>
          <w:b/>
          <w:bCs/>
          <w:szCs w:val="21"/>
          <w:highlight w:val="none"/>
        </w:rPr>
        <w:t>投标文件中需个人签字或盖章的，应加盖个人电子印章或在线下完成后扫描上传。</w:t>
      </w:r>
      <w:r>
        <w:rPr>
          <w:rFonts w:hint="eastAsia" w:ascii="宋体" w:hAnsi="宋体" w:cs="宋体"/>
          <w:szCs w:val="21"/>
          <w:highlight w:val="none"/>
        </w:rPr>
        <w:t>按照交易平台关于全流程电子化项目的相关指南进行操作。详见：。</w:t>
      </w:r>
    </w:p>
    <w:p w14:paraId="5441F479">
      <w:pPr>
        <w:spacing w:line="360" w:lineRule="auto"/>
        <w:ind w:firstLine="420" w:firstLineChars="200"/>
        <w:rPr>
          <w:rFonts w:ascii="宋体" w:hAnsi="宋体" w:cs="宋体"/>
          <w:bCs/>
          <w:szCs w:val="21"/>
          <w:highlight w:val="none"/>
          <w:u w:val="single"/>
        </w:rPr>
      </w:pPr>
      <w:r>
        <w:rPr>
          <w:rFonts w:hint="eastAsia" w:ascii="宋体" w:hAnsi="宋体" w:cs="宋体"/>
          <w:szCs w:val="21"/>
          <w:highlight w:val="none"/>
        </w:rPr>
        <w:t xml:space="preserve">12.3 </w:t>
      </w:r>
      <w:r>
        <w:rPr>
          <w:rFonts w:hint="eastAsia" w:ascii="宋体" w:hAnsi="宋体" w:cs="宋体"/>
          <w:bCs/>
          <w:szCs w:val="21"/>
          <w:highlight w:val="none"/>
        </w:rPr>
        <w:t>投标文件应按</w:t>
      </w:r>
      <w:r>
        <w:rPr>
          <w:rFonts w:hint="eastAsia" w:ascii="宋体" w:hAnsi="宋体" w:cs="宋体"/>
          <w:szCs w:val="21"/>
          <w:highlight w:val="none"/>
        </w:rPr>
        <w:t>照交易平台关于全流程电子化项目的相关指南进行编制，详见：。</w:t>
      </w:r>
    </w:p>
    <w:p w14:paraId="014CA5DF">
      <w:pPr>
        <w:pStyle w:val="49"/>
        <w:spacing w:after="0" w:line="360" w:lineRule="auto"/>
        <w:ind w:firstLine="402" w:firstLineChars="200"/>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12.2投标文件全部采用电子文档，投标文件所附证书证件均为原件扫描件，并采用单位数字证书，按招标文件要求在相应位置加盖电子印章。</w:t>
      </w:r>
      <w:r>
        <w:rPr>
          <w:rFonts w:hint="eastAsia" w:ascii="宋体" w:hAnsi="宋体" w:cs="宋体"/>
          <w:b/>
          <w:bCs/>
          <w:szCs w:val="21"/>
          <w:highlight w:val="none"/>
        </w:rPr>
        <w:t>投标文件中需个人签字或盖章的，应加盖个人电子印章或在线下完成后扫描上传。</w:t>
      </w:r>
      <w:r>
        <w:rPr>
          <w:rFonts w:hint="eastAsia" w:ascii="宋体" w:hAnsi="宋体" w:cs="宋体"/>
          <w:szCs w:val="21"/>
          <w:highlight w:val="none"/>
        </w:rPr>
        <w:t>按照交易平台关于全流程电子化项目的相关指南进行操作。详见：</w:t>
      </w:r>
      <w:r>
        <w:rPr>
          <w:rFonts w:hint="eastAsia" w:ascii="宋体" w:hAnsi="宋体" w:cs="宋体"/>
          <w:szCs w:val="21"/>
          <w:highlight w:val="none"/>
          <w:u w:val="single"/>
        </w:rPr>
        <w:t>广州公共资源交易中心网站</w:t>
      </w:r>
      <w:r>
        <w:rPr>
          <w:rFonts w:hint="eastAsia" w:ascii="宋体" w:hAnsi="宋体" w:cs="宋体"/>
          <w:szCs w:val="21"/>
          <w:highlight w:val="none"/>
        </w:rPr>
        <w:t>。</w:t>
      </w:r>
    </w:p>
    <w:p w14:paraId="7483FC4E">
      <w:pPr>
        <w:pBdr>
          <w:bottom w:val="single" w:color="auto" w:sz="6" w:space="1"/>
        </w:pBd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12.3 </w:t>
      </w:r>
      <w:r>
        <w:rPr>
          <w:rFonts w:hint="eastAsia" w:ascii="宋体" w:hAnsi="宋体" w:cs="宋体"/>
          <w:bCs/>
          <w:szCs w:val="21"/>
          <w:highlight w:val="none"/>
        </w:rPr>
        <w:t>投标文件应按</w:t>
      </w:r>
      <w:r>
        <w:rPr>
          <w:rFonts w:hint="eastAsia" w:ascii="宋体" w:hAnsi="宋体" w:cs="宋体"/>
          <w:szCs w:val="21"/>
          <w:highlight w:val="none"/>
        </w:rPr>
        <w:t>照交易平台关于全流程电子化项目的相关指南进行编制，详见：</w:t>
      </w:r>
      <w:r>
        <w:rPr>
          <w:rFonts w:hint="eastAsia" w:ascii="宋体" w:hAnsi="宋体" w:cs="宋体"/>
          <w:szCs w:val="21"/>
          <w:highlight w:val="none"/>
          <w:u w:val="single"/>
        </w:rPr>
        <w:t>广州公共资源交易中心网站</w:t>
      </w:r>
      <w:r>
        <w:rPr>
          <w:rFonts w:hint="eastAsia" w:ascii="宋体" w:hAnsi="宋体" w:cs="宋体"/>
          <w:szCs w:val="21"/>
          <w:highlight w:val="none"/>
        </w:rPr>
        <w:t>。</w:t>
      </w:r>
    </w:p>
    <w:p w14:paraId="06732132">
      <w:pPr>
        <w:spacing w:line="360" w:lineRule="auto"/>
        <w:ind w:firstLine="472" w:firstLineChars="224"/>
        <w:rPr>
          <w:rFonts w:ascii="宋体" w:hAnsi="宋体" w:cs="宋体"/>
          <w:b/>
          <w:szCs w:val="21"/>
          <w:highlight w:val="none"/>
        </w:rPr>
      </w:pPr>
      <w:r>
        <w:rPr>
          <w:rFonts w:hint="eastAsia" w:ascii="宋体" w:hAnsi="宋体" w:cs="宋体"/>
          <w:b/>
          <w:szCs w:val="21"/>
          <w:highlight w:val="none"/>
        </w:rPr>
        <w:t>条款号：13.1              修改类型：修改</w:t>
      </w:r>
    </w:p>
    <w:p w14:paraId="09CD268D">
      <w:pPr>
        <w:pBdr>
          <w:bottom w:val="single" w:color="auto" w:sz="6" w:space="1"/>
        </w:pBdr>
        <w:spacing w:line="360" w:lineRule="auto"/>
        <w:ind w:firstLine="527" w:firstLineChars="250"/>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13.1 本工程的投标报价采用投标须知前附表第12项所规定的方式。投标报价（含单价及总价）精确到“分”。</w:t>
      </w:r>
    </w:p>
    <w:p w14:paraId="1E4CA938">
      <w:pPr>
        <w:pBdr>
          <w:bottom w:val="single" w:color="auto" w:sz="6" w:space="1"/>
        </w:pBdr>
        <w:spacing w:line="360" w:lineRule="auto"/>
        <w:ind w:firstLine="527" w:firstLineChars="250"/>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本工程的投标报价采用投标须知前附表第12项所规定的方式。</w:t>
      </w:r>
      <w:r>
        <w:rPr>
          <w:rFonts w:hint="eastAsia" w:ascii="宋体" w:hAnsi="宋体" w:cs="宋体"/>
          <w:szCs w:val="21"/>
          <w:highlight w:val="none"/>
          <w:u w:val="single"/>
        </w:rPr>
        <w:t>投标文件中的大写金额和小写金额不一致的，以大写金额为准，</w:t>
      </w:r>
      <w:r>
        <w:rPr>
          <w:rFonts w:hint="eastAsia" w:ascii="宋体" w:hAnsi="宋体" w:cs="宋体"/>
          <w:szCs w:val="21"/>
          <w:highlight w:val="none"/>
        </w:rPr>
        <w:t>投标报价（含单价及总价）精确到“分”。</w:t>
      </w:r>
    </w:p>
    <w:p w14:paraId="7E049372">
      <w:pPr>
        <w:spacing w:line="360" w:lineRule="auto"/>
        <w:ind w:firstLine="472" w:firstLineChars="224"/>
        <w:rPr>
          <w:rFonts w:ascii="宋体" w:hAnsi="宋体" w:cs="宋体"/>
          <w:b/>
          <w:szCs w:val="21"/>
          <w:highlight w:val="none"/>
        </w:rPr>
      </w:pPr>
      <w:r>
        <w:rPr>
          <w:rFonts w:hint="eastAsia" w:ascii="宋体" w:hAnsi="宋体" w:cs="宋体"/>
          <w:b/>
          <w:szCs w:val="21"/>
          <w:highlight w:val="none"/>
        </w:rPr>
        <w:t>条款号：13.4              修改类型：修改</w:t>
      </w:r>
    </w:p>
    <w:p w14:paraId="10996EE8">
      <w:pPr>
        <w:pBdr>
          <w:bottom w:val="single" w:color="auto" w:sz="6" w:space="1"/>
        </w:pBdr>
        <w:spacing w:line="360" w:lineRule="auto"/>
        <w:ind w:firstLine="527" w:firstLineChars="250"/>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694082BC">
      <w:pPr>
        <w:pBdr>
          <w:bottom w:val="single" w:color="auto" w:sz="6" w:space="1"/>
        </w:pBdr>
        <w:spacing w:line="360" w:lineRule="auto"/>
        <w:ind w:firstLine="527" w:firstLineChars="250"/>
        <w:rPr>
          <w:rFonts w:ascii="宋体" w:hAnsi="宋体" w:cs="宋体"/>
          <w:szCs w:val="21"/>
          <w:highlight w:val="none"/>
          <w:u w:val="single"/>
        </w:rPr>
      </w:pPr>
      <w:r>
        <w:rPr>
          <w:rFonts w:hint="eastAsia" w:ascii="宋体" w:hAnsi="宋体" w:cs="宋体"/>
          <w:b/>
          <w:szCs w:val="21"/>
          <w:highlight w:val="none"/>
        </w:rPr>
        <w:t>现文：</w:t>
      </w:r>
      <w:r>
        <w:rPr>
          <w:rFonts w:hint="eastAsia" w:ascii="宋体" w:hAnsi="宋体" w:cs="宋体"/>
          <w:szCs w:val="21"/>
          <w:highlight w:val="none"/>
        </w:rPr>
        <w:t>13.4</w:t>
      </w:r>
      <w:r>
        <w:rPr>
          <w:rFonts w:hint="eastAsia" w:ascii="宋体" w:hAnsi="宋体" w:cs="宋体"/>
          <w:szCs w:val="21"/>
          <w:highlight w:val="none"/>
          <w:u w:val="single"/>
        </w:rPr>
        <w:t>投标人一旦中标，投标人对招标人提供的工程量清单中列出的工程项目所报出的综合单价和措施项目费（措施项目费必须单列，没有单独列出的，视为已经包含在投标报价中），在工程结算时不得变更，即在施工过程中即使工程量清单项目的工程量发生变更，中标投标文件列出的综合单价和措施项目费也不发生改变。</w:t>
      </w:r>
    </w:p>
    <w:p w14:paraId="6AE458EF">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条款号：13.5  13.5.1  13.5.2  13.5.3  13.5.4          修改类型：修改</w:t>
      </w:r>
    </w:p>
    <w:p w14:paraId="5534C594">
      <w:pPr>
        <w:pStyle w:val="49"/>
        <w:pBdr>
          <w:bottom w:val="single" w:color="auto" w:sz="6" w:space="1"/>
        </w:pBdr>
        <w:spacing w:after="0" w:line="360" w:lineRule="auto"/>
        <w:ind w:firstLine="402" w:firstLineChars="200"/>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13.5工程项目实施期间……，中标后双方协商约定。</w:t>
      </w:r>
    </w:p>
    <w:p w14:paraId="648CA93D">
      <w:pPr>
        <w:pBdr>
          <w:bottom w:val="single" w:color="auto" w:sz="6" w:space="1"/>
        </w:pBdr>
        <w:spacing w:line="360" w:lineRule="auto"/>
        <w:ind w:firstLine="422" w:firstLineChars="200"/>
        <w:rPr>
          <w:rFonts w:ascii="宋体" w:hAnsi="宋体" w:cs="宋体"/>
          <w:szCs w:val="21"/>
          <w:highlight w:val="none"/>
          <w:u w:val="single"/>
        </w:rPr>
      </w:pPr>
      <w:r>
        <w:rPr>
          <w:rFonts w:hint="eastAsia" w:ascii="宋体" w:hAnsi="宋体" w:cs="宋体"/>
          <w:b/>
          <w:szCs w:val="21"/>
          <w:highlight w:val="none"/>
        </w:rPr>
        <w:t>现文：</w:t>
      </w:r>
      <w:r>
        <w:rPr>
          <w:rFonts w:hint="eastAsia" w:ascii="宋体" w:hAnsi="宋体" w:cs="宋体"/>
          <w:szCs w:val="21"/>
          <w:highlight w:val="none"/>
        </w:rPr>
        <w:t>13.5</w:t>
      </w:r>
      <w:r>
        <w:rPr>
          <w:rFonts w:hint="eastAsia" w:ascii="宋体" w:hAnsi="宋体" w:cs="宋体"/>
          <w:szCs w:val="21"/>
          <w:highlight w:val="none"/>
          <w:u w:val="single"/>
        </w:rPr>
        <w:t>变更结算方式按招标文件及施工合同相关规定执行。</w:t>
      </w:r>
    </w:p>
    <w:p w14:paraId="03456746">
      <w:pPr>
        <w:pStyle w:val="49"/>
        <w:spacing w:after="0" w:line="360" w:lineRule="auto"/>
        <w:ind w:firstLine="422" w:firstLineChars="200"/>
        <w:rPr>
          <w:rFonts w:ascii="宋体" w:hAnsi="宋体" w:cs="宋体"/>
          <w:b/>
          <w:sz w:val="21"/>
          <w:szCs w:val="21"/>
          <w:highlight w:val="none"/>
        </w:rPr>
      </w:pPr>
      <w:r>
        <w:rPr>
          <w:rFonts w:hint="eastAsia" w:cs="宋体"/>
          <w:b/>
          <w:sz w:val="21"/>
          <w:szCs w:val="22"/>
          <w:highlight w:val="none"/>
        </w:rPr>
        <w:t>条款号：13.8                         修改类型：修改</w:t>
      </w:r>
    </w:p>
    <w:p w14:paraId="1897A14E">
      <w:pPr>
        <w:pStyle w:val="49"/>
        <w:spacing w:after="0" w:line="360" w:lineRule="auto"/>
        <w:ind w:firstLine="422" w:firstLineChars="200"/>
        <w:rPr>
          <w:rFonts w:ascii="宋体" w:hAnsi="宋体" w:cs="宋体"/>
          <w:sz w:val="21"/>
          <w:szCs w:val="21"/>
          <w:highlight w:val="none"/>
        </w:rPr>
      </w:pPr>
      <w:r>
        <w:rPr>
          <w:rFonts w:hint="eastAsia" w:ascii="宋体" w:hAnsi="宋体" w:cs="宋体"/>
          <w:b/>
          <w:sz w:val="21"/>
          <w:szCs w:val="21"/>
          <w:highlight w:val="none"/>
        </w:rPr>
        <w:t>原文：</w:t>
      </w:r>
      <w:r>
        <w:rPr>
          <w:rFonts w:hint="eastAsia" w:ascii="宋体" w:hAnsi="宋体" w:cs="宋体"/>
          <w:sz w:val="21"/>
          <w:szCs w:val="21"/>
          <w:highlight w:val="none"/>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14:paraId="0C13DBA6">
      <w:pPr>
        <w:spacing w:line="360" w:lineRule="auto"/>
        <w:ind w:firstLine="422" w:firstLineChars="200"/>
        <w:rPr>
          <w:rFonts w:cs="宋体"/>
          <w:b/>
          <w:szCs w:val="21"/>
          <w:highlight w:val="none"/>
        </w:rPr>
      </w:pPr>
      <w:r>
        <w:rPr>
          <w:rFonts w:hint="eastAsia" w:cs="宋体"/>
          <w:b/>
          <w:szCs w:val="21"/>
          <w:highlight w:val="none"/>
        </w:rPr>
        <w:t>现文：</w:t>
      </w:r>
      <w:r>
        <w:rPr>
          <w:rFonts w:hint="eastAsia" w:cs="宋体"/>
          <w:szCs w:val="21"/>
          <w:highlight w:val="none"/>
        </w:rPr>
        <w:t>13.8</w:t>
      </w:r>
      <w:r>
        <w:rPr>
          <w:rFonts w:cs="宋体"/>
          <w:szCs w:val="21"/>
          <w:highlight w:val="none"/>
          <w:u w:val="single"/>
        </w:rPr>
        <w:t>本工程采用的主要材料推荐选用</w:t>
      </w:r>
      <w:r>
        <w:rPr>
          <w:rFonts w:hint="eastAsia" w:cs="宋体"/>
          <w:b/>
          <w:szCs w:val="21"/>
          <w:highlight w:val="none"/>
          <w:u w:val="single"/>
        </w:rPr>
        <w:t>《主要材料推荐品牌表（智能化）》</w:t>
      </w:r>
      <w:r>
        <w:rPr>
          <w:rFonts w:cs="宋体"/>
          <w:szCs w:val="21"/>
          <w:highlight w:val="none"/>
          <w:u w:val="single"/>
        </w:rPr>
        <w:t>（</w:t>
      </w:r>
      <w:r>
        <w:rPr>
          <w:rFonts w:hint="eastAsia" w:cs="宋体"/>
          <w:szCs w:val="21"/>
          <w:highlight w:val="none"/>
          <w:u w:val="single"/>
        </w:rPr>
        <w:t>详见招标文件</w:t>
      </w:r>
      <w:r>
        <w:rPr>
          <w:rFonts w:cs="宋体"/>
          <w:szCs w:val="21"/>
          <w:highlight w:val="none"/>
          <w:u w:val="single"/>
        </w:rPr>
        <w:t>）中品牌、厂家或选用相当于该档次和质量（或以上）的产品。投标期间，投标人不需在投标文件中明确所选用主要材料、设备的品牌、厂家以及质量等级。实施期间，所有材料品牌选择均须报发包人、监理单位确认，所有材料及成品质量必须满足设计与规范要求，且经检验合格后方可使用。</w:t>
      </w:r>
    </w:p>
    <w:p w14:paraId="70DE1D28">
      <w:pPr>
        <w:pStyle w:val="49"/>
        <w:pBdr>
          <w:bottom w:val="single" w:color="auto" w:sz="6" w:space="1"/>
        </w:pBdr>
        <w:tabs>
          <w:tab w:val="left" w:pos="7231"/>
        </w:tabs>
        <w:spacing w:after="0" w:line="360" w:lineRule="auto"/>
        <w:ind w:firstLine="0"/>
        <w:rPr>
          <w:rFonts w:ascii="宋体" w:hAnsi="宋体" w:cs="宋体"/>
          <w:sz w:val="21"/>
          <w:szCs w:val="21"/>
          <w:highlight w:val="none"/>
        </w:rPr>
      </w:pPr>
    </w:p>
    <w:p w14:paraId="14118E08">
      <w:pPr>
        <w:spacing w:line="480" w:lineRule="auto"/>
        <w:ind w:firstLine="472" w:firstLineChars="224"/>
        <w:rPr>
          <w:rFonts w:ascii="宋体" w:hAnsi="宋体" w:cs="宋体"/>
          <w:b/>
          <w:szCs w:val="21"/>
          <w:highlight w:val="none"/>
        </w:rPr>
      </w:pPr>
      <w:r>
        <w:rPr>
          <w:rFonts w:hint="eastAsia" w:ascii="宋体" w:hAnsi="宋体" w:cs="宋体"/>
          <w:b/>
          <w:szCs w:val="21"/>
          <w:highlight w:val="none"/>
        </w:rPr>
        <w:t>条款号：</w:t>
      </w:r>
      <w:r>
        <w:rPr>
          <w:rFonts w:hint="eastAsia" w:ascii="宋体" w:hAnsi="宋体" w:cs="宋体"/>
          <w:bCs/>
          <w:szCs w:val="21"/>
          <w:highlight w:val="none"/>
        </w:rPr>
        <w:t xml:space="preserve">13.9 </w:t>
      </w:r>
      <w:r>
        <w:rPr>
          <w:rFonts w:hint="eastAsia" w:ascii="宋体" w:hAnsi="宋体" w:cs="宋体"/>
          <w:b/>
          <w:szCs w:val="21"/>
          <w:highlight w:val="none"/>
        </w:rPr>
        <w:t xml:space="preserve">            修改类型：删除</w:t>
      </w:r>
    </w:p>
    <w:p w14:paraId="00827E2F">
      <w:pPr>
        <w:pBdr>
          <w:bottom w:val="single" w:color="auto" w:sz="6" w:space="1"/>
        </w:pBdr>
        <w:spacing w:line="360" w:lineRule="auto"/>
        <w:ind w:firstLine="472" w:firstLineChars="224"/>
        <w:rPr>
          <w:color w:val="000000"/>
          <w:szCs w:val="21"/>
          <w:highlight w:val="none"/>
        </w:rPr>
      </w:pPr>
      <w:r>
        <w:rPr>
          <w:rFonts w:hint="eastAsia" w:ascii="宋体" w:hAnsi="宋体" w:cs="宋体"/>
          <w:b/>
          <w:szCs w:val="21"/>
          <w:highlight w:val="none"/>
        </w:rPr>
        <w:t>原文：</w:t>
      </w:r>
      <w:r>
        <w:rPr>
          <w:rFonts w:hint="eastAsia" w:ascii="宋体" w:hAnsi="宋体" w:cs="宋体"/>
          <w:bCs/>
          <w:szCs w:val="21"/>
          <w:highlight w:val="none"/>
        </w:rPr>
        <w:t>13.9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292F8A2C">
      <w:pPr>
        <w:spacing w:line="360" w:lineRule="auto"/>
        <w:ind w:firstLine="316" w:firstLineChars="150"/>
        <w:rPr>
          <w:szCs w:val="21"/>
          <w:highlight w:val="none"/>
        </w:rPr>
      </w:pPr>
      <w:r>
        <w:rPr>
          <w:b/>
          <w:szCs w:val="21"/>
          <w:highlight w:val="none"/>
        </w:rPr>
        <w:t>条款号：16.1            修改类型：修改</w:t>
      </w:r>
    </w:p>
    <w:p w14:paraId="1FD47D33">
      <w:pPr>
        <w:pBdr>
          <w:bottom w:val="single" w:color="auto" w:sz="6" w:space="1"/>
        </w:pBdr>
        <w:spacing w:line="360" w:lineRule="auto"/>
        <w:ind w:firstLine="316" w:firstLineChars="150"/>
        <w:rPr>
          <w:rFonts w:cs="宋体"/>
          <w:szCs w:val="21"/>
          <w:highlight w:val="none"/>
        </w:rPr>
      </w:pPr>
      <w:r>
        <w:rPr>
          <w:rFonts w:hint="eastAsia"/>
          <w:b/>
          <w:szCs w:val="21"/>
          <w:highlight w:val="none"/>
        </w:rPr>
        <w:t>原文：</w:t>
      </w:r>
      <w:r>
        <w:rPr>
          <w:rFonts w:hint="eastAsia" w:cs="宋体"/>
          <w:szCs w:val="21"/>
          <w:highlight w:val="none"/>
        </w:rPr>
        <w:t>16.1投标人应按投标须知前附表第14项所述金额和时间递交投标保证金。招标人应当允许投标人自主选择现金、银行保函、保证保险、专业工程担保公司担保等方式缴纳投标保证金。</w:t>
      </w:r>
    </w:p>
    <w:p w14:paraId="35D3C9E2">
      <w:pPr>
        <w:pBdr>
          <w:bottom w:val="single" w:color="auto" w:sz="6" w:space="1"/>
        </w:pBdr>
        <w:spacing w:line="360" w:lineRule="auto"/>
        <w:ind w:firstLine="316" w:firstLineChars="150"/>
        <w:rPr>
          <w:rFonts w:cs="宋体"/>
          <w:szCs w:val="21"/>
          <w:highlight w:val="none"/>
          <w:u w:val="single"/>
        </w:rPr>
      </w:pPr>
      <w:r>
        <w:rPr>
          <w:rFonts w:hint="eastAsia" w:cs="宋体"/>
          <w:b/>
          <w:szCs w:val="21"/>
          <w:highlight w:val="none"/>
        </w:rPr>
        <w:t>现文：</w:t>
      </w:r>
      <w:r>
        <w:rPr>
          <w:rFonts w:cs="宋体"/>
          <w:szCs w:val="21"/>
          <w:highlight w:val="none"/>
        </w:rPr>
        <w:t>16.1</w:t>
      </w:r>
      <w:r>
        <w:rPr>
          <w:rFonts w:hint="eastAsia"/>
          <w:szCs w:val="21"/>
          <w:highlight w:val="none"/>
          <w:u w:val="single"/>
        </w:rPr>
        <w:t>投标人应按投标须知前附表第14项所述，向广州交易集团有限公司（广州公共资源交易中心）递交投标保证金或开具投标保函、投标保证保险，其他有关递交事宜，请自行咨询广州交易集团有限公司（广州公共资源交易中心）</w:t>
      </w:r>
      <w:r>
        <w:rPr>
          <w:rFonts w:cs="宋体"/>
          <w:szCs w:val="21"/>
          <w:highlight w:val="none"/>
        </w:rPr>
        <w:t>。</w:t>
      </w:r>
    </w:p>
    <w:p w14:paraId="18F4B5B6">
      <w:pPr>
        <w:spacing w:line="360" w:lineRule="auto"/>
        <w:ind w:firstLine="316" w:firstLineChars="150"/>
        <w:rPr>
          <w:b/>
          <w:szCs w:val="21"/>
          <w:highlight w:val="none"/>
        </w:rPr>
      </w:pPr>
      <w:r>
        <w:rPr>
          <w:rFonts w:hint="eastAsia"/>
          <w:b/>
          <w:szCs w:val="21"/>
          <w:highlight w:val="none"/>
        </w:rPr>
        <w:t>条款号：16.4            修改类型：修改</w:t>
      </w:r>
    </w:p>
    <w:p w14:paraId="7EEBD7BD">
      <w:pPr>
        <w:spacing w:line="360" w:lineRule="auto"/>
        <w:ind w:firstLine="316" w:firstLineChars="150"/>
        <w:rPr>
          <w:b/>
          <w:szCs w:val="21"/>
          <w:highlight w:val="none"/>
        </w:rPr>
      </w:pPr>
      <w:r>
        <w:rPr>
          <w:rFonts w:hint="eastAsia"/>
          <w:b/>
          <w:szCs w:val="21"/>
          <w:highlight w:val="none"/>
        </w:rPr>
        <w:t>原文：</w:t>
      </w:r>
      <w:r>
        <w:rPr>
          <w:rFonts w:hint="eastAsia" w:ascii="宋体" w:hAnsi="宋体" w:cs="宋体"/>
          <w:bCs/>
          <w:kern w:val="0"/>
          <w:szCs w:val="21"/>
          <w:highlight w:val="none"/>
        </w:rPr>
        <w:t>16.4如有下列情况之一的，招标人可以不予退还投标保证金（是否退还投标保证金由招标人在招标文件中规定）：</w:t>
      </w:r>
    </w:p>
    <w:p w14:paraId="38C05895">
      <w:pPr>
        <w:pStyle w:val="18"/>
        <w:rPr>
          <w:rFonts w:ascii="宋体" w:hAnsi="宋体" w:cs="宋体"/>
          <w:bCs/>
          <w:sz w:val="21"/>
          <w:szCs w:val="21"/>
          <w:highlight w:val="none"/>
        </w:rPr>
      </w:pPr>
      <w:r>
        <w:rPr>
          <w:rFonts w:hint="eastAsia" w:ascii="宋体" w:hAnsi="宋体" w:cs="宋体"/>
          <w:bCs/>
          <w:sz w:val="21"/>
          <w:szCs w:val="21"/>
          <w:highlight w:val="none"/>
        </w:rPr>
        <w:t xml:space="preserve">    16.4.1因投标人原因造成投标文件未解密的；</w:t>
      </w:r>
    </w:p>
    <w:p w14:paraId="46132DC3">
      <w:pPr>
        <w:pStyle w:val="18"/>
        <w:ind w:firstLine="420" w:firstLineChars="200"/>
        <w:rPr>
          <w:rFonts w:ascii="宋体" w:hAnsi="宋体" w:cs="宋体"/>
          <w:bCs/>
          <w:sz w:val="21"/>
          <w:szCs w:val="21"/>
          <w:highlight w:val="none"/>
        </w:rPr>
      </w:pPr>
      <w:r>
        <w:rPr>
          <w:rFonts w:hint="eastAsia" w:ascii="宋体" w:hAnsi="宋体" w:cs="宋体"/>
          <w:bCs/>
          <w:sz w:val="21"/>
          <w:szCs w:val="21"/>
          <w:highlight w:val="none"/>
        </w:rPr>
        <w:t>16.4.2投标人在投标有效期内撤销投标文件；</w:t>
      </w:r>
    </w:p>
    <w:p w14:paraId="68CF5F50">
      <w:pPr>
        <w:pStyle w:val="18"/>
        <w:ind w:firstLine="420" w:firstLineChars="200"/>
        <w:rPr>
          <w:rFonts w:ascii="宋体" w:hAnsi="宋体" w:cs="宋体"/>
          <w:bCs/>
          <w:sz w:val="21"/>
          <w:szCs w:val="21"/>
          <w:highlight w:val="none"/>
        </w:rPr>
      </w:pPr>
      <w:r>
        <w:rPr>
          <w:rFonts w:hint="eastAsia" w:ascii="宋体" w:hAnsi="宋体" w:cs="宋体"/>
          <w:bCs/>
          <w:sz w:val="21"/>
          <w:szCs w:val="21"/>
          <w:highlight w:val="none"/>
        </w:rPr>
        <w:t>16.4.3中标人未能在规定期限内按要求提交履约担保；</w:t>
      </w:r>
    </w:p>
    <w:p w14:paraId="76887938">
      <w:pPr>
        <w:pStyle w:val="18"/>
        <w:ind w:firstLine="420" w:firstLineChars="200"/>
        <w:rPr>
          <w:rFonts w:ascii="宋体" w:hAnsi="宋体" w:cs="宋体"/>
          <w:bCs/>
          <w:sz w:val="21"/>
          <w:szCs w:val="21"/>
          <w:highlight w:val="none"/>
        </w:rPr>
      </w:pPr>
      <w:r>
        <w:rPr>
          <w:rFonts w:hint="eastAsia" w:ascii="宋体" w:hAnsi="宋体" w:cs="宋体"/>
          <w:bCs/>
          <w:sz w:val="21"/>
          <w:szCs w:val="21"/>
          <w:highlight w:val="none"/>
        </w:rPr>
        <w:t>16.4.4中标人未能在规定期限内签署合同协议。</w:t>
      </w:r>
    </w:p>
    <w:p w14:paraId="6C9F4E87">
      <w:pPr>
        <w:spacing w:line="360" w:lineRule="auto"/>
        <w:ind w:firstLine="316" w:firstLineChars="150"/>
        <w:rPr>
          <w:b/>
          <w:szCs w:val="21"/>
          <w:highlight w:val="none"/>
        </w:rPr>
      </w:pPr>
      <w:r>
        <w:rPr>
          <w:rFonts w:hint="eastAsia"/>
          <w:b/>
          <w:szCs w:val="21"/>
          <w:highlight w:val="none"/>
        </w:rPr>
        <w:t>现文：16.4如有下列情况之一的，招标人不予退还投标保证金：</w:t>
      </w:r>
    </w:p>
    <w:p w14:paraId="3694948B">
      <w:pPr>
        <w:pStyle w:val="18"/>
        <w:ind w:firstLine="420" w:firstLineChars="200"/>
        <w:rPr>
          <w:rFonts w:ascii="宋体" w:hAnsi="宋体" w:cs="宋体"/>
          <w:bCs/>
          <w:sz w:val="21"/>
          <w:szCs w:val="21"/>
          <w:highlight w:val="none"/>
        </w:rPr>
      </w:pPr>
      <w:r>
        <w:rPr>
          <w:rFonts w:hint="eastAsia" w:ascii="宋体" w:hAnsi="宋体" w:cs="宋体"/>
          <w:bCs/>
          <w:sz w:val="21"/>
          <w:szCs w:val="21"/>
          <w:highlight w:val="none"/>
        </w:rPr>
        <w:t>16.4.1因投标人原因造成投标文件未解密的；</w:t>
      </w:r>
    </w:p>
    <w:p w14:paraId="7D1369F1">
      <w:pPr>
        <w:pStyle w:val="18"/>
        <w:ind w:firstLine="420" w:firstLineChars="200"/>
        <w:rPr>
          <w:rFonts w:ascii="宋体" w:hAnsi="宋体" w:cs="宋体"/>
          <w:bCs/>
          <w:sz w:val="21"/>
          <w:szCs w:val="21"/>
          <w:highlight w:val="none"/>
        </w:rPr>
      </w:pPr>
      <w:r>
        <w:rPr>
          <w:rFonts w:hint="eastAsia" w:ascii="宋体" w:hAnsi="宋体" w:cs="宋体"/>
          <w:bCs/>
          <w:sz w:val="21"/>
          <w:szCs w:val="21"/>
          <w:highlight w:val="none"/>
        </w:rPr>
        <w:t>16.4.2投标人在投标有效期内撤销投标文件；</w:t>
      </w:r>
    </w:p>
    <w:p w14:paraId="6CD42D65">
      <w:pPr>
        <w:pStyle w:val="18"/>
        <w:ind w:firstLine="420" w:firstLineChars="200"/>
        <w:rPr>
          <w:rFonts w:ascii="宋体" w:hAnsi="宋体" w:cs="宋体"/>
          <w:bCs/>
          <w:sz w:val="21"/>
          <w:szCs w:val="21"/>
          <w:highlight w:val="none"/>
        </w:rPr>
      </w:pPr>
      <w:r>
        <w:rPr>
          <w:rFonts w:hint="eastAsia" w:ascii="宋体" w:hAnsi="宋体" w:cs="宋体"/>
          <w:bCs/>
          <w:sz w:val="21"/>
          <w:szCs w:val="21"/>
          <w:highlight w:val="none"/>
        </w:rPr>
        <w:t>16.4.3中标人未能在规定期限内按要求提交履约担保；</w:t>
      </w:r>
    </w:p>
    <w:p w14:paraId="22DE7CCC">
      <w:pPr>
        <w:pStyle w:val="18"/>
        <w:ind w:firstLine="420" w:firstLineChars="200"/>
        <w:rPr>
          <w:rFonts w:ascii="宋体" w:hAnsi="宋体" w:cs="宋体"/>
          <w:bCs/>
          <w:sz w:val="21"/>
          <w:szCs w:val="21"/>
          <w:highlight w:val="none"/>
        </w:rPr>
      </w:pPr>
      <w:r>
        <w:rPr>
          <w:rFonts w:hint="eastAsia" w:ascii="宋体" w:hAnsi="宋体" w:cs="宋体"/>
          <w:bCs/>
          <w:sz w:val="21"/>
          <w:szCs w:val="21"/>
          <w:highlight w:val="none"/>
        </w:rPr>
        <w:t>16.4.4中标人未能在规定期限内签署合同协议；</w:t>
      </w:r>
    </w:p>
    <w:p w14:paraId="4C665063">
      <w:pPr>
        <w:pStyle w:val="18"/>
        <w:ind w:firstLine="420" w:firstLineChars="200"/>
        <w:rPr>
          <w:rFonts w:ascii="宋体" w:hAnsi="宋体" w:cs="宋体"/>
          <w:bCs/>
          <w:sz w:val="21"/>
          <w:szCs w:val="21"/>
          <w:highlight w:val="none"/>
        </w:rPr>
      </w:pPr>
      <w:r>
        <w:rPr>
          <w:rFonts w:hint="eastAsia" w:ascii="宋体" w:hAnsi="宋体" w:cs="宋体"/>
          <w:bCs/>
          <w:sz w:val="21"/>
          <w:szCs w:val="21"/>
          <w:highlight w:val="none"/>
        </w:rPr>
        <w:t>16.4.5投标人弄虚作假骗取中标的。</w:t>
      </w:r>
    </w:p>
    <w:p w14:paraId="0C26BB3D">
      <w:pPr>
        <w:pBdr>
          <w:bottom w:val="single" w:color="auto" w:sz="6" w:space="1"/>
        </w:pBdr>
        <w:spacing w:line="360" w:lineRule="auto"/>
        <w:rPr>
          <w:rFonts w:cs="宋体"/>
          <w:szCs w:val="21"/>
          <w:highlight w:val="none"/>
          <w:u w:val="single"/>
        </w:rPr>
      </w:pPr>
    </w:p>
    <w:p w14:paraId="44E9BB66">
      <w:pPr>
        <w:spacing w:line="460" w:lineRule="exact"/>
        <w:ind w:firstLine="472" w:firstLineChars="224"/>
        <w:rPr>
          <w:rFonts w:ascii="宋体" w:hAnsi="宋体" w:cs="宋体"/>
          <w:b/>
          <w:bCs/>
          <w:szCs w:val="21"/>
          <w:highlight w:val="none"/>
        </w:rPr>
      </w:pPr>
      <w:r>
        <w:rPr>
          <w:rFonts w:hint="eastAsia" w:ascii="宋体" w:hAnsi="宋体" w:cs="宋体"/>
          <w:b/>
          <w:szCs w:val="21"/>
          <w:highlight w:val="none"/>
        </w:rPr>
        <w:t>条款号：17.1          修改类型：修改</w:t>
      </w:r>
    </w:p>
    <w:p w14:paraId="55C70049">
      <w:pPr>
        <w:pStyle w:val="33"/>
        <w:ind w:left="840" w:hanging="420"/>
        <w:rPr>
          <w:highlight w:val="none"/>
        </w:rPr>
      </w:pPr>
    </w:p>
    <w:p w14:paraId="4E62CE41">
      <w:pPr>
        <w:spacing w:line="360" w:lineRule="auto"/>
        <w:ind w:firstLine="422" w:firstLineChars="200"/>
        <w:rPr>
          <w:rFonts w:ascii="宋体" w:hAnsi="宋体" w:cs="宋体"/>
          <w:bCs/>
          <w:szCs w:val="21"/>
          <w:highlight w:val="none"/>
          <w:u w:val="single"/>
        </w:rPr>
      </w:pPr>
      <w:r>
        <w:rPr>
          <w:rFonts w:hint="eastAsia" w:ascii="宋体" w:hAnsi="宋体" w:cs="宋体"/>
          <w:b/>
          <w:szCs w:val="21"/>
          <w:highlight w:val="none"/>
        </w:rPr>
        <w:t>原文：</w:t>
      </w:r>
      <w:r>
        <w:rPr>
          <w:rFonts w:hint="eastAsia" w:ascii="宋体" w:hAnsi="宋体" w:cs="宋体"/>
          <w:szCs w:val="21"/>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p>
    <w:p w14:paraId="3F8F765E">
      <w:pPr>
        <w:pBdr>
          <w:bottom w:val="single" w:color="auto" w:sz="6" w:space="1"/>
        </w:pBdr>
        <w:spacing w:line="360" w:lineRule="auto"/>
        <w:ind w:firstLine="527" w:firstLineChars="250"/>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投标人应采用单位数字证书，按招标文件要求在相应位置加盖电子印章。</w:t>
      </w:r>
      <w:r>
        <w:rPr>
          <w:rFonts w:hint="eastAsia" w:ascii="宋体" w:hAnsi="宋体" w:cs="宋体"/>
          <w:b/>
          <w:szCs w:val="21"/>
          <w:highlight w:val="none"/>
        </w:rPr>
        <w:t>投标文件中需个人签字或盖章的，应加盖个人电子印章或在线下完成后扫描上传。</w:t>
      </w:r>
      <w:r>
        <w:rPr>
          <w:rFonts w:hint="eastAsia" w:ascii="宋体" w:hAnsi="宋体" w:cs="宋体"/>
          <w:szCs w:val="21"/>
          <w:highlight w:val="none"/>
        </w:rPr>
        <w:t>按照交易平台关于全流程电子化项目的相关指南进行操作。详见：</w:t>
      </w:r>
      <w:r>
        <w:rPr>
          <w:rFonts w:hint="eastAsia" w:ascii="宋体" w:hAnsi="宋体" w:cs="宋体"/>
          <w:szCs w:val="21"/>
          <w:highlight w:val="none"/>
          <w:u w:val="single"/>
        </w:rPr>
        <w:t>广州公共资源交易中心网站</w:t>
      </w:r>
      <w:r>
        <w:rPr>
          <w:rFonts w:hint="eastAsia" w:ascii="宋体" w:hAnsi="宋体" w:cs="宋体"/>
          <w:szCs w:val="21"/>
          <w:highlight w:val="none"/>
        </w:rPr>
        <w:t>。</w:t>
      </w:r>
    </w:p>
    <w:p w14:paraId="7DBCDD6B">
      <w:pPr>
        <w:spacing w:line="480" w:lineRule="auto"/>
        <w:ind w:firstLine="472" w:firstLineChars="224"/>
        <w:rPr>
          <w:rFonts w:ascii="宋体" w:hAnsi="宋体" w:cs="宋体"/>
          <w:b/>
          <w:szCs w:val="21"/>
          <w:highlight w:val="none"/>
        </w:rPr>
      </w:pPr>
      <w:r>
        <w:rPr>
          <w:rFonts w:hint="eastAsia" w:ascii="宋体" w:hAnsi="宋体" w:cs="宋体"/>
          <w:b/>
          <w:szCs w:val="21"/>
          <w:highlight w:val="none"/>
        </w:rPr>
        <w:t>条款号：</w:t>
      </w:r>
      <w:r>
        <w:rPr>
          <w:rFonts w:hint="eastAsia" w:ascii="宋体" w:hAnsi="宋体" w:cs="宋体"/>
          <w:szCs w:val="21"/>
          <w:highlight w:val="none"/>
        </w:rPr>
        <w:t>18、19</w:t>
      </w:r>
      <w:r>
        <w:rPr>
          <w:rFonts w:hint="eastAsia" w:ascii="宋体" w:hAnsi="宋体" w:cs="宋体"/>
          <w:b/>
          <w:szCs w:val="21"/>
          <w:highlight w:val="none"/>
        </w:rPr>
        <w:t xml:space="preserve">             修改类型：修改</w:t>
      </w:r>
    </w:p>
    <w:p w14:paraId="518759F1">
      <w:pPr>
        <w:pStyle w:val="49"/>
        <w:spacing w:after="0" w:line="360" w:lineRule="auto"/>
        <w:ind w:firstLine="402" w:firstLineChars="200"/>
        <w:rPr>
          <w:rFonts w:ascii="宋体" w:hAnsi="宋体" w:cs="宋体"/>
          <w:b/>
          <w:bCs/>
          <w:szCs w:val="21"/>
          <w:highlight w:val="none"/>
        </w:rPr>
      </w:pPr>
      <w:r>
        <w:rPr>
          <w:rFonts w:hint="eastAsia" w:ascii="宋体" w:hAnsi="宋体" w:cs="宋体"/>
          <w:b/>
          <w:szCs w:val="21"/>
          <w:highlight w:val="none"/>
        </w:rPr>
        <w:t>原文：</w:t>
      </w:r>
      <w:r>
        <w:rPr>
          <w:rFonts w:hint="eastAsia" w:ascii="宋体" w:hAnsi="宋体" w:cs="宋体"/>
          <w:b/>
          <w:bCs/>
          <w:szCs w:val="21"/>
          <w:highlight w:val="none"/>
        </w:rPr>
        <w:t>18．</w:t>
      </w:r>
      <w:r>
        <w:rPr>
          <w:rFonts w:hint="eastAsia" w:ascii="宋体" w:hAnsi="宋体" w:cs="宋体"/>
          <w:b/>
          <w:szCs w:val="21"/>
          <w:highlight w:val="none"/>
        </w:rPr>
        <w:t>投标文件的密封和标记</w:t>
      </w:r>
    </w:p>
    <w:p w14:paraId="509246FF">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18.1递交的电子投标文件（不含备用光盘）必须进行加密。按照交易平台关于</w:t>
      </w:r>
      <w:r>
        <w:rPr>
          <w:rFonts w:hint="eastAsia" w:ascii="宋体" w:hAnsi="宋体" w:cs="宋体"/>
          <w:szCs w:val="21"/>
          <w:highlight w:val="none"/>
        </w:rPr>
        <w:t>全流程电子化项目的相关指南进行操作。详见： 。</w:t>
      </w:r>
    </w:p>
    <w:p w14:paraId="16BA7350">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18.2 未按要求加密的投标文件，</w:t>
      </w:r>
      <w:r>
        <w:rPr>
          <w:rFonts w:hint="eastAsia" w:ascii="宋体" w:hAnsi="宋体" w:cs="宋体"/>
          <w:szCs w:val="21"/>
          <w:highlight w:val="none"/>
        </w:rPr>
        <w:t>交易平台</w:t>
      </w:r>
      <w:r>
        <w:rPr>
          <w:rFonts w:hint="eastAsia" w:ascii="宋体" w:hAnsi="宋体" w:cs="宋体"/>
          <w:bCs/>
          <w:szCs w:val="21"/>
          <w:highlight w:val="none"/>
        </w:rPr>
        <w:t>将予以拒收。</w:t>
      </w:r>
    </w:p>
    <w:p w14:paraId="09E69344">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19．投标文件的递交和接收</w:t>
      </w:r>
    </w:p>
    <w:p w14:paraId="6DAC4AF4">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19.1投标人通过</w:t>
      </w:r>
      <w:r>
        <w:rPr>
          <w:rFonts w:hint="eastAsia" w:ascii="宋体" w:hAnsi="宋体" w:cs="宋体"/>
          <w:szCs w:val="21"/>
          <w:highlight w:val="none"/>
        </w:rPr>
        <w:t>交易平台递交电子投标文件。</w:t>
      </w:r>
    </w:p>
    <w:p w14:paraId="05C455C6">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19.2投标人完成电子</w:t>
      </w:r>
      <w:r>
        <w:rPr>
          <w:rFonts w:hint="eastAsia" w:ascii="宋体" w:hAnsi="宋体" w:cs="宋体"/>
          <w:szCs w:val="21"/>
          <w:highlight w:val="none"/>
        </w:rPr>
        <w:t>投标文件</w:t>
      </w:r>
      <w:r>
        <w:rPr>
          <w:rFonts w:hint="eastAsia" w:ascii="宋体" w:hAnsi="宋体" w:cs="宋体"/>
          <w:bCs/>
          <w:szCs w:val="21"/>
          <w:highlight w:val="none"/>
        </w:rPr>
        <w:t>上传后，</w:t>
      </w:r>
      <w:r>
        <w:rPr>
          <w:rFonts w:hint="eastAsia" w:ascii="宋体" w:hAnsi="宋体" w:cs="宋体"/>
          <w:szCs w:val="21"/>
          <w:highlight w:val="none"/>
        </w:rPr>
        <w:t>交易平台即时向投标人发出递交回执通知。递交时间以递交回执通知载明的传输完成时间为准。</w:t>
      </w:r>
    </w:p>
    <w:p w14:paraId="581B4C65">
      <w:pPr>
        <w:spacing w:line="360" w:lineRule="auto"/>
        <w:ind w:firstLine="420" w:firstLineChars="200"/>
        <w:rPr>
          <w:rFonts w:ascii="宋体" w:hAnsi="宋体" w:cs="宋体"/>
          <w:szCs w:val="21"/>
          <w:highlight w:val="none"/>
        </w:rPr>
      </w:pPr>
      <w:r>
        <w:rPr>
          <w:rFonts w:hint="eastAsia" w:ascii="宋体" w:hAnsi="宋体" w:cs="宋体"/>
          <w:bCs/>
          <w:szCs w:val="21"/>
          <w:highlight w:val="none"/>
        </w:rPr>
        <w:t>19.3逾期送达的电子投标文件，</w:t>
      </w:r>
      <w:r>
        <w:rPr>
          <w:rFonts w:hint="eastAsia" w:ascii="宋体" w:hAnsi="宋体" w:cs="宋体"/>
          <w:szCs w:val="21"/>
          <w:highlight w:val="none"/>
        </w:rPr>
        <w:t>交易平台将予以拒收。</w:t>
      </w:r>
    </w:p>
    <w:p w14:paraId="2A4E92C3">
      <w:pPr>
        <w:spacing w:line="360" w:lineRule="auto"/>
        <w:ind w:firstLine="420" w:firstLineChars="200"/>
        <w:rPr>
          <w:rFonts w:ascii="宋体" w:hAnsi="宋体" w:cs="宋体"/>
          <w:szCs w:val="21"/>
          <w:highlight w:val="none"/>
        </w:rPr>
      </w:pPr>
      <w:r>
        <w:rPr>
          <w:rFonts w:hint="eastAsia" w:ascii="宋体" w:hAnsi="宋体" w:cs="宋体"/>
          <w:szCs w:val="21"/>
          <w:highlight w:val="none"/>
        </w:rPr>
        <w:t>19.4 投标截止前，招标人拒绝接收符合条件的投标文件，投标人可向招标投标监督机构投诉。</w:t>
      </w:r>
    </w:p>
    <w:p w14:paraId="2361150A">
      <w:pPr>
        <w:spacing w:line="360" w:lineRule="auto"/>
        <w:ind w:firstLine="420" w:firstLineChars="200"/>
        <w:rPr>
          <w:rFonts w:ascii="宋体" w:hAnsi="宋体" w:cs="宋体"/>
          <w:szCs w:val="21"/>
          <w:highlight w:val="none"/>
        </w:rPr>
      </w:pPr>
      <w:r>
        <w:rPr>
          <w:rFonts w:hint="eastAsia" w:ascii="宋体" w:hAnsi="宋体" w:cs="宋体"/>
          <w:szCs w:val="21"/>
          <w:highlight w:val="none"/>
        </w:rPr>
        <w:t>19.5如技术标和经济标先后分别开启，交易平台将按招标文件规定的时间分别开启技术标和经济标。</w:t>
      </w:r>
    </w:p>
    <w:p w14:paraId="5E70DE13">
      <w:pPr>
        <w:spacing w:line="360" w:lineRule="auto"/>
        <w:ind w:firstLine="420" w:firstLineChars="200"/>
        <w:rPr>
          <w:rFonts w:ascii="宋体" w:hAnsi="宋体" w:cs="宋体"/>
          <w:bCs/>
          <w:szCs w:val="21"/>
          <w:highlight w:val="none"/>
          <w:u w:val="single"/>
        </w:rPr>
      </w:pPr>
      <w:r>
        <w:rPr>
          <w:rFonts w:hint="eastAsia" w:ascii="宋体" w:hAnsi="宋体" w:cs="宋体"/>
          <w:szCs w:val="21"/>
          <w:highlight w:val="none"/>
        </w:rPr>
        <w:t>19.6在规定的时间内，项目负责人须到自助签到。按照交易平台有关项目负责人自助签到流程进行操作。项目负责人凡未凭身份证按时到达指定地点签到的，该投标文件将不能参与资格审查和评标（选择性条款）。</w:t>
      </w:r>
    </w:p>
    <w:p w14:paraId="2B0456A5">
      <w:pPr>
        <w:pStyle w:val="49"/>
        <w:spacing w:after="0" w:line="360" w:lineRule="auto"/>
        <w:ind w:firstLine="402" w:firstLineChars="200"/>
        <w:rPr>
          <w:rFonts w:ascii="宋体" w:hAnsi="宋体" w:cs="宋体"/>
          <w:b/>
          <w:bCs/>
          <w:szCs w:val="21"/>
          <w:highlight w:val="none"/>
        </w:rPr>
      </w:pPr>
      <w:r>
        <w:rPr>
          <w:rFonts w:hint="eastAsia" w:ascii="宋体" w:hAnsi="宋体" w:cs="宋体"/>
          <w:b/>
          <w:szCs w:val="21"/>
          <w:highlight w:val="none"/>
        </w:rPr>
        <w:t>现文：</w:t>
      </w:r>
      <w:r>
        <w:rPr>
          <w:rFonts w:hint="eastAsia" w:ascii="宋体" w:hAnsi="宋体" w:cs="宋体"/>
          <w:b/>
          <w:bCs/>
          <w:szCs w:val="21"/>
          <w:highlight w:val="none"/>
        </w:rPr>
        <w:t>18．</w:t>
      </w:r>
      <w:r>
        <w:rPr>
          <w:rFonts w:hint="eastAsia" w:ascii="宋体" w:hAnsi="宋体" w:cs="宋体"/>
          <w:b/>
          <w:szCs w:val="21"/>
          <w:highlight w:val="none"/>
        </w:rPr>
        <w:t>投标文件的密封和标记</w:t>
      </w:r>
    </w:p>
    <w:p w14:paraId="607CC651">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18.1递交的电子投标文件（不含备用光盘）必须进行加密。按照交易平台关于</w:t>
      </w:r>
      <w:r>
        <w:rPr>
          <w:rFonts w:hint="eastAsia" w:ascii="宋体" w:hAnsi="宋体" w:cs="宋体"/>
          <w:szCs w:val="21"/>
          <w:highlight w:val="none"/>
        </w:rPr>
        <w:t>全流程电子化项目的相关指南进行操作。详见：</w:t>
      </w:r>
      <w:r>
        <w:rPr>
          <w:rFonts w:hint="eastAsia" w:ascii="宋体" w:hAnsi="宋体" w:cs="宋体"/>
          <w:szCs w:val="21"/>
          <w:highlight w:val="none"/>
          <w:u w:val="single"/>
        </w:rPr>
        <w:t>广州公共资源交易中心网站</w:t>
      </w:r>
      <w:r>
        <w:rPr>
          <w:rFonts w:hint="eastAsia" w:ascii="宋体" w:hAnsi="宋体" w:cs="宋体"/>
          <w:szCs w:val="21"/>
          <w:highlight w:val="none"/>
        </w:rPr>
        <w:t xml:space="preserve">  。</w:t>
      </w:r>
    </w:p>
    <w:p w14:paraId="2DD0EB1E">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18.2 未按要求加密的投标文件，</w:t>
      </w:r>
      <w:r>
        <w:rPr>
          <w:rFonts w:hint="eastAsia" w:ascii="宋体" w:hAnsi="宋体" w:cs="宋体"/>
          <w:szCs w:val="21"/>
          <w:highlight w:val="none"/>
          <w:u w:val="single"/>
        </w:rPr>
        <w:t>广州公共资源交易中心</w:t>
      </w:r>
      <w:r>
        <w:rPr>
          <w:rFonts w:hint="eastAsia" w:ascii="宋体" w:hAnsi="宋体" w:cs="宋体"/>
          <w:szCs w:val="21"/>
          <w:highlight w:val="none"/>
        </w:rPr>
        <w:t>交易平台</w:t>
      </w:r>
      <w:r>
        <w:rPr>
          <w:rFonts w:hint="eastAsia" w:ascii="宋体" w:hAnsi="宋体" w:cs="宋体"/>
          <w:bCs/>
          <w:szCs w:val="21"/>
          <w:highlight w:val="none"/>
        </w:rPr>
        <w:t>将予以拒收。</w:t>
      </w:r>
    </w:p>
    <w:p w14:paraId="42D8A1A2">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19．投标文件的递交和接收</w:t>
      </w:r>
    </w:p>
    <w:p w14:paraId="0BBDA57D">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19.1投标人通过</w:t>
      </w:r>
      <w:r>
        <w:rPr>
          <w:rFonts w:hint="eastAsia" w:ascii="宋体" w:hAnsi="宋体" w:cs="宋体"/>
          <w:szCs w:val="21"/>
          <w:highlight w:val="none"/>
          <w:u w:val="single"/>
        </w:rPr>
        <w:t>广州公共资源交易中心</w:t>
      </w:r>
      <w:r>
        <w:rPr>
          <w:rFonts w:hint="eastAsia" w:ascii="宋体" w:hAnsi="宋体" w:cs="宋体"/>
          <w:szCs w:val="21"/>
          <w:highlight w:val="none"/>
        </w:rPr>
        <w:t>交易平台递交电子投标文件。</w:t>
      </w:r>
    </w:p>
    <w:p w14:paraId="05825387">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19.2投标人完成电子</w:t>
      </w:r>
      <w:r>
        <w:rPr>
          <w:rFonts w:hint="eastAsia" w:ascii="宋体" w:hAnsi="宋体" w:cs="宋体"/>
          <w:szCs w:val="21"/>
          <w:highlight w:val="none"/>
        </w:rPr>
        <w:t>投标文件</w:t>
      </w:r>
      <w:r>
        <w:rPr>
          <w:rFonts w:hint="eastAsia" w:ascii="宋体" w:hAnsi="宋体" w:cs="宋体"/>
          <w:bCs/>
          <w:szCs w:val="21"/>
          <w:highlight w:val="none"/>
        </w:rPr>
        <w:t>上传后，</w:t>
      </w:r>
      <w:r>
        <w:rPr>
          <w:rFonts w:hint="eastAsia" w:ascii="宋体" w:hAnsi="宋体" w:cs="宋体"/>
          <w:szCs w:val="21"/>
          <w:highlight w:val="none"/>
          <w:u w:val="single"/>
        </w:rPr>
        <w:t>广州公共资源交易中心</w:t>
      </w:r>
      <w:r>
        <w:rPr>
          <w:rFonts w:hint="eastAsia" w:ascii="宋体" w:hAnsi="宋体" w:cs="宋体"/>
          <w:szCs w:val="21"/>
          <w:highlight w:val="none"/>
        </w:rPr>
        <w:t>交易平台即时向投标人发出递交回执通知。递交时间以递交回执通知载明的传输完成时间为准。</w:t>
      </w:r>
    </w:p>
    <w:p w14:paraId="73CB0E79">
      <w:pPr>
        <w:spacing w:line="360" w:lineRule="auto"/>
        <w:ind w:firstLine="420" w:firstLineChars="200"/>
        <w:rPr>
          <w:rFonts w:ascii="宋体" w:hAnsi="宋体" w:cs="宋体"/>
          <w:szCs w:val="21"/>
          <w:highlight w:val="none"/>
        </w:rPr>
      </w:pPr>
      <w:r>
        <w:rPr>
          <w:rFonts w:hint="eastAsia" w:ascii="宋体" w:hAnsi="宋体" w:cs="宋体"/>
          <w:bCs/>
          <w:szCs w:val="21"/>
          <w:highlight w:val="none"/>
        </w:rPr>
        <w:t>19.3逾期送达的电子投标文件，</w:t>
      </w:r>
      <w:r>
        <w:rPr>
          <w:rFonts w:hint="eastAsia" w:ascii="宋体" w:hAnsi="宋体" w:cs="宋体"/>
          <w:szCs w:val="21"/>
          <w:highlight w:val="none"/>
          <w:u w:val="single"/>
        </w:rPr>
        <w:t>广州公共资源交易中心</w:t>
      </w:r>
      <w:r>
        <w:rPr>
          <w:rFonts w:hint="eastAsia" w:ascii="宋体" w:hAnsi="宋体" w:cs="宋体"/>
          <w:szCs w:val="21"/>
          <w:highlight w:val="none"/>
        </w:rPr>
        <w:t>交易平台将予以拒收。</w:t>
      </w:r>
    </w:p>
    <w:p w14:paraId="4FF72D25">
      <w:pPr>
        <w:spacing w:line="360" w:lineRule="auto"/>
        <w:ind w:firstLine="420" w:firstLineChars="200"/>
        <w:rPr>
          <w:rFonts w:ascii="宋体" w:hAnsi="宋体" w:cs="宋体"/>
          <w:szCs w:val="21"/>
          <w:highlight w:val="none"/>
        </w:rPr>
      </w:pPr>
      <w:r>
        <w:rPr>
          <w:rFonts w:hint="eastAsia" w:ascii="宋体" w:hAnsi="宋体" w:cs="宋体"/>
          <w:szCs w:val="21"/>
          <w:highlight w:val="none"/>
        </w:rPr>
        <w:t>19.4 投标截止前，招标人拒绝接收符合条件的投标文件，投标人可向招标投标监督机构投诉。</w:t>
      </w:r>
    </w:p>
    <w:p w14:paraId="588BC193">
      <w:pPr>
        <w:pBdr>
          <w:bottom w:val="single" w:color="auto" w:sz="6" w:space="1"/>
        </w:pBdr>
        <w:spacing w:line="360" w:lineRule="auto"/>
        <w:ind w:firstLine="525" w:firstLineChars="250"/>
        <w:rPr>
          <w:rFonts w:ascii="宋体" w:hAnsi="宋体" w:cs="宋体"/>
          <w:szCs w:val="21"/>
          <w:highlight w:val="none"/>
        </w:rPr>
      </w:pPr>
    </w:p>
    <w:p w14:paraId="048E1C24">
      <w:pPr>
        <w:spacing w:line="480" w:lineRule="auto"/>
        <w:ind w:firstLine="472" w:firstLineChars="224"/>
        <w:rPr>
          <w:rFonts w:ascii="宋体" w:hAnsi="宋体" w:cs="宋体"/>
          <w:b/>
          <w:szCs w:val="21"/>
          <w:highlight w:val="none"/>
        </w:rPr>
      </w:pPr>
      <w:r>
        <w:rPr>
          <w:rFonts w:hint="eastAsia" w:ascii="宋体" w:hAnsi="宋体" w:cs="宋体"/>
          <w:b/>
          <w:szCs w:val="21"/>
          <w:highlight w:val="none"/>
        </w:rPr>
        <w:t>条款号：</w:t>
      </w:r>
      <w:r>
        <w:rPr>
          <w:rFonts w:hint="eastAsia" w:ascii="宋体" w:hAnsi="宋体" w:cs="宋体"/>
          <w:szCs w:val="21"/>
          <w:highlight w:val="none"/>
        </w:rPr>
        <w:t>21.1</w:t>
      </w:r>
      <w:r>
        <w:rPr>
          <w:rFonts w:hint="eastAsia" w:ascii="宋体" w:hAnsi="宋体" w:cs="宋体"/>
          <w:b/>
          <w:szCs w:val="21"/>
          <w:highlight w:val="none"/>
        </w:rPr>
        <w:t xml:space="preserve">             修改类型：修改</w:t>
      </w:r>
    </w:p>
    <w:p w14:paraId="5ADA4E98">
      <w:pPr>
        <w:spacing w:line="360" w:lineRule="auto"/>
        <w:ind w:firstLine="422" w:firstLineChars="200"/>
        <w:rPr>
          <w:rFonts w:ascii="宋体" w:hAnsi="宋体" w:cs="宋体"/>
          <w:bCs/>
          <w:szCs w:val="21"/>
          <w:highlight w:val="none"/>
          <w:u w:val="single"/>
        </w:rPr>
      </w:pPr>
      <w:r>
        <w:rPr>
          <w:rFonts w:hint="eastAsia" w:ascii="宋体" w:hAnsi="宋体" w:cs="宋体"/>
          <w:b/>
          <w:szCs w:val="21"/>
          <w:highlight w:val="none"/>
        </w:rPr>
        <w:t>原文：</w:t>
      </w:r>
      <w:r>
        <w:rPr>
          <w:rFonts w:hint="eastAsia" w:ascii="宋体" w:hAnsi="宋体" w:cs="宋体"/>
          <w:szCs w:val="21"/>
          <w:highlight w:val="none"/>
        </w:rPr>
        <w:t>21.1 本须知前附表第17项规定的投标截止时间</w:t>
      </w:r>
      <w:r>
        <w:rPr>
          <w:rFonts w:hint="eastAsia" w:ascii="宋体" w:hAnsi="宋体" w:cs="宋体"/>
          <w:bCs/>
          <w:szCs w:val="21"/>
          <w:highlight w:val="none"/>
        </w:rPr>
        <w:t>后送达的电子投标文件，</w:t>
      </w:r>
      <w:r>
        <w:rPr>
          <w:rFonts w:hint="eastAsia" w:ascii="宋体" w:hAnsi="宋体" w:cs="宋体"/>
          <w:szCs w:val="21"/>
          <w:highlight w:val="none"/>
        </w:rPr>
        <w:t>交易平台将予以拒收。</w:t>
      </w:r>
    </w:p>
    <w:p w14:paraId="0405FBEF">
      <w:pPr>
        <w:pBdr>
          <w:bottom w:val="single" w:color="auto" w:sz="6" w:space="1"/>
        </w:pBdr>
        <w:spacing w:line="360" w:lineRule="auto"/>
        <w:ind w:firstLine="422" w:firstLineChars="200"/>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21.1 本须知前附表第17项规定的投标截止时间</w:t>
      </w:r>
      <w:r>
        <w:rPr>
          <w:rFonts w:hint="eastAsia" w:ascii="宋体" w:hAnsi="宋体" w:cs="宋体"/>
          <w:bCs/>
          <w:szCs w:val="21"/>
          <w:highlight w:val="none"/>
        </w:rPr>
        <w:t>后送达的电子投标文件，</w:t>
      </w:r>
      <w:r>
        <w:rPr>
          <w:rFonts w:hint="eastAsia" w:ascii="宋体" w:hAnsi="宋体" w:cs="宋体"/>
          <w:szCs w:val="21"/>
          <w:highlight w:val="none"/>
          <w:u w:val="single"/>
        </w:rPr>
        <w:t>广州公共资源交易中心</w:t>
      </w:r>
      <w:r>
        <w:rPr>
          <w:rFonts w:hint="eastAsia" w:ascii="宋体" w:hAnsi="宋体" w:cs="宋体"/>
          <w:szCs w:val="21"/>
          <w:highlight w:val="none"/>
        </w:rPr>
        <w:t>交易平台将予以拒收。</w:t>
      </w:r>
    </w:p>
    <w:p w14:paraId="749EA3B6">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条款号：27.1          修改类型：修改</w:t>
      </w:r>
    </w:p>
    <w:p w14:paraId="04FB7D8C">
      <w:pPr>
        <w:pBdr>
          <w:bottom w:val="single" w:color="auto" w:sz="6" w:space="1"/>
        </w:pBdr>
        <w:spacing w:line="360" w:lineRule="auto"/>
        <w:ind w:firstLine="527" w:firstLineChars="250"/>
        <w:rPr>
          <w:rFonts w:ascii="宋体" w:hAnsi="宋体" w:cs="宋体"/>
          <w:b/>
          <w:szCs w:val="21"/>
          <w:highlight w:val="none"/>
        </w:rPr>
      </w:pPr>
      <w:r>
        <w:rPr>
          <w:rFonts w:hint="eastAsia" w:ascii="宋体" w:hAnsi="宋体" w:cs="宋体"/>
          <w:b/>
          <w:szCs w:val="21"/>
          <w:highlight w:val="none"/>
        </w:rPr>
        <w:t>原文：</w:t>
      </w:r>
      <w:r>
        <w:rPr>
          <w:rFonts w:hint="eastAsia" w:ascii="宋体" w:hAnsi="宋体" w:cs="宋体"/>
          <w:szCs w:val="21"/>
          <w:highlight w:val="none"/>
        </w:rPr>
        <w:t>27.1招标人将在交易平台、广东省招标投标监管网和中国招标投标公共服务平台公示中标候选人，公示期为三天。</w:t>
      </w:r>
    </w:p>
    <w:p w14:paraId="3F0C2439">
      <w:pPr>
        <w:pBdr>
          <w:bottom w:val="single" w:color="auto" w:sz="6" w:space="1"/>
        </w:pBdr>
        <w:spacing w:line="360" w:lineRule="auto"/>
        <w:ind w:firstLine="527" w:firstLineChars="250"/>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27.1招标人将在</w:t>
      </w:r>
      <w:r>
        <w:rPr>
          <w:rFonts w:hint="eastAsia" w:ascii="宋体" w:hAnsi="宋体" w:cs="宋体"/>
          <w:szCs w:val="21"/>
          <w:highlight w:val="none"/>
          <w:u w:val="single"/>
        </w:rPr>
        <w:t>广州公共资源交易中心</w:t>
      </w:r>
      <w:r>
        <w:rPr>
          <w:rFonts w:hint="eastAsia" w:ascii="宋体" w:hAnsi="宋体" w:cs="宋体"/>
          <w:szCs w:val="21"/>
          <w:highlight w:val="none"/>
        </w:rPr>
        <w:t>交易平台、广东省招标投标监管网和中国招标投标公共服务平台公示中标候选人，公示期为三天。</w:t>
      </w:r>
    </w:p>
    <w:p w14:paraId="4FD679AB">
      <w:pPr>
        <w:spacing w:line="480" w:lineRule="auto"/>
        <w:ind w:firstLine="472" w:firstLineChars="224"/>
        <w:rPr>
          <w:rFonts w:ascii="宋体" w:hAnsi="宋体" w:cs="宋体"/>
          <w:b/>
          <w:szCs w:val="21"/>
          <w:highlight w:val="none"/>
        </w:rPr>
      </w:pPr>
      <w:r>
        <w:rPr>
          <w:rFonts w:hint="eastAsia" w:ascii="宋体" w:hAnsi="宋体" w:cs="宋体"/>
          <w:b/>
          <w:szCs w:val="21"/>
          <w:highlight w:val="none"/>
        </w:rPr>
        <w:t>条款号：</w:t>
      </w:r>
      <w:r>
        <w:rPr>
          <w:rFonts w:hint="eastAsia" w:ascii="宋体" w:hAnsi="宋体" w:cs="宋体"/>
          <w:szCs w:val="21"/>
          <w:highlight w:val="none"/>
        </w:rPr>
        <w:t>27.4</w:t>
      </w:r>
      <w:r>
        <w:rPr>
          <w:rFonts w:hint="eastAsia" w:ascii="宋体" w:hAnsi="宋体" w:cs="宋体"/>
          <w:b/>
          <w:szCs w:val="21"/>
          <w:highlight w:val="none"/>
        </w:rPr>
        <w:t xml:space="preserve">            修改类型：修改</w:t>
      </w:r>
    </w:p>
    <w:p w14:paraId="72068297">
      <w:pPr>
        <w:spacing w:line="360" w:lineRule="auto"/>
        <w:ind w:firstLine="422" w:firstLineChars="200"/>
        <w:rPr>
          <w:rFonts w:ascii="宋体" w:hAnsi="宋体" w:cs="宋体"/>
          <w:bCs/>
          <w:szCs w:val="21"/>
          <w:highlight w:val="none"/>
          <w:u w:val="single"/>
        </w:rPr>
      </w:pPr>
      <w:r>
        <w:rPr>
          <w:rFonts w:hint="eastAsia" w:ascii="宋体" w:hAnsi="宋体" w:cs="宋体"/>
          <w:b/>
          <w:szCs w:val="21"/>
          <w:highlight w:val="none"/>
        </w:rPr>
        <w:t>原文：</w:t>
      </w:r>
      <w:r>
        <w:rPr>
          <w:rFonts w:hint="eastAsia" w:ascii="宋体" w:hAnsi="宋体" w:cs="宋体"/>
          <w:szCs w:val="21"/>
          <w:highlight w:val="none"/>
        </w:rPr>
        <w:t>27.4在产生中标候选人后，招标人将中标候选人的投标文件商务部分文件的所有内容（包括报价清单、人员、业绩、奖项等资料）在交易平台和广东省招标投标监管网公开。</w:t>
      </w:r>
    </w:p>
    <w:p w14:paraId="7ECCC327">
      <w:pPr>
        <w:pBdr>
          <w:bottom w:val="single" w:color="auto" w:sz="6" w:space="1"/>
        </w:pBdr>
        <w:spacing w:line="360" w:lineRule="auto"/>
        <w:ind w:firstLine="422" w:firstLineChars="200"/>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27.4在产生中标候选人后，招标人将中标候选人的投标文件商务部分文件的所有内容（包括报价清单、人员、业绩、奖项等资料）在</w:t>
      </w:r>
      <w:r>
        <w:rPr>
          <w:rFonts w:hint="eastAsia" w:ascii="宋体" w:hAnsi="宋体" w:cs="宋体"/>
          <w:kern w:val="0"/>
          <w:szCs w:val="21"/>
          <w:highlight w:val="none"/>
          <w:u w:val="single"/>
        </w:rPr>
        <w:t>广州公共资源交易中心</w:t>
      </w:r>
      <w:r>
        <w:rPr>
          <w:rFonts w:hint="eastAsia" w:ascii="宋体" w:hAnsi="宋体" w:cs="宋体"/>
          <w:szCs w:val="21"/>
          <w:highlight w:val="none"/>
        </w:rPr>
        <w:t>交易平台和广东省招标投标监管网公开。</w:t>
      </w:r>
    </w:p>
    <w:p w14:paraId="1067A961">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条款号：29.1  29.2         修改类型：修改</w:t>
      </w:r>
    </w:p>
    <w:p w14:paraId="73D9AB9A">
      <w:pPr>
        <w:pBdr>
          <w:bottom w:val="single" w:color="auto" w:sz="6" w:space="1"/>
        </w:pBdr>
        <w:spacing w:line="360" w:lineRule="auto"/>
        <w:ind w:firstLine="527" w:firstLineChars="250"/>
        <w:rPr>
          <w:rFonts w:ascii="宋体" w:hAnsi="宋体" w:cs="宋体"/>
          <w:b/>
          <w:szCs w:val="21"/>
          <w:highlight w:val="none"/>
        </w:rPr>
      </w:pPr>
      <w:r>
        <w:rPr>
          <w:rFonts w:hint="eastAsia" w:ascii="宋体" w:hAnsi="宋体" w:cs="宋体"/>
          <w:b/>
          <w:szCs w:val="21"/>
          <w:highlight w:val="none"/>
        </w:rPr>
        <w:t>原文：</w:t>
      </w:r>
      <w:r>
        <w:rPr>
          <w:rFonts w:hint="eastAsia" w:ascii="宋体" w:hAnsi="宋体" w:cs="宋体"/>
          <w:szCs w:val="21"/>
          <w:highlight w:val="none"/>
        </w:rPr>
        <w:t>29.1 在收到中标通知书后的15日内，中标人应按本须知前附表第20项的规定向招标人提交履约担保；如果中标人的履约担保是以银行保函的形式提供，则该银行保函应由在中国注册且营业地点在广州行政辖区内的银行开具。</w:t>
      </w:r>
    </w:p>
    <w:p w14:paraId="00992A16">
      <w:pPr>
        <w:pBdr>
          <w:bottom w:val="single" w:color="auto" w:sz="6" w:space="1"/>
        </w:pBdr>
        <w:spacing w:line="360" w:lineRule="auto"/>
        <w:ind w:firstLine="525" w:firstLineChars="250"/>
        <w:rPr>
          <w:rFonts w:ascii="宋体" w:hAnsi="宋体" w:cs="宋体"/>
          <w:szCs w:val="21"/>
          <w:highlight w:val="none"/>
        </w:rPr>
      </w:pPr>
      <w:r>
        <w:rPr>
          <w:rFonts w:hint="eastAsia" w:ascii="宋体" w:hAnsi="宋体" w:cs="宋体"/>
          <w:szCs w:val="21"/>
          <w:highlight w:val="none"/>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0EF03A47">
      <w:pPr>
        <w:pBdr>
          <w:bottom w:val="single" w:color="auto" w:sz="6" w:space="1"/>
        </w:pBdr>
        <w:spacing w:line="360" w:lineRule="auto"/>
        <w:ind w:firstLine="527" w:firstLineChars="250"/>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29.1签订本合同后第一次请款前，中标人应按本须知前附表第20项的规定向招标人提交履约担保；</w:t>
      </w:r>
    </w:p>
    <w:p w14:paraId="30F876AF">
      <w:pPr>
        <w:pBdr>
          <w:bottom w:val="single" w:color="auto" w:sz="6" w:space="1"/>
        </w:pBdr>
        <w:spacing w:line="360" w:lineRule="auto"/>
        <w:ind w:firstLine="525" w:firstLineChars="250"/>
        <w:rPr>
          <w:rFonts w:ascii="宋体" w:hAnsi="宋体" w:cs="宋体"/>
          <w:b/>
          <w:szCs w:val="21"/>
          <w:highlight w:val="none"/>
        </w:rPr>
      </w:pPr>
      <w:r>
        <w:rPr>
          <w:rFonts w:hint="eastAsia" w:ascii="宋体" w:hAnsi="宋体" w:cs="宋体"/>
          <w:szCs w:val="21"/>
          <w:highlight w:val="none"/>
        </w:rPr>
        <w:t>29.2中标人未按上款的规定提交履约担保，招标人有权解除合同并拒绝支付相应工程款项，且中标人依法承担相应法律责任。原中标人给招标人造成损失的，还应当予以赔偿。原中标人有异议的，按合同纠纷条款执行。</w:t>
      </w:r>
    </w:p>
    <w:p w14:paraId="46EDE217">
      <w:pPr>
        <w:spacing w:line="360" w:lineRule="auto"/>
        <w:ind w:firstLine="211" w:firstLineChars="100"/>
        <w:rPr>
          <w:rFonts w:ascii="宋体" w:hAnsi="宋体" w:cs="宋体"/>
          <w:b/>
          <w:szCs w:val="21"/>
          <w:highlight w:val="none"/>
        </w:rPr>
      </w:pPr>
      <w:r>
        <w:rPr>
          <w:rFonts w:hint="eastAsia" w:ascii="宋体" w:hAnsi="宋体" w:cs="宋体"/>
          <w:b/>
          <w:szCs w:val="21"/>
          <w:highlight w:val="none"/>
        </w:rPr>
        <w:t>注：以上修改，仅限于本范本中有可供选择条款的情形。</w:t>
      </w:r>
    </w:p>
    <w:p w14:paraId="2F076BA1">
      <w:pPr>
        <w:spacing w:line="360" w:lineRule="auto"/>
        <w:rPr>
          <w:color w:val="000000"/>
          <w:highlight w:val="none"/>
        </w:rPr>
      </w:pPr>
      <w:r>
        <w:rPr>
          <w:rFonts w:hint="eastAsia" w:ascii="宋体" w:hAnsi="宋体" w:cs="宋体"/>
          <w:b/>
          <w:szCs w:val="21"/>
          <w:highlight w:val="none"/>
        </w:rPr>
        <w:t>（以下无正文）</w:t>
      </w:r>
    </w:p>
    <w:p w14:paraId="4AB8C46C">
      <w:pPr>
        <w:pStyle w:val="3"/>
        <w:rPr>
          <w:highlight w:val="none"/>
        </w:rPr>
      </w:pPr>
      <w:r>
        <w:rPr>
          <w:highlight w:val="none"/>
        </w:rPr>
        <w:br w:type="page"/>
      </w:r>
      <w:bookmarkStart w:id="8" w:name="_Toc58188150"/>
      <w:bookmarkStart w:id="9" w:name="_Toc50391291"/>
      <w:bookmarkStart w:id="10" w:name="_Toc25050"/>
      <w:r>
        <w:rPr>
          <w:rFonts w:hint="eastAsia"/>
          <w:highlight w:val="none"/>
        </w:rPr>
        <w:t>三、投标须知通用条款</w:t>
      </w:r>
      <w:bookmarkEnd w:id="8"/>
      <w:bookmarkEnd w:id="9"/>
      <w:bookmarkEnd w:id="10"/>
    </w:p>
    <w:p w14:paraId="2D544145">
      <w:pPr>
        <w:pStyle w:val="4"/>
        <w:spacing w:before="156" w:after="156"/>
        <w:rPr>
          <w:highlight w:val="none"/>
        </w:rPr>
      </w:pPr>
      <w:bookmarkStart w:id="11" w:name="_Toc2272549"/>
      <w:bookmarkStart w:id="12" w:name="_Toc21525493"/>
      <w:bookmarkStart w:id="13" w:name="_Toc58188151"/>
      <w:bookmarkStart w:id="14" w:name="_Toc50391292"/>
      <w:bookmarkStart w:id="15" w:name="_Toc30670"/>
      <w:r>
        <w:rPr>
          <w:rFonts w:hint="eastAsia"/>
          <w:highlight w:val="none"/>
        </w:rPr>
        <w:t>（一）总则</w:t>
      </w:r>
      <w:bookmarkEnd w:id="11"/>
      <w:bookmarkEnd w:id="12"/>
    </w:p>
    <w:p w14:paraId="1458CC56">
      <w:pPr>
        <w:pStyle w:val="49"/>
        <w:spacing w:after="0" w:line="360" w:lineRule="auto"/>
        <w:ind w:firstLine="482" w:firstLineChars="200"/>
        <w:rPr>
          <w:rFonts w:ascii="宋体"/>
          <w:b/>
          <w:bCs/>
          <w:sz w:val="24"/>
          <w:highlight w:val="none"/>
        </w:rPr>
      </w:pPr>
      <w:r>
        <w:rPr>
          <w:rFonts w:ascii="宋体" w:hAnsi="宋体"/>
          <w:b/>
          <w:bCs/>
          <w:sz w:val="24"/>
          <w:highlight w:val="none"/>
        </w:rPr>
        <w:t>1</w:t>
      </w:r>
      <w:r>
        <w:rPr>
          <w:rFonts w:hint="eastAsia" w:ascii="宋体" w:hAnsi="宋体"/>
          <w:b/>
          <w:bCs/>
          <w:sz w:val="24"/>
          <w:highlight w:val="none"/>
        </w:rPr>
        <w:t>、定义</w:t>
      </w:r>
    </w:p>
    <w:p w14:paraId="2DA3B1AC">
      <w:pPr>
        <w:pStyle w:val="49"/>
        <w:spacing w:after="0" w:line="360" w:lineRule="auto"/>
        <w:ind w:firstLine="480" w:firstLineChars="200"/>
        <w:rPr>
          <w:rFonts w:ascii="宋体"/>
          <w:b/>
          <w:bCs/>
          <w:sz w:val="24"/>
          <w:highlight w:val="none"/>
        </w:rPr>
      </w:pPr>
      <w:r>
        <w:rPr>
          <w:rFonts w:hint="eastAsia" w:ascii="宋体" w:hAnsi="宋体"/>
          <w:sz w:val="24"/>
          <w:highlight w:val="none"/>
        </w:rPr>
        <w:t>本招标文件使用的下列词语具有如下规定的意义：</w:t>
      </w:r>
    </w:p>
    <w:p w14:paraId="7BE3D053">
      <w:pPr>
        <w:pStyle w:val="49"/>
        <w:spacing w:after="0" w:line="360" w:lineRule="auto"/>
        <w:ind w:firstLine="480" w:firstLineChars="200"/>
        <w:rPr>
          <w:rFonts w:ascii="宋体"/>
          <w:b/>
          <w:bCs/>
          <w:sz w:val="24"/>
          <w:highlight w:val="none"/>
          <w:u w:val="singl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）“招标人”（即发包人）、“项目建设管理单位</w:t>
      </w:r>
      <w:r>
        <w:rPr>
          <w:rFonts w:hint="eastAsia" w:ascii="宋体"/>
          <w:sz w:val="24"/>
          <w:highlight w:val="none"/>
        </w:rPr>
        <w:t>”</w:t>
      </w:r>
      <w:r>
        <w:rPr>
          <w:rFonts w:hint="eastAsia" w:ascii="宋体" w:hAnsi="宋体"/>
          <w:sz w:val="24"/>
          <w:highlight w:val="none"/>
        </w:rPr>
        <w:t>（或称“项目代建单位”）、“招标代理”、“设计单位”、“监理单位”均已在投标须知前附表中列明。</w:t>
      </w:r>
    </w:p>
    <w:p w14:paraId="6DBBECDF">
      <w:pPr>
        <w:pStyle w:val="49"/>
        <w:spacing w:after="0" w:line="360" w:lineRule="auto"/>
        <w:ind w:firstLine="480" w:firstLineChars="200"/>
        <w:rPr>
          <w:rFonts w:ascii="宋体"/>
          <w:sz w:val="24"/>
          <w:highlight w:val="none"/>
          <w:u w:val="singl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）“投标人”指向招标人提交投标文件的当事人。</w:t>
      </w:r>
    </w:p>
    <w:p w14:paraId="5D7B166E">
      <w:pPr>
        <w:pStyle w:val="49"/>
        <w:spacing w:after="0" w:line="360" w:lineRule="auto"/>
        <w:ind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）“承包人”指其投标被招标人接受并与其签订承包合同的当事人。</w:t>
      </w:r>
    </w:p>
    <w:p w14:paraId="561857B2">
      <w:pPr>
        <w:pStyle w:val="49"/>
        <w:spacing w:after="0" w:line="360" w:lineRule="auto"/>
        <w:ind w:firstLine="480" w:firstLineChars="200"/>
        <w:rPr>
          <w:rFonts w:ascii="宋体"/>
          <w:sz w:val="24"/>
          <w:highlight w:val="none"/>
          <w:u w:val="single"/>
        </w:rPr>
      </w:pPr>
      <w:r>
        <w:rPr>
          <w:rFonts w:hint="eastAsia" w:ascii="宋体" w:hAnsi="宋体"/>
          <w:sz w:val="24"/>
          <w:highlight w:val="none"/>
        </w:rPr>
        <w:t>（</w:t>
      </w:r>
      <w:r>
        <w:rPr>
          <w:rFonts w:ascii="宋体" w:hAnsi="宋体"/>
          <w:sz w:val="24"/>
          <w:highlight w:val="none"/>
        </w:rPr>
        <w:t>4</w:t>
      </w:r>
      <w:r>
        <w:rPr>
          <w:rFonts w:hint="eastAsia" w:ascii="宋体" w:hAnsi="宋体"/>
          <w:sz w:val="24"/>
          <w:highlight w:val="none"/>
        </w:rPr>
        <w:t>）“招标文件”指由招标代理发出的本文件（包括全部章节、附件）及招标答疑会会议纪要和</w:t>
      </w:r>
      <w:r>
        <w:rPr>
          <w:rFonts w:hint="eastAsia" w:ascii="宋体" w:hAnsi="宋体"/>
          <w:bCs/>
          <w:sz w:val="24"/>
          <w:highlight w:val="none"/>
        </w:rPr>
        <w:t>招标文件的澄清与修改</w:t>
      </w:r>
      <w:r>
        <w:rPr>
          <w:rFonts w:hint="eastAsia" w:ascii="宋体" w:hAnsi="宋体"/>
          <w:sz w:val="24"/>
          <w:highlight w:val="none"/>
        </w:rPr>
        <w:t>文件。</w:t>
      </w:r>
    </w:p>
    <w:p w14:paraId="7EE92A6B">
      <w:pPr>
        <w:pStyle w:val="49"/>
        <w:spacing w:after="0" w:line="360" w:lineRule="auto"/>
        <w:ind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5</w:t>
      </w:r>
      <w:r>
        <w:rPr>
          <w:rFonts w:hint="eastAsia" w:ascii="宋体" w:hAnsi="宋体"/>
          <w:sz w:val="24"/>
          <w:highlight w:val="none"/>
        </w:rPr>
        <w:t>）“投标文件”指投标人根据本项目招标文件向招标人提交的全部文件。</w:t>
      </w:r>
    </w:p>
    <w:p w14:paraId="520D3425">
      <w:pPr>
        <w:pStyle w:val="49"/>
        <w:spacing w:after="0" w:line="360" w:lineRule="auto"/>
        <w:ind w:firstLine="480" w:firstLineChars="200"/>
        <w:rPr>
          <w:rFonts w:asci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6</w:t>
      </w:r>
      <w:r>
        <w:rPr>
          <w:rFonts w:hint="eastAsia" w:ascii="宋体" w:hAnsi="宋体"/>
          <w:color w:val="000000"/>
          <w:sz w:val="24"/>
          <w:highlight w:val="none"/>
        </w:rPr>
        <w:t>）“书面形式”指打字或印刷的文件和数据电文（包括电报、电传、传真、电子数据交换和电子邮件）。</w:t>
      </w:r>
    </w:p>
    <w:p w14:paraId="5F965139">
      <w:pPr>
        <w:spacing w:line="360" w:lineRule="auto"/>
        <w:ind w:firstLine="482" w:firstLineChars="200"/>
        <w:rPr>
          <w:rFonts w:ascii="宋体"/>
          <w:b/>
          <w:color w:val="000000"/>
          <w:sz w:val="24"/>
          <w:highlight w:val="none"/>
        </w:rPr>
      </w:pPr>
      <w:r>
        <w:rPr>
          <w:rFonts w:ascii="宋体" w:hAnsi="宋体"/>
          <w:b/>
          <w:color w:val="000000"/>
          <w:sz w:val="24"/>
          <w:highlight w:val="none"/>
        </w:rPr>
        <w:t>2</w:t>
      </w:r>
      <w:r>
        <w:rPr>
          <w:rFonts w:hint="eastAsia" w:ascii="宋体" w:hAnsi="宋体"/>
          <w:b/>
          <w:color w:val="000000"/>
          <w:sz w:val="24"/>
          <w:highlight w:val="none"/>
        </w:rPr>
        <w:t>、招标说明</w:t>
      </w:r>
    </w:p>
    <w:p w14:paraId="24B6D31F">
      <w:pPr>
        <w:spacing w:line="360" w:lineRule="auto"/>
        <w:ind w:firstLine="480" w:firstLineChars="200"/>
        <w:rPr>
          <w:rFonts w:ascii="宋体"/>
          <w:bCs/>
          <w:sz w:val="24"/>
          <w:highlight w:val="none"/>
        </w:rPr>
      </w:pPr>
      <w:r>
        <w:rPr>
          <w:rFonts w:ascii="宋体" w:hAnsi="宋体"/>
          <w:bCs/>
          <w:sz w:val="24"/>
          <w:highlight w:val="none"/>
        </w:rPr>
        <w:t>2.1</w:t>
      </w:r>
      <w:r>
        <w:rPr>
          <w:rFonts w:hint="eastAsia" w:ascii="宋体" w:hAnsi="宋体"/>
          <w:bCs/>
          <w:sz w:val="24"/>
          <w:highlight w:val="none"/>
        </w:rPr>
        <w:t>本招标工程项目按照《中华人民共和国招标投标法》等有关法律、行政法规、规章和规范性文件，通过招标方式选定承包人。</w:t>
      </w:r>
    </w:p>
    <w:p w14:paraId="14CE16D1">
      <w:pPr>
        <w:spacing w:line="360" w:lineRule="auto"/>
        <w:ind w:firstLine="480" w:firstLineChars="200"/>
        <w:rPr>
          <w:rFonts w:ascii="宋体"/>
          <w:bCs/>
          <w:sz w:val="24"/>
          <w:highlight w:val="none"/>
        </w:rPr>
      </w:pPr>
      <w:r>
        <w:rPr>
          <w:rFonts w:ascii="宋体" w:hAnsi="宋体"/>
          <w:bCs/>
          <w:sz w:val="24"/>
          <w:highlight w:val="none"/>
        </w:rPr>
        <w:t>2.2</w:t>
      </w:r>
      <w:r>
        <w:rPr>
          <w:rFonts w:hint="eastAsia" w:ascii="宋体" w:hAnsi="宋体"/>
          <w:bCs/>
          <w:sz w:val="24"/>
          <w:highlight w:val="none"/>
        </w:rPr>
        <w:t>工程名称、建设地点、建设规模、承包方式、质量标准、招标范围、工期要求等均在投标须知前附表中列明。</w:t>
      </w:r>
    </w:p>
    <w:p w14:paraId="414E1F80">
      <w:pPr>
        <w:spacing w:line="360" w:lineRule="auto"/>
        <w:ind w:firstLine="480" w:firstLineChars="200"/>
        <w:rPr>
          <w:rFonts w:ascii="宋体"/>
          <w:bCs/>
          <w:sz w:val="24"/>
          <w:highlight w:val="none"/>
        </w:rPr>
      </w:pPr>
      <w:r>
        <w:rPr>
          <w:rFonts w:ascii="宋体" w:hAnsi="宋体"/>
          <w:bCs/>
          <w:sz w:val="24"/>
          <w:highlight w:val="none"/>
        </w:rPr>
        <w:t>2.3</w:t>
      </w:r>
      <w:r>
        <w:rPr>
          <w:rFonts w:hint="eastAsia" w:ascii="宋体" w:hAnsi="宋体"/>
          <w:bCs/>
          <w:sz w:val="24"/>
          <w:highlight w:val="none"/>
        </w:rPr>
        <w:t>设计说明：详见招标图纸。</w:t>
      </w:r>
    </w:p>
    <w:p w14:paraId="6D1B4797">
      <w:pPr>
        <w:spacing w:line="360" w:lineRule="auto"/>
        <w:ind w:firstLine="480" w:firstLineChars="200"/>
        <w:rPr>
          <w:rFonts w:ascii="宋体"/>
          <w:bCs/>
          <w:sz w:val="24"/>
          <w:highlight w:val="none"/>
        </w:rPr>
      </w:pPr>
      <w:r>
        <w:rPr>
          <w:rFonts w:ascii="宋体" w:hAnsi="宋体"/>
          <w:bCs/>
          <w:sz w:val="24"/>
          <w:highlight w:val="none"/>
        </w:rPr>
        <w:t>2.4</w:t>
      </w:r>
      <w:r>
        <w:rPr>
          <w:rFonts w:hint="eastAsia" w:ascii="宋体" w:hAnsi="宋体"/>
          <w:bCs/>
          <w:sz w:val="24"/>
          <w:highlight w:val="none"/>
        </w:rPr>
        <w:t>工程施工特点：详见招标图纸。</w:t>
      </w:r>
    </w:p>
    <w:p w14:paraId="4A9660BE">
      <w:pPr>
        <w:tabs>
          <w:tab w:val="left" w:pos="105"/>
        </w:tabs>
        <w:spacing w:line="360" w:lineRule="auto"/>
        <w:ind w:firstLine="482" w:firstLineChars="200"/>
        <w:rPr>
          <w:rFonts w:ascii="宋体"/>
          <w:b/>
          <w:sz w:val="24"/>
          <w:highlight w:val="none"/>
        </w:rPr>
      </w:pPr>
      <w:r>
        <w:rPr>
          <w:rFonts w:ascii="宋体" w:hAnsi="宋体"/>
          <w:b/>
          <w:sz w:val="24"/>
          <w:highlight w:val="none"/>
        </w:rPr>
        <w:t>3</w:t>
      </w:r>
      <w:r>
        <w:rPr>
          <w:rFonts w:hint="eastAsia" w:ascii="宋体" w:hAnsi="宋体"/>
          <w:b/>
          <w:sz w:val="24"/>
          <w:highlight w:val="none"/>
        </w:rPr>
        <w:t>．资金来源</w:t>
      </w:r>
    </w:p>
    <w:p w14:paraId="060A40A7">
      <w:pPr>
        <w:spacing w:line="360" w:lineRule="auto"/>
        <w:ind w:firstLine="480" w:firstLineChars="200"/>
        <w:rPr>
          <w:rFonts w:ascii="宋体"/>
          <w:bCs/>
          <w:sz w:val="24"/>
          <w:highlight w:val="none"/>
        </w:rPr>
      </w:pPr>
      <w:r>
        <w:rPr>
          <w:rFonts w:ascii="宋体" w:hAnsi="宋体"/>
          <w:bCs/>
          <w:sz w:val="24"/>
          <w:highlight w:val="none"/>
        </w:rPr>
        <w:t>3.1</w:t>
      </w:r>
      <w:r>
        <w:rPr>
          <w:rFonts w:hint="eastAsia" w:ascii="宋体" w:hAnsi="宋体"/>
          <w:bCs/>
          <w:sz w:val="24"/>
          <w:highlight w:val="none"/>
        </w:rPr>
        <w:t>本招标工程项目资金来源见投标须知前附表第</w:t>
      </w:r>
      <w:r>
        <w:rPr>
          <w:rFonts w:ascii="宋体" w:hAnsi="宋体"/>
          <w:bCs/>
          <w:sz w:val="24"/>
          <w:highlight w:val="none"/>
        </w:rPr>
        <w:t>9</w:t>
      </w:r>
      <w:r>
        <w:rPr>
          <w:rFonts w:hint="eastAsia" w:ascii="宋体" w:hAnsi="宋体"/>
          <w:bCs/>
          <w:sz w:val="24"/>
          <w:highlight w:val="none"/>
        </w:rPr>
        <w:t>项</w:t>
      </w:r>
    </w:p>
    <w:p w14:paraId="525F0229">
      <w:pPr>
        <w:tabs>
          <w:tab w:val="left" w:pos="105"/>
        </w:tabs>
        <w:spacing w:line="360" w:lineRule="auto"/>
        <w:ind w:firstLine="482" w:firstLineChars="200"/>
        <w:rPr>
          <w:rFonts w:ascii="宋体"/>
          <w:b/>
          <w:sz w:val="24"/>
          <w:highlight w:val="none"/>
        </w:rPr>
      </w:pPr>
      <w:r>
        <w:rPr>
          <w:rFonts w:ascii="宋体" w:hAnsi="宋体"/>
          <w:b/>
          <w:sz w:val="24"/>
          <w:highlight w:val="none"/>
        </w:rPr>
        <w:t>4</w:t>
      </w:r>
      <w:r>
        <w:rPr>
          <w:rFonts w:hint="eastAsia" w:ascii="宋体" w:hAnsi="宋体"/>
          <w:b/>
          <w:sz w:val="24"/>
          <w:highlight w:val="none"/>
        </w:rPr>
        <w:t>．合格投标人的条件</w:t>
      </w:r>
    </w:p>
    <w:p w14:paraId="21E2C147">
      <w:pPr>
        <w:spacing w:line="360" w:lineRule="auto"/>
        <w:ind w:firstLine="480" w:firstLineChars="200"/>
        <w:rPr>
          <w:rFonts w:ascii="宋体"/>
          <w:bCs/>
          <w:sz w:val="24"/>
          <w:highlight w:val="none"/>
        </w:rPr>
      </w:pPr>
      <w:r>
        <w:rPr>
          <w:rFonts w:ascii="宋体" w:hAnsi="宋体"/>
          <w:bCs/>
          <w:sz w:val="24"/>
          <w:highlight w:val="none"/>
        </w:rPr>
        <w:t>4.1</w:t>
      </w:r>
      <w:r>
        <w:rPr>
          <w:rFonts w:hint="eastAsia" w:ascii="宋体" w:hAnsi="宋体"/>
          <w:bCs/>
          <w:sz w:val="24"/>
          <w:highlight w:val="none"/>
        </w:rPr>
        <w:t>详见本项目招标公告</w:t>
      </w:r>
    </w:p>
    <w:p w14:paraId="131D873B">
      <w:pPr>
        <w:tabs>
          <w:tab w:val="left" w:pos="105"/>
        </w:tabs>
        <w:spacing w:line="360" w:lineRule="auto"/>
        <w:ind w:firstLine="482" w:firstLineChars="200"/>
        <w:rPr>
          <w:rFonts w:ascii="宋体"/>
          <w:b/>
          <w:sz w:val="24"/>
          <w:highlight w:val="none"/>
        </w:rPr>
      </w:pPr>
      <w:r>
        <w:rPr>
          <w:rFonts w:ascii="宋体" w:hAnsi="宋体"/>
          <w:b/>
          <w:sz w:val="24"/>
          <w:highlight w:val="none"/>
        </w:rPr>
        <w:t>5</w:t>
      </w:r>
      <w:r>
        <w:rPr>
          <w:rFonts w:hint="eastAsia" w:ascii="宋体" w:hAnsi="宋体"/>
          <w:b/>
          <w:sz w:val="24"/>
          <w:highlight w:val="none"/>
        </w:rPr>
        <w:t>．踏勘现场</w:t>
      </w:r>
    </w:p>
    <w:p w14:paraId="6ED98C04">
      <w:pPr>
        <w:spacing w:line="360" w:lineRule="auto"/>
        <w:ind w:firstLine="480" w:firstLineChars="200"/>
        <w:rPr>
          <w:rFonts w:ascii="宋体"/>
          <w:bCs/>
          <w:sz w:val="24"/>
          <w:highlight w:val="none"/>
          <w:u w:val="single"/>
        </w:rPr>
      </w:pPr>
      <w:r>
        <w:rPr>
          <w:rFonts w:ascii="宋体" w:hAnsi="宋体"/>
          <w:bCs/>
          <w:sz w:val="24"/>
          <w:highlight w:val="none"/>
        </w:rPr>
        <w:t xml:space="preserve">5.1 </w:t>
      </w:r>
      <w:r>
        <w:rPr>
          <w:rFonts w:hint="eastAsia" w:ascii="宋体" w:hAnsi="宋体"/>
          <w:bCs/>
          <w:sz w:val="24"/>
          <w:highlight w:val="none"/>
        </w:rPr>
        <w:t>投标人应按本投标须知前附表第</w:t>
      </w:r>
      <w:r>
        <w:rPr>
          <w:rFonts w:ascii="宋体" w:hAnsi="宋体"/>
          <w:bCs/>
          <w:sz w:val="24"/>
          <w:highlight w:val="none"/>
        </w:rPr>
        <w:t>15</w:t>
      </w:r>
      <w:r>
        <w:rPr>
          <w:rFonts w:hint="eastAsia" w:ascii="宋体" w:hAnsi="宋体"/>
          <w:bCs/>
          <w:sz w:val="24"/>
          <w:highlight w:val="none"/>
        </w:rPr>
        <w:t>项所述时间和要求对工程现场及周围环境进行踏勘，</w:t>
      </w:r>
      <w:r>
        <w:rPr>
          <w:rFonts w:hint="eastAsia" w:ascii="宋体" w:hAnsi="宋体"/>
          <w:sz w:val="24"/>
          <w:highlight w:val="none"/>
        </w:rPr>
        <w:t>投标人应充分重视和仔细地进行这种考察，</w:t>
      </w:r>
      <w:r>
        <w:rPr>
          <w:rFonts w:hint="eastAsia" w:ascii="宋体" w:hAnsi="宋体"/>
          <w:bCs/>
          <w:sz w:val="24"/>
          <w:highlight w:val="none"/>
        </w:rPr>
        <w:t>以便投标人获取</w:t>
      </w:r>
      <w:r>
        <w:rPr>
          <w:rFonts w:hint="eastAsia" w:ascii="宋体" w:hAnsi="宋体"/>
          <w:sz w:val="24"/>
          <w:highlight w:val="none"/>
        </w:rPr>
        <w:t>那些须投标人自己负责的</w:t>
      </w:r>
      <w:r>
        <w:rPr>
          <w:rFonts w:hint="eastAsia" w:ascii="宋体" w:hAnsi="宋体"/>
          <w:bCs/>
          <w:sz w:val="24"/>
          <w:highlight w:val="none"/>
        </w:rPr>
        <w:t>有关编制投标文件和签署合同所涉及现场所有的资料。</w:t>
      </w:r>
      <w:r>
        <w:rPr>
          <w:rFonts w:hint="eastAsia" w:ascii="宋体" w:hAnsi="宋体"/>
          <w:sz w:val="24"/>
          <w:highlight w:val="none"/>
        </w:rPr>
        <w:t>一旦中标，这种考察即被认为其结果已在中标文件中得到充分反映。考察现场的费用由投标人自己承担。</w:t>
      </w:r>
    </w:p>
    <w:p w14:paraId="2ADD6E64">
      <w:pPr>
        <w:tabs>
          <w:tab w:val="left" w:pos="105"/>
        </w:tabs>
        <w:spacing w:line="360" w:lineRule="auto"/>
        <w:ind w:firstLine="480" w:firstLineChars="200"/>
        <w:rPr>
          <w:rFonts w:ascii="宋体"/>
          <w:bCs/>
          <w:sz w:val="24"/>
          <w:highlight w:val="none"/>
        </w:rPr>
      </w:pPr>
      <w:r>
        <w:rPr>
          <w:rFonts w:ascii="宋体" w:hAnsi="宋体"/>
          <w:bCs/>
          <w:sz w:val="24"/>
          <w:highlight w:val="none"/>
        </w:rPr>
        <w:t xml:space="preserve">5.2 </w:t>
      </w:r>
      <w:r>
        <w:rPr>
          <w:rFonts w:hint="eastAsia" w:ascii="宋体" w:hAnsi="宋体"/>
          <w:bCs/>
          <w:sz w:val="24"/>
          <w:highlight w:val="none"/>
        </w:rPr>
        <w:t>招标人向投标人提供的有关现场的数据和资料，是招标人现有的能被投标人利用的资料，招标人对投标人做出的任何推论、理解和结论均不负责任。</w:t>
      </w:r>
    </w:p>
    <w:p w14:paraId="0BE0AC67">
      <w:pPr>
        <w:spacing w:line="360" w:lineRule="auto"/>
        <w:ind w:firstLine="480" w:firstLineChars="200"/>
        <w:rPr>
          <w:rFonts w:ascii="宋体"/>
          <w:bCs/>
          <w:sz w:val="24"/>
          <w:highlight w:val="none"/>
        </w:rPr>
      </w:pPr>
      <w:r>
        <w:rPr>
          <w:rFonts w:ascii="宋体" w:hAnsi="宋体"/>
          <w:bCs/>
          <w:sz w:val="24"/>
          <w:highlight w:val="none"/>
        </w:rPr>
        <w:t xml:space="preserve">5.3 </w:t>
      </w:r>
      <w:r>
        <w:rPr>
          <w:rFonts w:hint="eastAsia" w:ascii="宋体" w:hAnsi="宋体"/>
          <w:bCs/>
          <w:sz w:val="24"/>
          <w:highlight w:val="none"/>
        </w:rPr>
        <w:t>经招标人允许，投标人可为踏勘目的进入招标人的项目现场。</w:t>
      </w:r>
      <w:r>
        <w:rPr>
          <w:rFonts w:hint="eastAsia" w:ascii="宋体" w:hAnsi="宋体"/>
          <w:sz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sz w:val="24"/>
          <w:highlight w:val="none"/>
        </w:rPr>
        <w:t>投标人不得因此使招标人承担有关的责任和蒙受损失。</w:t>
      </w:r>
    </w:p>
    <w:p w14:paraId="45429621">
      <w:pPr>
        <w:tabs>
          <w:tab w:val="left" w:pos="105"/>
        </w:tabs>
        <w:spacing w:line="360" w:lineRule="auto"/>
        <w:ind w:firstLine="482" w:firstLineChars="200"/>
        <w:rPr>
          <w:rFonts w:ascii="宋体"/>
          <w:b/>
          <w:sz w:val="24"/>
          <w:highlight w:val="none"/>
        </w:rPr>
      </w:pPr>
      <w:r>
        <w:rPr>
          <w:rFonts w:ascii="宋体" w:hAnsi="宋体"/>
          <w:b/>
          <w:sz w:val="24"/>
          <w:highlight w:val="none"/>
        </w:rPr>
        <w:t>6</w:t>
      </w:r>
      <w:r>
        <w:rPr>
          <w:rFonts w:hint="eastAsia" w:ascii="宋体" w:hAnsi="宋体"/>
          <w:b/>
          <w:sz w:val="24"/>
          <w:highlight w:val="none"/>
        </w:rPr>
        <w:t>．投标费用</w:t>
      </w:r>
    </w:p>
    <w:p w14:paraId="268637FF">
      <w:pPr>
        <w:tabs>
          <w:tab w:val="left" w:pos="105"/>
        </w:tabs>
        <w:spacing w:line="360" w:lineRule="auto"/>
        <w:ind w:firstLine="480" w:firstLineChars="200"/>
        <w:rPr>
          <w:rFonts w:ascii="宋体"/>
          <w:bCs/>
          <w:sz w:val="24"/>
          <w:highlight w:val="none"/>
        </w:rPr>
      </w:pPr>
      <w:r>
        <w:rPr>
          <w:rFonts w:ascii="宋体" w:hAnsi="宋体"/>
          <w:bCs/>
          <w:sz w:val="24"/>
          <w:highlight w:val="none"/>
        </w:rPr>
        <w:t>6.1</w:t>
      </w:r>
      <w:r>
        <w:rPr>
          <w:rFonts w:hint="eastAsia" w:ascii="宋体" w:hAnsi="宋体"/>
          <w:sz w:val="24"/>
          <w:highlight w:val="none"/>
        </w:rPr>
        <w:t>不论投标结果如何，投标人应承担</w:t>
      </w:r>
      <w:r>
        <w:rPr>
          <w:rFonts w:hint="eastAsia" w:ascii="宋体" w:hAnsi="宋体"/>
          <w:bCs/>
          <w:sz w:val="24"/>
          <w:highlight w:val="none"/>
        </w:rPr>
        <w:t>自身</w:t>
      </w:r>
      <w:r>
        <w:rPr>
          <w:rFonts w:hint="eastAsia" w:ascii="宋体" w:hAnsi="宋体"/>
          <w:sz w:val="24"/>
          <w:highlight w:val="none"/>
        </w:rPr>
        <w:t>因投标文件编制、递交及其他</w:t>
      </w:r>
      <w:r>
        <w:rPr>
          <w:rFonts w:hint="eastAsia" w:ascii="宋体" w:hAnsi="宋体"/>
          <w:bCs/>
          <w:sz w:val="24"/>
          <w:highlight w:val="none"/>
        </w:rPr>
        <w:t>参加本招标活动</w:t>
      </w:r>
      <w:r>
        <w:rPr>
          <w:rFonts w:hint="eastAsia" w:ascii="宋体" w:hAnsi="宋体"/>
          <w:sz w:val="24"/>
          <w:highlight w:val="none"/>
        </w:rPr>
        <w:t>所涉及的一切费用，招标人对上述费用不负任何责任。</w:t>
      </w:r>
    </w:p>
    <w:p w14:paraId="061EFA79">
      <w:pPr>
        <w:pStyle w:val="4"/>
        <w:spacing w:before="156" w:after="156"/>
        <w:rPr>
          <w:highlight w:val="none"/>
        </w:rPr>
      </w:pPr>
      <w:bookmarkStart w:id="16" w:name="_Toc21525494"/>
      <w:bookmarkStart w:id="17" w:name="_Toc2272550"/>
      <w:r>
        <w:rPr>
          <w:rFonts w:hint="eastAsia"/>
          <w:highlight w:val="none"/>
        </w:rPr>
        <w:t>（二）招标文件</w:t>
      </w:r>
      <w:bookmarkEnd w:id="16"/>
      <w:bookmarkEnd w:id="17"/>
    </w:p>
    <w:p w14:paraId="6D7B9659">
      <w:pPr>
        <w:tabs>
          <w:tab w:val="left" w:pos="105"/>
        </w:tabs>
        <w:spacing w:line="360" w:lineRule="auto"/>
        <w:ind w:firstLine="482" w:firstLineChars="200"/>
        <w:rPr>
          <w:rFonts w:ascii="宋体"/>
          <w:b/>
          <w:sz w:val="24"/>
          <w:highlight w:val="none"/>
        </w:rPr>
      </w:pPr>
      <w:r>
        <w:rPr>
          <w:rFonts w:ascii="宋体" w:hAnsi="宋体"/>
          <w:b/>
          <w:sz w:val="24"/>
          <w:highlight w:val="none"/>
        </w:rPr>
        <w:t>7.</w:t>
      </w:r>
      <w:r>
        <w:rPr>
          <w:rFonts w:hint="eastAsia" w:ascii="宋体" w:hAnsi="宋体"/>
          <w:b/>
          <w:sz w:val="24"/>
          <w:highlight w:val="none"/>
        </w:rPr>
        <w:t>招标文件的组成</w:t>
      </w:r>
    </w:p>
    <w:p w14:paraId="3943BC7C">
      <w:pPr>
        <w:spacing w:line="360" w:lineRule="auto"/>
        <w:ind w:firstLine="480" w:firstLineChars="200"/>
        <w:rPr>
          <w:rFonts w:ascii="宋体"/>
          <w:sz w:val="24"/>
          <w:highlight w:val="none"/>
        </w:rPr>
      </w:pPr>
      <w:r>
        <w:rPr>
          <w:rFonts w:ascii="宋体" w:hAnsi="宋体"/>
          <w:bCs/>
          <w:sz w:val="24"/>
          <w:highlight w:val="none"/>
        </w:rPr>
        <w:t>7.1</w:t>
      </w:r>
      <w:r>
        <w:rPr>
          <w:rFonts w:hint="eastAsia" w:ascii="宋体" w:hAnsi="宋体"/>
          <w:sz w:val="24"/>
          <w:highlight w:val="none"/>
        </w:rPr>
        <w:t>本招标文件包括下列文件，以及所有按本须知第</w:t>
      </w:r>
      <w:r>
        <w:rPr>
          <w:rFonts w:ascii="宋体" w:hAnsi="宋体"/>
          <w:sz w:val="24"/>
          <w:highlight w:val="none"/>
        </w:rPr>
        <w:t>8</w:t>
      </w:r>
      <w:r>
        <w:rPr>
          <w:rFonts w:hint="eastAsia" w:ascii="宋体" w:hAnsi="宋体"/>
          <w:sz w:val="24"/>
          <w:highlight w:val="none"/>
        </w:rPr>
        <w:t>条发出的招标答疑会会议纪要和按本须知第</w:t>
      </w:r>
      <w:r>
        <w:rPr>
          <w:rFonts w:ascii="宋体" w:hAnsi="宋体"/>
          <w:sz w:val="24"/>
          <w:highlight w:val="none"/>
        </w:rPr>
        <w:t>9</w:t>
      </w:r>
      <w:r>
        <w:rPr>
          <w:rFonts w:hint="eastAsia" w:ascii="宋体" w:hAnsi="宋体"/>
          <w:sz w:val="24"/>
          <w:highlight w:val="none"/>
        </w:rPr>
        <w:t>条发出的澄清或修改：</w:t>
      </w:r>
    </w:p>
    <w:p w14:paraId="76A2A71A">
      <w:pPr>
        <w:pStyle w:val="49"/>
        <w:spacing w:after="0" w:line="360" w:lineRule="auto"/>
        <w:ind w:left="420" w:firstLine="480" w:firstLineChars="200"/>
        <w:rPr>
          <w:rFonts w:ascii="宋体"/>
          <w:sz w:val="24"/>
          <w:highlight w:val="none"/>
        </w:rPr>
      </w:pPr>
      <w:r>
        <w:rPr>
          <w:rFonts w:hint="eastAsia" w:ascii="宋体" w:hAnsi="宋体"/>
          <w:bCs/>
          <w:sz w:val="24"/>
          <w:highlight w:val="none"/>
        </w:rPr>
        <w:t>第一章</w:t>
      </w:r>
      <w:r>
        <w:rPr>
          <w:rFonts w:hint="eastAsia" w:ascii="宋体" w:hAnsi="宋体"/>
          <w:sz w:val="24"/>
          <w:highlight w:val="none"/>
        </w:rPr>
        <w:t>投标须知</w:t>
      </w:r>
    </w:p>
    <w:p w14:paraId="58F18A47">
      <w:pPr>
        <w:pStyle w:val="49"/>
        <w:spacing w:after="0" w:line="360" w:lineRule="auto"/>
        <w:ind w:left="420" w:firstLine="480" w:firstLineChars="200"/>
        <w:rPr>
          <w:rFonts w:ascii="宋体"/>
          <w:sz w:val="24"/>
          <w:highlight w:val="none"/>
        </w:rPr>
      </w:pPr>
      <w:r>
        <w:rPr>
          <w:rFonts w:hint="eastAsia" w:ascii="宋体" w:hAnsi="宋体"/>
          <w:bCs/>
          <w:sz w:val="24"/>
          <w:highlight w:val="none"/>
        </w:rPr>
        <w:t>第二章</w:t>
      </w:r>
      <w:r>
        <w:rPr>
          <w:rFonts w:hint="eastAsia" w:ascii="宋体" w:hAnsi="宋体"/>
          <w:sz w:val="24"/>
          <w:highlight w:val="none"/>
        </w:rPr>
        <w:t>开标、评标及定标办法</w:t>
      </w:r>
    </w:p>
    <w:p w14:paraId="4552AD1E">
      <w:pPr>
        <w:pStyle w:val="49"/>
        <w:spacing w:after="0" w:line="360" w:lineRule="auto"/>
        <w:ind w:firstLine="480" w:firstLineChars="200"/>
        <w:rPr>
          <w:rFonts w:ascii="宋体"/>
          <w:sz w:val="24"/>
          <w:highlight w:val="none"/>
        </w:rPr>
      </w:pPr>
      <w:r>
        <w:rPr>
          <w:rFonts w:hint="eastAsia" w:ascii="宋体" w:hAnsi="宋体"/>
          <w:sz w:val="24"/>
          <w:highlight w:val="none"/>
        </w:rPr>
        <w:t>第三章合同条款</w:t>
      </w:r>
    </w:p>
    <w:p w14:paraId="0FC8443F">
      <w:pPr>
        <w:pStyle w:val="49"/>
        <w:spacing w:after="0" w:line="360" w:lineRule="auto"/>
        <w:ind w:firstLine="480" w:firstLineChars="200"/>
        <w:rPr>
          <w:rFonts w:ascii="宋体"/>
          <w:sz w:val="24"/>
          <w:highlight w:val="none"/>
        </w:rPr>
      </w:pPr>
      <w:r>
        <w:rPr>
          <w:rFonts w:hint="eastAsia" w:ascii="宋体" w:hAnsi="宋体"/>
          <w:bCs/>
          <w:sz w:val="24"/>
          <w:highlight w:val="none"/>
        </w:rPr>
        <w:t>第四章</w:t>
      </w:r>
      <w:r>
        <w:rPr>
          <w:rFonts w:hint="eastAsia" w:ascii="宋体" w:hAnsi="宋体"/>
          <w:sz w:val="24"/>
          <w:highlight w:val="none"/>
        </w:rPr>
        <w:t>投标文件格式</w:t>
      </w:r>
    </w:p>
    <w:p w14:paraId="10EEF164">
      <w:pPr>
        <w:pStyle w:val="49"/>
        <w:spacing w:after="0" w:line="360" w:lineRule="auto"/>
        <w:ind w:left="420" w:firstLine="480" w:firstLineChars="200"/>
        <w:rPr>
          <w:rFonts w:ascii="宋体"/>
          <w:sz w:val="24"/>
          <w:highlight w:val="none"/>
        </w:rPr>
      </w:pPr>
      <w:r>
        <w:rPr>
          <w:rFonts w:hint="eastAsia" w:ascii="宋体" w:hAnsi="宋体"/>
          <w:bCs/>
          <w:sz w:val="24"/>
          <w:highlight w:val="none"/>
        </w:rPr>
        <w:t>第五章</w:t>
      </w:r>
      <w:r>
        <w:rPr>
          <w:rFonts w:hint="eastAsia" w:ascii="宋体" w:hAnsi="宋体"/>
          <w:sz w:val="24"/>
          <w:highlight w:val="none"/>
        </w:rPr>
        <w:t>技术条件（工程建设标准）（另册）</w:t>
      </w:r>
    </w:p>
    <w:p w14:paraId="39AF4E43">
      <w:pPr>
        <w:pStyle w:val="49"/>
        <w:spacing w:after="0" w:line="360" w:lineRule="auto"/>
        <w:ind w:left="420" w:firstLine="480" w:firstLineChars="200"/>
        <w:rPr>
          <w:rFonts w:ascii="宋体"/>
          <w:sz w:val="24"/>
          <w:highlight w:val="none"/>
        </w:rPr>
      </w:pPr>
      <w:r>
        <w:rPr>
          <w:rFonts w:hint="eastAsia" w:ascii="宋体" w:hAnsi="宋体"/>
          <w:bCs/>
          <w:sz w:val="24"/>
          <w:highlight w:val="none"/>
        </w:rPr>
        <w:t>第六章</w:t>
      </w:r>
      <w:r>
        <w:rPr>
          <w:rFonts w:hint="eastAsia" w:ascii="宋体" w:hAnsi="宋体"/>
          <w:sz w:val="24"/>
          <w:highlight w:val="none"/>
        </w:rPr>
        <w:t>图纸及勘察资料（另册）</w:t>
      </w:r>
    </w:p>
    <w:p w14:paraId="155A3E61">
      <w:pPr>
        <w:pStyle w:val="49"/>
        <w:spacing w:after="0" w:line="360" w:lineRule="auto"/>
        <w:ind w:left="420" w:firstLine="480" w:firstLineChars="200"/>
        <w:rPr>
          <w:rFonts w:ascii="宋体"/>
          <w:sz w:val="24"/>
          <w:highlight w:val="none"/>
        </w:rPr>
      </w:pPr>
      <w:r>
        <w:rPr>
          <w:rFonts w:hint="eastAsia" w:ascii="宋体" w:hAnsi="宋体"/>
          <w:bCs/>
          <w:sz w:val="24"/>
          <w:highlight w:val="none"/>
        </w:rPr>
        <w:t>第七章招标</w:t>
      </w:r>
      <w:r>
        <w:rPr>
          <w:rFonts w:hint="eastAsia" w:ascii="宋体" w:hAnsi="宋体"/>
          <w:sz w:val="24"/>
          <w:highlight w:val="none"/>
        </w:rPr>
        <w:t>工程量清单（另册）</w:t>
      </w:r>
    </w:p>
    <w:p w14:paraId="4217C124">
      <w:pPr>
        <w:pStyle w:val="49"/>
        <w:spacing w:after="0" w:line="360" w:lineRule="auto"/>
        <w:ind w:left="420" w:firstLine="480" w:firstLineChars="200"/>
        <w:rPr>
          <w:rFonts w:ascii="宋体"/>
          <w:sz w:val="24"/>
          <w:highlight w:val="none"/>
        </w:rPr>
      </w:pPr>
      <w:r>
        <w:rPr>
          <w:rFonts w:hint="eastAsia" w:ascii="宋体" w:hAnsi="宋体"/>
          <w:sz w:val="24"/>
          <w:highlight w:val="none"/>
        </w:rPr>
        <w:t>第八章最高投标限价</w:t>
      </w:r>
    </w:p>
    <w:p w14:paraId="24595ADF">
      <w:pPr>
        <w:pStyle w:val="49"/>
        <w:spacing w:after="0" w:line="360" w:lineRule="auto"/>
        <w:ind w:firstLine="480" w:firstLineChars="200"/>
        <w:rPr>
          <w:rFonts w:ascii="宋体"/>
          <w:sz w:val="24"/>
          <w:highlight w:val="none"/>
        </w:rPr>
      </w:pPr>
      <w:r>
        <w:rPr>
          <w:rFonts w:ascii="宋体" w:hAnsi="宋体"/>
          <w:sz w:val="24"/>
          <w:highlight w:val="none"/>
        </w:rPr>
        <w:t xml:space="preserve">7.2 </w:t>
      </w:r>
      <w:r>
        <w:rPr>
          <w:rFonts w:hint="eastAsia" w:ascii="宋体" w:hAnsi="宋体"/>
          <w:sz w:val="24"/>
          <w:highlight w:val="none"/>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12FFD9DB">
      <w:pPr>
        <w:pStyle w:val="49"/>
        <w:spacing w:after="0" w:line="360" w:lineRule="auto"/>
        <w:ind w:firstLine="480" w:firstLineChars="200"/>
        <w:rPr>
          <w:rFonts w:ascii="宋体"/>
          <w:sz w:val="24"/>
          <w:highlight w:val="none"/>
        </w:rPr>
      </w:pPr>
      <w:r>
        <w:rPr>
          <w:rFonts w:ascii="宋体" w:hAnsi="宋体"/>
          <w:sz w:val="24"/>
          <w:highlight w:val="none"/>
        </w:rPr>
        <w:t xml:space="preserve">7.3 </w:t>
      </w:r>
      <w:r>
        <w:rPr>
          <w:rFonts w:hint="eastAsia" w:ascii="宋体" w:hAnsi="宋体"/>
          <w:sz w:val="24"/>
          <w:highlight w:val="none"/>
        </w:rPr>
        <w:t>投标人一旦中标，招标文件的内容对招标人和中标人双方均有约束力。</w:t>
      </w:r>
    </w:p>
    <w:p w14:paraId="7C556CEA">
      <w:pPr>
        <w:pStyle w:val="49"/>
        <w:spacing w:after="0" w:line="360" w:lineRule="auto"/>
        <w:ind w:firstLine="482" w:firstLineChars="200"/>
        <w:rPr>
          <w:rFonts w:ascii="宋体"/>
          <w:b/>
          <w:bCs/>
          <w:color w:val="000000"/>
          <w:sz w:val="24"/>
          <w:highlight w:val="none"/>
        </w:rPr>
      </w:pPr>
      <w:r>
        <w:rPr>
          <w:rFonts w:ascii="宋体" w:hAnsi="宋体"/>
          <w:b/>
          <w:bCs/>
          <w:color w:val="000000"/>
          <w:sz w:val="24"/>
          <w:highlight w:val="none"/>
        </w:rPr>
        <w:t>8</w:t>
      </w:r>
      <w:r>
        <w:rPr>
          <w:rFonts w:hint="eastAsia" w:ascii="宋体" w:hAnsi="宋体"/>
          <w:b/>
          <w:bCs/>
          <w:color w:val="000000"/>
          <w:sz w:val="24"/>
          <w:highlight w:val="none"/>
        </w:rPr>
        <w:t>．招标答疑</w:t>
      </w:r>
    </w:p>
    <w:p w14:paraId="74403C59">
      <w:pPr>
        <w:pStyle w:val="49"/>
        <w:spacing w:after="0" w:line="360" w:lineRule="auto"/>
        <w:ind w:firstLine="480" w:firstLineChars="200"/>
        <w:rPr>
          <w:rFonts w:ascii="宋体"/>
          <w:color w:val="000000"/>
          <w:sz w:val="24"/>
          <w:highlight w:val="none"/>
        </w:rPr>
      </w:pPr>
      <w:r>
        <w:rPr>
          <w:rFonts w:ascii="宋体" w:hAnsi="宋体"/>
          <w:color w:val="000000"/>
          <w:sz w:val="24"/>
          <w:highlight w:val="none"/>
        </w:rPr>
        <w:t xml:space="preserve">8.1 </w:t>
      </w:r>
      <w:r>
        <w:rPr>
          <w:rFonts w:hint="eastAsia" w:ascii="宋体" w:hAnsi="宋体"/>
          <w:color w:val="000000"/>
          <w:sz w:val="24"/>
          <w:highlight w:val="none"/>
        </w:rPr>
        <w:t>投标人若对招标文件（包括招标图纸）中有疑问，可以书面形式</w:t>
      </w:r>
      <w:r>
        <w:rPr>
          <w:rFonts w:hint="eastAsia"/>
          <w:color w:val="000000"/>
          <w:sz w:val="24"/>
          <w:szCs w:val="24"/>
          <w:highlight w:val="none"/>
        </w:rPr>
        <w:t>通过</w:t>
      </w:r>
      <w:r>
        <w:rPr>
          <w:rFonts w:hint="eastAsia" w:ascii="宋体" w:hAnsi="宋体"/>
          <w:color w:val="000000"/>
          <w:sz w:val="24"/>
          <w:szCs w:val="24"/>
          <w:highlight w:val="none"/>
        </w:rPr>
        <w:t>交易平台</w:t>
      </w:r>
      <w:r>
        <w:rPr>
          <w:rFonts w:hint="eastAsia"/>
          <w:color w:val="000000"/>
          <w:sz w:val="24"/>
          <w:szCs w:val="24"/>
          <w:highlight w:val="none"/>
        </w:rPr>
        <w:t>提交</w:t>
      </w:r>
      <w:r>
        <w:rPr>
          <w:rFonts w:hint="eastAsia" w:ascii="宋体" w:hAnsi="宋体"/>
          <w:color w:val="000000"/>
          <w:sz w:val="24"/>
          <w:highlight w:val="none"/>
        </w:rPr>
        <w:t>给招标人或招标代理人，提交形式见本须知前附表第</w:t>
      </w:r>
      <w:r>
        <w:rPr>
          <w:rFonts w:ascii="宋体" w:hAnsi="宋体"/>
          <w:color w:val="000000"/>
          <w:sz w:val="24"/>
          <w:highlight w:val="none"/>
        </w:rPr>
        <w:t>16</w:t>
      </w:r>
      <w:r>
        <w:rPr>
          <w:rFonts w:hint="eastAsia" w:ascii="宋体" w:hAnsi="宋体"/>
          <w:color w:val="000000"/>
          <w:sz w:val="24"/>
          <w:highlight w:val="none"/>
        </w:rPr>
        <w:t>项。</w:t>
      </w:r>
    </w:p>
    <w:p w14:paraId="5F581F89">
      <w:pPr>
        <w:pStyle w:val="49"/>
        <w:spacing w:after="0" w:line="360" w:lineRule="auto"/>
        <w:ind w:firstLine="480" w:firstLineChars="200"/>
        <w:rPr>
          <w:rFonts w:ascii="宋体"/>
          <w:color w:val="000000"/>
          <w:sz w:val="24"/>
          <w:highlight w:val="none"/>
        </w:rPr>
      </w:pPr>
      <w:r>
        <w:rPr>
          <w:rFonts w:ascii="宋体" w:hAnsi="宋体"/>
          <w:color w:val="000000"/>
          <w:sz w:val="24"/>
          <w:highlight w:val="none"/>
        </w:rPr>
        <w:t>8.2</w:t>
      </w:r>
      <w:r>
        <w:rPr>
          <w:rFonts w:hint="eastAsia" w:ascii="宋体"/>
          <w:color w:val="000000"/>
          <w:sz w:val="24"/>
          <w:highlight w:val="none"/>
        </w:rPr>
        <w:t>招标答疑会会议纪要将在提交投标文件截止时间15日前在</w:t>
      </w:r>
      <w:r>
        <w:rPr>
          <w:rFonts w:hint="eastAsia" w:ascii="宋体" w:hAnsi="宋体"/>
          <w:color w:val="000000"/>
          <w:sz w:val="24"/>
          <w:szCs w:val="24"/>
          <w:highlight w:val="none"/>
        </w:rPr>
        <w:t>交易平台</w:t>
      </w:r>
      <w:r>
        <w:rPr>
          <w:rFonts w:hint="eastAsia" w:ascii="宋体"/>
          <w:color w:val="000000"/>
          <w:sz w:val="24"/>
          <w:highlight w:val="none"/>
        </w:rPr>
        <w:t xml:space="preserve"> “项目答疑纪要”专区公开发布。答疑纪要一经在</w:t>
      </w:r>
      <w:r>
        <w:rPr>
          <w:rFonts w:hint="eastAsia" w:ascii="宋体" w:hAnsi="宋体"/>
          <w:color w:val="000000"/>
          <w:sz w:val="24"/>
          <w:szCs w:val="24"/>
          <w:highlight w:val="none"/>
        </w:rPr>
        <w:t>交易平台</w:t>
      </w:r>
      <w:r>
        <w:rPr>
          <w:rFonts w:hint="eastAsia" w:ascii="宋体"/>
          <w:color w:val="000000"/>
          <w:sz w:val="24"/>
          <w:highlight w:val="none"/>
        </w:rPr>
        <w:t>发布，视作已发放给所有投标人。</w:t>
      </w:r>
    </w:p>
    <w:p w14:paraId="52BEB8B0">
      <w:pPr>
        <w:pStyle w:val="49"/>
        <w:spacing w:after="0" w:line="360" w:lineRule="auto"/>
        <w:ind w:firstLine="480" w:firstLineChars="200"/>
        <w:rPr>
          <w:rFonts w:ascii="宋体"/>
          <w:color w:val="000000"/>
          <w:sz w:val="24"/>
          <w:highlight w:val="none"/>
        </w:rPr>
      </w:pPr>
      <w:r>
        <w:rPr>
          <w:rFonts w:ascii="宋体" w:hAnsi="宋体"/>
          <w:color w:val="000000"/>
          <w:sz w:val="24"/>
          <w:highlight w:val="none"/>
        </w:rPr>
        <w:t>8.3</w:t>
      </w:r>
      <w:r>
        <w:rPr>
          <w:rFonts w:hint="eastAsia" w:ascii="宋体" w:hAnsi="宋体"/>
          <w:color w:val="000000"/>
          <w:sz w:val="24"/>
          <w:highlight w:val="none"/>
        </w:rPr>
        <w:t>答疑会会议纪要为招标文件的一部分。</w:t>
      </w:r>
    </w:p>
    <w:p w14:paraId="79C023AE">
      <w:pPr>
        <w:pStyle w:val="49"/>
        <w:spacing w:after="0" w:line="360" w:lineRule="auto"/>
        <w:ind w:firstLine="480" w:firstLineChars="200"/>
        <w:rPr>
          <w:rFonts w:ascii="宋体"/>
          <w:color w:val="000000"/>
          <w:sz w:val="24"/>
          <w:highlight w:val="none"/>
        </w:rPr>
      </w:pPr>
      <w:r>
        <w:rPr>
          <w:rFonts w:ascii="宋体" w:hAnsi="宋体"/>
          <w:color w:val="000000"/>
          <w:sz w:val="24"/>
          <w:highlight w:val="none"/>
        </w:rPr>
        <w:t>8.4</w:t>
      </w:r>
      <w:r>
        <w:rPr>
          <w:rFonts w:hint="eastAsia" w:ascii="宋体" w:hAnsi="宋体"/>
          <w:color w:val="000000"/>
          <w:sz w:val="24"/>
          <w:highlight w:val="none"/>
        </w:rPr>
        <w:t>若招标答疑会会议纪要与招标文件有矛盾，以答疑会议纪要最后发出的书面形式的文件为准。</w:t>
      </w:r>
    </w:p>
    <w:p w14:paraId="5B25D20E">
      <w:pPr>
        <w:pStyle w:val="49"/>
        <w:spacing w:after="0" w:line="360" w:lineRule="auto"/>
        <w:ind w:firstLine="482" w:firstLineChars="200"/>
        <w:rPr>
          <w:rFonts w:ascii="宋体"/>
          <w:b/>
          <w:bCs/>
          <w:color w:val="000000"/>
          <w:sz w:val="24"/>
          <w:highlight w:val="none"/>
        </w:rPr>
      </w:pPr>
      <w:r>
        <w:rPr>
          <w:rFonts w:ascii="宋体" w:hAnsi="宋体"/>
          <w:b/>
          <w:bCs/>
          <w:color w:val="000000"/>
          <w:sz w:val="24"/>
          <w:highlight w:val="none"/>
        </w:rPr>
        <w:t>9.</w:t>
      </w:r>
      <w:r>
        <w:rPr>
          <w:rFonts w:hint="eastAsia" w:ascii="宋体" w:hAnsi="宋体"/>
          <w:b/>
          <w:bCs/>
          <w:color w:val="000000"/>
          <w:sz w:val="24"/>
          <w:highlight w:val="none"/>
        </w:rPr>
        <w:t>招标文件的澄清与修改</w:t>
      </w:r>
    </w:p>
    <w:p w14:paraId="54F84910">
      <w:pPr>
        <w:pStyle w:val="49"/>
        <w:spacing w:after="0" w:line="360" w:lineRule="auto"/>
        <w:ind w:firstLine="480" w:firstLineChars="200"/>
        <w:rPr>
          <w:rFonts w:ascii="宋体"/>
          <w:color w:val="000000"/>
          <w:sz w:val="24"/>
          <w:highlight w:val="none"/>
        </w:rPr>
      </w:pPr>
      <w:r>
        <w:rPr>
          <w:rFonts w:ascii="宋体" w:hAnsi="宋体"/>
          <w:color w:val="000000"/>
          <w:sz w:val="24"/>
          <w:highlight w:val="none"/>
        </w:rPr>
        <w:t>9.1</w:t>
      </w:r>
      <w:r>
        <w:rPr>
          <w:rFonts w:hint="eastAsia" w:ascii="宋体" w:hAnsi="宋体"/>
          <w:color w:val="000000"/>
          <w:sz w:val="24"/>
          <w:highlight w:val="none"/>
        </w:rPr>
        <w:t>招标文件发出后</w:t>
      </w:r>
      <w:r>
        <w:rPr>
          <w:rFonts w:ascii="宋体"/>
          <w:color w:val="000000"/>
          <w:sz w:val="24"/>
          <w:highlight w:val="none"/>
        </w:rPr>
        <w:t>,</w:t>
      </w:r>
      <w:r>
        <w:rPr>
          <w:rFonts w:hint="eastAsia" w:ascii="宋体" w:hAnsi="宋体"/>
          <w:color w:val="000000"/>
          <w:sz w:val="24"/>
          <w:highlight w:val="none"/>
        </w:rPr>
        <w:t>在提交投标文件截止时间15日前，招标人可对招标文件进行必要的澄清或修改。</w:t>
      </w:r>
    </w:p>
    <w:p w14:paraId="5417CCD1">
      <w:pPr>
        <w:pStyle w:val="49"/>
        <w:spacing w:after="0" w:line="360" w:lineRule="auto"/>
        <w:ind w:firstLine="480" w:firstLineChars="200"/>
        <w:rPr>
          <w:rFonts w:ascii="宋体"/>
          <w:color w:val="000000"/>
          <w:sz w:val="24"/>
          <w:highlight w:val="none"/>
        </w:rPr>
      </w:pPr>
      <w:r>
        <w:rPr>
          <w:rFonts w:ascii="宋体" w:hAnsi="宋体"/>
          <w:color w:val="000000"/>
          <w:sz w:val="24"/>
          <w:highlight w:val="none"/>
        </w:rPr>
        <w:t>9.2</w:t>
      </w:r>
      <w:r>
        <w:rPr>
          <w:rFonts w:hint="eastAsia" w:ascii="宋体"/>
          <w:color w:val="000000"/>
          <w:sz w:val="24"/>
          <w:highlight w:val="none"/>
        </w:rPr>
        <w:t>招标文件的澄清或修改将在</w:t>
      </w:r>
      <w:r>
        <w:rPr>
          <w:rFonts w:hint="eastAsia" w:ascii="宋体" w:hAnsi="宋体"/>
          <w:color w:val="000000"/>
          <w:sz w:val="24"/>
          <w:szCs w:val="24"/>
          <w:highlight w:val="none"/>
        </w:rPr>
        <w:t>交易平台</w:t>
      </w:r>
      <w:r>
        <w:rPr>
          <w:rFonts w:hint="eastAsia" w:ascii="宋体"/>
          <w:color w:val="000000"/>
          <w:sz w:val="24"/>
          <w:highlight w:val="none"/>
        </w:rPr>
        <w:t>“项目答疑纪要”专区公开发布。答疑纪要一经在</w:t>
      </w:r>
      <w:r>
        <w:rPr>
          <w:rFonts w:hint="eastAsia" w:ascii="宋体" w:hAnsi="宋体"/>
          <w:color w:val="000000"/>
          <w:sz w:val="24"/>
          <w:szCs w:val="24"/>
          <w:highlight w:val="none"/>
        </w:rPr>
        <w:t>交易平台</w:t>
      </w:r>
      <w:r>
        <w:rPr>
          <w:rFonts w:hint="eastAsia" w:ascii="宋体"/>
          <w:color w:val="000000"/>
          <w:sz w:val="24"/>
          <w:highlight w:val="none"/>
        </w:rPr>
        <w:t>发布，视作已发放给所有投标人，以</w:t>
      </w:r>
      <w:r>
        <w:rPr>
          <w:rFonts w:hint="eastAsia" w:ascii="宋体" w:hAnsi="宋体"/>
          <w:color w:val="000000"/>
          <w:sz w:val="24"/>
          <w:szCs w:val="24"/>
          <w:highlight w:val="none"/>
        </w:rPr>
        <w:t>交易平台</w:t>
      </w:r>
      <w:r>
        <w:rPr>
          <w:rFonts w:hint="eastAsia" w:ascii="宋体"/>
          <w:color w:val="000000"/>
          <w:sz w:val="24"/>
          <w:highlight w:val="none"/>
        </w:rPr>
        <w:t>上网发布时间作为送达时间。</w:t>
      </w:r>
    </w:p>
    <w:p w14:paraId="30195E3F">
      <w:pPr>
        <w:pStyle w:val="49"/>
        <w:spacing w:after="0" w:line="360" w:lineRule="auto"/>
        <w:ind w:firstLine="480" w:firstLineChars="200"/>
        <w:rPr>
          <w:rFonts w:ascii="宋体"/>
          <w:color w:val="000000"/>
          <w:sz w:val="24"/>
          <w:highlight w:val="none"/>
        </w:rPr>
      </w:pPr>
      <w:r>
        <w:rPr>
          <w:rFonts w:ascii="宋体" w:hAnsi="宋体"/>
          <w:color w:val="000000"/>
          <w:sz w:val="24"/>
          <w:highlight w:val="none"/>
        </w:rPr>
        <w:t>9.3</w:t>
      </w:r>
      <w:r>
        <w:rPr>
          <w:rFonts w:hint="eastAsia" w:ascii="宋体" w:hAnsi="宋体"/>
          <w:color w:val="000000"/>
          <w:sz w:val="24"/>
          <w:highlight w:val="none"/>
        </w:rPr>
        <w:t>招标文件的修改内容为招标文件的组成部分。</w:t>
      </w:r>
    </w:p>
    <w:p w14:paraId="58415513">
      <w:pPr>
        <w:pStyle w:val="49"/>
        <w:spacing w:after="0" w:line="360" w:lineRule="auto"/>
        <w:ind w:firstLine="480" w:firstLineChars="200"/>
        <w:rPr>
          <w:rFonts w:ascii="宋体"/>
          <w:color w:val="000000"/>
          <w:sz w:val="24"/>
          <w:highlight w:val="none"/>
        </w:rPr>
      </w:pPr>
      <w:r>
        <w:rPr>
          <w:rFonts w:ascii="宋体" w:hAnsi="宋体"/>
          <w:color w:val="000000"/>
          <w:sz w:val="24"/>
          <w:highlight w:val="none"/>
        </w:rPr>
        <w:t>9.4</w:t>
      </w:r>
      <w:r>
        <w:rPr>
          <w:rFonts w:hint="eastAsia" w:ascii="宋体" w:hAnsi="宋体"/>
          <w:color w:val="000000"/>
          <w:sz w:val="24"/>
          <w:highlight w:val="none"/>
        </w:rPr>
        <w:t>招标文件的澄清或修改均以书面形式明确的内容为准。当招标文件的澄清、修改、补充等在同一内容的表述不一致时，以最后发出的书面形式的文件为准。</w:t>
      </w:r>
    </w:p>
    <w:p w14:paraId="5D69B0F6">
      <w:pPr>
        <w:pStyle w:val="49"/>
        <w:spacing w:after="0" w:line="360" w:lineRule="auto"/>
        <w:ind w:firstLine="480" w:firstLineChars="200"/>
        <w:rPr>
          <w:rFonts w:ascii="宋体"/>
          <w:color w:val="000000"/>
          <w:sz w:val="24"/>
          <w:highlight w:val="none"/>
        </w:rPr>
      </w:pPr>
      <w:r>
        <w:rPr>
          <w:rFonts w:ascii="宋体" w:hAnsi="宋体"/>
          <w:color w:val="000000"/>
          <w:sz w:val="24"/>
          <w:highlight w:val="none"/>
        </w:rPr>
        <w:t>9.5</w:t>
      </w:r>
      <w:r>
        <w:rPr>
          <w:rFonts w:hint="eastAsia" w:ascii="宋体" w:hAnsi="宋体"/>
          <w:color w:val="000000"/>
          <w:sz w:val="24"/>
          <w:highlight w:val="none"/>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3AB6BF42">
      <w:pPr>
        <w:pStyle w:val="4"/>
        <w:spacing w:before="156" w:after="156"/>
        <w:rPr>
          <w:color w:val="000000"/>
          <w:highlight w:val="none"/>
        </w:rPr>
      </w:pPr>
      <w:bookmarkStart w:id="18" w:name="_Toc21525495"/>
      <w:bookmarkStart w:id="19" w:name="_Toc2272551"/>
      <w:r>
        <w:rPr>
          <w:rFonts w:hint="eastAsia"/>
          <w:color w:val="000000"/>
          <w:highlight w:val="none"/>
        </w:rPr>
        <w:t>（三）投标文件的编制</w:t>
      </w:r>
      <w:bookmarkEnd w:id="18"/>
      <w:bookmarkEnd w:id="19"/>
    </w:p>
    <w:p w14:paraId="0FD4246A">
      <w:pPr>
        <w:pStyle w:val="49"/>
        <w:spacing w:after="0" w:line="360" w:lineRule="auto"/>
        <w:ind w:firstLine="482" w:firstLineChars="200"/>
        <w:rPr>
          <w:rFonts w:ascii="宋体"/>
          <w:b/>
          <w:bCs/>
          <w:color w:val="000000"/>
          <w:sz w:val="24"/>
          <w:highlight w:val="none"/>
        </w:rPr>
      </w:pPr>
      <w:r>
        <w:rPr>
          <w:rFonts w:ascii="宋体" w:hAnsi="宋体"/>
          <w:b/>
          <w:bCs/>
          <w:color w:val="000000"/>
          <w:sz w:val="24"/>
          <w:highlight w:val="none"/>
        </w:rPr>
        <w:t>10</w:t>
      </w:r>
      <w:r>
        <w:rPr>
          <w:rFonts w:hint="eastAsia" w:ascii="宋体" w:hAnsi="宋体"/>
          <w:b/>
          <w:bCs/>
          <w:color w:val="000000"/>
          <w:sz w:val="24"/>
          <w:highlight w:val="none"/>
        </w:rPr>
        <w:t>．投标文件的语言及度量衡单位</w:t>
      </w:r>
    </w:p>
    <w:p w14:paraId="5885BD64">
      <w:pPr>
        <w:pStyle w:val="49"/>
        <w:spacing w:after="0" w:line="360" w:lineRule="auto"/>
        <w:ind w:firstLine="480" w:firstLineChars="200"/>
        <w:rPr>
          <w:rFonts w:ascii="宋体"/>
          <w:color w:val="000000"/>
          <w:sz w:val="24"/>
          <w:highlight w:val="none"/>
        </w:rPr>
      </w:pPr>
      <w:r>
        <w:rPr>
          <w:rFonts w:ascii="宋体" w:hAnsi="宋体"/>
          <w:color w:val="000000"/>
          <w:sz w:val="24"/>
          <w:highlight w:val="none"/>
        </w:rPr>
        <w:t xml:space="preserve">10.1 </w:t>
      </w:r>
      <w:r>
        <w:rPr>
          <w:rFonts w:hint="eastAsia" w:ascii="宋体" w:hAnsi="宋体"/>
          <w:color w:val="000000"/>
          <w:sz w:val="24"/>
          <w:highlight w:val="none"/>
        </w:rPr>
        <w:t>投标文件和与投标有关的所有文件均应使用中文。</w:t>
      </w:r>
    </w:p>
    <w:p w14:paraId="1DBF78BA">
      <w:pPr>
        <w:pStyle w:val="49"/>
        <w:spacing w:after="0" w:line="360" w:lineRule="auto"/>
        <w:ind w:firstLine="480" w:firstLineChars="200"/>
        <w:rPr>
          <w:rFonts w:ascii="宋体"/>
          <w:color w:val="000000"/>
          <w:sz w:val="24"/>
          <w:highlight w:val="none"/>
        </w:rPr>
      </w:pPr>
      <w:r>
        <w:rPr>
          <w:rFonts w:ascii="宋体" w:hAnsi="宋体"/>
          <w:color w:val="000000"/>
          <w:sz w:val="24"/>
          <w:highlight w:val="none"/>
        </w:rPr>
        <w:t xml:space="preserve">10.2 </w:t>
      </w:r>
      <w:r>
        <w:rPr>
          <w:rFonts w:hint="eastAsia" w:ascii="宋体" w:hAnsi="宋体"/>
          <w:color w:val="000000"/>
          <w:sz w:val="24"/>
          <w:highlight w:val="none"/>
        </w:rPr>
        <w:t>除工程规范另有规定外，投标文件使用的度量衡单位，均采用中华人民共和国法定计量单位。</w:t>
      </w:r>
    </w:p>
    <w:p w14:paraId="5587316A">
      <w:pPr>
        <w:pStyle w:val="49"/>
        <w:spacing w:after="0" w:line="360" w:lineRule="auto"/>
        <w:ind w:firstLine="482" w:firstLineChars="200"/>
        <w:rPr>
          <w:rFonts w:ascii="宋体"/>
          <w:b/>
          <w:bCs/>
          <w:color w:val="000000"/>
          <w:sz w:val="24"/>
          <w:highlight w:val="none"/>
        </w:rPr>
      </w:pPr>
      <w:r>
        <w:rPr>
          <w:rFonts w:ascii="宋体" w:hAnsi="宋体"/>
          <w:b/>
          <w:bCs/>
          <w:color w:val="000000"/>
          <w:sz w:val="24"/>
          <w:highlight w:val="none"/>
        </w:rPr>
        <w:t>11</w:t>
      </w:r>
      <w:r>
        <w:rPr>
          <w:rFonts w:hint="eastAsia" w:ascii="宋体" w:hAnsi="宋体"/>
          <w:b/>
          <w:bCs/>
          <w:color w:val="000000"/>
          <w:sz w:val="24"/>
          <w:highlight w:val="none"/>
        </w:rPr>
        <w:t>．投标文件的组成</w:t>
      </w:r>
    </w:p>
    <w:p w14:paraId="3E7F920A">
      <w:pPr>
        <w:pStyle w:val="49"/>
        <w:spacing w:after="0" w:line="360" w:lineRule="auto"/>
        <w:ind w:firstLine="480" w:firstLineChars="200"/>
        <w:rPr>
          <w:rFonts w:ascii="宋体"/>
          <w:b/>
          <w:color w:val="000000"/>
          <w:sz w:val="24"/>
          <w:highlight w:val="none"/>
        </w:rPr>
      </w:pPr>
      <w:r>
        <w:rPr>
          <w:rFonts w:ascii="宋体" w:hAnsi="宋体"/>
          <w:color w:val="000000"/>
          <w:sz w:val="24"/>
          <w:highlight w:val="none"/>
        </w:rPr>
        <w:t xml:space="preserve">11.1 </w:t>
      </w:r>
      <w:r>
        <w:rPr>
          <w:rFonts w:hint="eastAsia" w:ascii="宋体" w:hAnsi="宋体"/>
          <w:color w:val="000000"/>
          <w:sz w:val="24"/>
          <w:highlight w:val="none"/>
        </w:rPr>
        <w:t>投标文件由技术部分（含资格审查文件）和经济部分二部分投标文件组成</w:t>
      </w:r>
      <w:r>
        <w:rPr>
          <w:rFonts w:hint="eastAsia" w:ascii="宋体" w:hAnsi="宋体"/>
          <w:b/>
          <w:color w:val="000000"/>
          <w:sz w:val="24"/>
          <w:highlight w:val="none"/>
        </w:rPr>
        <w:t>。</w:t>
      </w:r>
    </w:p>
    <w:p w14:paraId="3F125E01">
      <w:pPr>
        <w:spacing w:line="360" w:lineRule="auto"/>
        <w:ind w:firstLine="480" w:firstLineChars="200"/>
        <w:rPr>
          <w:rFonts w:ascii="宋体" w:hAnsi="宋体"/>
          <w:bCs/>
          <w:color w:val="000000"/>
          <w:sz w:val="24"/>
          <w:highlight w:val="none"/>
        </w:rPr>
      </w:pPr>
      <w:r>
        <w:rPr>
          <w:rFonts w:ascii="宋体" w:hAnsi="宋体"/>
          <w:bCs/>
          <w:color w:val="000000"/>
          <w:sz w:val="24"/>
          <w:highlight w:val="none"/>
        </w:rPr>
        <w:t>11.2</w:t>
      </w:r>
      <w:r>
        <w:rPr>
          <w:rFonts w:hint="eastAsia" w:ascii="宋体" w:hAnsi="宋体"/>
          <w:bCs/>
          <w:color w:val="000000"/>
          <w:sz w:val="24"/>
          <w:highlight w:val="none"/>
        </w:rPr>
        <w:t>投标文件技术标部分主要包括下列内容</w:t>
      </w:r>
      <w:r>
        <w:rPr>
          <w:rFonts w:ascii="宋体" w:hAnsi="宋体"/>
          <w:bCs/>
          <w:color w:val="000000"/>
          <w:sz w:val="24"/>
          <w:highlight w:val="none"/>
        </w:rPr>
        <w:t>:</w:t>
      </w:r>
    </w:p>
    <w:p w14:paraId="3EAD1412">
      <w:pPr>
        <w:spacing w:line="360" w:lineRule="auto"/>
        <w:ind w:firstLine="480" w:firstLineChars="200"/>
        <w:rPr>
          <w:rFonts w:ascii="宋体"/>
          <w:bCs/>
          <w:color w:val="000000"/>
          <w:sz w:val="24"/>
          <w:highlight w:val="none"/>
        </w:rPr>
      </w:pPr>
      <w:r>
        <w:rPr>
          <w:rFonts w:hint="eastAsia" w:ascii="宋体"/>
          <w:bCs/>
          <w:color w:val="000000"/>
          <w:sz w:val="24"/>
          <w:highlight w:val="none"/>
        </w:rPr>
        <w:t>11.2.1 技术投标文件</w:t>
      </w:r>
      <w:r>
        <w:rPr>
          <w:rFonts w:ascii="宋体" w:hAnsi="宋体"/>
          <w:color w:val="000000"/>
          <w:sz w:val="24"/>
          <w:highlight w:val="none"/>
        </w:rPr>
        <w:t>(</w:t>
      </w:r>
      <w:r>
        <w:rPr>
          <w:rFonts w:hint="eastAsia" w:ascii="宋体" w:hAnsi="宋体"/>
          <w:color w:val="000000"/>
          <w:sz w:val="24"/>
          <w:highlight w:val="none"/>
        </w:rPr>
        <w:t>按招标文件的要求填写</w:t>
      </w:r>
      <w:r>
        <w:rPr>
          <w:rFonts w:ascii="宋体" w:hAnsi="宋体"/>
          <w:color w:val="000000"/>
          <w:sz w:val="24"/>
          <w:highlight w:val="none"/>
        </w:rPr>
        <w:t>)</w:t>
      </w:r>
      <w:r>
        <w:rPr>
          <w:rFonts w:hint="eastAsia" w:ascii="宋体"/>
          <w:bCs/>
          <w:color w:val="000000"/>
          <w:sz w:val="24"/>
          <w:highlight w:val="none"/>
        </w:rPr>
        <w:t>；</w:t>
      </w:r>
    </w:p>
    <w:p w14:paraId="10E7C9DD">
      <w:pPr>
        <w:spacing w:line="360" w:lineRule="auto"/>
        <w:ind w:firstLine="480" w:firstLineChars="200"/>
        <w:rPr>
          <w:rFonts w:ascii="宋体"/>
          <w:bCs/>
          <w:color w:val="000000"/>
          <w:sz w:val="24"/>
          <w:highlight w:val="none"/>
        </w:rPr>
      </w:pPr>
      <w:r>
        <w:rPr>
          <w:rFonts w:hint="eastAsia" w:ascii="宋体"/>
          <w:bCs/>
          <w:color w:val="000000"/>
          <w:sz w:val="24"/>
          <w:highlight w:val="none"/>
        </w:rPr>
        <w:t>11.2.2 资格审查文件：</w:t>
      </w:r>
    </w:p>
    <w:p w14:paraId="2737D62A">
      <w:pPr>
        <w:spacing w:line="360" w:lineRule="auto"/>
        <w:ind w:firstLine="480" w:firstLineChars="200"/>
        <w:rPr>
          <w:rFonts w:ascii="宋体"/>
          <w:bCs/>
          <w:color w:val="000000"/>
          <w:sz w:val="24"/>
          <w:highlight w:val="none"/>
        </w:rPr>
      </w:pPr>
      <w:r>
        <w:rPr>
          <w:rFonts w:hint="eastAsia" w:ascii="宋体"/>
          <w:bCs/>
          <w:color w:val="000000"/>
          <w:sz w:val="24"/>
          <w:highlight w:val="none"/>
        </w:rPr>
        <w:t xml:space="preserve">（1）投标人声明； </w:t>
      </w:r>
    </w:p>
    <w:p w14:paraId="241FC98C">
      <w:pPr>
        <w:spacing w:line="360" w:lineRule="auto"/>
        <w:ind w:firstLine="480" w:firstLineChars="200"/>
        <w:rPr>
          <w:rFonts w:ascii="宋体"/>
          <w:bCs/>
          <w:color w:val="000000"/>
          <w:sz w:val="24"/>
          <w:highlight w:val="none"/>
        </w:rPr>
      </w:pPr>
      <w:r>
        <w:rPr>
          <w:rFonts w:hint="eastAsia" w:ascii="宋体"/>
          <w:bCs/>
          <w:color w:val="000000"/>
          <w:sz w:val="24"/>
          <w:highlight w:val="none"/>
        </w:rPr>
        <w:t>（2）法定代表人证明书、法定代表人签字或盖章的本投标文件授权委托证明书；</w:t>
      </w:r>
    </w:p>
    <w:p w14:paraId="7283D3DA">
      <w:pPr>
        <w:spacing w:line="360" w:lineRule="auto"/>
        <w:ind w:firstLine="480" w:firstLineChars="200"/>
        <w:rPr>
          <w:rFonts w:ascii="宋体"/>
          <w:bCs/>
          <w:color w:val="000000"/>
          <w:sz w:val="24"/>
          <w:highlight w:val="none"/>
        </w:rPr>
      </w:pPr>
      <w:r>
        <w:rPr>
          <w:rFonts w:hint="eastAsia" w:ascii="宋体"/>
          <w:bCs/>
          <w:color w:val="000000"/>
          <w:sz w:val="24"/>
          <w:highlight w:val="none"/>
        </w:rPr>
        <w:t>（3）企业营业执照（取自库内上传件）；</w:t>
      </w:r>
    </w:p>
    <w:p w14:paraId="466343C9">
      <w:pPr>
        <w:spacing w:line="360" w:lineRule="auto"/>
        <w:ind w:firstLine="480" w:firstLineChars="200"/>
        <w:rPr>
          <w:rFonts w:ascii="宋体"/>
          <w:bCs/>
          <w:color w:val="000000"/>
          <w:sz w:val="24"/>
          <w:highlight w:val="none"/>
        </w:rPr>
      </w:pPr>
      <w:r>
        <w:rPr>
          <w:rFonts w:hint="eastAsia" w:ascii="宋体"/>
          <w:bCs/>
          <w:color w:val="000000"/>
          <w:sz w:val="24"/>
          <w:highlight w:val="none"/>
        </w:rPr>
        <w:t>（4）企业资质证书（取自库内上传件）；</w:t>
      </w:r>
    </w:p>
    <w:p w14:paraId="692C5DF1">
      <w:pPr>
        <w:spacing w:line="360" w:lineRule="auto"/>
        <w:ind w:firstLine="480" w:firstLineChars="200"/>
        <w:rPr>
          <w:rFonts w:ascii="宋体"/>
          <w:bCs/>
          <w:color w:val="000000"/>
          <w:sz w:val="24"/>
          <w:highlight w:val="none"/>
        </w:rPr>
      </w:pPr>
      <w:r>
        <w:rPr>
          <w:rFonts w:hint="eastAsia" w:ascii="宋体"/>
          <w:bCs/>
          <w:color w:val="000000"/>
          <w:sz w:val="24"/>
          <w:highlight w:val="none"/>
        </w:rPr>
        <w:t>（5）建筑施工企业安全生产许可证（取自库内上传件）；</w:t>
      </w:r>
    </w:p>
    <w:p w14:paraId="661CE447">
      <w:pPr>
        <w:spacing w:line="360" w:lineRule="auto"/>
        <w:ind w:firstLine="480" w:firstLineChars="200"/>
        <w:rPr>
          <w:rFonts w:ascii="宋体" w:hAnsi="宋体"/>
          <w:bCs/>
          <w:color w:val="000000"/>
          <w:sz w:val="24"/>
          <w:szCs w:val="24"/>
          <w:highlight w:val="none"/>
        </w:rPr>
      </w:pPr>
      <w:r>
        <w:rPr>
          <w:rFonts w:hint="eastAsia" w:ascii="宋体"/>
          <w:bCs/>
          <w:color w:val="000000"/>
          <w:sz w:val="24"/>
          <w:highlight w:val="none"/>
        </w:rPr>
        <w:t>（6）</w:t>
      </w:r>
      <w:r>
        <w:rPr>
          <w:rFonts w:hint="eastAsia" w:ascii="宋体" w:hAnsi="宋体"/>
          <w:bCs/>
          <w:color w:val="000000"/>
          <w:sz w:val="24"/>
          <w:szCs w:val="24"/>
          <w:highlight w:val="none"/>
        </w:rPr>
        <w:t>项目负责人（按网上投标登记时选择拟投标的项目负责人）</w:t>
      </w:r>
    </w:p>
    <w:p w14:paraId="7D6E700D">
      <w:pPr>
        <w:spacing w:line="360" w:lineRule="auto"/>
        <w:ind w:firstLine="480" w:firstLineChars="200"/>
        <w:rPr>
          <w:rFonts w:ascii="宋体" w:hAnsi="宋体"/>
          <w:bCs/>
          <w:color w:val="000000"/>
          <w:sz w:val="24"/>
          <w:szCs w:val="24"/>
          <w:highlight w:val="none"/>
        </w:rPr>
      </w:pPr>
      <w:r>
        <w:rPr>
          <w:rFonts w:hint="eastAsia" w:ascii="宋体" w:hAnsi="宋体"/>
          <w:bCs/>
          <w:color w:val="000000"/>
          <w:sz w:val="24"/>
          <w:szCs w:val="24"/>
          <w:highlight w:val="none"/>
        </w:rPr>
        <w:t>（7）专职安全员（按网上投标登记时选择拟投标的专职安全员）</w:t>
      </w:r>
    </w:p>
    <w:p w14:paraId="10CD9105">
      <w:pPr>
        <w:spacing w:line="360" w:lineRule="auto"/>
        <w:ind w:firstLine="480" w:firstLineChars="200"/>
        <w:rPr>
          <w:rFonts w:ascii="宋体"/>
          <w:bCs/>
          <w:color w:val="000000"/>
          <w:sz w:val="24"/>
          <w:highlight w:val="none"/>
        </w:rPr>
      </w:pPr>
      <w:r>
        <w:rPr>
          <w:rFonts w:hint="eastAsia" w:ascii="宋体"/>
          <w:bCs/>
          <w:color w:val="000000"/>
          <w:sz w:val="24"/>
          <w:highlight w:val="none"/>
        </w:rPr>
        <w:t>（8）拟委托技术负责人的相关证书、资料（具体要求由招标人明确）</w:t>
      </w:r>
    </w:p>
    <w:p w14:paraId="39412EAE">
      <w:pPr>
        <w:spacing w:line="360" w:lineRule="auto"/>
        <w:ind w:firstLine="480" w:firstLineChars="200"/>
        <w:rPr>
          <w:rFonts w:ascii="宋体"/>
          <w:bCs/>
          <w:color w:val="000000"/>
          <w:sz w:val="24"/>
          <w:highlight w:val="none"/>
        </w:rPr>
      </w:pPr>
      <w:r>
        <w:rPr>
          <w:rFonts w:hint="eastAsia" w:ascii="宋体"/>
          <w:bCs/>
          <w:color w:val="000000"/>
          <w:sz w:val="24"/>
          <w:highlight w:val="none"/>
        </w:rPr>
        <w:t xml:space="preserve">（9）拟委派项目负责人的建造师证书或二级注册建造师电子注册证书或小型项目负责人相关证明（取自库内上传件）； </w:t>
      </w:r>
    </w:p>
    <w:p w14:paraId="14A89617">
      <w:pPr>
        <w:spacing w:line="360" w:lineRule="auto"/>
        <w:ind w:firstLine="480" w:firstLineChars="200"/>
        <w:rPr>
          <w:rFonts w:ascii="宋体"/>
          <w:bCs/>
          <w:color w:val="000000"/>
          <w:sz w:val="24"/>
          <w:highlight w:val="none"/>
        </w:rPr>
      </w:pPr>
      <w:r>
        <w:rPr>
          <w:rFonts w:hint="eastAsia" w:ascii="宋体"/>
          <w:bCs/>
          <w:color w:val="000000"/>
          <w:sz w:val="24"/>
          <w:highlight w:val="none"/>
        </w:rPr>
        <w:t>（10）项目负责人安全培训考核合格证明或在有效期内的安全考核合格证书（B类）（取自库内上传件），</w:t>
      </w:r>
      <w:r>
        <w:rPr>
          <w:rFonts w:hint="eastAsia" w:ascii="宋体" w:hAnsi="宋体"/>
          <w:color w:val="000000"/>
          <w:sz w:val="24"/>
          <w:szCs w:val="24"/>
          <w:highlight w:val="none"/>
        </w:rPr>
        <w:t>或提供广东省建筑施工企业管理人员安全生产考核信息系统安全生产管理人员证书信息的网页截图</w:t>
      </w:r>
      <w:r>
        <w:rPr>
          <w:rFonts w:hint="eastAsia" w:ascii="宋体"/>
          <w:bCs/>
          <w:color w:val="000000"/>
          <w:sz w:val="24"/>
          <w:szCs w:val="24"/>
          <w:highlight w:val="none"/>
        </w:rPr>
        <w:t>；</w:t>
      </w:r>
    </w:p>
    <w:p w14:paraId="2292B1C5">
      <w:pPr>
        <w:spacing w:line="360" w:lineRule="auto"/>
        <w:ind w:firstLine="480" w:firstLineChars="200"/>
        <w:rPr>
          <w:rFonts w:ascii="宋体"/>
          <w:bCs/>
          <w:color w:val="000000"/>
          <w:sz w:val="24"/>
          <w:szCs w:val="24"/>
          <w:highlight w:val="none"/>
        </w:rPr>
      </w:pPr>
      <w:r>
        <w:rPr>
          <w:rFonts w:hint="eastAsia" w:ascii="宋体"/>
          <w:bCs/>
          <w:color w:val="000000"/>
          <w:sz w:val="24"/>
          <w:highlight w:val="none"/>
        </w:rPr>
        <w:t>（11）专职安全员须具有在有效期内的安全考核合格证书（C类）</w:t>
      </w:r>
      <w:r>
        <w:rPr>
          <w:rFonts w:hint="eastAsia" w:ascii="宋体"/>
          <w:bCs/>
          <w:color w:val="000000"/>
          <w:sz w:val="24"/>
          <w:szCs w:val="24"/>
          <w:highlight w:val="none"/>
        </w:rPr>
        <w:t>（取自库内上传件），</w:t>
      </w:r>
      <w:r>
        <w:rPr>
          <w:rFonts w:hint="eastAsia" w:ascii="宋体" w:hAnsi="宋体"/>
          <w:color w:val="000000"/>
          <w:sz w:val="24"/>
          <w:szCs w:val="24"/>
          <w:highlight w:val="none"/>
        </w:rPr>
        <w:t>或提供广东省建筑施工企业管理人员安全生产考核信息系统安全生产管理人员证书信息的网页截图</w:t>
      </w:r>
      <w:r>
        <w:rPr>
          <w:rFonts w:hint="eastAsia" w:ascii="宋体"/>
          <w:bCs/>
          <w:color w:val="000000"/>
          <w:sz w:val="24"/>
          <w:szCs w:val="24"/>
          <w:highlight w:val="none"/>
        </w:rPr>
        <w:t>；</w:t>
      </w:r>
    </w:p>
    <w:p w14:paraId="70BA9BFE">
      <w:pPr>
        <w:spacing w:line="360" w:lineRule="auto"/>
        <w:ind w:firstLine="480" w:firstLineChars="200"/>
        <w:rPr>
          <w:rFonts w:ascii="宋体"/>
          <w:bCs/>
          <w:color w:val="000000"/>
          <w:sz w:val="24"/>
          <w:szCs w:val="24"/>
          <w:highlight w:val="none"/>
        </w:rPr>
      </w:pPr>
      <w:r>
        <w:rPr>
          <w:rFonts w:hint="eastAsia" w:ascii="宋体"/>
          <w:bCs/>
          <w:color w:val="000000"/>
          <w:sz w:val="24"/>
          <w:szCs w:val="24"/>
          <w:highlight w:val="none"/>
        </w:rPr>
        <w:t>（12）</w:t>
      </w:r>
      <w:r>
        <w:rPr>
          <w:rFonts w:hint="eastAsia" w:ascii="宋体" w:hAnsi="宋体"/>
          <w:bCs/>
          <w:color w:val="000000"/>
          <w:sz w:val="24"/>
          <w:szCs w:val="24"/>
          <w:highlight w:val="none"/>
        </w:rPr>
        <w:t>用于资格审查的业绩（设置业绩要求时选择此项，投标人</w:t>
      </w:r>
      <w:r>
        <w:rPr>
          <w:rFonts w:hint="eastAsia" w:ascii="宋体" w:hAnsi="宋体"/>
          <w:color w:val="000000"/>
          <w:sz w:val="24"/>
          <w:highlight w:val="none"/>
        </w:rPr>
        <w:t>须提供类似工程业绩的项目名称及项目编号，具体格式由招标人自定</w:t>
      </w:r>
      <w:r>
        <w:rPr>
          <w:rFonts w:hint="eastAsia" w:ascii="宋体" w:hAnsi="宋体"/>
          <w:bCs/>
          <w:color w:val="000000"/>
          <w:sz w:val="24"/>
          <w:szCs w:val="24"/>
          <w:highlight w:val="none"/>
        </w:rPr>
        <w:t>）；</w:t>
      </w:r>
    </w:p>
    <w:p w14:paraId="41FF5FC7">
      <w:pPr>
        <w:spacing w:line="360" w:lineRule="auto"/>
        <w:ind w:firstLine="480" w:firstLineChars="200"/>
        <w:rPr>
          <w:rFonts w:ascii="宋体"/>
          <w:bCs/>
          <w:color w:val="000000"/>
          <w:sz w:val="24"/>
          <w:highlight w:val="none"/>
        </w:rPr>
      </w:pPr>
      <w:r>
        <w:rPr>
          <w:rFonts w:hint="eastAsia" w:ascii="宋体"/>
          <w:bCs/>
          <w:color w:val="000000"/>
          <w:sz w:val="24"/>
          <w:highlight w:val="none"/>
        </w:rPr>
        <w:t>（13）资格审查前，投标人须在广州市住房和城乡建设局建立企业信用档案，拟担任本工程项目负责人须是本企业信用档案中的在册人员。</w:t>
      </w:r>
    </w:p>
    <w:p w14:paraId="7D0A1C8C">
      <w:pPr>
        <w:spacing w:line="360" w:lineRule="auto"/>
        <w:ind w:firstLine="480" w:firstLineChars="200"/>
        <w:rPr>
          <w:rFonts w:ascii="宋体" w:hAnsi="宋体"/>
          <w:bCs/>
          <w:color w:val="000000"/>
          <w:sz w:val="24"/>
          <w:szCs w:val="24"/>
          <w:highlight w:val="none"/>
        </w:rPr>
      </w:pPr>
      <w:r>
        <w:rPr>
          <w:rFonts w:hint="eastAsia" w:ascii="宋体" w:hAnsi="宋体"/>
          <w:bCs/>
          <w:color w:val="000000"/>
          <w:sz w:val="24"/>
          <w:szCs w:val="24"/>
          <w:highlight w:val="none"/>
        </w:rPr>
        <w:t>（14）列明主办单位的联合体工作协议（采用联合体投标时需递交，投标人拟任本工程项目负责人应为联合体主办方信用档案中的在册人员，</w:t>
      </w:r>
      <w:r>
        <w:rPr>
          <w:rFonts w:hint="eastAsia" w:ascii="宋体" w:hAnsi="宋体"/>
          <w:color w:val="000000"/>
          <w:sz w:val="24"/>
          <w:szCs w:val="24"/>
          <w:highlight w:val="none"/>
        </w:rPr>
        <w:t>联合体工作协议应明确约定各方拟承担的工作和责任</w:t>
      </w:r>
      <w:r>
        <w:rPr>
          <w:rFonts w:hint="eastAsia" w:ascii="宋体" w:hAnsi="宋体"/>
          <w:bCs/>
          <w:color w:val="000000"/>
          <w:sz w:val="24"/>
          <w:szCs w:val="24"/>
          <w:highlight w:val="none"/>
        </w:rPr>
        <w:t xml:space="preserve">）； </w:t>
      </w:r>
    </w:p>
    <w:p w14:paraId="07F61D1A">
      <w:pPr>
        <w:spacing w:line="360" w:lineRule="auto"/>
        <w:ind w:firstLine="480" w:firstLineChars="200"/>
        <w:rPr>
          <w:rFonts w:ascii="宋体"/>
          <w:bCs/>
          <w:color w:val="000000"/>
          <w:sz w:val="24"/>
          <w:highlight w:val="none"/>
        </w:rPr>
      </w:pPr>
      <w:r>
        <w:rPr>
          <w:rFonts w:hint="eastAsia" w:ascii="宋体" w:hAnsi="宋体"/>
          <w:bCs/>
          <w:color w:val="000000"/>
          <w:sz w:val="24"/>
          <w:szCs w:val="24"/>
          <w:highlight w:val="none"/>
        </w:rPr>
        <w:t>（15）</w:t>
      </w:r>
      <w:r>
        <w:rPr>
          <w:rFonts w:hint="eastAsia" w:ascii="宋体" w:hAnsi="宋体"/>
          <w:color w:val="000000"/>
          <w:sz w:val="24"/>
          <w:szCs w:val="24"/>
          <w:highlight w:val="none"/>
        </w:rPr>
        <w:t>投标人具有在广州地区可使用适合本工程的机械设备的证明文件（</w:t>
      </w:r>
      <w:r>
        <w:rPr>
          <w:rFonts w:hint="eastAsia" w:ascii="宋体" w:hAnsi="宋体"/>
          <w:color w:val="000000"/>
          <w:sz w:val="24"/>
          <w:highlight w:val="none"/>
        </w:rPr>
        <w:t>提供沥青摊铺机自有发票或权属证明及设备现场全貌彩照（彩照须能反映其规格型号）</w:t>
      </w:r>
      <w:r>
        <w:rPr>
          <w:rFonts w:hint="eastAsia" w:ascii="宋体" w:hAnsi="宋体"/>
          <w:color w:val="000000"/>
          <w:sz w:val="24"/>
          <w:szCs w:val="24"/>
          <w:highlight w:val="none"/>
        </w:rPr>
        <w:t>）。（含有市政道路面层沥青摊铺且沥青摊铺占预计发包价50%或以上的大、中修市政公用工程需提供该项内容的证明文件）。</w:t>
      </w:r>
    </w:p>
    <w:p w14:paraId="07C713D7">
      <w:pPr>
        <w:spacing w:line="360" w:lineRule="auto"/>
        <w:ind w:firstLine="480" w:firstLineChars="200"/>
        <w:rPr>
          <w:rFonts w:ascii="宋体"/>
          <w:color w:val="000000"/>
          <w:sz w:val="24"/>
          <w:highlight w:val="none"/>
        </w:rPr>
      </w:pPr>
      <w:r>
        <w:rPr>
          <w:rFonts w:ascii="宋体" w:hAnsi="宋体"/>
          <w:color w:val="000000"/>
          <w:sz w:val="24"/>
          <w:highlight w:val="none"/>
        </w:rPr>
        <w:t>11.2.3</w:t>
      </w:r>
      <w:r>
        <w:rPr>
          <w:rFonts w:hint="eastAsia" w:ascii="宋体" w:hAnsi="宋体"/>
          <w:color w:val="000000"/>
          <w:sz w:val="24"/>
          <w:highlight w:val="none"/>
        </w:rPr>
        <w:t>项目管理机构配备。</w:t>
      </w:r>
    </w:p>
    <w:p w14:paraId="7B50C4B7">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1</w:t>
      </w:r>
      <w:r>
        <w:rPr>
          <w:rFonts w:hint="eastAsia" w:ascii="宋体" w:hAnsi="宋体"/>
          <w:color w:val="000000"/>
          <w:sz w:val="24"/>
          <w:highlight w:val="none"/>
        </w:rPr>
        <w:t>）投标人应列出该项目工程的施工组织机构构成和画出机构框架图及其负责人；</w:t>
      </w:r>
    </w:p>
    <w:p w14:paraId="6497A7B9">
      <w:pPr>
        <w:spacing w:line="360" w:lineRule="auto"/>
        <w:ind w:firstLine="480" w:firstLineChars="200"/>
        <w:rPr>
          <w:rFonts w:asci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2</w:t>
      </w:r>
      <w:r>
        <w:rPr>
          <w:rFonts w:hint="eastAsia" w:ascii="宋体" w:hAnsi="宋体"/>
          <w:color w:val="000000"/>
          <w:sz w:val="24"/>
          <w:highlight w:val="none"/>
        </w:rPr>
        <w:t>）投标人应详细列出该施工组织机构中主要成员的名单、简历资料、职务职称和在本项目中拟担任的职务等资料，并附上有关证明材料扫描件；</w:t>
      </w:r>
    </w:p>
    <w:p w14:paraId="290A5F2B">
      <w:pPr>
        <w:spacing w:line="360" w:lineRule="auto"/>
        <w:ind w:firstLine="480" w:firstLineChars="200"/>
        <w:rPr>
          <w:rFonts w:asci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3</w:t>
      </w:r>
      <w:r>
        <w:rPr>
          <w:rFonts w:hint="eastAsia" w:ascii="宋体" w:hAnsi="宋体"/>
          <w:color w:val="000000"/>
          <w:sz w:val="24"/>
          <w:highlight w:val="none"/>
        </w:rPr>
        <w:t>）其他辅助说明资料。</w:t>
      </w:r>
    </w:p>
    <w:p w14:paraId="0DF1AADF">
      <w:pPr>
        <w:spacing w:line="360" w:lineRule="auto"/>
        <w:ind w:firstLine="480" w:firstLineChars="200"/>
        <w:rPr>
          <w:rFonts w:ascii="宋体"/>
          <w:color w:val="000000"/>
          <w:sz w:val="24"/>
          <w:highlight w:val="none"/>
        </w:rPr>
      </w:pPr>
      <w:r>
        <w:rPr>
          <w:rFonts w:ascii="宋体" w:hAnsi="宋体"/>
          <w:color w:val="000000"/>
          <w:sz w:val="24"/>
          <w:highlight w:val="none"/>
        </w:rPr>
        <w:t>11.2.4</w:t>
      </w:r>
      <w:r>
        <w:rPr>
          <w:rFonts w:hint="eastAsia" w:ascii="宋体" w:hAnsi="宋体"/>
          <w:color w:val="000000"/>
          <w:sz w:val="24"/>
          <w:highlight w:val="none"/>
        </w:rPr>
        <w:t>投标人在广州市可使用适合本工程的机械设备（附：机械设备为自有或租赁的说明；及承诺机械设备如属于租赁的，其租赁是不属于重复租赁）。</w:t>
      </w:r>
    </w:p>
    <w:p w14:paraId="0B34F3F9">
      <w:pPr>
        <w:tabs>
          <w:tab w:val="left" w:pos="1125"/>
        </w:tabs>
        <w:spacing w:line="360" w:lineRule="auto"/>
        <w:ind w:firstLine="420" w:firstLineChars="200"/>
        <w:rPr>
          <w:rFonts w:ascii="宋体"/>
          <w:color w:val="000000"/>
          <w:sz w:val="24"/>
          <w:highlight w:val="none"/>
        </w:rPr>
      </w:pPr>
      <w:r>
        <w:rPr>
          <w:rFonts w:hint="eastAsia" w:cs="宋体"/>
          <w:szCs w:val="21"/>
          <w:highlight w:val="none"/>
        </w:rPr>
        <w:t>11.2.5 施工组织设计或施工方案。（投标人在编制施工组织设计或施工方案时应按照招标人提出的施工现场建筑垃圾源头减量的具体要求以及建筑垃圾综合利用产品的使用要求提供相应措施。）</w:t>
      </w:r>
    </w:p>
    <w:p w14:paraId="09804B76">
      <w:pPr>
        <w:tabs>
          <w:tab w:val="left" w:pos="1125"/>
        </w:tabs>
        <w:spacing w:line="360" w:lineRule="auto"/>
        <w:ind w:firstLine="480" w:firstLineChars="200"/>
        <w:rPr>
          <w:rFonts w:ascii="宋体"/>
          <w:color w:val="000000"/>
          <w:sz w:val="24"/>
          <w:highlight w:val="none"/>
        </w:rPr>
      </w:pPr>
      <w:r>
        <w:rPr>
          <w:rFonts w:ascii="宋体" w:hAnsi="宋体"/>
          <w:color w:val="000000"/>
          <w:sz w:val="24"/>
          <w:highlight w:val="none"/>
        </w:rPr>
        <w:t>11.2.</w:t>
      </w:r>
      <w:r>
        <w:rPr>
          <w:rFonts w:hint="eastAsia" w:ascii="宋体" w:hAnsi="宋体"/>
          <w:color w:val="000000"/>
          <w:sz w:val="24"/>
          <w:highlight w:val="none"/>
        </w:rPr>
        <w:t>6按照</w:t>
      </w:r>
      <w:r>
        <w:rPr>
          <w:rFonts w:hint="eastAsia" w:ascii="宋体" w:hAnsi="宋体"/>
          <w:bCs/>
          <w:color w:val="000000"/>
          <w:sz w:val="24"/>
          <w:highlight w:val="none"/>
        </w:rPr>
        <w:t>招标文件要求</w:t>
      </w:r>
      <w:r>
        <w:rPr>
          <w:rFonts w:hint="eastAsia" w:ascii="宋体" w:hAnsi="宋体"/>
          <w:color w:val="000000"/>
          <w:sz w:val="24"/>
          <w:highlight w:val="none"/>
        </w:rPr>
        <w:t>填写的《参与编制技术标投标文件人员名单》。</w:t>
      </w:r>
    </w:p>
    <w:p w14:paraId="19DBA398">
      <w:pPr>
        <w:spacing w:line="360" w:lineRule="auto"/>
        <w:ind w:firstLine="480" w:firstLineChars="200"/>
        <w:rPr>
          <w:rFonts w:ascii="宋体"/>
          <w:bCs/>
          <w:color w:val="000000"/>
          <w:sz w:val="24"/>
          <w:highlight w:val="none"/>
        </w:rPr>
      </w:pPr>
      <w:r>
        <w:rPr>
          <w:rFonts w:ascii="宋体" w:hAnsi="宋体"/>
          <w:bCs/>
          <w:color w:val="000000"/>
          <w:sz w:val="24"/>
          <w:highlight w:val="none"/>
        </w:rPr>
        <w:t xml:space="preserve">11.3 </w:t>
      </w:r>
      <w:r>
        <w:rPr>
          <w:rFonts w:hint="eastAsia" w:ascii="宋体" w:hAnsi="宋体"/>
          <w:bCs/>
          <w:color w:val="000000"/>
          <w:sz w:val="24"/>
          <w:highlight w:val="none"/>
        </w:rPr>
        <w:t>经济部分投标文件主要包括下列内容：</w:t>
      </w:r>
    </w:p>
    <w:p w14:paraId="1A1FBAC3">
      <w:pPr>
        <w:spacing w:line="360" w:lineRule="auto"/>
        <w:ind w:firstLine="480" w:firstLineChars="200"/>
        <w:rPr>
          <w:rFonts w:ascii="宋体"/>
          <w:color w:val="000000"/>
          <w:sz w:val="24"/>
          <w:highlight w:val="none"/>
        </w:rPr>
      </w:pPr>
      <w:r>
        <w:rPr>
          <w:rFonts w:ascii="宋体" w:hAnsi="宋体"/>
          <w:color w:val="000000"/>
          <w:sz w:val="24"/>
          <w:highlight w:val="none"/>
        </w:rPr>
        <w:t xml:space="preserve">11.3.1 </w:t>
      </w:r>
      <w:r>
        <w:rPr>
          <w:rFonts w:hint="eastAsia" w:ascii="宋体" w:hAnsi="宋体"/>
          <w:color w:val="000000"/>
          <w:sz w:val="24"/>
          <w:highlight w:val="none"/>
        </w:rPr>
        <w:t>经济投标文件</w:t>
      </w:r>
      <w:r>
        <w:rPr>
          <w:rFonts w:ascii="宋体" w:hAnsi="宋体"/>
          <w:color w:val="000000"/>
          <w:sz w:val="24"/>
          <w:highlight w:val="none"/>
        </w:rPr>
        <w:t>(</w:t>
      </w:r>
      <w:r>
        <w:rPr>
          <w:rFonts w:hint="eastAsia" w:ascii="宋体" w:hAnsi="宋体"/>
          <w:color w:val="000000"/>
          <w:sz w:val="24"/>
          <w:highlight w:val="none"/>
        </w:rPr>
        <w:t>按招标文件的要求填写</w:t>
      </w:r>
      <w:r>
        <w:rPr>
          <w:rFonts w:ascii="宋体" w:hAnsi="宋体"/>
          <w:color w:val="000000"/>
          <w:sz w:val="24"/>
          <w:highlight w:val="none"/>
        </w:rPr>
        <w:t>)</w:t>
      </w:r>
      <w:r>
        <w:rPr>
          <w:rFonts w:hint="eastAsia" w:ascii="宋体" w:hAnsi="宋体"/>
          <w:color w:val="000000"/>
          <w:sz w:val="24"/>
          <w:highlight w:val="none"/>
        </w:rPr>
        <w:t>。</w:t>
      </w:r>
    </w:p>
    <w:p w14:paraId="4E4C9BB0">
      <w:pPr>
        <w:spacing w:line="360" w:lineRule="auto"/>
        <w:ind w:firstLine="480" w:firstLineChars="200"/>
        <w:rPr>
          <w:rFonts w:ascii="宋体"/>
          <w:color w:val="000000"/>
          <w:sz w:val="24"/>
          <w:highlight w:val="none"/>
        </w:rPr>
      </w:pPr>
      <w:r>
        <w:rPr>
          <w:rFonts w:ascii="宋体" w:hAnsi="宋体"/>
          <w:color w:val="000000"/>
          <w:sz w:val="24"/>
          <w:highlight w:val="none"/>
        </w:rPr>
        <w:t>11.3.2</w:t>
      </w:r>
      <w:r>
        <w:rPr>
          <w:rFonts w:hint="eastAsia" w:ascii="宋体" w:hAnsi="宋体"/>
          <w:color w:val="000000"/>
          <w:sz w:val="24"/>
          <w:highlight w:val="non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olor w:val="000000"/>
          <w:sz w:val="24"/>
          <w:szCs w:val="24"/>
          <w:highlight w:val="none"/>
        </w:rPr>
        <w:t>其中包括如下：</w:t>
      </w:r>
    </w:p>
    <w:p w14:paraId="6BFD8866">
      <w:pPr>
        <w:spacing w:line="360" w:lineRule="auto"/>
        <w:ind w:firstLine="566" w:firstLineChars="236"/>
        <w:rPr>
          <w:rFonts w:asci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1</w:t>
      </w:r>
      <w:r>
        <w:rPr>
          <w:rFonts w:hint="eastAsia" w:ascii="宋体" w:hAnsi="宋体"/>
          <w:color w:val="000000"/>
          <w:sz w:val="24"/>
          <w:highlight w:val="none"/>
        </w:rPr>
        <w:t>）投标总价封面、扉页；</w:t>
      </w:r>
    </w:p>
    <w:p w14:paraId="7866AC9C">
      <w:pPr>
        <w:spacing w:line="360" w:lineRule="auto"/>
        <w:ind w:firstLine="566" w:firstLineChars="236"/>
        <w:rPr>
          <w:rFonts w:ascii="宋体" w:hAnsi="宋体"/>
          <w:color w:val="000000"/>
          <w:sz w:val="24"/>
          <w:szCs w:val="24"/>
          <w:highlight w:val="none"/>
        </w:rPr>
      </w:pPr>
      <w:r>
        <w:rPr>
          <w:rFonts w:hint="eastAsia" w:ascii="宋体" w:hAnsi="宋体"/>
          <w:color w:val="000000"/>
          <w:sz w:val="24"/>
          <w:szCs w:val="24"/>
          <w:highlight w:val="none"/>
        </w:rPr>
        <w:t>（</w:t>
      </w:r>
      <w:r>
        <w:rPr>
          <w:rFonts w:ascii="宋体" w:hAnsi="宋体"/>
          <w:color w:val="000000"/>
          <w:sz w:val="24"/>
          <w:szCs w:val="24"/>
          <w:highlight w:val="none"/>
        </w:rPr>
        <w:t>2</w:t>
      </w:r>
      <w:r>
        <w:rPr>
          <w:rFonts w:hint="eastAsia" w:ascii="宋体" w:hAnsi="宋体"/>
          <w:color w:val="000000"/>
          <w:sz w:val="24"/>
          <w:szCs w:val="24"/>
          <w:highlight w:val="none"/>
        </w:rPr>
        <w:t>）总说明</w:t>
      </w:r>
    </w:p>
    <w:p w14:paraId="15F8CABF">
      <w:pPr>
        <w:spacing w:line="360" w:lineRule="auto"/>
        <w:ind w:firstLine="566" w:firstLineChars="236"/>
        <w:rPr>
          <w:rFonts w:ascii="宋体"/>
          <w:color w:val="000000"/>
          <w:sz w:val="24"/>
          <w:szCs w:val="24"/>
          <w:highlight w:val="none"/>
        </w:rPr>
      </w:pPr>
      <w:r>
        <w:rPr>
          <w:rFonts w:hint="eastAsia" w:ascii="宋体" w:hAnsi="宋体"/>
          <w:color w:val="000000"/>
          <w:sz w:val="24"/>
          <w:szCs w:val="24"/>
          <w:highlight w:val="none"/>
        </w:rPr>
        <w:t>（3）工程项目投标报价汇总表；</w:t>
      </w:r>
    </w:p>
    <w:p w14:paraId="0486AE6C">
      <w:pPr>
        <w:spacing w:line="360" w:lineRule="auto"/>
        <w:ind w:firstLine="566" w:firstLineChars="236"/>
        <w:rPr>
          <w:rFonts w:ascii="宋体" w:hAnsi="宋体"/>
          <w:color w:val="000000"/>
          <w:sz w:val="24"/>
          <w:szCs w:val="24"/>
          <w:highlight w:val="none"/>
        </w:rPr>
      </w:pPr>
      <w:r>
        <w:rPr>
          <w:rFonts w:hint="eastAsia" w:ascii="宋体" w:hAnsi="宋体"/>
          <w:color w:val="000000"/>
          <w:sz w:val="24"/>
          <w:szCs w:val="24"/>
          <w:highlight w:val="none"/>
        </w:rPr>
        <w:t>（4）单项工程投标报价汇总表；</w:t>
      </w:r>
    </w:p>
    <w:p w14:paraId="3DDE1F14">
      <w:pPr>
        <w:spacing w:line="360" w:lineRule="auto"/>
        <w:ind w:firstLine="566" w:firstLineChars="236"/>
        <w:rPr>
          <w:rFonts w:ascii="宋体"/>
          <w:color w:val="000000"/>
          <w:sz w:val="24"/>
          <w:szCs w:val="24"/>
          <w:highlight w:val="none"/>
        </w:rPr>
      </w:pPr>
      <w:r>
        <w:rPr>
          <w:rFonts w:hint="eastAsia" w:ascii="宋体" w:hAnsi="宋体"/>
          <w:color w:val="000000"/>
          <w:sz w:val="24"/>
          <w:szCs w:val="24"/>
          <w:highlight w:val="none"/>
        </w:rPr>
        <w:t>（5）单位工程投标报价汇总表；</w:t>
      </w:r>
    </w:p>
    <w:p w14:paraId="0D5B24CD">
      <w:pPr>
        <w:spacing w:line="360" w:lineRule="auto"/>
        <w:ind w:firstLine="566" w:firstLineChars="236"/>
        <w:rPr>
          <w:rFonts w:ascii="宋体"/>
          <w:color w:val="000000"/>
          <w:sz w:val="24"/>
          <w:szCs w:val="24"/>
          <w:highlight w:val="none"/>
        </w:rPr>
      </w:pPr>
      <w:r>
        <w:rPr>
          <w:rFonts w:hint="eastAsia" w:ascii="宋体" w:hAnsi="宋体"/>
          <w:color w:val="000000"/>
          <w:sz w:val="24"/>
          <w:szCs w:val="24"/>
          <w:highlight w:val="none"/>
        </w:rPr>
        <w:t>（6）分部分项工程清单与计价表；</w:t>
      </w:r>
    </w:p>
    <w:p w14:paraId="7C9F7A7A">
      <w:pPr>
        <w:spacing w:line="360" w:lineRule="auto"/>
        <w:ind w:firstLine="566" w:firstLineChars="236"/>
        <w:rPr>
          <w:rFonts w:ascii="宋体"/>
          <w:color w:val="000000"/>
          <w:sz w:val="24"/>
          <w:szCs w:val="24"/>
          <w:highlight w:val="none"/>
        </w:rPr>
      </w:pPr>
      <w:r>
        <w:rPr>
          <w:rFonts w:hint="eastAsia" w:ascii="宋体" w:hAnsi="宋体"/>
          <w:color w:val="000000"/>
          <w:sz w:val="24"/>
          <w:szCs w:val="24"/>
          <w:highlight w:val="none"/>
        </w:rPr>
        <w:t>（7）单价措施项目清单与计价表；</w:t>
      </w:r>
    </w:p>
    <w:p w14:paraId="0D2A8865">
      <w:pPr>
        <w:spacing w:line="360" w:lineRule="auto"/>
        <w:ind w:firstLine="566" w:firstLineChars="236"/>
        <w:rPr>
          <w:rFonts w:ascii="宋体"/>
          <w:color w:val="000000"/>
          <w:sz w:val="24"/>
          <w:szCs w:val="24"/>
          <w:highlight w:val="none"/>
        </w:rPr>
      </w:pPr>
      <w:r>
        <w:rPr>
          <w:rFonts w:hint="eastAsia" w:ascii="宋体" w:hAnsi="宋体"/>
          <w:color w:val="000000"/>
          <w:sz w:val="24"/>
          <w:szCs w:val="24"/>
          <w:highlight w:val="none"/>
        </w:rPr>
        <w:t>（8）总价措施项目清单与计价表；</w:t>
      </w:r>
    </w:p>
    <w:p w14:paraId="33BF37B9">
      <w:pPr>
        <w:spacing w:line="360" w:lineRule="auto"/>
        <w:ind w:firstLine="566" w:firstLineChars="236"/>
        <w:rPr>
          <w:rFonts w:ascii="宋体"/>
          <w:color w:val="000000"/>
          <w:sz w:val="24"/>
          <w:szCs w:val="24"/>
          <w:highlight w:val="none"/>
        </w:rPr>
      </w:pPr>
      <w:r>
        <w:rPr>
          <w:rFonts w:hint="eastAsia" w:ascii="宋体" w:hAnsi="宋体"/>
          <w:color w:val="000000"/>
          <w:sz w:val="24"/>
          <w:szCs w:val="24"/>
          <w:highlight w:val="none"/>
        </w:rPr>
        <w:t>（9）综合单价分析表；</w:t>
      </w:r>
    </w:p>
    <w:p w14:paraId="49C9946A">
      <w:pPr>
        <w:spacing w:line="360" w:lineRule="auto"/>
        <w:ind w:firstLine="566" w:firstLineChars="236"/>
        <w:rPr>
          <w:rFonts w:ascii="宋体"/>
          <w:color w:val="000000"/>
          <w:sz w:val="24"/>
          <w:szCs w:val="24"/>
          <w:highlight w:val="none"/>
        </w:rPr>
      </w:pPr>
      <w:r>
        <w:rPr>
          <w:rFonts w:hint="eastAsia" w:ascii="宋体" w:hAnsi="宋体"/>
          <w:color w:val="000000"/>
          <w:sz w:val="24"/>
          <w:szCs w:val="24"/>
          <w:highlight w:val="none"/>
        </w:rPr>
        <w:t>（10）其他项目清单与计价汇总表；</w:t>
      </w:r>
    </w:p>
    <w:p w14:paraId="554F890A">
      <w:pPr>
        <w:spacing w:line="360" w:lineRule="auto"/>
        <w:ind w:firstLine="566" w:firstLineChars="236"/>
        <w:rPr>
          <w:rFonts w:ascii="宋体"/>
          <w:color w:val="000000"/>
          <w:sz w:val="24"/>
          <w:szCs w:val="24"/>
          <w:highlight w:val="none"/>
        </w:rPr>
      </w:pPr>
      <w:r>
        <w:rPr>
          <w:rFonts w:hint="eastAsia" w:ascii="宋体" w:hAnsi="宋体"/>
          <w:color w:val="000000"/>
          <w:sz w:val="24"/>
          <w:szCs w:val="24"/>
          <w:highlight w:val="none"/>
        </w:rPr>
        <w:t>（11）暂列金额明细表；</w:t>
      </w:r>
    </w:p>
    <w:p w14:paraId="67491900">
      <w:pPr>
        <w:spacing w:line="360" w:lineRule="auto"/>
        <w:ind w:firstLine="566" w:firstLineChars="236"/>
        <w:rPr>
          <w:rFonts w:ascii="宋体"/>
          <w:color w:val="000000"/>
          <w:sz w:val="24"/>
          <w:szCs w:val="24"/>
          <w:highlight w:val="none"/>
        </w:rPr>
      </w:pPr>
      <w:r>
        <w:rPr>
          <w:rFonts w:hint="eastAsia" w:ascii="宋体" w:hAnsi="宋体"/>
          <w:color w:val="000000"/>
          <w:sz w:val="24"/>
          <w:szCs w:val="24"/>
          <w:highlight w:val="none"/>
        </w:rPr>
        <w:t>（12）材料（工程设备）暂估价明细表；</w:t>
      </w:r>
    </w:p>
    <w:p w14:paraId="7A510311">
      <w:pPr>
        <w:spacing w:line="360" w:lineRule="auto"/>
        <w:ind w:firstLine="566" w:firstLineChars="236"/>
        <w:rPr>
          <w:rFonts w:ascii="宋体"/>
          <w:color w:val="000000"/>
          <w:sz w:val="24"/>
          <w:szCs w:val="24"/>
          <w:highlight w:val="none"/>
        </w:rPr>
      </w:pPr>
      <w:r>
        <w:rPr>
          <w:rFonts w:hint="eastAsia" w:ascii="宋体" w:hAnsi="宋体"/>
          <w:color w:val="000000"/>
          <w:sz w:val="24"/>
          <w:szCs w:val="24"/>
          <w:highlight w:val="none"/>
        </w:rPr>
        <w:t>（13）专业工程暂估价明细表；</w:t>
      </w:r>
    </w:p>
    <w:p w14:paraId="10EF9CDD">
      <w:pPr>
        <w:spacing w:line="360" w:lineRule="auto"/>
        <w:ind w:firstLine="566" w:firstLineChars="236"/>
        <w:rPr>
          <w:rFonts w:ascii="宋体"/>
          <w:color w:val="000000"/>
          <w:sz w:val="24"/>
          <w:szCs w:val="24"/>
          <w:highlight w:val="none"/>
        </w:rPr>
      </w:pPr>
      <w:r>
        <w:rPr>
          <w:rFonts w:hint="eastAsia" w:ascii="宋体" w:hAnsi="宋体"/>
          <w:color w:val="000000"/>
          <w:sz w:val="24"/>
          <w:szCs w:val="24"/>
          <w:highlight w:val="none"/>
        </w:rPr>
        <w:t>（14）计日工表；</w:t>
      </w:r>
    </w:p>
    <w:p w14:paraId="53617D29">
      <w:pPr>
        <w:spacing w:line="360" w:lineRule="auto"/>
        <w:ind w:firstLine="566" w:firstLineChars="236"/>
        <w:rPr>
          <w:rFonts w:ascii="宋体"/>
          <w:color w:val="000000"/>
          <w:sz w:val="24"/>
          <w:szCs w:val="24"/>
          <w:highlight w:val="none"/>
        </w:rPr>
      </w:pPr>
      <w:r>
        <w:rPr>
          <w:rFonts w:hint="eastAsia" w:ascii="宋体" w:hAnsi="宋体"/>
          <w:color w:val="000000"/>
          <w:sz w:val="24"/>
          <w:szCs w:val="24"/>
          <w:highlight w:val="none"/>
        </w:rPr>
        <w:t>（15）总承包服务计价表；</w:t>
      </w:r>
    </w:p>
    <w:p w14:paraId="5E0B748B">
      <w:pPr>
        <w:spacing w:line="360" w:lineRule="auto"/>
        <w:ind w:firstLine="566" w:firstLineChars="236"/>
        <w:rPr>
          <w:rFonts w:ascii="宋体"/>
          <w:color w:val="000000"/>
          <w:sz w:val="24"/>
          <w:szCs w:val="24"/>
          <w:highlight w:val="none"/>
        </w:rPr>
      </w:pPr>
      <w:r>
        <w:rPr>
          <w:rFonts w:hint="eastAsia" w:ascii="宋体" w:hAnsi="宋体"/>
          <w:color w:val="000000"/>
          <w:sz w:val="24"/>
          <w:szCs w:val="24"/>
          <w:highlight w:val="none"/>
        </w:rPr>
        <w:t>（16）规费和税金项目计价表；</w:t>
      </w:r>
    </w:p>
    <w:p w14:paraId="7882F2DA">
      <w:pPr>
        <w:spacing w:line="360" w:lineRule="auto"/>
        <w:ind w:firstLine="480" w:firstLineChars="200"/>
        <w:rPr>
          <w:rFonts w:ascii="宋体"/>
          <w:color w:val="000000"/>
          <w:sz w:val="24"/>
          <w:highlight w:val="none"/>
        </w:rPr>
      </w:pPr>
      <w:r>
        <w:rPr>
          <w:rFonts w:hint="eastAsia" w:ascii="宋体" w:hAnsi="宋体"/>
          <w:color w:val="000000"/>
          <w:sz w:val="24"/>
          <w:szCs w:val="24"/>
          <w:highlight w:val="none"/>
        </w:rPr>
        <w:t xml:space="preserve"> （17）人工、主要材料和设备一览表</w:t>
      </w:r>
    </w:p>
    <w:p w14:paraId="52AB86C9">
      <w:pPr>
        <w:tabs>
          <w:tab w:val="left" w:pos="1125"/>
        </w:tabs>
        <w:spacing w:line="360" w:lineRule="auto"/>
        <w:ind w:firstLine="480" w:firstLineChars="200"/>
        <w:rPr>
          <w:rFonts w:ascii="宋体" w:hAnsi="宋体"/>
          <w:color w:val="000000"/>
          <w:sz w:val="24"/>
          <w:highlight w:val="none"/>
        </w:rPr>
      </w:pPr>
      <w:r>
        <w:rPr>
          <w:rFonts w:ascii="宋体" w:hAnsi="宋体"/>
          <w:color w:val="000000"/>
          <w:sz w:val="24"/>
          <w:highlight w:val="none"/>
        </w:rPr>
        <w:t>11.3.</w:t>
      </w:r>
      <w:r>
        <w:rPr>
          <w:rFonts w:hint="eastAsia" w:ascii="宋体" w:hAnsi="宋体"/>
          <w:color w:val="000000"/>
          <w:sz w:val="24"/>
          <w:highlight w:val="none"/>
        </w:rPr>
        <w:t>3按照</w:t>
      </w:r>
      <w:r>
        <w:rPr>
          <w:rFonts w:hint="eastAsia" w:ascii="宋体" w:hAnsi="宋体"/>
          <w:bCs/>
          <w:color w:val="000000"/>
          <w:sz w:val="24"/>
          <w:highlight w:val="none"/>
        </w:rPr>
        <w:t>招标文件要求</w:t>
      </w:r>
      <w:r>
        <w:rPr>
          <w:rFonts w:hint="eastAsia" w:ascii="宋体" w:hAnsi="宋体"/>
          <w:color w:val="000000"/>
          <w:sz w:val="24"/>
          <w:highlight w:val="none"/>
        </w:rPr>
        <w:t>填写的《参与编制经济标投标文件人员名单》。</w:t>
      </w:r>
    </w:p>
    <w:p w14:paraId="195EB4F3">
      <w:pPr>
        <w:tabs>
          <w:tab w:val="left" w:pos="1125"/>
        </w:tabs>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11.3.4若投标人的投标报价低于工程成本警戒价的，投标人还须提供详细的施工组织设计、单价、措施性费用、单价分析表、主要材料价格表、投标人成本分析供评标委员会评审。</w:t>
      </w:r>
    </w:p>
    <w:p w14:paraId="61507F47">
      <w:pPr>
        <w:pStyle w:val="49"/>
        <w:spacing w:after="0" w:line="360" w:lineRule="auto"/>
        <w:ind w:firstLine="482" w:firstLineChars="200"/>
        <w:rPr>
          <w:rFonts w:ascii="宋体"/>
          <w:b/>
          <w:bCs/>
          <w:color w:val="000000"/>
          <w:sz w:val="24"/>
          <w:highlight w:val="none"/>
        </w:rPr>
      </w:pPr>
      <w:r>
        <w:rPr>
          <w:rFonts w:ascii="宋体" w:hAnsi="宋体"/>
          <w:b/>
          <w:bCs/>
          <w:color w:val="000000"/>
          <w:sz w:val="24"/>
          <w:highlight w:val="none"/>
        </w:rPr>
        <w:t>12</w:t>
      </w:r>
      <w:r>
        <w:rPr>
          <w:rFonts w:hint="eastAsia" w:ascii="宋体" w:hAnsi="宋体"/>
          <w:b/>
          <w:bCs/>
          <w:color w:val="000000"/>
          <w:sz w:val="24"/>
          <w:highlight w:val="none"/>
        </w:rPr>
        <w:t>．投标文件格式</w:t>
      </w:r>
    </w:p>
    <w:p w14:paraId="682FBF0D">
      <w:pPr>
        <w:pStyle w:val="49"/>
        <w:spacing w:after="0" w:line="360" w:lineRule="auto"/>
        <w:ind w:firstLine="480" w:firstLineChars="200"/>
        <w:rPr>
          <w:rFonts w:ascii="宋体" w:hAnsi="宋体"/>
          <w:color w:val="000000"/>
          <w:sz w:val="24"/>
          <w:highlight w:val="none"/>
        </w:rPr>
      </w:pPr>
      <w:r>
        <w:rPr>
          <w:rFonts w:ascii="宋体" w:hAnsi="宋体"/>
          <w:color w:val="000000"/>
          <w:sz w:val="24"/>
          <w:highlight w:val="none"/>
        </w:rPr>
        <w:t xml:space="preserve">12.1 </w:t>
      </w:r>
      <w:r>
        <w:rPr>
          <w:rFonts w:hint="eastAsia" w:ascii="宋体" w:hAnsi="宋体"/>
          <w:color w:val="000000"/>
          <w:sz w:val="24"/>
          <w:highlight w:val="none"/>
        </w:rPr>
        <w:t>投标文件包括本须知第</w:t>
      </w:r>
      <w:r>
        <w:rPr>
          <w:rFonts w:ascii="宋体" w:hAnsi="宋体"/>
          <w:color w:val="000000"/>
          <w:sz w:val="24"/>
          <w:highlight w:val="none"/>
        </w:rPr>
        <w:t>11</w:t>
      </w:r>
      <w:r>
        <w:rPr>
          <w:rFonts w:hint="eastAsia" w:ascii="宋体" w:hAnsi="宋体"/>
          <w:color w:val="000000"/>
          <w:sz w:val="24"/>
          <w:highlight w:val="none"/>
        </w:rPr>
        <w:t>条中规定的内容，投标人提交的投标文件应当使用招标文件所提供的投标文件全部格式（表格可以按同样格式扩展）。</w:t>
      </w:r>
    </w:p>
    <w:p w14:paraId="0AC14405">
      <w:pPr>
        <w:pStyle w:val="49"/>
        <w:spacing w:after="0" w:line="360" w:lineRule="auto"/>
        <w:ind w:firstLine="480" w:firstLineChars="200"/>
        <w:rPr>
          <w:rFonts w:ascii="宋体" w:hAnsi="宋体"/>
          <w:color w:val="000000"/>
          <w:sz w:val="24"/>
          <w:highlight w:val="none"/>
        </w:rPr>
      </w:pPr>
      <w:r>
        <w:rPr>
          <w:rFonts w:hint="eastAsia" w:ascii="宋体" w:hAnsi="宋体"/>
          <w:color w:val="000000"/>
          <w:sz w:val="24"/>
          <w:highlight w:val="none"/>
        </w:rPr>
        <w:t>12.2 投标文件全部采用电子文档，投标文件所附证书证件均为原件扫描件，并采用单位数字证书，按招标文件要求在相应位置加盖电子印章。投标文件中需个人签字或盖章的，应手签后扫描上传。按照交易平台关于</w:t>
      </w:r>
      <w:r>
        <w:rPr>
          <w:rFonts w:hint="eastAsia"/>
          <w:color w:val="000000"/>
          <w:sz w:val="24"/>
          <w:szCs w:val="24"/>
          <w:highlight w:val="none"/>
        </w:rPr>
        <w:t>全流程电子化项目的相关指南进行操作。详见：。</w:t>
      </w:r>
    </w:p>
    <w:p w14:paraId="335B35AE">
      <w:pPr>
        <w:pStyle w:val="49"/>
        <w:spacing w:after="0" w:line="360" w:lineRule="auto"/>
        <w:ind w:firstLine="480" w:firstLineChars="200"/>
        <w:rPr>
          <w:rFonts w:ascii="宋体" w:hAnsi="宋体"/>
          <w:color w:val="000000"/>
          <w:sz w:val="24"/>
          <w:highlight w:val="none"/>
        </w:rPr>
      </w:pPr>
      <w:r>
        <w:rPr>
          <w:rFonts w:hint="eastAsia" w:ascii="宋体" w:hAnsi="宋体"/>
          <w:color w:val="000000"/>
          <w:sz w:val="24"/>
          <w:highlight w:val="none"/>
        </w:rPr>
        <w:t xml:space="preserve">12.3 </w:t>
      </w:r>
      <w:r>
        <w:rPr>
          <w:rFonts w:hint="eastAsia" w:ascii="宋体" w:hAnsi="宋体"/>
          <w:bCs/>
          <w:color w:val="000000"/>
          <w:sz w:val="24"/>
          <w:szCs w:val="24"/>
          <w:highlight w:val="none"/>
        </w:rPr>
        <w:t>投标文件应按</w:t>
      </w:r>
      <w:r>
        <w:rPr>
          <w:rFonts w:hint="eastAsia" w:ascii="宋体" w:hAnsi="宋体"/>
          <w:color w:val="000000"/>
          <w:sz w:val="24"/>
          <w:highlight w:val="none"/>
        </w:rPr>
        <w:t xml:space="preserve">照交易平台关于全流程电子化项目的相关指南进行编制，详见：。               </w:t>
      </w:r>
    </w:p>
    <w:p w14:paraId="4D272116">
      <w:pPr>
        <w:pStyle w:val="49"/>
        <w:spacing w:after="0" w:line="360" w:lineRule="auto"/>
        <w:ind w:firstLine="0"/>
        <w:rPr>
          <w:rFonts w:ascii="宋体" w:hAnsi="宋体"/>
          <w:color w:val="000000"/>
          <w:sz w:val="24"/>
          <w:highlight w:val="none"/>
        </w:rPr>
      </w:pPr>
      <w:r>
        <w:rPr>
          <w:rFonts w:hint="eastAsia" w:ascii="宋体" w:hAnsi="宋体"/>
          <w:bCs/>
          <w:color w:val="000000"/>
          <w:sz w:val="24"/>
          <w:szCs w:val="24"/>
          <w:highlight w:val="none"/>
        </w:rPr>
        <w:t>如不按上述要求编制引起系统无法检索、读取相关信息的，其后果由投标人承担。</w:t>
      </w:r>
    </w:p>
    <w:p w14:paraId="712D30C4">
      <w:pPr>
        <w:pStyle w:val="49"/>
        <w:spacing w:after="0" w:line="360" w:lineRule="auto"/>
        <w:ind w:firstLine="482" w:firstLineChars="200"/>
        <w:rPr>
          <w:rFonts w:ascii="宋体"/>
          <w:b/>
          <w:bCs/>
          <w:color w:val="000000"/>
          <w:sz w:val="24"/>
          <w:highlight w:val="none"/>
        </w:rPr>
      </w:pPr>
      <w:r>
        <w:rPr>
          <w:rFonts w:ascii="宋体" w:hAnsi="宋体"/>
          <w:b/>
          <w:bCs/>
          <w:color w:val="000000"/>
          <w:sz w:val="24"/>
          <w:highlight w:val="none"/>
        </w:rPr>
        <w:t>13</w:t>
      </w:r>
      <w:r>
        <w:rPr>
          <w:rFonts w:hint="eastAsia" w:ascii="宋体" w:hAnsi="宋体"/>
          <w:b/>
          <w:bCs/>
          <w:color w:val="000000"/>
          <w:sz w:val="24"/>
          <w:highlight w:val="none"/>
        </w:rPr>
        <w:t>．投标报价及造价承包和变更结算方式</w:t>
      </w:r>
    </w:p>
    <w:p w14:paraId="6DB4BEFE">
      <w:pPr>
        <w:pStyle w:val="49"/>
        <w:spacing w:after="0" w:line="360" w:lineRule="auto"/>
        <w:ind w:firstLine="480" w:firstLineChars="200"/>
        <w:rPr>
          <w:rFonts w:ascii="宋体"/>
          <w:color w:val="000000"/>
          <w:sz w:val="24"/>
          <w:highlight w:val="none"/>
        </w:rPr>
      </w:pPr>
      <w:r>
        <w:rPr>
          <w:rFonts w:ascii="宋体" w:hAnsi="宋体"/>
          <w:color w:val="000000"/>
          <w:sz w:val="24"/>
          <w:highlight w:val="none"/>
        </w:rPr>
        <w:t xml:space="preserve">13.1 </w:t>
      </w:r>
      <w:r>
        <w:rPr>
          <w:rFonts w:hint="eastAsia" w:ascii="宋体" w:hAnsi="宋体"/>
          <w:color w:val="000000"/>
          <w:sz w:val="24"/>
          <w:highlight w:val="none"/>
        </w:rPr>
        <w:t>本工程的投标报价采用投标须知前附表第</w:t>
      </w:r>
      <w:r>
        <w:rPr>
          <w:rFonts w:ascii="宋体" w:hAnsi="宋体"/>
          <w:color w:val="000000"/>
          <w:sz w:val="24"/>
          <w:highlight w:val="none"/>
        </w:rPr>
        <w:t>12</w:t>
      </w:r>
      <w:r>
        <w:rPr>
          <w:rFonts w:hint="eastAsia" w:ascii="宋体" w:hAnsi="宋体"/>
          <w:color w:val="000000"/>
          <w:sz w:val="24"/>
          <w:highlight w:val="none"/>
        </w:rPr>
        <w:t>项所规定的方式。投标报价（含单价及总价）精确到“分”。</w:t>
      </w:r>
    </w:p>
    <w:p w14:paraId="4A1016C6">
      <w:pPr>
        <w:pStyle w:val="49"/>
        <w:spacing w:after="0" w:line="360" w:lineRule="auto"/>
        <w:ind w:firstLine="480" w:firstLineChars="200"/>
        <w:rPr>
          <w:rFonts w:ascii="宋体"/>
          <w:color w:val="000000"/>
          <w:sz w:val="24"/>
          <w:highlight w:val="none"/>
        </w:rPr>
      </w:pPr>
      <w:r>
        <w:rPr>
          <w:rFonts w:ascii="宋体" w:hAnsi="宋体"/>
          <w:color w:val="000000"/>
          <w:sz w:val="24"/>
          <w:highlight w:val="none"/>
        </w:rPr>
        <w:t>13.2</w:t>
      </w:r>
      <w:r>
        <w:rPr>
          <w:rFonts w:hint="eastAsia" w:ascii="宋体" w:hAnsi="宋体"/>
          <w:color w:val="000000"/>
          <w:sz w:val="24"/>
          <w:highlight w:val="none"/>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6646978C">
      <w:pPr>
        <w:pStyle w:val="49"/>
        <w:spacing w:after="0" w:line="360" w:lineRule="auto"/>
        <w:ind w:firstLine="480" w:firstLineChars="200"/>
        <w:rPr>
          <w:rFonts w:ascii="宋体"/>
          <w:color w:val="000000"/>
          <w:sz w:val="24"/>
          <w:highlight w:val="none"/>
        </w:rPr>
      </w:pPr>
      <w:r>
        <w:rPr>
          <w:rFonts w:ascii="宋体" w:hAnsi="宋体"/>
          <w:color w:val="000000"/>
          <w:sz w:val="24"/>
          <w:highlight w:val="none"/>
        </w:rPr>
        <w:t>13.3</w:t>
      </w:r>
      <w:r>
        <w:rPr>
          <w:rFonts w:hint="eastAsia" w:ascii="宋体" w:hAnsi="宋体"/>
          <w:color w:val="000000"/>
          <w:sz w:val="24"/>
          <w:highlight w:val="none"/>
        </w:rPr>
        <w:t>投标人的投标报价，应是按照投标须知前附表第</w:t>
      </w:r>
      <w:r>
        <w:rPr>
          <w:rFonts w:ascii="宋体" w:hAnsi="宋体"/>
          <w:color w:val="000000"/>
          <w:sz w:val="24"/>
          <w:highlight w:val="none"/>
        </w:rPr>
        <w:t>8</w:t>
      </w:r>
      <w:r>
        <w:rPr>
          <w:rFonts w:hint="eastAsia" w:ascii="宋体" w:hAnsi="宋体"/>
          <w:color w:val="000000"/>
          <w:sz w:val="24"/>
          <w:highlight w:val="none"/>
        </w:rPr>
        <w:t>项的工期要求，在投标须知前附表第</w:t>
      </w:r>
      <w:r>
        <w:rPr>
          <w:rFonts w:ascii="宋体" w:hAnsi="宋体"/>
          <w:color w:val="000000"/>
          <w:sz w:val="24"/>
          <w:highlight w:val="none"/>
        </w:rPr>
        <w:t>3</w:t>
      </w:r>
      <w:r>
        <w:rPr>
          <w:rFonts w:hint="eastAsia" w:ascii="宋体" w:hAnsi="宋体"/>
          <w:color w:val="000000"/>
          <w:sz w:val="24"/>
          <w:highlight w:val="none"/>
        </w:rPr>
        <w:t>项的建设地点，完成投标须知前附表第</w:t>
      </w:r>
      <w:r>
        <w:rPr>
          <w:rFonts w:ascii="宋体" w:hAnsi="宋体"/>
          <w:color w:val="000000"/>
          <w:sz w:val="24"/>
          <w:highlight w:val="none"/>
        </w:rPr>
        <w:t>7</w:t>
      </w:r>
      <w:r>
        <w:rPr>
          <w:rFonts w:hint="eastAsia" w:ascii="宋体" w:hAnsi="宋体"/>
          <w:color w:val="000000"/>
          <w:sz w:val="24"/>
          <w:highlight w:val="none"/>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color w:val="000000"/>
          <w:sz w:val="24"/>
          <w:szCs w:val="24"/>
          <w:highlight w:val="none"/>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3D30CC19">
      <w:pPr>
        <w:pStyle w:val="49"/>
        <w:spacing w:after="0" w:line="360" w:lineRule="auto"/>
        <w:ind w:firstLine="480" w:firstLineChars="200"/>
        <w:rPr>
          <w:rFonts w:ascii="宋体"/>
          <w:sz w:val="24"/>
          <w:highlight w:val="none"/>
        </w:rPr>
      </w:pPr>
      <w:r>
        <w:rPr>
          <w:rFonts w:ascii="宋体" w:hAnsi="宋体"/>
          <w:color w:val="000000"/>
          <w:sz w:val="24"/>
          <w:highlight w:val="none"/>
        </w:rPr>
        <w:t>13.4</w:t>
      </w:r>
      <w:r>
        <w:rPr>
          <w:rFonts w:hint="eastAsia" w:ascii="宋体" w:hAnsi="宋体"/>
          <w:color w:val="000000"/>
          <w:sz w:val="24"/>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w:t>
      </w:r>
      <w:r>
        <w:rPr>
          <w:rFonts w:hint="eastAsia" w:ascii="宋体" w:hAnsi="宋体"/>
          <w:sz w:val="24"/>
          <w:highlight w:val="none"/>
        </w:rPr>
        <w:t>关措施项目相应发生变化时，按系数或单一总价方式计价的措施项目费，工程量增加的措施项目费调增，工程量减少的措施项目费调减。</w:t>
      </w:r>
    </w:p>
    <w:p w14:paraId="1412A6B0">
      <w:pPr>
        <w:pStyle w:val="49"/>
        <w:spacing w:after="0" w:line="360" w:lineRule="auto"/>
        <w:ind w:firstLine="480" w:firstLineChars="200"/>
        <w:rPr>
          <w:rFonts w:ascii="宋体"/>
          <w:sz w:val="24"/>
          <w:highlight w:val="none"/>
        </w:rPr>
      </w:pPr>
      <w:r>
        <w:rPr>
          <w:rFonts w:ascii="宋体" w:hAnsi="宋体"/>
          <w:sz w:val="24"/>
          <w:highlight w:val="none"/>
        </w:rPr>
        <w:t>13.5</w:t>
      </w:r>
      <w:r>
        <w:rPr>
          <w:rFonts w:hint="eastAsia" w:ascii="宋体" w:hAnsi="宋体"/>
          <w:sz w:val="24"/>
          <w:highlight w:val="none"/>
        </w:rPr>
        <w:t>工程项目实施期间和结算时，招标文件工程量清单中漏列而由监理单位和招标人现场签证确认的工程项目、原设计没有而由招标人批准设计变更产生的工程项目，视为新增项目，按以下顺序确定价格：</w:t>
      </w:r>
    </w:p>
    <w:p w14:paraId="2A916BFB">
      <w:pPr>
        <w:pStyle w:val="49"/>
        <w:spacing w:after="0" w:line="360" w:lineRule="auto"/>
        <w:ind w:firstLine="480" w:firstLineChars="200"/>
        <w:rPr>
          <w:rFonts w:ascii="宋体"/>
          <w:sz w:val="24"/>
          <w:highlight w:val="none"/>
        </w:rPr>
      </w:pPr>
      <w:r>
        <w:rPr>
          <w:rFonts w:ascii="宋体" w:hAnsi="宋体"/>
          <w:sz w:val="24"/>
          <w:highlight w:val="none"/>
        </w:rPr>
        <w:t>13.5.1</w:t>
      </w:r>
      <w:r>
        <w:rPr>
          <w:rFonts w:hint="eastAsia" w:ascii="宋体" w:hAnsi="宋体"/>
          <w:sz w:val="24"/>
          <w:highlight w:val="none"/>
        </w:rPr>
        <w:t>中标的投标文件工程量清单中已有相同项目的适用综合单价，则沿用；</w:t>
      </w:r>
    </w:p>
    <w:p w14:paraId="27E83EF2">
      <w:pPr>
        <w:pStyle w:val="49"/>
        <w:spacing w:after="0" w:line="360" w:lineRule="auto"/>
        <w:ind w:firstLine="480" w:firstLineChars="200"/>
        <w:rPr>
          <w:rFonts w:ascii="宋体"/>
          <w:sz w:val="24"/>
          <w:highlight w:val="none"/>
        </w:rPr>
      </w:pPr>
      <w:r>
        <w:rPr>
          <w:rFonts w:ascii="宋体" w:hAnsi="宋体"/>
          <w:sz w:val="24"/>
          <w:highlight w:val="none"/>
        </w:rPr>
        <w:t>13.5.2</w:t>
      </w:r>
      <w:r>
        <w:rPr>
          <w:rFonts w:hint="eastAsia" w:ascii="宋体" w:hAnsi="宋体"/>
          <w:sz w:val="24"/>
          <w:highlight w:val="none"/>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13C39DB0">
      <w:pPr>
        <w:pStyle w:val="49"/>
        <w:spacing w:after="0" w:line="360" w:lineRule="auto"/>
        <w:ind w:firstLine="480" w:firstLineChars="200"/>
        <w:rPr>
          <w:rFonts w:ascii="宋体"/>
          <w:sz w:val="24"/>
          <w:highlight w:val="none"/>
        </w:rPr>
      </w:pPr>
      <w:r>
        <w:rPr>
          <w:rFonts w:ascii="宋体" w:hAnsi="宋体"/>
          <w:sz w:val="24"/>
          <w:highlight w:val="none"/>
        </w:rPr>
        <w:t xml:space="preserve">13.5.3 </w:t>
      </w:r>
      <w:r>
        <w:rPr>
          <w:rFonts w:hint="eastAsia" w:ascii="宋体" w:hAnsi="宋体"/>
          <w:sz w:val="24"/>
          <w:highlight w:val="none"/>
        </w:rPr>
        <w:t>中标的投标文件工程量清单中没有相同项目或类似项目的，如可套取相关定额，则以相关定额为基数下浮计算单价</w:t>
      </w:r>
      <w:r>
        <w:rPr>
          <w:rFonts w:ascii="宋体"/>
          <w:sz w:val="24"/>
          <w:highlight w:val="none"/>
        </w:rPr>
        <w:t>,</w:t>
      </w:r>
      <w:r>
        <w:rPr>
          <w:rFonts w:hint="eastAsia" w:ascii="宋体" w:hAnsi="宋体"/>
          <w:sz w:val="24"/>
          <w:highlight w:val="none"/>
        </w:rPr>
        <w:t>下浮率为中标价</w:t>
      </w:r>
      <w:r>
        <w:rPr>
          <w:rFonts w:hint="eastAsia" w:ascii="宋体" w:hAnsi="宋体"/>
          <w:sz w:val="24"/>
          <w:szCs w:val="24"/>
          <w:highlight w:val="none"/>
        </w:rPr>
        <w:t>相对于最高投标限价的下</w:t>
      </w:r>
      <w:r>
        <w:rPr>
          <w:rFonts w:hint="eastAsia" w:ascii="宋体" w:hAnsi="宋体"/>
          <w:sz w:val="24"/>
          <w:highlight w:val="none"/>
        </w:rPr>
        <w:t>浮率（下浮率</w:t>
      </w:r>
      <w:r>
        <w:rPr>
          <w:rFonts w:ascii="宋体" w:hAnsi="宋体"/>
          <w:sz w:val="24"/>
          <w:highlight w:val="none"/>
        </w:rPr>
        <w:t>=(</w:t>
      </w:r>
      <w:r>
        <w:rPr>
          <w:rFonts w:hint="eastAsia" w:ascii="宋体" w:hAnsi="宋体"/>
          <w:sz w:val="24"/>
          <w:szCs w:val="24"/>
          <w:highlight w:val="none"/>
        </w:rPr>
        <w:t>最高投标限价</w:t>
      </w:r>
      <w:r>
        <w:rPr>
          <w:rFonts w:ascii="宋体"/>
          <w:sz w:val="24"/>
          <w:highlight w:val="none"/>
        </w:rPr>
        <w:t>-</w:t>
      </w:r>
      <w:r>
        <w:rPr>
          <w:rFonts w:hint="eastAsia" w:ascii="宋体" w:hAnsi="宋体"/>
          <w:sz w:val="24"/>
          <w:highlight w:val="none"/>
        </w:rPr>
        <w:t>中标价</w:t>
      </w:r>
      <w:r>
        <w:rPr>
          <w:rFonts w:ascii="宋体" w:hAnsi="宋体"/>
          <w:sz w:val="24"/>
          <w:highlight w:val="none"/>
        </w:rPr>
        <w:t>)/</w:t>
      </w:r>
      <w:r>
        <w:rPr>
          <w:rFonts w:hint="eastAsia" w:ascii="宋体" w:hAnsi="宋体"/>
          <w:sz w:val="24"/>
          <w:szCs w:val="24"/>
          <w:highlight w:val="none"/>
        </w:rPr>
        <w:t>最高投标限价</w:t>
      </w:r>
      <w:r>
        <w:rPr>
          <w:rFonts w:hint="eastAsia" w:ascii="宋体" w:hAnsi="宋体"/>
          <w:sz w:val="24"/>
          <w:highlight w:val="none"/>
        </w:rPr>
        <w:t>）。</w:t>
      </w:r>
    </w:p>
    <w:p w14:paraId="52851F42">
      <w:pPr>
        <w:pStyle w:val="49"/>
        <w:spacing w:after="0" w:line="360" w:lineRule="auto"/>
        <w:ind w:firstLine="480" w:firstLineChars="200"/>
        <w:rPr>
          <w:rFonts w:ascii="宋体"/>
          <w:sz w:val="24"/>
          <w:highlight w:val="none"/>
        </w:rPr>
      </w:pPr>
      <w:r>
        <w:rPr>
          <w:rFonts w:ascii="宋体" w:hAnsi="宋体"/>
          <w:sz w:val="24"/>
          <w:highlight w:val="none"/>
        </w:rPr>
        <w:t xml:space="preserve">13.5.4 </w:t>
      </w:r>
      <w:r>
        <w:rPr>
          <w:rFonts w:hint="eastAsia" w:ascii="宋体" w:hAnsi="宋体"/>
          <w:sz w:val="24"/>
          <w:highlight w:val="none"/>
        </w:rPr>
        <w:t>如相关定额没有相应子目的，其计价方式由招标人在本招标文件第三章中另行规定。未规定的，中标后双方协商约定。</w:t>
      </w:r>
    </w:p>
    <w:p w14:paraId="580D1B44">
      <w:pPr>
        <w:pStyle w:val="49"/>
        <w:spacing w:after="0" w:line="360" w:lineRule="auto"/>
        <w:ind w:firstLine="480" w:firstLineChars="200"/>
        <w:rPr>
          <w:rFonts w:ascii="宋体"/>
          <w:sz w:val="24"/>
          <w:highlight w:val="none"/>
        </w:rPr>
      </w:pPr>
      <w:r>
        <w:rPr>
          <w:rFonts w:ascii="宋体" w:hAnsi="宋体"/>
          <w:sz w:val="24"/>
          <w:highlight w:val="none"/>
        </w:rPr>
        <w:t>13.6</w:t>
      </w:r>
      <w:r>
        <w:rPr>
          <w:rFonts w:hint="eastAsia" w:ascii="宋体" w:hAnsi="宋体"/>
          <w:sz w:val="24"/>
          <w:highlight w:val="none"/>
        </w:rPr>
        <w:t>暂列金额、暂估价</w:t>
      </w:r>
    </w:p>
    <w:p w14:paraId="09DBD5F3">
      <w:pPr>
        <w:pStyle w:val="49"/>
        <w:spacing w:after="0" w:line="360" w:lineRule="auto"/>
        <w:ind w:firstLine="480" w:firstLineChars="200"/>
        <w:rPr>
          <w:rFonts w:ascii="宋体"/>
          <w:sz w:val="24"/>
          <w:highlight w:val="none"/>
        </w:rPr>
      </w:pPr>
      <w:r>
        <w:rPr>
          <w:rFonts w:ascii="宋体" w:hAnsi="宋体"/>
          <w:sz w:val="24"/>
          <w:highlight w:val="none"/>
        </w:rPr>
        <w:t>13.6.1</w:t>
      </w:r>
      <w:r>
        <w:rPr>
          <w:rFonts w:hint="eastAsia" w:ascii="宋体" w:hAnsi="宋体"/>
          <w:sz w:val="24"/>
          <w:highlight w:val="none"/>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51AB8160">
      <w:pPr>
        <w:pStyle w:val="49"/>
        <w:spacing w:after="0" w:line="360" w:lineRule="auto"/>
        <w:ind w:firstLine="480" w:firstLineChars="200"/>
        <w:rPr>
          <w:rFonts w:ascii="宋体"/>
          <w:sz w:val="24"/>
          <w:highlight w:val="none"/>
        </w:rPr>
      </w:pPr>
      <w:r>
        <w:rPr>
          <w:rFonts w:hint="eastAsia" w:ascii="宋体" w:hAnsi="宋体"/>
          <w:sz w:val="24"/>
          <w:highlight w:val="none"/>
        </w:rPr>
        <w:t>暂估价是指招标人在工程量清单中提供的用于支付必然发生但暂时不能确定价格的材料的单价以及专业工程的金额。</w:t>
      </w:r>
    </w:p>
    <w:p w14:paraId="3B8F1F42">
      <w:pPr>
        <w:pStyle w:val="49"/>
        <w:spacing w:after="0" w:line="360" w:lineRule="auto"/>
        <w:ind w:firstLine="480" w:firstLineChars="200"/>
        <w:rPr>
          <w:rFonts w:ascii="宋体"/>
          <w:sz w:val="24"/>
          <w:highlight w:val="none"/>
        </w:rPr>
      </w:pPr>
      <w:r>
        <w:rPr>
          <w:rFonts w:ascii="宋体" w:hAnsi="宋体"/>
          <w:sz w:val="24"/>
          <w:highlight w:val="none"/>
        </w:rPr>
        <w:t>13.6.2</w:t>
      </w:r>
      <w:r>
        <w:rPr>
          <w:rFonts w:hint="eastAsia" w:ascii="宋体" w:hAnsi="宋体"/>
          <w:sz w:val="24"/>
          <w:highlight w:val="none"/>
        </w:rPr>
        <w:t>在工程实施中，暂列金额、暂估价所包含的工作范围和图纸、标准深化固定后，按照工程专业、设备、材料类别等分类汇总的金额，达到法定招标范围标准的，应由招标人同中标人联合招标，确定承包人和承包价格。</w:t>
      </w:r>
    </w:p>
    <w:p w14:paraId="7CAF0994">
      <w:pPr>
        <w:pStyle w:val="49"/>
        <w:spacing w:after="0" w:line="360" w:lineRule="auto"/>
        <w:ind w:firstLine="480" w:firstLineChars="200"/>
        <w:rPr>
          <w:rFonts w:ascii="宋体"/>
          <w:sz w:val="24"/>
          <w:highlight w:val="none"/>
        </w:rPr>
      </w:pPr>
      <w:r>
        <w:rPr>
          <w:rFonts w:ascii="宋体" w:hAnsi="宋体"/>
          <w:sz w:val="24"/>
          <w:highlight w:val="none"/>
        </w:rPr>
        <w:t>13.6.3</w:t>
      </w:r>
      <w:r>
        <w:rPr>
          <w:rFonts w:hint="eastAsia" w:ascii="宋体" w:hAnsi="宋体"/>
          <w:sz w:val="24"/>
          <w:highlight w:val="none"/>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620F7477">
      <w:pPr>
        <w:pStyle w:val="49"/>
        <w:spacing w:after="0" w:line="360" w:lineRule="auto"/>
        <w:ind w:firstLine="480" w:firstLineChars="200"/>
        <w:rPr>
          <w:rFonts w:ascii="宋体"/>
          <w:sz w:val="24"/>
          <w:highlight w:val="none"/>
        </w:rPr>
      </w:pPr>
      <w:r>
        <w:rPr>
          <w:rFonts w:ascii="宋体" w:hAnsi="宋体"/>
          <w:sz w:val="24"/>
          <w:highlight w:val="none"/>
        </w:rPr>
        <w:t>13.6.4</w:t>
      </w:r>
      <w:r>
        <w:rPr>
          <w:rFonts w:hint="eastAsia" w:ascii="宋体" w:hAnsi="宋体"/>
          <w:sz w:val="24"/>
          <w:highlight w:val="none"/>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sz w:val="24"/>
          <w:highlight w:val="none"/>
        </w:rPr>
        <w:t>13.5</w:t>
      </w:r>
      <w:r>
        <w:rPr>
          <w:rFonts w:hint="eastAsia" w:ascii="宋体" w:hAnsi="宋体"/>
          <w:sz w:val="24"/>
          <w:highlight w:val="none"/>
        </w:rPr>
        <w:t>款规定确定。</w:t>
      </w:r>
    </w:p>
    <w:p w14:paraId="05F3E342">
      <w:pPr>
        <w:pStyle w:val="49"/>
        <w:spacing w:after="0" w:line="360" w:lineRule="auto"/>
        <w:ind w:firstLine="480" w:firstLineChars="200"/>
        <w:rPr>
          <w:rFonts w:ascii="宋体"/>
          <w:sz w:val="24"/>
          <w:highlight w:val="none"/>
        </w:rPr>
      </w:pPr>
      <w:r>
        <w:rPr>
          <w:rFonts w:ascii="宋体" w:hAnsi="宋体"/>
          <w:sz w:val="24"/>
          <w:highlight w:val="none"/>
        </w:rPr>
        <w:t>13.6.5</w:t>
      </w:r>
      <w:r>
        <w:rPr>
          <w:rFonts w:hint="eastAsia" w:ascii="宋体" w:hAnsi="宋体"/>
          <w:sz w:val="24"/>
          <w:highlight w:val="none"/>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78620F46">
      <w:pPr>
        <w:pStyle w:val="49"/>
        <w:spacing w:after="0" w:line="360" w:lineRule="auto"/>
        <w:ind w:firstLine="480" w:firstLineChars="200"/>
        <w:rPr>
          <w:rFonts w:ascii="宋体"/>
          <w:sz w:val="24"/>
          <w:highlight w:val="none"/>
        </w:rPr>
      </w:pPr>
      <w:r>
        <w:rPr>
          <w:rFonts w:ascii="宋体" w:hAnsi="宋体"/>
          <w:sz w:val="24"/>
          <w:highlight w:val="none"/>
        </w:rPr>
        <w:t xml:space="preserve">13.6.6 </w:t>
      </w:r>
      <w:r>
        <w:rPr>
          <w:rFonts w:hint="eastAsia" w:ascii="宋体" w:hAnsi="宋体"/>
          <w:sz w:val="24"/>
          <w:highlight w:val="none"/>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64F0E863">
      <w:pPr>
        <w:pStyle w:val="49"/>
        <w:spacing w:after="0" w:line="360" w:lineRule="auto"/>
        <w:ind w:firstLine="480" w:firstLineChars="200"/>
        <w:rPr>
          <w:rFonts w:ascii="宋体"/>
          <w:sz w:val="24"/>
          <w:highlight w:val="none"/>
        </w:rPr>
      </w:pPr>
      <w:r>
        <w:rPr>
          <w:rFonts w:ascii="宋体" w:hAnsi="宋体"/>
          <w:sz w:val="24"/>
          <w:highlight w:val="none"/>
        </w:rPr>
        <w:t>13.7</w:t>
      </w:r>
      <w:r>
        <w:rPr>
          <w:rFonts w:hint="eastAsia" w:ascii="宋体" w:hAnsi="宋体"/>
          <w:sz w:val="24"/>
          <w:highlight w:val="none"/>
        </w:rPr>
        <w:t>投标人可先到工地踏勘以充分了解工地位置、情况、道路、储存空间、装卸限制及任何其他足以影响承包价的情况，任何因忽视或误解工地情况而导致的索赔或工期延长申请将不被批准。</w:t>
      </w:r>
    </w:p>
    <w:p w14:paraId="091016D4">
      <w:pPr>
        <w:pStyle w:val="49"/>
        <w:spacing w:after="0" w:line="360" w:lineRule="auto"/>
        <w:ind w:firstLine="480" w:firstLineChars="200"/>
        <w:rPr>
          <w:rFonts w:ascii="宋体"/>
          <w:sz w:val="24"/>
          <w:highlight w:val="none"/>
        </w:rPr>
      </w:pPr>
      <w:r>
        <w:rPr>
          <w:rFonts w:ascii="宋体" w:hAnsi="宋体"/>
          <w:sz w:val="24"/>
          <w:highlight w:val="none"/>
        </w:rPr>
        <w:t>13.8</w:t>
      </w:r>
      <w:r>
        <w:rPr>
          <w:rFonts w:hint="eastAsia" w:ascii="宋体" w:hAnsi="宋体"/>
          <w:sz w:val="24"/>
          <w:highlight w:val="none"/>
        </w:rPr>
        <w:t>属于承包人自行采购的主要材料、设备，招标人应当在招标文件中提出材料、设备的技术标准或者质量要求，或者提出不少于</w:t>
      </w:r>
      <w:r>
        <w:rPr>
          <w:rFonts w:ascii="宋体" w:hAnsi="宋体"/>
          <w:sz w:val="24"/>
          <w:highlight w:val="none"/>
        </w:rPr>
        <w:t>3</w:t>
      </w:r>
      <w:r>
        <w:rPr>
          <w:rFonts w:hint="eastAsia" w:ascii="宋体" w:hAnsi="宋体"/>
          <w:sz w:val="24"/>
          <w:highlight w:val="none"/>
        </w:rPr>
        <w:t>个同等档次品牌或分包商供投标人报价时选择</w:t>
      </w:r>
      <w:r>
        <w:rPr>
          <w:rFonts w:ascii="宋体"/>
          <w:sz w:val="24"/>
          <w:highlight w:val="none"/>
        </w:rPr>
        <w:t>,</w:t>
      </w:r>
      <w:r>
        <w:rPr>
          <w:rFonts w:hint="eastAsia" w:ascii="宋体" w:hAnsi="宋体"/>
          <w:sz w:val="24"/>
          <w:highlight w:val="none"/>
        </w:rPr>
        <w:t>凡招标人在招标文件中提出参考品牌的，必须在参考品牌后面加上“或相当于”字样。投标人在投标文件中应明确所选用主要材料、设备的品牌、厂家以及质量等级，并且应当符合招标文件的要求。</w:t>
      </w:r>
    </w:p>
    <w:p w14:paraId="494875F7">
      <w:pPr>
        <w:pStyle w:val="49"/>
        <w:spacing w:after="0" w:line="360" w:lineRule="auto"/>
        <w:ind w:firstLine="480" w:firstLineChars="200"/>
        <w:rPr>
          <w:rFonts w:ascii="宋体"/>
          <w:color w:val="000000"/>
          <w:sz w:val="24"/>
          <w:szCs w:val="24"/>
          <w:highlight w:val="none"/>
        </w:rPr>
      </w:pPr>
      <w:r>
        <w:rPr>
          <w:rFonts w:ascii="宋体" w:hAnsi="宋体"/>
          <w:color w:val="000000"/>
          <w:sz w:val="24"/>
          <w:highlight w:val="none"/>
        </w:rPr>
        <w:t>13.9</w:t>
      </w:r>
      <w:r>
        <w:rPr>
          <w:rFonts w:hint="eastAsia" w:ascii="宋体"/>
          <w:color w:val="000000"/>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7BE27259">
      <w:pPr>
        <w:pStyle w:val="49"/>
        <w:spacing w:after="0" w:line="360" w:lineRule="auto"/>
        <w:ind w:firstLine="482" w:firstLineChars="200"/>
        <w:rPr>
          <w:rFonts w:ascii="宋体"/>
          <w:b/>
          <w:bCs/>
          <w:sz w:val="24"/>
          <w:highlight w:val="none"/>
        </w:rPr>
      </w:pPr>
      <w:r>
        <w:rPr>
          <w:rFonts w:ascii="宋体" w:hAnsi="宋体"/>
          <w:b/>
          <w:bCs/>
          <w:sz w:val="24"/>
          <w:highlight w:val="none"/>
        </w:rPr>
        <w:t>14</w:t>
      </w:r>
      <w:r>
        <w:rPr>
          <w:rFonts w:hint="eastAsia" w:ascii="宋体" w:hAnsi="宋体"/>
          <w:b/>
          <w:bCs/>
          <w:sz w:val="24"/>
          <w:highlight w:val="none"/>
        </w:rPr>
        <w:t>．投标货币</w:t>
      </w:r>
    </w:p>
    <w:p w14:paraId="3949B692">
      <w:pPr>
        <w:pStyle w:val="49"/>
        <w:spacing w:after="0" w:line="360" w:lineRule="auto"/>
        <w:ind w:firstLine="480" w:firstLineChars="200"/>
        <w:rPr>
          <w:rFonts w:ascii="宋体"/>
          <w:sz w:val="24"/>
          <w:highlight w:val="none"/>
        </w:rPr>
      </w:pPr>
      <w:r>
        <w:rPr>
          <w:rFonts w:ascii="宋体" w:hAnsi="宋体"/>
          <w:sz w:val="24"/>
          <w:highlight w:val="none"/>
        </w:rPr>
        <w:t xml:space="preserve">14.1 </w:t>
      </w:r>
      <w:r>
        <w:rPr>
          <w:rFonts w:hint="eastAsia" w:ascii="宋体" w:hAnsi="宋体"/>
          <w:sz w:val="24"/>
          <w:highlight w:val="none"/>
        </w:rPr>
        <w:t>本工程投标报价采用的币种为人民币。</w:t>
      </w:r>
    </w:p>
    <w:p w14:paraId="5BEDCACA">
      <w:pPr>
        <w:pStyle w:val="49"/>
        <w:spacing w:after="0" w:line="360" w:lineRule="auto"/>
        <w:ind w:firstLine="482" w:firstLineChars="200"/>
        <w:rPr>
          <w:rFonts w:ascii="宋体"/>
          <w:sz w:val="24"/>
          <w:highlight w:val="none"/>
        </w:rPr>
      </w:pPr>
      <w:r>
        <w:rPr>
          <w:rFonts w:ascii="宋体" w:hAnsi="宋体"/>
          <w:b/>
          <w:bCs/>
          <w:sz w:val="24"/>
          <w:highlight w:val="none"/>
        </w:rPr>
        <w:t>15</w:t>
      </w:r>
      <w:r>
        <w:rPr>
          <w:rFonts w:hint="eastAsia" w:ascii="宋体" w:hAnsi="宋体"/>
          <w:b/>
          <w:bCs/>
          <w:sz w:val="24"/>
          <w:highlight w:val="none"/>
        </w:rPr>
        <w:t>．投标有效期</w:t>
      </w:r>
    </w:p>
    <w:p w14:paraId="4C8999B9">
      <w:pPr>
        <w:pStyle w:val="49"/>
        <w:spacing w:after="0" w:line="360" w:lineRule="auto"/>
        <w:ind w:firstLine="480" w:firstLineChars="200"/>
        <w:rPr>
          <w:rFonts w:ascii="宋体"/>
          <w:sz w:val="24"/>
          <w:highlight w:val="none"/>
        </w:rPr>
      </w:pPr>
      <w:r>
        <w:rPr>
          <w:rFonts w:ascii="宋体" w:hAnsi="宋体"/>
          <w:sz w:val="24"/>
          <w:highlight w:val="none"/>
        </w:rPr>
        <w:t xml:space="preserve">15.1 </w:t>
      </w:r>
      <w:r>
        <w:rPr>
          <w:rFonts w:hint="eastAsia" w:ascii="宋体" w:hAnsi="宋体"/>
          <w:sz w:val="24"/>
          <w:highlight w:val="none"/>
        </w:rPr>
        <w:t>投标有效期见投标须知前附表第</w:t>
      </w:r>
      <w:r>
        <w:rPr>
          <w:rFonts w:ascii="宋体" w:hAnsi="宋体"/>
          <w:sz w:val="24"/>
          <w:highlight w:val="none"/>
        </w:rPr>
        <w:t>13</w:t>
      </w:r>
      <w:r>
        <w:rPr>
          <w:rFonts w:hint="eastAsia" w:ascii="宋体" w:hAnsi="宋体"/>
          <w:sz w:val="24"/>
          <w:highlight w:val="none"/>
        </w:rPr>
        <w:t>项所规定的期限，在此期限内，凡符合本招标文件要求的投标文件均保持有效。</w:t>
      </w:r>
    </w:p>
    <w:p w14:paraId="55DB2F17">
      <w:pPr>
        <w:pStyle w:val="49"/>
        <w:spacing w:after="0" w:line="360" w:lineRule="auto"/>
        <w:ind w:firstLine="480" w:firstLineChars="200"/>
        <w:rPr>
          <w:rFonts w:ascii="宋体"/>
          <w:color w:val="000000"/>
          <w:sz w:val="24"/>
          <w:highlight w:val="none"/>
        </w:rPr>
      </w:pPr>
      <w:r>
        <w:rPr>
          <w:rFonts w:ascii="宋体" w:hAnsi="宋体"/>
          <w:color w:val="000000"/>
          <w:sz w:val="24"/>
          <w:highlight w:val="none"/>
        </w:rPr>
        <w:t xml:space="preserve">15.2 </w:t>
      </w:r>
      <w:r>
        <w:rPr>
          <w:rFonts w:hint="eastAsia" w:ascii="宋体" w:hAnsi="宋体"/>
          <w:color w:val="000000"/>
          <w:sz w:val="24"/>
          <w:highlight w:val="none"/>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color w:val="000000"/>
          <w:sz w:val="24"/>
          <w:highlight w:val="none"/>
        </w:rPr>
        <w:t>16</w:t>
      </w:r>
      <w:r>
        <w:rPr>
          <w:rFonts w:hint="eastAsia" w:ascii="宋体" w:hAnsi="宋体"/>
          <w:color w:val="000000"/>
          <w:sz w:val="24"/>
          <w:highlight w:val="none"/>
        </w:rPr>
        <w:t>条关于投标保证金的退还与不予退还的规定仍然适用。</w:t>
      </w:r>
    </w:p>
    <w:p w14:paraId="54AA59E0">
      <w:pPr>
        <w:pStyle w:val="49"/>
        <w:spacing w:after="0" w:line="360" w:lineRule="auto"/>
        <w:ind w:firstLine="482" w:firstLineChars="200"/>
        <w:rPr>
          <w:rFonts w:ascii="宋体"/>
          <w:b/>
          <w:bCs/>
          <w:color w:val="000000"/>
          <w:sz w:val="24"/>
          <w:highlight w:val="none"/>
        </w:rPr>
      </w:pPr>
      <w:r>
        <w:rPr>
          <w:rFonts w:ascii="宋体" w:hAnsi="宋体"/>
          <w:b/>
          <w:bCs/>
          <w:color w:val="000000"/>
          <w:sz w:val="24"/>
          <w:highlight w:val="none"/>
        </w:rPr>
        <w:t>16</w:t>
      </w:r>
      <w:r>
        <w:rPr>
          <w:rFonts w:hint="eastAsia" w:ascii="宋体" w:hAnsi="宋体"/>
          <w:b/>
          <w:bCs/>
          <w:color w:val="000000"/>
          <w:sz w:val="24"/>
          <w:highlight w:val="none"/>
        </w:rPr>
        <w:t>．投标保证金</w:t>
      </w:r>
    </w:p>
    <w:p w14:paraId="2646BC05">
      <w:pPr>
        <w:pStyle w:val="49"/>
        <w:spacing w:after="0" w:line="360" w:lineRule="auto"/>
        <w:ind w:firstLine="480" w:firstLineChars="200"/>
        <w:rPr>
          <w:rFonts w:ascii="宋体" w:hAnsi="宋体"/>
          <w:sz w:val="24"/>
          <w:highlight w:val="none"/>
        </w:rPr>
      </w:pPr>
      <w:r>
        <w:rPr>
          <w:rFonts w:hint="eastAsia" w:ascii="宋体" w:hAnsi="宋体"/>
          <w:sz w:val="24"/>
          <w:highlight w:val="none"/>
        </w:rPr>
        <w:t>16.1投标人应按投标须知前附表第14项所述金额和时间递交投标保证金。招标人应当允许投标人自主选择现金、银行保函、保证保险、专业工程担保公司担保等方式缴纳投标保证金。</w:t>
      </w:r>
    </w:p>
    <w:p w14:paraId="02A7D6E6">
      <w:pPr>
        <w:pStyle w:val="49"/>
        <w:spacing w:after="0" w:line="360" w:lineRule="auto"/>
        <w:ind w:firstLine="480" w:firstLineChars="200"/>
        <w:rPr>
          <w:rFonts w:ascii="宋体" w:hAnsi="宋体"/>
          <w:sz w:val="24"/>
          <w:highlight w:val="none"/>
        </w:rPr>
      </w:pPr>
      <w:r>
        <w:rPr>
          <w:rFonts w:hint="eastAsia" w:ascii="宋体" w:hAnsi="宋体"/>
          <w:sz w:val="24"/>
          <w:highlight w:val="none"/>
        </w:rPr>
        <w:t>16.1.1 采用现金或者支票形式提交的，投标保证金须从投标人的银行基本账户转出。</w:t>
      </w:r>
    </w:p>
    <w:p w14:paraId="7BEBE92D">
      <w:pPr>
        <w:pStyle w:val="49"/>
        <w:spacing w:after="0" w:line="360" w:lineRule="auto"/>
        <w:ind w:firstLine="480" w:firstLineChars="200"/>
        <w:rPr>
          <w:rFonts w:ascii="宋体" w:hAnsi="宋体"/>
          <w:sz w:val="24"/>
          <w:highlight w:val="none"/>
        </w:rPr>
      </w:pPr>
      <w:r>
        <w:rPr>
          <w:rFonts w:hint="eastAsia" w:ascii="宋体" w:hAnsi="宋体"/>
          <w:sz w:val="24"/>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245D6953">
      <w:pPr>
        <w:pStyle w:val="49"/>
        <w:spacing w:after="0" w:line="360" w:lineRule="auto"/>
        <w:ind w:firstLine="480" w:firstLineChars="200"/>
        <w:rPr>
          <w:rFonts w:ascii="宋体" w:hAnsi="宋体"/>
          <w:sz w:val="24"/>
          <w:highlight w:val="none"/>
        </w:rPr>
      </w:pPr>
      <w:r>
        <w:rPr>
          <w:rFonts w:hint="eastAsia" w:ascii="宋体" w:hAnsi="宋体"/>
          <w:sz w:val="24"/>
          <w:highlight w:val="none"/>
        </w:rPr>
        <w:t>16.1.3 采用电子形式的保函、担保或保证保险提交投标保证金的，应在招标文件中明确电子递交途径。</w:t>
      </w:r>
    </w:p>
    <w:p w14:paraId="2E9E5704">
      <w:pPr>
        <w:pStyle w:val="49"/>
        <w:spacing w:after="0" w:line="360" w:lineRule="auto"/>
        <w:ind w:firstLine="480" w:firstLineChars="200"/>
        <w:rPr>
          <w:rFonts w:ascii="宋体" w:hAnsi="宋体"/>
          <w:sz w:val="24"/>
          <w:highlight w:val="none"/>
        </w:rPr>
      </w:pPr>
      <w:r>
        <w:rPr>
          <w:rFonts w:hint="eastAsia" w:ascii="宋体" w:hAnsi="宋体"/>
          <w:sz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0B7D0155">
      <w:pPr>
        <w:pStyle w:val="49"/>
        <w:spacing w:after="0" w:line="360" w:lineRule="auto"/>
        <w:ind w:firstLine="480" w:firstLineChars="200"/>
        <w:rPr>
          <w:rFonts w:ascii="宋体" w:hAnsi="宋体"/>
          <w:sz w:val="24"/>
          <w:highlight w:val="none"/>
        </w:rPr>
      </w:pPr>
      <w:r>
        <w:rPr>
          <w:rFonts w:hint="eastAsia" w:ascii="宋体" w:hAnsi="宋体"/>
          <w:sz w:val="24"/>
          <w:highlight w:val="none"/>
        </w:rPr>
        <w:t>16.3投标保证金应依据法律法规的相关规定退还。</w:t>
      </w:r>
    </w:p>
    <w:p w14:paraId="55A8DB4A">
      <w:pPr>
        <w:pStyle w:val="49"/>
        <w:spacing w:after="0" w:line="360" w:lineRule="auto"/>
        <w:ind w:firstLine="480" w:firstLineChars="200"/>
        <w:rPr>
          <w:rFonts w:ascii="宋体" w:hAnsi="宋体"/>
          <w:sz w:val="24"/>
          <w:highlight w:val="none"/>
        </w:rPr>
      </w:pPr>
      <w:r>
        <w:rPr>
          <w:rFonts w:hint="eastAsia" w:ascii="宋体" w:hAnsi="宋体"/>
          <w:sz w:val="24"/>
          <w:highlight w:val="none"/>
        </w:rPr>
        <w:t>16.4如有下列情况之一的，招标人可以不予退还投标保证金（是否退还投标保证金由招标人在招标文件中规定）：</w:t>
      </w:r>
    </w:p>
    <w:p w14:paraId="49F195AD">
      <w:pPr>
        <w:pStyle w:val="49"/>
        <w:spacing w:after="0" w:line="360" w:lineRule="auto"/>
        <w:ind w:firstLine="480" w:firstLineChars="200"/>
        <w:rPr>
          <w:rFonts w:ascii="宋体" w:hAnsi="宋体"/>
          <w:sz w:val="24"/>
          <w:highlight w:val="none"/>
        </w:rPr>
      </w:pPr>
      <w:r>
        <w:rPr>
          <w:rFonts w:hint="eastAsia" w:ascii="宋体" w:hAnsi="宋体"/>
          <w:sz w:val="24"/>
          <w:highlight w:val="none"/>
        </w:rPr>
        <w:t>16.4.1因投标人原因造成投标文件未解密的；</w:t>
      </w:r>
    </w:p>
    <w:p w14:paraId="5407E7FC">
      <w:pPr>
        <w:pStyle w:val="49"/>
        <w:spacing w:after="0" w:line="360" w:lineRule="auto"/>
        <w:ind w:firstLine="480" w:firstLineChars="200"/>
        <w:rPr>
          <w:rFonts w:ascii="宋体" w:hAnsi="宋体"/>
          <w:sz w:val="24"/>
          <w:highlight w:val="none"/>
        </w:rPr>
      </w:pPr>
      <w:r>
        <w:rPr>
          <w:rFonts w:hint="eastAsia" w:ascii="宋体" w:hAnsi="宋体"/>
          <w:sz w:val="24"/>
          <w:highlight w:val="none"/>
        </w:rPr>
        <w:t>16.4.2投标人在投标有效期内撤销投标文件；</w:t>
      </w:r>
    </w:p>
    <w:p w14:paraId="4E5B9C17">
      <w:pPr>
        <w:pStyle w:val="49"/>
        <w:spacing w:after="0" w:line="360" w:lineRule="auto"/>
        <w:ind w:firstLine="480" w:firstLineChars="200"/>
        <w:rPr>
          <w:rFonts w:ascii="宋体" w:hAnsi="宋体"/>
          <w:sz w:val="24"/>
          <w:highlight w:val="none"/>
        </w:rPr>
      </w:pPr>
      <w:r>
        <w:rPr>
          <w:rFonts w:hint="eastAsia" w:ascii="宋体" w:hAnsi="宋体"/>
          <w:sz w:val="24"/>
          <w:highlight w:val="none"/>
        </w:rPr>
        <w:t>16.4.3中标人未能在规定期限内按要求提交履约担保；</w:t>
      </w:r>
    </w:p>
    <w:p w14:paraId="2B800DA0">
      <w:pPr>
        <w:pStyle w:val="49"/>
        <w:spacing w:after="0" w:line="360" w:lineRule="auto"/>
        <w:ind w:firstLine="480" w:firstLineChars="200"/>
        <w:rPr>
          <w:rFonts w:ascii="宋体" w:hAnsi="宋体"/>
          <w:sz w:val="24"/>
          <w:highlight w:val="none"/>
        </w:rPr>
      </w:pPr>
      <w:r>
        <w:rPr>
          <w:rFonts w:hint="eastAsia" w:ascii="宋体" w:hAnsi="宋体"/>
          <w:sz w:val="24"/>
          <w:highlight w:val="none"/>
        </w:rPr>
        <w:t>16.4.4中标人未能在规定期限内签署合同协议。</w:t>
      </w:r>
    </w:p>
    <w:p w14:paraId="6A9782D9">
      <w:pPr>
        <w:pStyle w:val="49"/>
        <w:spacing w:after="0" w:line="360" w:lineRule="auto"/>
        <w:ind w:firstLine="480" w:firstLineChars="200"/>
        <w:rPr>
          <w:rFonts w:ascii="宋体" w:hAnsi="宋体"/>
          <w:sz w:val="24"/>
          <w:highlight w:val="none"/>
        </w:rPr>
      </w:pPr>
      <w:r>
        <w:rPr>
          <w:rFonts w:hint="eastAsia" w:ascii="宋体" w:hAnsi="宋体"/>
          <w:sz w:val="24"/>
          <w:highlight w:val="none"/>
        </w:rPr>
        <w:t>16.5投标人如存在下列情况之一的，将被拒绝在一定时期内参与招标人后续工程投标（拒绝时限需在招标文件中明确）：</w:t>
      </w:r>
    </w:p>
    <w:p w14:paraId="5183A2DC">
      <w:pPr>
        <w:pStyle w:val="49"/>
        <w:spacing w:after="0" w:line="360" w:lineRule="auto"/>
        <w:ind w:firstLine="480" w:firstLineChars="200"/>
        <w:rPr>
          <w:rFonts w:ascii="宋体" w:hAnsi="宋体"/>
          <w:sz w:val="24"/>
          <w:highlight w:val="none"/>
        </w:rPr>
      </w:pPr>
      <w:r>
        <w:rPr>
          <w:rFonts w:hint="eastAsia" w:ascii="宋体" w:hAnsi="宋体"/>
          <w:sz w:val="24"/>
          <w:highlight w:val="none"/>
        </w:rPr>
        <w:t>16.5.1投标人存在16.4条款所列情形且投标人提交的保函、担保或保证保险无法兑付的；</w:t>
      </w:r>
    </w:p>
    <w:p w14:paraId="420BBE91">
      <w:pPr>
        <w:pStyle w:val="49"/>
        <w:spacing w:after="0" w:line="360" w:lineRule="auto"/>
        <w:ind w:firstLine="480" w:firstLineChars="200"/>
        <w:rPr>
          <w:rFonts w:ascii="宋体" w:hAnsi="宋体"/>
          <w:sz w:val="24"/>
          <w:highlight w:val="none"/>
        </w:rPr>
      </w:pPr>
      <w:r>
        <w:rPr>
          <w:rFonts w:hint="eastAsia" w:ascii="宋体" w:hAnsi="宋体"/>
          <w:sz w:val="24"/>
          <w:highlight w:val="none"/>
        </w:rPr>
        <w:t>16.5.2采用非电子形式提交投标保证金的投标人存在16.4条款所列情形，且未按招标人要求补交银行保函、专业工程担保公司担保或保证保险原件的；</w:t>
      </w:r>
    </w:p>
    <w:p w14:paraId="579AA90D">
      <w:pPr>
        <w:pStyle w:val="49"/>
        <w:spacing w:after="0" w:line="360" w:lineRule="auto"/>
        <w:ind w:firstLine="480" w:firstLineChars="200"/>
        <w:rPr>
          <w:rFonts w:ascii="宋体" w:hAnsi="宋体"/>
          <w:sz w:val="24"/>
          <w:highlight w:val="none"/>
        </w:rPr>
      </w:pPr>
      <w:r>
        <w:rPr>
          <w:rFonts w:hint="eastAsia" w:ascii="宋体" w:hAnsi="宋体"/>
          <w:sz w:val="24"/>
          <w:highlight w:val="none"/>
        </w:rPr>
        <w:t>16.5.3按招标文件要求免于提供投标保证金的投标人存在16.4条款所列情形，且未按招标人要求补交投标保证金的；</w:t>
      </w:r>
    </w:p>
    <w:p w14:paraId="63543289">
      <w:pPr>
        <w:pStyle w:val="49"/>
        <w:spacing w:after="0" w:line="360" w:lineRule="auto"/>
        <w:ind w:firstLine="480" w:firstLineChars="200"/>
        <w:rPr>
          <w:rFonts w:ascii="宋体" w:hAnsi="宋体"/>
          <w:strike/>
          <w:sz w:val="24"/>
          <w:highlight w:val="none"/>
        </w:rPr>
      </w:pPr>
      <w:r>
        <w:rPr>
          <w:rFonts w:hint="eastAsia" w:ascii="宋体" w:hAnsi="宋体"/>
          <w:strike/>
          <w:sz w:val="24"/>
          <w:highlight w:val="none"/>
        </w:rPr>
        <w:t>16.5.3按招标文件要求免于提供投标保证金的投标人存在16.4条款所列情形的。</w:t>
      </w:r>
    </w:p>
    <w:p w14:paraId="3023914E">
      <w:pPr>
        <w:pStyle w:val="49"/>
        <w:spacing w:after="0" w:line="360" w:lineRule="auto"/>
        <w:ind w:firstLine="480" w:firstLineChars="200"/>
        <w:rPr>
          <w:rFonts w:ascii="宋体"/>
          <w:color w:val="000000"/>
          <w:sz w:val="24"/>
          <w:highlight w:val="none"/>
        </w:rPr>
      </w:pPr>
      <w:r>
        <w:rPr>
          <w:rFonts w:hint="eastAsia" w:ascii="宋体" w:hAnsi="宋体"/>
          <w:sz w:val="24"/>
          <w:highlight w:val="none"/>
        </w:rPr>
        <w:t>注：16.5.3款由招标人二选一，需在招标文件中明确。</w:t>
      </w:r>
    </w:p>
    <w:p w14:paraId="5F8A2783">
      <w:pPr>
        <w:spacing w:line="360" w:lineRule="auto"/>
        <w:ind w:firstLine="480" w:firstLineChars="200"/>
        <w:rPr>
          <w:rFonts w:ascii="宋体" w:hAnsi="宋体"/>
          <w:color w:val="000000"/>
          <w:sz w:val="24"/>
          <w:highlight w:val="none"/>
        </w:rPr>
      </w:pPr>
      <w:r>
        <w:rPr>
          <w:rFonts w:ascii="宋体" w:hAnsi="宋体"/>
          <w:color w:val="000000"/>
          <w:sz w:val="24"/>
          <w:highlight w:val="none"/>
        </w:rPr>
        <w:t>16.</w:t>
      </w:r>
      <w:r>
        <w:rPr>
          <w:rFonts w:hint="eastAsia" w:ascii="宋体" w:hAnsi="宋体"/>
          <w:color w:val="000000"/>
          <w:sz w:val="24"/>
          <w:highlight w:val="none"/>
        </w:rPr>
        <w:t>7如有下列情况之一的，招标人不予退还投标保证金：</w:t>
      </w:r>
    </w:p>
    <w:p w14:paraId="521AC60C">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16.7.1因投标人原因造成投标文件未解密的；</w:t>
      </w:r>
    </w:p>
    <w:p w14:paraId="682CA50E">
      <w:pPr>
        <w:spacing w:line="360" w:lineRule="auto"/>
        <w:ind w:firstLine="480" w:firstLineChars="200"/>
        <w:rPr>
          <w:rFonts w:ascii="宋体"/>
          <w:color w:val="000000"/>
          <w:sz w:val="24"/>
          <w:highlight w:val="none"/>
        </w:rPr>
      </w:pPr>
      <w:r>
        <w:rPr>
          <w:rFonts w:ascii="宋体" w:hAnsi="宋体"/>
          <w:color w:val="000000"/>
          <w:sz w:val="24"/>
          <w:highlight w:val="none"/>
        </w:rPr>
        <w:t>16.</w:t>
      </w:r>
      <w:r>
        <w:rPr>
          <w:rFonts w:hint="eastAsia" w:ascii="宋体" w:hAnsi="宋体"/>
          <w:color w:val="000000"/>
          <w:sz w:val="24"/>
          <w:highlight w:val="none"/>
        </w:rPr>
        <w:t>7</w:t>
      </w:r>
      <w:r>
        <w:rPr>
          <w:rFonts w:ascii="宋体" w:hAnsi="宋体"/>
          <w:color w:val="000000"/>
          <w:sz w:val="24"/>
          <w:highlight w:val="none"/>
        </w:rPr>
        <w:t>.</w:t>
      </w:r>
      <w:r>
        <w:rPr>
          <w:rFonts w:hint="eastAsia" w:ascii="宋体" w:hAnsi="宋体"/>
          <w:color w:val="000000"/>
          <w:sz w:val="24"/>
          <w:highlight w:val="none"/>
        </w:rPr>
        <w:t>2投标人在投标有效期内撤回投标文件；</w:t>
      </w:r>
    </w:p>
    <w:p w14:paraId="13C4FD1B">
      <w:pPr>
        <w:spacing w:line="360" w:lineRule="auto"/>
        <w:ind w:firstLine="480" w:firstLineChars="200"/>
        <w:rPr>
          <w:rFonts w:ascii="宋体"/>
          <w:color w:val="000000"/>
          <w:sz w:val="24"/>
          <w:highlight w:val="none"/>
        </w:rPr>
      </w:pPr>
      <w:r>
        <w:rPr>
          <w:rFonts w:ascii="宋体" w:hAnsi="宋体"/>
          <w:color w:val="000000"/>
          <w:sz w:val="24"/>
          <w:highlight w:val="none"/>
        </w:rPr>
        <w:t>16.</w:t>
      </w:r>
      <w:r>
        <w:rPr>
          <w:rFonts w:hint="eastAsia" w:ascii="宋体" w:hAnsi="宋体"/>
          <w:color w:val="000000"/>
          <w:sz w:val="24"/>
          <w:highlight w:val="none"/>
        </w:rPr>
        <w:t>7</w:t>
      </w:r>
      <w:r>
        <w:rPr>
          <w:rFonts w:ascii="宋体" w:hAnsi="宋体"/>
          <w:color w:val="000000"/>
          <w:sz w:val="24"/>
          <w:highlight w:val="none"/>
        </w:rPr>
        <w:t>.</w:t>
      </w:r>
      <w:r>
        <w:rPr>
          <w:rFonts w:hint="eastAsia" w:ascii="宋体" w:hAnsi="宋体"/>
          <w:color w:val="000000"/>
          <w:sz w:val="24"/>
          <w:highlight w:val="none"/>
        </w:rPr>
        <w:t>3中标人未能在规定期限内按要求提交履约担保；</w:t>
      </w:r>
    </w:p>
    <w:p w14:paraId="072EA152">
      <w:pPr>
        <w:spacing w:line="360" w:lineRule="auto"/>
        <w:ind w:firstLine="480" w:firstLineChars="200"/>
        <w:rPr>
          <w:rFonts w:ascii="宋体"/>
          <w:color w:val="000000"/>
          <w:sz w:val="24"/>
          <w:highlight w:val="none"/>
        </w:rPr>
      </w:pPr>
      <w:r>
        <w:rPr>
          <w:rFonts w:ascii="宋体" w:hAnsi="宋体"/>
          <w:color w:val="000000"/>
          <w:sz w:val="24"/>
          <w:highlight w:val="none"/>
        </w:rPr>
        <w:t>16.</w:t>
      </w:r>
      <w:r>
        <w:rPr>
          <w:rFonts w:hint="eastAsia" w:ascii="宋体" w:hAnsi="宋体"/>
          <w:color w:val="000000"/>
          <w:sz w:val="24"/>
          <w:highlight w:val="none"/>
        </w:rPr>
        <w:t>7</w:t>
      </w:r>
      <w:r>
        <w:rPr>
          <w:rFonts w:ascii="宋体" w:hAnsi="宋体"/>
          <w:color w:val="000000"/>
          <w:sz w:val="24"/>
          <w:highlight w:val="none"/>
        </w:rPr>
        <w:t>.</w:t>
      </w:r>
      <w:r>
        <w:rPr>
          <w:rFonts w:hint="eastAsia" w:ascii="宋体" w:hAnsi="宋体"/>
          <w:color w:val="000000"/>
          <w:sz w:val="24"/>
          <w:highlight w:val="none"/>
        </w:rPr>
        <w:t>4中标人未能在规定期限内签署合同协议。</w:t>
      </w:r>
    </w:p>
    <w:p w14:paraId="22EF7639">
      <w:pPr>
        <w:pStyle w:val="49"/>
        <w:spacing w:after="0" w:line="360" w:lineRule="auto"/>
        <w:ind w:firstLine="482" w:firstLineChars="200"/>
        <w:rPr>
          <w:rFonts w:ascii="宋体"/>
          <w:b/>
          <w:bCs/>
          <w:color w:val="000000"/>
          <w:sz w:val="24"/>
          <w:highlight w:val="none"/>
        </w:rPr>
      </w:pPr>
      <w:r>
        <w:rPr>
          <w:rFonts w:ascii="宋体" w:hAnsi="宋体"/>
          <w:b/>
          <w:bCs/>
          <w:color w:val="000000"/>
          <w:sz w:val="24"/>
          <w:highlight w:val="none"/>
        </w:rPr>
        <w:t>17</w:t>
      </w:r>
      <w:r>
        <w:rPr>
          <w:rFonts w:hint="eastAsia" w:ascii="宋体" w:hAnsi="宋体"/>
          <w:b/>
          <w:bCs/>
          <w:color w:val="000000"/>
          <w:sz w:val="24"/>
          <w:highlight w:val="none"/>
        </w:rPr>
        <w:t>．投标文件的签署</w:t>
      </w:r>
    </w:p>
    <w:p w14:paraId="57971B5C">
      <w:pPr>
        <w:spacing w:line="360" w:lineRule="auto"/>
        <w:ind w:firstLine="480" w:firstLineChars="200"/>
        <w:rPr>
          <w:rFonts w:ascii="宋体" w:hAnsi="宋体"/>
          <w:color w:val="000000"/>
          <w:sz w:val="24"/>
          <w:highlight w:val="none"/>
        </w:rPr>
      </w:pPr>
      <w:r>
        <w:rPr>
          <w:rFonts w:ascii="宋体" w:hAnsi="宋体"/>
          <w:color w:val="000000"/>
          <w:sz w:val="24"/>
          <w:highlight w:val="none"/>
        </w:rPr>
        <w:t>17.1</w:t>
      </w:r>
      <w:r>
        <w:rPr>
          <w:rFonts w:hint="eastAsia" w:ascii="宋体" w:hAnsi="宋体"/>
          <w:color w:val="000000"/>
          <w:sz w:val="24"/>
          <w:highlight w:val="none"/>
        </w:rPr>
        <w:t>投标人应采用单位数字证书，按招标文件要求在相应位置加盖电子印章。投标文件中需个人签字或盖章的，应手签后扫描上传。按照交易平台关于全流程电子化项目的相关指南进行操作。详见： 。</w:t>
      </w:r>
    </w:p>
    <w:p w14:paraId="5B016A2B">
      <w:pPr>
        <w:pStyle w:val="4"/>
        <w:spacing w:before="156" w:after="156"/>
        <w:rPr>
          <w:color w:val="000000"/>
          <w:highlight w:val="none"/>
        </w:rPr>
      </w:pPr>
      <w:bookmarkStart w:id="20" w:name="_Toc2272552"/>
      <w:bookmarkStart w:id="21" w:name="_Toc21525496"/>
      <w:r>
        <w:rPr>
          <w:rFonts w:hint="eastAsia"/>
          <w:color w:val="000000"/>
          <w:highlight w:val="none"/>
        </w:rPr>
        <w:t>（四）投标文件的提交</w:t>
      </w:r>
      <w:bookmarkEnd w:id="20"/>
      <w:bookmarkEnd w:id="21"/>
    </w:p>
    <w:p w14:paraId="6052D3FA">
      <w:pPr>
        <w:pStyle w:val="49"/>
        <w:spacing w:after="0" w:line="360" w:lineRule="auto"/>
        <w:ind w:firstLine="482" w:firstLineChars="200"/>
        <w:rPr>
          <w:rFonts w:ascii="宋体"/>
          <w:b/>
          <w:bCs/>
          <w:color w:val="000000"/>
          <w:sz w:val="24"/>
          <w:highlight w:val="none"/>
        </w:rPr>
      </w:pPr>
      <w:r>
        <w:rPr>
          <w:rFonts w:ascii="宋体" w:hAnsi="宋体"/>
          <w:b/>
          <w:bCs/>
          <w:color w:val="000000"/>
          <w:sz w:val="24"/>
          <w:highlight w:val="none"/>
        </w:rPr>
        <w:t>18</w:t>
      </w:r>
      <w:r>
        <w:rPr>
          <w:rFonts w:hint="eastAsia" w:ascii="宋体" w:hAnsi="宋体"/>
          <w:b/>
          <w:bCs/>
          <w:color w:val="000000"/>
          <w:sz w:val="24"/>
          <w:highlight w:val="none"/>
        </w:rPr>
        <w:t>．</w:t>
      </w:r>
      <w:r>
        <w:rPr>
          <w:rFonts w:hint="eastAsia"/>
          <w:b/>
          <w:color w:val="000000"/>
          <w:sz w:val="24"/>
          <w:szCs w:val="24"/>
          <w:highlight w:val="none"/>
        </w:rPr>
        <w:t>投标文件的密封和标记</w:t>
      </w:r>
    </w:p>
    <w:p w14:paraId="649B0E49">
      <w:pPr>
        <w:spacing w:line="360" w:lineRule="auto"/>
        <w:ind w:firstLine="480" w:firstLineChars="200"/>
        <w:rPr>
          <w:rFonts w:ascii="宋体"/>
          <w:bCs/>
          <w:color w:val="000000"/>
          <w:sz w:val="24"/>
          <w:highlight w:val="none"/>
        </w:rPr>
      </w:pPr>
      <w:r>
        <w:rPr>
          <w:rFonts w:ascii="宋体" w:hAnsi="宋体"/>
          <w:bCs/>
          <w:color w:val="000000"/>
          <w:sz w:val="24"/>
          <w:highlight w:val="none"/>
        </w:rPr>
        <w:t>1</w:t>
      </w:r>
      <w:r>
        <w:rPr>
          <w:rFonts w:hint="eastAsia" w:ascii="宋体" w:hAnsi="宋体"/>
          <w:bCs/>
          <w:color w:val="000000"/>
          <w:sz w:val="24"/>
          <w:highlight w:val="none"/>
        </w:rPr>
        <w:t>8</w:t>
      </w:r>
      <w:r>
        <w:rPr>
          <w:rFonts w:ascii="宋体" w:hAnsi="宋体"/>
          <w:bCs/>
          <w:color w:val="000000"/>
          <w:sz w:val="24"/>
          <w:highlight w:val="none"/>
        </w:rPr>
        <w:t>.1</w:t>
      </w:r>
      <w:r>
        <w:rPr>
          <w:rFonts w:hint="eastAsia" w:ascii="宋体" w:hAnsi="宋体"/>
          <w:bCs/>
          <w:color w:val="000000"/>
          <w:sz w:val="24"/>
          <w:highlight w:val="none"/>
        </w:rPr>
        <w:t>递交的电子投标文件（不含备用光盘）必须进行加密。按照交易平台关于</w:t>
      </w:r>
      <w:r>
        <w:rPr>
          <w:rFonts w:hint="eastAsia"/>
          <w:color w:val="000000"/>
          <w:sz w:val="24"/>
          <w:szCs w:val="24"/>
          <w:highlight w:val="none"/>
        </w:rPr>
        <w:t>全流程电子化项目的相关指南进行操作。详见：。</w:t>
      </w:r>
    </w:p>
    <w:p w14:paraId="2B7FF903">
      <w:pPr>
        <w:spacing w:line="360" w:lineRule="auto"/>
        <w:ind w:firstLine="480" w:firstLineChars="200"/>
        <w:rPr>
          <w:rFonts w:ascii="宋体"/>
          <w:bCs/>
          <w:color w:val="000000"/>
          <w:sz w:val="24"/>
          <w:highlight w:val="none"/>
        </w:rPr>
      </w:pPr>
      <w:r>
        <w:rPr>
          <w:rFonts w:ascii="宋体" w:hAnsi="宋体"/>
          <w:bCs/>
          <w:color w:val="000000"/>
          <w:sz w:val="24"/>
          <w:highlight w:val="none"/>
        </w:rPr>
        <w:t>1</w:t>
      </w:r>
      <w:r>
        <w:rPr>
          <w:rFonts w:hint="eastAsia" w:ascii="宋体" w:hAnsi="宋体"/>
          <w:bCs/>
          <w:color w:val="000000"/>
          <w:sz w:val="24"/>
          <w:highlight w:val="none"/>
        </w:rPr>
        <w:t>8</w:t>
      </w:r>
      <w:r>
        <w:rPr>
          <w:rFonts w:ascii="宋体" w:hAnsi="宋体"/>
          <w:bCs/>
          <w:color w:val="000000"/>
          <w:sz w:val="24"/>
          <w:highlight w:val="none"/>
        </w:rPr>
        <w:t>.2</w:t>
      </w:r>
      <w:r>
        <w:rPr>
          <w:rFonts w:hint="eastAsia" w:ascii="宋体"/>
          <w:bCs/>
          <w:color w:val="000000"/>
          <w:sz w:val="24"/>
          <w:highlight w:val="none"/>
        </w:rPr>
        <w:t>未按要求加密的投标文件，</w:t>
      </w:r>
      <w:r>
        <w:rPr>
          <w:rFonts w:hint="eastAsia" w:ascii="宋体" w:hAnsi="宋体"/>
          <w:color w:val="000000"/>
          <w:sz w:val="24"/>
          <w:szCs w:val="24"/>
          <w:highlight w:val="none"/>
        </w:rPr>
        <w:t>交易平台</w:t>
      </w:r>
      <w:r>
        <w:rPr>
          <w:rFonts w:hint="eastAsia" w:ascii="宋体"/>
          <w:bCs/>
          <w:color w:val="000000"/>
          <w:sz w:val="24"/>
          <w:highlight w:val="none"/>
        </w:rPr>
        <w:t>将予以拒收。</w:t>
      </w:r>
    </w:p>
    <w:p w14:paraId="6780B08B">
      <w:pPr>
        <w:spacing w:line="360" w:lineRule="auto"/>
        <w:ind w:firstLine="482" w:firstLineChars="200"/>
        <w:rPr>
          <w:rFonts w:ascii="宋体"/>
          <w:b/>
          <w:bCs/>
          <w:color w:val="000000"/>
          <w:sz w:val="24"/>
          <w:highlight w:val="none"/>
        </w:rPr>
      </w:pPr>
      <w:r>
        <w:rPr>
          <w:rFonts w:ascii="宋体" w:hAnsi="宋体"/>
          <w:b/>
          <w:bCs/>
          <w:color w:val="000000"/>
          <w:sz w:val="24"/>
          <w:highlight w:val="none"/>
        </w:rPr>
        <w:t>19</w:t>
      </w:r>
      <w:r>
        <w:rPr>
          <w:rFonts w:hint="eastAsia" w:ascii="宋体" w:hAnsi="宋体"/>
          <w:b/>
          <w:bCs/>
          <w:color w:val="000000"/>
          <w:sz w:val="24"/>
          <w:highlight w:val="none"/>
        </w:rPr>
        <w:t>．投标文件的递交和接收</w:t>
      </w:r>
    </w:p>
    <w:p w14:paraId="4F01B723">
      <w:pPr>
        <w:spacing w:line="360" w:lineRule="auto"/>
        <w:ind w:firstLine="480" w:firstLineChars="200"/>
        <w:rPr>
          <w:rFonts w:ascii="宋体"/>
          <w:bCs/>
          <w:color w:val="000000"/>
          <w:sz w:val="24"/>
          <w:highlight w:val="none"/>
        </w:rPr>
      </w:pPr>
      <w:r>
        <w:rPr>
          <w:rFonts w:ascii="宋体" w:hAnsi="宋体"/>
          <w:bCs/>
          <w:color w:val="000000"/>
          <w:sz w:val="24"/>
          <w:highlight w:val="none"/>
        </w:rPr>
        <w:t>1</w:t>
      </w:r>
      <w:r>
        <w:rPr>
          <w:rFonts w:hint="eastAsia" w:ascii="宋体" w:hAnsi="宋体"/>
          <w:bCs/>
          <w:color w:val="000000"/>
          <w:sz w:val="24"/>
          <w:highlight w:val="none"/>
        </w:rPr>
        <w:t>9</w:t>
      </w:r>
      <w:r>
        <w:rPr>
          <w:rFonts w:ascii="宋体" w:hAnsi="宋体"/>
          <w:bCs/>
          <w:color w:val="000000"/>
          <w:sz w:val="24"/>
          <w:highlight w:val="none"/>
        </w:rPr>
        <w:t>.</w:t>
      </w:r>
      <w:r>
        <w:rPr>
          <w:rFonts w:hint="eastAsia" w:ascii="宋体" w:hAnsi="宋体"/>
          <w:bCs/>
          <w:color w:val="000000"/>
          <w:sz w:val="24"/>
          <w:highlight w:val="none"/>
        </w:rPr>
        <w:t>1投标人通过</w:t>
      </w:r>
      <w:r>
        <w:rPr>
          <w:rFonts w:hint="eastAsia" w:ascii="宋体" w:hAnsi="宋体"/>
          <w:color w:val="000000"/>
          <w:sz w:val="24"/>
          <w:szCs w:val="24"/>
          <w:highlight w:val="none"/>
        </w:rPr>
        <w:t>交易平台</w:t>
      </w:r>
      <w:r>
        <w:rPr>
          <w:rFonts w:hint="eastAsia" w:ascii="宋体" w:hAnsi="宋体"/>
          <w:color w:val="000000"/>
          <w:sz w:val="24"/>
          <w:highlight w:val="none"/>
        </w:rPr>
        <w:t>递交电子投标文件。</w:t>
      </w:r>
    </w:p>
    <w:p w14:paraId="0FDB901C">
      <w:pPr>
        <w:spacing w:line="360" w:lineRule="auto"/>
        <w:ind w:firstLine="480" w:firstLineChars="200"/>
        <w:rPr>
          <w:rFonts w:ascii="宋体"/>
          <w:bCs/>
          <w:color w:val="000000"/>
          <w:sz w:val="24"/>
          <w:highlight w:val="none"/>
        </w:rPr>
      </w:pPr>
      <w:r>
        <w:rPr>
          <w:rFonts w:ascii="宋体" w:hAnsi="宋体"/>
          <w:bCs/>
          <w:color w:val="000000"/>
          <w:sz w:val="24"/>
          <w:highlight w:val="none"/>
        </w:rPr>
        <w:t>1</w:t>
      </w:r>
      <w:r>
        <w:rPr>
          <w:rFonts w:hint="eastAsia" w:ascii="宋体" w:hAnsi="宋体"/>
          <w:bCs/>
          <w:color w:val="000000"/>
          <w:sz w:val="24"/>
          <w:highlight w:val="none"/>
        </w:rPr>
        <w:t>9</w:t>
      </w:r>
      <w:r>
        <w:rPr>
          <w:rFonts w:ascii="宋体" w:hAnsi="宋体"/>
          <w:bCs/>
          <w:color w:val="000000"/>
          <w:sz w:val="24"/>
          <w:highlight w:val="none"/>
        </w:rPr>
        <w:t>.</w:t>
      </w:r>
      <w:r>
        <w:rPr>
          <w:rFonts w:hint="eastAsia" w:ascii="宋体" w:hAnsi="宋体"/>
          <w:bCs/>
          <w:color w:val="000000"/>
          <w:sz w:val="24"/>
          <w:highlight w:val="none"/>
        </w:rPr>
        <w:t>2投标人完成电子</w:t>
      </w:r>
      <w:r>
        <w:rPr>
          <w:rFonts w:hint="eastAsia" w:ascii="宋体" w:hAnsi="宋体"/>
          <w:color w:val="000000"/>
          <w:sz w:val="24"/>
          <w:highlight w:val="none"/>
        </w:rPr>
        <w:t>投标文件</w:t>
      </w:r>
      <w:r>
        <w:rPr>
          <w:rFonts w:hint="eastAsia" w:ascii="宋体" w:hAnsi="宋体"/>
          <w:bCs/>
          <w:color w:val="000000"/>
          <w:sz w:val="24"/>
          <w:highlight w:val="none"/>
        </w:rPr>
        <w:t>上传后，</w:t>
      </w:r>
      <w:r>
        <w:rPr>
          <w:rFonts w:hint="eastAsia" w:ascii="宋体" w:hAnsi="宋体"/>
          <w:color w:val="000000"/>
          <w:sz w:val="24"/>
          <w:szCs w:val="24"/>
          <w:highlight w:val="none"/>
        </w:rPr>
        <w:t>交易平台</w:t>
      </w:r>
      <w:r>
        <w:rPr>
          <w:rFonts w:hint="eastAsia" w:ascii="宋体" w:hAnsi="宋体"/>
          <w:color w:val="000000"/>
          <w:sz w:val="24"/>
          <w:highlight w:val="none"/>
        </w:rPr>
        <w:t>即时向投标人发出递交回执通知。递交时间以递交回执通知载明的传输完成时间为准。</w:t>
      </w:r>
    </w:p>
    <w:p w14:paraId="75344634">
      <w:pPr>
        <w:spacing w:line="360" w:lineRule="auto"/>
        <w:ind w:firstLine="480" w:firstLineChars="200"/>
        <w:rPr>
          <w:rFonts w:ascii="宋体" w:hAnsi="宋体"/>
          <w:color w:val="000000"/>
          <w:sz w:val="24"/>
          <w:highlight w:val="none"/>
        </w:rPr>
      </w:pPr>
      <w:r>
        <w:rPr>
          <w:rFonts w:ascii="宋体" w:hAnsi="宋体"/>
          <w:bCs/>
          <w:color w:val="000000"/>
          <w:sz w:val="24"/>
          <w:highlight w:val="none"/>
        </w:rPr>
        <w:t>1</w:t>
      </w:r>
      <w:r>
        <w:rPr>
          <w:rFonts w:hint="eastAsia" w:ascii="宋体" w:hAnsi="宋体"/>
          <w:bCs/>
          <w:color w:val="000000"/>
          <w:sz w:val="24"/>
          <w:highlight w:val="none"/>
        </w:rPr>
        <w:t>9</w:t>
      </w:r>
      <w:r>
        <w:rPr>
          <w:rFonts w:ascii="宋体" w:hAnsi="宋体"/>
          <w:bCs/>
          <w:color w:val="000000"/>
          <w:sz w:val="24"/>
          <w:highlight w:val="none"/>
        </w:rPr>
        <w:t>.</w:t>
      </w:r>
      <w:r>
        <w:rPr>
          <w:rFonts w:hint="eastAsia" w:ascii="宋体" w:hAnsi="宋体"/>
          <w:bCs/>
          <w:color w:val="000000"/>
          <w:sz w:val="24"/>
          <w:highlight w:val="none"/>
        </w:rPr>
        <w:t>3</w:t>
      </w:r>
      <w:r>
        <w:rPr>
          <w:rFonts w:hint="eastAsia"/>
          <w:bCs/>
          <w:color w:val="000000"/>
          <w:sz w:val="24"/>
          <w:szCs w:val="24"/>
          <w:highlight w:val="none"/>
        </w:rPr>
        <w:t>逾期送达的</w:t>
      </w:r>
      <w:r>
        <w:rPr>
          <w:rFonts w:hint="eastAsia" w:ascii="宋体" w:hAnsi="宋体"/>
          <w:bCs/>
          <w:color w:val="000000"/>
          <w:sz w:val="24"/>
          <w:highlight w:val="none"/>
        </w:rPr>
        <w:t>电子投标文件，</w:t>
      </w:r>
      <w:r>
        <w:rPr>
          <w:rFonts w:hint="eastAsia" w:ascii="宋体" w:hAnsi="宋体"/>
          <w:color w:val="000000"/>
          <w:sz w:val="24"/>
          <w:szCs w:val="24"/>
          <w:highlight w:val="none"/>
        </w:rPr>
        <w:t>交易平台</w:t>
      </w:r>
      <w:r>
        <w:rPr>
          <w:rFonts w:hint="eastAsia" w:ascii="宋体" w:hAnsi="宋体"/>
          <w:color w:val="000000"/>
          <w:sz w:val="24"/>
          <w:highlight w:val="none"/>
        </w:rPr>
        <w:t>将予以拒收。</w:t>
      </w:r>
    </w:p>
    <w:p w14:paraId="71763665">
      <w:pPr>
        <w:spacing w:line="360" w:lineRule="auto"/>
        <w:ind w:firstLine="480" w:firstLineChars="200"/>
        <w:rPr>
          <w:rFonts w:ascii="宋体"/>
          <w:color w:val="000000"/>
          <w:sz w:val="24"/>
          <w:highlight w:val="none"/>
        </w:rPr>
      </w:pPr>
      <w:r>
        <w:rPr>
          <w:rFonts w:ascii="宋体" w:hAnsi="宋体"/>
          <w:color w:val="000000"/>
          <w:sz w:val="24"/>
          <w:highlight w:val="none"/>
        </w:rPr>
        <w:t>19.</w:t>
      </w:r>
      <w:r>
        <w:rPr>
          <w:rFonts w:hint="eastAsia" w:ascii="宋体" w:hAnsi="宋体"/>
          <w:color w:val="000000"/>
          <w:sz w:val="24"/>
          <w:highlight w:val="none"/>
        </w:rPr>
        <w:t>4</w:t>
      </w:r>
      <w:r>
        <w:rPr>
          <w:rFonts w:hint="eastAsia" w:ascii="宋体" w:hAnsi="宋体"/>
          <w:color w:val="000000"/>
          <w:sz w:val="24"/>
          <w:szCs w:val="24"/>
          <w:highlight w:val="none"/>
        </w:rPr>
        <w:t>投标截止前，</w:t>
      </w:r>
      <w:r>
        <w:rPr>
          <w:rFonts w:hint="eastAsia"/>
          <w:color w:val="000000"/>
          <w:sz w:val="24"/>
          <w:szCs w:val="24"/>
          <w:highlight w:val="none"/>
        </w:rPr>
        <w:t>招标人拒绝接收符合条件的投标文件，投标人可向招标投标监督机构投诉。</w:t>
      </w:r>
    </w:p>
    <w:p w14:paraId="5F11A41F">
      <w:pPr>
        <w:spacing w:line="360" w:lineRule="auto"/>
        <w:ind w:firstLine="480" w:firstLineChars="200"/>
        <w:rPr>
          <w:rFonts w:ascii="宋体" w:hAnsi="宋体"/>
          <w:color w:val="000000"/>
          <w:sz w:val="24"/>
          <w:highlight w:val="none"/>
        </w:rPr>
      </w:pPr>
      <w:r>
        <w:rPr>
          <w:rFonts w:ascii="宋体" w:hAnsi="宋体"/>
          <w:color w:val="000000"/>
          <w:sz w:val="24"/>
          <w:highlight w:val="none"/>
        </w:rPr>
        <w:t>19.</w:t>
      </w:r>
      <w:r>
        <w:rPr>
          <w:rFonts w:hint="eastAsia" w:ascii="宋体" w:hAnsi="宋体"/>
          <w:color w:val="000000"/>
          <w:sz w:val="24"/>
          <w:highlight w:val="none"/>
        </w:rPr>
        <w:t>5如技术标和经济标先后分别开启，</w:t>
      </w:r>
      <w:r>
        <w:rPr>
          <w:rFonts w:hint="eastAsia" w:ascii="宋体" w:hAnsi="宋体"/>
          <w:color w:val="000000"/>
          <w:sz w:val="24"/>
          <w:szCs w:val="24"/>
          <w:highlight w:val="none"/>
        </w:rPr>
        <w:t>交易平台</w:t>
      </w:r>
      <w:r>
        <w:rPr>
          <w:rFonts w:hint="eastAsia" w:ascii="宋体" w:hAnsi="宋体"/>
          <w:color w:val="000000"/>
          <w:sz w:val="24"/>
          <w:highlight w:val="none"/>
        </w:rPr>
        <w:t>将按招标文件规定的时间分别开启技术标和经济标。</w:t>
      </w:r>
    </w:p>
    <w:p w14:paraId="42D21499">
      <w:pPr>
        <w:spacing w:line="360" w:lineRule="auto"/>
        <w:ind w:firstLine="480" w:firstLineChars="200"/>
        <w:rPr>
          <w:rFonts w:ascii="宋体"/>
          <w:color w:val="000000"/>
          <w:sz w:val="24"/>
          <w:highlight w:val="none"/>
        </w:rPr>
      </w:pPr>
      <w:r>
        <w:rPr>
          <w:rFonts w:ascii="宋体" w:hAnsi="宋体"/>
          <w:color w:val="000000"/>
          <w:sz w:val="24"/>
          <w:szCs w:val="24"/>
          <w:highlight w:val="none"/>
        </w:rPr>
        <w:t>19.6</w:t>
      </w:r>
      <w:r>
        <w:rPr>
          <w:rFonts w:hint="eastAsia" w:ascii="宋体" w:hAnsi="宋体"/>
          <w:color w:val="000000"/>
          <w:sz w:val="24"/>
          <w:szCs w:val="24"/>
          <w:highlight w:val="none"/>
        </w:rPr>
        <w:t>在规定的时间内，项目负责人须到自助签到。按照交易平台有关项目负责人自助签到流程进行操作。项目负责人凡未凭身份证按时到达指定地点签到的，</w:t>
      </w:r>
      <w:r>
        <w:rPr>
          <w:rFonts w:hint="eastAsia" w:ascii="宋体" w:hAnsi="宋体"/>
          <w:color w:val="000000"/>
          <w:sz w:val="24"/>
          <w:highlight w:val="none"/>
        </w:rPr>
        <w:t>该投标文件将不能参与资格审查和评标</w:t>
      </w:r>
      <w:r>
        <w:rPr>
          <w:rFonts w:hint="eastAsia" w:ascii="宋体" w:hAnsi="宋体"/>
          <w:color w:val="000000"/>
          <w:sz w:val="24"/>
          <w:szCs w:val="24"/>
          <w:highlight w:val="none"/>
        </w:rPr>
        <w:t>（选择性条款）。</w:t>
      </w:r>
    </w:p>
    <w:p w14:paraId="106D1B89">
      <w:pPr>
        <w:spacing w:line="360" w:lineRule="auto"/>
        <w:ind w:firstLine="482" w:firstLineChars="200"/>
        <w:rPr>
          <w:rFonts w:ascii="宋体"/>
          <w:b/>
          <w:bCs/>
          <w:color w:val="000000"/>
          <w:sz w:val="24"/>
          <w:highlight w:val="none"/>
        </w:rPr>
      </w:pPr>
      <w:r>
        <w:rPr>
          <w:rFonts w:ascii="宋体" w:hAnsi="宋体"/>
          <w:b/>
          <w:bCs/>
          <w:color w:val="000000"/>
          <w:sz w:val="24"/>
          <w:highlight w:val="none"/>
        </w:rPr>
        <w:t>20</w:t>
      </w:r>
      <w:r>
        <w:rPr>
          <w:rFonts w:hint="eastAsia" w:ascii="宋体" w:hAnsi="宋体"/>
          <w:b/>
          <w:bCs/>
          <w:color w:val="000000"/>
          <w:sz w:val="24"/>
          <w:highlight w:val="none"/>
        </w:rPr>
        <w:t>．投标文件提交的截止时间</w:t>
      </w:r>
    </w:p>
    <w:p w14:paraId="44C6041A">
      <w:pPr>
        <w:spacing w:line="360" w:lineRule="auto"/>
        <w:ind w:firstLine="480" w:firstLineChars="200"/>
        <w:rPr>
          <w:rFonts w:ascii="宋体"/>
          <w:b/>
          <w:bCs/>
          <w:color w:val="000000"/>
          <w:sz w:val="24"/>
          <w:highlight w:val="none"/>
        </w:rPr>
      </w:pPr>
      <w:r>
        <w:rPr>
          <w:rFonts w:ascii="宋体" w:hAnsi="宋体"/>
          <w:color w:val="000000"/>
          <w:sz w:val="24"/>
          <w:highlight w:val="none"/>
        </w:rPr>
        <w:t>20.1</w:t>
      </w:r>
      <w:r>
        <w:rPr>
          <w:rFonts w:hint="eastAsia" w:ascii="宋体" w:hAnsi="宋体"/>
          <w:color w:val="000000"/>
          <w:sz w:val="24"/>
          <w:highlight w:val="none"/>
        </w:rPr>
        <w:t>投标人应在投标须知前附表第17项所述的时间前提交投标文件。</w:t>
      </w:r>
    </w:p>
    <w:p w14:paraId="7B982F29">
      <w:pPr>
        <w:spacing w:line="360" w:lineRule="auto"/>
        <w:ind w:firstLine="480" w:firstLineChars="200"/>
        <w:rPr>
          <w:rFonts w:ascii="宋体"/>
          <w:color w:val="000000"/>
          <w:sz w:val="24"/>
          <w:highlight w:val="none"/>
        </w:rPr>
      </w:pPr>
      <w:r>
        <w:rPr>
          <w:rFonts w:ascii="宋体" w:hAnsi="宋体"/>
          <w:color w:val="000000"/>
          <w:sz w:val="24"/>
          <w:highlight w:val="none"/>
        </w:rPr>
        <w:t>20.2</w:t>
      </w:r>
      <w:r>
        <w:rPr>
          <w:rFonts w:hint="eastAsia" w:ascii="宋体" w:hAnsi="宋体"/>
          <w:color w:val="000000"/>
          <w:sz w:val="24"/>
          <w:highlight w:val="none"/>
        </w:rPr>
        <w:t>招标人可按本须知第</w:t>
      </w:r>
      <w:r>
        <w:rPr>
          <w:rFonts w:ascii="宋体" w:hAnsi="宋体"/>
          <w:color w:val="000000"/>
          <w:sz w:val="24"/>
          <w:highlight w:val="none"/>
        </w:rPr>
        <w:t>9</w:t>
      </w:r>
      <w:r>
        <w:rPr>
          <w:rFonts w:hint="eastAsia" w:ascii="宋体" w:hAnsi="宋体"/>
          <w:color w:val="000000"/>
          <w:sz w:val="24"/>
          <w:highlight w:val="none"/>
        </w:rPr>
        <w:t>条规定以招标文件修改的方式，酌情延长提交投标文件的截止时间。在此情况下，投标人的所有权利和义务以及投标人受制约的截止时间，均以延长后新的投标截止时间为准。</w:t>
      </w:r>
    </w:p>
    <w:p w14:paraId="1856304F">
      <w:pPr>
        <w:spacing w:line="360" w:lineRule="auto"/>
        <w:ind w:firstLine="480" w:firstLineChars="200"/>
        <w:rPr>
          <w:rFonts w:ascii="宋体"/>
          <w:color w:val="000000"/>
          <w:sz w:val="24"/>
          <w:highlight w:val="none"/>
        </w:rPr>
      </w:pPr>
      <w:r>
        <w:rPr>
          <w:rFonts w:ascii="宋体" w:hAnsi="宋体"/>
          <w:color w:val="000000"/>
          <w:sz w:val="24"/>
          <w:highlight w:val="none"/>
        </w:rPr>
        <w:t xml:space="preserve">20.3 </w:t>
      </w:r>
      <w:r>
        <w:rPr>
          <w:rFonts w:hint="eastAsia" w:ascii="宋体" w:hAnsi="宋体"/>
          <w:color w:val="000000"/>
          <w:sz w:val="24"/>
          <w:highlight w:val="none"/>
        </w:rPr>
        <w:t>到投标截止时间止，招标人收到的投标文件少于3家的，招标人将重新组织招标</w:t>
      </w:r>
      <w:r>
        <w:rPr>
          <w:rFonts w:hint="eastAsia" w:ascii="宋体" w:hAnsi="宋体"/>
          <w:color w:val="000000"/>
          <w:sz w:val="24"/>
          <w:szCs w:val="24"/>
          <w:highlight w:val="none"/>
        </w:rPr>
        <w:t>（当</w:t>
      </w:r>
      <w:r>
        <w:rPr>
          <w:rFonts w:ascii="宋体" w:hAnsi="宋体"/>
          <w:color w:val="000000"/>
          <w:sz w:val="24"/>
          <w:szCs w:val="24"/>
          <w:highlight w:val="none"/>
        </w:rPr>
        <w:t>N</w:t>
      </w:r>
      <w:r>
        <w:rPr>
          <w:rFonts w:hint="eastAsia" w:ascii="宋体" w:hAnsi="宋体"/>
          <w:color w:val="000000"/>
          <w:sz w:val="24"/>
          <w:szCs w:val="24"/>
          <w:highlight w:val="none"/>
        </w:rPr>
        <w:t>个标段同时招标且不允许兼中时，若有效投标人不足</w:t>
      </w:r>
      <w:r>
        <w:rPr>
          <w:rFonts w:ascii="宋体" w:hAnsi="宋体"/>
          <w:color w:val="000000"/>
          <w:sz w:val="24"/>
          <w:szCs w:val="24"/>
          <w:highlight w:val="none"/>
        </w:rPr>
        <w:t>N+</w:t>
      </w:r>
      <w:r>
        <w:rPr>
          <w:rFonts w:hint="eastAsia" w:ascii="宋体" w:hAnsi="宋体"/>
          <w:color w:val="000000"/>
          <w:sz w:val="24"/>
          <w:szCs w:val="24"/>
          <w:highlight w:val="none"/>
        </w:rPr>
        <w:t>2家，则重新组织招标）</w:t>
      </w:r>
      <w:r>
        <w:rPr>
          <w:rFonts w:hint="eastAsia" w:ascii="宋体" w:hAnsi="宋体"/>
          <w:color w:val="000000"/>
          <w:sz w:val="24"/>
          <w:highlight w:val="none"/>
        </w:rPr>
        <w:t>。</w:t>
      </w:r>
    </w:p>
    <w:p w14:paraId="3D87F647">
      <w:pPr>
        <w:spacing w:line="360" w:lineRule="auto"/>
        <w:ind w:firstLine="482" w:firstLineChars="200"/>
        <w:rPr>
          <w:rFonts w:ascii="宋体"/>
          <w:b/>
          <w:bCs/>
          <w:color w:val="000000"/>
          <w:sz w:val="24"/>
          <w:highlight w:val="none"/>
        </w:rPr>
      </w:pPr>
      <w:r>
        <w:rPr>
          <w:rFonts w:ascii="宋体" w:hAnsi="宋体"/>
          <w:b/>
          <w:bCs/>
          <w:color w:val="000000"/>
          <w:sz w:val="24"/>
          <w:highlight w:val="none"/>
        </w:rPr>
        <w:t>21</w:t>
      </w:r>
      <w:r>
        <w:rPr>
          <w:rFonts w:hint="eastAsia" w:ascii="宋体" w:hAnsi="宋体"/>
          <w:b/>
          <w:bCs/>
          <w:color w:val="000000"/>
          <w:sz w:val="24"/>
          <w:highlight w:val="none"/>
        </w:rPr>
        <w:t>．迟交的投标文件</w:t>
      </w:r>
    </w:p>
    <w:p w14:paraId="23FFE8BF">
      <w:pPr>
        <w:spacing w:line="360" w:lineRule="auto"/>
        <w:ind w:firstLine="480" w:firstLineChars="200"/>
        <w:rPr>
          <w:rFonts w:ascii="宋体"/>
          <w:color w:val="000000"/>
          <w:sz w:val="24"/>
          <w:highlight w:val="none"/>
        </w:rPr>
      </w:pPr>
      <w:r>
        <w:rPr>
          <w:rFonts w:ascii="宋体" w:hAnsi="宋体"/>
          <w:color w:val="000000"/>
          <w:sz w:val="24"/>
          <w:highlight w:val="none"/>
        </w:rPr>
        <w:t xml:space="preserve">21.1 </w:t>
      </w:r>
      <w:r>
        <w:rPr>
          <w:rFonts w:hint="eastAsia" w:ascii="宋体" w:hAnsi="宋体"/>
          <w:color w:val="000000"/>
          <w:sz w:val="24"/>
          <w:highlight w:val="none"/>
        </w:rPr>
        <w:t>本须知前附表第</w:t>
      </w:r>
      <w:r>
        <w:rPr>
          <w:rFonts w:ascii="宋体" w:hAnsi="宋体"/>
          <w:color w:val="000000"/>
          <w:sz w:val="24"/>
          <w:highlight w:val="none"/>
        </w:rPr>
        <w:t>1</w:t>
      </w:r>
      <w:r>
        <w:rPr>
          <w:rFonts w:hint="eastAsia" w:ascii="宋体" w:hAnsi="宋体"/>
          <w:color w:val="000000"/>
          <w:sz w:val="24"/>
          <w:highlight w:val="none"/>
        </w:rPr>
        <w:t>7项规定的投标截止时间</w:t>
      </w:r>
      <w:r>
        <w:rPr>
          <w:rFonts w:hint="eastAsia"/>
          <w:bCs/>
          <w:color w:val="000000"/>
          <w:sz w:val="24"/>
          <w:szCs w:val="24"/>
          <w:highlight w:val="none"/>
        </w:rPr>
        <w:t>后送达的</w:t>
      </w:r>
      <w:r>
        <w:rPr>
          <w:rFonts w:hint="eastAsia" w:ascii="宋体" w:hAnsi="宋体"/>
          <w:bCs/>
          <w:color w:val="000000"/>
          <w:sz w:val="24"/>
          <w:highlight w:val="none"/>
        </w:rPr>
        <w:t>电子投标文件，</w:t>
      </w:r>
      <w:r>
        <w:rPr>
          <w:rFonts w:hint="eastAsia" w:ascii="宋体" w:hAnsi="宋体"/>
          <w:color w:val="000000"/>
          <w:sz w:val="24"/>
          <w:szCs w:val="24"/>
          <w:highlight w:val="none"/>
        </w:rPr>
        <w:t>交易平台</w:t>
      </w:r>
      <w:r>
        <w:rPr>
          <w:rFonts w:hint="eastAsia" w:ascii="宋体" w:hAnsi="宋体"/>
          <w:color w:val="000000"/>
          <w:sz w:val="24"/>
          <w:highlight w:val="none"/>
        </w:rPr>
        <w:t>将予以拒收。</w:t>
      </w:r>
    </w:p>
    <w:p w14:paraId="2B90B0E5">
      <w:pPr>
        <w:spacing w:line="360" w:lineRule="auto"/>
        <w:ind w:firstLine="482" w:firstLineChars="200"/>
        <w:rPr>
          <w:rFonts w:ascii="宋体"/>
          <w:b/>
          <w:bCs/>
          <w:color w:val="000000"/>
          <w:sz w:val="24"/>
          <w:highlight w:val="none"/>
        </w:rPr>
      </w:pPr>
      <w:r>
        <w:rPr>
          <w:rFonts w:ascii="宋体" w:hAnsi="宋体"/>
          <w:b/>
          <w:bCs/>
          <w:color w:val="000000"/>
          <w:sz w:val="24"/>
          <w:highlight w:val="none"/>
        </w:rPr>
        <w:t>22</w:t>
      </w:r>
      <w:r>
        <w:rPr>
          <w:rFonts w:hint="eastAsia" w:ascii="宋体" w:hAnsi="宋体"/>
          <w:b/>
          <w:bCs/>
          <w:color w:val="000000"/>
          <w:sz w:val="24"/>
          <w:highlight w:val="none"/>
        </w:rPr>
        <w:t>．投标文件的修改与撤回</w:t>
      </w:r>
    </w:p>
    <w:p w14:paraId="68DEFBEF">
      <w:pPr>
        <w:spacing w:line="360" w:lineRule="auto"/>
        <w:ind w:firstLine="480" w:firstLineChars="200"/>
        <w:rPr>
          <w:rFonts w:ascii="宋体"/>
          <w:color w:val="000000"/>
          <w:sz w:val="24"/>
          <w:highlight w:val="none"/>
        </w:rPr>
      </w:pPr>
      <w:r>
        <w:rPr>
          <w:rFonts w:ascii="宋体" w:hAnsi="宋体"/>
          <w:color w:val="000000"/>
          <w:sz w:val="24"/>
          <w:highlight w:val="none"/>
        </w:rPr>
        <w:t>22.1</w:t>
      </w:r>
      <w:r>
        <w:rPr>
          <w:rFonts w:hint="eastAsia" w:ascii="宋体" w:hAnsi="宋体"/>
          <w:color w:val="000000"/>
          <w:sz w:val="24"/>
          <w:highlight w:val="none"/>
        </w:rPr>
        <w:t>在规定的投标截止时间前，投标人可以修改或撤回已递交的投标文件，但应以书面形式通知招标人。</w:t>
      </w:r>
    </w:p>
    <w:p w14:paraId="4D73E93F">
      <w:pPr>
        <w:spacing w:line="360" w:lineRule="auto"/>
        <w:ind w:firstLine="480" w:firstLineChars="200"/>
        <w:rPr>
          <w:color w:val="000000"/>
          <w:sz w:val="24"/>
          <w:szCs w:val="24"/>
          <w:highlight w:val="none"/>
        </w:rPr>
      </w:pPr>
      <w:r>
        <w:rPr>
          <w:rFonts w:ascii="宋体" w:hAnsi="宋体"/>
          <w:color w:val="000000"/>
          <w:sz w:val="24"/>
          <w:szCs w:val="24"/>
          <w:highlight w:val="none"/>
        </w:rPr>
        <w:t>22.2</w:t>
      </w:r>
      <w:r>
        <w:rPr>
          <w:color w:val="000000"/>
          <w:sz w:val="24"/>
          <w:szCs w:val="24"/>
          <w:highlight w:val="none"/>
        </w:rPr>
        <w:t>投标人修改或撤回已递交</w:t>
      </w:r>
      <w:r>
        <w:rPr>
          <w:rFonts w:hint="eastAsia"/>
          <w:color w:val="000000"/>
          <w:sz w:val="24"/>
          <w:szCs w:val="24"/>
          <w:highlight w:val="none"/>
        </w:rPr>
        <w:t>的</w:t>
      </w:r>
      <w:r>
        <w:rPr>
          <w:color w:val="000000"/>
          <w:sz w:val="24"/>
          <w:szCs w:val="24"/>
          <w:highlight w:val="none"/>
        </w:rPr>
        <w:t>投标文件</w:t>
      </w:r>
      <w:r>
        <w:rPr>
          <w:rFonts w:hint="eastAsia"/>
          <w:color w:val="000000"/>
          <w:sz w:val="24"/>
          <w:szCs w:val="24"/>
          <w:highlight w:val="none"/>
        </w:rPr>
        <w:t>，需在</w:t>
      </w:r>
      <w:r>
        <w:rPr>
          <w:rFonts w:hint="eastAsia" w:ascii="宋体" w:hAnsi="宋体"/>
          <w:color w:val="000000"/>
          <w:sz w:val="24"/>
          <w:highlight w:val="none"/>
        </w:rPr>
        <w:t>交易平台发出修改或撤回</w:t>
      </w:r>
      <w:r>
        <w:rPr>
          <w:color w:val="000000"/>
          <w:sz w:val="24"/>
          <w:szCs w:val="24"/>
          <w:highlight w:val="none"/>
        </w:rPr>
        <w:t>通知，</w:t>
      </w:r>
      <w:r>
        <w:rPr>
          <w:rFonts w:hint="eastAsia"/>
          <w:color w:val="000000"/>
          <w:sz w:val="24"/>
          <w:szCs w:val="24"/>
          <w:highlight w:val="none"/>
        </w:rPr>
        <w:t>并按</w:t>
      </w:r>
      <w:r>
        <w:rPr>
          <w:color w:val="000000"/>
          <w:sz w:val="24"/>
          <w:szCs w:val="24"/>
          <w:highlight w:val="none"/>
        </w:rPr>
        <w:t>要求加盖电子印章。</w:t>
      </w:r>
      <w:r>
        <w:rPr>
          <w:bCs/>
          <w:iCs/>
          <w:color w:val="000000"/>
          <w:sz w:val="24"/>
          <w:szCs w:val="24"/>
          <w:highlight w:val="none"/>
        </w:rPr>
        <w:t>电子招标投标交易平台收到通知后，</w:t>
      </w:r>
      <w:r>
        <w:rPr>
          <w:color w:val="000000"/>
          <w:sz w:val="24"/>
          <w:szCs w:val="24"/>
          <w:highlight w:val="none"/>
        </w:rPr>
        <w:t>即时向投标人发出确认回执通知。</w:t>
      </w:r>
    </w:p>
    <w:p w14:paraId="72C80587">
      <w:pPr>
        <w:spacing w:line="360" w:lineRule="auto"/>
        <w:ind w:firstLine="480" w:firstLineChars="200"/>
        <w:rPr>
          <w:color w:val="000000"/>
          <w:sz w:val="24"/>
          <w:szCs w:val="24"/>
          <w:highlight w:val="none"/>
        </w:rPr>
      </w:pPr>
      <w:r>
        <w:rPr>
          <w:rFonts w:hint="eastAsia" w:ascii="宋体" w:hAnsi="宋体"/>
          <w:color w:val="000000"/>
          <w:sz w:val="24"/>
          <w:szCs w:val="24"/>
          <w:highlight w:val="none"/>
        </w:rPr>
        <w:t>22.3</w:t>
      </w:r>
      <w:r>
        <w:rPr>
          <w:rFonts w:hint="eastAsia"/>
          <w:color w:val="000000"/>
          <w:sz w:val="24"/>
          <w:szCs w:val="24"/>
          <w:highlight w:val="none"/>
        </w:rPr>
        <w:t>修改后再次递交的，按19点的规定执行。</w:t>
      </w:r>
    </w:p>
    <w:p w14:paraId="7E88FE9B">
      <w:pPr>
        <w:spacing w:line="360" w:lineRule="auto"/>
        <w:ind w:firstLine="480" w:firstLineChars="200"/>
        <w:rPr>
          <w:rFonts w:ascii="宋体" w:hAnsi="宋体"/>
          <w:color w:val="000000"/>
          <w:sz w:val="24"/>
          <w:highlight w:val="none"/>
        </w:rPr>
      </w:pPr>
      <w:r>
        <w:rPr>
          <w:rFonts w:ascii="宋体" w:hAnsi="宋体"/>
          <w:color w:val="000000"/>
          <w:sz w:val="24"/>
          <w:highlight w:val="none"/>
        </w:rPr>
        <w:t>22.</w:t>
      </w:r>
      <w:r>
        <w:rPr>
          <w:rFonts w:hint="eastAsia" w:ascii="宋体" w:hAnsi="宋体"/>
          <w:color w:val="000000"/>
          <w:sz w:val="24"/>
          <w:highlight w:val="none"/>
        </w:rPr>
        <w:t>4在投标截止时间之后，投标人不得补充、修改和更换投标文件。</w:t>
      </w:r>
    </w:p>
    <w:p w14:paraId="689C762B">
      <w:pPr>
        <w:pStyle w:val="4"/>
        <w:spacing w:before="156" w:after="156"/>
        <w:rPr>
          <w:color w:val="000000"/>
          <w:highlight w:val="none"/>
        </w:rPr>
      </w:pPr>
      <w:bookmarkStart w:id="22" w:name="_Toc21525497"/>
      <w:bookmarkStart w:id="23" w:name="_Toc2272553"/>
      <w:r>
        <w:rPr>
          <w:rFonts w:hint="eastAsia"/>
          <w:color w:val="000000"/>
          <w:highlight w:val="none"/>
        </w:rPr>
        <w:t>（五）开标、评标、定标及合同签定</w:t>
      </w:r>
      <w:bookmarkEnd w:id="22"/>
      <w:bookmarkEnd w:id="23"/>
    </w:p>
    <w:p w14:paraId="556E452F">
      <w:pPr>
        <w:spacing w:line="360" w:lineRule="auto"/>
        <w:ind w:firstLine="482" w:firstLineChars="200"/>
        <w:rPr>
          <w:rFonts w:ascii="宋体"/>
          <w:b/>
          <w:bCs/>
          <w:color w:val="000000"/>
          <w:sz w:val="24"/>
          <w:highlight w:val="none"/>
        </w:rPr>
      </w:pPr>
      <w:r>
        <w:rPr>
          <w:rFonts w:ascii="宋体" w:hAnsi="宋体"/>
          <w:b/>
          <w:bCs/>
          <w:color w:val="000000"/>
          <w:sz w:val="24"/>
          <w:highlight w:val="none"/>
        </w:rPr>
        <w:t>23</w:t>
      </w:r>
      <w:r>
        <w:rPr>
          <w:rFonts w:hint="eastAsia" w:ascii="宋体" w:hAnsi="宋体"/>
          <w:b/>
          <w:bCs/>
          <w:color w:val="000000"/>
          <w:sz w:val="24"/>
          <w:highlight w:val="none"/>
        </w:rPr>
        <w:t>、开标。</w:t>
      </w:r>
    </w:p>
    <w:p w14:paraId="0260F5B1">
      <w:pPr>
        <w:spacing w:line="360" w:lineRule="auto"/>
        <w:ind w:firstLine="480" w:firstLineChars="200"/>
        <w:rPr>
          <w:rFonts w:ascii="宋体"/>
          <w:color w:val="000000"/>
          <w:sz w:val="24"/>
          <w:highlight w:val="none"/>
        </w:rPr>
      </w:pPr>
      <w:r>
        <w:rPr>
          <w:rFonts w:hint="eastAsia" w:ascii="宋体" w:hAnsi="宋体"/>
          <w:color w:val="000000"/>
          <w:sz w:val="24"/>
          <w:highlight w:val="none"/>
        </w:rPr>
        <w:t>详见第二章开标、评标及定标办法</w:t>
      </w:r>
    </w:p>
    <w:p w14:paraId="5CBE4411">
      <w:pPr>
        <w:spacing w:line="360" w:lineRule="auto"/>
        <w:ind w:firstLine="482" w:firstLineChars="200"/>
        <w:rPr>
          <w:rFonts w:ascii="宋体"/>
          <w:b/>
          <w:bCs/>
          <w:color w:val="000000"/>
          <w:sz w:val="24"/>
          <w:highlight w:val="none"/>
        </w:rPr>
      </w:pPr>
      <w:r>
        <w:rPr>
          <w:rFonts w:ascii="宋体" w:hAnsi="宋体"/>
          <w:b/>
          <w:bCs/>
          <w:color w:val="000000"/>
          <w:sz w:val="24"/>
          <w:highlight w:val="none"/>
        </w:rPr>
        <w:t>24</w:t>
      </w:r>
      <w:r>
        <w:rPr>
          <w:rFonts w:hint="eastAsia" w:ascii="宋体" w:hAnsi="宋体"/>
          <w:b/>
          <w:bCs/>
          <w:color w:val="000000"/>
          <w:sz w:val="24"/>
          <w:highlight w:val="none"/>
        </w:rPr>
        <w:t>．评标过程的保密</w:t>
      </w:r>
    </w:p>
    <w:p w14:paraId="0A4625EF">
      <w:pPr>
        <w:spacing w:line="360" w:lineRule="auto"/>
        <w:ind w:firstLine="480" w:firstLineChars="200"/>
        <w:rPr>
          <w:rFonts w:ascii="宋体"/>
          <w:color w:val="000000"/>
          <w:sz w:val="24"/>
          <w:highlight w:val="none"/>
        </w:rPr>
      </w:pPr>
      <w:r>
        <w:rPr>
          <w:rFonts w:ascii="宋体" w:hAnsi="宋体"/>
          <w:color w:val="000000"/>
          <w:sz w:val="24"/>
          <w:highlight w:val="none"/>
        </w:rPr>
        <w:t xml:space="preserve">24.1 </w:t>
      </w:r>
      <w:r>
        <w:rPr>
          <w:rFonts w:hint="eastAsia" w:ascii="宋体" w:hAnsi="宋体"/>
          <w:color w:val="000000"/>
          <w:sz w:val="24"/>
          <w:highlight w:val="none"/>
        </w:rPr>
        <w:t>开标后，直至中标公示为止，凡属于对投标文件的审查、澄清、评价和比较有关的资料以及中标候选人的推荐情况，与评标有关的其他任何情况均严格保密。</w:t>
      </w:r>
    </w:p>
    <w:p w14:paraId="4029FF91">
      <w:pPr>
        <w:spacing w:line="360" w:lineRule="auto"/>
        <w:ind w:firstLine="480" w:firstLineChars="200"/>
        <w:rPr>
          <w:rFonts w:ascii="宋体"/>
          <w:color w:val="000000"/>
          <w:sz w:val="24"/>
          <w:highlight w:val="none"/>
        </w:rPr>
      </w:pPr>
      <w:r>
        <w:rPr>
          <w:rFonts w:ascii="宋体" w:hAnsi="宋体"/>
          <w:color w:val="000000"/>
          <w:sz w:val="24"/>
          <w:highlight w:val="none"/>
        </w:rPr>
        <w:t xml:space="preserve">24.2 </w:t>
      </w:r>
      <w:r>
        <w:rPr>
          <w:rFonts w:hint="eastAsia" w:ascii="宋体" w:hAnsi="宋体"/>
          <w:color w:val="000000"/>
          <w:sz w:val="24"/>
          <w:highlight w:val="none"/>
        </w:rPr>
        <w:t>在投标文件的评审和比较、中标候选人推荐以及授予合同的过程中，投标人向招标人和评标委员会施加不公正影响的任何行为，都将会导致其投标被拒绝。</w:t>
      </w:r>
    </w:p>
    <w:p w14:paraId="263E2AEE">
      <w:pPr>
        <w:spacing w:line="360" w:lineRule="auto"/>
        <w:ind w:firstLine="482" w:firstLineChars="200"/>
        <w:rPr>
          <w:rFonts w:ascii="宋体"/>
          <w:b/>
          <w:bCs/>
          <w:color w:val="000000"/>
          <w:sz w:val="24"/>
          <w:highlight w:val="none"/>
        </w:rPr>
      </w:pPr>
      <w:r>
        <w:rPr>
          <w:rFonts w:ascii="宋体" w:hAnsi="宋体"/>
          <w:b/>
          <w:bCs/>
          <w:color w:val="000000"/>
          <w:sz w:val="24"/>
          <w:highlight w:val="none"/>
        </w:rPr>
        <w:t>25</w:t>
      </w:r>
      <w:r>
        <w:rPr>
          <w:rFonts w:hint="eastAsia" w:ascii="宋体" w:hAnsi="宋体"/>
          <w:b/>
          <w:bCs/>
          <w:color w:val="000000"/>
          <w:sz w:val="24"/>
          <w:highlight w:val="none"/>
        </w:rPr>
        <w:t>．投标文件的澄清，计算错误的修正</w:t>
      </w:r>
    </w:p>
    <w:p w14:paraId="3A01AA5A">
      <w:pPr>
        <w:spacing w:line="360" w:lineRule="auto"/>
        <w:ind w:firstLine="480" w:firstLineChars="200"/>
        <w:rPr>
          <w:rFonts w:ascii="宋体"/>
          <w:color w:val="000000"/>
          <w:sz w:val="24"/>
          <w:highlight w:val="none"/>
        </w:rPr>
      </w:pPr>
      <w:r>
        <w:rPr>
          <w:rFonts w:hint="eastAsia" w:ascii="宋体" w:hAnsi="宋体"/>
          <w:color w:val="000000"/>
          <w:sz w:val="24"/>
          <w:highlight w:val="none"/>
        </w:rPr>
        <w:t>详见招标文件第二章开标、评标及定标办法</w:t>
      </w:r>
    </w:p>
    <w:p w14:paraId="6CF119E1">
      <w:pPr>
        <w:spacing w:line="360" w:lineRule="auto"/>
        <w:ind w:firstLine="482" w:firstLineChars="200"/>
        <w:rPr>
          <w:rFonts w:ascii="宋体"/>
          <w:b/>
          <w:bCs/>
          <w:color w:val="000000"/>
          <w:sz w:val="24"/>
          <w:highlight w:val="none"/>
        </w:rPr>
      </w:pPr>
      <w:r>
        <w:rPr>
          <w:rFonts w:ascii="宋体" w:hAnsi="宋体"/>
          <w:b/>
          <w:bCs/>
          <w:color w:val="000000"/>
          <w:sz w:val="24"/>
          <w:highlight w:val="none"/>
        </w:rPr>
        <w:t>26</w:t>
      </w:r>
      <w:r>
        <w:rPr>
          <w:rFonts w:hint="eastAsia" w:ascii="宋体" w:hAnsi="宋体"/>
          <w:b/>
          <w:bCs/>
          <w:color w:val="000000"/>
          <w:sz w:val="24"/>
          <w:highlight w:val="none"/>
        </w:rPr>
        <w:t>．投标文件的评审、比较和否决</w:t>
      </w:r>
    </w:p>
    <w:p w14:paraId="787ACF1C">
      <w:pPr>
        <w:spacing w:line="360" w:lineRule="auto"/>
        <w:ind w:firstLine="480" w:firstLineChars="200"/>
        <w:rPr>
          <w:rFonts w:ascii="宋体"/>
          <w:bCs/>
          <w:color w:val="000000"/>
          <w:sz w:val="24"/>
          <w:szCs w:val="24"/>
          <w:highlight w:val="none"/>
        </w:rPr>
      </w:pPr>
      <w:r>
        <w:rPr>
          <w:rFonts w:hint="eastAsia" w:ascii="宋体" w:hAnsi="宋体"/>
          <w:color w:val="000000"/>
          <w:sz w:val="24"/>
          <w:highlight w:val="none"/>
        </w:rPr>
        <w:t>详见招标文件第二章开标、评标及定标办法。</w:t>
      </w:r>
    </w:p>
    <w:p w14:paraId="1A68677A">
      <w:pPr>
        <w:spacing w:line="360" w:lineRule="auto"/>
        <w:ind w:firstLine="482" w:firstLineChars="200"/>
        <w:rPr>
          <w:rFonts w:ascii="宋体"/>
          <w:b/>
          <w:bCs/>
          <w:color w:val="000000"/>
          <w:sz w:val="24"/>
          <w:highlight w:val="none"/>
        </w:rPr>
      </w:pPr>
      <w:r>
        <w:rPr>
          <w:rFonts w:ascii="宋体" w:hAnsi="宋体"/>
          <w:b/>
          <w:bCs/>
          <w:color w:val="000000"/>
          <w:sz w:val="24"/>
          <w:highlight w:val="none"/>
        </w:rPr>
        <w:t>27</w:t>
      </w:r>
      <w:r>
        <w:rPr>
          <w:rFonts w:hint="eastAsia" w:ascii="宋体" w:hAnsi="宋体"/>
          <w:b/>
          <w:bCs/>
          <w:color w:val="000000"/>
          <w:sz w:val="24"/>
          <w:highlight w:val="none"/>
        </w:rPr>
        <w:t>．中标通知书</w:t>
      </w:r>
    </w:p>
    <w:p w14:paraId="32566200">
      <w:pPr>
        <w:spacing w:line="360" w:lineRule="auto"/>
        <w:ind w:firstLine="480" w:firstLineChars="200"/>
        <w:rPr>
          <w:rFonts w:ascii="宋体"/>
          <w:color w:val="000000"/>
          <w:sz w:val="24"/>
          <w:highlight w:val="none"/>
        </w:rPr>
      </w:pPr>
      <w:r>
        <w:rPr>
          <w:rFonts w:ascii="宋体" w:hAnsi="宋体"/>
          <w:color w:val="000000"/>
          <w:sz w:val="24"/>
          <w:highlight w:val="none"/>
        </w:rPr>
        <w:t>27.1</w:t>
      </w:r>
      <w:r>
        <w:rPr>
          <w:rFonts w:hint="eastAsia" w:ascii="宋体" w:hAnsi="宋体"/>
          <w:color w:val="000000"/>
          <w:sz w:val="24"/>
          <w:highlight w:val="none"/>
        </w:rPr>
        <w:t>招标人将在</w:t>
      </w:r>
      <w:r>
        <w:rPr>
          <w:rFonts w:hint="eastAsia" w:ascii="宋体" w:hAnsi="宋体"/>
          <w:color w:val="000000"/>
          <w:sz w:val="24"/>
          <w:szCs w:val="24"/>
          <w:highlight w:val="none"/>
        </w:rPr>
        <w:t>交易平台</w:t>
      </w:r>
      <w:r>
        <w:rPr>
          <w:rFonts w:hint="eastAsia" w:ascii="宋体" w:hAnsi="宋体"/>
          <w:color w:val="000000"/>
          <w:sz w:val="24"/>
          <w:highlight w:val="none"/>
        </w:rPr>
        <w:t>、广东省招标投标监管网和中国招标投标公共服务平台公示中标候选人，公示期为三天。</w:t>
      </w:r>
    </w:p>
    <w:p w14:paraId="36FA7A0F">
      <w:pPr>
        <w:spacing w:line="360" w:lineRule="auto"/>
        <w:ind w:firstLine="480" w:firstLineChars="200"/>
        <w:rPr>
          <w:rFonts w:ascii="仿宋_GB2312" w:hAnsi="宋体" w:eastAsia="仿宋_GB2312"/>
          <w:color w:val="000000"/>
          <w:sz w:val="24"/>
          <w:highlight w:val="none"/>
        </w:rPr>
      </w:pPr>
      <w:r>
        <w:rPr>
          <w:rFonts w:ascii="宋体" w:hAnsi="宋体"/>
          <w:color w:val="000000"/>
          <w:sz w:val="24"/>
          <w:highlight w:val="none"/>
        </w:rPr>
        <w:t>27.2</w:t>
      </w:r>
      <w:r>
        <w:rPr>
          <w:rFonts w:hint="eastAsia" w:ascii="宋体" w:hAnsi="宋体"/>
          <w:color w:val="000000"/>
          <w:sz w:val="24"/>
          <w:highlight w:val="none"/>
        </w:rPr>
        <w:t>招标人应当自确定中标人后，向招标投标监管机构提交招标投标情况的书面报告；经招投标监管机构备案后，方可发出中标通知书。</w:t>
      </w:r>
    </w:p>
    <w:p w14:paraId="4229660B">
      <w:pPr>
        <w:spacing w:line="360" w:lineRule="auto"/>
        <w:ind w:firstLine="480" w:firstLineChars="200"/>
        <w:rPr>
          <w:rFonts w:ascii="宋体" w:hAnsi="宋体"/>
          <w:color w:val="000000"/>
          <w:sz w:val="24"/>
          <w:highlight w:val="none"/>
        </w:rPr>
      </w:pPr>
      <w:r>
        <w:rPr>
          <w:rFonts w:ascii="宋体" w:hAnsi="宋体"/>
          <w:color w:val="000000"/>
          <w:sz w:val="24"/>
          <w:highlight w:val="none"/>
        </w:rPr>
        <w:t>27.3</w:t>
      </w:r>
      <w:r>
        <w:rPr>
          <w:rFonts w:hint="eastAsia" w:ascii="宋体" w:hAnsi="宋体"/>
          <w:color w:val="000000"/>
          <w:sz w:val="24"/>
          <w:highlight w:val="none"/>
        </w:rPr>
        <w:t>中标人必须在收到中标通知书后</w:t>
      </w:r>
      <w:r>
        <w:rPr>
          <w:rFonts w:ascii="宋体" w:hAnsi="宋体"/>
          <w:color w:val="000000"/>
          <w:sz w:val="24"/>
          <w:highlight w:val="none"/>
        </w:rPr>
        <w:t>24</w:t>
      </w:r>
      <w:r>
        <w:rPr>
          <w:rFonts w:hint="eastAsia" w:ascii="宋体" w:hAnsi="宋体"/>
          <w:color w:val="000000"/>
          <w:sz w:val="24"/>
          <w:highlight w:val="none"/>
        </w:rPr>
        <w:t>小时之内以书面形式回复招标人，确认收到。</w:t>
      </w:r>
    </w:p>
    <w:p w14:paraId="493C909B">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27.4在产生中标候选人后，招标人将中标候选人的投标文件商务部分文件的所有内容（包括人员、业绩、奖项等资料）在</w:t>
      </w:r>
      <w:r>
        <w:rPr>
          <w:rFonts w:hint="eastAsia" w:ascii="宋体" w:hAnsi="宋体"/>
          <w:color w:val="000000"/>
          <w:sz w:val="24"/>
          <w:szCs w:val="24"/>
          <w:highlight w:val="none"/>
        </w:rPr>
        <w:t>交易平台和广东省招标投标监管网</w:t>
      </w:r>
      <w:r>
        <w:rPr>
          <w:rFonts w:hint="eastAsia" w:ascii="宋体" w:hAnsi="宋体"/>
          <w:color w:val="000000"/>
          <w:sz w:val="24"/>
          <w:highlight w:val="none"/>
        </w:rPr>
        <w:t>公开。</w:t>
      </w:r>
    </w:p>
    <w:p w14:paraId="338477A1">
      <w:pPr>
        <w:spacing w:line="360" w:lineRule="auto"/>
        <w:ind w:firstLine="482" w:firstLineChars="200"/>
        <w:rPr>
          <w:rFonts w:ascii="宋体"/>
          <w:b/>
          <w:bCs/>
          <w:color w:val="000000"/>
          <w:sz w:val="24"/>
          <w:highlight w:val="none"/>
        </w:rPr>
      </w:pPr>
      <w:r>
        <w:rPr>
          <w:rFonts w:ascii="宋体" w:hAnsi="宋体"/>
          <w:b/>
          <w:bCs/>
          <w:color w:val="000000"/>
          <w:sz w:val="24"/>
          <w:highlight w:val="none"/>
        </w:rPr>
        <w:t>28</w:t>
      </w:r>
      <w:r>
        <w:rPr>
          <w:rFonts w:hint="eastAsia" w:ascii="宋体" w:hAnsi="宋体"/>
          <w:b/>
          <w:bCs/>
          <w:color w:val="000000"/>
          <w:sz w:val="24"/>
          <w:highlight w:val="none"/>
        </w:rPr>
        <w:t>．合同协议书的签订</w:t>
      </w:r>
    </w:p>
    <w:p w14:paraId="7BEE35D9">
      <w:pPr>
        <w:spacing w:line="360" w:lineRule="auto"/>
        <w:ind w:firstLine="480" w:firstLineChars="200"/>
        <w:rPr>
          <w:rFonts w:ascii="宋体"/>
          <w:color w:val="000000"/>
          <w:sz w:val="24"/>
          <w:highlight w:val="none"/>
        </w:rPr>
      </w:pPr>
      <w:r>
        <w:rPr>
          <w:rFonts w:ascii="宋体" w:hAnsi="宋体"/>
          <w:color w:val="000000"/>
          <w:sz w:val="24"/>
          <w:highlight w:val="none"/>
        </w:rPr>
        <w:t xml:space="preserve">28.1 </w:t>
      </w:r>
      <w:r>
        <w:rPr>
          <w:rFonts w:hint="eastAsia" w:ascii="宋体" w:hAnsi="宋体"/>
          <w:color w:val="000000"/>
          <w:sz w:val="24"/>
          <w:highlight w:val="none"/>
        </w:rPr>
        <w:t>招标人与中标人将于中标通知书发出之日起</w:t>
      </w:r>
      <w:r>
        <w:rPr>
          <w:rFonts w:ascii="宋体" w:hAnsi="宋体"/>
          <w:color w:val="000000"/>
          <w:sz w:val="24"/>
          <w:highlight w:val="none"/>
        </w:rPr>
        <w:t>30</w:t>
      </w:r>
      <w:r>
        <w:rPr>
          <w:rFonts w:hint="eastAsia" w:ascii="宋体" w:hAnsi="宋体"/>
          <w:color w:val="000000"/>
          <w:sz w:val="24"/>
          <w:highlight w:val="none"/>
        </w:rPr>
        <w:t>日内，按照招标文件和中标人的投标文件商定和签订合同，招标人和中标人不得再行订立背离合同实质性内容的其他协议。</w:t>
      </w:r>
    </w:p>
    <w:p w14:paraId="7C94C847">
      <w:pPr>
        <w:spacing w:line="360" w:lineRule="auto"/>
        <w:ind w:firstLine="480" w:firstLineChars="200"/>
        <w:rPr>
          <w:rFonts w:ascii="宋体"/>
          <w:color w:val="000000"/>
          <w:sz w:val="24"/>
          <w:highlight w:val="none"/>
        </w:rPr>
      </w:pPr>
      <w:r>
        <w:rPr>
          <w:rFonts w:ascii="宋体" w:hAnsi="宋体"/>
          <w:color w:val="000000"/>
          <w:sz w:val="24"/>
          <w:highlight w:val="none"/>
        </w:rPr>
        <w:t>28.2</w:t>
      </w:r>
      <w:r>
        <w:rPr>
          <w:rFonts w:hint="eastAsia" w:ascii="宋体" w:hAnsi="宋体"/>
          <w:color w:val="000000"/>
          <w:sz w:val="24"/>
          <w:highlight w:val="none"/>
        </w:rPr>
        <w:t>中标通知书发出之日起</w:t>
      </w:r>
      <w:r>
        <w:rPr>
          <w:rFonts w:ascii="宋体" w:hAnsi="宋体"/>
          <w:color w:val="000000"/>
          <w:sz w:val="24"/>
          <w:highlight w:val="none"/>
        </w:rPr>
        <w:t>30</w:t>
      </w:r>
      <w:r>
        <w:rPr>
          <w:rFonts w:hint="eastAsia" w:ascii="宋体" w:hAnsi="宋体"/>
          <w:color w:val="000000"/>
          <w:sz w:val="24"/>
          <w:highlight w:val="none"/>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72D45522">
      <w:pPr>
        <w:spacing w:line="360" w:lineRule="auto"/>
        <w:ind w:firstLine="480" w:firstLineChars="200"/>
        <w:rPr>
          <w:rFonts w:ascii="宋体"/>
          <w:color w:val="000000"/>
          <w:sz w:val="24"/>
          <w:highlight w:val="none"/>
        </w:rPr>
      </w:pPr>
      <w:r>
        <w:rPr>
          <w:rFonts w:ascii="宋体" w:hAnsi="宋体"/>
          <w:color w:val="000000"/>
          <w:sz w:val="24"/>
          <w:highlight w:val="none"/>
        </w:rPr>
        <w:t>28.3</w:t>
      </w:r>
      <w:r>
        <w:rPr>
          <w:rFonts w:hint="eastAsia" w:ascii="宋体" w:hAnsi="宋体"/>
          <w:color w:val="000000"/>
          <w:sz w:val="24"/>
          <w:highlight w:val="none"/>
        </w:rPr>
        <w:t>非经招标人同意，中标人在投标过程中使用的银行名称及帐号至完成竣工结算不得变更，否则招标人有权停止工程款项的拔付及至解除合同，由此造成的一切责任由中标人承担。</w:t>
      </w:r>
    </w:p>
    <w:p w14:paraId="56D2F79B">
      <w:pPr>
        <w:spacing w:line="360" w:lineRule="auto"/>
        <w:ind w:firstLine="480" w:firstLineChars="200"/>
        <w:rPr>
          <w:rFonts w:ascii="宋体" w:hAnsi="宋体"/>
          <w:color w:val="000000"/>
          <w:sz w:val="24"/>
          <w:highlight w:val="none"/>
        </w:rPr>
      </w:pPr>
      <w:r>
        <w:rPr>
          <w:rFonts w:ascii="宋体" w:hAnsi="宋体"/>
          <w:color w:val="000000"/>
          <w:sz w:val="24"/>
          <w:highlight w:val="none"/>
        </w:rPr>
        <w:t>28.4</w:t>
      </w:r>
      <w:r>
        <w:rPr>
          <w:rFonts w:hint="eastAsia" w:ascii="宋体" w:hAnsi="宋体"/>
          <w:color w:val="000000"/>
          <w:sz w:val="24"/>
          <w:highlight w:val="none"/>
        </w:rPr>
        <w:t>招标人支付工程款时，中标人应按规定开具发票。</w:t>
      </w:r>
    </w:p>
    <w:p w14:paraId="7671D1B1">
      <w:pPr>
        <w:spacing w:line="360" w:lineRule="auto"/>
        <w:ind w:firstLine="482" w:firstLineChars="200"/>
        <w:rPr>
          <w:rFonts w:ascii="宋体"/>
          <w:b/>
          <w:bCs/>
          <w:color w:val="000000"/>
          <w:sz w:val="24"/>
          <w:highlight w:val="none"/>
        </w:rPr>
      </w:pPr>
      <w:r>
        <w:rPr>
          <w:rFonts w:ascii="宋体" w:hAnsi="宋体"/>
          <w:b/>
          <w:bCs/>
          <w:color w:val="000000"/>
          <w:sz w:val="24"/>
          <w:highlight w:val="none"/>
        </w:rPr>
        <w:t>29</w:t>
      </w:r>
      <w:r>
        <w:rPr>
          <w:rFonts w:hint="eastAsia" w:ascii="宋体" w:hAnsi="宋体"/>
          <w:b/>
          <w:bCs/>
          <w:color w:val="000000"/>
          <w:sz w:val="24"/>
          <w:highlight w:val="none"/>
        </w:rPr>
        <w:t>．履约担保</w:t>
      </w:r>
    </w:p>
    <w:p w14:paraId="07867215">
      <w:pPr>
        <w:snapToGrid w:val="0"/>
        <w:spacing w:line="360" w:lineRule="auto"/>
        <w:ind w:firstLine="480" w:firstLineChars="200"/>
        <w:rPr>
          <w:rFonts w:ascii="宋体"/>
          <w:color w:val="000000"/>
          <w:sz w:val="24"/>
          <w:highlight w:val="none"/>
        </w:rPr>
      </w:pPr>
      <w:r>
        <w:rPr>
          <w:rFonts w:ascii="宋体" w:hAnsi="宋体"/>
          <w:color w:val="000000"/>
          <w:sz w:val="24"/>
          <w:highlight w:val="none"/>
        </w:rPr>
        <w:t xml:space="preserve">29.1 </w:t>
      </w:r>
      <w:r>
        <w:rPr>
          <w:rFonts w:hint="eastAsia" w:ascii="宋体" w:hAnsi="宋体"/>
          <w:color w:val="000000"/>
          <w:sz w:val="24"/>
          <w:highlight w:val="none"/>
        </w:rPr>
        <w:t>在收到中标通知书后的</w:t>
      </w:r>
      <w:r>
        <w:rPr>
          <w:rFonts w:ascii="宋体" w:hAnsi="宋体"/>
          <w:b/>
          <w:color w:val="000000"/>
          <w:sz w:val="24"/>
          <w:highlight w:val="none"/>
        </w:rPr>
        <w:t>15</w:t>
      </w:r>
      <w:r>
        <w:rPr>
          <w:rFonts w:hint="eastAsia" w:ascii="宋体" w:hAnsi="宋体"/>
          <w:b/>
          <w:color w:val="000000"/>
          <w:sz w:val="24"/>
          <w:highlight w:val="none"/>
        </w:rPr>
        <w:t>日</w:t>
      </w:r>
      <w:r>
        <w:rPr>
          <w:rFonts w:hint="eastAsia" w:ascii="宋体" w:hAnsi="宋体"/>
          <w:color w:val="000000"/>
          <w:sz w:val="24"/>
          <w:highlight w:val="none"/>
        </w:rPr>
        <w:t>内，中标人应按本须知前附表第</w:t>
      </w:r>
      <w:r>
        <w:rPr>
          <w:rFonts w:ascii="宋体" w:hAnsi="宋体"/>
          <w:color w:val="000000"/>
          <w:sz w:val="24"/>
          <w:highlight w:val="none"/>
        </w:rPr>
        <w:t>2</w:t>
      </w:r>
      <w:r>
        <w:rPr>
          <w:rFonts w:hint="eastAsia" w:ascii="宋体" w:hAnsi="宋体"/>
          <w:color w:val="000000"/>
          <w:sz w:val="24"/>
          <w:highlight w:val="none"/>
        </w:rPr>
        <w:t>0项的规定向招标人提交履约担保。</w:t>
      </w:r>
    </w:p>
    <w:p w14:paraId="4BD34FFE">
      <w:pPr>
        <w:snapToGrid w:val="0"/>
        <w:spacing w:line="360" w:lineRule="auto"/>
        <w:ind w:firstLine="480" w:firstLineChars="200"/>
        <w:rPr>
          <w:rFonts w:ascii="宋体"/>
          <w:color w:val="000000"/>
          <w:sz w:val="24"/>
          <w:highlight w:val="none"/>
        </w:rPr>
      </w:pPr>
      <w:r>
        <w:rPr>
          <w:rFonts w:ascii="宋体" w:hAnsi="宋体"/>
          <w:color w:val="000000"/>
          <w:sz w:val="24"/>
          <w:highlight w:val="none"/>
        </w:rPr>
        <w:t>29.2</w:t>
      </w:r>
      <w:r>
        <w:rPr>
          <w:rFonts w:hint="eastAsia" w:ascii="宋体" w:hAnsi="宋体"/>
          <w:color w:val="000000"/>
          <w:sz w:val="24"/>
          <w:highlight w:val="none"/>
        </w:rPr>
        <w:t>中标通知书发出之日起</w:t>
      </w:r>
      <w:r>
        <w:rPr>
          <w:rFonts w:ascii="宋体" w:hAnsi="宋体"/>
          <w:color w:val="000000"/>
          <w:sz w:val="24"/>
          <w:highlight w:val="none"/>
        </w:rPr>
        <w:t>15</w:t>
      </w:r>
      <w:r>
        <w:rPr>
          <w:rFonts w:hint="eastAsia" w:ascii="宋体" w:hAnsi="宋体"/>
          <w:color w:val="000000"/>
          <w:sz w:val="24"/>
          <w:highlight w:val="none"/>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04B09E3E">
      <w:pPr>
        <w:spacing w:line="360" w:lineRule="auto"/>
        <w:ind w:firstLine="482" w:firstLineChars="200"/>
        <w:rPr>
          <w:rFonts w:ascii="宋体"/>
          <w:b/>
          <w:bCs/>
          <w:color w:val="000000"/>
          <w:sz w:val="24"/>
          <w:highlight w:val="none"/>
        </w:rPr>
      </w:pPr>
      <w:r>
        <w:rPr>
          <w:rFonts w:ascii="宋体" w:hAnsi="宋体"/>
          <w:b/>
          <w:bCs/>
          <w:color w:val="000000"/>
          <w:sz w:val="24"/>
          <w:highlight w:val="none"/>
        </w:rPr>
        <w:t>30</w:t>
      </w:r>
      <w:r>
        <w:rPr>
          <w:rFonts w:hint="eastAsia" w:ascii="宋体" w:hAnsi="宋体"/>
          <w:b/>
          <w:bCs/>
          <w:color w:val="000000"/>
          <w:sz w:val="24"/>
          <w:highlight w:val="none"/>
        </w:rPr>
        <w:t>．合同生效</w:t>
      </w:r>
    </w:p>
    <w:p w14:paraId="06B35145">
      <w:pPr>
        <w:spacing w:line="360" w:lineRule="auto"/>
        <w:ind w:firstLine="480" w:firstLineChars="200"/>
        <w:rPr>
          <w:rFonts w:ascii="宋体"/>
          <w:color w:val="000000"/>
          <w:sz w:val="24"/>
          <w:highlight w:val="none"/>
        </w:rPr>
      </w:pPr>
      <w:r>
        <w:rPr>
          <w:rFonts w:ascii="宋体" w:hAnsi="宋体"/>
          <w:color w:val="000000"/>
          <w:sz w:val="24"/>
          <w:highlight w:val="none"/>
        </w:rPr>
        <w:t>30.1</w:t>
      </w:r>
      <w:r>
        <w:rPr>
          <w:rFonts w:hint="eastAsia" w:ascii="宋体" w:hAnsi="宋体"/>
          <w:color w:val="000000"/>
          <w:sz w:val="24"/>
          <w:highlight w:val="none"/>
        </w:rPr>
        <w:t>在合同双方全权代表在合同协议书上签字，并分别加盖双方单位的公章后，合同正式生效。</w:t>
      </w:r>
    </w:p>
    <w:p w14:paraId="28418601">
      <w:pPr>
        <w:spacing w:line="360" w:lineRule="auto"/>
        <w:ind w:firstLine="482" w:firstLineChars="200"/>
        <w:rPr>
          <w:rFonts w:ascii="宋体"/>
          <w:b/>
          <w:bCs/>
          <w:color w:val="000000"/>
          <w:sz w:val="24"/>
          <w:highlight w:val="none"/>
        </w:rPr>
      </w:pPr>
      <w:r>
        <w:rPr>
          <w:rFonts w:ascii="宋体" w:hAnsi="宋体"/>
          <w:b/>
          <w:bCs/>
          <w:color w:val="000000"/>
          <w:sz w:val="24"/>
          <w:highlight w:val="none"/>
        </w:rPr>
        <w:t>31</w:t>
      </w:r>
      <w:r>
        <w:rPr>
          <w:rFonts w:hint="eastAsia" w:ascii="宋体" w:hAnsi="宋体"/>
          <w:b/>
          <w:bCs/>
          <w:color w:val="000000"/>
          <w:sz w:val="24"/>
          <w:highlight w:val="none"/>
        </w:rPr>
        <w:t>．其它费用</w:t>
      </w:r>
    </w:p>
    <w:p w14:paraId="74BEA835">
      <w:pPr>
        <w:pStyle w:val="49"/>
        <w:spacing w:after="0" w:line="360" w:lineRule="auto"/>
        <w:ind w:firstLine="482" w:firstLineChars="200"/>
        <w:rPr>
          <w:rFonts w:ascii="宋体"/>
          <w:b/>
          <w:bCs/>
          <w:color w:val="000000"/>
          <w:sz w:val="24"/>
          <w:highlight w:val="none"/>
        </w:rPr>
      </w:pPr>
      <w:r>
        <w:rPr>
          <w:rFonts w:ascii="宋体" w:hAnsi="宋体"/>
          <w:b/>
          <w:bCs/>
          <w:color w:val="000000"/>
          <w:sz w:val="24"/>
          <w:highlight w:val="none"/>
        </w:rPr>
        <w:t>32</w:t>
      </w:r>
      <w:r>
        <w:rPr>
          <w:rFonts w:hint="eastAsia" w:ascii="宋体" w:hAnsi="宋体"/>
          <w:b/>
          <w:bCs/>
          <w:color w:val="000000"/>
          <w:sz w:val="24"/>
          <w:highlight w:val="none"/>
        </w:rPr>
        <w:t>．腐败与欺诈行为</w:t>
      </w:r>
    </w:p>
    <w:p w14:paraId="5147DCE8">
      <w:pPr>
        <w:pStyle w:val="49"/>
        <w:spacing w:after="0" w:line="360" w:lineRule="auto"/>
        <w:ind w:firstLine="480" w:firstLineChars="200"/>
        <w:rPr>
          <w:rFonts w:ascii="宋体"/>
          <w:color w:val="000000"/>
          <w:sz w:val="24"/>
          <w:highlight w:val="none"/>
        </w:rPr>
      </w:pPr>
      <w:r>
        <w:rPr>
          <w:rFonts w:hint="eastAsia" w:ascii="宋体" w:hAnsi="宋体"/>
          <w:color w:val="000000"/>
          <w:sz w:val="24"/>
          <w:highlight w:val="none"/>
        </w:rPr>
        <w:t>在招标和合同实施期间，招标人要求投标人和承包人遵守最高的道德标准。</w:t>
      </w:r>
    </w:p>
    <w:p w14:paraId="4CF2A099">
      <w:pPr>
        <w:pStyle w:val="49"/>
        <w:spacing w:after="0" w:line="360" w:lineRule="auto"/>
        <w:ind w:firstLine="480" w:firstLineChars="200"/>
        <w:rPr>
          <w:rFonts w:ascii="宋体"/>
          <w:color w:val="000000"/>
          <w:sz w:val="24"/>
          <w:highlight w:val="none"/>
        </w:rPr>
      </w:pPr>
      <w:r>
        <w:rPr>
          <w:rFonts w:ascii="宋体" w:hAnsi="宋体"/>
          <w:color w:val="000000"/>
          <w:sz w:val="24"/>
          <w:highlight w:val="none"/>
        </w:rPr>
        <w:t>32</w:t>
      </w:r>
      <w:r>
        <w:rPr>
          <w:rFonts w:hint="eastAsia" w:ascii="宋体" w:hAnsi="宋体"/>
          <w:color w:val="000000"/>
          <w:sz w:val="24"/>
          <w:highlight w:val="none"/>
        </w:rPr>
        <w:t>．</w:t>
      </w:r>
      <w:r>
        <w:rPr>
          <w:rFonts w:ascii="宋体" w:hAnsi="宋体"/>
          <w:color w:val="000000"/>
          <w:sz w:val="24"/>
          <w:highlight w:val="none"/>
        </w:rPr>
        <w:t>1</w:t>
      </w:r>
      <w:r>
        <w:rPr>
          <w:rFonts w:hint="eastAsia" w:ascii="宋体" w:hAnsi="宋体"/>
          <w:color w:val="000000"/>
          <w:sz w:val="24"/>
          <w:highlight w:val="none"/>
        </w:rPr>
        <w:t>对本条款的规定，特定义如下词汇：</w:t>
      </w:r>
    </w:p>
    <w:p w14:paraId="1307F224">
      <w:pPr>
        <w:pStyle w:val="49"/>
        <w:spacing w:after="0" w:line="360" w:lineRule="auto"/>
        <w:ind w:firstLine="480" w:firstLineChars="200"/>
        <w:rPr>
          <w:rFonts w:asci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）、“腐败行为”是指在招标或合同执行期间，通过提供、给予、接受或索要任何有价值的东西，从而影响招标人有关人员工作的行为；</w:t>
      </w:r>
    </w:p>
    <w:p w14:paraId="32E0F96A">
      <w:pPr>
        <w:pStyle w:val="49"/>
        <w:spacing w:after="0" w:line="360" w:lineRule="auto"/>
        <w:ind w:firstLine="480" w:firstLineChars="200"/>
        <w:rPr>
          <w:rFonts w:asci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7BCD2308">
      <w:pPr>
        <w:pStyle w:val="49"/>
        <w:spacing w:after="0" w:line="360" w:lineRule="auto"/>
        <w:ind w:firstLine="480" w:firstLineChars="200"/>
        <w:rPr>
          <w:rFonts w:ascii="宋体" w:hAnsi="宋体"/>
          <w:color w:val="000000"/>
          <w:sz w:val="24"/>
          <w:highlight w:val="none"/>
        </w:rPr>
      </w:pPr>
      <w:r>
        <w:rPr>
          <w:rFonts w:ascii="宋体" w:hAnsi="宋体"/>
          <w:color w:val="000000"/>
          <w:sz w:val="24"/>
          <w:highlight w:val="none"/>
        </w:rPr>
        <w:t>32</w:t>
      </w:r>
      <w:r>
        <w:rPr>
          <w:rFonts w:hint="eastAsia" w:ascii="宋体" w:hAnsi="宋体"/>
          <w:color w:val="000000"/>
          <w:sz w:val="24"/>
          <w:highlight w:val="none"/>
        </w:rPr>
        <w:t>．</w:t>
      </w:r>
      <w:r>
        <w:rPr>
          <w:rFonts w:ascii="宋体" w:hAnsi="宋体"/>
          <w:color w:val="000000"/>
          <w:sz w:val="24"/>
          <w:highlight w:val="none"/>
        </w:rPr>
        <w:t>2</w:t>
      </w:r>
      <w:r>
        <w:rPr>
          <w:rFonts w:hint="eastAsia" w:ascii="宋体" w:hAnsi="宋体"/>
          <w:color w:val="000000"/>
          <w:sz w:val="24"/>
          <w:highlight w:val="none"/>
        </w:rPr>
        <w:t>如果投标人被认定在本招标的竞争中有腐败或欺诈行为，则会被取消投标资格。</w:t>
      </w:r>
    </w:p>
    <w:p w14:paraId="07C5EDB5">
      <w:pPr>
        <w:pStyle w:val="49"/>
        <w:spacing w:after="0" w:line="360" w:lineRule="auto"/>
        <w:ind w:firstLine="480" w:firstLineChars="200"/>
        <w:rPr>
          <w:rFonts w:ascii="宋体"/>
          <w:color w:val="000000"/>
          <w:sz w:val="24"/>
          <w:highlight w:val="none"/>
        </w:rPr>
      </w:pPr>
      <w:r>
        <w:rPr>
          <w:rFonts w:hint="eastAsia" w:ascii="宋体"/>
          <w:color w:val="000000"/>
          <w:sz w:val="24"/>
          <w:highlight w:val="none"/>
        </w:rPr>
        <w:t>32.3投标人如在本项目中存在串通投标、弄虚作假、行贿情形的，中标无效，行政监督部门将对其违法行为进行政处罚并通报。该投标人将被招标人列入黑名单并限制其参与招标人后续项目的投标。</w:t>
      </w:r>
    </w:p>
    <w:p w14:paraId="4F3CFFB6">
      <w:pPr>
        <w:spacing w:line="480" w:lineRule="auto"/>
        <w:ind w:firstLine="540" w:firstLineChars="224"/>
        <w:rPr>
          <w:rFonts w:ascii="宋体" w:hAnsi="宋体"/>
          <w:b/>
          <w:color w:val="000000"/>
          <w:sz w:val="24"/>
          <w:highlight w:val="none"/>
        </w:rPr>
      </w:pPr>
      <w:r>
        <w:rPr>
          <w:rFonts w:hint="eastAsia" w:ascii="宋体"/>
          <w:b/>
          <w:color w:val="000000"/>
          <w:sz w:val="24"/>
          <w:highlight w:val="none"/>
        </w:rPr>
        <w:t>33.</w:t>
      </w:r>
      <w:r>
        <w:rPr>
          <w:rFonts w:hint="eastAsia" w:ascii="宋体" w:hAnsi="宋体"/>
          <w:b/>
          <w:color w:val="000000"/>
          <w:sz w:val="24"/>
          <w:highlight w:val="none"/>
        </w:rPr>
        <w:t xml:space="preserve"> 投标人信誉的要求</w:t>
      </w:r>
    </w:p>
    <w:p w14:paraId="722AC37A">
      <w:pPr>
        <w:spacing w:line="480" w:lineRule="auto"/>
        <w:ind w:firstLine="537" w:firstLineChars="224"/>
        <w:rPr>
          <w:rFonts w:ascii="宋体" w:hAnsi="宋体"/>
          <w:color w:val="000000"/>
          <w:sz w:val="24"/>
          <w:highlight w:val="none"/>
        </w:rPr>
      </w:pPr>
      <w:r>
        <w:rPr>
          <w:rFonts w:hint="eastAsia" w:ascii="宋体" w:hAnsi="宋体"/>
          <w:color w:val="000000"/>
          <w:sz w:val="24"/>
          <w:highlight w:val="none"/>
        </w:rPr>
        <w:t>存在下列情形之一的，招标人可以限制其投标（需在招标文件中明确评定方法）</w:t>
      </w:r>
    </w:p>
    <w:p w14:paraId="6D9A21C5">
      <w:pPr>
        <w:spacing w:line="480" w:lineRule="auto"/>
        <w:ind w:firstLine="537" w:firstLineChars="224"/>
        <w:rPr>
          <w:rFonts w:ascii="宋体" w:hAnsi="宋体"/>
          <w:color w:val="000000"/>
          <w:sz w:val="24"/>
          <w:highlight w:val="none"/>
        </w:rPr>
      </w:pPr>
      <w:r>
        <w:rPr>
          <w:rFonts w:hint="eastAsia" w:ascii="宋体" w:hAnsi="宋体"/>
          <w:color w:val="000000"/>
          <w:sz w:val="24"/>
          <w:highlight w:val="none"/>
        </w:rPr>
        <w:t>（1）被住房城乡建设行政主管部门在全国建筑市场监管一体化工作平台列入建筑市场主体“黑名单”；</w:t>
      </w:r>
    </w:p>
    <w:p w14:paraId="4D0E658C">
      <w:pPr>
        <w:pStyle w:val="49"/>
        <w:spacing w:after="0" w:line="360" w:lineRule="auto"/>
        <w:ind w:firstLine="480" w:firstLineChars="200"/>
        <w:rPr>
          <w:rFonts w:ascii="宋体"/>
          <w:color w:val="000000"/>
          <w:sz w:val="21"/>
          <w:szCs w:val="21"/>
          <w:highlight w:val="none"/>
        </w:rPr>
      </w:pPr>
      <w:r>
        <w:rPr>
          <w:rFonts w:hint="eastAsia" w:ascii="宋体" w:hAnsi="宋体"/>
          <w:color w:val="000000"/>
          <w:sz w:val="24"/>
          <w:highlight w:val="none"/>
        </w:rPr>
        <w:t>（2）被发改委、人力资源社会保障、质检总局等有关部门、单位在“信用中国”网站中列入联合惩戒失信黑名单。</w:t>
      </w:r>
      <w:bookmarkEnd w:id="13"/>
      <w:bookmarkEnd w:id="14"/>
      <w:bookmarkEnd w:id="15"/>
    </w:p>
    <w:p w14:paraId="3C5A83C0">
      <w:pPr>
        <w:pStyle w:val="49"/>
        <w:spacing w:after="0" w:line="360" w:lineRule="auto"/>
        <w:ind w:firstLine="480" w:firstLineChars="200"/>
        <w:rPr>
          <w:rFonts w:ascii="宋体"/>
          <w:color w:val="000000"/>
          <w:sz w:val="24"/>
          <w:highlight w:val="none"/>
        </w:rPr>
      </w:pPr>
    </w:p>
    <w:p w14:paraId="777D390F">
      <w:pPr>
        <w:pStyle w:val="2"/>
        <w:jc w:val="center"/>
        <w:rPr>
          <w:color w:val="000000"/>
          <w:highlight w:val="none"/>
        </w:rPr>
      </w:pPr>
      <w:r>
        <w:rPr>
          <w:rFonts w:ascii="宋体"/>
          <w:color w:val="000000"/>
          <w:sz w:val="24"/>
          <w:highlight w:val="none"/>
        </w:rPr>
        <w:br w:type="page"/>
      </w:r>
      <w:bookmarkStart w:id="24" w:name="_Toc24045"/>
      <w:r>
        <w:rPr>
          <w:rFonts w:hint="eastAsia"/>
          <w:color w:val="000000"/>
          <w:highlight w:val="none"/>
        </w:rPr>
        <w:t>第二章开标、评标及定标办法</w:t>
      </w:r>
      <w:bookmarkEnd w:id="24"/>
    </w:p>
    <w:p w14:paraId="1A02EC43">
      <w:pPr>
        <w:pStyle w:val="3"/>
        <w:rPr>
          <w:highlight w:val="none"/>
        </w:rPr>
      </w:pPr>
      <w:bookmarkStart w:id="25" w:name="_Toc58188156"/>
      <w:bookmarkStart w:id="26" w:name="_Toc50391298"/>
      <w:bookmarkStart w:id="27" w:name="_Toc26651"/>
      <w:r>
        <w:rPr>
          <w:rFonts w:hint="eastAsia"/>
          <w:sz w:val="28"/>
          <w:szCs w:val="28"/>
          <w:highlight w:val="none"/>
        </w:rPr>
        <w:t>一、</w:t>
      </w:r>
      <w:r>
        <w:rPr>
          <w:rFonts w:hint="eastAsia"/>
          <w:highlight w:val="none"/>
        </w:rPr>
        <w:t>开标、评标及定标办法修改表</w:t>
      </w:r>
      <w:bookmarkEnd w:id="25"/>
      <w:bookmarkEnd w:id="26"/>
      <w:bookmarkEnd w:id="27"/>
    </w:p>
    <w:p w14:paraId="7D2E8AE5">
      <w:pPr>
        <w:pStyle w:val="49"/>
        <w:spacing w:after="0" w:line="360" w:lineRule="auto"/>
        <w:rPr>
          <w:rFonts w:ascii="宋体" w:hAnsi="宋体" w:cs="宋体"/>
          <w:b/>
          <w:szCs w:val="21"/>
          <w:highlight w:val="none"/>
        </w:rPr>
      </w:pPr>
      <w:r>
        <w:rPr>
          <w:rFonts w:hint="eastAsia" w:ascii="宋体" w:hAnsi="宋体" w:cs="宋体"/>
          <w:b/>
          <w:szCs w:val="21"/>
          <w:highlight w:val="none"/>
        </w:rPr>
        <w:t>声明：本开标、评标及定标办法使用GZZB2018-3招标文件范本的开标、评标及定标办法通用条款，与该通用条款不同之处，均在本表中列明，并以现文为准，原文不再有效。本招标文件中不再转录开标、评标及定标办法通用条款，请投标人自行到广州市住房和城乡建设局网站（网址：</w:t>
      </w:r>
      <w:r>
        <w:rPr>
          <w:highlight w:val="none"/>
        </w:rPr>
        <w:fldChar w:fldCharType="begin"/>
      </w:r>
      <w:r>
        <w:rPr>
          <w:highlight w:val="none"/>
        </w:rPr>
        <w:instrText xml:space="preserve"> HYPERLINK "http://www.gzcc.gov.cn/）下载GZZB2018-3" </w:instrText>
      </w:r>
      <w:r>
        <w:rPr>
          <w:highlight w:val="none"/>
        </w:rPr>
        <w:fldChar w:fldCharType="separate"/>
      </w:r>
      <w:r>
        <w:rPr>
          <w:rStyle w:val="59"/>
          <w:rFonts w:hint="eastAsia" w:ascii="宋体" w:hAnsi="宋体" w:cs="宋体"/>
          <w:b/>
          <w:szCs w:val="21"/>
          <w:highlight w:val="none"/>
        </w:rPr>
        <w:t>http://zfcj.gz.gov.cn/）下载GZZB2018-3</w:t>
      </w:r>
      <w:r>
        <w:rPr>
          <w:rStyle w:val="59"/>
          <w:rFonts w:hint="eastAsia" w:ascii="宋体" w:hAnsi="宋体" w:cs="宋体"/>
          <w:b/>
          <w:szCs w:val="21"/>
          <w:highlight w:val="none"/>
        </w:rPr>
        <w:fldChar w:fldCharType="end"/>
      </w:r>
      <w:r>
        <w:rPr>
          <w:rFonts w:hint="eastAsia" w:ascii="宋体" w:hAnsi="宋体" w:cs="宋体"/>
          <w:b/>
          <w:szCs w:val="21"/>
          <w:highlight w:val="none"/>
        </w:rPr>
        <w:t>范本查阅。</w:t>
      </w:r>
    </w:p>
    <w:p w14:paraId="7D937B1C">
      <w:pPr>
        <w:spacing w:line="360" w:lineRule="auto"/>
        <w:ind w:firstLine="472" w:firstLineChars="224"/>
        <w:rPr>
          <w:rFonts w:ascii="宋体" w:hAnsi="宋体" w:cs="宋体"/>
          <w:b/>
          <w:szCs w:val="21"/>
          <w:highlight w:val="none"/>
        </w:rPr>
      </w:pPr>
      <w:r>
        <w:rPr>
          <w:rFonts w:hint="eastAsia" w:ascii="宋体" w:hAnsi="宋体" w:cs="宋体"/>
          <w:b/>
          <w:szCs w:val="21"/>
          <w:highlight w:val="none"/>
        </w:rPr>
        <w:t>条款号：</w:t>
      </w:r>
      <w:r>
        <w:rPr>
          <w:rFonts w:hint="eastAsia" w:ascii="宋体" w:hAnsi="宋体" w:cs="宋体"/>
          <w:szCs w:val="21"/>
          <w:highlight w:val="none"/>
        </w:rPr>
        <w:t>36.1</w:t>
      </w:r>
      <w:r>
        <w:rPr>
          <w:rFonts w:hint="eastAsia" w:ascii="宋体" w:hAnsi="宋体" w:cs="宋体"/>
          <w:b/>
          <w:szCs w:val="21"/>
          <w:highlight w:val="none"/>
        </w:rPr>
        <w:t>修改类型：修改</w:t>
      </w:r>
    </w:p>
    <w:p w14:paraId="1DE6CE32">
      <w:pPr>
        <w:spacing w:line="360" w:lineRule="auto"/>
        <w:ind w:firstLine="472" w:firstLineChars="224"/>
        <w:rPr>
          <w:rFonts w:ascii="宋体" w:hAnsi="宋体" w:cs="宋体"/>
          <w:b/>
          <w:szCs w:val="21"/>
          <w:highlight w:val="none"/>
        </w:rPr>
      </w:pPr>
      <w:r>
        <w:rPr>
          <w:rFonts w:hint="eastAsia" w:ascii="宋体" w:hAnsi="宋体" w:cs="宋体"/>
          <w:b/>
          <w:szCs w:val="21"/>
          <w:highlight w:val="none"/>
        </w:rPr>
        <w:t>原文：</w:t>
      </w:r>
      <w:r>
        <w:rPr>
          <w:rFonts w:hint="eastAsia" w:ascii="宋体" w:hAnsi="宋体" w:cs="宋体"/>
          <w:szCs w:val="21"/>
          <w:highlight w:val="none"/>
        </w:rPr>
        <w:t>36.1 招标人按投标须知前附表第18项所规定的时间和地点公开开标，并邀请所有投标人参加。截标后，开标开始时间因故推迟的，相关评标信息仍以原定的开标开始时间的信息为准。</w:t>
      </w:r>
    </w:p>
    <w:p w14:paraId="3A8112BB">
      <w:pPr>
        <w:pBdr>
          <w:bottom w:val="single" w:color="auto" w:sz="6" w:space="1"/>
        </w:pBdr>
        <w:spacing w:line="360" w:lineRule="auto"/>
        <w:ind w:firstLine="422" w:firstLineChars="200"/>
        <w:rPr>
          <w:rFonts w:ascii="宋体" w:hAnsi="宋体" w:cs="宋体"/>
          <w:b/>
          <w:szCs w:val="21"/>
          <w:highlight w:val="none"/>
        </w:rPr>
      </w:pPr>
      <w:r>
        <w:rPr>
          <w:rFonts w:hint="eastAsia" w:ascii="宋体" w:hAnsi="宋体" w:cs="宋体"/>
          <w:b/>
          <w:szCs w:val="21"/>
          <w:highlight w:val="none"/>
        </w:rPr>
        <w:t>现文：</w:t>
      </w:r>
      <w:r>
        <w:rPr>
          <w:rFonts w:hint="eastAsia" w:ascii="宋体" w:hAnsi="宋体" w:cs="宋体"/>
          <w:szCs w:val="21"/>
          <w:highlight w:val="none"/>
        </w:rPr>
        <w:t>36.1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szCs w:val="21"/>
          <w:highlight w:val="none"/>
          <w:u w:val="single"/>
        </w:rPr>
        <w:t>若投标人不参加开标会的，其投标文件在开标现场的投标人或招标人代表、招标代理机构代表及交易中心代表见证下公开开启、解密、公布，并视同该投标人认可开标结果。</w:t>
      </w:r>
    </w:p>
    <w:p w14:paraId="04B85D1D">
      <w:pPr>
        <w:spacing w:line="360" w:lineRule="auto"/>
        <w:ind w:firstLine="472" w:firstLineChars="224"/>
        <w:rPr>
          <w:rFonts w:ascii="宋体" w:hAnsi="宋体" w:cs="宋体"/>
          <w:b/>
          <w:szCs w:val="21"/>
          <w:highlight w:val="none"/>
        </w:rPr>
      </w:pPr>
      <w:r>
        <w:rPr>
          <w:rFonts w:hint="eastAsia" w:ascii="宋体" w:hAnsi="宋体" w:cs="宋体"/>
          <w:b/>
          <w:szCs w:val="21"/>
          <w:highlight w:val="none"/>
        </w:rPr>
        <w:t>条款号：</w:t>
      </w:r>
      <w:r>
        <w:rPr>
          <w:rFonts w:hint="eastAsia" w:ascii="宋体" w:hAnsi="宋体" w:cs="宋体"/>
          <w:szCs w:val="21"/>
          <w:highlight w:val="none"/>
        </w:rPr>
        <w:t>36.3</w:t>
      </w:r>
      <w:r>
        <w:rPr>
          <w:rFonts w:hint="eastAsia" w:ascii="宋体" w:hAnsi="宋体" w:cs="宋体"/>
          <w:b/>
          <w:szCs w:val="21"/>
          <w:highlight w:val="none"/>
        </w:rPr>
        <w:t>修改类型：删除</w:t>
      </w:r>
    </w:p>
    <w:p w14:paraId="2FD8D875">
      <w:pPr>
        <w:spacing w:line="360" w:lineRule="auto"/>
        <w:ind w:firstLine="422" w:firstLineChars="200"/>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36.3根据投标须知前附表第19项，如需抽取某一种评标办法供评标时使用的，应在开标前抽取。首先对招标文件中约定的若干种评标方法进行编号，再随机抽取某一编号，该编号所对</w:t>
      </w:r>
    </w:p>
    <w:p w14:paraId="2CF4DFD0">
      <w:pPr>
        <w:pBdr>
          <w:bottom w:val="single" w:color="auto" w:sz="6" w:space="1"/>
        </w:pBdr>
        <w:spacing w:line="360" w:lineRule="auto"/>
        <w:rPr>
          <w:rFonts w:ascii="宋体" w:hAnsi="宋体" w:cs="宋体"/>
          <w:b/>
          <w:szCs w:val="21"/>
          <w:highlight w:val="none"/>
        </w:rPr>
      </w:pPr>
      <w:r>
        <w:rPr>
          <w:rFonts w:hint="eastAsia" w:ascii="宋体" w:hAnsi="宋体" w:cs="宋体"/>
          <w:szCs w:val="21"/>
          <w:highlight w:val="none"/>
        </w:rPr>
        <w:t>应的评标办法供评标时使用。</w:t>
      </w:r>
    </w:p>
    <w:p w14:paraId="493B0A33">
      <w:pPr>
        <w:spacing w:line="360" w:lineRule="auto"/>
        <w:ind w:firstLine="472" w:firstLineChars="224"/>
        <w:rPr>
          <w:rFonts w:ascii="宋体" w:hAnsi="宋体" w:cs="宋体"/>
          <w:b/>
          <w:szCs w:val="21"/>
          <w:highlight w:val="none"/>
        </w:rPr>
      </w:pPr>
      <w:r>
        <w:rPr>
          <w:rFonts w:hint="eastAsia" w:ascii="宋体" w:hAnsi="宋体" w:cs="宋体"/>
          <w:b/>
          <w:szCs w:val="21"/>
          <w:highlight w:val="none"/>
        </w:rPr>
        <w:t>条款号：36.4                修改类型：修改</w:t>
      </w:r>
    </w:p>
    <w:p w14:paraId="790325FC">
      <w:pPr>
        <w:spacing w:line="360" w:lineRule="auto"/>
        <w:ind w:firstLine="422" w:firstLineChars="200"/>
        <w:rPr>
          <w:rFonts w:ascii="宋体" w:hAnsi="宋体" w:cs="宋体"/>
          <w:bCs/>
          <w:szCs w:val="21"/>
          <w:highlight w:val="none"/>
        </w:rPr>
      </w:pPr>
      <w:r>
        <w:rPr>
          <w:rFonts w:hint="eastAsia" w:ascii="宋体" w:hAnsi="宋体" w:cs="宋体"/>
          <w:b/>
          <w:szCs w:val="21"/>
          <w:highlight w:val="none"/>
        </w:rPr>
        <w:t>原文：</w:t>
      </w:r>
      <w:r>
        <w:rPr>
          <w:rFonts w:hint="eastAsia" w:ascii="宋体" w:hAnsi="宋体" w:cs="宋体"/>
          <w:bCs/>
          <w:szCs w:val="21"/>
          <w:highlight w:val="none"/>
        </w:rPr>
        <w:t>36.4若递交投标文件的投标人不足3家，则重新组织招标。（当N个标段同时招标且不允许兼中时，若有效投标人不足N+2家，则重新组织招标）。</w:t>
      </w:r>
    </w:p>
    <w:p w14:paraId="08D51E20">
      <w:pPr>
        <w:pBdr>
          <w:bottom w:val="single" w:color="auto" w:sz="6" w:space="1"/>
        </w:pBdr>
        <w:spacing w:line="360" w:lineRule="auto"/>
        <w:ind w:firstLine="472" w:firstLineChars="224"/>
        <w:rPr>
          <w:rFonts w:ascii="宋体" w:hAnsi="宋体" w:cs="宋体"/>
          <w:bCs/>
          <w:szCs w:val="21"/>
          <w:highlight w:val="none"/>
        </w:rPr>
      </w:pPr>
      <w:r>
        <w:rPr>
          <w:rFonts w:hint="eastAsia" w:ascii="宋体" w:hAnsi="宋体" w:cs="宋体"/>
          <w:b/>
          <w:szCs w:val="21"/>
          <w:highlight w:val="none"/>
        </w:rPr>
        <w:t>现文：</w:t>
      </w:r>
      <w:r>
        <w:rPr>
          <w:rFonts w:hint="eastAsia" w:ascii="宋体" w:hAnsi="宋体" w:cs="宋体"/>
          <w:bCs/>
          <w:szCs w:val="21"/>
          <w:highlight w:val="none"/>
        </w:rPr>
        <w:t>36.4若递交投标文件的投标人不足3家，则重新组织招标。</w:t>
      </w:r>
    </w:p>
    <w:p w14:paraId="72F1628D">
      <w:pPr>
        <w:spacing w:line="360" w:lineRule="auto"/>
        <w:ind w:firstLine="472" w:firstLineChars="224"/>
        <w:rPr>
          <w:rFonts w:ascii="宋体" w:hAnsi="宋体" w:cs="宋体"/>
          <w:b/>
          <w:szCs w:val="21"/>
          <w:highlight w:val="none"/>
        </w:rPr>
      </w:pPr>
      <w:r>
        <w:rPr>
          <w:rFonts w:hint="eastAsia" w:ascii="宋体" w:hAnsi="宋体" w:cs="宋体"/>
          <w:b/>
          <w:szCs w:val="21"/>
          <w:highlight w:val="none"/>
        </w:rPr>
        <w:t>条款号：</w:t>
      </w:r>
      <w:r>
        <w:rPr>
          <w:rFonts w:hint="eastAsia" w:ascii="宋体" w:hAnsi="宋体" w:cs="宋体"/>
          <w:bCs/>
          <w:szCs w:val="21"/>
          <w:highlight w:val="none"/>
        </w:rPr>
        <w:t>36.5.1</w:t>
      </w:r>
      <w:r>
        <w:rPr>
          <w:rFonts w:hint="eastAsia" w:ascii="宋体" w:hAnsi="宋体" w:cs="宋体"/>
          <w:b/>
          <w:szCs w:val="21"/>
          <w:highlight w:val="none"/>
        </w:rPr>
        <w:t>修改类型：修改</w:t>
      </w:r>
    </w:p>
    <w:p w14:paraId="315EAC84">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原文：</w:t>
      </w:r>
      <w:r>
        <w:rPr>
          <w:rFonts w:hint="eastAsia" w:ascii="宋体" w:hAnsi="宋体" w:cs="宋体"/>
          <w:szCs w:val="21"/>
          <w:highlight w:val="none"/>
        </w:rPr>
        <w:t>36.5.1在投标截止时间后半小时内，投标人通过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14:paraId="180D1002">
      <w:pPr>
        <w:pBdr>
          <w:bottom w:val="single" w:color="auto" w:sz="6" w:space="1"/>
        </w:pBdr>
        <w:spacing w:line="360" w:lineRule="auto"/>
        <w:ind w:firstLine="527" w:firstLineChars="250"/>
        <w:rPr>
          <w:rFonts w:ascii="宋体" w:hAnsi="宋体" w:cs="宋体"/>
          <w:b/>
          <w:szCs w:val="21"/>
          <w:highlight w:val="none"/>
        </w:rPr>
      </w:pPr>
      <w:r>
        <w:rPr>
          <w:rFonts w:hint="eastAsia" w:ascii="宋体" w:hAnsi="宋体" w:cs="宋体"/>
          <w:b/>
          <w:szCs w:val="21"/>
          <w:highlight w:val="none"/>
        </w:rPr>
        <w:t>现文：</w:t>
      </w:r>
      <w:r>
        <w:rPr>
          <w:rFonts w:hint="eastAsia" w:ascii="宋体" w:hAnsi="宋体" w:cs="宋体"/>
          <w:szCs w:val="21"/>
          <w:highlight w:val="none"/>
        </w:rPr>
        <w:t>36.5.1在投标截止时间后半小时内，投标人通过</w:t>
      </w:r>
      <w:r>
        <w:rPr>
          <w:rFonts w:hint="eastAsia" w:ascii="宋体" w:hAnsi="宋体" w:cs="宋体"/>
          <w:szCs w:val="21"/>
          <w:highlight w:val="none"/>
          <w:u w:val="single"/>
        </w:rPr>
        <w:t>广州公共资源交易中心</w:t>
      </w:r>
      <w:r>
        <w:rPr>
          <w:rFonts w:hint="eastAsia" w:ascii="宋体" w:hAnsi="宋体" w:cs="宋体"/>
          <w:szCs w:val="21"/>
          <w:highlight w:val="none"/>
        </w:rPr>
        <w:t>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14:paraId="482BDE37">
      <w:pPr>
        <w:pStyle w:val="45"/>
        <w:spacing w:line="360" w:lineRule="auto"/>
        <w:ind w:left="840" w:firstLine="422" w:firstLineChars="200"/>
        <w:rPr>
          <w:rFonts w:cs="宋体"/>
          <w:b/>
          <w:bCs/>
          <w:sz w:val="21"/>
          <w:szCs w:val="21"/>
          <w:highlight w:val="none"/>
          <w:shd w:val="clear" w:color="auto" w:fill="FFFFFF"/>
        </w:rPr>
      </w:pPr>
      <w:r>
        <w:rPr>
          <w:rFonts w:hint="eastAsia" w:cs="宋体"/>
          <w:b/>
          <w:bCs/>
          <w:sz w:val="21"/>
          <w:szCs w:val="21"/>
          <w:highlight w:val="none"/>
          <w:shd w:val="clear" w:color="auto" w:fill="FFFFFF"/>
        </w:rPr>
        <w:t>条款号：39.3 修改类型：修改</w:t>
      </w:r>
    </w:p>
    <w:p w14:paraId="55F8B461">
      <w:pPr>
        <w:widowControl/>
        <w:spacing w:line="360" w:lineRule="auto"/>
        <w:ind w:firstLine="413" w:firstLineChars="196"/>
        <w:jc w:val="left"/>
        <w:rPr>
          <w:rFonts w:ascii="宋体" w:hAnsi="宋体" w:cs="宋体"/>
          <w:szCs w:val="21"/>
          <w:highlight w:val="none"/>
          <w:shd w:val="clear" w:color="auto" w:fill="FFFFFF"/>
        </w:rPr>
      </w:pPr>
      <w:r>
        <w:rPr>
          <w:rFonts w:hint="eastAsia" w:ascii="宋体" w:hAnsi="宋体" w:cs="宋体"/>
          <w:b/>
          <w:kern w:val="0"/>
          <w:szCs w:val="21"/>
          <w:highlight w:val="none"/>
          <w:shd w:val="clear" w:color="auto" w:fill="FFFFFF"/>
        </w:rPr>
        <w:t>原文：</w:t>
      </w:r>
      <w:r>
        <w:rPr>
          <w:rFonts w:hint="eastAsia" w:ascii="宋体" w:hAnsi="宋体" w:cs="宋体"/>
          <w:szCs w:val="21"/>
          <w:highlight w:val="none"/>
        </w:rPr>
        <w:t>排名第一的中标候选人放弃中标、或因不可抗力提出不能履行合同，或者招标文件规定应当提交履约担保而在规定的期限内未能提交的，招标人可以确定排名第二的中标候选人为中标人。</w:t>
      </w:r>
    </w:p>
    <w:p w14:paraId="412CC342">
      <w:pPr>
        <w:pBdr>
          <w:bottom w:val="single" w:color="auto" w:sz="6" w:space="1"/>
        </w:pBdr>
        <w:spacing w:line="360" w:lineRule="auto"/>
        <w:ind w:firstLine="422" w:firstLineChars="200"/>
        <w:rPr>
          <w:rFonts w:ascii="宋体" w:hAnsi="宋体" w:cs="宋体"/>
          <w:b/>
          <w:szCs w:val="21"/>
          <w:highlight w:val="none"/>
        </w:rPr>
      </w:pPr>
      <w:r>
        <w:rPr>
          <w:rFonts w:hint="eastAsia" w:ascii="宋体" w:hAnsi="宋体" w:cs="宋体"/>
          <w:b/>
          <w:szCs w:val="21"/>
          <w:highlight w:val="none"/>
          <w:shd w:val="clear" w:color="auto" w:fill="FFFFFF"/>
        </w:rPr>
        <w:t>现文：</w:t>
      </w:r>
      <w:r>
        <w:rPr>
          <w:rFonts w:hint="eastAsia" w:ascii="宋体" w:hAnsi="宋体" w:cs="宋体"/>
          <w:szCs w:val="21"/>
          <w:highlight w:val="none"/>
        </w:rPr>
        <w:t>排名第一的中标候选人放弃中标、或因不可抗力提出不能履行合同，或者招标文件规定应当提交履约担保而在规定的期限内未能提交的，</w:t>
      </w:r>
      <w:r>
        <w:rPr>
          <w:rFonts w:hint="eastAsia" w:ascii="宋体" w:hAnsi="宋体" w:cs="宋体"/>
          <w:b/>
          <w:bCs/>
          <w:szCs w:val="21"/>
          <w:highlight w:val="none"/>
          <w:u w:val="single"/>
          <w:shd w:val="clear" w:color="auto" w:fill="FFFFFF"/>
        </w:rPr>
        <w:t>或经核查发现委派的项目负责人已在其他在建项目中任职的，</w:t>
      </w:r>
      <w:r>
        <w:rPr>
          <w:rFonts w:hint="eastAsia" w:ascii="宋体" w:hAnsi="宋体" w:cs="宋体"/>
          <w:szCs w:val="21"/>
          <w:highlight w:val="none"/>
          <w:u w:val="single"/>
        </w:rPr>
        <w:t>招标人可以确定排名第二的中标候选人为中标人。</w:t>
      </w:r>
    </w:p>
    <w:p w14:paraId="6D4B8288">
      <w:pPr>
        <w:pStyle w:val="45"/>
        <w:spacing w:line="360" w:lineRule="auto"/>
        <w:ind w:firstLine="422" w:firstLineChars="200"/>
        <w:rPr>
          <w:rFonts w:cs="宋体"/>
          <w:b/>
          <w:bCs/>
          <w:sz w:val="21"/>
          <w:szCs w:val="21"/>
          <w:highlight w:val="none"/>
          <w:shd w:val="clear" w:color="auto" w:fill="FFFFFF"/>
        </w:rPr>
      </w:pPr>
      <w:r>
        <w:rPr>
          <w:rFonts w:hint="eastAsia" w:cs="宋体"/>
          <w:b/>
          <w:bCs/>
          <w:sz w:val="21"/>
          <w:szCs w:val="21"/>
          <w:highlight w:val="none"/>
          <w:shd w:val="clear" w:color="auto" w:fill="FFFFFF"/>
        </w:rPr>
        <w:t xml:space="preserve">条款号：（二）开标评标办法程序和细则      修改类型：删除 </w:t>
      </w:r>
    </w:p>
    <w:p w14:paraId="04DB8728">
      <w:pPr>
        <w:pBdr>
          <w:bottom w:val="single" w:color="auto" w:sz="6" w:space="1"/>
        </w:pBdr>
        <w:spacing w:line="360" w:lineRule="auto"/>
        <w:ind w:firstLine="422" w:firstLineChars="200"/>
        <w:rPr>
          <w:rFonts w:ascii="宋体" w:hAnsi="宋体" w:cs="宋体"/>
          <w:b/>
          <w:szCs w:val="21"/>
          <w:highlight w:val="none"/>
        </w:rPr>
      </w:pPr>
      <w:r>
        <w:rPr>
          <w:rFonts w:hint="eastAsia" w:ascii="宋体" w:hAnsi="宋体" w:cs="宋体"/>
          <w:b/>
          <w:bCs/>
          <w:szCs w:val="21"/>
          <w:highlight w:val="none"/>
          <w:shd w:val="clear" w:color="auto" w:fill="FFFFFF"/>
        </w:rPr>
        <w:t>原文：</w:t>
      </w:r>
      <w:r>
        <w:rPr>
          <w:rFonts w:hint="eastAsia" w:ascii="宋体" w:hAnsi="宋体" w:cs="宋体"/>
          <w:szCs w:val="21"/>
          <w:highlight w:val="none"/>
          <w:shd w:val="clear" w:color="auto" w:fill="FFFFFF"/>
        </w:rPr>
        <w:t>注：以下八种评标办法所述企业综合诚信评价分数即投标截止当日广州市住房和城乡建设局网站上公布的企业综合诚信评价60日诚信分。</w:t>
      </w:r>
    </w:p>
    <w:p w14:paraId="74DCC4CC">
      <w:pPr>
        <w:spacing w:line="360" w:lineRule="auto"/>
        <w:ind w:firstLine="472" w:firstLineChars="224"/>
        <w:rPr>
          <w:rFonts w:ascii="宋体" w:hAnsi="宋体" w:cs="宋体"/>
          <w:b/>
          <w:szCs w:val="21"/>
          <w:highlight w:val="none"/>
        </w:rPr>
      </w:pPr>
      <w:r>
        <w:rPr>
          <w:rFonts w:hint="eastAsia" w:ascii="宋体" w:hAnsi="宋体" w:cs="宋体"/>
          <w:b/>
          <w:szCs w:val="21"/>
          <w:highlight w:val="none"/>
        </w:rPr>
        <w:t>条款号： 评标办法        修改类型：删除</w:t>
      </w:r>
    </w:p>
    <w:p w14:paraId="5476B9F3">
      <w:pPr>
        <w:pBdr>
          <w:bottom w:val="single" w:color="auto" w:sz="6" w:space="1"/>
        </w:pBdr>
        <w:spacing w:line="360" w:lineRule="auto"/>
        <w:ind w:firstLine="527" w:firstLineChars="250"/>
        <w:rPr>
          <w:rStyle w:val="59"/>
          <w:rFonts w:ascii="宋体" w:hAnsi="宋体" w:cs="宋体"/>
          <w:color w:val="auto"/>
          <w:szCs w:val="21"/>
          <w:highlight w:val="none"/>
        </w:rPr>
      </w:pPr>
      <w:r>
        <w:rPr>
          <w:rFonts w:hint="eastAsia" w:ascii="宋体" w:hAnsi="宋体" w:cs="宋体"/>
          <w:b/>
          <w:szCs w:val="21"/>
          <w:highlight w:val="none"/>
        </w:rPr>
        <w:t>原文：</w:t>
      </w:r>
      <w:r>
        <w:rPr>
          <w:rStyle w:val="59"/>
          <w:rFonts w:hint="eastAsia" w:ascii="宋体" w:hAnsi="宋体" w:cs="宋体"/>
          <w:color w:val="auto"/>
          <w:szCs w:val="21"/>
          <w:highlight w:val="none"/>
        </w:rPr>
        <w:t>可选</w:t>
      </w:r>
      <w:r>
        <w:rPr>
          <w:rFonts w:hint="eastAsia" w:ascii="宋体" w:hAnsi="宋体" w:cs="宋体"/>
          <w:szCs w:val="21"/>
          <w:highlight w:val="none"/>
        </w:rPr>
        <w:t>办法</w:t>
      </w:r>
      <w:r>
        <w:rPr>
          <w:rStyle w:val="59"/>
          <w:rFonts w:hint="eastAsia" w:ascii="宋体" w:hAnsi="宋体" w:cs="宋体"/>
          <w:color w:val="auto"/>
          <w:szCs w:val="21"/>
          <w:highlight w:val="none"/>
        </w:rPr>
        <w:t>一（适合</w:t>
      </w:r>
      <w:r>
        <w:rPr>
          <w:rStyle w:val="59"/>
          <w:rFonts w:hint="eastAsia" w:ascii="宋体" w:hAnsi="宋体" w:cs="宋体"/>
          <w:color w:val="auto"/>
          <w:kern w:val="0"/>
          <w:szCs w:val="21"/>
          <w:highlight w:val="none"/>
        </w:rPr>
        <w:t>综合评分法一</w:t>
      </w:r>
      <w:r>
        <w:rPr>
          <w:rStyle w:val="59"/>
          <w:rFonts w:hint="eastAsia" w:ascii="宋体" w:hAnsi="宋体" w:cs="宋体"/>
          <w:color w:val="auto"/>
          <w:szCs w:val="21"/>
          <w:highlight w:val="none"/>
        </w:rPr>
        <w:t>，技术标与经济标先后分别开启）</w:t>
      </w:r>
    </w:p>
    <w:p w14:paraId="69C87239">
      <w:pPr>
        <w:pBdr>
          <w:bottom w:val="single" w:color="auto" w:sz="6" w:space="1"/>
        </w:pBdr>
        <w:spacing w:line="360" w:lineRule="auto"/>
        <w:ind w:firstLine="1155" w:firstLineChars="550"/>
        <w:rPr>
          <w:rStyle w:val="59"/>
          <w:rFonts w:ascii="宋体" w:hAnsi="宋体" w:cs="宋体"/>
          <w:color w:val="auto"/>
          <w:szCs w:val="21"/>
          <w:highlight w:val="none"/>
        </w:rPr>
      </w:pPr>
      <w:r>
        <w:rPr>
          <w:rStyle w:val="59"/>
          <w:rFonts w:hint="eastAsia" w:ascii="宋体" w:hAnsi="宋体" w:cs="宋体"/>
          <w:color w:val="auto"/>
          <w:szCs w:val="21"/>
          <w:highlight w:val="none"/>
        </w:rPr>
        <w:t>可选</w:t>
      </w:r>
      <w:r>
        <w:rPr>
          <w:rFonts w:hint="eastAsia" w:ascii="宋体" w:hAnsi="宋体" w:cs="宋体"/>
          <w:szCs w:val="21"/>
          <w:highlight w:val="none"/>
        </w:rPr>
        <w:t>办法</w:t>
      </w:r>
      <w:r>
        <w:rPr>
          <w:rStyle w:val="59"/>
          <w:rFonts w:hint="eastAsia" w:ascii="宋体" w:hAnsi="宋体" w:cs="宋体"/>
          <w:color w:val="auto"/>
          <w:szCs w:val="21"/>
          <w:highlight w:val="none"/>
        </w:rPr>
        <w:t>二（适合综合评分法一，技术标与经济标同时开启）</w:t>
      </w:r>
    </w:p>
    <w:p w14:paraId="49D2D178">
      <w:pPr>
        <w:pBdr>
          <w:bottom w:val="single" w:color="auto" w:sz="6" w:space="1"/>
        </w:pBdr>
        <w:spacing w:line="360" w:lineRule="auto"/>
        <w:ind w:firstLine="1155" w:firstLineChars="550"/>
        <w:rPr>
          <w:rStyle w:val="59"/>
          <w:rFonts w:ascii="宋体" w:hAnsi="宋体" w:cs="宋体"/>
          <w:color w:val="auto"/>
          <w:szCs w:val="21"/>
          <w:highlight w:val="none"/>
        </w:rPr>
      </w:pPr>
      <w:r>
        <w:rPr>
          <w:rStyle w:val="59"/>
          <w:rFonts w:hint="eastAsia" w:ascii="宋体" w:hAnsi="宋体" w:cs="宋体"/>
          <w:color w:val="auto"/>
          <w:szCs w:val="21"/>
          <w:highlight w:val="none"/>
        </w:rPr>
        <w:t>可选办法三（适合综合评分法二，技术标与经济标先后分别开启）</w:t>
      </w:r>
    </w:p>
    <w:p w14:paraId="37BABD7D">
      <w:pPr>
        <w:pBdr>
          <w:bottom w:val="single" w:color="auto" w:sz="6" w:space="1"/>
        </w:pBdr>
        <w:spacing w:line="360" w:lineRule="auto"/>
        <w:ind w:firstLine="1155" w:firstLineChars="550"/>
        <w:rPr>
          <w:rStyle w:val="59"/>
          <w:rFonts w:ascii="宋体" w:hAnsi="宋体" w:cs="宋体"/>
          <w:color w:val="auto"/>
          <w:szCs w:val="21"/>
          <w:highlight w:val="none"/>
        </w:rPr>
      </w:pPr>
      <w:r>
        <w:rPr>
          <w:rStyle w:val="59"/>
          <w:rFonts w:hint="eastAsia" w:ascii="宋体" w:hAnsi="宋体" w:cs="宋体"/>
          <w:color w:val="auto"/>
          <w:szCs w:val="21"/>
          <w:highlight w:val="none"/>
        </w:rPr>
        <w:t>可选办法四（适合综合评分法二，技术标与经济标同时开启）</w:t>
      </w:r>
    </w:p>
    <w:p w14:paraId="12043689">
      <w:pPr>
        <w:pBdr>
          <w:bottom w:val="single" w:color="auto" w:sz="6" w:space="1"/>
        </w:pBdr>
        <w:spacing w:line="360" w:lineRule="auto"/>
        <w:ind w:firstLine="1155" w:firstLineChars="550"/>
        <w:rPr>
          <w:rStyle w:val="59"/>
          <w:rFonts w:ascii="宋体" w:hAnsi="宋体" w:cs="宋体"/>
          <w:color w:val="auto"/>
          <w:szCs w:val="21"/>
          <w:highlight w:val="none"/>
        </w:rPr>
      </w:pPr>
      <w:r>
        <w:rPr>
          <w:rStyle w:val="59"/>
          <w:rFonts w:hint="eastAsia" w:ascii="宋体" w:hAnsi="宋体" w:cs="宋体"/>
          <w:color w:val="auto"/>
          <w:szCs w:val="21"/>
          <w:highlight w:val="none"/>
        </w:rPr>
        <w:t>可选办法五（适合综合评分法三，技术标与经济标先后分别开启）</w:t>
      </w:r>
    </w:p>
    <w:p w14:paraId="46ACDC3E">
      <w:pPr>
        <w:pBdr>
          <w:bottom w:val="single" w:color="auto" w:sz="6" w:space="1"/>
        </w:pBdr>
        <w:spacing w:line="360" w:lineRule="auto"/>
        <w:ind w:firstLine="1155" w:firstLineChars="550"/>
        <w:rPr>
          <w:rStyle w:val="59"/>
          <w:rFonts w:ascii="宋体" w:hAnsi="宋体" w:cs="宋体"/>
          <w:color w:val="auto"/>
          <w:szCs w:val="21"/>
          <w:highlight w:val="none"/>
        </w:rPr>
      </w:pPr>
      <w:r>
        <w:rPr>
          <w:rStyle w:val="59"/>
          <w:rFonts w:hint="eastAsia" w:ascii="宋体" w:hAnsi="宋体" w:cs="宋体"/>
          <w:color w:val="auto"/>
          <w:szCs w:val="21"/>
          <w:highlight w:val="none"/>
        </w:rPr>
        <w:t>可选办法六（适合综合评分法三，技术标与经济标同时开启）</w:t>
      </w:r>
    </w:p>
    <w:p w14:paraId="708A1262">
      <w:pPr>
        <w:pBdr>
          <w:bottom w:val="single" w:color="auto" w:sz="6" w:space="1"/>
        </w:pBdr>
        <w:spacing w:line="360" w:lineRule="auto"/>
        <w:ind w:firstLine="1155" w:firstLineChars="550"/>
        <w:rPr>
          <w:rFonts w:ascii="宋体" w:hAnsi="宋体" w:cs="宋体"/>
          <w:b/>
          <w:szCs w:val="21"/>
          <w:highlight w:val="none"/>
        </w:rPr>
      </w:pPr>
      <w:r>
        <w:rPr>
          <w:rStyle w:val="59"/>
          <w:rFonts w:hint="eastAsia" w:ascii="宋体" w:hAnsi="宋体" w:cs="宋体"/>
          <w:color w:val="auto"/>
          <w:szCs w:val="21"/>
          <w:highlight w:val="none"/>
        </w:rPr>
        <w:t>可选办法八（适合经评审的最低投标价法，技术标与经济标同时开启）</w:t>
      </w:r>
    </w:p>
    <w:p w14:paraId="7BF02DF6">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条款号： 41.1         修改类型：修改</w:t>
      </w:r>
    </w:p>
    <w:p w14:paraId="48203A04">
      <w:pPr>
        <w:pBdr>
          <w:bottom w:val="single" w:color="auto" w:sz="6" w:space="1"/>
        </w:pBdr>
        <w:spacing w:line="360" w:lineRule="auto"/>
        <w:ind w:firstLine="527" w:firstLineChars="250"/>
        <w:rPr>
          <w:rFonts w:ascii="宋体" w:hAnsi="宋体" w:cs="宋体"/>
          <w:b/>
          <w:szCs w:val="21"/>
          <w:highlight w:val="none"/>
        </w:rPr>
      </w:pPr>
      <w:r>
        <w:rPr>
          <w:rFonts w:hint="eastAsia" w:ascii="宋体" w:hAnsi="宋体" w:cs="宋体"/>
          <w:b/>
          <w:szCs w:val="21"/>
          <w:highlight w:val="none"/>
        </w:rPr>
        <w:t>原文：</w:t>
      </w:r>
      <w:r>
        <w:rPr>
          <w:rFonts w:hint="eastAsia" w:ascii="宋体" w:hAnsi="宋体" w:cs="宋体"/>
          <w:szCs w:val="21"/>
          <w:highlight w:val="none"/>
        </w:rPr>
        <w:t>41.1 开标由招标人主持；</w:t>
      </w:r>
    </w:p>
    <w:p w14:paraId="175E8AD7">
      <w:pPr>
        <w:pBdr>
          <w:bottom w:val="single" w:color="auto" w:sz="6" w:space="1"/>
        </w:pBdr>
        <w:spacing w:line="360" w:lineRule="auto"/>
        <w:ind w:firstLine="527" w:firstLineChars="250"/>
        <w:rPr>
          <w:rFonts w:ascii="宋体" w:hAnsi="宋体" w:cs="宋体"/>
          <w:b/>
          <w:szCs w:val="21"/>
          <w:highlight w:val="none"/>
        </w:rPr>
      </w:pPr>
      <w:r>
        <w:rPr>
          <w:rFonts w:hint="eastAsia" w:ascii="宋体" w:hAnsi="宋体" w:cs="宋体"/>
          <w:b/>
          <w:szCs w:val="21"/>
          <w:highlight w:val="none"/>
        </w:rPr>
        <w:t>现文：</w:t>
      </w:r>
      <w:r>
        <w:rPr>
          <w:rFonts w:hint="eastAsia" w:ascii="宋体" w:hAnsi="宋体" w:cs="宋体"/>
          <w:szCs w:val="21"/>
          <w:highlight w:val="none"/>
        </w:rPr>
        <w:t xml:space="preserve">41.1 </w:t>
      </w:r>
      <w:r>
        <w:rPr>
          <w:rFonts w:hint="eastAsia" w:ascii="宋体" w:hAnsi="宋体" w:cs="宋体"/>
          <w:szCs w:val="21"/>
          <w:highlight w:val="none"/>
          <w:u w:val="single"/>
        </w:rPr>
        <w:t>开标由招标人或招标代理主持；</w:t>
      </w:r>
    </w:p>
    <w:p w14:paraId="2101165A">
      <w:pPr>
        <w:spacing w:line="360" w:lineRule="auto"/>
        <w:ind w:firstLine="472" w:firstLineChars="224"/>
        <w:rPr>
          <w:rFonts w:ascii="宋体" w:hAnsi="宋体" w:cs="宋体"/>
          <w:b/>
          <w:szCs w:val="21"/>
          <w:highlight w:val="none"/>
        </w:rPr>
      </w:pPr>
      <w:r>
        <w:rPr>
          <w:rFonts w:hint="eastAsia" w:ascii="宋体" w:hAnsi="宋体" w:cs="宋体"/>
          <w:b/>
          <w:szCs w:val="21"/>
          <w:highlight w:val="none"/>
        </w:rPr>
        <w:t>条款号：41.2.1             修改类型：修改</w:t>
      </w:r>
    </w:p>
    <w:p w14:paraId="41C32FAB">
      <w:pPr>
        <w:spacing w:line="360" w:lineRule="auto"/>
        <w:ind w:firstLine="472" w:firstLineChars="224"/>
        <w:rPr>
          <w:rFonts w:ascii="宋体" w:hAnsi="宋体" w:cs="宋体"/>
          <w:b/>
          <w:szCs w:val="21"/>
          <w:highlight w:val="none"/>
        </w:rPr>
      </w:pPr>
      <w:r>
        <w:rPr>
          <w:rFonts w:hint="eastAsia" w:ascii="宋体" w:hAnsi="宋体" w:cs="宋体"/>
          <w:b/>
          <w:szCs w:val="21"/>
          <w:highlight w:val="none"/>
        </w:rPr>
        <w:t>原文：</w:t>
      </w:r>
      <w:r>
        <w:rPr>
          <w:rFonts w:hint="eastAsia" w:ascii="宋体" w:hAnsi="宋体" w:cs="宋体"/>
          <w:b/>
          <w:bCs/>
          <w:szCs w:val="21"/>
          <w:highlight w:val="none"/>
        </w:rPr>
        <w:t>41.2.1</w:t>
      </w:r>
      <w:r>
        <w:rPr>
          <w:rFonts w:hint="eastAsia" w:ascii="宋体" w:hAnsi="宋体" w:cs="宋体"/>
          <w:bCs/>
          <w:szCs w:val="21"/>
          <w:highlight w:val="none"/>
        </w:rPr>
        <w:t xml:space="preserve">投标截止期前，各投标人递交投标文件（包括技术标投标文件、经济标投标文件）至交易平台。有关投标文件提交的事项详见第一章投标须知。 </w:t>
      </w:r>
    </w:p>
    <w:p w14:paraId="78089D11">
      <w:pPr>
        <w:pBdr>
          <w:bottom w:val="single" w:color="auto" w:sz="6" w:space="1"/>
        </w:pBdr>
        <w:spacing w:line="360" w:lineRule="auto"/>
        <w:ind w:firstLine="527" w:firstLineChars="250"/>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b/>
          <w:bCs/>
          <w:szCs w:val="21"/>
          <w:highlight w:val="none"/>
        </w:rPr>
        <w:t>41.2.1</w:t>
      </w:r>
      <w:r>
        <w:rPr>
          <w:rFonts w:hint="eastAsia" w:ascii="宋体" w:hAnsi="宋体" w:cs="宋体"/>
          <w:bCs/>
          <w:szCs w:val="21"/>
          <w:highlight w:val="none"/>
        </w:rPr>
        <w:t>投标截止期前，各投标人递交投标文件（包括技术标投标文件、经济标投标文件）至</w:t>
      </w:r>
      <w:r>
        <w:rPr>
          <w:rFonts w:hint="eastAsia" w:ascii="宋体" w:hAnsi="宋体" w:cs="宋体"/>
          <w:bCs/>
          <w:szCs w:val="21"/>
          <w:highlight w:val="none"/>
          <w:u w:val="single"/>
        </w:rPr>
        <w:t>广州公共资源交易中心</w:t>
      </w:r>
      <w:r>
        <w:rPr>
          <w:rFonts w:hint="eastAsia" w:ascii="宋体" w:hAnsi="宋体" w:cs="宋体"/>
          <w:bCs/>
          <w:szCs w:val="21"/>
          <w:highlight w:val="none"/>
        </w:rPr>
        <w:t>交易平台。有关投标文件提交的事项详见第一章投标须知。</w:t>
      </w:r>
    </w:p>
    <w:p w14:paraId="7D7E8F3B">
      <w:pPr>
        <w:spacing w:line="360" w:lineRule="auto"/>
        <w:ind w:firstLine="472" w:firstLineChars="224"/>
        <w:rPr>
          <w:rFonts w:ascii="宋体" w:hAnsi="宋体" w:cs="宋体"/>
          <w:b/>
          <w:szCs w:val="21"/>
          <w:highlight w:val="none"/>
        </w:rPr>
      </w:pPr>
      <w:r>
        <w:rPr>
          <w:rFonts w:hint="eastAsia" w:ascii="宋体" w:hAnsi="宋体" w:cs="宋体"/>
          <w:b/>
          <w:szCs w:val="21"/>
          <w:highlight w:val="none"/>
        </w:rPr>
        <w:t>条款号：41.2.2                  修改类型：删除</w:t>
      </w:r>
    </w:p>
    <w:p w14:paraId="7B49C696">
      <w:pPr>
        <w:pBdr>
          <w:bottom w:val="single" w:color="auto" w:sz="6" w:space="1"/>
        </w:pBdr>
        <w:spacing w:line="360" w:lineRule="auto"/>
        <w:ind w:firstLine="527" w:firstLineChars="250"/>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41.2.2开标前，首先由招标人随机抽取确定该工程计算评标参考价的等分点值X。</w:t>
      </w:r>
    </w:p>
    <w:p w14:paraId="585467F2">
      <w:pPr>
        <w:spacing w:line="360" w:lineRule="auto"/>
        <w:ind w:firstLine="472" w:firstLineChars="224"/>
        <w:rPr>
          <w:rFonts w:ascii="宋体" w:hAnsi="宋体" w:cs="宋体"/>
          <w:b/>
          <w:szCs w:val="21"/>
          <w:highlight w:val="none"/>
        </w:rPr>
      </w:pPr>
      <w:r>
        <w:rPr>
          <w:rFonts w:hint="eastAsia" w:ascii="宋体" w:hAnsi="宋体" w:cs="宋体"/>
          <w:b/>
          <w:szCs w:val="21"/>
          <w:highlight w:val="none"/>
        </w:rPr>
        <w:t>条款号：42.2修改类型：修改</w:t>
      </w:r>
    </w:p>
    <w:p w14:paraId="392487B4">
      <w:pPr>
        <w:pStyle w:val="49"/>
        <w:tabs>
          <w:tab w:val="left" w:pos="7380"/>
        </w:tabs>
        <w:snapToGrid w:val="0"/>
        <w:spacing w:after="0" w:line="360" w:lineRule="auto"/>
        <w:ind w:firstLine="402" w:firstLineChars="200"/>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42.2评标委员会的组成：方式。</w:t>
      </w:r>
    </w:p>
    <w:p w14:paraId="4976E798">
      <w:pPr>
        <w:pStyle w:val="49"/>
        <w:tabs>
          <w:tab w:val="left" w:pos="7380"/>
        </w:tabs>
        <w:snapToGrid w:val="0"/>
        <w:spacing w:after="0" w:line="360" w:lineRule="auto"/>
        <w:ind w:firstLine="400" w:firstLineChars="200"/>
        <w:rPr>
          <w:rFonts w:ascii="宋体" w:hAnsi="宋体" w:cs="宋体"/>
          <w:szCs w:val="21"/>
          <w:highlight w:val="none"/>
        </w:rPr>
      </w:pPr>
      <w:r>
        <w:rPr>
          <w:rFonts w:hint="eastAsia" w:ascii="宋体" w:hAnsi="宋体" w:cs="宋体"/>
          <w:szCs w:val="21"/>
          <w:highlight w:val="none"/>
        </w:rPr>
        <w:t>方式一：评标委员会为综合评标委员会，负责资格审查及评标工作。</w:t>
      </w:r>
    </w:p>
    <w:p w14:paraId="719F9EF0">
      <w:pPr>
        <w:pStyle w:val="49"/>
        <w:tabs>
          <w:tab w:val="left" w:pos="7380"/>
        </w:tabs>
        <w:snapToGrid w:val="0"/>
        <w:spacing w:after="0" w:line="360" w:lineRule="auto"/>
        <w:ind w:firstLine="400" w:firstLineChars="200"/>
        <w:rPr>
          <w:rFonts w:ascii="宋体" w:hAnsi="宋体" w:cs="宋体"/>
          <w:szCs w:val="21"/>
          <w:highlight w:val="none"/>
        </w:rPr>
      </w:pPr>
      <w:r>
        <w:rPr>
          <w:rFonts w:hint="eastAsia" w:ascii="宋体" w:hAnsi="宋体" w:cs="宋体"/>
          <w:szCs w:val="21"/>
          <w:highlight w:val="none"/>
        </w:rPr>
        <w:t>方式二：评标委员会由技术评审组和经济评审组组成。其中：资格审查及技术评审由技术评标组负责，经济评审由经济评审组负责。</w:t>
      </w:r>
    </w:p>
    <w:p w14:paraId="13A14C89">
      <w:pPr>
        <w:pBdr>
          <w:bottom w:val="single" w:color="auto" w:sz="6" w:space="1"/>
        </w:pBdr>
        <w:spacing w:line="360" w:lineRule="auto"/>
        <w:ind w:firstLine="527" w:firstLineChars="250"/>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42.2评标委员会的组成：方式</w:t>
      </w:r>
      <w:r>
        <w:rPr>
          <w:rFonts w:hint="eastAsia" w:ascii="宋体" w:hAnsi="宋体" w:cs="宋体"/>
          <w:szCs w:val="21"/>
          <w:highlight w:val="none"/>
          <w:u w:val="single"/>
        </w:rPr>
        <w:t>一</w:t>
      </w:r>
      <w:r>
        <w:rPr>
          <w:rFonts w:hint="eastAsia" w:ascii="宋体" w:hAnsi="宋体" w:cs="宋体"/>
          <w:szCs w:val="21"/>
          <w:highlight w:val="none"/>
        </w:rPr>
        <w:t>。</w:t>
      </w:r>
    </w:p>
    <w:p w14:paraId="2E01D440">
      <w:pPr>
        <w:pBdr>
          <w:bottom w:val="single" w:color="auto" w:sz="6" w:space="1"/>
        </w:pBdr>
        <w:spacing w:line="360" w:lineRule="auto"/>
        <w:ind w:firstLine="525" w:firstLineChars="250"/>
        <w:rPr>
          <w:rFonts w:ascii="宋体" w:hAnsi="宋体" w:cs="宋体"/>
          <w:szCs w:val="21"/>
          <w:highlight w:val="none"/>
        </w:rPr>
      </w:pPr>
      <w:r>
        <w:rPr>
          <w:rFonts w:hint="eastAsia" w:ascii="宋体" w:hAnsi="宋体" w:cs="宋体"/>
          <w:szCs w:val="21"/>
          <w:highlight w:val="none"/>
        </w:rPr>
        <w:t>方式一：评标委员会为综合评标委员会，负责资格审查及评标工作。</w:t>
      </w:r>
    </w:p>
    <w:p w14:paraId="173862BC">
      <w:pPr>
        <w:spacing w:line="360" w:lineRule="auto"/>
        <w:ind w:firstLine="472" w:firstLineChars="224"/>
        <w:rPr>
          <w:rFonts w:ascii="宋体" w:hAnsi="宋体" w:cs="宋体"/>
          <w:b/>
          <w:szCs w:val="21"/>
          <w:highlight w:val="none"/>
        </w:rPr>
      </w:pPr>
      <w:r>
        <w:rPr>
          <w:rFonts w:hint="eastAsia" w:ascii="宋体" w:hAnsi="宋体" w:cs="宋体"/>
          <w:b/>
          <w:szCs w:val="21"/>
          <w:highlight w:val="none"/>
        </w:rPr>
        <w:t>条款号：43.6                          修改类型：修改</w:t>
      </w:r>
    </w:p>
    <w:p w14:paraId="693084B6">
      <w:pPr>
        <w:pBdr>
          <w:bottom w:val="single" w:color="auto" w:sz="6" w:space="1"/>
        </w:pBdr>
        <w:spacing w:line="360" w:lineRule="auto"/>
        <w:ind w:firstLine="472" w:firstLineChars="224"/>
        <w:rPr>
          <w:rFonts w:ascii="宋体" w:hAnsi="宋体" w:cs="宋体"/>
          <w:bCs/>
          <w:szCs w:val="21"/>
          <w:highlight w:val="none"/>
        </w:rPr>
      </w:pPr>
      <w:r>
        <w:rPr>
          <w:rFonts w:hint="eastAsia" w:ascii="宋体" w:hAnsi="宋体" w:cs="宋体"/>
          <w:b/>
          <w:szCs w:val="21"/>
          <w:highlight w:val="none"/>
        </w:rPr>
        <w:t>原文：</w:t>
      </w:r>
      <w:r>
        <w:rPr>
          <w:rFonts w:hint="eastAsia" w:ascii="宋体" w:hAnsi="宋体" w:cs="宋体"/>
          <w:bCs/>
          <w:szCs w:val="21"/>
          <w:highlight w:val="none"/>
        </w:rPr>
        <w:t>43.6资格审查合格的投标人少于3名的（当N个标段同时招标且不允许兼中时，资格审查合格的投标人少于N+2名），则本项目招标失败。</w:t>
      </w:r>
    </w:p>
    <w:p w14:paraId="05601FB9">
      <w:pPr>
        <w:pBdr>
          <w:bottom w:val="single" w:color="auto" w:sz="6" w:space="1"/>
        </w:pBdr>
        <w:spacing w:line="360" w:lineRule="auto"/>
        <w:ind w:firstLine="472" w:firstLineChars="224"/>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bCs/>
          <w:szCs w:val="21"/>
          <w:highlight w:val="none"/>
        </w:rPr>
        <w:t>43.6</w:t>
      </w:r>
      <w:r>
        <w:rPr>
          <w:rFonts w:hint="eastAsia" w:ascii="宋体" w:hAnsi="宋体" w:cs="宋体"/>
          <w:szCs w:val="21"/>
          <w:highlight w:val="none"/>
          <w:u w:val="single"/>
        </w:rPr>
        <w:t>资格审查合格的投标人少于3名的，则本项目招标失败</w:t>
      </w:r>
      <w:r>
        <w:rPr>
          <w:rFonts w:hint="eastAsia" w:ascii="宋体" w:hAnsi="宋体" w:cs="宋体"/>
          <w:szCs w:val="21"/>
          <w:highlight w:val="none"/>
        </w:rPr>
        <w:t>。</w:t>
      </w:r>
    </w:p>
    <w:p w14:paraId="53ADBB5F">
      <w:pPr>
        <w:spacing w:line="360" w:lineRule="auto"/>
        <w:ind w:firstLine="472" w:firstLineChars="224"/>
        <w:rPr>
          <w:rFonts w:ascii="宋体" w:hAnsi="宋体" w:cs="宋体"/>
          <w:b/>
          <w:szCs w:val="21"/>
          <w:highlight w:val="none"/>
        </w:rPr>
      </w:pPr>
      <w:r>
        <w:rPr>
          <w:rFonts w:hint="eastAsia" w:ascii="宋体" w:hAnsi="宋体" w:cs="宋体"/>
          <w:b/>
          <w:szCs w:val="21"/>
          <w:highlight w:val="none"/>
        </w:rPr>
        <w:t>条款号：45.1             修改类型：删除</w:t>
      </w:r>
    </w:p>
    <w:p w14:paraId="4AFA0A12">
      <w:pPr>
        <w:pBdr>
          <w:bottom w:val="single" w:color="auto" w:sz="6" w:space="1"/>
        </w:pBdr>
        <w:spacing w:line="360" w:lineRule="auto"/>
        <w:ind w:firstLine="527" w:firstLineChars="250"/>
        <w:rPr>
          <w:rFonts w:ascii="宋体" w:hAnsi="宋体"/>
          <w:szCs w:val="21"/>
          <w:highlight w:val="none"/>
        </w:rPr>
      </w:pPr>
      <w:r>
        <w:rPr>
          <w:rFonts w:hint="eastAsia" w:ascii="宋体" w:hAnsi="宋体" w:cs="宋体"/>
          <w:b/>
          <w:szCs w:val="21"/>
          <w:highlight w:val="none"/>
        </w:rPr>
        <w:t>原文：45.1</w:t>
      </w:r>
      <w:r>
        <w:rPr>
          <w:rFonts w:hint="eastAsia" w:ascii="宋体" w:hAnsi="宋体" w:cs="宋体"/>
          <w:bCs/>
          <w:szCs w:val="21"/>
          <w:highlight w:val="none"/>
        </w:rPr>
        <w:t>若通过技术标有效性审查的投标人中有投标报价均大于等于最高投标限价的（具体金额为：元），则本项目招标失败，由招标人依法重新招标</w:t>
      </w:r>
      <w:r>
        <w:rPr>
          <w:rFonts w:hint="eastAsia" w:ascii="宋体" w:hAnsi="宋体"/>
          <w:szCs w:val="21"/>
          <w:highlight w:val="none"/>
        </w:rPr>
        <w:t>。</w:t>
      </w:r>
    </w:p>
    <w:p w14:paraId="75613737">
      <w:pPr>
        <w:spacing w:line="360" w:lineRule="auto"/>
        <w:ind w:firstLine="472" w:firstLineChars="224"/>
        <w:rPr>
          <w:rFonts w:ascii="宋体" w:hAnsi="宋体" w:cs="宋体"/>
          <w:b/>
          <w:szCs w:val="21"/>
          <w:highlight w:val="none"/>
        </w:rPr>
      </w:pPr>
      <w:r>
        <w:rPr>
          <w:rFonts w:hint="eastAsia" w:ascii="宋体" w:hAnsi="宋体" w:cs="宋体"/>
          <w:b/>
          <w:szCs w:val="21"/>
          <w:highlight w:val="none"/>
        </w:rPr>
        <w:t>条款号：45.2              修改类型：修改</w:t>
      </w:r>
    </w:p>
    <w:p w14:paraId="2D9041A7">
      <w:pPr>
        <w:widowControl/>
        <w:spacing w:line="360" w:lineRule="auto"/>
        <w:ind w:firstLine="422" w:firstLineChars="200"/>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45.2按方法计算评标参考价：</w:t>
      </w:r>
    </w:p>
    <w:p w14:paraId="12336323">
      <w:pPr>
        <w:widowControl/>
        <w:spacing w:line="360" w:lineRule="auto"/>
        <w:ind w:firstLine="422" w:firstLineChars="200"/>
        <w:rPr>
          <w:rFonts w:ascii="宋体" w:hAnsi="宋体" w:cs="宋体"/>
          <w:b/>
          <w:bCs/>
          <w:kern w:val="0"/>
          <w:szCs w:val="21"/>
          <w:highlight w:val="none"/>
        </w:rPr>
      </w:pPr>
      <w:r>
        <w:rPr>
          <w:rFonts w:hint="eastAsia" w:ascii="宋体" w:hAnsi="宋体" w:cs="宋体"/>
          <w:b/>
          <w:szCs w:val="21"/>
          <w:highlight w:val="none"/>
        </w:rPr>
        <w:t>方法一：加权平均法</w:t>
      </w:r>
    </w:p>
    <w:p w14:paraId="586EE36C">
      <w:pPr>
        <w:spacing w:line="360" w:lineRule="auto"/>
        <w:ind w:firstLine="420" w:firstLineChars="200"/>
        <w:rPr>
          <w:rFonts w:ascii="宋体" w:hAnsi="宋体" w:cs="宋体"/>
          <w:szCs w:val="21"/>
          <w:highlight w:val="none"/>
        </w:rPr>
      </w:pPr>
      <w:r>
        <w:rPr>
          <w:rFonts w:hint="eastAsia" w:ascii="宋体" w:hAnsi="宋体" w:cs="宋体"/>
          <w:szCs w:val="21"/>
          <w:highlight w:val="none"/>
        </w:rPr>
        <w:t>技术标或技术标加诚信得分（具体由招标人自定）前N名（N≥5，具体由招标人自定）的经济报价加权平均，计算评标参考价。公式如下：</w:t>
      </w:r>
    </w:p>
    <w:p w14:paraId="3117786F">
      <w:pPr>
        <w:spacing w:line="360" w:lineRule="auto"/>
        <w:ind w:firstLine="420" w:firstLineChars="200"/>
        <w:rPr>
          <w:rFonts w:ascii="宋体" w:hAnsi="宋体" w:cs="宋体"/>
          <w:szCs w:val="21"/>
          <w:highlight w:val="none"/>
        </w:rPr>
      </w:pPr>
      <w:r>
        <w:rPr>
          <w:rFonts w:hint="eastAsia" w:ascii="宋体" w:hAnsi="宋体" w:cs="宋体"/>
          <w:szCs w:val="21"/>
          <w:highlight w:val="none"/>
        </w:rPr>
        <w:t>评标参考价=Σ（投标人的投标报价*报价权重）。</w:t>
      </w:r>
    </w:p>
    <w:p w14:paraId="6C73F7C3">
      <w:pPr>
        <w:spacing w:line="360" w:lineRule="auto"/>
        <w:ind w:firstLine="420" w:firstLineChars="200"/>
        <w:rPr>
          <w:rFonts w:ascii="宋体" w:hAnsi="宋体" w:cs="宋体"/>
          <w:szCs w:val="21"/>
          <w:highlight w:val="none"/>
        </w:rPr>
      </w:pPr>
      <w:r>
        <w:rPr>
          <w:rFonts w:hint="eastAsia" w:ascii="宋体" w:hAnsi="宋体" w:cs="宋体"/>
          <w:szCs w:val="21"/>
          <w:highlight w:val="none"/>
        </w:rPr>
        <w:t>其中：报价权重的计算方法为：将N名投标人按技术分由高至低进行排序，第一名投标人的权重为（</w:t>
      </w:r>
      <w:r>
        <w:rPr>
          <w:rFonts w:hint="eastAsia" w:ascii="宋体" w:hAnsi="宋体" w:cs="宋体"/>
          <w:szCs w:val="21"/>
          <w:highlight w:val="none"/>
        </w:rPr>
        <w:fldChar w:fldCharType="begin"/>
      </w:r>
      <w:r>
        <w:rPr>
          <w:rFonts w:hint="eastAsia" w:ascii="宋体" w:hAnsi="宋体" w:cs="宋体"/>
          <w:szCs w:val="21"/>
          <w:highlight w:val="none"/>
        </w:rPr>
        <w:instrText xml:space="preserve"> QUOTE </w:instrText>
      </w:r>
      <w:r>
        <w:rPr>
          <w:rFonts w:ascii="宋体" w:hAnsi="宋体" w:cs="宋体"/>
          <w:szCs w:val="21"/>
          <w:highlight w:val="none"/>
        </w:rPr>
        <w:drawing>
          <wp:inline distT="0" distB="0" distL="114300" distR="114300">
            <wp:extent cx="381000" cy="449580"/>
            <wp:effectExtent l="0" t="0" r="0"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16">
                      <a:clrChange>
                        <a:clrFrom>
                          <a:srgbClr val="FFFFFF"/>
                        </a:clrFrom>
                        <a:clrTo>
                          <a:srgbClr val="FFFFFF">
                            <a:alpha val="0"/>
                          </a:srgbClr>
                        </a:clrTo>
                      </a:clrChange>
                    </a:blip>
                    <a:stretch>
                      <a:fillRect/>
                    </a:stretch>
                  </pic:blipFill>
                  <pic:spPr>
                    <a:xfrm>
                      <a:off x="0" y="0"/>
                      <a:ext cx="381000" cy="449580"/>
                    </a:xfrm>
                    <a:prstGeom prst="rect">
                      <a:avLst/>
                    </a:prstGeom>
                    <a:noFill/>
                    <a:ln>
                      <a:noFill/>
                    </a:ln>
                  </pic:spPr>
                </pic:pic>
              </a:graphicData>
            </a:graphic>
          </wp:inline>
        </w:drawing>
      </w:r>
      <w:r>
        <w:rPr>
          <w:rFonts w:ascii="宋体" w:hAnsi="宋体" w:cs="宋体"/>
          <w:szCs w:val="21"/>
          <w:highlight w:val="none"/>
        </w:rPr>
        <w:instrText xml:space="preserve"> \* MERGEFORMAT </w:instrText>
      </w:r>
      <w:r>
        <w:rPr>
          <w:rFonts w:hint="eastAsia" w:ascii="宋体" w:hAnsi="宋体" w:cs="宋体"/>
          <w:szCs w:val="21"/>
          <w:highlight w:val="none"/>
        </w:rPr>
        <w:fldChar w:fldCharType="separate"/>
      </w:r>
      <w:r>
        <w:rPr>
          <w:rFonts w:ascii="宋体" w:hAnsi="宋体" w:cs="宋体"/>
          <w:szCs w:val="21"/>
          <w:highlight w:val="none"/>
        </w:rPr>
        <w:drawing>
          <wp:inline distT="0" distB="0" distL="114300" distR="114300">
            <wp:extent cx="381000" cy="449580"/>
            <wp:effectExtent l="0" t="0" r="0" b="762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16">
                      <a:clrChange>
                        <a:clrFrom>
                          <a:srgbClr val="FFFFFF"/>
                        </a:clrFrom>
                        <a:clrTo>
                          <a:srgbClr val="FFFFFF">
                            <a:alpha val="0"/>
                          </a:srgbClr>
                        </a:clrTo>
                      </a:clrChange>
                    </a:blip>
                    <a:stretch>
                      <a:fillRect/>
                    </a:stretch>
                  </pic:blipFill>
                  <pic:spPr>
                    <a:xfrm>
                      <a:off x="0" y="0"/>
                      <a:ext cx="381000" cy="449580"/>
                    </a:xfrm>
                    <a:prstGeom prst="rect">
                      <a:avLst/>
                    </a:prstGeom>
                    <a:noFill/>
                    <a:ln>
                      <a:noFill/>
                    </a:ln>
                  </pic:spPr>
                </pic:pic>
              </a:graphicData>
            </a:graphic>
          </wp:inline>
        </w:drawing>
      </w:r>
      <w:r>
        <w:rPr>
          <w:rFonts w:hint="eastAsia" w:ascii="宋体" w:hAnsi="宋体" w:cs="宋体"/>
          <w:szCs w:val="21"/>
          <w:highlight w:val="none"/>
        </w:rPr>
        <w:fldChar w:fldCharType="end"/>
      </w:r>
      <w:r>
        <w:rPr>
          <w:rFonts w:hint="eastAsia" w:ascii="宋体" w:hAnsi="宋体" w:cs="宋体"/>
          <w:szCs w:val="21"/>
          <w:highlight w:val="none"/>
        </w:rPr>
        <w:t>），第二名投标人的权重为（</w:t>
      </w:r>
      <w:r>
        <w:rPr>
          <w:rFonts w:hint="eastAsia" w:ascii="宋体" w:hAnsi="宋体" w:cs="宋体"/>
          <w:szCs w:val="21"/>
          <w:highlight w:val="none"/>
        </w:rPr>
        <w:fldChar w:fldCharType="begin"/>
      </w:r>
      <w:r>
        <w:rPr>
          <w:rFonts w:hint="eastAsia" w:ascii="宋体" w:hAnsi="宋体" w:cs="宋体"/>
          <w:szCs w:val="21"/>
          <w:highlight w:val="none"/>
        </w:rPr>
        <w:instrText xml:space="preserve"> QUOTE </w:instrText>
      </w:r>
      <w:r>
        <w:rPr>
          <w:rFonts w:ascii="宋体" w:hAnsi="宋体" w:cs="宋体"/>
          <w:szCs w:val="21"/>
          <w:highlight w:val="none"/>
        </w:rPr>
        <w:drawing>
          <wp:inline distT="0" distB="0" distL="114300" distR="114300">
            <wp:extent cx="320040" cy="403860"/>
            <wp:effectExtent l="0" t="0" r="0" b="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17">
                      <a:clrChange>
                        <a:clrFrom>
                          <a:srgbClr val="FFFFFF"/>
                        </a:clrFrom>
                        <a:clrTo>
                          <a:srgbClr val="FFFFFF">
                            <a:alpha val="0"/>
                          </a:srgbClr>
                        </a:clrTo>
                      </a:clrChange>
                    </a:blip>
                    <a:stretch>
                      <a:fillRect/>
                    </a:stretch>
                  </pic:blipFill>
                  <pic:spPr>
                    <a:xfrm>
                      <a:off x="0" y="0"/>
                      <a:ext cx="320040" cy="403860"/>
                    </a:xfrm>
                    <a:prstGeom prst="rect">
                      <a:avLst/>
                    </a:prstGeom>
                    <a:noFill/>
                    <a:ln>
                      <a:noFill/>
                    </a:ln>
                  </pic:spPr>
                </pic:pic>
              </a:graphicData>
            </a:graphic>
          </wp:inline>
        </w:drawing>
      </w:r>
      <w:r>
        <w:rPr>
          <w:rFonts w:ascii="宋体" w:hAnsi="宋体" w:cs="宋体"/>
          <w:szCs w:val="21"/>
          <w:highlight w:val="none"/>
        </w:rPr>
        <w:instrText xml:space="preserve"> \* MERGEFORMAT </w:instrText>
      </w:r>
      <w:r>
        <w:rPr>
          <w:rFonts w:hint="eastAsia" w:ascii="宋体" w:hAnsi="宋体" w:cs="宋体"/>
          <w:szCs w:val="21"/>
          <w:highlight w:val="none"/>
        </w:rPr>
        <w:fldChar w:fldCharType="separate"/>
      </w:r>
      <w:r>
        <w:rPr>
          <w:rFonts w:ascii="宋体" w:hAnsi="宋体" w:cs="宋体"/>
          <w:szCs w:val="21"/>
          <w:highlight w:val="none"/>
        </w:rPr>
        <w:drawing>
          <wp:inline distT="0" distB="0" distL="114300" distR="114300">
            <wp:extent cx="320040" cy="403860"/>
            <wp:effectExtent l="0" t="0" r="3810" b="1524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7">
                      <a:clrChange>
                        <a:clrFrom>
                          <a:srgbClr val="FFFFFF"/>
                        </a:clrFrom>
                        <a:clrTo>
                          <a:srgbClr val="FFFFFF">
                            <a:alpha val="0"/>
                          </a:srgbClr>
                        </a:clrTo>
                      </a:clrChange>
                    </a:blip>
                    <a:stretch>
                      <a:fillRect/>
                    </a:stretch>
                  </pic:blipFill>
                  <pic:spPr>
                    <a:xfrm>
                      <a:off x="0" y="0"/>
                      <a:ext cx="320040" cy="403860"/>
                    </a:xfrm>
                    <a:prstGeom prst="rect">
                      <a:avLst/>
                    </a:prstGeom>
                    <a:noFill/>
                    <a:ln>
                      <a:noFill/>
                    </a:ln>
                  </pic:spPr>
                </pic:pic>
              </a:graphicData>
            </a:graphic>
          </wp:inline>
        </w:drawing>
      </w:r>
      <w:r>
        <w:rPr>
          <w:rFonts w:hint="eastAsia" w:ascii="宋体" w:hAnsi="宋体" w:cs="宋体"/>
          <w:szCs w:val="21"/>
          <w:highlight w:val="none"/>
        </w:rPr>
        <w:fldChar w:fldCharType="end"/>
      </w:r>
      <w:r>
        <w:rPr>
          <w:rFonts w:hint="eastAsia" w:ascii="宋体" w:hAnsi="宋体" w:cs="宋体"/>
          <w:szCs w:val="21"/>
          <w:highlight w:val="none"/>
        </w:rPr>
        <w:t>），以此类推，最后一名投标人的权重为（</w:t>
      </w:r>
      <w:r>
        <w:rPr>
          <w:rFonts w:hint="eastAsia" w:ascii="宋体" w:hAnsi="宋体" w:cs="宋体"/>
          <w:szCs w:val="21"/>
          <w:highlight w:val="none"/>
        </w:rPr>
        <w:fldChar w:fldCharType="begin"/>
      </w:r>
      <w:r>
        <w:rPr>
          <w:rFonts w:hint="eastAsia" w:ascii="宋体" w:hAnsi="宋体" w:cs="宋体"/>
          <w:szCs w:val="21"/>
          <w:highlight w:val="none"/>
        </w:rPr>
        <w:instrText xml:space="preserve"> QUOTE </w:instrText>
      </w:r>
      <w:r>
        <w:rPr>
          <w:rFonts w:ascii="宋体" w:hAnsi="宋体" w:cs="宋体"/>
          <w:szCs w:val="21"/>
          <w:highlight w:val="none"/>
        </w:rPr>
        <w:drawing>
          <wp:inline distT="0" distB="0" distL="114300" distR="114300">
            <wp:extent cx="320040" cy="403860"/>
            <wp:effectExtent l="0" t="0" r="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320040" cy="403860"/>
                    </a:xfrm>
                    <a:prstGeom prst="rect">
                      <a:avLst/>
                    </a:prstGeom>
                    <a:noFill/>
                    <a:ln>
                      <a:noFill/>
                    </a:ln>
                  </pic:spPr>
                </pic:pic>
              </a:graphicData>
            </a:graphic>
          </wp:inline>
        </w:drawing>
      </w:r>
      <w:r>
        <w:rPr>
          <w:rFonts w:ascii="宋体" w:hAnsi="宋体" w:cs="宋体"/>
          <w:szCs w:val="21"/>
          <w:highlight w:val="none"/>
        </w:rPr>
        <w:instrText xml:space="preserve"> \* MERGEFORMAT </w:instrText>
      </w:r>
      <w:r>
        <w:rPr>
          <w:rFonts w:hint="eastAsia" w:ascii="宋体" w:hAnsi="宋体" w:cs="宋体"/>
          <w:szCs w:val="21"/>
          <w:highlight w:val="none"/>
        </w:rPr>
        <w:fldChar w:fldCharType="separate"/>
      </w:r>
      <w:r>
        <w:rPr>
          <w:rFonts w:ascii="宋体" w:hAnsi="宋体" w:cs="宋体"/>
          <w:szCs w:val="21"/>
          <w:highlight w:val="none"/>
        </w:rPr>
        <w:drawing>
          <wp:inline distT="0" distB="0" distL="114300" distR="114300">
            <wp:extent cx="320040" cy="403860"/>
            <wp:effectExtent l="0" t="0" r="3810" b="15875"/>
            <wp:docPr id="3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6"/>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320040" cy="403860"/>
                    </a:xfrm>
                    <a:prstGeom prst="rect">
                      <a:avLst/>
                    </a:prstGeom>
                    <a:noFill/>
                    <a:ln>
                      <a:noFill/>
                    </a:ln>
                  </pic:spPr>
                </pic:pic>
              </a:graphicData>
            </a:graphic>
          </wp:inline>
        </w:drawing>
      </w:r>
      <w:r>
        <w:rPr>
          <w:rFonts w:hint="eastAsia" w:ascii="宋体" w:hAnsi="宋体" w:cs="宋体"/>
          <w:szCs w:val="21"/>
          <w:highlight w:val="none"/>
        </w:rPr>
        <w:fldChar w:fldCharType="end"/>
      </w:r>
      <w:r>
        <w:rPr>
          <w:rFonts w:hint="eastAsia" w:ascii="宋体" w:hAnsi="宋体" w:cs="宋体"/>
          <w:szCs w:val="21"/>
          <w:highlight w:val="none"/>
        </w:rPr>
        <w:t>）。</w:t>
      </w:r>
    </w:p>
    <w:p w14:paraId="37F4F1F2">
      <w:pPr>
        <w:widowControl/>
        <w:spacing w:line="360" w:lineRule="auto"/>
        <w:ind w:firstLine="422" w:firstLineChars="200"/>
        <w:rPr>
          <w:rFonts w:ascii="宋体" w:hAnsi="宋体" w:cs="宋体"/>
          <w:b/>
          <w:bCs/>
          <w:kern w:val="0"/>
          <w:szCs w:val="21"/>
          <w:highlight w:val="none"/>
        </w:rPr>
      </w:pPr>
      <w:r>
        <w:rPr>
          <w:rFonts w:hint="eastAsia" w:ascii="宋体" w:hAnsi="宋体" w:cs="宋体"/>
          <w:b/>
          <w:bCs/>
          <w:kern w:val="0"/>
          <w:szCs w:val="21"/>
          <w:highlight w:val="none"/>
        </w:rPr>
        <w:t>方法二：区间抽取法</w:t>
      </w:r>
    </w:p>
    <w:p w14:paraId="4AF29F5D">
      <w:pPr>
        <w:widowControl/>
        <w:snapToGrid w:val="0"/>
        <w:spacing w:line="360" w:lineRule="auto"/>
        <w:ind w:firstLine="420" w:firstLineChars="200"/>
        <w:rPr>
          <w:rFonts w:ascii="宋体" w:hAnsi="宋体" w:cs="宋体"/>
          <w:kern w:val="0"/>
          <w:szCs w:val="21"/>
          <w:highlight w:val="none"/>
        </w:rPr>
      </w:pPr>
      <w:r>
        <w:rPr>
          <w:rFonts w:hint="eastAsia" w:ascii="宋体" w:hAnsi="宋体" w:cs="宋体"/>
          <w:szCs w:val="21"/>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58D89371">
      <w:pPr>
        <w:widowControl/>
        <w:snapToGrid w:val="0"/>
        <w:spacing w:line="360" w:lineRule="auto"/>
        <w:ind w:firstLine="420" w:firstLineChars="200"/>
        <w:rPr>
          <w:rFonts w:ascii="宋体" w:hAnsi="宋体" w:cs="宋体"/>
          <w:kern w:val="0"/>
          <w:szCs w:val="21"/>
          <w:highlight w:val="none"/>
          <w:vertAlign w:val="subscript"/>
        </w:rPr>
      </w:pPr>
      <w:r>
        <w:rPr>
          <w:rFonts w:hint="eastAsia" w:ascii="宋体" w:hAnsi="宋体" w:cs="宋体"/>
          <w:kern w:val="0"/>
          <w:szCs w:val="21"/>
          <w:highlight w:val="none"/>
        </w:rPr>
        <w:t>评标参考价=（Q</w:t>
      </w:r>
      <w:r>
        <w:rPr>
          <w:rFonts w:hint="eastAsia" w:ascii="宋体" w:hAnsi="宋体" w:cs="宋体"/>
          <w:kern w:val="0"/>
          <w:szCs w:val="21"/>
          <w:highlight w:val="none"/>
          <w:vertAlign w:val="subscript"/>
        </w:rPr>
        <w:t>高</w:t>
      </w:r>
      <w:r>
        <w:rPr>
          <w:rFonts w:hint="eastAsia" w:ascii="宋体" w:hAnsi="宋体" w:cs="宋体"/>
          <w:kern w:val="0"/>
          <w:szCs w:val="21"/>
          <w:highlight w:val="none"/>
        </w:rPr>
        <w:t>-Q</w:t>
      </w:r>
      <w:r>
        <w:rPr>
          <w:rFonts w:hint="eastAsia" w:ascii="宋体" w:hAnsi="宋体" w:cs="宋体"/>
          <w:kern w:val="0"/>
          <w:szCs w:val="21"/>
          <w:highlight w:val="none"/>
          <w:vertAlign w:val="subscript"/>
        </w:rPr>
        <w:t>低</w:t>
      </w:r>
      <w:r>
        <w:rPr>
          <w:rFonts w:hint="eastAsia" w:ascii="宋体" w:hAnsi="宋体" w:cs="宋体"/>
          <w:kern w:val="0"/>
          <w:szCs w:val="21"/>
          <w:highlight w:val="none"/>
        </w:rPr>
        <w:t>）/100*Ｘ+Q</w:t>
      </w:r>
      <w:r>
        <w:rPr>
          <w:rFonts w:hint="eastAsia" w:ascii="宋体" w:hAnsi="宋体" w:cs="宋体"/>
          <w:kern w:val="0"/>
          <w:szCs w:val="21"/>
          <w:highlight w:val="none"/>
          <w:vertAlign w:val="subscript"/>
        </w:rPr>
        <w:t>低</w:t>
      </w:r>
    </w:p>
    <w:p w14:paraId="079D3C08">
      <w:pPr>
        <w:widowControl/>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Q</w:t>
      </w:r>
      <w:r>
        <w:rPr>
          <w:rFonts w:hint="eastAsia" w:ascii="宋体" w:hAnsi="宋体" w:cs="宋体"/>
          <w:szCs w:val="21"/>
          <w:highlight w:val="none"/>
          <w:vertAlign w:val="subscript"/>
        </w:rPr>
        <w:t>低</w:t>
      </w:r>
      <w:r>
        <w:rPr>
          <w:rFonts w:hint="eastAsia" w:ascii="宋体" w:hAnsi="宋体" w:cs="宋体"/>
          <w:szCs w:val="21"/>
          <w:highlight w:val="none"/>
        </w:rPr>
        <w:t>：为达到或超过技术标及格分数线的投标人最低报价与工程成本警示价两者中的较高值；</w:t>
      </w:r>
    </w:p>
    <w:p w14:paraId="3614BA8D">
      <w:pPr>
        <w:spacing w:line="360" w:lineRule="auto"/>
        <w:ind w:firstLine="420" w:firstLineChars="200"/>
        <w:rPr>
          <w:rFonts w:ascii="宋体" w:hAnsi="宋体" w:cs="宋体"/>
          <w:szCs w:val="21"/>
          <w:highlight w:val="none"/>
        </w:rPr>
      </w:pPr>
      <w:r>
        <w:rPr>
          <w:rFonts w:hint="eastAsia" w:ascii="宋体" w:hAnsi="宋体" w:cs="宋体"/>
          <w:kern w:val="0"/>
          <w:szCs w:val="21"/>
          <w:highlight w:val="none"/>
        </w:rPr>
        <w:t>Q</w:t>
      </w:r>
      <w:r>
        <w:rPr>
          <w:rFonts w:hint="eastAsia" w:ascii="宋体" w:hAnsi="宋体" w:cs="宋体"/>
          <w:kern w:val="0"/>
          <w:szCs w:val="21"/>
          <w:highlight w:val="none"/>
          <w:vertAlign w:val="subscript"/>
        </w:rPr>
        <w:t>高</w:t>
      </w:r>
      <w:r>
        <w:rPr>
          <w:rFonts w:hint="eastAsia" w:ascii="宋体" w:hAnsi="宋体" w:cs="宋体"/>
          <w:szCs w:val="21"/>
          <w:highlight w:val="none"/>
        </w:rPr>
        <w:t>：为（最高投标限价*D%）（D的取值范围为[94,100],由招标人自定）</w:t>
      </w:r>
    </w:p>
    <w:p w14:paraId="54457D2D">
      <w:pPr>
        <w:spacing w:line="360" w:lineRule="auto"/>
        <w:ind w:firstLine="420" w:firstLineChars="200"/>
        <w:rPr>
          <w:rFonts w:ascii="宋体" w:hAnsi="宋体" w:cs="宋体"/>
          <w:szCs w:val="21"/>
          <w:highlight w:val="none"/>
        </w:rPr>
      </w:pPr>
      <w:r>
        <w:rPr>
          <w:rFonts w:hint="eastAsia" w:ascii="宋体" w:hAnsi="宋体" w:cs="宋体"/>
          <w:szCs w:val="21"/>
          <w:highlight w:val="none"/>
        </w:rPr>
        <w:t>X:为等分点值，从[0,100]整数中随机抽取。</w:t>
      </w:r>
    </w:p>
    <w:p w14:paraId="08E00BE8">
      <w:pPr>
        <w:widowControl/>
        <w:spacing w:line="360" w:lineRule="auto"/>
        <w:ind w:firstLine="422" w:firstLineChars="200"/>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45.2按方法</w:t>
      </w:r>
      <w:r>
        <w:rPr>
          <w:rFonts w:hint="eastAsia" w:ascii="宋体" w:hAnsi="宋体" w:cs="宋体"/>
          <w:szCs w:val="21"/>
          <w:highlight w:val="none"/>
          <w:u w:val="single"/>
        </w:rPr>
        <w:t>一</w:t>
      </w:r>
      <w:r>
        <w:rPr>
          <w:rFonts w:hint="eastAsia" w:ascii="宋体" w:hAnsi="宋体" w:cs="宋体"/>
          <w:szCs w:val="21"/>
          <w:highlight w:val="none"/>
        </w:rPr>
        <w:t>计算评标参考价：</w:t>
      </w:r>
    </w:p>
    <w:p w14:paraId="16356D9E">
      <w:pPr>
        <w:widowControl/>
        <w:spacing w:line="360" w:lineRule="auto"/>
        <w:ind w:firstLine="422" w:firstLineChars="200"/>
        <w:rPr>
          <w:rFonts w:ascii="宋体" w:hAnsi="宋体" w:cs="宋体"/>
          <w:b/>
          <w:bCs/>
          <w:kern w:val="0"/>
          <w:szCs w:val="21"/>
          <w:highlight w:val="none"/>
        </w:rPr>
      </w:pPr>
      <w:r>
        <w:rPr>
          <w:rFonts w:hint="eastAsia" w:ascii="宋体" w:hAnsi="宋体" w:cs="宋体"/>
          <w:b/>
          <w:bCs/>
          <w:kern w:val="0"/>
          <w:szCs w:val="21"/>
          <w:highlight w:val="none"/>
        </w:rPr>
        <w:t>方法一：加权平均法</w:t>
      </w:r>
    </w:p>
    <w:p w14:paraId="1ABB11EE">
      <w:pPr>
        <w:pBdr>
          <w:bottom w:val="single" w:color="auto" w:sz="6" w:space="1"/>
        </w:pBdr>
        <w:spacing w:line="360" w:lineRule="auto"/>
        <w:ind w:firstLine="525" w:firstLineChars="250"/>
        <w:rPr>
          <w:rFonts w:ascii="宋体" w:hAnsi="宋体"/>
          <w:szCs w:val="21"/>
          <w:highlight w:val="none"/>
        </w:rPr>
      </w:pPr>
      <w:r>
        <w:rPr>
          <w:rStyle w:val="66"/>
          <w:rFonts w:hint="eastAsia" w:ascii="宋体" w:hAnsi="宋体"/>
          <w:color w:val="auto"/>
          <w:highlight w:val="none"/>
        </w:rPr>
        <w:t>技术标得分前</w:t>
      </w:r>
      <w:r>
        <w:rPr>
          <w:rStyle w:val="66"/>
          <w:rFonts w:ascii="宋体" w:hAnsi="宋体"/>
          <w:color w:val="auto"/>
          <w:highlight w:val="none"/>
        </w:rPr>
        <w:t>N名（若通过技术标有效性审查的家数大于等于5家时，N=5；若小于5家时，N=通过技术标有效性审查的家数；技术标得分相同的，以投标报价低的排前；技术标得分与投标报价均相同的投标人，由评标委员会采用记名投票方式，确定投标人的排序，投票方式确定排序的具体操作步骤为：由评标会对出现该情况的投标人进行编号，然后通过投票方式依次确定投标人的排序。）的经济报价加权平均，计算评标参考价。</w:t>
      </w:r>
      <w:r>
        <w:rPr>
          <w:rFonts w:hint="eastAsia" w:ascii="宋体" w:hAnsi="宋体"/>
          <w:szCs w:val="21"/>
          <w:highlight w:val="none"/>
        </w:rPr>
        <w:t>公式如下：</w:t>
      </w:r>
    </w:p>
    <w:p w14:paraId="15AB8E89">
      <w:pPr>
        <w:pBdr>
          <w:bottom w:val="single" w:color="auto" w:sz="6" w:space="1"/>
        </w:pBdr>
        <w:spacing w:line="360" w:lineRule="auto"/>
        <w:ind w:firstLine="525" w:firstLineChars="250"/>
        <w:rPr>
          <w:rFonts w:ascii="宋体" w:hAnsi="宋体"/>
          <w:szCs w:val="21"/>
          <w:highlight w:val="none"/>
        </w:rPr>
      </w:pPr>
      <w:r>
        <w:rPr>
          <w:rFonts w:hint="eastAsia" w:ascii="宋体" w:hAnsi="宋体"/>
          <w:szCs w:val="21"/>
          <w:highlight w:val="none"/>
        </w:rPr>
        <w:t>评标参考价=Σ（投标人的投标报价×报价权重）。</w:t>
      </w:r>
    </w:p>
    <w:p w14:paraId="7187E4A6">
      <w:pPr>
        <w:pBdr>
          <w:bottom w:val="single" w:color="auto" w:sz="6" w:space="1"/>
        </w:pBdr>
        <w:spacing w:line="360" w:lineRule="auto"/>
        <w:ind w:firstLine="525" w:firstLineChars="250"/>
        <w:rPr>
          <w:rFonts w:ascii="宋体" w:hAnsi="宋体"/>
          <w:szCs w:val="21"/>
          <w:highlight w:val="none"/>
        </w:rPr>
      </w:pPr>
      <w:r>
        <w:rPr>
          <w:rFonts w:hint="eastAsia" w:ascii="宋体" w:hAnsi="宋体"/>
          <w:szCs w:val="21"/>
          <w:highlight w:val="none"/>
        </w:rPr>
        <w:t>其中：报价权重的计算方法为：将</w:t>
      </w:r>
      <w:r>
        <w:rPr>
          <w:rFonts w:ascii="宋体" w:hAnsi="宋体"/>
          <w:szCs w:val="21"/>
          <w:highlight w:val="none"/>
        </w:rPr>
        <w:t>N</w:t>
      </w:r>
      <w:r>
        <w:rPr>
          <w:rFonts w:hint="eastAsia" w:ascii="宋体" w:hAnsi="宋体"/>
          <w:szCs w:val="21"/>
          <w:highlight w:val="none"/>
        </w:rPr>
        <w:t>名投标人按技术分由高至低进行排序，第一名投标人的权重为（</w:t>
      </w:r>
      <w:r>
        <w:rPr>
          <w:rFonts w:ascii="宋体" w:hAnsi="宋体"/>
          <w:szCs w:val="21"/>
          <w:highlight w:val="none"/>
        </w:rPr>
        <w:fldChar w:fldCharType="begin"/>
      </w:r>
      <w:r>
        <w:rPr>
          <w:rFonts w:ascii="宋体" w:hAnsi="宋体"/>
          <w:szCs w:val="21"/>
          <w:highlight w:val="none"/>
        </w:rPr>
        <w:instrText xml:space="preserve"> QUOTE </w:instrText>
      </w:r>
      <w:r>
        <w:rPr>
          <w:rFonts w:ascii="宋体" w:hAnsi="宋体"/>
          <w:szCs w:val="21"/>
          <w:highlight w:val="none"/>
        </w:rPr>
        <w:drawing>
          <wp:inline distT="0" distB="0" distL="114300" distR="114300">
            <wp:extent cx="381000" cy="447675"/>
            <wp:effectExtent l="0" t="0" r="0" b="0"/>
            <wp:docPr id="3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7"/>
                    <pic:cNvPicPr>
                      <a:picLocks noChangeAspect="1"/>
                    </pic:cNvPicPr>
                  </pic:nvPicPr>
                  <pic:blipFill>
                    <a:blip r:embed="rId16">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ascii="宋体" w:hAnsi="宋体"/>
          <w:szCs w:val="21"/>
          <w:highlight w:val="none"/>
        </w:rPr>
        <w:instrText xml:space="preserve"> \* MERGEFORMAT </w:instrText>
      </w:r>
      <w:r>
        <w:rPr>
          <w:rFonts w:ascii="宋体" w:hAnsi="宋体"/>
          <w:szCs w:val="21"/>
          <w:highlight w:val="none"/>
        </w:rPr>
        <w:fldChar w:fldCharType="separate"/>
      </w:r>
      <w:r>
        <w:rPr>
          <w:rFonts w:ascii="宋体" w:hAnsi="宋体"/>
          <w:szCs w:val="21"/>
          <w:highlight w:val="none"/>
        </w:rPr>
        <w:drawing>
          <wp:inline distT="0" distB="0" distL="114300" distR="114300">
            <wp:extent cx="381000" cy="447675"/>
            <wp:effectExtent l="0" t="0" r="0" b="8890"/>
            <wp:docPr id="3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8"/>
                    <pic:cNvPicPr>
                      <a:picLocks noChangeAspect="1"/>
                    </pic:cNvPicPr>
                  </pic:nvPicPr>
                  <pic:blipFill>
                    <a:blip r:embed="rId16">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ascii="宋体" w:hAnsi="宋体"/>
          <w:szCs w:val="21"/>
          <w:highlight w:val="none"/>
        </w:rPr>
        <w:fldChar w:fldCharType="end"/>
      </w:r>
      <w:r>
        <w:rPr>
          <w:rFonts w:hint="eastAsia" w:ascii="宋体" w:hAnsi="宋体"/>
          <w:szCs w:val="21"/>
          <w:highlight w:val="none"/>
        </w:rPr>
        <w:t>），第二名投标人的权重为（</w:t>
      </w:r>
      <w:r>
        <w:rPr>
          <w:rFonts w:ascii="宋体" w:hAnsi="宋体"/>
          <w:szCs w:val="21"/>
          <w:highlight w:val="none"/>
        </w:rPr>
        <w:fldChar w:fldCharType="begin"/>
      </w:r>
      <w:r>
        <w:rPr>
          <w:rFonts w:ascii="宋体" w:hAnsi="宋体"/>
          <w:szCs w:val="21"/>
          <w:highlight w:val="none"/>
        </w:rPr>
        <w:instrText xml:space="preserve"> QUOTE </w:instrText>
      </w:r>
      <w:r>
        <w:rPr>
          <w:rFonts w:ascii="宋体" w:hAnsi="宋体"/>
          <w:szCs w:val="21"/>
          <w:highlight w:val="none"/>
        </w:rPr>
        <w:drawing>
          <wp:inline distT="0" distB="0" distL="114300" distR="114300">
            <wp:extent cx="323850" cy="400050"/>
            <wp:effectExtent l="0" t="0" r="0" b="0"/>
            <wp:docPr id="4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9"/>
                    <pic:cNvPicPr>
                      <a:picLocks noChangeAspect="1"/>
                    </pic:cNvPicPr>
                  </pic:nvPicPr>
                  <pic:blipFill>
                    <a:blip r:embed="rId17">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szCs w:val="21"/>
          <w:highlight w:val="none"/>
        </w:rPr>
        <w:instrText xml:space="preserve"> \* MERGEFORMAT </w:instrText>
      </w:r>
      <w:r>
        <w:rPr>
          <w:rFonts w:ascii="宋体" w:hAnsi="宋体"/>
          <w:szCs w:val="21"/>
          <w:highlight w:val="none"/>
        </w:rPr>
        <w:fldChar w:fldCharType="separate"/>
      </w:r>
      <w:r>
        <w:rPr>
          <w:rFonts w:ascii="宋体" w:hAnsi="宋体"/>
          <w:szCs w:val="21"/>
          <w:highlight w:val="none"/>
        </w:rPr>
        <w:drawing>
          <wp:inline distT="0" distB="0" distL="114300" distR="114300">
            <wp:extent cx="323850" cy="400050"/>
            <wp:effectExtent l="0" t="0" r="0" b="0"/>
            <wp:docPr id="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pic:cNvPicPr>
                  </pic:nvPicPr>
                  <pic:blipFill>
                    <a:blip r:embed="rId17">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szCs w:val="21"/>
          <w:highlight w:val="none"/>
        </w:rPr>
        <w:fldChar w:fldCharType="end"/>
      </w:r>
      <w:r>
        <w:rPr>
          <w:rFonts w:hint="eastAsia" w:ascii="宋体" w:hAnsi="宋体"/>
          <w:szCs w:val="21"/>
          <w:highlight w:val="none"/>
        </w:rPr>
        <w:t>），以此类推，最后一名投标人的权重为（</w:t>
      </w:r>
      <w:r>
        <w:rPr>
          <w:rFonts w:ascii="宋体" w:hAnsi="宋体"/>
          <w:szCs w:val="21"/>
          <w:highlight w:val="none"/>
        </w:rPr>
        <w:fldChar w:fldCharType="begin"/>
      </w:r>
      <w:r>
        <w:rPr>
          <w:rFonts w:ascii="宋体" w:hAnsi="宋体"/>
          <w:szCs w:val="21"/>
          <w:highlight w:val="none"/>
        </w:rPr>
        <w:instrText xml:space="preserve"> QUOTE </w:instrText>
      </w:r>
      <w:r>
        <w:rPr>
          <w:rFonts w:ascii="宋体" w:hAnsi="宋体"/>
          <w:szCs w:val="21"/>
          <w:highlight w:val="none"/>
        </w:rPr>
        <w:drawing>
          <wp:inline distT="0" distB="0" distL="114300" distR="114300">
            <wp:extent cx="323850" cy="400050"/>
            <wp:effectExtent l="0" t="0" r="0" b="0"/>
            <wp:docPr id="4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1"/>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szCs w:val="21"/>
          <w:highlight w:val="none"/>
        </w:rPr>
        <w:instrText xml:space="preserve"> \* MERGEFORMAT </w:instrText>
      </w:r>
      <w:r>
        <w:rPr>
          <w:rFonts w:ascii="宋体" w:hAnsi="宋体"/>
          <w:szCs w:val="21"/>
          <w:highlight w:val="none"/>
        </w:rPr>
        <w:fldChar w:fldCharType="separate"/>
      </w:r>
      <w:r>
        <w:rPr>
          <w:rFonts w:ascii="宋体" w:hAnsi="宋体"/>
          <w:szCs w:val="21"/>
          <w:highlight w:val="none"/>
        </w:rPr>
        <w:drawing>
          <wp:inline distT="0" distB="0" distL="114300" distR="114300">
            <wp:extent cx="323850" cy="400050"/>
            <wp:effectExtent l="0" t="0" r="0" b="0"/>
            <wp:docPr id="4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2"/>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szCs w:val="21"/>
          <w:highlight w:val="none"/>
        </w:rPr>
        <w:fldChar w:fldCharType="end"/>
      </w:r>
      <w:r>
        <w:rPr>
          <w:rFonts w:hint="eastAsia" w:ascii="宋体" w:hAnsi="宋体"/>
          <w:szCs w:val="21"/>
          <w:highlight w:val="none"/>
        </w:rPr>
        <w:t>）。</w:t>
      </w:r>
    </w:p>
    <w:p w14:paraId="055BAE11">
      <w:pPr>
        <w:rPr>
          <w:rFonts w:ascii="宋体" w:hAnsi="宋体"/>
          <w:szCs w:val="21"/>
          <w:highlight w:val="none"/>
        </w:rPr>
      </w:pPr>
    </w:p>
    <w:p w14:paraId="29317C19">
      <w:pPr>
        <w:spacing w:line="360" w:lineRule="auto"/>
        <w:ind w:firstLine="422" w:firstLineChars="200"/>
        <w:rPr>
          <w:rFonts w:ascii="宋体" w:hAnsi="宋体" w:cs="仿宋"/>
          <w:b/>
          <w:bCs/>
          <w:szCs w:val="21"/>
          <w:highlight w:val="none"/>
        </w:rPr>
      </w:pPr>
      <w:r>
        <w:rPr>
          <w:rFonts w:hint="eastAsia" w:ascii="宋体" w:hAnsi="宋体" w:cs="仿宋"/>
          <w:b/>
          <w:bCs/>
          <w:szCs w:val="21"/>
          <w:highlight w:val="none"/>
        </w:rPr>
        <w:t xml:space="preserve">条款号：45.3                        </w:t>
      </w:r>
      <w:r>
        <w:rPr>
          <w:rFonts w:hint="eastAsia" w:ascii="宋体" w:hAnsi="宋体"/>
          <w:b/>
          <w:szCs w:val="21"/>
          <w:highlight w:val="none"/>
        </w:rPr>
        <w:t>修改类型：修改</w:t>
      </w:r>
    </w:p>
    <w:p w14:paraId="6A728E37">
      <w:pPr>
        <w:pBdr>
          <w:bottom w:val="single" w:color="auto" w:sz="6" w:space="1"/>
        </w:pBdr>
        <w:spacing w:line="360" w:lineRule="auto"/>
        <w:ind w:firstLine="422" w:firstLineChars="200"/>
        <w:rPr>
          <w:rFonts w:ascii="宋体" w:hAnsi="宋体"/>
          <w:szCs w:val="21"/>
          <w:highlight w:val="none"/>
        </w:rPr>
      </w:pPr>
      <w:r>
        <w:rPr>
          <w:rFonts w:hint="eastAsia" w:ascii="宋体" w:hAnsi="宋体"/>
          <w:b/>
          <w:bCs/>
          <w:szCs w:val="21"/>
          <w:highlight w:val="none"/>
        </w:rPr>
        <w:t>原文：</w:t>
      </w:r>
      <w:r>
        <w:rPr>
          <w:rFonts w:hint="eastAsia" w:ascii="宋体" w:hAnsi="宋体"/>
          <w:szCs w:val="21"/>
          <w:highlight w:val="none"/>
        </w:rPr>
        <w:t>45.3当标价等于评标参考价时得100分，标价每高于评标参考价1%，扣1.5分，每低于评标参考价1%，扣1分，扣至0分为止，得出经济分，精确到小数点后两位。</w:t>
      </w:r>
    </w:p>
    <w:p w14:paraId="47C6CA98">
      <w:pPr>
        <w:pBdr>
          <w:bottom w:val="single" w:color="auto" w:sz="6" w:space="1"/>
        </w:pBdr>
        <w:spacing w:line="360" w:lineRule="auto"/>
        <w:ind w:firstLine="422" w:firstLineChars="200"/>
        <w:rPr>
          <w:rFonts w:ascii="宋体" w:hAnsi="宋体"/>
          <w:spacing w:val="2"/>
          <w:highlight w:val="none"/>
        </w:rPr>
      </w:pPr>
      <w:r>
        <w:rPr>
          <w:rFonts w:hint="eastAsia" w:ascii="宋体" w:hAnsi="宋体"/>
          <w:b/>
          <w:bCs/>
          <w:szCs w:val="21"/>
          <w:highlight w:val="none"/>
        </w:rPr>
        <w:t>现文：</w:t>
      </w:r>
      <w:r>
        <w:rPr>
          <w:rFonts w:hint="eastAsia" w:ascii="宋体" w:hAnsi="宋体"/>
          <w:szCs w:val="21"/>
          <w:highlight w:val="none"/>
        </w:rPr>
        <w:t>45.3当标价等于评标参考价时得100分，标价每高于评标参考价1%，</w:t>
      </w:r>
      <w:r>
        <w:rPr>
          <w:rFonts w:hint="eastAsia" w:ascii="宋体" w:hAnsi="宋体"/>
          <w:szCs w:val="21"/>
          <w:highlight w:val="none"/>
          <w:u w:val="single"/>
        </w:rPr>
        <w:t>扣1分</w:t>
      </w:r>
      <w:r>
        <w:rPr>
          <w:rFonts w:hint="eastAsia" w:ascii="宋体" w:hAnsi="宋体"/>
          <w:szCs w:val="21"/>
          <w:highlight w:val="none"/>
        </w:rPr>
        <w:t>，每低于评标参考价1%，</w:t>
      </w:r>
      <w:r>
        <w:rPr>
          <w:rFonts w:hint="eastAsia" w:ascii="宋体" w:hAnsi="宋体"/>
          <w:szCs w:val="21"/>
          <w:highlight w:val="none"/>
          <w:u w:val="single"/>
        </w:rPr>
        <w:t>扣0.7分</w:t>
      </w:r>
      <w:r>
        <w:rPr>
          <w:rFonts w:hint="eastAsia" w:ascii="宋体" w:hAnsi="宋体"/>
          <w:szCs w:val="21"/>
          <w:highlight w:val="none"/>
        </w:rPr>
        <w:t>，扣至0分为止，得出经济分，精确到小数点后两位。</w:t>
      </w:r>
    </w:p>
    <w:p w14:paraId="3056F14D">
      <w:pPr>
        <w:spacing w:line="360" w:lineRule="auto"/>
        <w:ind w:firstLine="422" w:firstLineChars="200"/>
        <w:rPr>
          <w:rFonts w:ascii="宋体" w:hAnsi="宋体" w:cs="仿宋"/>
          <w:b/>
          <w:bCs/>
          <w:szCs w:val="21"/>
          <w:highlight w:val="none"/>
        </w:rPr>
      </w:pPr>
      <w:r>
        <w:rPr>
          <w:rFonts w:hint="eastAsia" w:ascii="宋体" w:hAnsi="宋体" w:cs="仿宋"/>
          <w:b/>
          <w:bCs/>
          <w:szCs w:val="21"/>
          <w:highlight w:val="none"/>
        </w:rPr>
        <w:t xml:space="preserve">条款号：45.4                        </w:t>
      </w:r>
      <w:r>
        <w:rPr>
          <w:rFonts w:hint="eastAsia" w:ascii="宋体" w:hAnsi="宋体"/>
          <w:b/>
          <w:szCs w:val="21"/>
          <w:highlight w:val="none"/>
        </w:rPr>
        <w:t>修改类型：修改</w:t>
      </w:r>
    </w:p>
    <w:p w14:paraId="1273E6C6">
      <w:pPr>
        <w:pBdr>
          <w:bottom w:val="single" w:color="auto" w:sz="6" w:space="1"/>
        </w:pBdr>
        <w:spacing w:line="360" w:lineRule="auto"/>
        <w:ind w:firstLine="422" w:firstLineChars="200"/>
        <w:rPr>
          <w:rFonts w:ascii="宋体" w:hAnsi="宋体"/>
          <w:szCs w:val="21"/>
          <w:highlight w:val="none"/>
        </w:rPr>
      </w:pPr>
      <w:r>
        <w:rPr>
          <w:rFonts w:hint="eastAsia" w:ascii="宋体" w:hAnsi="宋体"/>
          <w:b/>
          <w:bCs/>
          <w:szCs w:val="21"/>
          <w:highlight w:val="none"/>
        </w:rPr>
        <w:t>原文：</w:t>
      </w:r>
      <w:r>
        <w:rPr>
          <w:rFonts w:hint="eastAsia" w:ascii="宋体" w:hAnsi="宋体"/>
          <w:szCs w:val="21"/>
          <w:highlight w:val="none"/>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14:paraId="33EEC2EF">
      <w:pPr>
        <w:pBdr>
          <w:bottom w:val="single" w:color="auto" w:sz="6" w:space="1"/>
        </w:pBdr>
        <w:spacing w:line="360" w:lineRule="auto"/>
        <w:ind w:firstLine="422" w:firstLineChars="200"/>
        <w:rPr>
          <w:rFonts w:ascii="宋体" w:hAnsi="宋体"/>
          <w:spacing w:val="2"/>
          <w:highlight w:val="none"/>
        </w:rPr>
      </w:pPr>
      <w:r>
        <w:rPr>
          <w:rFonts w:hint="eastAsia" w:ascii="宋体" w:hAnsi="宋体"/>
          <w:b/>
          <w:bCs/>
          <w:szCs w:val="21"/>
          <w:highlight w:val="none"/>
        </w:rPr>
        <w:t>现文：</w:t>
      </w:r>
      <w:r>
        <w:rPr>
          <w:rFonts w:hint="eastAsia" w:ascii="宋体" w:hAnsi="宋体"/>
          <w:szCs w:val="21"/>
          <w:highlight w:val="none"/>
        </w:rPr>
        <w:t>计算通过技术标有效性审查的投标人总得分。</w:t>
      </w:r>
      <w:r>
        <w:rPr>
          <w:rFonts w:hint="eastAsia" w:ascii="宋体" w:hAnsi="宋体"/>
          <w:highlight w:val="none"/>
          <w:u w:val="single"/>
        </w:rPr>
        <w:t>投标人总得分=技术得分（</w:t>
      </w:r>
      <w:r>
        <w:rPr>
          <w:rFonts w:ascii="宋体" w:hAnsi="宋体"/>
          <w:highlight w:val="none"/>
          <w:u w:val="single"/>
        </w:rPr>
        <w:t>100</w:t>
      </w:r>
      <w:r>
        <w:rPr>
          <w:rFonts w:hint="eastAsia" w:ascii="宋体" w:hAnsi="宋体"/>
          <w:highlight w:val="none"/>
          <w:u w:val="single"/>
        </w:rPr>
        <w:t>分）×技术得分权重（20%）＋经济得分（100分）×经济得分权重（80%）</w:t>
      </w:r>
      <w:r>
        <w:rPr>
          <w:rFonts w:hint="eastAsia" w:ascii="宋体" w:hAnsi="宋体"/>
          <w:szCs w:val="21"/>
          <w:highlight w:val="none"/>
        </w:rPr>
        <w:t>。</w:t>
      </w:r>
      <w:r>
        <w:rPr>
          <w:rStyle w:val="60"/>
          <w:rFonts w:hint="eastAsia" w:ascii="宋体" w:hAnsi="宋体"/>
          <w:kern w:val="0"/>
          <w:highlight w:val="none"/>
        </w:rPr>
        <w:t>总得分四舍五入保留两位小数，并按照总得分从高到低排序。总得分相同的投标文件，以报价较低的排前；总得分与报价均相同的投标文件，以技术得分较高的排前；如仍存在相同情况，则对具有相同情况的投标人，由评标委员会采用记名投票方式，确定投标人的排序。</w:t>
      </w:r>
    </w:p>
    <w:p w14:paraId="33285A64">
      <w:pPr>
        <w:pBdr>
          <w:bottom w:val="single" w:color="auto" w:sz="6" w:space="1"/>
        </w:pBdr>
        <w:spacing w:line="360" w:lineRule="auto"/>
        <w:ind w:firstLine="428" w:firstLineChars="200"/>
        <w:rPr>
          <w:rFonts w:ascii="宋体" w:hAnsi="宋体"/>
          <w:spacing w:val="2"/>
          <w:highlight w:val="none"/>
        </w:rPr>
      </w:pPr>
    </w:p>
    <w:p w14:paraId="6DFAC2D6">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条款号：附表一《资格审查表》          修改类型：修改</w:t>
      </w:r>
    </w:p>
    <w:p w14:paraId="4811747E">
      <w:pPr>
        <w:spacing w:line="360" w:lineRule="auto"/>
        <w:ind w:firstLine="422" w:firstLineChars="200"/>
        <w:rPr>
          <w:rFonts w:ascii="宋体" w:hAnsi="宋体" w:cs="宋体"/>
          <w:bCs/>
          <w:szCs w:val="21"/>
          <w:highlight w:val="none"/>
        </w:rPr>
      </w:pPr>
      <w:r>
        <w:rPr>
          <w:rFonts w:hint="eastAsia" w:ascii="宋体" w:hAnsi="宋体" w:cs="宋体"/>
          <w:b/>
          <w:szCs w:val="21"/>
          <w:highlight w:val="none"/>
        </w:rPr>
        <w:t>原文：</w:t>
      </w:r>
      <w:r>
        <w:rPr>
          <w:rFonts w:hint="eastAsia" w:ascii="宋体" w:hAnsi="宋体" w:cs="宋体"/>
          <w:bCs/>
          <w:szCs w:val="21"/>
          <w:highlight w:val="none"/>
        </w:rPr>
        <w:t>详见《广州市建设工程施工公开招标项目招标文件范本GZZB2018-3》</w:t>
      </w:r>
    </w:p>
    <w:p w14:paraId="60AEDD37">
      <w:pPr>
        <w:pBdr>
          <w:bottom w:val="single" w:color="auto" w:sz="6" w:space="1"/>
        </w:pBdr>
        <w:spacing w:line="360" w:lineRule="auto"/>
        <w:ind w:firstLine="422" w:firstLineChars="200"/>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bCs/>
          <w:szCs w:val="21"/>
          <w:highlight w:val="none"/>
        </w:rPr>
        <w:t>详见附表一《资格审查表》</w:t>
      </w:r>
    </w:p>
    <w:p w14:paraId="2F695FD9">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条款号：附表二《技术标有效性审查表》          修改类型：修改</w:t>
      </w:r>
    </w:p>
    <w:p w14:paraId="788ECBA4">
      <w:pPr>
        <w:spacing w:line="360" w:lineRule="auto"/>
        <w:ind w:firstLine="422" w:firstLineChars="200"/>
        <w:rPr>
          <w:rFonts w:ascii="宋体" w:hAnsi="宋体" w:cs="宋体"/>
          <w:bCs/>
          <w:szCs w:val="21"/>
          <w:highlight w:val="none"/>
        </w:rPr>
      </w:pPr>
      <w:r>
        <w:rPr>
          <w:rFonts w:hint="eastAsia" w:ascii="宋体" w:hAnsi="宋体" w:cs="宋体"/>
          <w:b/>
          <w:szCs w:val="21"/>
          <w:highlight w:val="none"/>
        </w:rPr>
        <w:t>原文：</w:t>
      </w:r>
      <w:r>
        <w:rPr>
          <w:rFonts w:hint="eastAsia" w:ascii="宋体" w:hAnsi="宋体" w:cs="宋体"/>
          <w:bCs/>
          <w:szCs w:val="21"/>
          <w:highlight w:val="none"/>
        </w:rPr>
        <w:t>详见《广州市建设工程施工公开招标项目招标文件范本GZZB2018-3》</w:t>
      </w:r>
    </w:p>
    <w:p w14:paraId="19273B2E">
      <w:pPr>
        <w:pBdr>
          <w:bottom w:val="single" w:color="auto" w:sz="6" w:space="1"/>
        </w:pBdr>
        <w:spacing w:line="360" w:lineRule="auto"/>
        <w:ind w:firstLine="422" w:firstLineChars="200"/>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bCs/>
          <w:szCs w:val="21"/>
          <w:highlight w:val="none"/>
        </w:rPr>
        <w:t>详见附表二《技术标有效性审查表》</w:t>
      </w:r>
    </w:p>
    <w:p w14:paraId="11161D12">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条款号：附表三《经济标有效性审查表》          修改类型：修改</w:t>
      </w:r>
    </w:p>
    <w:p w14:paraId="1865E859">
      <w:pPr>
        <w:spacing w:line="360" w:lineRule="auto"/>
        <w:ind w:firstLine="422" w:firstLineChars="200"/>
        <w:rPr>
          <w:rFonts w:ascii="宋体" w:hAnsi="宋体" w:cs="宋体"/>
          <w:bCs/>
          <w:szCs w:val="21"/>
          <w:highlight w:val="none"/>
        </w:rPr>
      </w:pPr>
      <w:r>
        <w:rPr>
          <w:rFonts w:hint="eastAsia" w:ascii="宋体" w:hAnsi="宋体" w:cs="宋体"/>
          <w:b/>
          <w:szCs w:val="21"/>
          <w:highlight w:val="none"/>
        </w:rPr>
        <w:t>原文：</w:t>
      </w:r>
      <w:r>
        <w:rPr>
          <w:rFonts w:hint="eastAsia" w:ascii="宋体" w:hAnsi="宋体" w:cs="宋体"/>
          <w:bCs/>
          <w:szCs w:val="21"/>
          <w:highlight w:val="none"/>
        </w:rPr>
        <w:t>详见《广州市建设工程施工公开招标项目招标文件范本GZZB2018-3》</w:t>
      </w:r>
    </w:p>
    <w:p w14:paraId="188F69A3">
      <w:pPr>
        <w:pBdr>
          <w:bottom w:val="single" w:color="auto" w:sz="6" w:space="1"/>
        </w:pBdr>
        <w:spacing w:line="360" w:lineRule="auto"/>
        <w:ind w:firstLine="422" w:firstLineChars="200"/>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bCs/>
          <w:szCs w:val="21"/>
          <w:highlight w:val="none"/>
        </w:rPr>
        <w:t>详见附表三《经济标有效性审查表》</w:t>
      </w:r>
    </w:p>
    <w:p w14:paraId="50D45ABF">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条款号：附表四《技术标详细审查评分表》          修改类型：修改</w:t>
      </w:r>
    </w:p>
    <w:p w14:paraId="7DAA24A1">
      <w:pPr>
        <w:spacing w:line="360" w:lineRule="auto"/>
        <w:ind w:firstLine="422" w:firstLineChars="200"/>
        <w:rPr>
          <w:rFonts w:ascii="宋体" w:hAnsi="宋体" w:cs="宋体"/>
          <w:bCs/>
          <w:szCs w:val="21"/>
          <w:highlight w:val="none"/>
        </w:rPr>
      </w:pPr>
      <w:r>
        <w:rPr>
          <w:rFonts w:hint="eastAsia" w:ascii="宋体" w:hAnsi="宋体" w:cs="宋体"/>
          <w:b/>
          <w:szCs w:val="21"/>
          <w:highlight w:val="none"/>
        </w:rPr>
        <w:t>原文：</w:t>
      </w:r>
      <w:r>
        <w:rPr>
          <w:rFonts w:hint="eastAsia" w:ascii="宋体" w:hAnsi="宋体" w:cs="宋体"/>
          <w:bCs/>
          <w:szCs w:val="21"/>
          <w:highlight w:val="none"/>
        </w:rPr>
        <w:t>详见《广州市建设工程施工公开招标项目招标文件范本GZZB2018-3》</w:t>
      </w:r>
    </w:p>
    <w:p w14:paraId="034C2D20">
      <w:pPr>
        <w:pBdr>
          <w:bottom w:val="single" w:color="auto" w:sz="6" w:space="1"/>
        </w:pBdr>
        <w:spacing w:line="360" w:lineRule="auto"/>
        <w:ind w:firstLine="527" w:firstLineChars="250"/>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bCs/>
          <w:szCs w:val="21"/>
          <w:highlight w:val="none"/>
        </w:rPr>
        <w:t>详见附表四《技术标详细审查评分表》</w:t>
      </w:r>
    </w:p>
    <w:p w14:paraId="1C6BE930">
      <w:pPr>
        <w:spacing w:line="360" w:lineRule="auto"/>
        <w:ind w:firstLine="472" w:firstLineChars="224"/>
        <w:rPr>
          <w:rFonts w:ascii="宋体" w:hAnsi="宋体" w:cs="宋体"/>
          <w:b/>
          <w:szCs w:val="21"/>
          <w:highlight w:val="none"/>
        </w:rPr>
      </w:pPr>
      <w:r>
        <w:rPr>
          <w:rFonts w:hint="eastAsia" w:ascii="宋体" w:hAnsi="宋体" w:cs="宋体"/>
          <w:b/>
          <w:szCs w:val="21"/>
          <w:highlight w:val="none"/>
        </w:rPr>
        <w:t>条款号：附表五《经济标评分表》             修改类型：修改</w:t>
      </w:r>
    </w:p>
    <w:p w14:paraId="72DD91A1">
      <w:pPr>
        <w:pBdr>
          <w:bottom w:val="single" w:color="auto" w:sz="6" w:space="1"/>
        </w:pBdr>
        <w:spacing w:line="360" w:lineRule="auto"/>
        <w:ind w:firstLine="472" w:firstLineChars="224"/>
        <w:rPr>
          <w:rFonts w:ascii="宋体" w:hAnsi="宋体" w:cs="宋体"/>
          <w:bCs/>
          <w:szCs w:val="21"/>
          <w:highlight w:val="none"/>
        </w:rPr>
      </w:pPr>
      <w:r>
        <w:rPr>
          <w:rFonts w:hint="eastAsia" w:ascii="宋体" w:hAnsi="宋体" w:cs="宋体"/>
          <w:b/>
          <w:szCs w:val="21"/>
          <w:highlight w:val="none"/>
        </w:rPr>
        <w:t>原文：</w:t>
      </w:r>
      <w:r>
        <w:rPr>
          <w:rFonts w:hint="eastAsia" w:ascii="宋体" w:hAnsi="宋体" w:cs="宋体"/>
          <w:bCs/>
          <w:szCs w:val="21"/>
          <w:highlight w:val="none"/>
        </w:rPr>
        <w:t>详见《广州市建设工程施工公开招标项目招标文件范本GZZB2018-3》</w:t>
      </w:r>
    </w:p>
    <w:p w14:paraId="3928D15D">
      <w:pPr>
        <w:pBdr>
          <w:bottom w:val="single" w:color="auto" w:sz="6" w:space="1"/>
        </w:pBdr>
        <w:spacing w:line="360" w:lineRule="auto"/>
        <w:ind w:firstLine="527" w:firstLineChars="250"/>
        <w:rPr>
          <w:rFonts w:ascii="宋体" w:hAnsi="宋体" w:cs="宋体"/>
          <w:bCs/>
          <w:szCs w:val="21"/>
          <w:highlight w:val="none"/>
        </w:rPr>
      </w:pPr>
      <w:r>
        <w:rPr>
          <w:rFonts w:hint="eastAsia" w:ascii="宋体" w:hAnsi="宋体" w:cs="宋体"/>
          <w:b/>
          <w:szCs w:val="21"/>
          <w:highlight w:val="none"/>
        </w:rPr>
        <w:t>现文：</w:t>
      </w:r>
      <w:r>
        <w:rPr>
          <w:rFonts w:hint="eastAsia" w:ascii="宋体" w:hAnsi="宋体" w:cs="宋体"/>
          <w:bCs/>
          <w:szCs w:val="21"/>
          <w:highlight w:val="none"/>
        </w:rPr>
        <w:t>详见附表五《经济标评分表》</w:t>
      </w:r>
    </w:p>
    <w:p w14:paraId="6DF4AAA2">
      <w:pPr>
        <w:spacing w:line="360" w:lineRule="auto"/>
        <w:ind w:firstLine="211" w:firstLineChars="100"/>
        <w:rPr>
          <w:rFonts w:ascii="宋体" w:hAnsi="宋体" w:cs="宋体"/>
          <w:b/>
          <w:szCs w:val="21"/>
          <w:highlight w:val="none"/>
        </w:rPr>
      </w:pPr>
      <w:r>
        <w:rPr>
          <w:rFonts w:hint="eastAsia" w:ascii="宋体" w:hAnsi="宋体" w:cs="宋体"/>
          <w:b/>
          <w:szCs w:val="21"/>
          <w:highlight w:val="none"/>
        </w:rPr>
        <w:t>注：以上修改，仅限于本范本中有可供选择条款的情形。</w:t>
      </w:r>
    </w:p>
    <w:p w14:paraId="5E42FE7D">
      <w:pPr>
        <w:spacing w:line="360" w:lineRule="auto"/>
        <w:rPr>
          <w:b/>
          <w:color w:val="000000"/>
          <w:szCs w:val="21"/>
          <w:highlight w:val="none"/>
        </w:rPr>
      </w:pPr>
      <w:r>
        <w:rPr>
          <w:rFonts w:hint="eastAsia" w:ascii="宋体" w:hAnsi="宋体" w:cs="宋体"/>
          <w:b/>
          <w:szCs w:val="21"/>
          <w:highlight w:val="none"/>
        </w:rPr>
        <w:t>（以下无正文）</w:t>
      </w:r>
    </w:p>
    <w:p w14:paraId="4B29E224">
      <w:pPr>
        <w:pStyle w:val="6"/>
        <w:rPr>
          <w:color w:val="000000"/>
          <w:highlight w:val="none"/>
        </w:rPr>
      </w:pPr>
    </w:p>
    <w:p w14:paraId="20D56C07">
      <w:pPr>
        <w:rPr>
          <w:highlight w:val="none"/>
        </w:rPr>
      </w:pPr>
    </w:p>
    <w:p w14:paraId="369E0011">
      <w:pPr>
        <w:pStyle w:val="6"/>
        <w:jc w:val="center"/>
        <w:rPr>
          <w:color w:val="000000"/>
          <w:highlight w:val="none"/>
        </w:rPr>
      </w:pPr>
    </w:p>
    <w:p w14:paraId="66755681">
      <w:pPr>
        <w:pStyle w:val="6"/>
        <w:rPr>
          <w:color w:val="000000"/>
          <w:highlight w:val="none"/>
        </w:rPr>
      </w:pPr>
    </w:p>
    <w:p w14:paraId="3E8473E5">
      <w:pPr>
        <w:pStyle w:val="6"/>
        <w:rPr>
          <w:color w:val="000000"/>
          <w:highlight w:val="none"/>
        </w:rPr>
      </w:pPr>
      <w:r>
        <w:rPr>
          <w:highlight w:val="none"/>
        </w:rPr>
        <w:br w:type="page"/>
      </w:r>
    </w:p>
    <w:p w14:paraId="7A5EFAA5">
      <w:pPr>
        <w:pStyle w:val="3"/>
        <w:ind w:left="0"/>
        <w:rPr>
          <w:highlight w:val="none"/>
        </w:rPr>
      </w:pPr>
      <w:bookmarkStart w:id="28" w:name="_Toc32131"/>
      <w:bookmarkStart w:id="29" w:name="_Toc50391299"/>
      <w:bookmarkStart w:id="30" w:name="_Toc58188157"/>
      <w:r>
        <w:rPr>
          <w:rFonts w:hint="eastAsia"/>
          <w:highlight w:val="none"/>
        </w:rPr>
        <w:t>二、开标、评标及定标办法</w:t>
      </w:r>
      <w:r>
        <w:rPr>
          <w:rFonts w:hint="eastAsia"/>
          <w:szCs w:val="30"/>
          <w:highlight w:val="none"/>
        </w:rPr>
        <w:t>通用条款</w:t>
      </w:r>
      <w:bookmarkEnd w:id="28"/>
    </w:p>
    <w:bookmarkEnd w:id="29"/>
    <w:bookmarkEnd w:id="30"/>
    <w:p w14:paraId="28C27FB5">
      <w:pPr>
        <w:pStyle w:val="4"/>
        <w:spacing w:before="156" w:after="156"/>
        <w:ind w:firstLine="540" w:firstLineChars="200"/>
        <w:rPr>
          <w:color w:val="000000"/>
          <w:highlight w:val="none"/>
        </w:rPr>
      </w:pPr>
      <w:bookmarkStart w:id="31" w:name="_Toc23008"/>
      <w:bookmarkStart w:id="32" w:name="_Toc58188158"/>
      <w:bookmarkStart w:id="33" w:name="_Toc50391300"/>
      <w:r>
        <w:rPr>
          <w:rFonts w:hint="eastAsia"/>
          <w:color w:val="000000"/>
          <w:highlight w:val="none"/>
        </w:rPr>
        <w:t>（一）总则</w:t>
      </w:r>
      <w:bookmarkEnd w:id="31"/>
      <w:bookmarkEnd w:id="32"/>
      <w:bookmarkEnd w:id="33"/>
    </w:p>
    <w:p w14:paraId="48AA0EA8">
      <w:pPr>
        <w:spacing w:line="360" w:lineRule="auto"/>
        <w:ind w:firstLine="480" w:firstLineChars="200"/>
        <w:rPr>
          <w:rFonts w:ascii="宋体" w:hAnsi="宋体"/>
          <w:b/>
          <w:color w:val="000000"/>
          <w:sz w:val="24"/>
          <w:szCs w:val="24"/>
          <w:highlight w:val="none"/>
        </w:rPr>
      </w:pPr>
      <w:r>
        <w:rPr>
          <w:rFonts w:ascii="宋体" w:hAnsi="宋体"/>
          <w:color w:val="000000"/>
          <w:sz w:val="24"/>
          <w:szCs w:val="24"/>
          <w:highlight w:val="none"/>
        </w:rPr>
        <w:t xml:space="preserve">35 </w:t>
      </w:r>
      <w:r>
        <w:rPr>
          <w:rFonts w:hint="eastAsia" w:ascii="宋体" w:hAnsi="宋体"/>
          <w:color w:val="000000"/>
          <w:sz w:val="24"/>
          <w:szCs w:val="24"/>
          <w:highlight w:val="none"/>
        </w:rPr>
        <w:t>开标、评标及定标所依据的规则</w:t>
      </w:r>
    </w:p>
    <w:p w14:paraId="3F011CF2">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35.1</w:t>
      </w:r>
      <w:r>
        <w:rPr>
          <w:rFonts w:hint="eastAsia" w:ascii="宋体" w:hAnsi="宋体"/>
          <w:color w:val="000000"/>
          <w:sz w:val="24"/>
          <w:szCs w:val="24"/>
          <w:highlight w:val="none"/>
        </w:rPr>
        <w:t>《中华人民共和国招标投标法》；</w:t>
      </w:r>
    </w:p>
    <w:p w14:paraId="28C0488E">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35.2</w:t>
      </w:r>
      <w:r>
        <w:rPr>
          <w:rFonts w:hint="eastAsia" w:ascii="宋体" w:hAnsi="宋体"/>
          <w:color w:val="000000"/>
          <w:sz w:val="24"/>
          <w:szCs w:val="24"/>
          <w:highlight w:val="none"/>
        </w:rPr>
        <w:t>《中华人民共和国招标投标法实施条例》；</w:t>
      </w:r>
    </w:p>
    <w:p w14:paraId="73AC44DA">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35.3</w:t>
      </w:r>
      <w:r>
        <w:rPr>
          <w:rFonts w:hint="eastAsia" w:ascii="宋体" w:hAnsi="宋体"/>
          <w:color w:val="000000"/>
          <w:sz w:val="24"/>
          <w:szCs w:val="24"/>
          <w:highlight w:val="none"/>
        </w:rPr>
        <w:t>《评标委员会和评标方法暂行规定》（七部委第</w:t>
      </w:r>
      <w:r>
        <w:rPr>
          <w:rFonts w:ascii="宋体" w:hAnsi="宋体"/>
          <w:color w:val="000000"/>
          <w:sz w:val="24"/>
          <w:szCs w:val="24"/>
          <w:highlight w:val="none"/>
        </w:rPr>
        <w:t>12</w:t>
      </w:r>
      <w:r>
        <w:rPr>
          <w:rFonts w:hint="eastAsia" w:ascii="宋体" w:hAnsi="宋体"/>
          <w:color w:val="000000"/>
          <w:sz w:val="24"/>
          <w:szCs w:val="24"/>
          <w:highlight w:val="none"/>
        </w:rPr>
        <w:t>号令）</w:t>
      </w:r>
    </w:p>
    <w:p w14:paraId="32DA5429">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35.4</w:t>
      </w:r>
      <w:r>
        <w:rPr>
          <w:rFonts w:hint="eastAsia" w:ascii="宋体" w:hAnsi="宋体"/>
          <w:color w:val="000000"/>
          <w:sz w:val="24"/>
          <w:szCs w:val="24"/>
          <w:highlight w:val="none"/>
        </w:rPr>
        <w:t>《工程建设项目施工招标投标办法》（七部委</w:t>
      </w:r>
      <w:r>
        <w:rPr>
          <w:rFonts w:ascii="宋体" w:hAnsi="宋体"/>
          <w:color w:val="000000"/>
          <w:sz w:val="24"/>
          <w:szCs w:val="24"/>
          <w:highlight w:val="none"/>
        </w:rPr>
        <w:t>2003</w:t>
      </w:r>
      <w:r>
        <w:rPr>
          <w:rFonts w:hint="eastAsia" w:ascii="宋体" w:hAnsi="宋体"/>
          <w:color w:val="000000"/>
          <w:sz w:val="24"/>
          <w:szCs w:val="24"/>
          <w:highlight w:val="none"/>
        </w:rPr>
        <w:t>年第</w:t>
      </w:r>
      <w:r>
        <w:rPr>
          <w:rFonts w:ascii="宋体" w:hAnsi="宋体"/>
          <w:color w:val="000000"/>
          <w:sz w:val="24"/>
          <w:szCs w:val="24"/>
          <w:highlight w:val="none"/>
        </w:rPr>
        <w:t>30</w:t>
      </w:r>
      <w:r>
        <w:rPr>
          <w:rFonts w:hint="eastAsia" w:ascii="宋体" w:hAnsi="宋体"/>
          <w:color w:val="000000"/>
          <w:sz w:val="24"/>
          <w:szCs w:val="24"/>
          <w:highlight w:val="none"/>
        </w:rPr>
        <w:t>号令）</w:t>
      </w:r>
    </w:p>
    <w:p w14:paraId="7CDB7132">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35.5</w:t>
      </w:r>
      <w:r>
        <w:rPr>
          <w:rFonts w:hint="eastAsia" w:ascii="宋体" w:hAnsi="宋体"/>
          <w:color w:val="000000"/>
          <w:sz w:val="24"/>
          <w:szCs w:val="24"/>
          <w:highlight w:val="none"/>
        </w:rPr>
        <w:t>《广东省实施〈中华人民共和国招标投标法〉办法》；</w:t>
      </w:r>
    </w:p>
    <w:p w14:paraId="0992963C">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35.6</w:t>
      </w:r>
      <w:r>
        <w:rPr>
          <w:rFonts w:hint="eastAsia" w:ascii="宋体" w:hAnsi="宋体"/>
          <w:color w:val="000000"/>
          <w:sz w:val="24"/>
          <w:szCs w:val="24"/>
          <w:highlight w:val="none"/>
        </w:rPr>
        <w:t>《房屋建筑和市政基础设施工程施工招标投标管理办法》（建设部令第</w:t>
      </w:r>
      <w:r>
        <w:rPr>
          <w:rFonts w:ascii="宋体" w:hAnsi="宋体"/>
          <w:color w:val="000000"/>
          <w:sz w:val="24"/>
          <w:szCs w:val="24"/>
          <w:highlight w:val="none"/>
        </w:rPr>
        <w:t>89</w:t>
      </w:r>
      <w:r>
        <w:rPr>
          <w:rFonts w:hint="eastAsia" w:ascii="宋体" w:hAnsi="宋体"/>
          <w:color w:val="000000"/>
          <w:sz w:val="24"/>
          <w:szCs w:val="24"/>
          <w:highlight w:val="none"/>
        </w:rPr>
        <w:t>号）</w:t>
      </w:r>
    </w:p>
    <w:p w14:paraId="579A3411">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35.7</w:t>
      </w:r>
      <w:r>
        <w:rPr>
          <w:rFonts w:hint="eastAsia" w:ascii="宋体" w:hAnsi="宋体"/>
          <w:color w:val="000000"/>
          <w:sz w:val="24"/>
          <w:szCs w:val="24"/>
          <w:highlight w:val="none"/>
        </w:rPr>
        <w:t>《广东省加强建设工程招标投标监督管理的若干规定》（粤发[2004]4号）；</w:t>
      </w:r>
    </w:p>
    <w:p w14:paraId="51CC59D3">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35.</w:t>
      </w:r>
      <w:r>
        <w:rPr>
          <w:rFonts w:hint="eastAsia" w:ascii="宋体" w:hAnsi="宋体"/>
          <w:color w:val="000000"/>
          <w:sz w:val="24"/>
          <w:szCs w:val="24"/>
          <w:highlight w:val="none"/>
        </w:rPr>
        <w:t>8《广州市工程建设项目招标投标管理办法》（穗府办规〔2017〕5号）。</w:t>
      </w:r>
    </w:p>
    <w:p w14:paraId="279ED1D7">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35.9本项目招标文件。</w:t>
      </w:r>
    </w:p>
    <w:p w14:paraId="12E4E4F3">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36</w:t>
      </w:r>
      <w:r>
        <w:rPr>
          <w:rFonts w:hint="eastAsia" w:ascii="宋体" w:hAnsi="宋体"/>
          <w:color w:val="000000"/>
          <w:sz w:val="24"/>
          <w:szCs w:val="24"/>
          <w:highlight w:val="none"/>
        </w:rPr>
        <w:t>．开标</w:t>
      </w:r>
    </w:p>
    <w:p w14:paraId="722FE876">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 xml:space="preserve">36.1 </w:t>
      </w:r>
      <w:r>
        <w:rPr>
          <w:rFonts w:hint="eastAsia" w:ascii="宋体" w:hAnsi="宋体"/>
          <w:color w:val="000000"/>
          <w:sz w:val="24"/>
          <w:szCs w:val="24"/>
          <w:highlight w:val="none"/>
        </w:rPr>
        <w:t>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olor w:val="000000"/>
          <w:sz w:val="24"/>
          <w:szCs w:val="24"/>
          <w:highlight w:val="none"/>
          <w:u w:val="single"/>
        </w:rPr>
        <w:t>若投标人不参加开标会的，其投标文件在开标现场的投标人或招标人代表、招标代理机构代表及交易中心代表见证下公开开启、解密、公布，并视同该投标人认可开标结果。</w:t>
      </w:r>
    </w:p>
    <w:p w14:paraId="32F5DAD3">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36.2</w:t>
      </w:r>
      <w:r>
        <w:rPr>
          <w:rFonts w:hint="eastAsia" w:ascii="宋体" w:hAnsi="宋体"/>
          <w:color w:val="000000"/>
          <w:sz w:val="24"/>
          <w:szCs w:val="24"/>
          <w:highlight w:val="none"/>
        </w:rPr>
        <w:t xml:space="preserve"> 招标人在招标文件要求提交投标文件的截止时间前收到的投标文件，开标时都当众予以解密、公布。</w:t>
      </w:r>
    </w:p>
    <w:p w14:paraId="1CD8901E">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36.4若递交投标文件的投标人不足3家，则重新组织招标。（当</w:t>
      </w:r>
      <w:r>
        <w:rPr>
          <w:rFonts w:ascii="宋体" w:hAnsi="宋体"/>
          <w:color w:val="000000"/>
          <w:sz w:val="24"/>
          <w:szCs w:val="24"/>
          <w:highlight w:val="none"/>
        </w:rPr>
        <w:t>N</w:t>
      </w:r>
      <w:r>
        <w:rPr>
          <w:rFonts w:hint="eastAsia" w:ascii="宋体" w:hAnsi="宋体"/>
          <w:color w:val="000000"/>
          <w:sz w:val="24"/>
          <w:szCs w:val="24"/>
          <w:highlight w:val="none"/>
        </w:rPr>
        <w:t>个标段同时招标且不允许兼中时，若有效投标人不足</w:t>
      </w:r>
      <w:r>
        <w:rPr>
          <w:rFonts w:ascii="宋体" w:hAnsi="宋体"/>
          <w:color w:val="000000"/>
          <w:sz w:val="24"/>
          <w:szCs w:val="24"/>
          <w:highlight w:val="none"/>
        </w:rPr>
        <w:t>N+</w:t>
      </w:r>
      <w:r>
        <w:rPr>
          <w:rFonts w:hint="eastAsia" w:ascii="宋体" w:hAnsi="宋体"/>
          <w:color w:val="000000"/>
          <w:sz w:val="24"/>
          <w:szCs w:val="24"/>
          <w:highlight w:val="none"/>
        </w:rPr>
        <w:t>2家，则重新组织招标）</w:t>
      </w:r>
    </w:p>
    <w:p w14:paraId="3B1DA2F8">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36.5按下列程序进行开标：</w:t>
      </w:r>
    </w:p>
    <w:p w14:paraId="7B01D649">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36.5.1在投标截止时间后半小时内，投标人通过</w:t>
      </w:r>
      <w:r>
        <w:rPr>
          <w:rFonts w:hint="eastAsia" w:ascii="宋体" w:hAnsi="宋体"/>
          <w:color w:val="000000"/>
          <w:sz w:val="24"/>
          <w:szCs w:val="24"/>
          <w:highlight w:val="none"/>
          <w:u w:val="single"/>
        </w:rPr>
        <w:t>广州公共资源交易中心</w:t>
      </w:r>
      <w:r>
        <w:rPr>
          <w:rFonts w:hint="eastAsia" w:ascii="宋体" w:hAnsi="宋体"/>
          <w:color w:val="000000"/>
          <w:sz w:val="24"/>
          <w:szCs w:val="24"/>
          <w:highlight w:val="none"/>
        </w:rPr>
        <w:t>交易平台</w:t>
      </w:r>
      <w:r>
        <w:rPr>
          <w:rFonts w:hint="eastAsia" w:ascii="宋体" w:hAnsi="宋体"/>
          <w:color w:val="000000"/>
          <w:sz w:val="24"/>
          <w:highlight w:val="none"/>
        </w:rPr>
        <w:t>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14:paraId="1086B8B1">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36.5.2备用光盘的读取按投标须知前附表第36项的规定执行；</w:t>
      </w:r>
    </w:p>
    <w:p w14:paraId="1B680FAE">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36.5.3投标人代表、招标人代表、监标人、记录人等有关人员在开标记录上签字确认；若有关人员不签字的，不影响开标程序；</w:t>
      </w:r>
    </w:p>
    <w:p w14:paraId="022E5497">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36.5.4开标结束。</w:t>
      </w:r>
    </w:p>
    <w:p w14:paraId="466FD82E">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4BC546D0">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36.7开标时，两个（含两个）以上的投标人加密打包投标文件电脑机器特征码一致的，不参与下一程序，并由评标委员会否决其投标。</w:t>
      </w:r>
    </w:p>
    <w:p w14:paraId="6A3A6BD5">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37</w:t>
      </w:r>
      <w:r>
        <w:rPr>
          <w:rFonts w:hint="eastAsia" w:ascii="宋体" w:hAnsi="宋体"/>
          <w:color w:val="000000"/>
          <w:sz w:val="24"/>
          <w:szCs w:val="24"/>
          <w:highlight w:val="none"/>
        </w:rPr>
        <w:t>．评标</w:t>
      </w:r>
    </w:p>
    <w:p w14:paraId="5E47B526">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37.1</w:t>
      </w:r>
      <w:r>
        <w:rPr>
          <w:rFonts w:hint="eastAsia" w:ascii="宋体" w:hAnsi="宋体"/>
          <w:color w:val="000000"/>
          <w:sz w:val="24"/>
          <w:szCs w:val="24"/>
          <w:highlight w:val="none"/>
        </w:rPr>
        <w:t>评标委员会由招标人依法组建。</w:t>
      </w:r>
    </w:p>
    <w:p w14:paraId="7FFD6CC9">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37.2</w:t>
      </w:r>
      <w:r>
        <w:rPr>
          <w:rFonts w:hint="eastAsia" w:ascii="宋体" w:hAnsi="宋体"/>
          <w:color w:val="000000"/>
          <w:sz w:val="24"/>
          <w:szCs w:val="24"/>
          <w:highlight w:val="none"/>
        </w:rPr>
        <w:t>评标委员会的职责及守则：</w:t>
      </w:r>
    </w:p>
    <w:p w14:paraId="38435022">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37.2.1</w:t>
      </w:r>
      <w:r>
        <w:rPr>
          <w:rFonts w:hint="eastAsia" w:ascii="宋体" w:hAnsi="宋体"/>
          <w:color w:val="000000"/>
          <w:sz w:val="24"/>
          <w:szCs w:val="24"/>
          <w:highlight w:val="none"/>
        </w:rPr>
        <w:t>根据评标细则，对</w:t>
      </w:r>
      <w:r>
        <w:rPr>
          <w:rFonts w:hint="eastAsia" w:ascii="宋体" w:hAnsi="宋体"/>
          <w:color w:val="000000"/>
          <w:sz w:val="24"/>
          <w:highlight w:val="none"/>
        </w:rPr>
        <w:t>投标文件</w:t>
      </w:r>
      <w:r>
        <w:rPr>
          <w:rFonts w:hint="eastAsia" w:ascii="宋体" w:hAnsi="宋体"/>
          <w:color w:val="000000"/>
          <w:sz w:val="24"/>
          <w:szCs w:val="24"/>
          <w:highlight w:val="none"/>
        </w:rPr>
        <w:t>进行认真评审，完成评审报告；</w:t>
      </w:r>
    </w:p>
    <w:p w14:paraId="0965FE99">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37.2.2</w:t>
      </w:r>
      <w:r>
        <w:rPr>
          <w:rFonts w:hint="eastAsia" w:ascii="宋体" w:hAnsi="宋体"/>
          <w:color w:val="000000"/>
          <w:sz w:val="24"/>
          <w:szCs w:val="24"/>
          <w:highlight w:val="none"/>
        </w:rPr>
        <w:t>向招标人报告评审意见，推荐合格的中标候选人。</w:t>
      </w:r>
    </w:p>
    <w:p w14:paraId="28E4E9AF">
      <w:pPr>
        <w:spacing w:line="360" w:lineRule="auto"/>
        <w:ind w:firstLine="480" w:firstLineChars="200"/>
        <w:rPr>
          <w:rFonts w:ascii="宋体" w:hAnsi="宋体"/>
          <w:color w:val="000000"/>
          <w:sz w:val="24"/>
          <w:szCs w:val="24"/>
          <w:highlight w:val="none"/>
        </w:rPr>
      </w:pPr>
      <w:r>
        <w:rPr>
          <w:rFonts w:ascii="宋体" w:hAnsi="宋体"/>
          <w:bCs/>
          <w:color w:val="000000"/>
          <w:sz w:val="24"/>
          <w:szCs w:val="24"/>
          <w:highlight w:val="none"/>
        </w:rPr>
        <w:t>37.2.3</w:t>
      </w:r>
      <w:r>
        <w:rPr>
          <w:rFonts w:hint="eastAsia" w:ascii="宋体" w:hAnsi="宋体"/>
          <w:color w:val="000000"/>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14:paraId="70E59798">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37.2.4</w:t>
      </w:r>
      <w:r>
        <w:rPr>
          <w:rFonts w:hint="eastAsia" w:ascii="宋体" w:hAnsi="宋体"/>
          <w:color w:val="000000"/>
          <w:sz w:val="24"/>
          <w:szCs w:val="24"/>
          <w:highlight w:val="none"/>
        </w:rPr>
        <w:t>全体参与评标人员：</w:t>
      </w:r>
    </w:p>
    <w:p w14:paraId="32F584D3">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 xml:space="preserve">37.2.4.1 </w:t>
      </w:r>
      <w:r>
        <w:rPr>
          <w:rFonts w:hint="eastAsia" w:ascii="宋体" w:hAnsi="宋体"/>
          <w:color w:val="000000"/>
          <w:sz w:val="24"/>
          <w:szCs w:val="24"/>
          <w:highlight w:val="none"/>
        </w:rPr>
        <w:t>必须遵守评标纪律、不得泄密；</w:t>
      </w:r>
    </w:p>
    <w:p w14:paraId="0FF56DFE">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 xml:space="preserve">37.2.4.2 </w:t>
      </w:r>
      <w:r>
        <w:rPr>
          <w:rFonts w:hint="eastAsia" w:ascii="宋体" w:hAnsi="宋体"/>
          <w:color w:val="000000"/>
          <w:sz w:val="24"/>
          <w:szCs w:val="24"/>
          <w:highlight w:val="none"/>
        </w:rPr>
        <w:t>必须公正、不得循私；</w:t>
      </w:r>
    </w:p>
    <w:p w14:paraId="55896CDC">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 xml:space="preserve">37.2.4.3 </w:t>
      </w:r>
      <w:r>
        <w:rPr>
          <w:rFonts w:hint="eastAsia" w:ascii="宋体" w:hAnsi="宋体"/>
          <w:color w:val="000000"/>
          <w:sz w:val="24"/>
          <w:szCs w:val="24"/>
          <w:highlight w:val="none"/>
        </w:rPr>
        <w:t>必须科学、不得草率；</w:t>
      </w:r>
    </w:p>
    <w:p w14:paraId="1422079F">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 xml:space="preserve">37.2.4.4 </w:t>
      </w:r>
      <w:r>
        <w:rPr>
          <w:rFonts w:hint="eastAsia" w:ascii="宋体" w:hAnsi="宋体"/>
          <w:color w:val="000000"/>
          <w:sz w:val="24"/>
          <w:szCs w:val="24"/>
          <w:highlight w:val="none"/>
        </w:rPr>
        <w:t>必须客观、不得带有成见；</w:t>
      </w:r>
    </w:p>
    <w:p w14:paraId="788B0E1D">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 xml:space="preserve">37.2.4.5 </w:t>
      </w:r>
      <w:r>
        <w:rPr>
          <w:rFonts w:hint="eastAsia" w:ascii="宋体" w:hAnsi="宋体"/>
          <w:color w:val="000000"/>
          <w:sz w:val="24"/>
          <w:szCs w:val="24"/>
          <w:highlight w:val="none"/>
        </w:rPr>
        <w:t>必须平等、不得强加于人；</w:t>
      </w:r>
    </w:p>
    <w:p w14:paraId="09A966F3">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 xml:space="preserve">37.2.4.6 </w:t>
      </w:r>
      <w:r>
        <w:rPr>
          <w:rFonts w:hint="eastAsia" w:ascii="宋体" w:hAnsi="宋体"/>
          <w:color w:val="000000"/>
          <w:sz w:val="24"/>
          <w:szCs w:val="24"/>
          <w:highlight w:val="none"/>
        </w:rPr>
        <w:t>必须严谨、不得随意马虎。</w:t>
      </w:r>
    </w:p>
    <w:p w14:paraId="42DF27DB">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 xml:space="preserve">37.3 </w:t>
      </w:r>
      <w:r>
        <w:rPr>
          <w:rFonts w:hint="eastAsia" w:ascii="宋体" w:hAnsi="宋体"/>
          <w:color w:val="000000"/>
          <w:sz w:val="24"/>
          <w:szCs w:val="24"/>
          <w:highlight w:val="none"/>
        </w:rPr>
        <w:t>评标结束后，评标委员会递交评标报告并依法推荐中标候选人。</w:t>
      </w:r>
    </w:p>
    <w:p w14:paraId="0608E384">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38</w:t>
      </w:r>
      <w:r>
        <w:rPr>
          <w:rFonts w:hint="eastAsia" w:ascii="宋体" w:hAnsi="宋体"/>
          <w:color w:val="000000"/>
          <w:sz w:val="24"/>
          <w:szCs w:val="24"/>
          <w:highlight w:val="none"/>
        </w:rPr>
        <w:t>．投标文件的澄清</w:t>
      </w:r>
    </w:p>
    <w:p w14:paraId="1E0CE219">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38.1</w:t>
      </w:r>
      <w:r>
        <w:rPr>
          <w:rFonts w:hint="eastAsia" w:ascii="宋体" w:hAnsi="宋体"/>
          <w:color w:val="000000"/>
          <w:sz w:val="24"/>
          <w:szCs w:val="24"/>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w:t>
      </w:r>
      <w:r>
        <w:rPr>
          <w:rFonts w:hint="eastAsia" w:ascii="宋体" w:hAnsi="宋体"/>
          <w:color w:val="000000"/>
          <w:sz w:val="24"/>
          <w:szCs w:val="24"/>
          <w:highlight w:val="none"/>
          <w:u w:val="single"/>
        </w:rPr>
        <w:t>、对同类问题表述不一致、有明显文字和计算错误的内容以及细微偏差</w:t>
      </w:r>
      <w:r>
        <w:rPr>
          <w:rFonts w:hint="eastAsia" w:ascii="宋体" w:hAnsi="宋体"/>
          <w:color w:val="000000"/>
          <w:sz w:val="24"/>
          <w:szCs w:val="24"/>
          <w:highlight w:val="none"/>
        </w:rPr>
        <w:t>的内容作出澄清。</w:t>
      </w:r>
    </w:p>
    <w:p w14:paraId="6F4A93D3">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 xml:space="preserve">38.2 </w:t>
      </w:r>
      <w:r>
        <w:rPr>
          <w:rFonts w:hint="eastAsia" w:ascii="宋体" w:hAnsi="宋体"/>
          <w:color w:val="000000"/>
          <w:sz w:val="24"/>
          <w:szCs w:val="24"/>
          <w:highlight w:val="none"/>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1B15EF14">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 xml:space="preserve">38.3 </w:t>
      </w:r>
      <w:r>
        <w:rPr>
          <w:rFonts w:hint="eastAsia" w:ascii="宋体" w:hAnsi="宋体"/>
          <w:color w:val="000000"/>
          <w:sz w:val="24"/>
          <w:szCs w:val="24"/>
          <w:highlight w:val="none"/>
        </w:rPr>
        <w:t>评标委员会或评标委员会专业评审组成员均应当阅读投标人的澄清，但应独立参考澄清对投标文件进行评审。</w:t>
      </w:r>
    </w:p>
    <w:p w14:paraId="33819B9F">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38.4</w:t>
      </w:r>
      <w:r>
        <w:rPr>
          <w:rFonts w:hint="eastAsia" w:ascii="宋体" w:hAnsi="宋体"/>
          <w:color w:val="000000"/>
          <w:sz w:val="24"/>
          <w:szCs w:val="24"/>
          <w:highlight w:val="none"/>
        </w:rPr>
        <w:t>如果投标文件实质上不响应招标文件的各项要求，评标委员会将按照符合性审查标准予以拒绝，不接受投标人通过修改或撤销其不符合要求的差异或保留，使之成为具有响应性的投标。</w:t>
      </w:r>
    </w:p>
    <w:p w14:paraId="0E3BF5EF">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2D569D21">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39</w:t>
      </w:r>
      <w:r>
        <w:rPr>
          <w:rFonts w:hint="eastAsia" w:ascii="宋体" w:hAnsi="宋体"/>
          <w:color w:val="000000"/>
          <w:sz w:val="24"/>
          <w:szCs w:val="24"/>
          <w:highlight w:val="none"/>
        </w:rPr>
        <w:t>．定标</w:t>
      </w:r>
    </w:p>
    <w:p w14:paraId="6ED6C384">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 xml:space="preserve">39.1 </w:t>
      </w:r>
      <w:r>
        <w:rPr>
          <w:rFonts w:hint="eastAsia" w:ascii="宋体" w:hAnsi="宋体"/>
          <w:color w:val="000000"/>
          <w:sz w:val="24"/>
          <w:szCs w:val="24"/>
          <w:highlight w:val="none"/>
        </w:rPr>
        <w:t>招标人根据评标委员会递交的评标报告，最终审定中标人。</w:t>
      </w:r>
    </w:p>
    <w:p w14:paraId="40179890">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 xml:space="preserve">39.2 </w:t>
      </w:r>
      <w:r>
        <w:rPr>
          <w:rFonts w:hint="eastAsia" w:ascii="宋体" w:hAnsi="宋体"/>
          <w:color w:val="000000"/>
          <w:sz w:val="24"/>
          <w:szCs w:val="24"/>
          <w:highlight w:val="none"/>
        </w:rPr>
        <w:t>依法必须进行公开招标的项目，招标人应当确定排名第一的中标候选人为中标人。</w:t>
      </w:r>
    </w:p>
    <w:p w14:paraId="64449EA8">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39.3</w:t>
      </w:r>
      <w:r>
        <w:rPr>
          <w:rFonts w:hint="eastAsia" w:ascii="宋体" w:hAnsi="宋体"/>
          <w:color w:val="000000"/>
          <w:sz w:val="24"/>
          <w:szCs w:val="24"/>
          <w:highlight w:val="none"/>
        </w:rPr>
        <w:t>排名第一的中标候选人放弃中标、或因不可抗力提出不能履行合同，或者招标文件规定应当提交履约担保而在规定的期限内未能提交的，</w:t>
      </w:r>
      <w:r>
        <w:rPr>
          <w:rFonts w:hint="eastAsia" w:ascii="宋体" w:hAnsi="宋体"/>
          <w:color w:val="000000"/>
          <w:sz w:val="24"/>
          <w:szCs w:val="24"/>
          <w:highlight w:val="none"/>
          <w:u w:val="single"/>
        </w:rPr>
        <w:t>或经核查发现委派的项目负责人已在其他在建项目中任本职的</w:t>
      </w:r>
      <w:r>
        <w:rPr>
          <w:rFonts w:hint="eastAsia" w:ascii="宋体" w:hAnsi="宋体"/>
          <w:color w:val="000000"/>
          <w:sz w:val="24"/>
          <w:szCs w:val="24"/>
          <w:highlight w:val="none"/>
        </w:rPr>
        <w:t>，招标人可以确定排名第二的中标候选人为中标人。</w:t>
      </w:r>
    </w:p>
    <w:p w14:paraId="378784C6">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39.4</w:t>
      </w:r>
      <w:r>
        <w:rPr>
          <w:rFonts w:hint="eastAsia" w:ascii="宋体" w:hAnsi="宋体"/>
          <w:color w:val="000000"/>
          <w:sz w:val="24"/>
          <w:szCs w:val="24"/>
          <w:highlight w:val="none"/>
        </w:rPr>
        <w:t>排名第二的中标候选人出现前款所列的情形的，招标人可以确定排名第三的中标候选人为中标人。以此类推，如所有中标候选人均出现前款所列的情形，为招标失败，招标人依法重新招标。</w:t>
      </w:r>
    </w:p>
    <w:p w14:paraId="64FD6F6D">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14:paraId="69A89E15">
      <w:pPr>
        <w:pStyle w:val="4"/>
        <w:spacing w:before="156" w:after="156"/>
        <w:ind w:firstLine="482" w:firstLineChars="200"/>
        <w:rPr>
          <w:rFonts w:cs="宋体"/>
          <w:b/>
          <w:bCs/>
          <w:color w:val="000000"/>
          <w:sz w:val="24"/>
          <w:szCs w:val="24"/>
          <w:highlight w:val="none"/>
        </w:rPr>
      </w:pPr>
      <w:bookmarkStart w:id="34" w:name="_Toc58188159"/>
      <w:bookmarkStart w:id="35" w:name="_Toc1465"/>
      <w:bookmarkStart w:id="36" w:name="_Toc23506125"/>
      <w:bookmarkStart w:id="37" w:name="_Toc28700684"/>
      <w:bookmarkStart w:id="38" w:name="_Toc42872329"/>
      <w:bookmarkStart w:id="39" w:name="_Toc14780038"/>
      <w:bookmarkStart w:id="40" w:name="_Toc50391301"/>
      <w:r>
        <w:rPr>
          <w:rFonts w:hint="eastAsia" w:cs="宋体"/>
          <w:b/>
          <w:bCs/>
          <w:color w:val="000000"/>
          <w:sz w:val="24"/>
          <w:szCs w:val="24"/>
          <w:highlight w:val="none"/>
        </w:rPr>
        <w:t>（二）开标评标办法程序和细则</w:t>
      </w:r>
      <w:bookmarkEnd w:id="34"/>
      <w:bookmarkEnd w:id="35"/>
      <w:bookmarkEnd w:id="36"/>
      <w:bookmarkEnd w:id="37"/>
      <w:bookmarkEnd w:id="38"/>
      <w:bookmarkEnd w:id="39"/>
      <w:bookmarkEnd w:id="40"/>
    </w:p>
    <w:p w14:paraId="04C584A4">
      <w:pPr>
        <w:pStyle w:val="4"/>
        <w:ind w:firstLine="420" w:firstLineChars="200"/>
        <w:rPr>
          <w:kern w:val="2"/>
          <w:sz w:val="21"/>
          <w:szCs w:val="21"/>
          <w:highlight w:val="none"/>
        </w:rPr>
      </w:pPr>
      <w:bookmarkStart w:id="41" w:name="_Toc58188160"/>
      <w:bookmarkStart w:id="42" w:name="_Toc15188"/>
      <w:bookmarkStart w:id="43" w:name="_Toc42872330"/>
      <w:bookmarkStart w:id="44" w:name="_Toc23506126"/>
      <w:bookmarkStart w:id="45" w:name="_Toc50391302"/>
      <w:bookmarkStart w:id="46" w:name="_Toc28700685"/>
      <w:r>
        <w:rPr>
          <w:rFonts w:hint="eastAsia"/>
          <w:kern w:val="2"/>
          <w:sz w:val="21"/>
          <w:szCs w:val="21"/>
          <w:highlight w:val="none"/>
        </w:rPr>
        <w:t>注：以下八种评标办法所述企业综合诚信评价分数即投标截止当日广州市工程招标代理行业协会网站上公布的企业综合诚信评价60日诚信分。本项目不设置诚信排名计分。</w:t>
      </w:r>
    </w:p>
    <w:p w14:paraId="287E4878">
      <w:pPr>
        <w:pStyle w:val="4"/>
        <w:spacing w:before="156" w:after="156"/>
        <w:ind w:firstLine="420" w:firstLineChars="200"/>
        <w:rPr>
          <w:kern w:val="2"/>
          <w:sz w:val="21"/>
          <w:szCs w:val="21"/>
          <w:highlight w:val="none"/>
        </w:rPr>
      </w:pPr>
      <w:r>
        <w:rPr>
          <w:rFonts w:hint="eastAsia"/>
          <w:kern w:val="2"/>
          <w:sz w:val="21"/>
          <w:szCs w:val="21"/>
          <w:highlight w:val="none"/>
        </w:rPr>
        <w:t>可选办法七（适合综合评分法四，技术标与经济标同时开启）</w:t>
      </w:r>
    </w:p>
    <w:p w14:paraId="0FAEE29D">
      <w:pPr>
        <w:pStyle w:val="4"/>
        <w:spacing w:before="156" w:after="156"/>
        <w:ind w:firstLine="420" w:firstLineChars="200"/>
        <w:rPr>
          <w:kern w:val="2"/>
          <w:sz w:val="21"/>
          <w:szCs w:val="21"/>
          <w:highlight w:val="none"/>
        </w:rPr>
      </w:pPr>
      <w:r>
        <w:rPr>
          <w:rFonts w:hint="eastAsia"/>
          <w:kern w:val="2"/>
          <w:sz w:val="21"/>
          <w:szCs w:val="21"/>
          <w:highlight w:val="none"/>
        </w:rPr>
        <w:t>40．开标和评标程序</w:t>
      </w:r>
    </w:p>
    <w:p w14:paraId="43384B4B">
      <w:pPr>
        <w:pStyle w:val="4"/>
        <w:spacing w:before="156" w:after="156"/>
        <w:ind w:firstLine="420" w:firstLineChars="200"/>
        <w:rPr>
          <w:kern w:val="2"/>
          <w:sz w:val="21"/>
          <w:szCs w:val="21"/>
          <w:highlight w:val="none"/>
        </w:rPr>
      </w:pPr>
      <w:r>
        <w:rPr>
          <w:rFonts w:hint="eastAsia"/>
          <w:kern w:val="2"/>
          <w:sz w:val="21"/>
          <w:szCs w:val="21"/>
          <w:highlight w:val="none"/>
        </w:rPr>
        <w:t>40.1技术标（含资格审查文件）与经济标投标文件同时公开开标；</w:t>
      </w:r>
    </w:p>
    <w:p w14:paraId="61AD672B">
      <w:pPr>
        <w:pStyle w:val="4"/>
        <w:spacing w:before="156" w:after="156"/>
        <w:ind w:firstLine="420" w:firstLineChars="200"/>
        <w:rPr>
          <w:kern w:val="2"/>
          <w:sz w:val="21"/>
          <w:szCs w:val="21"/>
          <w:highlight w:val="none"/>
        </w:rPr>
      </w:pPr>
      <w:r>
        <w:rPr>
          <w:rFonts w:hint="eastAsia"/>
          <w:kern w:val="2"/>
          <w:sz w:val="21"/>
          <w:szCs w:val="21"/>
          <w:highlight w:val="none"/>
        </w:rPr>
        <w:t>40.2由评标委员会对所有已公开开标的投标人进行资格审查；</w:t>
      </w:r>
    </w:p>
    <w:p w14:paraId="545BBE2D">
      <w:pPr>
        <w:pStyle w:val="4"/>
        <w:spacing w:before="156" w:after="156"/>
        <w:ind w:firstLine="420" w:firstLineChars="200"/>
        <w:rPr>
          <w:kern w:val="2"/>
          <w:sz w:val="21"/>
          <w:szCs w:val="21"/>
          <w:highlight w:val="none"/>
        </w:rPr>
      </w:pPr>
      <w:r>
        <w:rPr>
          <w:rFonts w:hint="eastAsia"/>
          <w:kern w:val="2"/>
          <w:sz w:val="21"/>
          <w:szCs w:val="21"/>
          <w:highlight w:val="none"/>
        </w:rPr>
        <w:t>40.3技术标投标文件有效性审查；</w:t>
      </w:r>
    </w:p>
    <w:p w14:paraId="5E9BB138">
      <w:pPr>
        <w:pStyle w:val="4"/>
        <w:spacing w:before="156" w:after="156"/>
        <w:ind w:firstLine="420" w:firstLineChars="200"/>
        <w:rPr>
          <w:kern w:val="2"/>
          <w:sz w:val="21"/>
          <w:szCs w:val="21"/>
          <w:highlight w:val="none"/>
        </w:rPr>
      </w:pPr>
      <w:r>
        <w:rPr>
          <w:rFonts w:hint="eastAsia"/>
          <w:kern w:val="2"/>
          <w:sz w:val="21"/>
          <w:szCs w:val="21"/>
          <w:highlight w:val="none"/>
        </w:rPr>
        <w:t>40.4技术标详细审查评分；</w:t>
      </w:r>
    </w:p>
    <w:p w14:paraId="15EA8843">
      <w:pPr>
        <w:pStyle w:val="4"/>
        <w:spacing w:before="156" w:after="156"/>
        <w:ind w:firstLine="420" w:firstLineChars="200"/>
        <w:rPr>
          <w:kern w:val="2"/>
          <w:sz w:val="21"/>
          <w:szCs w:val="21"/>
          <w:highlight w:val="none"/>
        </w:rPr>
      </w:pPr>
      <w:r>
        <w:rPr>
          <w:rFonts w:hint="eastAsia"/>
          <w:kern w:val="2"/>
          <w:sz w:val="21"/>
          <w:szCs w:val="21"/>
          <w:highlight w:val="none"/>
        </w:rPr>
        <w:t xml:space="preserve">40.5经济标详细审查评分； </w:t>
      </w:r>
    </w:p>
    <w:p w14:paraId="617A40CA">
      <w:pPr>
        <w:pStyle w:val="4"/>
        <w:spacing w:before="156" w:after="156"/>
        <w:ind w:firstLine="420" w:firstLineChars="200"/>
        <w:rPr>
          <w:kern w:val="2"/>
          <w:sz w:val="21"/>
          <w:szCs w:val="21"/>
          <w:highlight w:val="none"/>
        </w:rPr>
      </w:pPr>
      <w:r>
        <w:rPr>
          <w:rFonts w:hint="eastAsia"/>
          <w:kern w:val="2"/>
          <w:sz w:val="21"/>
          <w:szCs w:val="21"/>
          <w:highlight w:val="none"/>
        </w:rPr>
        <w:t>40.6评标委员会按照投标人总得分由高至低排序；</w:t>
      </w:r>
    </w:p>
    <w:p w14:paraId="2A14660B">
      <w:pPr>
        <w:pStyle w:val="4"/>
        <w:spacing w:before="156" w:after="156"/>
        <w:ind w:firstLine="420" w:firstLineChars="200"/>
        <w:rPr>
          <w:kern w:val="2"/>
          <w:sz w:val="21"/>
          <w:szCs w:val="21"/>
          <w:highlight w:val="none"/>
        </w:rPr>
      </w:pPr>
      <w:r>
        <w:rPr>
          <w:rFonts w:hint="eastAsia"/>
          <w:kern w:val="2"/>
          <w:sz w:val="21"/>
          <w:szCs w:val="21"/>
          <w:highlight w:val="none"/>
        </w:rPr>
        <w:t>40.7经济标投标文件有效性审查；</w:t>
      </w:r>
    </w:p>
    <w:p w14:paraId="6B9B739C">
      <w:pPr>
        <w:pStyle w:val="4"/>
        <w:spacing w:before="156" w:after="156"/>
        <w:ind w:firstLine="420" w:firstLineChars="200"/>
        <w:rPr>
          <w:kern w:val="2"/>
          <w:sz w:val="21"/>
          <w:szCs w:val="21"/>
          <w:highlight w:val="none"/>
        </w:rPr>
      </w:pPr>
      <w:r>
        <w:rPr>
          <w:rFonts w:hint="eastAsia"/>
          <w:kern w:val="2"/>
          <w:sz w:val="21"/>
          <w:szCs w:val="21"/>
          <w:highlight w:val="none"/>
        </w:rPr>
        <w:t>40.8评标委员会按排序向招标人推荐中标候选人名单，并递交资格审查报告及评标报告。</w:t>
      </w:r>
    </w:p>
    <w:p w14:paraId="45AF09AE">
      <w:pPr>
        <w:pStyle w:val="4"/>
        <w:spacing w:before="156" w:after="156"/>
        <w:ind w:firstLine="420" w:firstLineChars="200"/>
        <w:rPr>
          <w:kern w:val="2"/>
          <w:sz w:val="21"/>
          <w:szCs w:val="21"/>
          <w:highlight w:val="none"/>
        </w:rPr>
      </w:pPr>
      <w:r>
        <w:rPr>
          <w:rFonts w:hint="eastAsia"/>
          <w:kern w:val="2"/>
          <w:sz w:val="21"/>
          <w:szCs w:val="21"/>
          <w:highlight w:val="none"/>
        </w:rPr>
        <w:t>41．开标细则</w:t>
      </w:r>
    </w:p>
    <w:p w14:paraId="6713222A">
      <w:pPr>
        <w:pStyle w:val="4"/>
        <w:spacing w:before="156" w:after="156"/>
        <w:ind w:firstLine="420" w:firstLineChars="200"/>
        <w:rPr>
          <w:kern w:val="2"/>
          <w:sz w:val="21"/>
          <w:szCs w:val="21"/>
          <w:highlight w:val="none"/>
        </w:rPr>
      </w:pPr>
      <w:r>
        <w:rPr>
          <w:rFonts w:hint="eastAsia"/>
          <w:kern w:val="2"/>
          <w:sz w:val="21"/>
          <w:szCs w:val="21"/>
          <w:highlight w:val="none"/>
        </w:rPr>
        <w:t>41.1开标由招标人主持；</w:t>
      </w:r>
    </w:p>
    <w:p w14:paraId="641289CF">
      <w:pPr>
        <w:pStyle w:val="4"/>
        <w:spacing w:before="156" w:after="156"/>
        <w:ind w:firstLine="420" w:firstLineChars="200"/>
        <w:rPr>
          <w:kern w:val="2"/>
          <w:sz w:val="21"/>
          <w:szCs w:val="21"/>
          <w:highlight w:val="none"/>
        </w:rPr>
      </w:pPr>
      <w:r>
        <w:rPr>
          <w:rFonts w:hint="eastAsia"/>
          <w:kern w:val="2"/>
          <w:sz w:val="21"/>
          <w:szCs w:val="21"/>
          <w:highlight w:val="none"/>
        </w:rPr>
        <w:t>41.2 细则</w:t>
      </w:r>
    </w:p>
    <w:p w14:paraId="363DC143">
      <w:pPr>
        <w:pStyle w:val="4"/>
        <w:spacing w:before="156" w:after="156"/>
        <w:ind w:firstLine="420" w:firstLineChars="200"/>
        <w:rPr>
          <w:kern w:val="2"/>
          <w:sz w:val="21"/>
          <w:szCs w:val="21"/>
          <w:highlight w:val="none"/>
        </w:rPr>
      </w:pPr>
      <w:r>
        <w:rPr>
          <w:rFonts w:hint="eastAsia"/>
          <w:kern w:val="2"/>
          <w:sz w:val="21"/>
          <w:szCs w:val="21"/>
          <w:highlight w:val="none"/>
        </w:rPr>
        <w:t xml:space="preserve">41.2.1投标截止期前，各投标人递交投标文件（包括技术标投标文件、经济标投标文件）至        交易平台。有关投标文件提交的事项详见第一章投标须知。 </w:t>
      </w:r>
    </w:p>
    <w:p w14:paraId="7A2BF2DD">
      <w:pPr>
        <w:pStyle w:val="4"/>
        <w:spacing w:before="156" w:after="156"/>
        <w:ind w:firstLine="420" w:firstLineChars="200"/>
        <w:rPr>
          <w:kern w:val="2"/>
          <w:sz w:val="21"/>
          <w:szCs w:val="21"/>
          <w:highlight w:val="none"/>
        </w:rPr>
      </w:pPr>
      <w:r>
        <w:rPr>
          <w:rFonts w:hint="eastAsia"/>
          <w:kern w:val="2"/>
          <w:sz w:val="21"/>
          <w:szCs w:val="21"/>
          <w:highlight w:val="none"/>
        </w:rPr>
        <w:t>41.2.2开标前，首先由招标人随机抽取确定该工程计算评标参考价的等分点值X。</w:t>
      </w:r>
    </w:p>
    <w:p w14:paraId="03110C17">
      <w:pPr>
        <w:pStyle w:val="4"/>
        <w:spacing w:before="156" w:after="156"/>
        <w:ind w:firstLine="420" w:firstLineChars="200"/>
        <w:rPr>
          <w:kern w:val="2"/>
          <w:sz w:val="21"/>
          <w:szCs w:val="21"/>
          <w:highlight w:val="none"/>
        </w:rPr>
      </w:pPr>
      <w:r>
        <w:rPr>
          <w:rFonts w:hint="eastAsia"/>
          <w:kern w:val="2"/>
          <w:sz w:val="21"/>
          <w:szCs w:val="21"/>
          <w:highlight w:val="none"/>
        </w:rPr>
        <w:t>41.2.3开标时，投标人代表有权出席开标会，也可以自主决定不参加开标会，若投标人代表对开标过程提出异议，该投标人代表须同时出示本人身份证原件。</w:t>
      </w:r>
    </w:p>
    <w:p w14:paraId="40096EF3">
      <w:pPr>
        <w:pStyle w:val="4"/>
        <w:spacing w:before="156" w:after="156"/>
        <w:ind w:firstLine="420" w:firstLineChars="200"/>
        <w:rPr>
          <w:kern w:val="2"/>
          <w:sz w:val="21"/>
          <w:szCs w:val="21"/>
          <w:highlight w:val="none"/>
        </w:rPr>
      </w:pPr>
      <w:r>
        <w:rPr>
          <w:rFonts w:hint="eastAsia"/>
          <w:kern w:val="2"/>
          <w:sz w:val="21"/>
          <w:szCs w:val="21"/>
          <w:highlight w:val="none"/>
        </w:rPr>
        <w:t xml:space="preserve">41.2.4按36.5.1的规定完成解密后，公布下列内容，并予以记录，记录提交评标委员会评审： </w:t>
      </w:r>
    </w:p>
    <w:p w14:paraId="44F23AA5">
      <w:pPr>
        <w:pStyle w:val="4"/>
        <w:spacing w:before="156" w:after="156"/>
        <w:ind w:firstLine="420" w:firstLineChars="200"/>
        <w:rPr>
          <w:kern w:val="2"/>
          <w:sz w:val="21"/>
          <w:szCs w:val="21"/>
          <w:highlight w:val="none"/>
        </w:rPr>
      </w:pPr>
      <w:r>
        <w:rPr>
          <w:rFonts w:hint="eastAsia"/>
          <w:kern w:val="2"/>
          <w:sz w:val="21"/>
          <w:szCs w:val="21"/>
          <w:highlight w:val="none"/>
        </w:rPr>
        <w:t>41.2.4.1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14:paraId="1BC098AC">
      <w:pPr>
        <w:pStyle w:val="4"/>
        <w:spacing w:before="156" w:after="156"/>
        <w:ind w:firstLine="420" w:firstLineChars="200"/>
        <w:rPr>
          <w:kern w:val="2"/>
          <w:sz w:val="21"/>
          <w:szCs w:val="21"/>
          <w:highlight w:val="none"/>
        </w:rPr>
      </w:pPr>
      <w:r>
        <w:rPr>
          <w:rFonts w:hint="eastAsia"/>
          <w:kern w:val="2"/>
          <w:sz w:val="21"/>
          <w:szCs w:val="21"/>
          <w:highlight w:val="none"/>
        </w:rPr>
        <w:t>41.3招标人对开标过程进行记录，并存档备查，投标人在技术标开标记录上签字。</w:t>
      </w:r>
    </w:p>
    <w:p w14:paraId="46ADB1F6">
      <w:pPr>
        <w:pStyle w:val="4"/>
        <w:spacing w:before="156" w:after="156"/>
        <w:ind w:firstLine="420" w:firstLineChars="200"/>
        <w:rPr>
          <w:kern w:val="2"/>
          <w:sz w:val="21"/>
          <w:szCs w:val="21"/>
          <w:highlight w:val="none"/>
        </w:rPr>
      </w:pPr>
      <w:r>
        <w:rPr>
          <w:rFonts w:hint="eastAsia"/>
          <w:kern w:val="2"/>
          <w:sz w:val="21"/>
          <w:szCs w:val="21"/>
          <w:highlight w:val="none"/>
        </w:rPr>
        <w:t>41.4 招标人将上述符合要求的投标文件，送至评标委员会进行评审。</w:t>
      </w:r>
    </w:p>
    <w:p w14:paraId="1090FC0B">
      <w:pPr>
        <w:pStyle w:val="4"/>
        <w:spacing w:before="156" w:after="156"/>
        <w:ind w:firstLine="420" w:firstLineChars="200"/>
        <w:rPr>
          <w:kern w:val="2"/>
          <w:sz w:val="21"/>
          <w:szCs w:val="21"/>
          <w:highlight w:val="none"/>
        </w:rPr>
      </w:pPr>
      <w:r>
        <w:rPr>
          <w:rFonts w:hint="eastAsia"/>
          <w:kern w:val="2"/>
          <w:sz w:val="21"/>
          <w:szCs w:val="21"/>
          <w:highlight w:val="none"/>
        </w:rPr>
        <w:t>42. 资格审查及评标细则</w:t>
      </w:r>
    </w:p>
    <w:p w14:paraId="2521E506">
      <w:pPr>
        <w:pStyle w:val="4"/>
        <w:spacing w:before="156" w:after="156"/>
        <w:ind w:firstLine="420" w:firstLineChars="200"/>
        <w:rPr>
          <w:kern w:val="2"/>
          <w:sz w:val="21"/>
          <w:szCs w:val="21"/>
          <w:highlight w:val="none"/>
        </w:rPr>
      </w:pPr>
      <w:r>
        <w:rPr>
          <w:rFonts w:hint="eastAsia"/>
          <w:kern w:val="2"/>
          <w:sz w:val="21"/>
          <w:szCs w:val="21"/>
          <w:highlight w:val="none"/>
        </w:rPr>
        <w:t>42.1资格审查及评标均由招标人依法组建的评标委员会负责。</w:t>
      </w:r>
    </w:p>
    <w:p w14:paraId="205BE568">
      <w:pPr>
        <w:pStyle w:val="4"/>
        <w:spacing w:before="156" w:after="156"/>
        <w:ind w:firstLine="420" w:firstLineChars="200"/>
        <w:rPr>
          <w:kern w:val="2"/>
          <w:sz w:val="21"/>
          <w:szCs w:val="21"/>
          <w:highlight w:val="none"/>
        </w:rPr>
      </w:pPr>
      <w:r>
        <w:rPr>
          <w:rFonts w:hint="eastAsia"/>
          <w:kern w:val="2"/>
          <w:sz w:val="21"/>
          <w:szCs w:val="21"/>
          <w:highlight w:val="none"/>
        </w:rPr>
        <w:t>42.2评标委员会的组成：方式   。</w:t>
      </w:r>
    </w:p>
    <w:p w14:paraId="007C928A">
      <w:pPr>
        <w:pStyle w:val="4"/>
        <w:spacing w:before="156" w:after="156"/>
        <w:ind w:firstLine="420" w:firstLineChars="200"/>
        <w:rPr>
          <w:kern w:val="2"/>
          <w:sz w:val="21"/>
          <w:szCs w:val="21"/>
          <w:highlight w:val="none"/>
        </w:rPr>
      </w:pPr>
      <w:r>
        <w:rPr>
          <w:rFonts w:hint="eastAsia"/>
          <w:kern w:val="2"/>
          <w:sz w:val="21"/>
          <w:szCs w:val="21"/>
          <w:highlight w:val="none"/>
        </w:rPr>
        <w:t>方式一：评标委员会为综合评标委员会，负责资格审查及评标工作。</w:t>
      </w:r>
    </w:p>
    <w:p w14:paraId="460E5DBF">
      <w:pPr>
        <w:pStyle w:val="4"/>
        <w:spacing w:before="156" w:after="156"/>
        <w:ind w:firstLine="420" w:firstLineChars="200"/>
        <w:rPr>
          <w:kern w:val="2"/>
          <w:sz w:val="21"/>
          <w:szCs w:val="21"/>
          <w:highlight w:val="none"/>
        </w:rPr>
      </w:pPr>
      <w:r>
        <w:rPr>
          <w:rFonts w:hint="eastAsia"/>
          <w:kern w:val="2"/>
          <w:sz w:val="21"/>
          <w:szCs w:val="21"/>
          <w:highlight w:val="none"/>
        </w:rPr>
        <w:t>方式二：评标委员会由技术评审组和经济评审组组成。其中：资格审查及技术评审由技术评标组负责，经济评审由经济评审组负责。</w:t>
      </w:r>
    </w:p>
    <w:p w14:paraId="302F4945">
      <w:pPr>
        <w:pStyle w:val="4"/>
        <w:spacing w:before="156" w:after="156"/>
        <w:ind w:firstLine="420" w:firstLineChars="200"/>
        <w:rPr>
          <w:kern w:val="2"/>
          <w:sz w:val="21"/>
          <w:szCs w:val="21"/>
          <w:highlight w:val="none"/>
        </w:rPr>
      </w:pPr>
      <w:r>
        <w:rPr>
          <w:rFonts w:hint="eastAsia"/>
          <w:kern w:val="2"/>
          <w:sz w:val="21"/>
          <w:szCs w:val="21"/>
          <w:highlight w:val="none"/>
        </w:rPr>
        <w:t>43．投标人资格审查</w:t>
      </w:r>
    </w:p>
    <w:p w14:paraId="211ABC0D">
      <w:pPr>
        <w:pStyle w:val="4"/>
        <w:spacing w:before="156" w:after="156"/>
        <w:ind w:firstLine="420" w:firstLineChars="200"/>
        <w:rPr>
          <w:kern w:val="2"/>
          <w:sz w:val="21"/>
          <w:szCs w:val="21"/>
          <w:highlight w:val="none"/>
        </w:rPr>
      </w:pPr>
      <w:r>
        <w:rPr>
          <w:rFonts w:hint="eastAsia"/>
          <w:kern w:val="2"/>
          <w:sz w:val="21"/>
          <w:szCs w:val="21"/>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w:t>
      </w:r>
    </w:p>
    <w:p w14:paraId="19AD0C5A">
      <w:pPr>
        <w:pStyle w:val="4"/>
        <w:spacing w:before="156" w:after="156"/>
        <w:ind w:firstLine="420" w:firstLineChars="200"/>
        <w:rPr>
          <w:kern w:val="2"/>
          <w:sz w:val="21"/>
          <w:szCs w:val="21"/>
          <w:highlight w:val="none"/>
        </w:rPr>
      </w:pPr>
      <w:r>
        <w:rPr>
          <w:rFonts w:hint="eastAsia"/>
          <w:kern w:val="2"/>
          <w:sz w:val="21"/>
          <w:szCs w:val="21"/>
          <w:highlight w:val="none"/>
        </w:rPr>
        <w:t>43.2汇总资格审查情况，编写资格审查报告。</w:t>
      </w:r>
    </w:p>
    <w:p w14:paraId="1EBF9311">
      <w:pPr>
        <w:pStyle w:val="4"/>
        <w:spacing w:before="156" w:after="156"/>
        <w:ind w:firstLine="420" w:firstLineChars="200"/>
        <w:rPr>
          <w:kern w:val="2"/>
          <w:sz w:val="21"/>
          <w:szCs w:val="21"/>
          <w:highlight w:val="none"/>
        </w:rPr>
      </w:pPr>
      <w:r>
        <w:rPr>
          <w:rFonts w:hint="eastAsia"/>
          <w:kern w:val="2"/>
          <w:sz w:val="21"/>
          <w:szCs w:val="21"/>
          <w:highlight w:val="none"/>
        </w:rPr>
        <w:t>43.3资格审查不合格的投标文件不参加下一阶段的评标，不参与评标参考价的计算。</w:t>
      </w:r>
    </w:p>
    <w:p w14:paraId="3679B9C2">
      <w:pPr>
        <w:pStyle w:val="4"/>
        <w:spacing w:before="156" w:after="156"/>
        <w:ind w:firstLine="420" w:firstLineChars="200"/>
        <w:rPr>
          <w:kern w:val="2"/>
          <w:sz w:val="21"/>
          <w:szCs w:val="21"/>
          <w:highlight w:val="none"/>
        </w:rPr>
      </w:pPr>
      <w:r>
        <w:rPr>
          <w:rFonts w:hint="eastAsia"/>
          <w:kern w:val="2"/>
          <w:sz w:val="21"/>
          <w:szCs w:val="21"/>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76D8255C">
      <w:pPr>
        <w:pStyle w:val="4"/>
        <w:spacing w:before="156" w:after="156"/>
        <w:ind w:firstLine="420" w:firstLineChars="200"/>
        <w:rPr>
          <w:kern w:val="2"/>
          <w:sz w:val="21"/>
          <w:szCs w:val="21"/>
          <w:highlight w:val="none"/>
        </w:rPr>
      </w:pPr>
      <w:r>
        <w:rPr>
          <w:rFonts w:hint="eastAsia"/>
          <w:kern w:val="2"/>
          <w:sz w:val="21"/>
          <w:szCs w:val="21"/>
          <w:highlight w:val="none"/>
        </w:rPr>
        <w:t>43.5资审合格后，投标人的资格发生变化而不满足投标人合格条件，在发出中标通知书前，资格问题仍未解决的，招标人将取消其中标资格。</w:t>
      </w:r>
    </w:p>
    <w:p w14:paraId="5D1E2B1D">
      <w:pPr>
        <w:pStyle w:val="4"/>
        <w:spacing w:before="156" w:after="156"/>
        <w:ind w:firstLine="420" w:firstLineChars="200"/>
        <w:rPr>
          <w:kern w:val="2"/>
          <w:sz w:val="21"/>
          <w:szCs w:val="21"/>
          <w:highlight w:val="none"/>
        </w:rPr>
      </w:pPr>
      <w:r>
        <w:rPr>
          <w:rFonts w:hint="eastAsia"/>
          <w:kern w:val="2"/>
          <w:sz w:val="21"/>
          <w:szCs w:val="21"/>
          <w:highlight w:val="none"/>
        </w:rPr>
        <w:t>43.6资格审查合格的投标人少于3名的（当N个标段同时招标且不允许兼中时，资格审查合格的投标人少于N+2名），则本项目招标失败。</w:t>
      </w:r>
    </w:p>
    <w:p w14:paraId="6968D891">
      <w:pPr>
        <w:pStyle w:val="4"/>
        <w:spacing w:before="156" w:after="156"/>
        <w:ind w:firstLine="420" w:firstLineChars="200"/>
        <w:rPr>
          <w:kern w:val="2"/>
          <w:sz w:val="21"/>
          <w:szCs w:val="21"/>
          <w:highlight w:val="none"/>
        </w:rPr>
      </w:pPr>
      <w:r>
        <w:rPr>
          <w:rFonts w:hint="eastAsia"/>
          <w:kern w:val="2"/>
          <w:sz w:val="21"/>
          <w:szCs w:val="21"/>
          <w:highlight w:val="none"/>
        </w:rPr>
        <w:t>44．技术标评审</w:t>
      </w:r>
    </w:p>
    <w:p w14:paraId="76491521">
      <w:pPr>
        <w:pStyle w:val="4"/>
        <w:spacing w:before="156" w:after="156"/>
        <w:ind w:firstLine="420" w:firstLineChars="200"/>
        <w:rPr>
          <w:kern w:val="2"/>
          <w:sz w:val="21"/>
          <w:szCs w:val="21"/>
          <w:highlight w:val="none"/>
        </w:rPr>
      </w:pPr>
      <w:r>
        <w:rPr>
          <w:rFonts w:hint="eastAsia"/>
          <w:kern w:val="2"/>
          <w:sz w:val="21"/>
          <w:szCs w:val="21"/>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w:t>
      </w:r>
    </w:p>
    <w:p w14:paraId="6CBC86C0">
      <w:pPr>
        <w:pStyle w:val="4"/>
        <w:spacing w:before="156" w:after="156"/>
        <w:ind w:firstLine="420" w:firstLineChars="200"/>
        <w:rPr>
          <w:kern w:val="2"/>
          <w:sz w:val="21"/>
          <w:szCs w:val="21"/>
          <w:highlight w:val="none"/>
        </w:rPr>
      </w:pPr>
      <w:r>
        <w:rPr>
          <w:rFonts w:hint="eastAsia"/>
          <w:kern w:val="2"/>
          <w:sz w:val="21"/>
          <w:szCs w:val="21"/>
          <w:highlight w:val="none"/>
        </w:rPr>
        <w:t>44.2技术标详细审查评分：评标委员会按照附表四《技术标详细审查评分表》的标准，对通过技术标有效性审查的投标文件技术标进行详细审查，评出技术分，得分四舍五入精确到小数点后两位。</w:t>
      </w:r>
    </w:p>
    <w:p w14:paraId="178A6605">
      <w:pPr>
        <w:pStyle w:val="4"/>
        <w:spacing w:before="156" w:after="156"/>
        <w:ind w:firstLine="420" w:firstLineChars="200"/>
        <w:rPr>
          <w:kern w:val="2"/>
          <w:sz w:val="21"/>
          <w:szCs w:val="21"/>
          <w:highlight w:val="none"/>
        </w:rPr>
      </w:pPr>
      <w:r>
        <w:rPr>
          <w:rFonts w:hint="eastAsia"/>
          <w:kern w:val="2"/>
          <w:sz w:val="21"/>
          <w:szCs w:val="21"/>
          <w:highlight w:val="none"/>
        </w:rPr>
        <w:t>45．经济标评审和得分汇总</w:t>
      </w:r>
    </w:p>
    <w:p w14:paraId="33788171">
      <w:pPr>
        <w:pStyle w:val="4"/>
        <w:spacing w:before="156" w:after="156"/>
        <w:ind w:firstLine="420" w:firstLineChars="200"/>
        <w:rPr>
          <w:kern w:val="2"/>
          <w:sz w:val="21"/>
          <w:szCs w:val="21"/>
          <w:highlight w:val="none"/>
        </w:rPr>
      </w:pPr>
      <w:r>
        <w:rPr>
          <w:rFonts w:hint="eastAsia"/>
          <w:kern w:val="2"/>
          <w:sz w:val="21"/>
          <w:szCs w:val="21"/>
          <w:highlight w:val="none"/>
        </w:rPr>
        <w:t>45.1若通过技术标有效性审查的投标人中有所有投标报价均大于等于最高投标限价*D%（D的取值范围为[94,100],由招标人自主确定）的（具体金额为：      元），则本项目招标失败，由招标人依法重新招标。</w:t>
      </w:r>
    </w:p>
    <w:p w14:paraId="310AABA9">
      <w:pPr>
        <w:pStyle w:val="4"/>
        <w:spacing w:before="156" w:after="156"/>
        <w:ind w:firstLine="420" w:firstLineChars="200"/>
        <w:rPr>
          <w:kern w:val="2"/>
          <w:sz w:val="21"/>
          <w:szCs w:val="21"/>
          <w:highlight w:val="none"/>
        </w:rPr>
      </w:pPr>
      <w:r>
        <w:rPr>
          <w:rFonts w:hint="eastAsia"/>
          <w:kern w:val="2"/>
          <w:sz w:val="21"/>
          <w:szCs w:val="21"/>
          <w:highlight w:val="none"/>
        </w:rPr>
        <w:t xml:space="preserve"> 45.2按方法    计算评标参考价：</w:t>
      </w:r>
    </w:p>
    <w:p w14:paraId="0168438C">
      <w:pPr>
        <w:pStyle w:val="4"/>
        <w:spacing w:before="156" w:after="156"/>
        <w:ind w:firstLine="420" w:firstLineChars="200"/>
        <w:rPr>
          <w:kern w:val="2"/>
          <w:sz w:val="21"/>
          <w:szCs w:val="21"/>
          <w:highlight w:val="none"/>
        </w:rPr>
      </w:pPr>
      <w:r>
        <w:rPr>
          <w:rFonts w:hint="eastAsia"/>
          <w:kern w:val="2"/>
          <w:sz w:val="21"/>
          <w:szCs w:val="21"/>
          <w:highlight w:val="none"/>
        </w:rPr>
        <w:t>方法一：加权平均法</w:t>
      </w:r>
    </w:p>
    <w:p w14:paraId="17F3FA79">
      <w:pPr>
        <w:pStyle w:val="4"/>
        <w:spacing w:before="156" w:after="156"/>
        <w:ind w:firstLine="420" w:firstLineChars="200"/>
        <w:rPr>
          <w:kern w:val="2"/>
          <w:sz w:val="21"/>
          <w:szCs w:val="21"/>
          <w:highlight w:val="none"/>
        </w:rPr>
      </w:pPr>
      <w:r>
        <w:rPr>
          <w:rFonts w:hint="eastAsia"/>
          <w:kern w:val="2"/>
          <w:sz w:val="21"/>
          <w:szCs w:val="21"/>
          <w:highlight w:val="none"/>
        </w:rPr>
        <w:t>技术标或技术标加诚信得分（具体由招标人自定）前N名（N≥5，具体由招标人自定）的经济报价加权平均，计算评标参考价。公式如下：</w:t>
      </w:r>
    </w:p>
    <w:p w14:paraId="05DCB8AC">
      <w:pPr>
        <w:pStyle w:val="4"/>
        <w:spacing w:before="156" w:after="156"/>
        <w:ind w:firstLine="420" w:firstLineChars="200"/>
        <w:rPr>
          <w:kern w:val="2"/>
          <w:sz w:val="21"/>
          <w:szCs w:val="21"/>
          <w:highlight w:val="none"/>
        </w:rPr>
      </w:pPr>
      <w:r>
        <w:rPr>
          <w:rFonts w:hint="eastAsia"/>
          <w:kern w:val="2"/>
          <w:sz w:val="21"/>
          <w:szCs w:val="21"/>
          <w:highlight w:val="none"/>
        </w:rPr>
        <w:t>评标参考价=Σ（投标人的投标报价*报价权重）。</w:t>
      </w:r>
    </w:p>
    <w:p w14:paraId="7FA54CC0">
      <w:pPr>
        <w:pStyle w:val="4"/>
        <w:spacing w:before="156" w:after="156"/>
        <w:ind w:firstLine="420" w:firstLineChars="200"/>
        <w:rPr>
          <w:kern w:val="2"/>
          <w:sz w:val="21"/>
          <w:szCs w:val="21"/>
          <w:highlight w:val="none"/>
        </w:rPr>
      </w:pPr>
      <w:r>
        <w:rPr>
          <w:rFonts w:hint="eastAsia"/>
          <w:kern w:val="2"/>
          <w:sz w:val="21"/>
          <w:szCs w:val="21"/>
          <w:highlight w:val="none"/>
        </w:rPr>
        <w:t>其中：报价权重的计算方法为：将N名投标人按技术分由高至低进行排序，第一名投标人的权重为（ ），第二名投标人的权重为（ ），以此类推，最后一名投标人的权重为（ ）。</w:t>
      </w:r>
    </w:p>
    <w:p w14:paraId="037E5508">
      <w:pPr>
        <w:pStyle w:val="4"/>
        <w:spacing w:before="156" w:after="156"/>
        <w:ind w:firstLine="420" w:firstLineChars="200"/>
        <w:rPr>
          <w:kern w:val="2"/>
          <w:sz w:val="21"/>
          <w:szCs w:val="21"/>
          <w:highlight w:val="none"/>
        </w:rPr>
      </w:pPr>
      <w:r>
        <w:rPr>
          <w:rFonts w:hint="eastAsia"/>
          <w:kern w:val="2"/>
          <w:sz w:val="21"/>
          <w:szCs w:val="21"/>
          <w:highlight w:val="none"/>
        </w:rPr>
        <w:t>方法二：区间抽取法</w:t>
      </w:r>
    </w:p>
    <w:p w14:paraId="2090C5BC">
      <w:pPr>
        <w:pStyle w:val="4"/>
        <w:spacing w:before="156" w:after="156"/>
        <w:ind w:firstLine="420" w:firstLineChars="200"/>
        <w:rPr>
          <w:kern w:val="2"/>
          <w:sz w:val="21"/>
          <w:szCs w:val="21"/>
          <w:highlight w:val="none"/>
        </w:rPr>
      </w:pPr>
      <w:r>
        <w:rPr>
          <w:rFonts w:hint="eastAsia"/>
          <w:kern w:val="2"/>
          <w:sz w:val="21"/>
          <w:szCs w:val="21"/>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6CFE8F1E">
      <w:pPr>
        <w:pStyle w:val="4"/>
        <w:spacing w:before="156" w:after="156"/>
        <w:ind w:firstLine="420" w:firstLineChars="200"/>
        <w:rPr>
          <w:kern w:val="2"/>
          <w:sz w:val="21"/>
          <w:szCs w:val="21"/>
          <w:highlight w:val="none"/>
        </w:rPr>
      </w:pPr>
      <w:r>
        <w:rPr>
          <w:rFonts w:hint="eastAsia"/>
          <w:kern w:val="2"/>
          <w:sz w:val="21"/>
          <w:szCs w:val="21"/>
          <w:highlight w:val="none"/>
        </w:rPr>
        <w:t>评标参考价=（Q高-Q低）/100*Ｘ+Q低</w:t>
      </w:r>
    </w:p>
    <w:p w14:paraId="7CC55939">
      <w:pPr>
        <w:pStyle w:val="4"/>
        <w:spacing w:before="156" w:after="156"/>
        <w:ind w:firstLine="420" w:firstLineChars="200"/>
        <w:rPr>
          <w:kern w:val="2"/>
          <w:sz w:val="21"/>
          <w:szCs w:val="21"/>
          <w:highlight w:val="none"/>
        </w:rPr>
      </w:pPr>
      <w:r>
        <w:rPr>
          <w:rFonts w:hint="eastAsia"/>
          <w:kern w:val="2"/>
          <w:sz w:val="21"/>
          <w:szCs w:val="21"/>
          <w:highlight w:val="none"/>
        </w:rPr>
        <w:t>Q低：为达到或超过技术标及格分数线的投标人最低报价与工程成本警示价两者中的较高值；</w:t>
      </w:r>
    </w:p>
    <w:p w14:paraId="39FCCC21">
      <w:pPr>
        <w:pStyle w:val="4"/>
        <w:spacing w:before="156" w:after="156"/>
        <w:ind w:firstLine="420" w:firstLineChars="200"/>
        <w:rPr>
          <w:kern w:val="2"/>
          <w:sz w:val="21"/>
          <w:szCs w:val="21"/>
          <w:highlight w:val="none"/>
        </w:rPr>
      </w:pPr>
      <w:r>
        <w:rPr>
          <w:rFonts w:hint="eastAsia"/>
          <w:kern w:val="2"/>
          <w:sz w:val="21"/>
          <w:szCs w:val="21"/>
          <w:highlight w:val="none"/>
        </w:rPr>
        <w:t>Q高：为（最高投标限价*D%）（D的取值范围为[94,100],由招标人自定）</w:t>
      </w:r>
    </w:p>
    <w:p w14:paraId="322FE189">
      <w:pPr>
        <w:pStyle w:val="4"/>
        <w:spacing w:before="156" w:after="156"/>
        <w:ind w:firstLine="420" w:firstLineChars="200"/>
        <w:rPr>
          <w:kern w:val="2"/>
          <w:sz w:val="21"/>
          <w:szCs w:val="21"/>
          <w:highlight w:val="none"/>
        </w:rPr>
      </w:pPr>
      <w:r>
        <w:rPr>
          <w:rFonts w:hint="eastAsia"/>
          <w:kern w:val="2"/>
          <w:sz w:val="21"/>
          <w:szCs w:val="21"/>
          <w:highlight w:val="none"/>
        </w:rPr>
        <w:t>X:为等分点值，从[0,100]整数中随机抽取</w:t>
      </w:r>
    </w:p>
    <w:p w14:paraId="71EC0C8C">
      <w:pPr>
        <w:pStyle w:val="4"/>
        <w:spacing w:before="156" w:after="156"/>
        <w:ind w:firstLine="420" w:firstLineChars="200"/>
        <w:rPr>
          <w:kern w:val="2"/>
          <w:sz w:val="21"/>
          <w:szCs w:val="21"/>
          <w:highlight w:val="none"/>
        </w:rPr>
      </w:pPr>
      <w:r>
        <w:rPr>
          <w:rFonts w:hint="eastAsia"/>
          <w:kern w:val="2"/>
          <w:sz w:val="21"/>
          <w:szCs w:val="21"/>
          <w:highlight w:val="none"/>
        </w:rPr>
        <w:t>45.3当标价等于评标参考价时得100分，标价每高于评标参考价1%，扣1.5分，每低于评标参考价1%，扣1分，扣至0分为止，得出经济分，精确到小数点后两位。</w:t>
      </w:r>
    </w:p>
    <w:p w14:paraId="07AA5784">
      <w:pPr>
        <w:pStyle w:val="4"/>
        <w:spacing w:before="156" w:after="156"/>
        <w:ind w:firstLine="420" w:firstLineChars="200"/>
        <w:rPr>
          <w:kern w:val="2"/>
          <w:sz w:val="21"/>
          <w:szCs w:val="21"/>
          <w:highlight w:val="none"/>
        </w:rPr>
      </w:pPr>
      <w:r>
        <w:rPr>
          <w:rFonts w:hint="eastAsia"/>
          <w:kern w:val="2"/>
          <w:sz w:val="21"/>
          <w:szCs w:val="21"/>
          <w:highlight w:val="none"/>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14:paraId="2CEC11C9">
      <w:pPr>
        <w:pStyle w:val="4"/>
        <w:spacing w:before="156" w:after="156"/>
        <w:ind w:firstLine="420" w:firstLineChars="200"/>
        <w:rPr>
          <w:kern w:val="2"/>
          <w:sz w:val="21"/>
          <w:szCs w:val="21"/>
          <w:highlight w:val="none"/>
        </w:rPr>
      </w:pPr>
      <w:r>
        <w:rPr>
          <w:rFonts w:hint="eastAsia"/>
          <w:kern w:val="2"/>
          <w:sz w:val="21"/>
          <w:szCs w:val="21"/>
          <w:highlight w:val="none"/>
        </w:rPr>
        <w:t>46.经济标的有效性审查</w:t>
      </w:r>
    </w:p>
    <w:p w14:paraId="777313A6">
      <w:pPr>
        <w:pStyle w:val="4"/>
        <w:spacing w:before="156" w:after="156"/>
        <w:ind w:firstLine="420" w:firstLineChars="200"/>
        <w:rPr>
          <w:kern w:val="2"/>
          <w:sz w:val="21"/>
          <w:szCs w:val="21"/>
          <w:highlight w:val="none"/>
        </w:rPr>
      </w:pPr>
      <w:r>
        <w:rPr>
          <w:rFonts w:hint="eastAsia"/>
          <w:kern w:val="2"/>
          <w:sz w:val="21"/>
          <w:szCs w:val="21"/>
          <w:highlight w: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p>
    <w:p w14:paraId="14C5BA06">
      <w:pPr>
        <w:pStyle w:val="4"/>
        <w:spacing w:before="156" w:after="156"/>
        <w:ind w:firstLine="420" w:firstLineChars="200"/>
        <w:rPr>
          <w:kern w:val="2"/>
          <w:sz w:val="21"/>
          <w:szCs w:val="21"/>
          <w:highlight w:val="none"/>
        </w:rPr>
      </w:pPr>
      <w:r>
        <w:rPr>
          <w:rFonts w:hint="eastAsia"/>
          <w:kern w:val="2"/>
          <w:sz w:val="21"/>
          <w:szCs w:val="21"/>
          <w:highlight w:val="none"/>
        </w:rPr>
        <w:t xml:space="preserve"> 46.2经济标的算术校核。评标委员会对进行经济标有效性审查的投标文件投标报价按照就低不就高的原则进行算术校核，具体标准如下：</w:t>
      </w:r>
    </w:p>
    <w:p w14:paraId="007E2F42">
      <w:pPr>
        <w:pStyle w:val="4"/>
        <w:spacing w:before="156" w:after="156"/>
        <w:ind w:firstLine="420" w:firstLineChars="200"/>
        <w:rPr>
          <w:kern w:val="2"/>
          <w:sz w:val="21"/>
          <w:szCs w:val="21"/>
          <w:highlight w:val="none"/>
        </w:rPr>
      </w:pPr>
      <w:r>
        <w:rPr>
          <w:rFonts w:hint="eastAsia"/>
          <w:kern w:val="2"/>
          <w:sz w:val="21"/>
          <w:szCs w:val="21"/>
          <w:highlight w:val="none"/>
        </w:rPr>
        <w:t>46.2.1如果数字表示的金额和用文字表示的金额不一致时，应以文字表示的金额为准；</w:t>
      </w:r>
    </w:p>
    <w:p w14:paraId="03E79780">
      <w:pPr>
        <w:pStyle w:val="4"/>
        <w:spacing w:before="156" w:after="156"/>
        <w:ind w:firstLine="420" w:firstLineChars="200"/>
        <w:rPr>
          <w:kern w:val="2"/>
          <w:sz w:val="21"/>
          <w:szCs w:val="21"/>
          <w:highlight w:val="none"/>
        </w:rPr>
      </w:pPr>
      <w:r>
        <w:rPr>
          <w:rFonts w:hint="eastAsia"/>
          <w:kern w:val="2"/>
          <w:sz w:val="21"/>
          <w:szCs w:val="21"/>
          <w:highlight w:val="none"/>
        </w:rPr>
        <w:t xml:space="preserve"> 46.2.2经算术复核的投标人报价与其投标报价不一致时，按就低不就高原则确定其最终报价；</w:t>
      </w:r>
    </w:p>
    <w:p w14:paraId="66ABB688">
      <w:pPr>
        <w:pStyle w:val="4"/>
        <w:spacing w:before="156" w:after="156"/>
        <w:ind w:firstLine="420" w:firstLineChars="200"/>
        <w:rPr>
          <w:kern w:val="2"/>
          <w:sz w:val="21"/>
          <w:szCs w:val="21"/>
          <w:highlight w:val="none"/>
        </w:rPr>
      </w:pPr>
      <w:r>
        <w:rPr>
          <w:rFonts w:hint="eastAsia"/>
          <w:kern w:val="2"/>
          <w:sz w:val="21"/>
          <w:szCs w:val="21"/>
          <w:highlight w:val="none"/>
        </w:rPr>
        <w:t xml:space="preserve"> 46.2.3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64866B1C">
      <w:pPr>
        <w:pStyle w:val="4"/>
        <w:spacing w:before="156" w:after="156"/>
        <w:ind w:firstLine="420" w:firstLineChars="200"/>
        <w:rPr>
          <w:kern w:val="2"/>
          <w:sz w:val="21"/>
          <w:szCs w:val="21"/>
          <w:highlight w:val="none"/>
        </w:rPr>
      </w:pPr>
      <w:r>
        <w:rPr>
          <w:rFonts w:hint="eastAsia"/>
          <w:kern w:val="2"/>
          <w:sz w:val="21"/>
          <w:szCs w:val="21"/>
          <w:highlight w:val="none"/>
        </w:rPr>
        <w:t xml:space="preserve"> 46.2.4当合价、金额累加错误时，按就低不就高原则，如果累加修正值小于原累加值，则按累加修正值；如果累加修正值大于原累加值，则按原累加值；</w:t>
      </w:r>
    </w:p>
    <w:p w14:paraId="13C7FAC0">
      <w:pPr>
        <w:pStyle w:val="4"/>
        <w:spacing w:before="156" w:after="156"/>
        <w:ind w:firstLine="420" w:firstLineChars="200"/>
        <w:rPr>
          <w:kern w:val="2"/>
          <w:sz w:val="21"/>
          <w:szCs w:val="21"/>
          <w:highlight w:val="none"/>
        </w:rPr>
      </w:pPr>
      <w:r>
        <w:rPr>
          <w:rFonts w:hint="eastAsia"/>
          <w:kern w:val="2"/>
          <w:sz w:val="21"/>
          <w:szCs w:val="21"/>
          <w:highlight w:val="none"/>
        </w:rPr>
        <w:t xml:space="preserve"> 46.2.5如果投标人的有关规费、暂列金额、暂估价、绿色施工安全防护措施费等未按招标文件规定的金额填写的，由评标委员会按照招标文件规定的金额进行修正；</w:t>
      </w:r>
    </w:p>
    <w:p w14:paraId="79EB489A">
      <w:pPr>
        <w:pStyle w:val="4"/>
        <w:spacing w:before="156" w:after="156"/>
        <w:ind w:firstLine="420" w:firstLineChars="200"/>
        <w:rPr>
          <w:kern w:val="2"/>
          <w:sz w:val="21"/>
          <w:szCs w:val="21"/>
          <w:highlight w:val="none"/>
        </w:rPr>
      </w:pPr>
      <w:r>
        <w:rPr>
          <w:rFonts w:hint="eastAsia"/>
          <w:kern w:val="2"/>
          <w:sz w:val="21"/>
          <w:szCs w:val="21"/>
          <w:highlight w:val="none"/>
        </w:rPr>
        <w:t>46.2.6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524D2645">
      <w:pPr>
        <w:pStyle w:val="4"/>
        <w:spacing w:before="156" w:after="156"/>
        <w:ind w:firstLine="420" w:firstLineChars="200"/>
        <w:rPr>
          <w:kern w:val="2"/>
          <w:sz w:val="21"/>
          <w:szCs w:val="21"/>
          <w:highlight w:val="none"/>
        </w:rPr>
      </w:pPr>
      <w:r>
        <w:rPr>
          <w:rFonts w:hint="eastAsia"/>
          <w:kern w:val="2"/>
          <w:sz w:val="21"/>
          <w:szCs w:val="21"/>
          <w:highlight w:val="none"/>
        </w:rPr>
        <w:t>46.2.7按就低不就高原则，当修正后报价小于原报价，总价按修正后报价；当修正后报价大于原报价，总价按原报价，并在签订合同时载明在结算价中扣除修正报价与原报价的差额。</w:t>
      </w:r>
    </w:p>
    <w:p w14:paraId="74C1F550">
      <w:pPr>
        <w:pStyle w:val="4"/>
        <w:spacing w:before="156" w:after="156"/>
        <w:ind w:firstLine="420" w:firstLineChars="200"/>
        <w:rPr>
          <w:kern w:val="2"/>
          <w:sz w:val="21"/>
          <w:szCs w:val="21"/>
          <w:highlight w:val="none"/>
        </w:rPr>
      </w:pPr>
      <w:r>
        <w:rPr>
          <w:rFonts w:hint="eastAsia"/>
          <w:kern w:val="2"/>
          <w:sz w:val="21"/>
          <w:szCs w:val="21"/>
          <w:highlight w:val="none"/>
        </w:rPr>
        <w:t>46.2.8按上述修正错误的原则及方法调整或修正投标文件的投标报价，调整后的投标报价对投标人起约束作用。如果投标人不接受修正后的报价，则取消其投标资格，并且其投标保证金也将不予退还。</w:t>
      </w:r>
    </w:p>
    <w:p w14:paraId="4FECEC82">
      <w:pPr>
        <w:pStyle w:val="4"/>
        <w:spacing w:before="156" w:after="156"/>
        <w:ind w:firstLine="420" w:firstLineChars="200"/>
        <w:rPr>
          <w:kern w:val="2"/>
          <w:sz w:val="21"/>
          <w:szCs w:val="21"/>
          <w:highlight w:val="none"/>
        </w:rPr>
      </w:pPr>
      <w:r>
        <w:rPr>
          <w:rFonts w:hint="eastAsia"/>
          <w:kern w:val="2"/>
          <w:sz w:val="21"/>
          <w:szCs w:val="21"/>
          <w:highlight w:val="none"/>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4F3A072D">
      <w:pPr>
        <w:pStyle w:val="4"/>
        <w:spacing w:before="156" w:after="156"/>
        <w:ind w:firstLine="420" w:firstLineChars="200"/>
        <w:rPr>
          <w:kern w:val="2"/>
          <w:sz w:val="21"/>
          <w:szCs w:val="21"/>
          <w:highlight w:val="none"/>
        </w:rPr>
      </w:pPr>
      <w:r>
        <w:rPr>
          <w:rFonts w:hint="eastAsia"/>
          <w:kern w:val="2"/>
          <w:sz w:val="21"/>
          <w:szCs w:val="21"/>
          <w:highlight w:val="none"/>
        </w:rPr>
        <w:t>48.评标委员会应在通过投标文件经济标有效性审查的投标人中，按步骤45.4确定的投标人第二阶段排序，推荐前3名依次为第一中标候选人至第三中标候选人,并编制评标报告。</w:t>
      </w:r>
    </w:p>
    <w:p w14:paraId="00321BEC">
      <w:pPr>
        <w:spacing w:line="360" w:lineRule="auto"/>
        <w:ind w:firstLine="420" w:firstLineChars="200"/>
        <w:rPr>
          <w:rFonts w:ascii="宋体" w:hAnsi="宋体"/>
          <w:color w:val="000000"/>
          <w:sz w:val="24"/>
          <w:szCs w:val="24"/>
          <w:highlight w:val="none"/>
        </w:rPr>
      </w:pPr>
      <w:r>
        <w:rPr>
          <w:rFonts w:hint="eastAsia" w:ascii="宋体" w:hAnsi="宋体"/>
          <w:szCs w:val="21"/>
          <w:highlight w:val="none"/>
        </w:rPr>
        <w:t>49.若通过经济标有效性审查的投标人不足三家，应当依法重新招标。（当N个标段同时招标且不允许兼中时，若有效投标人不足N+2家，应当依法重新招标）</w:t>
      </w:r>
      <w:bookmarkEnd w:id="41"/>
      <w:bookmarkEnd w:id="42"/>
      <w:bookmarkEnd w:id="43"/>
      <w:bookmarkEnd w:id="44"/>
      <w:bookmarkEnd w:id="45"/>
      <w:bookmarkEnd w:id="46"/>
    </w:p>
    <w:p w14:paraId="1D65E6A8">
      <w:pPr>
        <w:widowControl/>
        <w:snapToGrid w:val="0"/>
        <w:spacing w:line="360" w:lineRule="auto"/>
        <w:ind w:right="102"/>
        <w:jc w:val="left"/>
        <w:rPr>
          <w:rFonts w:ascii="宋体"/>
          <w:color w:val="000000"/>
          <w:szCs w:val="21"/>
          <w:highlight w:val="none"/>
        </w:rPr>
      </w:pPr>
      <w:r>
        <w:rPr>
          <w:rFonts w:hint="eastAsia" w:ascii="宋体" w:hAnsi="宋体"/>
          <w:color w:val="000000"/>
          <w:szCs w:val="21"/>
          <w:highlight w:val="none"/>
        </w:rPr>
        <w:br w:type="page"/>
      </w:r>
      <w:r>
        <w:rPr>
          <w:rFonts w:hint="eastAsia" w:ascii="宋体" w:hAnsi="宋体"/>
          <w:color w:val="000000"/>
          <w:szCs w:val="21"/>
          <w:highlight w:val="none"/>
        </w:rPr>
        <w:t>附表一：</w:t>
      </w:r>
    </w:p>
    <w:p w14:paraId="694E7E2B">
      <w:pPr>
        <w:jc w:val="center"/>
        <w:rPr>
          <w:b/>
          <w:color w:val="000000"/>
          <w:sz w:val="32"/>
          <w:szCs w:val="32"/>
          <w:highlight w:val="none"/>
        </w:rPr>
      </w:pPr>
      <w:r>
        <w:rPr>
          <w:rFonts w:hint="eastAsia"/>
          <w:b/>
          <w:color w:val="000000"/>
          <w:sz w:val="32"/>
          <w:szCs w:val="32"/>
          <w:highlight w:val="none"/>
        </w:rPr>
        <w:t>资格审查表</w:t>
      </w:r>
    </w:p>
    <w:p w14:paraId="034B1642">
      <w:pPr>
        <w:spacing w:line="480" w:lineRule="auto"/>
        <w:rPr>
          <w:color w:val="000000"/>
          <w:sz w:val="24"/>
          <w:szCs w:val="24"/>
          <w:highlight w:val="none"/>
        </w:rPr>
      </w:pPr>
      <w:r>
        <w:rPr>
          <w:rFonts w:hint="eastAsia"/>
          <w:color w:val="000000"/>
          <w:sz w:val="24"/>
          <w:szCs w:val="24"/>
          <w:highlight w:val="none"/>
        </w:rPr>
        <w:t>工程名称：</w:t>
      </w:r>
    </w:p>
    <w:p w14:paraId="72A1A542">
      <w:pPr>
        <w:spacing w:line="480" w:lineRule="auto"/>
        <w:rPr>
          <w:color w:val="000000"/>
          <w:sz w:val="24"/>
          <w:szCs w:val="24"/>
          <w:highlight w:val="none"/>
        </w:rPr>
      </w:pPr>
      <w:r>
        <w:rPr>
          <w:rFonts w:hint="eastAsia"/>
          <w:color w:val="000000"/>
          <w:sz w:val="24"/>
          <w:szCs w:val="24"/>
          <w:highlight w:val="none"/>
        </w:rPr>
        <w:t>投标人名称：</w:t>
      </w:r>
    </w:p>
    <w:tbl>
      <w:tblPr>
        <w:tblStyle w:val="5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4025"/>
        <w:gridCol w:w="3830"/>
        <w:gridCol w:w="720"/>
      </w:tblGrid>
      <w:tr w14:paraId="5059D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3E4DD987">
            <w:pPr>
              <w:spacing w:before="120" w:after="60"/>
              <w:jc w:val="center"/>
              <w:rPr>
                <w:rFonts w:ascii="宋体" w:hAnsi="宋体"/>
                <w:b/>
                <w:color w:val="000000"/>
                <w:szCs w:val="21"/>
                <w:highlight w:val="none"/>
              </w:rPr>
            </w:pPr>
            <w:r>
              <w:rPr>
                <w:rFonts w:hint="eastAsia" w:ascii="宋体" w:hAnsi="宋体"/>
                <w:b/>
                <w:color w:val="000000"/>
                <w:szCs w:val="21"/>
                <w:highlight w:val="none"/>
              </w:rPr>
              <w:t>序号</w:t>
            </w:r>
          </w:p>
        </w:tc>
        <w:tc>
          <w:tcPr>
            <w:tcW w:w="4025" w:type="dxa"/>
            <w:tcBorders>
              <w:top w:val="single" w:color="auto" w:sz="4" w:space="0"/>
              <w:left w:val="single" w:color="auto" w:sz="4" w:space="0"/>
              <w:bottom w:val="single" w:color="auto" w:sz="4" w:space="0"/>
              <w:right w:val="single" w:color="auto" w:sz="4" w:space="0"/>
            </w:tcBorders>
            <w:vAlign w:val="center"/>
          </w:tcPr>
          <w:p w14:paraId="4B9EE6E2">
            <w:pPr>
              <w:spacing w:before="120" w:after="60"/>
              <w:jc w:val="center"/>
              <w:rPr>
                <w:rFonts w:ascii="宋体" w:hAnsi="宋体"/>
                <w:b/>
                <w:color w:val="000000"/>
                <w:szCs w:val="21"/>
                <w:highlight w:val="none"/>
              </w:rPr>
            </w:pPr>
            <w:r>
              <w:rPr>
                <w:rFonts w:hint="eastAsia" w:ascii="宋体" w:hAnsi="宋体"/>
                <w:b/>
                <w:color w:val="000000"/>
                <w:szCs w:val="21"/>
                <w:highlight w:val="none"/>
              </w:rPr>
              <w:t>审查项目</w:t>
            </w:r>
          </w:p>
        </w:tc>
        <w:tc>
          <w:tcPr>
            <w:tcW w:w="3830" w:type="dxa"/>
            <w:tcBorders>
              <w:top w:val="single" w:color="auto" w:sz="4" w:space="0"/>
              <w:left w:val="single" w:color="auto" w:sz="4" w:space="0"/>
              <w:bottom w:val="single" w:color="auto" w:sz="4" w:space="0"/>
              <w:right w:val="single" w:color="auto" w:sz="4" w:space="0"/>
            </w:tcBorders>
            <w:vAlign w:val="center"/>
          </w:tcPr>
          <w:p w14:paraId="2A0C59F3">
            <w:pPr>
              <w:spacing w:before="120" w:after="60"/>
              <w:jc w:val="center"/>
              <w:rPr>
                <w:rFonts w:ascii="宋体" w:hAnsi="宋体"/>
                <w:b/>
                <w:color w:val="000000"/>
                <w:szCs w:val="21"/>
                <w:highlight w:val="none"/>
              </w:rPr>
            </w:pPr>
            <w:r>
              <w:rPr>
                <w:rFonts w:hint="eastAsia" w:ascii="宋体" w:hAnsi="宋体"/>
                <w:b/>
                <w:color w:val="000000"/>
                <w:szCs w:val="21"/>
                <w:highlight w:val="none"/>
              </w:rPr>
              <w:t>须审查的资料</w:t>
            </w:r>
          </w:p>
        </w:tc>
        <w:tc>
          <w:tcPr>
            <w:tcW w:w="720" w:type="dxa"/>
            <w:tcBorders>
              <w:top w:val="single" w:color="auto" w:sz="4" w:space="0"/>
              <w:left w:val="single" w:color="auto" w:sz="4" w:space="0"/>
              <w:bottom w:val="single" w:color="auto" w:sz="4" w:space="0"/>
              <w:right w:val="single" w:color="auto" w:sz="4" w:space="0"/>
            </w:tcBorders>
            <w:vAlign w:val="center"/>
          </w:tcPr>
          <w:p w14:paraId="36E37DB2">
            <w:pPr>
              <w:spacing w:before="120" w:after="60"/>
              <w:jc w:val="center"/>
              <w:rPr>
                <w:rFonts w:ascii="宋体" w:hAnsi="宋体"/>
                <w:b/>
                <w:color w:val="000000"/>
                <w:szCs w:val="21"/>
                <w:highlight w:val="none"/>
              </w:rPr>
            </w:pPr>
            <w:r>
              <w:rPr>
                <w:rFonts w:hint="eastAsia" w:ascii="宋体" w:hAnsi="宋体"/>
                <w:b/>
                <w:color w:val="000000"/>
                <w:szCs w:val="21"/>
                <w:highlight w:val="none"/>
              </w:rPr>
              <w:t>审查结果</w:t>
            </w:r>
          </w:p>
        </w:tc>
      </w:tr>
      <w:tr w14:paraId="7160A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21498773">
            <w:pPr>
              <w:spacing w:before="120" w:after="60"/>
              <w:jc w:val="center"/>
              <w:rPr>
                <w:rFonts w:ascii="宋体" w:hAnsi="宋体"/>
                <w:color w:val="000000"/>
                <w:szCs w:val="21"/>
                <w:highlight w:val="none"/>
              </w:rPr>
            </w:pPr>
            <w:r>
              <w:rPr>
                <w:rFonts w:hint="eastAsia" w:ascii="宋体" w:hAnsi="宋体"/>
                <w:szCs w:val="21"/>
                <w:highlight w:val="none"/>
              </w:rPr>
              <w:t>1</w:t>
            </w:r>
          </w:p>
        </w:tc>
        <w:tc>
          <w:tcPr>
            <w:tcW w:w="4025" w:type="dxa"/>
            <w:tcBorders>
              <w:top w:val="single" w:color="auto" w:sz="4" w:space="0"/>
              <w:left w:val="single" w:color="auto" w:sz="4" w:space="0"/>
              <w:bottom w:val="single" w:color="auto" w:sz="4" w:space="0"/>
              <w:right w:val="single" w:color="auto" w:sz="4" w:space="0"/>
            </w:tcBorders>
            <w:vAlign w:val="center"/>
          </w:tcPr>
          <w:p w14:paraId="1CDDFEFA">
            <w:pPr>
              <w:spacing w:before="120" w:after="60"/>
              <w:jc w:val="center"/>
              <w:rPr>
                <w:rFonts w:ascii="宋体" w:hAnsi="宋体"/>
                <w:color w:val="000000"/>
                <w:szCs w:val="21"/>
                <w:highlight w:val="none"/>
              </w:rPr>
            </w:pPr>
            <w:r>
              <w:rPr>
                <w:rFonts w:hint="eastAsia" w:ascii="宋体" w:hAnsi="宋体"/>
                <w:szCs w:val="21"/>
                <w:highlight w:val="none"/>
              </w:rPr>
              <w:t>投标人参加投标的意思表达清楚，投标人代表被授权有效</w:t>
            </w:r>
          </w:p>
        </w:tc>
        <w:tc>
          <w:tcPr>
            <w:tcW w:w="3830" w:type="dxa"/>
            <w:tcBorders>
              <w:top w:val="single" w:color="auto" w:sz="4" w:space="0"/>
              <w:left w:val="single" w:color="auto" w:sz="4" w:space="0"/>
              <w:bottom w:val="single" w:color="auto" w:sz="4" w:space="0"/>
              <w:right w:val="single" w:color="auto" w:sz="4" w:space="0"/>
            </w:tcBorders>
            <w:vAlign w:val="center"/>
          </w:tcPr>
          <w:p w14:paraId="0B8B7924">
            <w:pPr>
              <w:spacing w:before="120" w:after="60"/>
              <w:jc w:val="left"/>
              <w:rPr>
                <w:rFonts w:ascii="宋体" w:hAnsi="宋体"/>
                <w:color w:val="000000"/>
                <w:szCs w:val="21"/>
                <w:highlight w:val="none"/>
              </w:rPr>
            </w:pPr>
            <w:r>
              <w:rPr>
                <w:rFonts w:hint="eastAsia" w:ascii="宋体" w:hAnsi="宋体"/>
                <w:szCs w:val="21"/>
                <w:highlight w:val="none"/>
              </w:rPr>
              <w:t>投标人声明、法定代表人证明书；委托投标的还应提供法人授权委托证明书</w:t>
            </w:r>
          </w:p>
        </w:tc>
        <w:tc>
          <w:tcPr>
            <w:tcW w:w="720" w:type="dxa"/>
            <w:tcBorders>
              <w:top w:val="single" w:color="auto" w:sz="4" w:space="0"/>
              <w:left w:val="single" w:color="auto" w:sz="4" w:space="0"/>
              <w:bottom w:val="single" w:color="auto" w:sz="4" w:space="0"/>
              <w:right w:val="single" w:color="auto" w:sz="4" w:space="0"/>
            </w:tcBorders>
            <w:vAlign w:val="center"/>
          </w:tcPr>
          <w:p w14:paraId="00B31606">
            <w:pPr>
              <w:spacing w:before="120" w:after="60"/>
              <w:jc w:val="center"/>
              <w:rPr>
                <w:rFonts w:ascii="宋体" w:hAnsi="宋体"/>
                <w:color w:val="000000"/>
                <w:szCs w:val="21"/>
                <w:highlight w:val="none"/>
              </w:rPr>
            </w:pPr>
          </w:p>
        </w:tc>
      </w:tr>
      <w:tr w14:paraId="3B29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2372C504">
            <w:pPr>
              <w:spacing w:before="120" w:after="60"/>
              <w:jc w:val="center"/>
              <w:rPr>
                <w:rFonts w:ascii="宋体" w:hAnsi="宋体"/>
                <w:color w:val="000000"/>
                <w:szCs w:val="21"/>
                <w:highlight w:val="none"/>
              </w:rPr>
            </w:pPr>
            <w:r>
              <w:rPr>
                <w:rFonts w:hint="eastAsia" w:ascii="宋体" w:hAnsi="宋体"/>
                <w:szCs w:val="21"/>
                <w:highlight w:val="none"/>
              </w:rPr>
              <w:t>2</w:t>
            </w:r>
          </w:p>
        </w:tc>
        <w:tc>
          <w:tcPr>
            <w:tcW w:w="4025" w:type="dxa"/>
            <w:tcBorders>
              <w:top w:val="single" w:color="auto" w:sz="4" w:space="0"/>
              <w:left w:val="single" w:color="auto" w:sz="4" w:space="0"/>
              <w:bottom w:val="single" w:color="auto" w:sz="4" w:space="0"/>
              <w:right w:val="single" w:color="auto" w:sz="4" w:space="0"/>
            </w:tcBorders>
            <w:vAlign w:val="center"/>
          </w:tcPr>
          <w:p w14:paraId="04FCE1D4">
            <w:pPr>
              <w:spacing w:before="120" w:after="60"/>
              <w:jc w:val="center"/>
              <w:rPr>
                <w:rFonts w:ascii="宋体" w:hAnsi="宋体"/>
                <w:color w:val="000000"/>
                <w:szCs w:val="21"/>
                <w:highlight w:val="none"/>
              </w:rPr>
            </w:pPr>
            <w:r>
              <w:rPr>
                <w:rFonts w:hint="eastAsia" w:ascii="宋体" w:hAnsi="宋体"/>
                <w:szCs w:val="21"/>
                <w:highlight w:val="none"/>
              </w:rPr>
              <w:t>投标人均具有独立法人资格，按国家法律经营</w:t>
            </w:r>
          </w:p>
        </w:tc>
        <w:tc>
          <w:tcPr>
            <w:tcW w:w="3830" w:type="dxa"/>
            <w:tcBorders>
              <w:top w:val="single" w:color="auto" w:sz="4" w:space="0"/>
              <w:left w:val="single" w:color="auto" w:sz="4" w:space="0"/>
              <w:bottom w:val="single" w:color="auto" w:sz="4" w:space="0"/>
              <w:right w:val="single" w:color="auto" w:sz="4" w:space="0"/>
            </w:tcBorders>
            <w:vAlign w:val="center"/>
          </w:tcPr>
          <w:p w14:paraId="74703E68">
            <w:pPr>
              <w:spacing w:before="120" w:after="60"/>
              <w:jc w:val="left"/>
              <w:rPr>
                <w:rFonts w:ascii="宋体" w:hAnsi="宋体"/>
                <w:color w:val="000000"/>
                <w:szCs w:val="21"/>
                <w:highlight w:val="none"/>
              </w:rPr>
            </w:pPr>
            <w:r>
              <w:rPr>
                <w:rFonts w:hint="eastAsia" w:ascii="宋体" w:hAnsi="宋体"/>
                <w:szCs w:val="21"/>
                <w:highlight w:val="none"/>
              </w:rPr>
              <w:t>营业执照在</w:t>
            </w:r>
            <w:r>
              <w:rPr>
                <w:rFonts w:hint="eastAsia" w:ascii="宋体" w:hAnsi="宋体"/>
                <w:szCs w:val="21"/>
                <w:highlight w:val="none"/>
                <w:u w:val="single"/>
              </w:rPr>
              <w:t>广州市住建行业信用管理平台企业信用档案信息库内</w:t>
            </w:r>
            <w:r>
              <w:rPr>
                <w:rFonts w:hint="eastAsia" w:ascii="宋体" w:hAnsi="宋体"/>
                <w:szCs w:val="21"/>
                <w:highlight w:val="none"/>
              </w:rPr>
              <w:t>上传件</w:t>
            </w:r>
          </w:p>
        </w:tc>
        <w:tc>
          <w:tcPr>
            <w:tcW w:w="720" w:type="dxa"/>
            <w:tcBorders>
              <w:top w:val="single" w:color="auto" w:sz="4" w:space="0"/>
              <w:left w:val="single" w:color="auto" w:sz="4" w:space="0"/>
              <w:bottom w:val="single" w:color="auto" w:sz="4" w:space="0"/>
              <w:right w:val="single" w:color="auto" w:sz="4" w:space="0"/>
            </w:tcBorders>
            <w:vAlign w:val="center"/>
          </w:tcPr>
          <w:p w14:paraId="1117050F">
            <w:pPr>
              <w:spacing w:before="120" w:after="60"/>
              <w:jc w:val="center"/>
              <w:rPr>
                <w:rFonts w:ascii="宋体" w:hAnsi="宋体"/>
                <w:color w:val="000000"/>
                <w:szCs w:val="21"/>
                <w:highlight w:val="none"/>
              </w:rPr>
            </w:pPr>
          </w:p>
        </w:tc>
      </w:tr>
      <w:tr w14:paraId="21561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4D7EDF0F">
            <w:pPr>
              <w:spacing w:before="120" w:after="60"/>
              <w:jc w:val="center"/>
              <w:rPr>
                <w:rFonts w:ascii="宋体" w:hAnsi="宋体"/>
                <w:color w:val="000000"/>
                <w:szCs w:val="21"/>
                <w:highlight w:val="none"/>
              </w:rPr>
            </w:pPr>
            <w:r>
              <w:rPr>
                <w:rFonts w:hint="eastAsia" w:ascii="宋体" w:hAnsi="宋体"/>
                <w:szCs w:val="21"/>
                <w:highlight w:val="none"/>
              </w:rPr>
              <w:t>3</w:t>
            </w:r>
          </w:p>
        </w:tc>
        <w:tc>
          <w:tcPr>
            <w:tcW w:w="4025" w:type="dxa"/>
            <w:tcBorders>
              <w:top w:val="single" w:color="auto" w:sz="4" w:space="0"/>
              <w:left w:val="single" w:color="auto" w:sz="4" w:space="0"/>
              <w:bottom w:val="single" w:color="auto" w:sz="4" w:space="0"/>
              <w:right w:val="single" w:color="auto" w:sz="4" w:space="0"/>
            </w:tcBorders>
            <w:vAlign w:val="center"/>
          </w:tcPr>
          <w:p w14:paraId="1740335E">
            <w:pPr>
              <w:spacing w:before="120" w:after="60"/>
              <w:jc w:val="center"/>
              <w:rPr>
                <w:rFonts w:ascii="宋体" w:hAnsi="宋体"/>
                <w:color w:val="000000"/>
                <w:szCs w:val="21"/>
                <w:highlight w:val="none"/>
              </w:rPr>
            </w:pPr>
            <w:r>
              <w:rPr>
                <w:rFonts w:hint="eastAsia" w:ascii="宋体" w:hAnsi="宋体"/>
                <w:szCs w:val="21"/>
                <w:highlight w:val="none"/>
              </w:rPr>
              <w:t>投标人持有建设行政主管部门颁发的企业资质证书及安全生产许可证；投标人资质符合公告要求</w:t>
            </w:r>
          </w:p>
        </w:tc>
        <w:tc>
          <w:tcPr>
            <w:tcW w:w="3830" w:type="dxa"/>
            <w:tcBorders>
              <w:top w:val="single" w:color="auto" w:sz="4" w:space="0"/>
              <w:left w:val="single" w:color="auto" w:sz="4" w:space="0"/>
              <w:bottom w:val="single" w:color="auto" w:sz="4" w:space="0"/>
              <w:right w:val="single" w:color="auto" w:sz="4" w:space="0"/>
            </w:tcBorders>
            <w:vAlign w:val="center"/>
          </w:tcPr>
          <w:p w14:paraId="14FF6CBA">
            <w:pPr>
              <w:spacing w:before="120" w:after="60"/>
              <w:jc w:val="left"/>
              <w:rPr>
                <w:rFonts w:ascii="宋体" w:hAnsi="宋体"/>
                <w:color w:val="000000"/>
                <w:szCs w:val="21"/>
                <w:highlight w:val="none"/>
              </w:rPr>
            </w:pPr>
            <w:r>
              <w:rPr>
                <w:rFonts w:hint="eastAsia" w:ascii="宋体" w:hAnsi="宋体"/>
                <w:szCs w:val="21"/>
                <w:highlight w:val="none"/>
              </w:rPr>
              <w:t>资质证书及安全生产许可证在</w:t>
            </w:r>
            <w:r>
              <w:rPr>
                <w:rFonts w:hint="eastAsia" w:ascii="宋体" w:hAnsi="宋体"/>
                <w:szCs w:val="21"/>
                <w:highlight w:val="none"/>
                <w:u w:val="single"/>
              </w:rPr>
              <w:t>广州市住建行业信用管理平台企业信用档案信息库内</w:t>
            </w:r>
            <w:r>
              <w:rPr>
                <w:rFonts w:hint="eastAsia" w:ascii="宋体" w:hAnsi="宋体"/>
                <w:szCs w:val="21"/>
                <w:highlight w:val="none"/>
              </w:rPr>
              <w:t>上传件</w:t>
            </w:r>
          </w:p>
        </w:tc>
        <w:tc>
          <w:tcPr>
            <w:tcW w:w="720" w:type="dxa"/>
            <w:tcBorders>
              <w:top w:val="single" w:color="auto" w:sz="4" w:space="0"/>
              <w:left w:val="single" w:color="auto" w:sz="4" w:space="0"/>
              <w:bottom w:val="single" w:color="auto" w:sz="4" w:space="0"/>
              <w:right w:val="single" w:color="auto" w:sz="4" w:space="0"/>
            </w:tcBorders>
            <w:vAlign w:val="center"/>
          </w:tcPr>
          <w:p w14:paraId="25FACB4D">
            <w:pPr>
              <w:spacing w:before="120" w:after="60"/>
              <w:jc w:val="center"/>
              <w:rPr>
                <w:rFonts w:ascii="宋体" w:hAnsi="宋体"/>
                <w:color w:val="000000"/>
                <w:szCs w:val="21"/>
                <w:highlight w:val="none"/>
              </w:rPr>
            </w:pPr>
          </w:p>
        </w:tc>
      </w:tr>
      <w:tr w14:paraId="1D464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7ED04AC2">
            <w:pPr>
              <w:spacing w:before="120" w:after="60"/>
              <w:jc w:val="center"/>
              <w:rPr>
                <w:rFonts w:ascii="宋体" w:hAnsi="宋体"/>
                <w:color w:val="000000"/>
                <w:szCs w:val="21"/>
                <w:highlight w:val="none"/>
              </w:rPr>
            </w:pPr>
            <w:r>
              <w:rPr>
                <w:rFonts w:hint="eastAsia" w:ascii="宋体" w:hAnsi="宋体"/>
                <w:szCs w:val="21"/>
                <w:highlight w:val="none"/>
              </w:rPr>
              <w:t>4</w:t>
            </w:r>
          </w:p>
        </w:tc>
        <w:tc>
          <w:tcPr>
            <w:tcW w:w="4025" w:type="dxa"/>
            <w:tcBorders>
              <w:top w:val="single" w:color="auto" w:sz="4" w:space="0"/>
              <w:left w:val="single" w:color="auto" w:sz="4" w:space="0"/>
              <w:bottom w:val="single" w:color="auto" w:sz="4" w:space="0"/>
              <w:right w:val="single" w:color="auto" w:sz="4" w:space="0"/>
            </w:tcBorders>
            <w:vAlign w:val="center"/>
          </w:tcPr>
          <w:p w14:paraId="17D0FCB3">
            <w:pPr>
              <w:spacing w:before="120" w:after="60"/>
              <w:jc w:val="center"/>
              <w:rPr>
                <w:rFonts w:ascii="宋体" w:hAnsi="宋体"/>
                <w:color w:val="000000"/>
                <w:szCs w:val="21"/>
                <w:highlight w:val="none"/>
              </w:rPr>
            </w:pPr>
            <w:r>
              <w:rPr>
                <w:rFonts w:hint="eastAsia" w:ascii="宋体" w:hAnsi="宋体"/>
                <w:szCs w:val="21"/>
                <w:highlight w:val="none"/>
              </w:rPr>
              <w:t>投标人拟担任本工程项目负责人符合公告要求</w:t>
            </w:r>
          </w:p>
        </w:tc>
        <w:tc>
          <w:tcPr>
            <w:tcW w:w="3830" w:type="dxa"/>
            <w:tcBorders>
              <w:top w:val="single" w:color="auto" w:sz="4" w:space="0"/>
              <w:left w:val="single" w:color="auto" w:sz="4" w:space="0"/>
              <w:bottom w:val="single" w:color="auto" w:sz="4" w:space="0"/>
              <w:right w:val="single" w:color="auto" w:sz="4" w:space="0"/>
            </w:tcBorders>
            <w:vAlign w:val="center"/>
          </w:tcPr>
          <w:p w14:paraId="477B1B32">
            <w:pPr>
              <w:spacing w:before="120" w:after="60"/>
              <w:jc w:val="left"/>
              <w:rPr>
                <w:rFonts w:ascii="宋体" w:hAnsi="宋体"/>
                <w:color w:val="000000"/>
                <w:szCs w:val="21"/>
                <w:highlight w:val="none"/>
              </w:rPr>
            </w:pPr>
            <w:r>
              <w:rPr>
                <w:rFonts w:hint="eastAsia" w:ascii="宋体" w:hAnsi="宋体"/>
                <w:szCs w:val="21"/>
                <w:highlight w:val="none"/>
                <w:u w:val="single"/>
              </w:rPr>
              <w:t>建造师注册证书或电子注册证书在广州市住建行业信用管理平台企业信用档案信息库内上传件</w:t>
            </w:r>
          </w:p>
        </w:tc>
        <w:tc>
          <w:tcPr>
            <w:tcW w:w="720" w:type="dxa"/>
            <w:tcBorders>
              <w:top w:val="single" w:color="auto" w:sz="4" w:space="0"/>
              <w:left w:val="single" w:color="auto" w:sz="4" w:space="0"/>
              <w:bottom w:val="single" w:color="auto" w:sz="4" w:space="0"/>
              <w:right w:val="single" w:color="auto" w:sz="4" w:space="0"/>
            </w:tcBorders>
            <w:vAlign w:val="center"/>
          </w:tcPr>
          <w:p w14:paraId="58CF2188">
            <w:pPr>
              <w:spacing w:before="120" w:after="60"/>
              <w:jc w:val="center"/>
              <w:rPr>
                <w:rFonts w:ascii="宋体" w:hAnsi="宋体"/>
                <w:color w:val="000000"/>
                <w:szCs w:val="21"/>
                <w:highlight w:val="none"/>
              </w:rPr>
            </w:pPr>
          </w:p>
        </w:tc>
      </w:tr>
      <w:tr w14:paraId="1E58D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2CF0B7A4">
            <w:pPr>
              <w:spacing w:before="120" w:after="60"/>
              <w:jc w:val="center"/>
              <w:rPr>
                <w:rFonts w:ascii="宋体" w:hAnsi="宋体"/>
                <w:color w:val="000000"/>
                <w:szCs w:val="21"/>
                <w:highlight w:val="none"/>
              </w:rPr>
            </w:pPr>
            <w:r>
              <w:rPr>
                <w:rFonts w:hint="eastAsia" w:ascii="宋体" w:hAnsi="宋体"/>
                <w:szCs w:val="21"/>
                <w:highlight w:val="none"/>
              </w:rPr>
              <w:t>5</w:t>
            </w:r>
          </w:p>
        </w:tc>
        <w:tc>
          <w:tcPr>
            <w:tcW w:w="4025" w:type="dxa"/>
            <w:tcBorders>
              <w:top w:val="single" w:color="auto" w:sz="4" w:space="0"/>
              <w:left w:val="single" w:color="auto" w:sz="4" w:space="0"/>
              <w:bottom w:val="single" w:color="auto" w:sz="4" w:space="0"/>
              <w:right w:val="single" w:color="auto" w:sz="4" w:space="0"/>
            </w:tcBorders>
            <w:vAlign w:val="center"/>
          </w:tcPr>
          <w:p w14:paraId="29C1E7D2">
            <w:pPr>
              <w:spacing w:before="120" w:after="60"/>
              <w:jc w:val="center"/>
              <w:rPr>
                <w:rFonts w:ascii="宋体" w:hAnsi="宋体"/>
                <w:color w:val="000000"/>
                <w:szCs w:val="21"/>
                <w:highlight w:val="none"/>
              </w:rPr>
            </w:pPr>
            <w:r>
              <w:rPr>
                <w:rFonts w:hint="eastAsia" w:ascii="宋体" w:hAnsi="宋体"/>
                <w:szCs w:val="21"/>
                <w:highlight w:val="none"/>
              </w:rPr>
              <w:t>持有</w:t>
            </w:r>
            <w:r>
              <w:rPr>
                <w:rFonts w:hint="eastAsia" w:ascii="宋体" w:hAnsi="宋体"/>
                <w:szCs w:val="21"/>
                <w:highlight w:val="none"/>
                <w:u w:val="single"/>
              </w:rPr>
              <w:t>在有效期内的</w:t>
            </w:r>
            <w:r>
              <w:rPr>
                <w:rFonts w:hint="eastAsia" w:ascii="宋体" w:hAnsi="宋体"/>
                <w:szCs w:val="21"/>
                <w:highlight w:val="none"/>
              </w:rPr>
              <w:t>项目负责人安全生产考核合格证（B类）或建筑施工企业项目负责人安全生产考核合格证</w:t>
            </w:r>
          </w:p>
        </w:tc>
        <w:tc>
          <w:tcPr>
            <w:tcW w:w="3830" w:type="dxa"/>
            <w:tcBorders>
              <w:top w:val="single" w:color="auto" w:sz="4" w:space="0"/>
              <w:left w:val="single" w:color="auto" w:sz="4" w:space="0"/>
              <w:bottom w:val="single" w:color="auto" w:sz="4" w:space="0"/>
              <w:right w:val="single" w:color="auto" w:sz="4" w:space="0"/>
            </w:tcBorders>
            <w:vAlign w:val="center"/>
          </w:tcPr>
          <w:p w14:paraId="0EE72395">
            <w:pPr>
              <w:spacing w:before="120" w:after="60"/>
              <w:jc w:val="left"/>
              <w:rPr>
                <w:rFonts w:ascii="宋体" w:hAnsi="宋体"/>
                <w:color w:val="000000"/>
                <w:szCs w:val="21"/>
                <w:highlight w:val="none"/>
              </w:rPr>
            </w:pPr>
            <w:r>
              <w:rPr>
                <w:rFonts w:hint="eastAsia" w:ascii="宋体" w:hAnsi="宋体"/>
                <w:szCs w:val="21"/>
                <w:highlight w:val="none"/>
              </w:rPr>
              <w:t>项目负责人安全培训考核合格证（B类）在</w:t>
            </w:r>
            <w:r>
              <w:rPr>
                <w:rFonts w:hint="eastAsia" w:ascii="宋体" w:hAnsi="宋体"/>
                <w:szCs w:val="21"/>
                <w:highlight w:val="none"/>
                <w:u w:val="single"/>
              </w:rPr>
              <w:t>广州市住建行业信用管理平台企业信用档案信息库</w:t>
            </w:r>
            <w:r>
              <w:rPr>
                <w:rFonts w:hint="eastAsia" w:ascii="宋体" w:hAnsi="宋体"/>
                <w:szCs w:val="21"/>
                <w:highlight w:val="none"/>
              </w:rPr>
              <w:t>内上传件</w:t>
            </w:r>
          </w:p>
        </w:tc>
        <w:tc>
          <w:tcPr>
            <w:tcW w:w="720" w:type="dxa"/>
            <w:tcBorders>
              <w:top w:val="single" w:color="auto" w:sz="4" w:space="0"/>
              <w:left w:val="single" w:color="auto" w:sz="4" w:space="0"/>
              <w:bottom w:val="single" w:color="auto" w:sz="4" w:space="0"/>
              <w:right w:val="single" w:color="auto" w:sz="4" w:space="0"/>
            </w:tcBorders>
            <w:vAlign w:val="center"/>
          </w:tcPr>
          <w:p w14:paraId="544CB8C2">
            <w:pPr>
              <w:spacing w:before="120" w:after="60"/>
              <w:jc w:val="center"/>
              <w:rPr>
                <w:rFonts w:ascii="宋体" w:hAnsi="宋体"/>
                <w:color w:val="000000"/>
                <w:szCs w:val="21"/>
                <w:highlight w:val="none"/>
              </w:rPr>
            </w:pPr>
          </w:p>
        </w:tc>
      </w:tr>
      <w:tr w14:paraId="4C640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51FF601A">
            <w:pPr>
              <w:spacing w:before="120" w:after="60"/>
              <w:jc w:val="center"/>
              <w:rPr>
                <w:rFonts w:ascii="宋体" w:hAnsi="宋体"/>
                <w:color w:val="000000"/>
                <w:szCs w:val="21"/>
                <w:highlight w:val="none"/>
              </w:rPr>
            </w:pPr>
            <w:r>
              <w:rPr>
                <w:rFonts w:hint="eastAsia" w:ascii="宋体" w:hAnsi="宋体"/>
                <w:szCs w:val="21"/>
                <w:highlight w:val="none"/>
              </w:rPr>
              <w:t>6</w:t>
            </w:r>
          </w:p>
        </w:tc>
        <w:tc>
          <w:tcPr>
            <w:tcW w:w="4025" w:type="dxa"/>
            <w:tcBorders>
              <w:top w:val="single" w:color="auto" w:sz="4" w:space="0"/>
              <w:left w:val="single" w:color="auto" w:sz="4" w:space="0"/>
              <w:bottom w:val="single" w:color="auto" w:sz="4" w:space="0"/>
              <w:right w:val="single" w:color="auto" w:sz="4" w:space="0"/>
            </w:tcBorders>
            <w:vAlign w:val="center"/>
          </w:tcPr>
          <w:p w14:paraId="4D169CD0">
            <w:pPr>
              <w:spacing w:before="120" w:after="60"/>
              <w:jc w:val="center"/>
              <w:rPr>
                <w:rFonts w:ascii="宋体" w:hAnsi="宋体"/>
                <w:color w:val="000000"/>
                <w:szCs w:val="21"/>
                <w:highlight w:val="none"/>
              </w:rPr>
            </w:pPr>
            <w:r>
              <w:rPr>
                <w:rFonts w:hint="eastAsia" w:ascii="宋体" w:hAnsi="宋体"/>
                <w:szCs w:val="21"/>
                <w:highlight w:val="none"/>
              </w:rPr>
              <w:t>投标人拟担任本工程技术负责人符合公告要求</w:t>
            </w:r>
          </w:p>
        </w:tc>
        <w:tc>
          <w:tcPr>
            <w:tcW w:w="3830" w:type="dxa"/>
            <w:tcBorders>
              <w:top w:val="single" w:color="auto" w:sz="4" w:space="0"/>
              <w:left w:val="single" w:color="auto" w:sz="4" w:space="0"/>
              <w:bottom w:val="single" w:color="auto" w:sz="4" w:space="0"/>
              <w:right w:val="single" w:color="auto" w:sz="4" w:space="0"/>
            </w:tcBorders>
            <w:vAlign w:val="center"/>
          </w:tcPr>
          <w:p w14:paraId="778AA975">
            <w:pPr>
              <w:spacing w:before="120" w:after="60"/>
              <w:jc w:val="center"/>
              <w:rPr>
                <w:rFonts w:ascii="宋体" w:hAnsi="宋体"/>
                <w:color w:val="000000"/>
                <w:szCs w:val="21"/>
                <w:highlight w:val="none"/>
              </w:rPr>
            </w:pPr>
            <w:r>
              <w:rPr>
                <w:rFonts w:hint="eastAsia" w:ascii="宋体" w:hAnsi="宋体"/>
                <w:szCs w:val="21"/>
                <w:highlight w:val="none"/>
              </w:rPr>
              <w:t>拟委托技术负责人的</w:t>
            </w:r>
            <w:r>
              <w:rPr>
                <w:rFonts w:hint="eastAsia" w:ascii="宋体" w:hAnsi="宋体"/>
                <w:szCs w:val="21"/>
                <w:highlight w:val="none"/>
                <w:u w:val="single"/>
              </w:rPr>
              <w:t>职称证书（附职称证书原件扫描件）</w:t>
            </w:r>
          </w:p>
        </w:tc>
        <w:tc>
          <w:tcPr>
            <w:tcW w:w="720" w:type="dxa"/>
            <w:tcBorders>
              <w:top w:val="single" w:color="auto" w:sz="4" w:space="0"/>
              <w:left w:val="single" w:color="auto" w:sz="4" w:space="0"/>
              <w:bottom w:val="single" w:color="auto" w:sz="4" w:space="0"/>
              <w:right w:val="single" w:color="auto" w:sz="4" w:space="0"/>
            </w:tcBorders>
            <w:vAlign w:val="center"/>
          </w:tcPr>
          <w:p w14:paraId="1D93DBCD">
            <w:pPr>
              <w:spacing w:before="120" w:after="60"/>
              <w:jc w:val="center"/>
              <w:rPr>
                <w:rFonts w:ascii="宋体" w:hAnsi="宋体"/>
                <w:color w:val="000000"/>
                <w:szCs w:val="21"/>
                <w:highlight w:val="none"/>
              </w:rPr>
            </w:pPr>
          </w:p>
        </w:tc>
      </w:tr>
      <w:tr w14:paraId="1311E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34C6F51F">
            <w:pPr>
              <w:spacing w:before="120" w:after="60"/>
              <w:jc w:val="center"/>
              <w:rPr>
                <w:rFonts w:ascii="宋体" w:hAnsi="宋体"/>
                <w:color w:val="000000"/>
                <w:szCs w:val="21"/>
                <w:highlight w:val="none"/>
              </w:rPr>
            </w:pPr>
            <w:r>
              <w:rPr>
                <w:rFonts w:hint="eastAsia" w:ascii="宋体" w:hAnsi="宋体"/>
                <w:szCs w:val="21"/>
                <w:highlight w:val="none"/>
              </w:rPr>
              <w:t>7</w:t>
            </w:r>
          </w:p>
        </w:tc>
        <w:tc>
          <w:tcPr>
            <w:tcW w:w="4025" w:type="dxa"/>
            <w:tcBorders>
              <w:top w:val="single" w:color="auto" w:sz="4" w:space="0"/>
              <w:left w:val="single" w:color="auto" w:sz="4" w:space="0"/>
              <w:bottom w:val="single" w:color="auto" w:sz="4" w:space="0"/>
              <w:right w:val="single" w:color="auto" w:sz="4" w:space="0"/>
            </w:tcBorders>
            <w:vAlign w:val="center"/>
          </w:tcPr>
          <w:p w14:paraId="4FB667AC">
            <w:pPr>
              <w:spacing w:before="120" w:after="60"/>
              <w:jc w:val="center"/>
              <w:rPr>
                <w:rFonts w:ascii="宋体" w:hAnsi="宋体"/>
                <w:color w:val="000000"/>
                <w:szCs w:val="21"/>
                <w:highlight w:val="none"/>
              </w:rPr>
            </w:pPr>
            <w:r>
              <w:rPr>
                <w:rFonts w:hint="eastAsia" w:ascii="宋体" w:hAnsi="宋体"/>
                <w:szCs w:val="21"/>
                <w:highlight w:val="none"/>
              </w:rPr>
              <w:t>专职安全员须具有</w:t>
            </w:r>
            <w:r>
              <w:rPr>
                <w:rFonts w:hint="eastAsia" w:ascii="宋体" w:hAnsi="宋体"/>
                <w:szCs w:val="21"/>
                <w:highlight w:val="none"/>
                <w:u w:val="single"/>
              </w:rPr>
              <w:t>在有效期内的</w:t>
            </w:r>
            <w:r>
              <w:rPr>
                <w:rFonts w:hint="eastAsia" w:ascii="宋体" w:hAnsi="宋体"/>
                <w:szCs w:val="21"/>
                <w:highlight w:val="none"/>
              </w:rPr>
              <w:t>安全生产考核合格证（C证）或建筑施工企业专职安全生产管理人员安全生产考核合格证（C3）</w:t>
            </w:r>
          </w:p>
        </w:tc>
        <w:tc>
          <w:tcPr>
            <w:tcW w:w="3830" w:type="dxa"/>
            <w:tcBorders>
              <w:top w:val="single" w:color="auto" w:sz="4" w:space="0"/>
              <w:left w:val="single" w:color="auto" w:sz="4" w:space="0"/>
              <w:bottom w:val="single" w:color="auto" w:sz="4" w:space="0"/>
              <w:right w:val="single" w:color="auto" w:sz="4" w:space="0"/>
            </w:tcBorders>
            <w:vAlign w:val="center"/>
          </w:tcPr>
          <w:p w14:paraId="23B42148">
            <w:pPr>
              <w:spacing w:before="120" w:after="60"/>
              <w:jc w:val="left"/>
              <w:rPr>
                <w:rFonts w:ascii="宋体" w:hAnsi="宋体"/>
                <w:color w:val="000000"/>
                <w:szCs w:val="21"/>
                <w:highlight w:val="none"/>
              </w:rPr>
            </w:pPr>
            <w:r>
              <w:rPr>
                <w:rFonts w:hint="eastAsia" w:ascii="宋体" w:hAnsi="宋体"/>
                <w:szCs w:val="21"/>
                <w:highlight w:val="none"/>
              </w:rPr>
              <w:t>专职安全员的安全生产考核合格证（C类）在</w:t>
            </w:r>
            <w:r>
              <w:rPr>
                <w:rFonts w:hint="eastAsia" w:ascii="宋体" w:hAnsi="宋体"/>
                <w:szCs w:val="21"/>
                <w:highlight w:val="none"/>
                <w:u w:val="single"/>
              </w:rPr>
              <w:t>广州市住建行业信用管理平台企业信用档案信息库</w:t>
            </w:r>
            <w:r>
              <w:rPr>
                <w:rFonts w:hint="eastAsia" w:ascii="宋体" w:hAnsi="宋体"/>
                <w:szCs w:val="21"/>
                <w:highlight w:val="none"/>
              </w:rPr>
              <w:t>内上传件</w:t>
            </w:r>
          </w:p>
        </w:tc>
        <w:tc>
          <w:tcPr>
            <w:tcW w:w="720" w:type="dxa"/>
            <w:tcBorders>
              <w:top w:val="single" w:color="auto" w:sz="4" w:space="0"/>
              <w:left w:val="single" w:color="auto" w:sz="4" w:space="0"/>
              <w:bottom w:val="single" w:color="auto" w:sz="4" w:space="0"/>
              <w:right w:val="single" w:color="auto" w:sz="4" w:space="0"/>
            </w:tcBorders>
            <w:vAlign w:val="center"/>
          </w:tcPr>
          <w:p w14:paraId="506D7AEE">
            <w:pPr>
              <w:spacing w:before="120" w:after="60"/>
              <w:jc w:val="center"/>
              <w:rPr>
                <w:rFonts w:ascii="宋体" w:hAnsi="宋体"/>
                <w:color w:val="000000"/>
                <w:szCs w:val="21"/>
                <w:highlight w:val="none"/>
              </w:rPr>
            </w:pPr>
          </w:p>
        </w:tc>
      </w:tr>
      <w:tr w14:paraId="34A4A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314B17A2">
            <w:pPr>
              <w:spacing w:before="120" w:after="60"/>
              <w:jc w:val="center"/>
              <w:rPr>
                <w:rFonts w:ascii="宋体" w:hAnsi="宋体"/>
                <w:szCs w:val="21"/>
                <w:highlight w:val="none"/>
              </w:rPr>
            </w:pPr>
            <w:r>
              <w:rPr>
                <w:rFonts w:hint="eastAsia" w:ascii="宋体" w:hAnsi="宋体"/>
                <w:szCs w:val="21"/>
                <w:highlight w:val="none"/>
              </w:rPr>
              <w:t>8</w:t>
            </w:r>
          </w:p>
        </w:tc>
        <w:tc>
          <w:tcPr>
            <w:tcW w:w="4025" w:type="dxa"/>
            <w:tcBorders>
              <w:top w:val="single" w:color="auto" w:sz="4" w:space="0"/>
              <w:left w:val="single" w:color="auto" w:sz="4" w:space="0"/>
              <w:bottom w:val="single" w:color="auto" w:sz="4" w:space="0"/>
              <w:right w:val="single" w:color="auto" w:sz="4" w:space="0"/>
            </w:tcBorders>
            <w:shd w:val="clear" w:color="auto" w:fill="auto"/>
            <w:vAlign w:val="center"/>
          </w:tcPr>
          <w:p w14:paraId="28D67194">
            <w:pPr>
              <w:spacing w:before="120" w:after="60"/>
              <w:jc w:val="center"/>
              <w:rPr>
                <w:rFonts w:ascii="宋体" w:hAnsi="宋体"/>
                <w:szCs w:val="21"/>
                <w:highlight w:val="none"/>
              </w:rPr>
            </w:pPr>
            <w:r>
              <w:rPr>
                <w:rFonts w:hint="eastAsia" w:ascii="宋体" w:hAnsi="宋体"/>
                <w:szCs w:val="21"/>
                <w:highlight w:val="none"/>
              </w:rPr>
              <w:t>投标人完成过的类似工程业绩符合公告要求</w:t>
            </w:r>
          </w:p>
        </w:tc>
        <w:tc>
          <w:tcPr>
            <w:tcW w:w="3830" w:type="dxa"/>
            <w:tcBorders>
              <w:top w:val="single" w:color="auto" w:sz="4" w:space="0"/>
              <w:left w:val="single" w:color="auto" w:sz="4" w:space="0"/>
              <w:bottom w:val="single" w:color="auto" w:sz="4" w:space="0"/>
              <w:right w:val="single" w:color="auto" w:sz="4" w:space="0"/>
            </w:tcBorders>
            <w:shd w:val="clear" w:color="auto" w:fill="auto"/>
            <w:vAlign w:val="center"/>
          </w:tcPr>
          <w:p w14:paraId="45CFF86E">
            <w:pPr>
              <w:spacing w:before="120" w:after="60"/>
              <w:jc w:val="center"/>
              <w:rPr>
                <w:rFonts w:ascii="宋体" w:hAnsi="宋体"/>
                <w:szCs w:val="21"/>
                <w:highlight w:val="none"/>
              </w:rPr>
            </w:pPr>
            <w:r>
              <w:rPr>
                <w:rFonts w:hint="eastAsia" w:ascii="宋体" w:hAnsi="宋体" w:cs="宋体"/>
                <w:bCs/>
                <w:szCs w:val="21"/>
                <w:highlight w:val="none"/>
              </w:rPr>
              <w:t>业绩取自广州市住建行业信用管理平台，投标人须提供类似工程业绩的项目名称及项目编号、平台网页截图（可不提供业绩上传件）</w:t>
            </w:r>
          </w:p>
        </w:tc>
        <w:tc>
          <w:tcPr>
            <w:tcW w:w="720" w:type="dxa"/>
            <w:tcBorders>
              <w:top w:val="single" w:color="auto" w:sz="4" w:space="0"/>
              <w:left w:val="single" w:color="auto" w:sz="4" w:space="0"/>
              <w:bottom w:val="single" w:color="auto" w:sz="4" w:space="0"/>
              <w:right w:val="single" w:color="auto" w:sz="4" w:space="0"/>
            </w:tcBorders>
            <w:vAlign w:val="center"/>
          </w:tcPr>
          <w:p w14:paraId="567A809B">
            <w:pPr>
              <w:spacing w:before="120" w:after="60"/>
              <w:jc w:val="center"/>
              <w:rPr>
                <w:rFonts w:ascii="宋体" w:hAnsi="宋体"/>
                <w:color w:val="000000"/>
                <w:szCs w:val="21"/>
                <w:highlight w:val="none"/>
              </w:rPr>
            </w:pPr>
          </w:p>
        </w:tc>
      </w:tr>
      <w:tr w14:paraId="2BD7B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2B01EE64">
            <w:pPr>
              <w:spacing w:before="120" w:after="60"/>
              <w:jc w:val="center"/>
              <w:rPr>
                <w:rFonts w:ascii="宋体" w:hAnsi="宋体"/>
                <w:color w:val="000000"/>
                <w:highlight w:val="none"/>
              </w:rPr>
            </w:pPr>
            <w:r>
              <w:rPr>
                <w:rFonts w:hint="eastAsia" w:ascii="宋体" w:hAnsi="宋体"/>
                <w:szCs w:val="21"/>
                <w:highlight w:val="none"/>
              </w:rPr>
              <w:t>9</w:t>
            </w:r>
          </w:p>
        </w:tc>
        <w:tc>
          <w:tcPr>
            <w:tcW w:w="4025" w:type="dxa"/>
            <w:tcBorders>
              <w:top w:val="single" w:color="auto" w:sz="4" w:space="0"/>
              <w:left w:val="single" w:color="auto" w:sz="4" w:space="0"/>
              <w:bottom w:val="single" w:color="auto" w:sz="4" w:space="0"/>
              <w:right w:val="single" w:color="auto" w:sz="4" w:space="0"/>
            </w:tcBorders>
            <w:vAlign w:val="center"/>
          </w:tcPr>
          <w:p w14:paraId="04232B81">
            <w:pPr>
              <w:spacing w:before="120" w:after="60"/>
              <w:jc w:val="center"/>
              <w:rPr>
                <w:rFonts w:ascii="宋体" w:hAnsi="宋体"/>
                <w:color w:val="000000"/>
                <w:highlight w:val="none"/>
              </w:rPr>
            </w:pPr>
            <w:r>
              <w:rPr>
                <w:rFonts w:hint="eastAsia" w:ascii="宋体" w:hAnsi="宋体"/>
                <w:szCs w:val="21"/>
                <w:highlight w:val="none"/>
              </w:rPr>
              <w:t>投标人提供的投标人声明符合公告要求</w:t>
            </w:r>
          </w:p>
        </w:tc>
        <w:tc>
          <w:tcPr>
            <w:tcW w:w="3830" w:type="dxa"/>
            <w:tcBorders>
              <w:top w:val="single" w:color="auto" w:sz="4" w:space="0"/>
              <w:left w:val="single" w:color="auto" w:sz="4" w:space="0"/>
              <w:bottom w:val="single" w:color="auto" w:sz="4" w:space="0"/>
              <w:right w:val="single" w:color="auto" w:sz="4" w:space="0"/>
            </w:tcBorders>
            <w:vAlign w:val="center"/>
          </w:tcPr>
          <w:p w14:paraId="544897AE">
            <w:pPr>
              <w:spacing w:before="120" w:after="60"/>
              <w:jc w:val="center"/>
              <w:rPr>
                <w:rFonts w:ascii="宋体" w:hAnsi="宋体"/>
                <w:color w:val="000000"/>
                <w:highlight w:val="none"/>
              </w:rPr>
            </w:pPr>
            <w:r>
              <w:rPr>
                <w:rFonts w:hint="eastAsia" w:ascii="宋体" w:hAnsi="宋体"/>
                <w:szCs w:val="21"/>
                <w:highlight w:val="none"/>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14:paraId="7FEFC14E">
            <w:pPr>
              <w:spacing w:before="120" w:after="60"/>
              <w:jc w:val="center"/>
              <w:rPr>
                <w:rFonts w:ascii="宋体" w:hAnsi="宋体"/>
                <w:color w:val="000000"/>
                <w:szCs w:val="21"/>
                <w:highlight w:val="none"/>
              </w:rPr>
            </w:pPr>
          </w:p>
        </w:tc>
      </w:tr>
      <w:tr w14:paraId="023DA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0DBBFDED">
            <w:pPr>
              <w:spacing w:before="120" w:after="60"/>
              <w:jc w:val="center"/>
              <w:rPr>
                <w:rFonts w:ascii="宋体" w:hAnsi="宋体"/>
                <w:color w:val="000000"/>
                <w:szCs w:val="21"/>
                <w:highlight w:val="none"/>
              </w:rPr>
            </w:pPr>
            <w:r>
              <w:rPr>
                <w:rFonts w:hint="eastAsia" w:ascii="宋体" w:hAnsi="宋体"/>
                <w:szCs w:val="21"/>
                <w:highlight w:val="none"/>
              </w:rPr>
              <w:t>10</w:t>
            </w:r>
          </w:p>
        </w:tc>
        <w:tc>
          <w:tcPr>
            <w:tcW w:w="4025" w:type="dxa"/>
            <w:tcBorders>
              <w:top w:val="single" w:color="auto" w:sz="4" w:space="0"/>
              <w:left w:val="single" w:color="auto" w:sz="4" w:space="0"/>
              <w:bottom w:val="single" w:color="auto" w:sz="4" w:space="0"/>
              <w:right w:val="single" w:color="auto" w:sz="4" w:space="0"/>
            </w:tcBorders>
            <w:vAlign w:val="center"/>
          </w:tcPr>
          <w:p w14:paraId="0009199C">
            <w:pPr>
              <w:spacing w:before="120" w:after="60"/>
              <w:jc w:val="center"/>
              <w:rPr>
                <w:rFonts w:ascii="宋体" w:hAnsi="宋体"/>
                <w:color w:val="000000"/>
                <w:szCs w:val="21"/>
                <w:highlight w:val="none"/>
              </w:rPr>
            </w:pPr>
            <w:r>
              <w:rPr>
                <w:rFonts w:hint="eastAsia" w:ascii="宋体" w:hAnsi="宋体" w:cs="宋体"/>
                <w:szCs w:val="21"/>
                <w:highlight w:val="none"/>
              </w:rPr>
              <w:t>投标人声明中签字的项目负责人和技术负责人与本项目拟派的项目负责人和技术负责人一致。</w:t>
            </w:r>
          </w:p>
        </w:tc>
        <w:tc>
          <w:tcPr>
            <w:tcW w:w="3830" w:type="dxa"/>
            <w:tcBorders>
              <w:top w:val="single" w:color="auto" w:sz="4" w:space="0"/>
              <w:left w:val="single" w:color="auto" w:sz="4" w:space="0"/>
              <w:bottom w:val="single" w:color="auto" w:sz="4" w:space="0"/>
              <w:right w:val="single" w:color="auto" w:sz="4" w:space="0"/>
            </w:tcBorders>
            <w:vAlign w:val="center"/>
          </w:tcPr>
          <w:p w14:paraId="78282519">
            <w:pPr>
              <w:spacing w:before="120" w:after="60"/>
              <w:jc w:val="center"/>
              <w:rPr>
                <w:rFonts w:ascii="宋体" w:hAnsi="宋体"/>
                <w:color w:val="000000"/>
                <w:szCs w:val="21"/>
                <w:highlight w:val="none"/>
              </w:rPr>
            </w:pPr>
            <w:r>
              <w:rPr>
                <w:rFonts w:hint="eastAsia" w:ascii="宋体" w:hAnsi="宋体" w:cs="宋体"/>
                <w:szCs w:val="21"/>
                <w:highlight w:val="none"/>
              </w:rPr>
              <w:t>网上投标时选择拟投标的项目负责人、资格审查文件中拟委派的技术负责人及投标人声明。</w:t>
            </w:r>
          </w:p>
        </w:tc>
        <w:tc>
          <w:tcPr>
            <w:tcW w:w="720" w:type="dxa"/>
            <w:tcBorders>
              <w:top w:val="single" w:color="auto" w:sz="4" w:space="0"/>
              <w:left w:val="single" w:color="auto" w:sz="4" w:space="0"/>
              <w:bottom w:val="single" w:color="auto" w:sz="4" w:space="0"/>
              <w:right w:val="single" w:color="auto" w:sz="4" w:space="0"/>
            </w:tcBorders>
            <w:vAlign w:val="center"/>
          </w:tcPr>
          <w:p w14:paraId="37242F76">
            <w:pPr>
              <w:spacing w:before="120" w:after="60"/>
              <w:jc w:val="center"/>
              <w:rPr>
                <w:rFonts w:ascii="宋体" w:hAnsi="宋体"/>
                <w:color w:val="000000"/>
                <w:szCs w:val="21"/>
                <w:highlight w:val="none"/>
              </w:rPr>
            </w:pPr>
          </w:p>
        </w:tc>
      </w:tr>
      <w:tr w14:paraId="3590E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1165B69A">
            <w:pPr>
              <w:spacing w:before="120" w:after="60"/>
              <w:jc w:val="center"/>
              <w:rPr>
                <w:rFonts w:ascii="宋体" w:hAnsi="宋体"/>
                <w:color w:val="000000"/>
                <w:szCs w:val="21"/>
                <w:highlight w:val="none"/>
              </w:rPr>
            </w:pPr>
            <w:r>
              <w:rPr>
                <w:rFonts w:hint="eastAsia" w:ascii="宋体" w:hAnsi="宋体"/>
                <w:szCs w:val="21"/>
                <w:highlight w:val="none"/>
              </w:rPr>
              <w:t>11</w:t>
            </w:r>
          </w:p>
        </w:tc>
        <w:tc>
          <w:tcPr>
            <w:tcW w:w="4025" w:type="dxa"/>
            <w:tcBorders>
              <w:top w:val="single" w:color="auto" w:sz="4" w:space="0"/>
              <w:left w:val="single" w:color="auto" w:sz="4" w:space="0"/>
              <w:bottom w:val="single" w:color="auto" w:sz="4" w:space="0"/>
              <w:right w:val="single" w:color="auto" w:sz="4" w:space="0"/>
            </w:tcBorders>
            <w:vAlign w:val="center"/>
          </w:tcPr>
          <w:p w14:paraId="061ADEAF">
            <w:pPr>
              <w:spacing w:before="120" w:after="60"/>
              <w:jc w:val="center"/>
              <w:rPr>
                <w:rFonts w:ascii="宋体" w:hAnsi="宋体"/>
                <w:color w:val="000000"/>
                <w:szCs w:val="21"/>
                <w:highlight w:val="none"/>
              </w:rPr>
            </w:pPr>
            <w:r>
              <w:rPr>
                <w:rFonts w:hint="eastAsia" w:ascii="宋体" w:hAnsi="宋体" w:cs="宋体"/>
                <w:szCs w:val="21"/>
                <w:highlight w:val="none"/>
              </w:rPr>
              <w:t>关于联合体投标</w:t>
            </w:r>
          </w:p>
        </w:tc>
        <w:tc>
          <w:tcPr>
            <w:tcW w:w="3830" w:type="dxa"/>
            <w:tcBorders>
              <w:top w:val="single" w:color="auto" w:sz="4" w:space="0"/>
              <w:left w:val="single" w:color="auto" w:sz="4" w:space="0"/>
              <w:bottom w:val="single" w:color="auto" w:sz="4" w:space="0"/>
              <w:right w:val="single" w:color="auto" w:sz="4" w:space="0"/>
            </w:tcBorders>
            <w:vAlign w:val="center"/>
          </w:tcPr>
          <w:p w14:paraId="4FDD948C">
            <w:pPr>
              <w:spacing w:before="120" w:after="60"/>
              <w:jc w:val="center"/>
              <w:rPr>
                <w:rFonts w:ascii="宋体" w:hAnsi="宋体"/>
                <w:color w:val="000000"/>
                <w:szCs w:val="21"/>
                <w:highlight w:val="none"/>
              </w:rPr>
            </w:pPr>
            <w:r>
              <w:rPr>
                <w:rFonts w:hint="eastAsia" w:ascii="宋体" w:hAnsi="宋体" w:cs="宋体"/>
                <w:szCs w:val="21"/>
                <w:highlight w:val="none"/>
              </w:rPr>
              <w:t>本项目不接受联合体投标</w:t>
            </w:r>
          </w:p>
        </w:tc>
        <w:tc>
          <w:tcPr>
            <w:tcW w:w="720" w:type="dxa"/>
            <w:tcBorders>
              <w:top w:val="single" w:color="auto" w:sz="4" w:space="0"/>
              <w:left w:val="single" w:color="auto" w:sz="4" w:space="0"/>
              <w:bottom w:val="single" w:color="auto" w:sz="4" w:space="0"/>
              <w:right w:val="single" w:color="auto" w:sz="4" w:space="0"/>
            </w:tcBorders>
            <w:vAlign w:val="center"/>
          </w:tcPr>
          <w:p w14:paraId="0298A8D0">
            <w:pPr>
              <w:spacing w:before="120" w:after="60"/>
              <w:jc w:val="center"/>
              <w:rPr>
                <w:rFonts w:ascii="宋体" w:hAnsi="宋体"/>
                <w:color w:val="000000"/>
                <w:szCs w:val="21"/>
                <w:highlight w:val="none"/>
              </w:rPr>
            </w:pPr>
          </w:p>
        </w:tc>
      </w:tr>
      <w:tr w14:paraId="34BBF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121086EA">
            <w:pPr>
              <w:spacing w:before="120" w:after="60"/>
              <w:jc w:val="center"/>
              <w:rPr>
                <w:rFonts w:ascii="宋体" w:hAnsi="宋体"/>
                <w:color w:val="000000"/>
                <w:szCs w:val="21"/>
                <w:highlight w:val="none"/>
              </w:rPr>
            </w:pPr>
            <w:r>
              <w:rPr>
                <w:rFonts w:hint="eastAsia" w:ascii="宋体" w:hAnsi="宋体"/>
                <w:szCs w:val="21"/>
                <w:highlight w:val="none"/>
              </w:rPr>
              <w:t>12</w:t>
            </w:r>
          </w:p>
        </w:tc>
        <w:tc>
          <w:tcPr>
            <w:tcW w:w="4025" w:type="dxa"/>
            <w:tcBorders>
              <w:top w:val="single" w:color="auto" w:sz="4" w:space="0"/>
              <w:left w:val="single" w:color="auto" w:sz="4" w:space="0"/>
              <w:bottom w:val="single" w:color="auto" w:sz="4" w:space="0"/>
              <w:right w:val="single" w:color="auto" w:sz="4" w:space="0"/>
            </w:tcBorders>
            <w:vAlign w:val="center"/>
          </w:tcPr>
          <w:p w14:paraId="1F1481B2">
            <w:pPr>
              <w:spacing w:before="120" w:after="60"/>
              <w:jc w:val="center"/>
              <w:rPr>
                <w:rFonts w:ascii="宋体" w:hAnsi="宋体"/>
                <w:color w:val="000000"/>
                <w:szCs w:val="21"/>
                <w:highlight w:val="none"/>
              </w:rPr>
            </w:pPr>
            <w:r>
              <w:rPr>
                <w:rFonts w:hint="eastAsia" w:ascii="宋体" w:hAnsi="宋体"/>
                <w:szCs w:val="21"/>
                <w:highlight w:val="none"/>
              </w:rPr>
              <w:t>资格审查前，投标人须在广州市住房和城乡建设局建立企业信用档案及拟担任本工程项目负责人、专职安全员须是本企业中的在册人员</w:t>
            </w:r>
          </w:p>
        </w:tc>
        <w:tc>
          <w:tcPr>
            <w:tcW w:w="3830" w:type="dxa"/>
            <w:tcBorders>
              <w:top w:val="single" w:color="auto" w:sz="4" w:space="0"/>
              <w:left w:val="single" w:color="auto" w:sz="4" w:space="0"/>
              <w:bottom w:val="single" w:color="auto" w:sz="4" w:space="0"/>
              <w:right w:val="single" w:color="auto" w:sz="4" w:space="0"/>
            </w:tcBorders>
            <w:vAlign w:val="center"/>
          </w:tcPr>
          <w:p w14:paraId="70C05677">
            <w:pPr>
              <w:spacing w:before="120" w:after="60"/>
              <w:jc w:val="left"/>
              <w:rPr>
                <w:rFonts w:ascii="宋体" w:hAnsi="宋体"/>
                <w:color w:val="000000"/>
                <w:szCs w:val="21"/>
                <w:highlight w:val="none"/>
              </w:rPr>
            </w:pPr>
            <w:r>
              <w:rPr>
                <w:rFonts w:hint="eastAsia" w:ascii="宋体" w:hAnsi="宋体"/>
                <w:szCs w:val="21"/>
                <w:highlight w:val="none"/>
              </w:rPr>
              <w:t>投标人在</w:t>
            </w:r>
            <w:r>
              <w:rPr>
                <w:rFonts w:hint="eastAsia" w:ascii="宋体" w:hAnsi="宋体"/>
                <w:szCs w:val="21"/>
                <w:highlight w:val="none"/>
                <w:u w:val="single"/>
              </w:rPr>
              <w:t>广州市住建行业信用管理平台企业信用档案信息库</w:t>
            </w:r>
            <w:r>
              <w:rPr>
                <w:rFonts w:hint="eastAsia" w:ascii="宋体" w:hAnsi="宋体"/>
                <w:szCs w:val="21"/>
                <w:highlight w:val="none"/>
              </w:rPr>
              <w:t>内企业信用档案的企业和人员信息</w:t>
            </w:r>
          </w:p>
        </w:tc>
        <w:tc>
          <w:tcPr>
            <w:tcW w:w="720" w:type="dxa"/>
            <w:tcBorders>
              <w:top w:val="single" w:color="auto" w:sz="4" w:space="0"/>
              <w:left w:val="single" w:color="auto" w:sz="4" w:space="0"/>
              <w:bottom w:val="single" w:color="auto" w:sz="4" w:space="0"/>
              <w:right w:val="single" w:color="auto" w:sz="4" w:space="0"/>
            </w:tcBorders>
            <w:vAlign w:val="center"/>
          </w:tcPr>
          <w:p w14:paraId="1DC1F40A">
            <w:pPr>
              <w:spacing w:before="120" w:after="60"/>
              <w:jc w:val="center"/>
              <w:rPr>
                <w:rFonts w:ascii="宋体" w:hAnsi="宋体"/>
                <w:color w:val="000000"/>
                <w:szCs w:val="21"/>
                <w:highlight w:val="none"/>
              </w:rPr>
            </w:pPr>
          </w:p>
        </w:tc>
      </w:tr>
      <w:tr w14:paraId="5D459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292071D7">
            <w:pPr>
              <w:spacing w:before="120" w:after="60"/>
              <w:jc w:val="center"/>
              <w:rPr>
                <w:rFonts w:ascii="宋体" w:hAnsi="宋体"/>
                <w:szCs w:val="21"/>
                <w:highlight w:val="none"/>
              </w:rPr>
            </w:pPr>
            <w:r>
              <w:rPr>
                <w:rFonts w:hint="eastAsia" w:ascii="宋体" w:hAnsi="宋体"/>
                <w:szCs w:val="21"/>
                <w:highlight w:val="none"/>
              </w:rPr>
              <w:t>13</w:t>
            </w:r>
          </w:p>
        </w:tc>
        <w:tc>
          <w:tcPr>
            <w:tcW w:w="4025" w:type="dxa"/>
            <w:tcBorders>
              <w:top w:val="single" w:color="auto" w:sz="4" w:space="0"/>
              <w:left w:val="single" w:color="auto" w:sz="4" w:space="0"/>
              <w:bottom w:val="single" w:color="auto" w:sz="4" w:space="0"/>
              <w:right w:val="single" w:color="auto" w:sz="4" w:space="0"/>
            </w:tcBorders>
            <w:shd w:val="clear" w:color="auto" w:fill="auto"/>
            <w:vAlign w:val="center"/>
          </w:tcPr>
          <w:p w14:paraId="5CBC0FCF">
            <w:pPr>
              <w:spacing w:before="120" w:after="60"/>
              <w:jc w:val="left"/>
              <w:rPr>
                <w:rFonts w:ascii="宋体" w:hAnsi="宋体"/>
                <w:color w:val="000000"/>
                <w:szCs w:val="21"/>
                <w:highlight w:val="none"/>
              </w:rPr>
            </w:pPr>
            <w:r>
              <w:rPr>
                <w:rFonts w:hint="eastAsia" w:ascii="宋体" w:hAnsi="宋体"/>
                <w:szCs w:val="21"/>
                <w:highlight w:val="none"/>
              </w:rPr>
              <w:t>投标人未出现以下情形：与其它投标人的单位负责人为同一人或者存在控股、管理关系的（按投标人提供的《投标人声明》第八条内容进行评审）。</w:t>
            </w:r>
          </w:p>
        </w:tc>
        <w:tc>
          <w:tcPr>
            <w:tcW w:w="3830" w:type="dxa"/>
            <w:tcBorders>
              <w:top w:val="single" w:color="auto" w:sz="4" w:space="0"/>
              <w:left w:val="single" w:color="auto" w:sz="4" w:space="0"/>
              <w:bottom w:val="single" w:color="auto" w:sz="4" w:space="0"/>
              <w:right w:val="single" w:color="auto" w:sz="4" w:space="0"/>
            </w:tcBorders>
            <w:shd w:val="clear" w:color="auto" w:fill="auto"/>
            <w:vAlign w:val="center"/>
          </w:tcPr>
          <w:p w14:paraId="35B755B6">
            <w:pPr>
              <w:spacing w:before="120" w:after="60"/>
              <w:jc w:val="center"/>
              <w:rPr>
                <w:rFonts w:ascii="宋体" w:hAnsi="宋体"/>
                <w:color w:val="000000"/>
                <w:szCs w:val="21"/>
                <w:highlight w:val="none"/>
              </w:rPr>
            </w:pPr>
            <w:r>
              <w:rPr>
                <w:rFonts w:hint="eastAsia" w:ascii="宋体" w:hAnsi="宋体"/>
                <w:szCs w:val="21"/>
                <w:highlight w:val="none"/>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14:paraId="555FF4F7">
            <w:pPr>
              <w:spacing w:before="120" w:after="60"/>
              <w:jc w:val="center"/>
              <w:rPr>
                <w:rFonts w:ascii="宋体" w:hAnsi="宋体"/>
                <w:color w:val="000000"/>
                <w:szCs w:val="21"/>
                <w:highlight w:val="none"/>
              </w:rPr>
            </w:pPr>
          </w:p>
        </w:tc>
      </w:tr>
      <w:tr w14:paraId="514B1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52B2FFBB">
            <w:pPr>
              <w:spacing w:before="120" w:after="60"/>
              <w:jc w:val="center"/>
              <w:rPr>
                <w:rFonts w:ascii="宋体" w:hAnsi="宋体"/>
                <w:color w:val="000000"/>
                <w:szCs w:val="21"/>
                <w:highlight w:val="none"/>
              </w:rPr>
            </w:pPr>
            <w:r>
              <w:rPr>
                <w:rFonts w:hint="eastAsia" w:ascii="宋体" w:hAnsi="宋体"/>
                <w:color w:val="000000"/>
                <w:szCs w:val="21"/>
                <w:highlight w:val="none"/>
              </w:rPr>
              <w:t>14</w:t>
            </w:r>
          </w:p>
        </w:tc>
        <w:tc>
          <w:tcPr>
            <w:tcW w:w="4025" w:type="dxa"/>
            <w:tcBorders>
              <w:top w:val="single" w:color="auto" w:sz="4" w:space="0"/>
              <w:left w:val="single" w:color="auto" w:sz="4" w:space="0"/>
              <w:bottom w:val="single" w:color="auto" w:sz="4" w:space="0"/>
              <w:right w:val="single" w:color="auto" w:sz="4" w:space="0"/>
            </w:tcBorders>
            <w:vAlign w:val="center"/>
          </w:tcPr>
          <w:p w14:paraId="380987F2">
            <w:pPr>
              <w:spacing w:before="120" w:after="60"/>
              <w:jc w:val="center"/>
              <w:rPr>
                <w:rFonts w:ascii="宋体" w:hAnsi="宋体"/>
                <w:color w:val="000000"/>
                <w:szCs w:val="21"/>
                <w:highlight w:val="none"/>
                <w:u w:val="single"/>
              </w:rPr>
            </w:pPr>
            <w:r>
              <w:rPr>
                <w:rFonts w:hint="eastAsia" w:ascii="宋体" w:hAnsi="宋体" w:cs="宋体"/>
                <w:kern w:val="0"/>
                <w:szCs w:val="21"/>
                <w:highlight w:val="none"/>
                <w:u w:val="single"/>
              </w:rPr>
              <w:t>未被列入拖欠农民工工资失信联合惩戒对象名单</w:t>
            </w:r>
          </w:p>
        </w:tc>
        <w:tc>
          <w:tcPr>
            <w:tcW w:w="3830" w:type="dxa"/>
            <w:tcBorders>
              <w:top w:val="single" w:color="auto" w:sz="4" w:space="0"/>
              <w:left w:val="single" w:color="auto" w:sz="4" w:space="0"/>
              <w:bottom w:val="single" w:color="auto" w:sz="4" w:space="0"/>
              <w:right w:val="single" w:color="auto" w:sz="4" w:space="0"/>
            </w:tcBorders>
            <w:vAlign w:val="center"/>
          </w:tcPr>
          <w:p w14:paraId="60B10EAD">
            <w:pPr>
              <w:spacing w:before="120" w:after="60"/>
              <w:jc w:val="center"/>
              <w:rPr>
                <w:rFonts w:ascii="宋体" w:hAnsi="宋体"/>
                <w:color w:val="000000"/>
                <w:szCs w:val="21"/>
                <w:highlight w:val="none"/>
                <w:u w:val="single"/>
              </w:rPr>
            </w:pPr>
            <w:r>
              <w:rPr>
                <w:rFonts w:hint="eastAsia" w:ascii="宋体" w:hAnsi="宋体"/>
                <w:szCs w:val="21"/>
                <w:highlight w:val="none"/>
              </w:rPr>
              <w:t>投标人无需提供资料，按交易系统比对的结果进行评审</w:t>
            </w:r>
          </w:p>
        </w:tc>
        <w:tc>
          <w:tcPr>
            <w:tcW w:w="720" w:type="dxa"/>
            <w:tcBorders>
              <w:top w:val="single" w:color="auto" w:sz="4" w:space="0"/>
              <w:left w:val="single" w:color="auto" w:sz="4" w:space="0"/>
              <w:bottom w:val="single" w:color="auto" w:sz="4" w:space="0"/>
              <w:right w:val="single" w:color="auto" w:sz="4" w:space="0"/>
            </w:tcBorders>
            <w:vAlign w:val="center"/>
          </w:tcPr>
          <w:p w14:paraId="038CF2CB">
            <w:pPr>
              <w:spacing w:before="120" w:after="60"/>
              <w:jc w:val="center"/>
              <w:rPr>
                <w:rFonts w:ascii="宋体" w:hAnsi="宋体"/>
                <w:color w:val="000000"/>
                <w:szCs w:val="21"/>
                <w:highlight w:val="none"/>
              </w:rPr>
            </w:pPr>
          </w:p>
        </w:tc>
      </w:tr>
    </w:tbl>
    <w:p w14:paraId="48CFC8CF">
      <w:pPr>
        <w:ind w:firstLine="470" w:firstLineChars="224"/>
        <w:rPr>
          <w:rFonts w:ascii="宋体" w:hAnsi="宋体" w:cs="宋体"/>
          <w:szCs w:val="21"/>
          <w:highlight w:val="none"/>
        </w:rPr>
      </w:pPr>
      <w:r>
        <w:rPr>
          <w:rFonts w:hint="eastAsia" w:ascii="宋体" w:hAnsi="宋体" w:cs="宋体"/>
          <w:szCs w:val="21"/>
          <w:highlight w:val="none"/>
        </w:rPr>
        <w:t>备注：</w:t>
      </w:r>
    </w:p>
    <w:p w14:paraId="665776DA">
      <w:pPr>
        <w:ind w:firstLine="470" w:firstLineChars="224"/>
        <w:rPr>
          <w:rFonts w:ascii="宋体" w:hAnsi="宋体" w:cs="宋体"/>
          <w:szCs w:val="21"/>
          <w:highlight w:val="none"/>
        </w:rPr>
      </w:pPr>
      <w:r>
        <w:rPr>
          <w:rFonts w:hint="eastAsia" w:ascii="宋体" w:hAnsi="宋体" w:cs="宋体"/>
          <w:szCs w:val="21"/>
          <w:highlight w:val="none"/>
        </w:rPr>
        <w:t>1、每一项目符合的打“○”，不符合的打“×”；</w:t>
      </w:r>
    </w:p>
    <w:p w14:paraId="4477783D">
      <w:pPr>
        <w:spacing w:line="480" w:lineRule="auto"/>
        <w:ind w:firstLine="470" w:firstLineChars="224"/>
        <w:rPr>
          <w:rFonts w:ascii="宋体" w:hAnsi="宋体"/>
          <w:color w:val="000000"/>
          <w:szCs w:val="21"/>
          <w:highlight w:val="none"/>
        </w:rPr>
      </w:pPr>
      <w:r>
        <w:rPr>
          <w:rFonts w:hint="eastAsia" w:ascii="宋体" w:hAnsi="宋体" w:cs="宋体"/>
          <w:szCs w:val="21"/>
          <w:highlight w:val="none"/>
        </w:rPr>
        <w:t>2、若评委意见不一致时，则按少数服从多数的原则，作出评审结论。汇总后，出现一个“×”的结论为“不通过”。</w:t>
      </w:r>
    </w:p>
    <w:p w14:paraId="364C9D58">
      <w:pPr>
        <w:rPr>
          <w:color w:val="000000"/>
          <w:highlight w:val="none"/>
        </w:rPr>
      </w:pPr>
    </w:p>
    <w:p w14:paraId="5D55CF2A">
      <w:pPr>
        <w:spacing w:line="480" w:lineRule="auto"/>
        <w:ind w:firstLine="470" w:firstLineChars="224"/>
        <w:rPr>
          <w:rFonts w:ascii="宋体" w:hAnsi="宋体" w:cs="宋体"/>
          <w:color w:val="000000"/>
          <w:szCs w:val="21"/>
          <w:highlight w:val="none"/>
        </w:rPr>
        <w:sectPr>
          <w:endnotePr>
            <w:numFmt w:val="decimal"/>
          </w:endnotePr>
          <w:type w:val="continuous"/>
          <w:pgSz w:w="11906" w:h="16838"/>
          <w:pgMar w:top="1134" w:right="1418" w:bottom="1247" w:left="1418" w:header="851" w:footer="907" w:gutter="0"/>
          <w:cols w:space="720" w:num="1"/>
          <w:titlePg/>
          <w:docGrid w:type="lines" w:linePitch="312" w:charSpace="0"/>
        </w:sectPr>
      </w:pPr>
      <w:r>
        <w:rPr>
          <w:rFonts w:hint="eastAsia" w:ascii="宋体" w:hAnsi="宋体" w:cs="宋体"/>
          <w:szCs w:val="21"/>
          <w:highlight w:val="none"/>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23A8DC29">
      <w:pPr>
        <w:rPr>
          <w:rFonts w:ascii="宋体" w:hAnsi="宋体" w:cs="宋体"/>
          <w:szCs w:val="21"/>
          <w:highlight w:val="none"/>
        </w:rPr>
      </w:pPr>
      <w:r>
        <w:rPr>
          <w:rFonts w:hint="eastAsia" w:ascii="宋体" w:hAnsi="宋体" w:cs="宋体"/>
          <w:szCs w:val="21"/>
          <w:highlight w:val="none"/>
        </w:rPr>
        <w:t>附表二</w:t>
      </w:r>
    </w:p>
    <w:p w14:paraId="2012DD79">
      <w:pPr>
        <w:jc w:val="center"/>
        <w:rPr>
          <w:rFonts w:ascii="宋体" w:hAnsi="宋体" w:cs="宋体"/>
          <w:b/>
          <w:szCs w:val="21"/>
          <w:highlight w:val="none"/>
        </w:rPr>
      </w:pPr>
      <w:r>
        <w:rPr>
          <w:rFonts w:hint="eastAsia" w:ascii="宋体" w:hAnsi="宋体" w:cs="宋体"/>
          <w:b/>
          <w:szCs w:val="21"/>
          <w:highlight w:val="none"/>
        </w:rPr>
        <w:t>技术标有效性审查表</w:t>
      </w:r>
    </w:p>
    <w:p w14:paraId="0EC736DD">
      <w:pPr>
        <w:rPr>
          <w:rFonts w:ascii="宋体" w:hAnsi="宋体" w:cs="宋体"/>
          <w:szCs w:val="21"/>
          <w:highlight w:val="none"/>
        </w:rPr>
      </w:pPr>
      <w:r>
        <w:rPr>
          <w:rFonts w:hint="eastAsia" w:ascii="宋体" w:hAnsi="宋体" w:cs="宋体"/>
          <w:szCs w:val="21"/>
          <w:highlight w:val="none"/>
        </w:rPr>
        <w:t>工程名称：</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5256"/>
        <w:gridCol w:w="1476"/>
        <w:gridCol w:w="1476"/>
        <w:gridCol w:w="1476"/>
        <w:gridCol w:w="1476"/>
        <w:gridCol w:w="1476"/>
        <w:gridCol w:w="1478"/>
      </w:tblGrid>
      <w:tr w14:paraId="447D7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21" w:type="dxa"/>
            <w:tcBorders>
              <w:top w:val="single" w:color="auto" w:sz="4" w:space="0"/>
              <w:left w:val="single" w:color="auto" w:sz="4" w:space="0"/>
              <w:bottom w:val="single" w:color="auto" w:sz="4" w:space="0"/>
              <w:right w:val="single" w:color="auto" w:sz="4" w:space="0"/>
            </w:tcBorders>
            <w:vAlign w:val="center"/>
          </w:tcPr>
          <w:p w14:paraId="0B906FD7">
            <w:pPr>
              <w:adjustRightInd w:val="0"/>
              <w:rPr>
                <w:rFonts w:ascii="宋体" w:hAnsi="宋体" w:cs="宋体"/>
                <w:szCs w:val="21"/>
                <w:highlight w:val="none"/>
              </w:rPr>
            </w:pPr>
            <w:r>
              <w:rPr>
                <w:rFonts w:hint="eastAsia" w:ascii="宋体" w:hAnsi="宋体" w:cs="宋体"/>
                <w:szCs w:val="21"/>
                <w:highlight w:val="none"/>
              </w:rPr>
              <w:t>序号</w:t>
            </w:r>
          </w:p>
        </w:tc>
        <w:tc>
          <w:tcPr>
            <w:tcW w:w="5256" w:type="dxa"/>
            <w:tcBorders>
              <w:top w:val="single" w:color="auto" w:sz="4" w:space="0"/>
              <w:left w:val="single" w:color="auto" w:sz="4" w:space="0"/>
              <w:bottom w:val="single" w:color="auto" w:sz="4" w:space="0"/>
              <w:right w:val="single" w:color="auto" w:sz="4" w:space="0"/>
              <w:tl2br w:val="single" w:color="auto" w:sz="4" w:space="0"/>
            </w:tcBorders>
          </w:tcPr>
          <w:p w14:paraId="3F1F3D62">
            <w:pPr>
              <w:adjustRightInd w:val="0"/>
              <w:ind w:firstLine="4200" w:firstLineChars="2000"/>
              <w:rPr>
                <w:rFonts w:ascii="宋体" w:hAnsi="宋体" w:cs="宋体"/>
                <w:szCs w:val="21"/>
                <w:highlight w:val="none"/>
              </w:rPr>
            </w:pPr>
            <w:r>
              <w:rPr>
                <w:rFonts w:hint="eastAsia" w:ascii="宋体" w:hAnsi="宋体" w:cs="宋体"/>
                <w:szCs w:val="21"/>
                <w:highlight w:val="none"/>
              </w:rPr>
              <w:t>投标人</w:t>
            </w:r>
          </w:p>
          <w:p w14:paraId="2C82ADDF">
            <w:pPr>
              <w:adjustRightInd w:val="0"/>
              <w:rPr>
                <w:rFonts w:ascii="宋体" w:hAnsi="宋体" w:cs="宋体"/>
                <w:szCs w:val="21"/>
                <w:highlight w:val="none"/>
              </w:rPr>
            </w:pPr>
            <w:r>
              <w:rPr>
                <w:rFonts w:hint="eastAsia" w:ascii="宋体" w:hAnsi="宋体" w:cs="宋体"/>
                <w:szCs w:val="21"/>
                <w:highlight w:val="none"/>
              </w:rPr>
              <w:t>评审内容</w:t>
            </w:r>
          </w:p>
        </w:tc>
        <w:tc>
          <w:tcPr>
            <w:tcW w:w="1476" w:type="dxa"/>
            <w:tcBorders>
              <w:top w:val="single" w:color="auto" w:sz="4" w:space="0"/>
              <w:left w:val="single" w:color="auto" w:sz="4" w:space="0"/>
              <w:bottom w:val="single" w:color="auto" w:sz="4" w:space="0"/>
              <w:right w:val="single" w:color="auto" w:sz="4" w:space="0"/>
            </w:tcBorders>
          </w:tcPr>
          <w:p w14:paraId="2C55129D">
            <w:pPr>
              <w:adjustRightInd w:val="0"/>
              <w:rPr>
                <w:rFonts w:ascii="宋体" w:hAnsi="宋体" w:cs="宋体"/>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14:paraId="56B7D944">
            <w:pPr>
              <w:adjustRightInd w:val="0"/>
              <w:rPr>
                <w:rFonts w:ascii="宋体" w:hAnsi="宋体" w:cs="宋体"/>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14:paraId="6616E370">
            <w:pPr>
              <w:adjustRightInd w:val="0"/>
              <w:rPr>
                <w:rFonts w:ascii="宋体" w:hAnsi="宋体" w:cs="宋体"/>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14:paraId="17202272">
            <w:pPr>
              <w:adjustRightInd w:val="0"/>
              <w:rPr>
                <w:rFonts w:ascii="宋体" w:hAnsi="宋体" w:cs="宋体"/>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14:paraId="46D63253">
            <w:pPr>
              <w:adjustRightInd w:val="0"/>
              <w:rPr>
                <w:rFonts w:ascii="宋体" w:hAnsi="宋体" w:cs="宋体"/>
                <w:szCs w:val="21"/>
                <w:highlight w:val="none"/>
              </w:rPr>
            </w:pPr>
          </w:p>
        </w:tc>
        <w:tc>
          <w:tcPr>
            <w:tcW w:w="1478" w:type="dxa"/>
            <w:tcBorders>
              <w:top w:val="single" w:color="auto" w:sz="4" w:space="0"/>
              <w:left w:val="single" w:color="auto" w:sz="4" w:space="0"/>
              <w:bottom w:val="single" w:color="auto" w:sz="4" w:space="0"/>
              <w:right w:val="single" w:color="auto" w:sz="4" w:space="0"/>
            </w:tcBorders>
          </w:tcPr>
          <w:p w14:paraId="22557BDC">
            <w:pPr>
              <w:adjustRightInd w:val="0"/>
              <w:rPr>
                <w:rFonts w:ascii="宋体" w:hAnsi="宋体" w:cs="宋体"/>
                <w:szCs w:val="21"/>
                <w:highlight w:val="none"/>
              </w:rPr>
            </w:pPr>
          </w:p>
        </w:tc>
      </w:tr>
      <w:tr w14:paraId="1A422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 w:hRule="atLeast"/>
        </w:trPr>
        <w:tc>
          <w:tcPr>
            <w:tcW w:w="521" w:type="dxa"/>
            <w:tcBorders>
              <w:top w:val="single" w:color="auto" w:sz="4" w:space="0"/>
              <w:left w:val="single" w:color="auto" w:sz="4" w:space="0"/>
              <w:bottom w:val="single" w:color="auto" w:sz="4" w:space="0"/>
              <w:right w:val="single" w:color="auto" w:sz="4" w:space="0"/>
            </w:tcBorders>
            <w:vAlign w:val="center"/>
          </w:tcPr>
          <w:p w14:paraId="1CF293D3">
            <w:pPr>
              <w:adjustRightInd w:val="0"/>
              <w:jc w:val="center"/>
              <w:rPr>
                <w:rFonts w:ascii="宋体" w:hAnsi="宋体" w:cs="宋体"/>
                <w:szCs w:val="21"/>
                <w:highlight w:val="none"/>
              </w:rPr>
            </w:pPr>
            <w:r>
              <w:rPr>
                <w:rFonts w:hint="eastAsia" w:ascii="宋体" w:hAnsi="宋体" w:cs="宋体"/>
                <w:szCs w:val="21"/>
                <w:highlight w:val="none"/>
              </w:rPr>
              <w:t>1</w:t>
            </w:r>
          </w:p>
        </w:tc>
        <w:tc>
          <w:tcPr>
            <w:tcW w:w="5256" w:type="dxa"/>
            <w:tcBorders>
              <w:top w:val="single" w:color="auto" w:sz="4" w:space="0"/>
              <w:left w:val="single" w:color="auto" w:sz="4" w:space="0"/>
              <w:bottom w:val="single" w:color="auto" w:sz="4" w:space="0"/>
              <w:right w:val="single" w:color="auto" w:sz="4" w:space="0"/>
            </w:tcBorders>
            <w:vAlign w:val="center"/>
          </w:tcPr>
          <w:p w14:paraId="211DD4DB">
            <w:pPr>
              <w:adjustRightInd w:val="0"/>
              <w:snapToGrid w:val="0"/>
              <w:rPr>
                <w:rFonts w:ascii="宋体" w:hAnsi="宋体" w:cs="宋体"/>
                <w:szCs w:val="21"/>
                <w:highlight w:val="none"/>
              </w:rPr>
            </w:pPr>
            <w:r>
              <w:rPr>
                <w:rFonts w:hint="eastAsia" w:ascii="宋体" w:hAnsi="宋体" w:cs="宋体"/>
                <w:szCs w:val="21"/>
                <w:highlight w:val="none"/>
              </w:rPr>
              <w:t>《广州建设工程施工招标投标书》中的总工期不符合招标文件要求的；</w:t>
            </w:r>
          </w:p>
        </w:tc>
        <w:tc>
          <w:tcPr>
            <w:tcW w:w="1476" w:type="dxa"/>
            <w:tcBorders>
              <w:top w:val="single" w:color="auto" w:sz="4" w:space="0"/>
              <w:left w:val="single" w:color="auto" w:sz="4" w:space="0"/>
              <w:bottom w:val="single" w:color="auto" w:sz="4" w:space="0"/>
              <w:right w:val="single" w:color="auto" w:sz="4" w:space="0"/>
            </w:tcBorders>
          </w:tcPr>
          <w:p w14:paraId="107B88D0">
            <w:pPr>
              <w:adjustRightInd w:val="0"/>
              <w:rPr>
                <w:rFonts w:ascii="宋体" w:hAnsi="宋体" w:cs="宋体"/>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14:paraId="6E3C5054">
            <w:pPr>
              <w:adjustRightInd w:val="0"/>
              <w:rPr>
                <w:rFonts w:ascii="宋体" w:hAnsi="宋体" w:cs="宋体"/>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14:paraId="1AE28C45">
            <w:pPr>
              <w:adjustRightInd w:val="0"/>
              <w:rPr>
                <w:rFonts w:ascii="宋体" w:hAnsi="宋体" w:cs="宋体"/>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14:paraId="002C0052">
            <w:pPr>
              <w:adjustRightInd w:val="0"/>
              <w:rPr>
                <w:rFonts w:ascii="宋体" w:hAnsi="宋体" w:cs="宋体"/>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14:paraId="331507AE">
            <w:pPr>
              <w:adjustRightInd w:val="0"/>
              <w:rPr>
                <w:rFonts w:ascii="宋体" w:hAnsi="宋体" w:cs="宋体"/>
                <w:szCs w:val="21"/>
                <w:highlight w:val="none"/>
              </w:rPr>
            </w:pPr>
          </w:p>
        </w:tc>
        <w:tc>
          <w:tcPr>
            <w:tcW w:w="1478" w:type="dxa"/>
            <w:tcBorders>
              <w:top w:val="single" w:color="auto" w:sz="4" w:space="0"/>
              <w:left w:val="single" w:color="auto" w:sz="4" w:space="0"/>
              <w:bottom w:val="single" w:color="auto" w:sz="4" w:space="0"/>
              <w:right w:val="single" w:color="auto" w:sz="4" w:space="0"/>
            </w:tcBorders>
          </w:tcPr>
          <w:p w14:paraId="48D47966">
            <w:pPr>
              <w:adjustRightInd w:val="0"/>
              <w:rPr>
                <w:rFonts w:ascii="宋体" w:hAnsi="宋体" w:cs="宋体"/>
                <w:szCs w:val="21"/>
                <w:highlight w:val="none"/>
              </w:rPr>
            </w:pPr>
          </w:p>
        </w:tc>
      </w:tr>
      <w:tr w14:paraId="1913F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8" w:hRule="atLeast"/>
        </w:trPr>
        <w:tc>
          <w:tcPr>
            <w:tcW w:w="521" w:type="dxa"/>
            <w:tcBorders>
              <w:top w:val="single" w:color="auto" w:sz="4" w:space="0"/>
              <w:left w:val="single" w:color="auto" w:sz="4" w:space="0"/>
              <w:bottom w:val="single" w:color="auto" w:sz="4" w:space="0"/>
              <w:right w:val="single" w:color="auto" w:sz="4" w:space="0"/>
            </w:tcBorders>
            <w:vAlign w:val="center"/>
          </w:tcPr>
          <w:p w14:paraId="7716C147">
            <w:pPr>
              <w:adjustRightInd w:val="0"/>
              <w:jc w:val="center"/>
              <w:rPr>
                <w:rFonts w:ascii="宋体" w:hAnsi="宋体" w:cs="宋体"/>
                <w:szCs w:val="21"/>
                <w:highlight w:val="none"/>
              </w:rPr>
            </w:pPr>
            <w:r>
              <w:rPr>
                <w:rFonts w:hint="eastAsia" w:ascii="宋体" w:hAnsi="宋体" w:cs="宋体"/>
                <w:szCs w:val="21"/>
                <w:highlight w:val="none"/>
              </w:rPr>
              <w:t>2</w:t>
            </w:r>
          </w:p>
        </w:tc>
        <w:tc>
          <w:tcPr>
            <w:tcW w:w="5256" w:type="dxa"/>
            <w:tcBorders>
              <w:top w:val="single" w:color="auto" w:sz="4" w:space="0"/>
              <w:left w:val="single" w:color="auto" w:sz="4" w:space="0"/>
              <w:bottom w:val="single" w:color="auto" w:sz="4" w:space="0"/>
              <w:right w:val="single" w:color="auto" w:sz="4" w:space="0"/>
            </w:tcBorders>
            <w:vAlign w:val="center"/>
          </w:tcPr>
          <w:p w14:paraId="3F01CA83">
            <w:pPr>
              <w:adjustRightInd w:val="0"/>
              <w:snapToGrid w:val="0"/>
              <w:rPr>
                <w:rFonts w:ascii="宋体" w:hAnsi="宋体" w:cs="宋体"/>
                <w:szCs w:val="21"/>
                <w:highlight w:val="none"/>
              </w:rPr>
            </w:pPr>
            <w:r>
              <w:rPr>
                <w:rFonts w:hint="eastAsia" w:ascii="宋体" w:hAnsi="宋体" w:cs="宋体"/>
                <w:szCs w:val="21"/>
                <w:highlight w:val="none"/>
              </w:rPr>
              <w:t>《广州建设工程施工招标投标书》中的工程质量标准不符合招标文件要求的；</w:t>
            </w:r>
          </w:p>
        </w:tc>
        <w:tc>
          <w:tcPr>
            <w:tcW w:w="1476" w:type="dxa"/>
            <w:tcBorders>
              <w:top w:val="single" w:color="auto" w:sz="4" w:space="0"/>
              <w:left w:val="single" w:color="auto" w:sz="4" w:space="0"/>
              <w:bottom w:val="single" w:color="auto" w:sz="4" w:space="0"/>
              <w:right w:val="single" w:color="auto" w:sz="4" w:space="0"/>
            </w:tcBorders>
          </w:tcPr>
          <w:p w14:paraId="42C2D809">
            <w:pPr>
              <w:adjustRightInd w:val="0"/>
              <w:rPr>
                <w:rFonts w:ascii="宋体" w:hAnsi="宋体" w:cs="宋体"/>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14:paraId="47E69FF2">
            <w:pPr>
              <w:adjustRightInd w:val="0"/>
              <w:rPr>
                <w:rFonts w:ascii="宋体" w:hAnsi="宋体" w:cs="宋体"/>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14:paraId="7592D61C">
            <w:pPr>
              <w:adjustRightInd w:val="0"/>
              <w:rPr>
                <w:rFonts w:ascii="宋体" w:hAnsi="宋体" w:cs="宋体"/>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14:paraId="1D2CF027">
            <w:pPr>
              <w:adjustRightInd w:val="0"/>
              <w:rPr>
                <w:rFonts w:ascii="宋体" w:hAnsi="宋体" w:cs="宋体"/>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14:paraId="6005C4EF">
            <w:pPr>
              <w:adjustRightInd w:val="0"/>
              <w:rPr>
                <w:rFonts w:ascii="宋体" w:hAnsi="宋体" w:cs="宋体"/>
                <w:szCs w:val="21"/>
                <w:highlight w:val="none"/>
              </w:rPr>
            </w:pPr>
          </w:p>
        </w:tc>
        <w:tc>
          <w:tcPr>
            <w:tcW w:w="1478" w:type="dxa"/>
            <w:tcBorders>
              <w:top w:val="single" w:color="auto" w:sz="4" w:space="0"/>
              <w:left w:val="single" w:color="auto" w:sz="4" w:space="0"/>
              <w:bottom w:val="single" w:color="auto" w:sz="4" w:space="0"/>
              <w:right w:val="single" w:color="auto" w:sz="4" w:space="0"/>
            </w:tcBorders>
          </w:tcPr>
          <w:p w14:paraId="5860EA93">
            <w:pPr>
              <w:adjustRightInd w:val="0"/>
              <w:rPr>
                <w:rFonts w:ascii="宋体" w:hAnsi="宋体" w:cs="宋体"/>
                <w:szCs w:val="21"/>
                <w:highlight w:val="none"/>
              </w:rPr>
            </w:pPr>
          </w:p>
        </w:tc>
      </w:tr>
      <w:tr w14:paraId="2A2F1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521" w:type="dxa"/>
            <w:tcBorders>
              <w:top w:val="single" w:color="auto" w:sz="4" w:space="0"/>
              <w:left w:val="single" w:color="auto" w:sz="4" w:space="0"/>
              <w:bottom w:val="single" w:color="auto" w:sz="4" w:space="0"/>
              <w:right w:val="single" w:color="auto" w:sz="4" w:space="0"/>
            </w:tcBorders>
            <w:vAlign w:val="center"/>
          </w:tcPr>
          <w:p w14:paraId="2ED8A6F8">
            <w:pPr>
              <w:adjustRightInd w:val="0"/>
              <w:jc w:val="center"/>
              <w:rPr>
                <w:rFonts w:ascii="宋体" w:hAnsi="宋体" w:cs="宋体"/>
                <w:szCs w:val="21"/>
                <w:highlight w:val="none"/>
              </w:rPr>
            </w:pPr>
            <w:r>
              <w:rPr>
                <w:rFonts w:hint="eastAsia" w:ascii="宋体" w:hAnsi="宋体" w:cs="宋体"/>
                <w:szCs w:val="21"/>
                <w:highlight w:val="none"/>
              </w:rPr>
              <w:t>3</w:t>
            </w:r>
          </w:p>
        </w:tc>
        <w:tc>
          <w:tcPr>
            <w:tcW w:w="5256" w:type="dxa"/>
            <w:tcBorders>
              <w:top w:val="single" w:color="auto" w:sz="4" w:space="0"/>
              <w:left w:val="single" w:color="auto" w:sz="4" w:space="0"/>
              <w:bottom w:val="single" w:color="auto" w:sz="4" w:space="0"/>
              <w:right w:val="single" w:color="auto" w:sz="4" w:space="0"/>
            </w:tcBorders>
            <w:vAlign w:val="center"/>
          </w:tcPr>
          <w:p w14:paraId="488A3529">
            <w:pPr>
              <w:adjustRightInd w:val="0"/>
              <w:snapToGrid w:val="0"/>
              <w:rPr>
                <w:rFonts w:ascii="宋体" w:hAnsi="宋体" w:cs="宋体"/>
                <w:szCs w:val="21"/>
                <w:highlight w:val="none"/>
              </w:rPr>
            </w:pPr>
            <w:r>
              <w:rPr>
                <w:rFonts w:hint="eastAsia" w:ascii="宋体" w:hAnsi="宋体" w:cs="宋体"/>
                <w:szCs w:val="21"/>
                <w:highlight w:val="none"/>
              </w:rPr>
              <w:t>投标文件中没有有效的法定代表人证明书，或由委托代理人签名或盖章的投标文件中没有法定代表人授权书；</w:t>
            </w:r>
          </w:p>
        </w:tc>
        <w:tc>
          <w:tcPr>
            <w:tcW w:w="1476" w:type="dxa"/>
            <w:tcBorders>
              <w:top w:val="single" w:color="auto" w:sz="4" w:space="0"/>
              <w:left w:val="single" w:color="auto" w:sz="4" w:space="0"/>
              <w:bottom w:val="single" w:color="auto" w:sz="4" w:space="0"/>
              <w:right w:val="single" w:color="auto" w:sz="4" w:space="0"/>
            </w:tcBorders>
          </w:tcPr>
          <w:p w14:paraId="79264127">
            <w:pPr>
              <w:adjustRightInd w:val="0"/>
              <w:rPr>
                <w:rFonts w:ascii="宋体" w:hAnsi="宋体" w:cs="宋体"/>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14:paraId="4B9E7E83">
            <w:pPr>
              <w:adjustRightInd w:val="0"/>
              <w:rPr>
                <w:rFonts w:ascii="宋体" w:hAnsi="宋体" w:cs="宋体"/>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14:paraId="1A683F7C">
            <w:pPr>
              <w:adjustRightInd w:val="0"/>
              <w:rPr>
                <w:rFonts w:ascii="宋体" w:hAnsi="宋体" w:cs="宋体"/>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14:paraId="2C582DFF">
            <w:pPr>
              <w:adjustRightInd w:val="0"/>
              <w:rPr>
                <w:rFonts w:ascii="宋体" w:hAnsi="宋体" w:cs="宋体"/>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14:paraId="4DE96115">
            <w:pPr>
              <w:adjustRightInd w:val="0"/>
              <w:rPr>
                <w:rFonts w:ascii="宋体" w:hAnsi="宋体" w:cs="宋体"/>
                <w:szCs w:val="21"/>
                <w:highlight w:val="none"/>
              </w:rPr>
            </w:pPr>
          </w:p>
        </w:tc>
        <w:tc>
          <w:tcPr>
            <w:tcW w:w="1478" w:type="dxa"/>
            <w:tcBorders>
              <w:top w:val="single" w:color="auto" w:sz="4" w:space="0"/>
              <w:left w:val="single" w:color="auto" w:sz="4" w:space="0"/>
              <w:bottom w:val="single" w:color="auto" w:sz="4" w:space="0"/>
              <w:right w:val="single" w:color="auto" w:sz="4" w:space="0"/>
            </w:tcBorders>
          </w:tcPr>
          <w:p w14:paraId="0D3E4D7B">
            <w:pPr>
              <w:adjustRightInd w:val="0"/>
              <w:rPr>
                <w:rFonts w:ascii="宋体" w:hAnsi="宋体" w:cs="宋体"/>
                <w:szCs w:val="21"/>
                <w:highlight w:val="none"/>
              </w:rPr>
            </w:pPr>
          </w:p>
        </w:tc>
      </w:tr>
      <w:tr w14:paraId="4B6CA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521" w:type="dxa"/>
            <w:tcBorders>
              <w:top w:val="single" w:color="auto" w:sz="4" w:space="0"/>
              <w:left w:val="single" w:color="auto" w:sz="4" w:space="0"/>
              <w:bottom w:val="single" w:color="auto" w:sz="4" w:space="0"/>
              <w:right w:val="single" w:color="auto" w:sz="4" w:space="0"/>
            </w:tcBorders>
            <w:vAlign w:val="center"/>
          </w:tcPr>
          <w:p w14:paraId="6C4E8445">
            <w:pPr>
              <w:adjustRightInd w:val="0"/>
              <w:jc w:val="center"/>
              <w:rPr>
                <w:rFonts w:ascii="宋体" w:hAnsi="宋体" w:cs="宋体"/>
                <w:szCs w:val="21"/>
                <w:highlight w:val="none"/>
              </w:rPr>
            </w:pPr>
            <w:r>
              <w:rPr>
                <w:rFonts w:hint="eastAsia" w:ascii="宋体" w:hAnsi="宋体" w:cs="宋体"/>
                <w:szCs w:val="21"/>
                <w:highlight w:val="none"/>
              </w:rPr>
              <w:t>4</w:t>
            </w:r>
          </w:p>
        </w:tc>
        <w:tc>
          <w:tcPr>
            <w:tcW w:w="5256" w:type="dxa"/>
            <w:tcBorders>
              <w:top w:val="single" w:color="auto" w:sz="4" w:space="0"/>
              <w:left w:val="single" w:color="auto" w:sz="4" w:space="0"/>
              <w:bottom w:val="single" w:color="auto" w:sz="4" w:space="0"/>
              <w:right w:val="single" w:color="auto" w:sz="4" w:space="0"/>
            </w:tcBorders>
            <w:vAlign w:val="center"/>
          </w:tcPr>
          <w:p w14:paraId="1B3547F9">
            <w:pPr>
              <w:adjustRightInd w:val="0"/>
              <w:snapToGrid w:val="0"/>
              <w:rPr>
                <w:rFonts w:ascii="宋体" w:hAnsi="宋体" w:cs="宋体"/>
                <w:szCs w:val="21"/>
                <w:highlight w:val="none"/>
              </w:rPr>
            </w:pPr>
            <w:r>
              <w:rPr>
                <w:rFonts w:hint="eastAsia" w:ascii="宋体" w:hAnsi="宋体" w:cs="宋体"/>
                <w:szCs w:val="21"/>
                <w:highlight w:val="none"/>
              </w:rPr>
              <w:t>投标文件未按规定的格式填写，或主要内容不全，或关键字迹模糊、无法辨认的</w:t>
            </w:r>
          </w:p>
        </w:tc>
        <w:tc>
          <w:tcPr>
            <w:tcW w:w="1476" w:type="dxa"/>
            <w:tcBorders>
              <w:top w:val="single" w:color="auto" w:sz="4" w:space="0"/>
              <w:left w:val="single" w:color="auto" w:sz="4" w:space="0"/>
              <w:bottom w:val="single" w:color="auto" w:sz="4" w:space="0"/>
              <w:right w:val="single" w:color="auto" w:sz="4" w:space="0"/>
            </w:tcBorders>
          </w:tcPr>
          <w:p w14:paraId="6616ED80">
            <w:pPr>
              <w:adjustRightInd w:val="0"/>
              <w:rPr>
                <w:rFonts w:ascii="宋体" w:hAnsi="宋体" w:cs="宋体"/>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14:paraId="18A243BC">
            <w:pPr>
              <w:adjustRightInd w:val="0"/>
              <w:rPr>
                <w:rFonts w:ascii="宋体" w:hAnsi="宋体" w:cs="宋体"/>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14:paraId="240D3CEB">
            <w:pPr>
              <w:adjustRightInd w:val="0"/>
              <w:rPr>
                <w:rFonts w:ascii="宋体" w:hAnsi="宋体" w:cs="宋体"/>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14:paraId="2AE6D100">
            <w:pPr>
              <w:adjustRightInd w:val="0"/>
              <w:rPr>
                <w:rFonts w:ascii="宋体" w:hAnsi="宋体" w:cs="宋体"/>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14:paraId="73ECA75E">
            <w:pPr>
              <w:adjustRightInd w:val="0"/>
              <w:rPr>
                <w:rFonts w:ascii="宋体" w:hAnsi="宋体" w:cs="宋体"/>
                <w:szCs w:val="21"/>
                <w:highlight w:val="none"/>
              </w:rPr>
            </w:pPr>
          </w:p>
        </w:tc>
        <w:tc>
          <w:tcPr>
            <w:tcW w:w="1478" w:type="dxa"/>
            <w:tcBorders>
              <w:top w:val="single" w:color="auto" w:sz="4" w:space="0"/>
              <w:left w:val="single" w:color="auto" w:sz="4" w:space="0"/>
              <w:bottom w:val="single" w:color="auto" w:sz="4" w:space="0"/>
              <w:right w:val="single" w:color="auto" w:sz="4" w:space="0"/>
            </w:tcBorders>
          </w:tcPr>
          <w:p w14:paraId="58DDAE18">
            <w:pPr>
              <w:adjustRightInd w:val="0"/>
              <w:rPr>
                <w:rFonts w:ascii="宋体" w:hAnsi="宋体" w:cs="宋体"/>
                <w:szCs w:val="21"/>
                <w:highlight w:val="none"/>
              </w:rPr>
            </w:pPr>
          </w:p>
        </w:tc>
      </w:tr>
      <w:tr w14:paraId="5EBB4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521" w:type="dxa"/>
            <w:tcBorders>
              <w:top w:val="single" w:color="auto" w:sz="4" w:space="0"/>
              <w:left w:val="single" w:color="auto" w:sz="4" w:space="0"/>
              <w:bottom w:val="single" w:color="auto" w:sz="4" w:space="0"/>
              <w:right w:val="single" w:color="auto" w:sz="4" w:space="0"/>
            </w:tcBorders>
            <w:vAlign w:val="center"/>
          </w:tcPr>
          <w:p w14:paraId="232C4062">
            <w:pPr>
              <w:adjustRightInd w:val="0"/>
              <w:jc w:val="center"/>
              <w:rPr>
                <w:rFonts w:ascii="宋体" w:hAnsi="宋体" w:cs="宋体"/>
                <w:szCs w:val="21"/>
                <w:highlight w:val="none"/>
              </w:rPr>
            </w:pPr>
            <w:r>
              <w:rPr>
                <w:rFonts w:hint="eastAsia" w:ascii="宋体" w:hAnsi="宋体" w:cs="宋体"/>
                <w:szCs w:val="21"/>
                <w:highlight w:val="none"/>
              </w:rPr>
              <w:t>5</w:t>
            </w:r>
          </w:p>
        </w:tc>
        <w:tc>
          <w:tcPr>
            <w:tcW w:w="5256" w:type="dxa"/>
            <w:tcBorders>
              <w:top w:val="single" w:color="auto" w:sz="4" w:space="0"/>
              <w:left w:val="single" w:color="auto" w:sz="4" w:space="0"/>
              <w:bottom w:val="single" w:color="auto" w:sz="4" w:space="0"/>
              <w:right w:val="single" w:color="auto" w:sz="4" w:space="0"/>
            </w:tcBorders>
            <w:vAlign w:val="center"/>
          </w:tcPr>
          <w:p w14:paraId="73AEA207">
            <w:pPr>
              <w:adjustRightInd w:val="0"/>
              <w:snapToGrid w:val="0"/>
              <w:rPr>
                <w:rFonts w:ascii="宋体" w:hAnsi="宋体" w:cs="宋体"/>
                <w:szCs w:val="21"/>
                <w:highlight w:val="none"/>
              </w:rPr>
            </w:pPr>
            <w:r>
              <w:rPr>
                <w:rFonts w:hint="eastAsia" w:ascii="宋体" w:hAnsi="宋体" w:cs="宋体"/>
                <w:szCs w:val="21"/>
                <w:highlight w:val="none"/>
              </w:rPr>
              <w:t>投标人之间存在《广东省实施&lt;中华人民共和国招标投标法&gt;办法》第十六条所禁止的情形的；</w:t>
            </w:r>
          </w:p>
        </w:tc>
        <w:tc>
          <w:tcPr>
            <w:tcW w:w="1476" w:type="dxa"/>
            <w:tcBorders>
              <w:top w:val="single" w:color="auto" w:sz="4" w:space="0"/>
              <w:left w:val="single" w:color="auto" w:sz="4" w:space="0"/>
              <w:bottom w:val="single" w:color="auto" w:sz="4" w:space="0"/>
              <w:right w:val="single" w:color="auto" w:sz="4" w:space="0"/>
            </w:tcBorders>
          </w:tcPr>
          <w:p w14:paraId="0D8AC9C0">
            <w:pPr>
              <w:adjustRightInd w:val="0"/>
              <w:rPr>
                <w:rFonts w:ascii="宋体" w:hAnsi="宋体" w:cs="宋体"/>
                <w:szCs w:val="21"/>
                <w:highlight w:val="none"/>
                <w:shd w:val="pct10" w:color="auto" w:fill="FFFFFF"/>
              </w:rPr>
            </w:pPr>
          </w:p>
        </w:tc>
        <w:tc>
          <w:tcPr>
            <w:tcW w:w="1476" w:type="dxa"/>
            <w:tcBorders>
              <w:top w:val="single" w:color="auto" w:sz="4" w:space="0"/>
              <w:left w:val="single" w:color="auto" w:sz="4" w:space="0"/>
              <w:bottom w:val="single" w:color="auto" w:sz="4" w:space="0"/>
              <w:right w:val="single" w:color="auto" w:sz="4" w:space="0"/>
            </w:tcBorders>
          </w:tcPr>
          <w:p w14:paraId="206A911C">
            <w:pPr>
              <w:adjustRightInd w:val="0"/>
              <w:rPr>
                <w:rFonts w:ascii="宋体" w:hAnsi="宋体" w:cs="宋体"/>
                <w:szCs w:val="21"/>
                <w:highlight w:val="none"/>
                <w:shd w:val="pct10" w:color="auto" w:fill="FFFFFF"/>
              </w:rPr>
            </w:pPr>
          </w:p>
        </w:tc>
        <w:tc>
          <w:tcPr>
            <w:tcW w:w="1476" w:type="dxa"/>
            <w:tcBorders>
              <w:top w:val="single" w:color="auto" w:sz="4" w:space="0"/>
              <w:left w:val="single" w:color="auto" w:sz="4" w:space="0"/>
              <w:bottom w:val="single" w:color="auto" w:sz="4" w:space="0"/>
              <w:right w:val="single" w:color="auto" w:sz="4" w:space="0"/>
            </w:tcBorders>
          </w:tcPr>
          <w:p w14:paraId="334DA827">
            <w:pPr>
              <w:adjustRightInd w:val="0"/>
              <w:rPr>
                <w:rFonts w:ascii="宋体" w:hAnsi="宋体" w:cs="宋体"/>
                <w:szCs w:val="21"/>
                <w:highlight w:val="none"/>
                <w:shd w:val="pct10" w:color="auto" w:fill="FFFFFF"/>
              </w:rPr>
            </w:pPr>
          </w:p>
        </w:tc>
        <w:tc>
          <w:tcPr>
            <w:tcW w:w="1476" w:type="dxa"/>
            <w:tcBorders>
              <w:top w:val="single" w:color="auto" w:sz="4" w:space="0"/>
              <w:left w:val="single" w:color="auto" w:sz="4" w:space="0"/>
              <w:bottom w:val="single" w:color="auto" w:sz="4" w:space="0"/>
              <w:right w:val="single" w:color="auto" w:sz="4" w:space="0"/>
            </w:tcBorders>
          </w:tcPr>
          <w:p w14:paraId="4538B6DC">
            <w:pPr>
              <w:adjustRightInd w:val="0"/>
              <w:rPr>
                <w:rFonts w:ascii="宋体" w:hAnsi="宋体" w:cs="宋体"/>
                <w:szCs w:val="21"/>
                <w:highlight w:val="none"/>
                <w:shd w:val="pct10" w:color="auto" w:fill="FFFFFF"/>
              </w:rPr>
            </w:pPr>
          </w:p>
        </w:tc>
        <w:tc>
          <w:tcPr>
            <w:tcW w:w="1476" w:type="dxa"/>
            <w:tcBorders>
              <w:top w:val="single" w:color="auto" w:sz="4" w:space="0"/>
              <w:left w:val="single" w:color="auto" w:sz="4" w:space="0"/>
              <w:bottom w:val="single" w:color="auto" w:sz="4" w:space="0"/>
              <w:right w:val="single" w:color="auto" w:sz="4" w:space="0"/>
            </w:tcBorders>
          </w:tcPr>
          <w:p w14:paraId="2BCBF5D5">
            <w:pPr>
              <w:adjustRightInd w:val="0"/>
              <w:rPr>
                <w:rFonts w:ascii="宋体" w:hAnsi="宋体" w:cs="宋体"/>
                <w:szCs w:val="21"/>
                <w:highlight w:val="none"/>
                <w:shd w:val="pct10" w:color="auto" w:fill="FFFFFF"/>
              </w:rPr>
            </w:pPr>
          </w:p>
        </w:tc>
        <w:tc>
          <w:tcPr>
            <w:tcW w:w="1478" w:type="dxa"/>
            <w:tcBorders>
              <w:top w:val="single" w:color="auto" w:sz="4" w:space="0"/>
              <w:left w:val="single" w:color="auto" w:sz="4" w:space="0"/>
              <w:bottom w:val="single" w:color="auto" w:sz="4" w:space="0"/>
              <w:right w:val="single" w:color="auto" w:sz="4" w:space="0"/>
            </w:tcBorders>
          </w:tcPr>
          <w:p w14:paraId="4AA2B309">
            <w:pPr>
              <w:adjustRightInd w:val="0"/>
              <w:rPr>
                <w:rFonts w:ascii="宋体" w:hAnsi="宋体" w:cs="宋体"/>
                <w:szCs w:val="21"/>
                <w:highlight w:val="none"/>
                <w:shd w:val="pct10" w:color="auto" w:fill="FFFFFF"/>
              </w:rPr>
            </w:pPr>
          </w:p>
        </w:tc>
      </w:tr>
      <w:tr w14:paraId="0174B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21" w:type="dxa"/>
            <w:tcBorders>
              <w:top w:val="single" w:color="auto" w:sz="4" w:space="0"/>
              <w:left w:val="single" w:color="auto" w:sz="4" w:space="0"/>
              <w:bottom w:val="single" w:color="auto" w:sz="4" w:space="0"/>
              <w:right w:val="single" w:color="auto" w:sz="4" w:space="0"/>
            </w:tcBorders>
            <w:vAlign w:val="center"/>
          </w:tcPr>
          <w:p w14:paraId="5157A2D5">
            <w:pPr>
              <w:adjustRightInd w:val="0"/>
              <w:jc w:val="center"/>
              <w:rPr>
                <w:rFonts w:ascii="宋体" w:hAnsi="宋体" w:cs="宋体"/>
                <w:szCs w:val="21"/>
                <w:highlight w:val="none"/>
              </w:rPr>
            </w:pPr>
            <w:r>
              <w:rPr>
                <w:rFonts w:hint="eastAsia" w:ascii="宋体" w:hAnsi="宋体" w:cs="宋体"/>
                <w:szCs w:val="21"/>
                <w:highlight w:val="none"/>
              </w:rPr>
              <w:t>6</w:t>
            </w:r>
          </w:p>
        </w:tc>
        <w:tc>
          <w:tcPr>
            <w:tcW w:w="5256" w:type="dxa"/>
            <w:tcBorders>
              <w:top w:val="single" w:color="auto" w:sz="4" w:space="0"/>
              <w:left w:val="single" w:color="auto" w:sz="4" w:space="0"/>
              <w:bottom w:val="single" w:color="auto" w:sz="4" w:space="0"/>
              <w:right w:val="single" w:color="auto" w:sz="4" w:space="0"/>
            </w:tcBorders>
            <w:vAlign w:val="center"/>
          </w:tcPr>
          <w:p w14:paraId="2A0EA6CA">
            <w:pPr>
              <w:adjustRightInd w:val="0"/>
              <w:snapToGrid w:val="0"/>
              <w:rPr>
                <w:rFonts w:ascii="宋体" w:hAnsi="宋体" w:cs="宋体"/>
                <w:szCs w:val="21"/>
                <w:highlight w:val="none"/>
              </w:rPr>
            </w:pPr>
            <w:r>
              <w:rPr>
                <w:rFonts w:hint="eastAsia" w:ascii="宋体" w:hAnsi="宋体" w:cs="宋体"/>
                <w:szCs w:val="21"/>
                <w:highlight w:val="none"/>
              </w:rPr>
              <w:t>无《参与编制技术标投标文件人员名单》的</w:t>
            </w:r>
          </w:p>
        </w:tc>
        <w:tc>
          <w:tcPr>
            <w:tcW w:w="1476" w:type="dxa"/>
            <w:tcBorders>
              <w:top w:val="single" w:color="auto" w:sz="4" w:space="0"/>
              <w:left w:val="single" w:color="auto" w:sz="4" w:space="0"/>
              <w:bottom w:val="single" w:color="auto" w:sz="4" w:space="0"/>
              <w:right w:val="single" w:color="auto" w:sz="4" w:space="0"/>
            </w:tcBorders>
          </w:tcPr>
          <w:p w14:paraId="0F214BF5">
            <w:pPr>
              <w:adjustRightInd w:val="0"/>
              <w:rPr>
                <w:rFonts w:ascii="宋体" w:hAnsi="宋体" w:cs="宋体"/>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14:paraId="0B6BAECE">
            <w:pPr>
              <w:adjustRightInd w:val="0"/>
              <w:rPr>
                <w:rFonts w:ascii="宋体" w:hAnsi="宋体" w:cs="宋体"/>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14:paraId="3D1DBC2C">
            <w:pPr>
              <w:adjustRightInd w:val="0"/>
              <w:rPr>
                <w:rFonts w:ascii="宋体" w:hAnsi="宋体" w:cs="宋体"/>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14:paraId="38C8CBB0">
            <w:pPr>
              <w:adjustRightInd w:val="0"/>
              <w:rPr>
                <w:rFonts w:ascii="宋体" w:hAnsi="宋体" w:cs="宋体"/>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14:paraId="0A3AE167">
            <w:pPr>
              <w:adjustRightInd w:val="0"/>
              <w:rPr>
                <w:rFonts w:ascii="宋体" w:hAnsi="宋体" w:cs="宋体"/>
                <w:szCs w:val="21"/>
                <w:highlight w:val="none"/>
              </w:rPr>
            </w:pPr>
          </w:p>
        </w:tc>
        <w:tc>
          <w:tcPr>
            <w:tcW w:w="1478" w:type="dxa"/>
            <w:tcBorders>
              <w:top w:val="single" w:color="auto" w:sz="4" w:space="0"/>
              <w:left w:val="single" w:color="auto" w:sz="4" w:space="0"/>
              <w:bottom w:val="single" w:color="auto" w:sz="4" w:space="0"/>
              <w:right w:val="single" w:color="auto" w:sz="4" w:space="0"/>
            </w:tcBorders>
          </w:tcPr>
          <w:p w14:paraId="0FE5E451">
            <w:pPr>
              <w:adjustRightInd w:val="0"/>
              <w:rPr>
                <w:rFonts w:ascii="宋体" w:hAnsi="宋体" w:cs="宋体"/>
                <w:szCs w:val="21"/>
                <w:highlight w:val="none"/>
              </w:rPr>
            </w:pPr>
          </w:p>
        </w:tc>
      </w:tr>
      <w:tr w14:paraId="235D4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21" w:type="dxa"/>
            <w:tcBorders>
              <w:top w:val="single" w:color="auto" w:sz="4" w:space="0"/>
              <w:left w:val="single" w:color="auto" w:sz="4" w:space="0"/>
              <w:bottom w:val="single" w:color="auto" w:sz="4" w:space="0"/>
              <w:right w:val="single" w:color="auto" w:sz="4" w:space="0"/>
            </w:tcBorders>
            <w:vAlign w:val="center"/>
          </w:tcPr>
          <w:p w14:paraId="76B2D039">
            <w:pPr>
              <w:adjustRightInd w:val="0"/>
              <w:jc w:val="center"/>
              <w:rPr>
                <w:rFonts w:ascii="宋体" w:hAnsi="宋体" w:cs="宋体"/>
                <w:szCs w:val="21"/>
                <w:highlight w:val="none"/>
              </w:rPr>
            </w:pPr>
            <w:r>
              <w:rPr>
                <w:rFonts w:hint="eastAsia" w:ascii="宋体" w:hAnsi="宋体" w:cs="宋体"/>
                <w:szCs w:val="21"/>
                <w:highlight w:val="none"/>
              </w:rPr>
              <w:t>7</w:t>
            </w:r>
          </w:p>
        </w:tc>
        <w:tc>
          <w:tcPr>
            <w:tcW w:w="5256" w:type="dxa"/>
            <w:tcBorders>
              <w:top w:val="single" w:color="auto" w:sz="4" w:space="0"/>
              <w:left w:val="single" w:color="auto" w:sz="4" w:space="0"/>
              <w:bottom w:val="single" w:color="auto" w:sz="4" w:space="0"/>
              <w:right w:val="single" w:color="auto" w:sz="4" w:space="0"/>
            </w:tcBorders>
            <w:vAlign w:val="center"/>
          </w:tcPr>
          <w:p w14:paraId="44EAFF0A">
            <w:pPr>
              <w:adjustRightInd w:val="0"/>
              <w:snapToGrid w:val="0"/>
              <w:rPr>
                <w:rFonts w:ascii="宋体" w:hAnsi="宋体" w:cs="宋体"/>
                <w:szCs w:val="21"/>
                <w:highlight w:val="none"/>
              </w:rPr>
            </w:pPr>
            <w:r>
              <w:rPr>
                <w:rFonts w:hint="eastAsia"/>
                <w:szCs w:val="21"/>
                <w:highlight w:val="none"/>
              </w:rPr>
              <w:t>投标人未按要求提交投标保证金的；</w:t>
            </w:r>
          </w:p>
        </w:tc>
        <w:tc>
          <w:tcPr>
            <w:tcW w:w="1476" w:type="dxa"/>
            <w:tcBorders>
              <w:top w:val="single" w:color="auto" w:sz="4" w:space="0"/>
              <w:left w:val="single" w:color="auto" w:sz="4" w:space="0"/>
              <w:bottom w:val="single" w:color="auto" w:sz="4" w:space="0"/>
              <w:right w:val="single" w:color="auto" w:sz="4" w:space="0"/>
            </w:tcBorders>
          </w:tcPr>
          <w:p w14:paraId="0646EA0B">
            <w:pPr>
              <w:adjustRightInd w:val="0"/>
              <w:rPr>
                <w:rFonts w:ascii="宋体" w:hAnsi="宋体" w:cs="宋体"/>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14:paraId="698D5F71">
            <w:pPr>
              <w:adjustRightInd w:val="0"/>
              <w:rPr>
                <w:rFonts w:ascii="宋体" w:hAnsi="宋体" w:cs="宋体"/>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14:paraId="6F935BC6">
            <w:pPr>
              <w:adjustRightInd w:val="0"/>
              <w:rPr>
                <w:rFonts w:ascii="宋体" w:hAnsi="宋体" w:cs="宋体"/>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14:paraId="0334A016">
            <w:pPr>
              <w:adjustRightInd w:val="0"/>
              <w:rPr>
                <w:rFonts w:ascii="宋体" w:hAnsi="宋体" w:cs="宋体"/>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14:paraId="14EE27DD">
            <w:pPr>
              <w:adjustRightInd w:val="0"/>
              <w:rPr>
                <w:rFonts w:ascii="宋体" w:hAnsi="宋体" w:cs="宋体"/>
                <w:szCs w:val="21"/>
                <w:highlight w:val="none"/>
              </w:rPr>
            </w:pPr>
          </w:p>
        </w:tc>
        <w:tc>
          <w:tcPr>
            <w:tcW w:w="1478" w:type="dxa"/>
            <w:tcBorders>
              <w:top w:val="single" w:color="auto" w:sz="4" w:space="0"/>
              <w:left w:val="single" w:color="auto" w:sz="4" w:space="0"/>
              <w:bottom w:val="single" w:color="auto" w:sz="4" w:space="0"/>
              <w:right w:val="single" w:color="auto" w:sz="4" w:space="0"/>
            </w:tcBorders>
          </w:tcPr>
          <w:p w14:paraId="0F7C01C9">
            <w:pPr>
              <w:adjustRightInd w:val="0"/>
              <w:rPr>
                <w:rFonts w:ascii="宋体" w:hAnsi="宋体" w:cs="宋体"/>
                <w:szCs w:val="21"/>
                <w:highlight w:val="none"/>
              </w:rPr>
            </w:pPr>
          </w:p>
        </w:tc>
      </w:tr>
      <w:tr w14:paraId="2685E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21" w:type="dxa"/>
            <w:tcBorders>
              <w:top w:val="single" w:color="auto" w:sz="4" w:space="0"/>
              <w:left w:val="single" w:color="auto" w:sz="4" w:space="0"/>
              <w:bottom w:val="single" w:color="auto" w:sz="4" w:space="0"/>
              <w:right w:val="single" w:color="auto" w:sz="4" w:space="0"/>
            </w:tcBorders>
            <w:vAlign w:val="center"/>
          </w:tcPr>
          <w:p w14:paraId="4C2727F3">
            <w:pPr>
              <w:adjustRightInd w:val="0"/>
              <w:jc w:val="center"/>
              <w:rPr>
                <w:rFonts w:ascii="宋体" w:hAnsi="宋体" w:cs="宋体"/>
                <w:szCs w:val="21"/>
                <w:highlight w:val="none"/>
              </w:rPr>
            </w:pPr>
            <w:r>
              <w:rPr>
                <w:rFonts w:hint="eastAsia" w:ascii="宋体" w:hAnsi="宋体" w:cs="宋体"/>
                <w:szCs w:val="21"/>
                <w:highlight w:val="none"/>
              </w:rPr>
              <w:t>8</w:t>
            </w:r>
          </w:p>
        </w:tc>
        <w:tc>
          <w:tcPr>
            <w:tcW w:w="5256" w:type="dxa"/>
            <w:tcBorders>
              <w:top w:val="single" w:color="auto" w:sz="4" w:space="0"/>
              <w:left w:val="single" w:color="auto" w:sz="4" w:space="0"/>
              <w:bottom w:val="single" w:color="auto" w:sz="4" w:space="0"/>
              <w:right w:val="single" w:color="auto" w:sz="4" w:space="0"/>
            </w:tcBorders>
            <w:vAlign w:val="center"/>
          </w:tcPr>
          <w:p w14:paraId="15347D6E">
            <w:pPr>
              <w:adjustRightInd w:val="0"/>
              <w:snapToGrid w:val="0"/>
              <w:rPr>
                <w:rFonts w:ascii="宋体" w:hAnsi="宋体" w:cs="宋体"/>
                <w:szCs w:val="21"/>
                <w:highlight w:val="none"/>
              </w:rPr>
            </w:pPr>
            <w:r>
              <w:rPr>
                <w:rFonts w:hint="eastAsia" w:ascii="宋体" w:hAnsi="宋体" w:cs="宋体"/>
                <w:szCs w:val="21"/>
                <w:highlight w:val="none"/>
              </w:rPr>
              <w:t>投标人与其他投标人加密打包投标文件电脑机器特征码一致的(以广州公共资源交易中心交易平台评标系统的检索信息为准)</w:t>
            </w:r>
          </w:p>
        </w:tc>
        <w:tc>
          <w:tcPr>
            <w:tcW w:w="1476" w:type="dxa"/>
            <w:tcBorders>
              <w:top w:val="single" w:color="auto" w:sz="4" w:space="0"/>
              <w:left w:val="single" w:color="auto" w:sz="4" w:space="0"/>
              <w:bottom w:val="single" w:color="auto" w:sz="4" w:space="0"/>
              <w:right w:val="single" w:color="auto" w:sz="4" w:space="0"/>
            </w:tcBorders>
          </w:tcPr>
          <w:p w14:paraId="19BCAADF">
            <w:pPr>
              <w:adjustRightInd w:val="0"/>
              <w:rPr>
                <w:rFonts w:ascii="宋体" w:hAnsi="宋体" w:cs="宋体"/>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14:paraId="75F3F28B">
            <w:pPr>
              <w:adjustRightInd w:val="0"/>
              <w:rPr>
                <w:rFonts w:ascii="宋体" w:hAnsi="宋体" w:cs="宋体"/>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14:paraId="2AACADEB">
            <w:pPr>
              <w:adjustRightInd w:val="0"/>
              <w:rPr>
                <w:rFonts w:ascii="宋体" w:hAnsi="宋体" w:cs="宋体"/>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14:paraId="3D98C7BE">
            <w:pPr>
              <w:adjustRightInd w:val="0"/>
              <w:rPr>
                <w:rFonts w:ascii="宋体" w:hAnsi="宋体" w:cs="宋体"/>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14:paraId="2933A6C8">
            <w:pPr>
              <w:adjustRightInd w:val="0"/>
              <w:rPr>
                <w:rFonts w:ascii="宋体" w:hAnsi="宋体" w:cs="宋体"/>
                <w:szCs w:val="21"/>
                <w:highlight w:val="none"/>
              </w:rPr>
            </w:pPr>
          </w:p>
        </w:tc>
        <w:tc>
          <w:tcPr>
            <w:tcW w:w="1478" w:type="dxa"/>
            <w:tcBorders>
              <w:top w:val="single" w:color="auto" w:sz="4" w:space="0"/>
              <w:left w:val="single" w:color="auto" w:sz="4" w:space="0"/>
              <w:bottom w:val="single" w:color="auto" w:sz="4" w:space="0"/>
              <w:right w:val="single" w:color="auto" w:sz="4" w:space="0"/>
            </w:tcBorders>
          </w:tcPr>
          <w:p w14:paraId="3D920991">
            <w:pPr>
              <w:adjustRightInd w:val="0"/>
              <w:rPr>
                <w:rFonts w:ascii="宋体" w:hAnsi="宋体" w:cs="宋体"/>
                <w:szCs w:val="21"/>
                <w:highlight w:val="none"/>
              </w:rPr>
            </w:pPr>
          </w:p>
        </w:tc>
      </w:tr>
    </w:tbl>
    <w:p w14:paraId="7924410B">
      <w:pPr>
        <w:rPr>
          <w:rFonts w:ascii="宋体" w:hAnsi="宋体" w:cs="宋体"/>
          <w:szCs w:val="21"/>
          <w:highlight w:val="none"/>
        </w:rPr>
      </w:pPr>
      <w:r>
        <w:rPr>
          <w:rFonts w:hint="eastAsia" w:ascii="宋体" w:hAnsi="宋体" w:cs="宋体"/>
          <w:szCs w:val="21"/>
          <w:highlight w:val="none"/>
        </w:rPr>
        <w:t>注：1.本表使用GZZB2018-3招标文件范本，与范本内容不同之处均以下划线标明。技术标评审中，响应性、承诺性内容不应作为评分因素，可在该表中对上述内容进行符合性审查。审查标准须具备可操作性。</w:t>
      </w:r>
      <w:r>
        <w:rPr>
          <w:rFonts w:hint="eastAsia" w:ascii="宋体" w:hAnsi="宋体" w:cs="宋体"/>
          <w:szCs w:val="21"/>
          <w:highlight w:val="none"/>
        </w:rPr>
        <w:tab/>
      </w:r>
    </w:p>
    <w:p w14:paraId="7EE03808">
      <w:pPr>
        <w:rPr>
          <w:rFonts w:ascii="宋体" w:hAnsi="宋体" w:cs="宋体"/>
          <w:szCs w:val="21"/>
          <w:highlight w:val="none"/>
        </w:rPr>
      </w:pPr>
      <w:r>
        <w:rPr>
          <w:rFonts w:hint="eastAsia" w:ascii="宋体" w:hAnsi="宋体" w:cs="宋体"/>
          <w:szCs w:val="21"/>
          <w:highlight w:val="none"/>
        </w:rPr>
        <w:t xml:space="preserve">    2.</w:t>
      </w:r>
      <w:r>
        <w:rPr>
          <w:rFonts w:ascii="宋体" w:hAnsi="宋体"/>
          <w:szCs w:val="21"/>
          <w:highlight w:val="none"/>
        </w:rPr>
        <w:t>不得将</w:t>
      </w:r>
      <w:r>
        <w:rPr>
          <w:rFonts w:hint="eastAsia" w:ascii="宋体" w:hAnsi="宋体"/>
          <w:szCs w:val="21"/>
          <w:highlight w:val="none"/>
        </w:rPr>
        <w:t>文件顺序、</w:t>
      </w:r>
      <w:r>
        <w:rPr>
          <w:rFonts w:ascii="宋体" w:hAnsi="宋体"/>
          <w:szCs w:val="21"/>
          <w:highlight w:val="none"/>
        </w:rPr>
        <w:t>明显的文字错误等列为否</w:t>
      </w:r>
      <w:r>
        <w:rPr>
          <w:rFonts w:hint="eastAsia" w:ascii="宋体" w:hAnsi="宋体"/>
          <w:szCs w:val="21"/>
          <w:highlight w:val="none"/>
        </w:rPr>
        <w:t>决</w:t>
      </w:r>
      <w:r>
        <w:rPr>
          <w:rFonts w:ascii="宋体" w:hAnsi="宋体"/>
          <w:szCs w:val="21"/>
          <w:highlight w:val="none"/>
        </w:rPr>
        <w:t>投标的</w:t>
      </w:r>
      <w:r>
        <w:rPr>
          <w:rFonts w:hint="eastAsia" w:ascii="宋体" w:hAnsi="宋体"/>
          <w:szCs w:val="21"/>
          <w:highlight w:val="none"/>
        </w:rPr>
        <w:t>情形。评委</w:t>
      </w:r>
      <w:r>
        <w:rPr>
          <w:rFonts w:ascii="宋体" w:hAnsi="宋体"/>
          <w:szCs w:val="21"/>
          <w:highlight w:val="none"/>
        </w:rPr>
        <w:t>发现投标</w:t>
      </w:r>
      <w:r>
        <w:rPr>
          <w:rFonts w:hint="eastAsia" w:ascii="宋体" w:hAnsi="宋体"/>
          <w:szCs w:val="21"/>
          <w:highlight w:val="none"/>
        </w:rPr>
        <w:t>文件</w:t>
      </w:r>
      <w:r>
        <w:rPr>
          <w:rFonts w:ascii="宋体" w:hAnsi="宋体"/>
          <w:szCs w:val="21"/>
          <w:highlight w:val="none"/>
        </w:rPr>
        <w:t>中</w:t>
      </w:r>
      <w:r>
        <w:rPr>
          <w:rFonts w:hint="eastAsia" w:ascii="宋体" w:hAnsi="宋体"/>
          <w:szCs w:val="21"/>
          <w:highlight w:val="none"/>
        </w:rPr>
        <w:t>含义不明确</w:t>
      </w:r>
      <w:r>
        <w:rPr>
          <w:rFonts w:ascii="宋体" w:hAnsi="宋体"/>
          <w:szCs w:val="21"/>
          <w:highlight w:val="none"/>
        </w:rPr>
        <w:t>、对同类问题表述不一致、有明显</w:t>
      </w:r>
      <w:r>
        <w:rPr>
          <w:rFonts w:hint="eastAsia" w:ascii="宋体" w:hAnsi="宋体"/>
          <w:szCs w:val="21"/>
          <w:highlight w:val="none"/>
        </w:rPr>
        <w:t>文字</w:t>
      </w:r>
      <w:r>
        <w:rPr>
          <w:rFonts w:ascii="宋体" w:hAnsi="宋体"/>
          <w:szCs w:val="21"/>
          <w:highlight w:val="none"/>
        </w:rPr>
        <w:t>和计算错误</w:t>
      </w:r>
      <w:r>
        <w:rPr>
          <w:rFonts w:hint="eastAsia" w:ascii="宋体" w:hAnsi="宋体"/>
          <w:szCs w:val="21"/>
          <w:highlight w:val="none"/>
        </w:rPr>
        <w:t>的，</w:t>
      </w:r>
      <w:r>
        <w:rPr>
          <w:rFonts w:ascii="宋体" w:hAnsi="宋体"/>
          <w:szCs w:val="21"/>
          <w:highlight w:val="none"/>
        </w:rPr>
        <w:t>应当</w:t>
      </w:r>
      <w:r>
        <w:rPr>
          <w:rFonts w:hint="eastAsia" w:ascii="宋体" w:hAnsi="宋体"/>
          <w:szCs w:val="21"/>
          <w:highlight w:val="none"/>
        </w:rPr>
        <w:t>要求</w:t>
      </w:r>
      <w:r>
        <w:rPr>
          <w:rFonts w:ascii="宋体" w:hAnsi="宋体"/>
          <w:szCs w:val="21"/>
          <w:highlight w:val="none"/>
        </w:rPr>
        <w:t>投标人作必要的澄清、说明</w:t>
      </w:r>
      <w:r>
        <w:rPr>
          <w:rFonts w:hint="eastAsia" w:ascii="宋体" w:hAnsi="宋体"/>
          <w:szCs w:val="21"/>
          <w:highlight w:val="none"/>
        </w:rPr>
        <w:t>后再判定投标人是否通过有效性审查</w:t>
      </w:r>
      <w:r>
        <w:rPr>
          <w:rFonts w:ascii="宋体" w:hAnsi="宋体"/>
          <w:szCs w:val="21"/>
          <w:highlight w:val="none"/>
        </w:rPr>
        <w:t>，不得直接否决投标</w:t>
      </w:r>
      <w:r>
        <w:rPr>
          <w:rFonts w:hint="eastAsia" w:ascii="宋体" w:hAnsi="宋体"/>
          <w:szCs w:val="21"/>
          <w:highlight w:val="none"/>
        </w:rPr>
        <w:t>，若出现评标委员会否决投标的，应在评标报告中载明否决投标的具体情形、原因</w:t>
      </w:r>
      <w:r>
        <w:rPr>
          <w:rFonts w:hint="eastAsia" w:ascii="宋体" w:hAnsi="宋体" w:cs="宋体"/>
          <w:szCs w:val="21"/>
          <w:highlight w:val="none"/>
        </w:rPr>
        <w:t>。</w:t>
      </w:r>
    </w:p>
    <w:p w14:paraId="7AD2809E">
      <w:pPr>
        <w:rPr>
          <w:rFonts w:ascii="宋体" w:hAnsi="宋体" w:cs="宋体"/>
          <w:szCs w:val="21"/>
          <w:highlight w:val="none"/>
        </w:rPr>
      </w:pPr>
      <w:r>
        <w:rPr>
          <w:rFonts w:hint="eastAsia" w:ascii="宋体" w:hAnsi="宋体" w:cs="宋体"/>
          <w:szCs w:val="21"/>
          <w:highlight w:val="none"/>
        </w:rPr>
        <w:t xml:space="preserve">    3.凡出现以上任何一项情形，结论均为无效，否则就为有效。</w:t>
      </w:r>
    </w:p>
    <w:p w14:paraId="789D1505">
      <w:pPr>
        <w:ind w:firstLine="420" w:firstLineChars="200"/>
        <w:rPr>
          <w:rFonts w:ascii="宋体" w:hAnsi="宋体" w:cs="宋体"/>
          <w:szCs w:val="21"/>
          <w:highlight w:val="none"/>
        </w:rPr>
      </w:pPr>
      <w:r>
        <w:rPr>
          <w:rFonts w:hint="eastAsia" w:ascii="宋体" w:hAnsi="宋体" w:cs="宋体"/>
          <w:szCs w:val="21"/>
          <w:highlight w:val="none"/>
        </w:rPr>
        <w:t>4.如对本表中某种情形的评审意见不一致时，以评标委员会过半数成员的意见作为评标委员会对该情形的认定结论。</w:t>
      </w:r>
    </w:p>
    <w:p w14:paraId="3D3C691D">
      <w:pPr>
        <w:rPr>
          <w:rFonts w:ascii="宋体" w:hAnsi="宋体" w:cs="宋体"/>
          <w:szCs w:val="21"/>
          <w:highlight w:val="none"/>
        </w:rPr>
      </w:pPr>
      <w:r>
        <w:rPr>
          <w:rFonts w:hint="eastAsia" w:ascii="宋体" w:hAnsi="宋体" w:cs="宋体"/>
          <w:szCs w:val="21"/>
          <w:highlight w:val="none"/>
        </w:rPr>
        <w:t xml:space="preserve">评委签名： </w:t>
      </w:r>
      <w:r>
        <w:rPr>
          <w:rFonts w:ascii="宋体" w:hAnsi="宋体" w:cs="宋体"/>
          <w:szCs w:val="21"/>
          <w:highlight w:val="none"/>
        </w:rPr>
        <w:t xml:space="preserve">                                                     日期：</w:t>
      </w:r>
      <w:r>
        <w:rPr>
          <w:color w:val="000000"/>
          <w:highlight w:val="none"/>
        </w:rPr>
        <w:br w:type="page"/>
      </w:r>
      <w:r>
        <w:rPr>
          <w:rFonts w:hint="eastAsia" w:ascii="宋体" w:hAnsi="宋体" w:cs="宋体"/>
          <w:szCs w:val="21"/>
          <w:highlight w:val="none"/>
        </w:rPr>
        <w:t>附表三</w:t>
      </w:r>
    </w:p>
    <w:p w14:paraId="51994098">
      <w:pPr>
        <w:jc w:val="center"/>
        <w:rPr>
          <w:rFonts w:ascii="宋体" w:hAnsi="宋体" w:cs="宋体"/>
          <w:b/>
          <w:szCs w:val="21"/>
          <w:highlight w:val="none"/>
        </w:rPr>
      </w:pPr>
      <w:r>
        <w:rPr>
          <w:rFonts w:hint="eastAsia" w:ascii="宋体" w:hAnsi="宋体" w:cs="宋体"/>
          <w:b/>
          <w:szCs w:val="21"/>
          <w:highlight w:val="none"/>
        </w:rPr>
        <w:t>经济标有效性审查表</w:t>
      </w:r>
    </w:p>
    <w:p w14:paraId="7F4FF6DC">
      <w:pPr>
        <w:rPr>
          <w:rFonts w:ascii="宋体" w:hAnsi="宋体" w:cs="宋体"/>
          <w:szCs w:val="21"/>
          <w:highlight w:val="none"/>
        </w:rPr>
      </w:pPr>
      <w:r>
        <w:rPr>
          <w:rFonts w:hint="eastAsia" w:ascii="宋体" w:hAnsi="宋体" w:cs="宋体"/>
          <w:szCs w:val="21"/>
          <w:highlight w:val="none"/>
        </w:rPr>
        <w:t>工程名称：</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102"/>
        <w:gridCol w:w="1397"/>
        <w:gridCol w:w="1397"/>
        <w:gridCol w:w="1397"/>
        <w:gridCol w:w="1396"/>
        <w:gridCol w:w="1397"/>
        <w:gridCol w:w="1397"/>
      </w:tblGrid>
      <w:tr w14:paraId="06705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vAlign w:val="center"/>
          </w:tcPr>
          <w:p w14:paraId="39BE487D">
            <w:pPr>
              <w:adjustRightInd w:val="0"/>
              <w:snapToGrid w:val="0"/>
              <w:rPr>
                <w:rFonts w:ascii="宋体" w:hAnsi="宋体" w:cs="宋体"/>
                <w:szCs w:val="21"/>
                <w:highlight w:val="none"/>
              </w:rPr>
            </w:pPr>
            <w:r>
              <w:rPr>
                <w:rFonts w:hint="eastAsia" w:ascii="宋体" w:hAnsi="宋体" w:cs="宋体"/>
                <w:szCs w:val="21"/>
                <w:highlight w:val="none"/>
              </w:rPr>
              <w:t>序号</w:t>
            </w:r>
          </w:p>
        </w:tc>
        <w:tc>
          <w:tcPr>
            <w:tcW w:w="6102" w:type="dxa"/>
            <w:tcBorders>
              <w:tl2br w:val="single" w:color="auto" w:sz="4" w:space="0"/>
            </w:tcBorders>
          </w:tcPr>
          <w:p w14:paraId="53EFB2E8">
            <w:pPr>
              <w:adjustRightInd w:val="0"/>
              <w:snapToGrid w:val="0"/>
              <w:ind w:firstLine="4200" w:firstLineChars="2000"/>
              <w:rPr>
                <w:rFonts w:ascii="宋体" w:hAnsi="宋体" w:cs="宋体"/>
                <w:szCs w:val="21"/>
                <w:highlight w:val="none"/>
              </w:rPr>
            </w:pPr>
            <w:r>
              <w:rPr>
                <w:rFonts w:hint="eastAsia" w:ascii="宋体" w:hAnsi="宋体" w:cs="宋体"/>
                <w:szCs w:val="21"/>
                <w:highlight w:val="none"/>
              </w:rPr>
              <w:t>投标人</w:t>
            </w:r>
          </w:p>
          <w:p w14:paraId="2DAF63C5">
            <w:pPr>
              <w:adjustRightInd w:val="0"/>
              <w:snapToGrid w:val="0"/>
              <w:rPr>
                <w:rFonts w:ascii="宋体" w:hAnsi="宋体" w:cs="宋体"/>
                <w:szCs w:val="21"/>
                <w:highlight w:val="none"/>
              </w:rPr>
            </w:pPr>
          </w:p>
          <w:p w14:paraId="3C934F36">
            <w:pPr>
              <w:adjustRightInd w:val="0"/>
              <w:snapToGrid w:val="0"/>
              <w:rPr>
                <w:rFonts w:ascii="宋体" w:hAnsi="宋体" w:cs="宋体"/>
                <w:szCs w:val="21"/>
                <w:highlight w:val="none"/>
              </w:rPr>
            </w:pPr>
            <w:r>
              <w:rPr>
                <w:rFonts w:hint="eastAsia" w:ascii="宋体" w:hAnsi="宋体" w:cs="宋体"/>
                <w:szCs w:val="21"/>
                <w:highlight w:val="none"/>
              </w:rPr>
              <w:t>评审内容</w:t>
            </w:r>
          </w:p>
        </w:tc>
        <w:tc>
          <w:tcPr>
            <w:tcW w:w="1397" w:type="dxa"/>
          </w:tcPr>
          <w:p w14:paraId="7A52B1DD">
            <w:pPr>
              <w:adjustRightInd w:val="0"/>
              <w:snapToGrid w:val="0"/>
              <w:rPr>
                <w:rFonts w:ascii="宋体" w:hAnsi="宋体" w:cs="宋体"/>
                <w:szCs w:val="21"/>
                <w:highlight w:val="none"/>
              </w:rPr>
            </w:pPr>
          </w:p>
        </w:tc>
        <w:tc>
          <w:tcPr>
            <w:tcW w:w="1397" w:type="dxa"/>
          </w:tcPr>
          <w:p w14:paraId="517E7707">
            <w:pPr>
              <w:adjustRightInd w:val="0"/>
              <w:snapToGrid w:val="0"/>
              <w:rPr>
                <w:rFonts w:ascii="宋体" w:hAnsi="宋体" w:cs="宋体"/>
                <w:szCs w:val="21"/>
                <w:highlight w:val="none"/>
              </w:rPr>
            </w:pPr>
          </w:p>
        </w:tc>
        <w:tc>
          <w:tcPr>
            <w:tcW w:w="1397" w:type="dxa"/>
          </w:tcPr>
          <w:p w14:paraId="7BA9183D">
            <w:pPr>
              <w:adjustRightInd w:val="0"/>
              <w:snapToGrid w:val="0"/>
              <w:rPr>
                <w:rFonts w:ascii="宋体" w:hAnsi="宋体" w:cs="宋体"/>
                <w:szCs w:val="21"/>
                <w:highlight w:val="none"/>
              </w:rPr>
            </w:pPr>
          </w:p>
        </w:tc>
        <w:tc>
          <w:tcPr>
            <w:tcW w:w="1396" w:type="dxa"/>
          </w:tcPr>
          <w:p w14:paraId="2113CE0E">
            <w:pPr>
              <w:adjustRightInd w:val="0"/>
              <w:snapToGrid w:val="0"/>
              <w:rPr>
                <w:rFonts w:ascii="宋体" w:hAnsi="宋体" w:cs="宋体"/>
                <w:szCs w:val="21"/>
                <w:highlight w:val="none"/>
              </w:rPr>
            </w:pPr>
          </w:p>
        </w:tc>
        <w:tc>
          <w:tcPr>
            <w:tcW w:w="1397" w:type="dxa"/>
          </w:tcPr>
          <w:p w14:paraId="0FD4A629">
            <w:pPr>
              <w:adjustRightInd w:val="0"/>
              <w:snapToGrid w:val="0"/>
              <w:rPr>
                <w:rFonts w:ascii="宋体" w:hAnsi="宋体" w:cs="宋体"/>
                <w:szCs w:val="21"/>
                <w:highlight w:val="none"/>
              </w:rPr>
            </w:pPr>
          </w:p>
        </w:tc>
        <w:tc>
          <w:tcPr>
            <w:tcW w:w="1397" w:type="dxa"/>
          </w:tcPr>
          <w:p w14:paraId="6BF739C6">
            <w:pPr>
              <w:adjustRightInd w:val="0"/>
              <w:snapToGrid w:val="0"/>
              <w:rPr>
                <w:rFonts w:ascii="宋体" w:hAnsi="宋体" w:cs="宋体"/>
                <w:szCs w:val="21"/>
                <w:highlight w:val="none"/>
              </w:rPr>
            </w:pPr>
          </w:p>
        </w:tc>
      </w:tr>
      <w:tr w14:paraId="798C6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532" w:type="dxa"/>
            <w:vAlign w:val="center"/>
          </w:tcPr>
          <w:p w14:paraId="1F53F239">
            <w:pPr>
              <w:adjustRightInd w:val="0"/>
              <w:snapToGrid w:val="0"/>
              <w:jc w:val="center"/>
              <w:rPr>
                <w:rFonts w:ascii="宋体" w:hAnsi="宋体" w:cs="宋体"/>
                <w:szCs w:val="21"/>
                <w:highlight w:val="none"/>
              </w:rPr>
            </w:pPr>
            <w:r>
              <w:rPr>
                <w:rFonts w:hint="eastAsia" w:ascii="宋体" w:hAnsi="宋体" w:cs="宋体"/>
                <w:szCs w:val="21"/>
                <w:highlight w:val="none"/>
              </w:rPr>
              <w:t>1</w:t>
            </w:r>
          </w:p>
        </w:tc>
        <w:tc>
          <w:tcPr>
            <w:tcW w:w="6102" w:type="dxa"/>
            <w:vAlign w:val="center"/>
          </w:tcPr>
          <w:p w14:paraId="728037D7">
            <w:pPr>
              <w:adjustRightInd w:val="0"/>
              <w:snapToGrid w:val="0"/>
              <w:spacing w:before="93" w:beforeLines="30" w:after="93" w:afterLines="30"/>
              <w:rPr>
                <w:rFonts w:ascii="宋体" w:hAnsi="宋体" w:cs="宋体"/>
                <w:szCs w:val="21"/>
                <w:highlight w:val="none"/>
              </w:rPr>
            </w:pPr>
            <w:r>
              <w:rPr>
                <w:rFonts w:hint="eastAsia" w:ascii="宋体" w:hAnsi="宋体" w:cs="宋体"/>
                <w:szCs w:val="21"/>
                <w:highlight w:val="none"/>
              </w:rPr>
              <w:t>对同一招标项目出现两个或以上的投标报价，且没有申明哪个有效；</w:t>
            </w:r>
          </w:p>
        </w:tc>
        <w:tc>
          <w:tcPr>
            <w:tcW w:w="1397" w:type="dxa"/>
          </w:tcPr>
          <w:p w14:paraId="3BEB29B8">
            <w:pPr>
              <w:adjustRightInd w:val="0"/>
              <w:snapToGrid w:val="0"/>
              <w:rPr>
                <w:rFonts w:ascii="宋体" w:hAnsi="宋体" w:cs="宋体"/>
                <w:szCs w:val="21"/>
                <w:highlight w:val="none"/>
              </w:rPr>
            </w:pPr>
          </w:p>
        </w:tc>
        <w:tc>
          <w:tcPr>
            <w:tcW w:w="1397" w:type="dxa"/>
          </w:tcPr>
          <w:p w14:paraId="47AC4000">
            <w:pPr>
              <w:adjustRightInd w:val="0"/>
              <w:snapToGrid w:val="0"/>
              <w:rPr>
                <w:rFonts w:ascii="宋体" w:hAnsi="宋体" w:cs="宋体"/>
                <w:szCs w:val="21"/>
                <w:highlight w:val="none"/>
              </w:rPr>
            </w:pPr>
          </w:p>
        </w:tc>
        <w:tc>
          <w:tcPr>
            <w:tcW w:w="1397" w:type="dxa"/>
          </w:tcPr>
          <w:p w14:paraId="362016C5">
            <w:pPr>
              <w:adjustRightInd w:val="0"/>
              <w:snapToGrid w:val="0"/>
              <w:rPr>
                <w:rFonts w:ascii="宋体" w:hAnsi="宋体" w:cs="宋体"/>
                <w:szCs w:val="21"/>
                <w:highlight w:val="none"/>
              </w:rPr>
            </w:pPr>
          </w:p>
        </w:tc>
        <w:tc>
          <w:tcPr>
            <w:tcW w:w="1396" w:type="dxa"/>
          </w:tcPr>
          <w:p w14:paraId="08164415">
            <w:pPr>
              <w:adjustRightInd w:val="0"/>
              <w:snapToGrid w:val="0"/>
              <w:rPr>
                <w:rFonts w:ascii="宋体" w:hAnsi="宋体" w:cs="宋体"/>
                <w:szCs w:val="21"/>
                <w:highlight w:val="none"/>
              </w:rPr>
            </w:pPr>
          </w:p>
        </w:tc>
        <w:tc>
          <w:tcPr>
            <w:tcW w:w="1397" w:type="dxa"/>
          </w:tcPr>
          <w:p w14:paraId="593E9C2A">
            <w:pPr>
              <w:adjustRightInd w:val="0"/>
              <w:snapToGrid w:val="0"/>
              <w:rPr>
                <w:rFonts w:ascii="宋体" w:hAnsi="宋体" w:cs="宋体"/>
                <w:szCs w:val="21"/>
                <w:highlight w:val="none"/>
              </w:rPr>
            </w:pPr>
          </w:p>
        </w:tc>
        <w:tc>
          <w:tcPr>
            <w:tcW w:w="1397" w:type="dxa"/>
          </w:tcPr>
          <w:p w14:paraId="51F9DC7C">
            <w:pPr>
              <w:adjustRightInd w:val="0"/>
              <w:snapToGrid w:val="0"/>
              <w:rPr>
                <w:rFonts w:ascii="宋体" w:hAnsi="宋体" w:cs="宋体"/>
                <w:szCs w:val="21"/>
                <w:highlight w:val="none"/>
              </w:rPr>
            </w:pPr>
          </w:p>
        </w:tc>
      </w:tr>
      <w:tr w14:paraId="34F94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vAlign w:val="center"/>
          </w:tcPr>
          <w:p w14:paraId="1ACF0DE3">
            <w:pPr>
              <w:adjustRightInd w:val="0"/>
              <w:snapToGrid w:val="0"/>
              <w:jc w:val="center"/>
              <w:rPr>
                <w:rFonts w:ascii="宋体" w:hAnsi="宋体" w:cs="宋体"/>
                <w:szCs w:val="21"/>
                <w:highlight w:val="none"/>
              </w:rPr>
            </w:pPr>
            <w:r>
              <w:rPr>
                <w:rFonts w:hint="eastAsia" w:ascii="宋体" w:hAnsi="宋体" w:cs="宋体"/>
                <w:szCs w:val="21"/>
                <w:highlight w:val="none"/>
              </w:rPr>
              <w:t>2</w:t>
            </w:r>
          </w:p>
        </w:tc>
        <w:tc>
          <w:tcPr>
            <w:tcW w:w="6102" w:type="dxa"/>
            <w:vAlign w:val="center"/>
          </w:tcPr>
          <w:p w14:paraId="145477FD">
            <w:pPr>
              <w:adjustRightInd w:val="0"/>
              <w:snapToGrid w:val="0"/>
              <w:spacing w:before="93" w:beforeLines="30" w:after="93" w:afterLines="30"/>
              <w:rPr>
                <w:rFonts w:ascii="宋体" w:hAnsi="宋体" w:cs="宋体"/>
                <w:szCs w:val="21"/>
                <w:highlight w:val="none"/>
              </w:rPr>
            </w:pPr>
            <w:r>
              <w:rPr>
                <w:rFonts w:hint="eastAsia" w:ascii="宋体" w:hAnsi="宋体" w:cs="宋体"/>
                <w:szCs w:val="21"/>
                <w:highlight w:val="none"/>
              </w:rPr>
              <w:t>投标报价</w:t>
            </w:r>
            <w:r>
              <w:rPr>
                <w:rFonts w:hint="eastAsia" w:ascii="宋体" w:hAnsi="宋体" w:cs="宋体"/>
                <w:szCs w:val="21"/>
                <w:highlight w:val="none"/>
                <w:u w:val="single"/>
              </w:rPr>
              <w:t>总价</w:t>
            </w:r>
            <w:r>
              <w:rPr>
                <w:rFonts w:hint="eastAsia" w:ascii="宋体" w:hAnsi="宋体" w:cs="宋体"/>
                <w:szCs w:val="21"/>
                <w:highlight w:val="none"/>
              </w:rPr>
              <w:t>高于最高投标限价的；</w:t>
            </w:r>
          </w:p>
        </w:tc>
        <w:tc>
          <w:tcPr>
            <w:tcW w:w="1397" w:type="dxa"/>
          </w:tcPr>
          <w:p w14:paraId="078BD312">
            <w:pPr>
              <w:adjustRightInd w:val="0"/>
              <w:snapToGrid w:val="0"/>
              <w:rPr>
                <w:rFonts w:ascii="宋体" w:hAnsi="宋体" w:cs="宋体"/>
                <w:szCs w:val="21"/>
                <w:highlight w:val="none"/>
              </w:rPr>
            </w:pPr>
          </w:p>
        </w:tc>
        <w:tc>
          <w:tcPr>
            <w:tcW w:w="1397" w:type="dxa"/>
          </w:tcPr>
          <w:p w14:paraId="1A2D08D2">
            <w:pPr>
              <w:adjustRightInd w:val="0"/>
              <w:snapToGrid w:val="0"/>
              <w:rPr>
                <w:rFonts w:ascii="宋体" w:hAnsi="宋体" w:cs="宋体"/>
                <w:szCs w:val="21"/>
                <w:highlight w:val="none"/>
              </w:rPr>
            </w:pPr>
          </w:p>
        </w:tc>
        <w:tc>
          <w:tcPr>
            <w:tcW w:w="1397" w:type="dxa"/>
          </w:tcPr>
          <w:p w14:paraId="4CB82B5E">
            <w:pPr>
              <w:adjustRightInd w:val="0"/>
              <w:snapToGrid w:val="0"/>
              <w:rPr>
                <w:rFonts w:ascii="宋体" w:hAnsi="宋体" w:cs="宋体"/>
                <w:szCs w:val="21"/>
                <w:highlight w:val="none"/>
              </w:rPr>
            </w:pPr>
          </w:p>
        </w:tc>
        <w:tc>
          <w:tcPr>
            <w:tcW w:w="1396" w:type="dxa"/>
          </w:tcPr>
          <w:p w14:paraId="50648F23">
            <w:pPr>
              <w:adjustRightInd w:val="0"/>
              <w:snapToGrid w:val="0"/>
              <w:rPr>
                <w:rFonts w:ascii="宋体" w:hAnsi="宋体" w:cs="宋体"/>
                <w:szCs w:val="21"/>
                <w:highlight w:val="none"/>
              </w:rPr>
            </w:pPr>
          </w:p>
        </w:tc>
        <w:tc>
          <w:tcPr>
            <w:tcW w:w="1397" w:type="dxa"/>
          </w:tcPr>
          <w:p w14:paraId="3CD41153">
            <w:pPr>
              <w:adjustRightInd w:val="0"/>
              <w:snapToGrid w:val="0"/>
              <w:rPr>
                <w:rFonts w:ascii="宋体" w:hAnsi="宋体" w:cs="宋体"/>
                <w:szCs w:val="21"/>
                <w:highlight w:val="none"/>
              </w:rPr>
            </w:pPr>
          </w:p>
        </w:tc>
        <w:tc>
          <w:tcPr>
            <w:tcW w:w="1397" w:type="dxa"/>
          </w:tcPr>
          <w:p w14:paraId="2EA96E4D">
            <w:pPr>
              <w:adjustRightInd w:val="0"/>
              <w:snapToGrid w:val="0"/>
              <w:rPr>
                <w:rFonts w:ascii="宋体" w:hAnsi="宋体" w:cs="宋体"/>
                <w:szCs w:val="21"/>
                <w:highlight w:val="none"/>
              </w:rPr>
            </w:pPr>
          </w:p>
        </w:tc>
      </w:tr>
      <w:tr w14:paraId="51A3D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vAlign w:val="center"/>
          </w:tcPr>
          <w:p w14:paraId="5B5684FC">
            <w:pPr>
              <w:adjustRightInd w:val="0"/>
              <w:snapToGrid w:val="0"/>
              <w:jc w:val="center"/>
              <w:rPr>
                <w:rFonts w:ascii="宋体" w:hAnsi="宋体" w:cs="宋体"/>
                <w:szCs w:val="21"/>
                <w:highlight w:val="none"/>
              </w:rPr>
            </w:pPr>
            <w:r>
              <w:rPr>
                <w:rFonts w:hint="eastAsia" w:ascii="宋体" w:hAnsi="宋体" w:cs="宋体"/>
                <w:szCs w:val="21"/>
                <w:highlight w:val="none"/>
              </w:rPr>
              <w:t>3</w:t>
            </w:r>
          </w:p>
        </w:tc>
        <w:tc>
          <w:tcPr>
            <w:tcW w:w="6102" w:type="dxa"/>
            <w:vAlign w:val="center"/>
          </w:tcPr>
          <w:p w14:paraId="2138A70B">
            <w:pPr>
              <w:autoSpaceDE w:val="0"/>
              <w:autoSpaceDN w:val="0"/>
              <w:adjustRightInd w:val="0"/>
              <w:snapToGrid w:val="0"/>
              <w:spacing w:before="93" w:beforeLines="30" w:after="93" w:afterLines="30"/>
              <w:ind w:left="-2" w:leftChars="-1"/>
              <w:jc w:val="left"/>
              <w:rPr>
                <w:rFonts w:ascii="宋体" w:hAnsi="宋体" w:cs="宋体"/>
                <w:szCs w:val="21"/>
                <w:highlight w:val="none"/>
              </w:rPr>
            </w:pPr>
            <w:r>
              <w:rPr>
                <w:rFonts w:hint="eastAsia" w:ascii="宋体" w:hAnsi="宋体" w:cs="宋体"/>
                <w:szCs w:val="21"/>
                <w:highlight w:val="none"/>
              </w:rPr>
              <w:t>投标报价低于成本的</w:t>
            </w:r>
            <w:r>
              <w:rPr>
                <w:rFonts w:hint="eastAsia" w:ascii="宋体" w:hAnsi="宋体" w:cs="宋体"/>
                <w:szCs w:val="21"/>
                <w:highlight w:val="none"/>
                <w:u w:val="single"/>
              </w:rPr>
              <w:t>（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w:t>
            </w:r>
            <w:r>
              <w:rPr>
                <w:rFonts w:hint="eastAsia" w:ascii="宋体" w:hAnsi="宋体" w:cs="宋体"/>
                <w:szCs w:val="21"/>
                <w:highlight w:val="none"/>
              </w:rPr>
              <w:t>；</w:t>
            </w:r>
          </w:p>
        </w:tc>
        <w:tc>
          <w:tcPr>
            <w:tcW w:w="1397" w:type="dxa"/>
          </w:tcPr>
          <w:p w14:paraId="156D0F44">
            <w:pPr>
              <w:adjustRightInd w:val="0"/>
              <w:snapToGrid w:val="0"/>
              <w:rPr>
                <w:rFonts w:ascii="宋体" w:hAnsi="宋体" w:cs="宋体"/>
                <w:szCs w:val="21"/>
                <w:highlight w:val="none"/>
              </w:rPr>
            </w:pPr>
          </w:p>
        </w:tc>
        <w:tc>
          <w:tcPr>
            <w:tcW w:w="1397" w:type="dxa"/>
          </w:tcPr>
          <w:p w14:paraId="13EF5502">
            <w:pPr>
              <w:adjustRightInd w:val="0"/>
              <w:snapToGrid w:val="0"/>
              <w:rPr>
                <w:rFonts w:ascii="宋体" w:hAnsi="宋体" w:cs="宋体"/>
                <w:szCs w:val="21"/>
                <w:highlight w:val="none"/>
              </w:rPr>
            </w:pPr>
          </w:p>
        </w:tc>
        <w:tc>
          <w:tcPr>
            <w:tcW w:w="1397" w:type="dxa"/>
          </w:tcPr>
          <w:p w14:paraId="5F9CF522">
            <w:pPr>
              <w:adjustRightInd w:val="0"/>
              <w:snapToGrid w:val="0"/>
              <w:rPr>
                <w:rFonts w:ascii="宋体" w:hAnsi="宋体" w:cs="宋体"/>
                <w:szCs w:val="21"/>
                <w:highlight w:val="none"/>
              </w:rPr>
            </w:pPr>
          </w:p>
        </w:tc>
        <w:tc>
          <w:tcPr>
            <w:tcW w:w="1396" w:type="dxa"/>
          </w:tcPr>
          <w:p w14:paraId="2374F72A">
            <w:pPr>
              <w:adjustRightInd w:val="0"/>
              <w:snapToGrid w:val="0"/>
              <w:rPr>
                <w:rFonts w:ascii="宋体" w:hAnsi="宋体" w:cs="宋体"/>
                <w:szCs w:val="21"/>
                <w:highlight w:val="none"/>
              </w:rPr>
            </w:pPr>
          </w:p>
        </w:tc>
        <w:tc>
          <w:tcPr>
            <w:tcW w:w="1397" w:type="dxa"/>
          </w:tcPr>
          <w:p w14:paraId="593AC99E">
            <w:pPr>
              <w:adjustRightInd w:val="0"/>
              <w:snapToGrid w:val="0"/>
              <w:rPr>
                <w:rFonts w:ascii="宋体" w:hAnsi="宋体" w:cs="宋体"/>
                <w:szCs w:val="21"/>
                <w:highlight w:val="none"/>
              </w:rPr>
            </w:pPr>
          </w:p>
        </w:tc>
        <w:tc>
          <w:tcPr>
            <w:tcW w:w="1397" w:type="dxa"/>
          </w:tcPr>
          <w:p w14:paraId="3F55978D">
            <w:pPr>
              <w:adjustRightInd w:val="0"/>
              <w:snapToGrid w:val="0"/>
              <w:rPr>
                <w:rFonts w:ascii="宋体" w:hAnsi="宋体" w:cs="宋体"/>
                <w:szCs w:val="21"/>
                <w:highlight w:val="none"/>
              </w:rPr>
            </w:pPr>
          </w:p>
        </w:tc>
      </w:tr>
      <w:tr w14:paraId="779FA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vAlign w:val="center"/>
          </w:tcPr>
          <w:p w14:paraId="16942743">
            <w:pPr>
              <w:adjustRightInd w:val="0"/>
              <w:snapToGrid w:val="0"/>
              <w:jc w:val="center"/>
              <w:rPr>
                <w:rFonts w:ascii="宋体" w:hAnsi="宋体" w:cs="宋体"/>
                <w:szCs w:val="21"/>
                <w:highlight w:val="none"/>
              </w:rPr>
            </w:pPr>
            <w:r>
              <w:rPr>
                <w:rFonts w:hint="eastAsia" w:ascii="宋体" w:hAnsi="宋体" w:cs="宋体"/>
                <w:szCs w:val="21"/>
                <w:highlight w:val="none"/>
              </w:rPr>
              <w:t>4</w:t>
            </w:r>
          </w:p>
        </w:tc>
        <w:tc>
          <w:tcPr>
            <w:tcW w:w="6102" w:type="dxa"/>
            <w:vAlign w:val="center"/>
          </w:tcPr>
          <w:p w14:paraId="4CB2EF69">
            <w:pPr>
              <w:adjustRightInd w:val="0"/>
              <w:snapToGrid w:val="0"/>
              <w:spacing w:before="93" w:beforeLines="30" w:after="93" w:afterLines="30"/>
              <w:rPr>
                <w:rFonts w:ascii="宋体" w:hAnsi="宋体" w:cs="宋体"/>
                <w:szCs w:val="21"/>
                <w:highlight w:val="none"/>
              </w:rPr>
            </w:pPr>
            <w:r>
              <w:rPr>
                <w:rFonts w:hint="eastAsia" w:ascii="宋体" w:hAnsi="宋体" w:cs="宋体"/>
                <w:szCs w:val="21"/>
                <w:highlight w:val="none"/>
              </w:rPr>
              <w:t>算术复核后的投标报价与原投标报价相比存在1%或以上误差的；</w:t>
            </w:r>
          </w:p>
        </w:tc>
        <w:tc>
          <w:tcPr>
            <w:tcW w:w="1397" w:type="dxa"/>
          </w:tcPr>
          <w:p w14:paraId="07976039">
            <w:pPr>
              <w:adjustRightInd w:val="0"/>
              <w:snapToGrid w:val="0"/>
              <w:rPr>
                <w:rFonts w:ascii="宋体" w:hAnsi="宋体" w:cs="宋体"/>
                <w:szCs w:val="21"/>
                <w:highlight w:val="none"/>
              </w:rPr>
            </w:pPr>
          </w:p>
        </w:tc>
        <w:tc>
          <w:tcPr>
            <w:tcW w:w="1397" w:type="dxa"/>
          </w:tcPr>
          <w:p w14:paraId="55530C59">
            <w:pPr>
              <w:adjustRightInd w:val="0"/>
              <w:snapToGrid w:val="0"/>
              <w:rPr>
                <w:rFonts w:ascii="宋体" w:hAnsi="宋体" w:cs="宋体"/>
                <w:szCs w:val="21"/>
                <w:highlight w:val="none"/>
              </w:rPr>
            </w:pPr>
          </w:p>
        </w:tc>
        <w:tc>
          <w:tcPr>
            <w:tcW w:w="1397" w:type="dxa"/>
          </w:tcPr>
          <w:p w14:paraId="6E0DA186">
            <w:pPr>
              <w:adjustRightInd w:val="0"/>
              <w:snapToGrid w:val="0"/>
              <w:rPr>
                <w:rFonts w:ascii="宋体" w:hAnsi="宋体" w:cs="宋体"/>
                <w:szCs w:val="21"/>
                <w:highlight w:val="none"/>
              </w:rPr>
            </w:pPr>
          </w:p>
        </w:tc>
        <w:tc>
          <w:tcPr>
            <w:tcW w:w="1396" w:type="dxa"/>
          </w:tcPr>
          <w:p w14:paraId="1BFA80CD">
            <w:pPr>
              <w:adjustRightInd w:val="0"/>
              <w:snapToGrid w:val="0"/>
              <w:rPr>
                <w:rFonts w:ascii="宋体" w:hAnsi="宋体" w:cs="宋体"/>
                <w:szCs w:val="21"/>
                <w:highlight w:val="none"/>
              </w:rPr>
            </w:pPr>
          </w:p>
        </w:tc>
        <w:tc>
          <w:tcPr>
            <w:tcW w:w="1397" w:type="dxa"/>
          </w:tcPr>
          <w:p w14:paraId="742BFA55">
            <w:pPr>
              <w:adjustRightInd w:val="0"/>
              <w:snapToGrid w:val="0"/>
              <w:rPr>
                <w:rFonts w:ascii="宋体" w:hAnsi="宋体" w:cs="宋体"/>
                <w:szCs w:val="21"/>
                <w:highlight w:val="none"/>
              </w:rPr>
            </w:pPr>
          </w:p>
        </w:tc>
        <w:tc>
          <w:tcPr>
            <w:tcW w:w="1397" w:type="dxa"/>
          </w:tcPr>
          <w:p w14:paraId="562F821E">
            <w:pPr>
              <w:adjustRightInd w:val="0"/>
              <w:snapToGrid w:val="0"/>
              <w:rPr>
                <w:rFonts w:ascii="宋体" w:hAnsi="宋体" w:cs="宋体"/>
                <w:szCs w:val="21"/>
                <w:highlight w:val="none"/>
              </w:rPr>
            </w:pPr>
          </w:p>
        </w:tc>
      </w:tr>
      <w:tr w14:paraId="3291B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vAlign w:val="center"/>
          </w:tcPr>
          <w:p w14:paraId="41E99605">
            <w:pPr>
              <w:adjustRightInd w:val="0"/>
              <w:snapToGrid w:val="0"/>
              <w:jc w:val="center"/>
              <w:rPr>
                <w:rFonts w:ascii="宋体" w:hAnsi="宋体" w:cs="宋体"/>
                <w:szCs w:val="21"/>
                <w:highlight w:val="none"/>
              </w:rPr>
            </w:pPr>
            <w:r>
              <w:rPr>
                <w:rFonts w:hint="eastAsia" w:ascii="宋体" w:hAnsi="宋体" w:cs="宋体"/>
                <w:szCs w:val="21"/>
                <w:highlight w:val="none"/>
              </w:rPr>
              <w:t>5</w:t>
            </w:r>
          </w:p>
        </w:tc>
        <w:tc>
          <w:tcPr>
            <w:tcW w:w="6102" w:type="dxa"/>
            <w:vAlign w:val="center"/>
          </w:tcPr>
          <w:p w14:paraId="392D0FDD">
            <w:pPr>
              <w:adjustRightInd w:val="0"/>
              <w:snapToGrid w:val="0"/>
              <w:spacing w:before="93" w:beforeLines="30" w:after="93" w:afterLines="30"/>
              <w:rPr>
                <w:rFonts w:ascii="宋体" w:hAnsi="宋体" w:cs="宋体"/>
                <w:szCs w:val="21"/>
                <w:highlight w:val="none"/>
              </w:rPr>
            </w:pPr>
            <w:r>
              <w:rPr>
                <w:rFonts w:hint="eastAsia" w:ascii="宋体" w:hAnsi="宋体" w:cs="宋体"/>
                <w:szCs w:val="21"/>
                <w:highlight w:val="none"/>
              </w:rPr>
              <w:t>投标文件未按规定的格式填写，或主要内容不全，或关键字迹模糊、无法辨认的</w:t>
            </w:r>
          </w:p>
        </w:tc>
        <w:tc>
          <w:tcPr>
            <w:tcW w:w="1397" w:type="dxa"/>
          </w:tcPr>
          <w:p w14:paraId="10C66728">
            <w:pPr>
              <w:adjustRightInd w:val="0"/>
              <w:snapToGrid w:val="0"/>
              <w:rPr>
                <w:rFonts w:ascii="宋体" w:hAnsi="宋体" w:cs="宋体"/>
                <w:szCs w:val="21"/>
                <w:highlight w:val="none"/>
              </w:rPr>
            </w:pPr>
          </w:p>
        </w:tc>
        <w:tc>
          <w:tcPr>
            <w:tcW w:w="1397" w:type="dxa"/>
          </w:tcPr>
          <w:p w14:paraId="26702327">
            <w:pPr>
              <w:adjustRightInd w:val="0"/>
              <w:snapToGrid w:val="0"/>
              <w:rPr>
                <w:rFonts w:ascii="宋体" w:hAnsi="宋体" w:cs="宋体"/>
                <w:szCs w:val="21"/>
                <w:highlight w:val="none"/>
              </w:rPr>
            </w:pPr>
          </w:p>
        </w:tc>
        <w:tc>
          <w:tcPr>
            <w:tcW w:w="1397" w:type="dxa"/>
          </w:tcPr>
          <w:p w14:paraId="37015CCB">
            <w:pPr>
              <w:adjustRightInd w:val="0"/>
              <w:snapToGrid w:val="0"/>
              <w:rPr>
                <w:rFonts w:ascii="宋体" w:hAnsi="宋体" w:cs="宋体"/>
                <w:szCs w:val="21"/>
                <w:highlight w:val="none"/>
              </w:rPr>
            </w:pPr>
          </w:p>
        </w:tc>
        <w:tc>
          <w:tcPr>
            <w:tcW w:w="1396" w:type="dxa"/>
          </w:tcPr>
          <w:p w14:paraId="4A51B87A">
            <w:pPr>
              <w:adjustRightInd w:val="0"/>
              <w:snapToGrid w:val="0"/>
              <w:rPr>
                <w:rFonts w:ascii="宋体" w:hAnsi="宋体" w:cs="宋体"/>
                <w:szCs w:val="21"/>
                <w:highlight w:val="none"/>
              </w:rPr>
            </w:pPr>
          </w:p>
        </w:tc>
        <w:tc>
          <w:tcPr>
            <w:tcW w:w="1397" w:type="dxa"/>
          </w:tcPr>
          <w:p w14:paraId="3C1F0D44">
            <w:pPr>
              <w:adjustRightInd w:val="0"/>
              <w:snapToGrid w:val="0"/>
              <w:rPr>
                <w:rFonts w:ascii="宋体" w:hAnsi="宋体" w:cs="宋体"/>
                <w:szCs w:val="21"/>
                <w:highlight w:val="none"/>
              </w:rPr>
            </w:pPr>
          </w:p>
        </w:tc>
        <w:tc>
          <w:tcPr>
            <w:tcW w:w="1397" w:type="dxa"/>
          </w:tcPr>
          <w:p w14:paraId="0E4CC797">
            <w:pPr>
              <w:adjustRightInd w:val="0"/>
              <w:snapToGrid w:val="0"/>
              <w:rPr>
                <w:rFonts w:ascii="宋体" w:hAnsi="宋体" w:cs="宋体"/>
                <w:szCs w:val="21"/>
                <w:highlight w:val="none"/>
              </w:rPr>
            </w:pPr>
          </w:p>
        </w:tc>
      </w:tr>
      <w:tr w14:paraId="1C7F9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vAlign w:val="center"/>
          </w:tcPr>
          <w:p w14:paraId="1B070A1C">
            <w:pPr>
              <w:adjustRightInd w:val="0"/>
              <w:snapToGrid w:val="0"/>
              <w:jc w:val="center"/>
              <w:rPr>
                <w:rFonts w:ascii="宋体" w:hAnsi="宋体" w:cs="宋体"/>
                <w:szCs w:val="21"/>
                <w:highlight w:val="none"/>
              </w:rPr>
            </w:pPr>
            <w:r>
              <w:rPr>
                <w:rFonts w:hint="eastAsia" w:ascii="宋体" w:hAnsi="宋体" w:cs="宋体"/>
                <w:szCs w:val="21"/>
                <w:highlight w:val="none"/>
              </w:rPr>
              <w:t>6</w:t>
            </w:r>
          </w:p>
        </w:tc>
        <w:tc>
          <w:tcPr>
            <w:tcW w:w="6102" w:type="dxa"/>
            <w:vAlign w:val="center"/>
          </w:tcPr>
          <w:p w14:paraId="781B9043">
            <w:pPr>
              <w:adjustRightInd w:val="0"/>
              <w:snapToGrid w:val="0"/>
              <w:spacing w:before="93" w:beforeLines="30" w:after="93" w:afterLines="30"/>
              <w:rPr>
                <w:rFonts w:ascii="宋体" w:hAnsi="宋体" w:cs="宋体"/>
                <w:spacing w:val="-4"/>
                <w:szCs w:val="21"/>
                <w:highlight w:val="none"/>
              </w:rPr>
            </w:pPr>
            <w:r>
              <w:rPr>
                <w:rFonts w:hint="eastAsia" w:ascii="宋体" w:hAnsi="宋体" w:cs="宋体"/>
                <w:spacing w:val="-4"/>
                <w:szCs w:val="21"/>
                <w:highlight w:val="none"/>
              </w:rPr>
              <w:t>不同投标人的投标报价中分部分项工程量清单综合单价相似度达到80%及以上的(以</w:t>
            </w:r>
            <w:r>
              <w:rPr>
                <w:rFonts w:hint="eastAsia" w:ascii="宋体" w:hAnsi="宋体" w:cs="宋体"/>
                <w:spacing w:val="-4"/>
                <w:szCs w:val="21"/>
                <w:highlight w:val="none"/>
                <w:u w:val="single"/>
              </w:rPr>
              <w:t>广州公共资源交易中心</w:t>
            </w:r>
            <w:r>
              <w:rPr>
                <w:rFonts w:hint="eastAsia" w:ascii="宋体" w:hAnsi="宋体" w:cs="宋体"/>
                <w:spacing w:val="-4"/>
                <w:szCs w:val="21"/>
                <w:highlight w:val="none"/>
              </w:rPr>
              <w:t>交易平台评标系统的检索信息为准)</w:t>
            </w:r>
          </w:p>
        </w:tc>
        <w:tc>
          <w:tcPr>
            <w:tcW w:w="1397" w:type="dxa"/>
          </w:tcPr>
          <w:p w14:paraId="547A4E1A">
            <w:pPr>
              <w:adjustRightInd w:val="0"/>
              <w:snapToGrid w:val="0"/>
              <w:rPr>
                <w:rFonts w:ascii="宋体" w:hAnsi="宋体" w:cs="宋体"/>
                <w:szCs w:val="21"/>
                <w:highlight w:val="none"/>
              </w:rPr>
            </w:pPr>
          </w:p>
        </w:tc>
        <w:tc>
          <w:tcPr>
            <w:tcW w:w="1397" w:type="dxa"/>
          </w:tcPr>
          <w:p w14:paraId="73132DB5">
            <w:pPr>
              <w:adjustRightInd w:val="0"/>
              <w:snapToGrid w:val="0"/>
              <w:rPr>
                <w:rFonts w:ascii="宋体" w:hAnsi="宋体" w:cs="宋体"/>
                <w:szCs w:val="21"/>
                <w:highlight w:val="none"/>
              </w:rPr>
            </w:pPr>
          </w:p>
        </w:tc>
        <w:tc>
          <w:tcPr>
            <w:tcW w:w="1397" w:type="dxa"/>
          </w:tcPr>
          <w:p w14:paraId="41CD7908">
            <w:pPr>
              <w:adjustRightInd w:val="0"/>
              <w:snapToGrid w:val="0"/>
              <w:rPr>
                <w:rFonts w:ascii="宋体" w:hAnsi="宋体" w:cs="宋体"/>
                <w:szCs w:val="21"/>
                <w:highlight w:val="none"/>
              </w:rPr>
            </w:pPr>
          </w:p>
        </w:tc>
        <w:tc>
          <w:tcPr>
            <w:tcW w:w="1396" w:type="dxa"/>
          </w:tcPr>
          <w:p w14:paraId="02A9008D">
            <w:pPr>
              <w:adjustRightInd w:val="0"/>
              <w:snapToGrid w:val="0"/>
              <w:rPr>
                <w:rFonts w:ascii="宋体" w:hAnsi="宋体" w:cs="宋体"/>
                <w:szCs w:val="21"/>
                <w:highlight w:val="none"/>
              </w:rPr>
            </w:pPr>
          </w:p>
        </w:tc>
        <w:tc>
          <w:tcPr>
            <w:tcW w:w="1397" w:type="dxa"/>
          </w:tcPr>
          <w:p w14:paraId="2886D021">
            <w:pPr>
              <w:adjustRightInd w:val="0"/>
              <w:snapToGrid w:val="0"/>
              <w:rPr>
                <w:rFonts w:ascii="宋体" w:hAnsi="宋体" w:cs="宋体"/>
                <w:szCs w:val="21"/>
                <w:highlight w:val="none"/>
              </w:rPr>
            </w:pPr>
          </w:p>
        </w:tc>
        <w:tc>
          <w:tcPr>
            <w:tcW w:w="1397" w:type="dxa"/>
          </w:tcPr>
          <w:p w14:paraId="56EB5097">
            <w:pPr>
              <w:adjustRightInd w:val="0"/>
              <w:snapToGrid w:val="0"/>
              <w:rPr>
                <w:rFonts w:ascii="宋体" w:hAnsi="宋体" w:cs="宋体"/>
                <w:szCs w:val="21"/>
                <w:highlight w:val="none"/>
              </w:rPr>
            </w:pPr>
          </w:p>
        </w:tc>
      </w:tr>
      <w:tr w14:paraId="0C4EE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vAlign w:val="center"/>
          </w:tcPr>
          <w:p w14:paraId="64C79706">
            <w:pPr>
              <w:adjustRightInd w:val="0"/>
              <w:snapToGrid w:val="0"/>
              <w:jc w:val="center"/>
              <w:rPr>
                <w:rFonts w:ascii="宋体" w:hAnsi="宋体" w:cs="宋体"/>
                <w:szCs w:val="21"/>
                <w:highlight w:val="none"/>
              </w:rPr>
            </w:pPr>
            <w:r>
              <w:rPr>
                <w:rFonts w:hint="eastAsia" w:ascii="宋体" w:hAnsi="宋体" w:cs="宋体"/>
                <w:szCs w:val="21"/>
                <w:highlight w:val="none"/>
              </w:rPr>
              <w:t>7</w:t>
            </w:r>
          </w:p>
        </w:tc>
        <w:tc>
          <w:tcPr>
            <w:tcW w:w="6102" w:type="dxa"/>
            <w:vAlign w:val="center"/>
          </w:tcPr>
          <w:p w14:paraId="57F9A4C2">
            <w:pPr>
              <w:adjustRightInd w:val="0"/>
              <w:snapToGrid w:val="0"/>
              <w:spacing w:before="93" w:beforeLines="30" w:after="93" w:afterLines="30"/>
              <w:rPr>
                <w:rFonts w:ascii="宋体" w:hAnsi="宋体" w:cs="宋体"/>
                <w:szCs w:val="21"/>
                <w:highlight w:val="none"/>
              </w:rPr>
            </w:pPr>
            <w:r>
              <w:rPr>
                <w:rFonts w:hint="eastAsia" w:ascii="宋体" w:hAnsi="宋体" w:cs="宋体"/>
                <w:szCs w:val="21"/>
                <w:highlight w:val="none"/>
              </w:rPr>
              <w:t>投标人之间存在《广东省实施&lt;中华人民共和国招标投标法&gt;办法》第十六条所禁止的情形的；</w:t>
            </w:r>
          </w:p>
        </w:tc>
        <w:tc>
          <w:tcPr>
            <w:tcW w:w="1397" w:type="dxa"/>
          </w:tcPr>
          <w:p w14:paraId="1F328FAE">
            <w:pPr>
              <w:adjustRightInd w:val="0"/>
              <w:snapToGrid w:val="0"/>
              <w:rPr>
                <w:rFonts w:ascii="宋体" w:hAnsi="宋体" w:cs="宋体"/>
                <w:szCs w:val="21"/>
                <w:highlight w:val="none"/>
              </w:rPr>
            </w:pPr>
          </w:p>
        </w:tc>
        <w:tc>
          <w:tcPr>
            <w:tcW w:w="1397" w:type="dxa"/>
          </w:tcPr>
          <w:p w14:paraId="71BEBA95">
            <w:pPr>
              <w:adjustRightInd w:val="0"/>
              <w:snapToGrid w:val="0"/>
              <w:rPr>
                <w:rFonts w:ascii="宋体" w:hAnsi="宋体" w:cs="宋体"/>
                <w:szCs w:val="21"/>
                <w:highlight w:val="none"/>
              </w:rPr>
            </w:pPr>
          </w:p>
        </w:tc>
        <w:tc>
          <w:tcPr>
            <w:tcW w:w="1397" w:type="dxa"/>
          </w:tcPr>
          <w:p w14:paraId="3D08E50F">
            <w:pPr>
              <w:adjustRightInd w:val="0"/>
              <w:snapToGrid w:val="0"/>
              <w:rPr>
                <w:rFonts w:ascii="宋体" w:hAnsi="宋体" w:cs="宋体"/>
                <w:szCs w:val="21"/>
                <w:highlight w:val="none"/>
              </w:rPr>
            </w:pPr>
          </w:p>
        </w:tc>
        <w:tc>
          <w:tcPr>
            <w:tcW w:w="1396" w:type="dxa"/>
          </w:tcPr>
          <w:p w14:paraId="19483EE7">
            <w:pPr>
              <w:adjustRightInd w:val="0"/>
              <w:snapToGrid w:val="0"/>
              <w:rPr>
                <w:rFonts w:ascii="宋体" w:hAnsi="宋体" w:cs="宋体"/>
                <w:szCs w:val="21"/>
                <w:highlight w:val="none"/>
              </w:rPr>
            </w:pPr>
          </w:p>
        </w:tc>
        <w:tc>
          <w:tcPr>
            <w:tcW w:w="1397" w:type="dxa"/>
          </w:tcPr>
          <w:p w14:paraId="03A1DE37">
            <w:pPr>
              <w:adjustRightInd w:val="0"/>
              <w:snapToGrid w:val="0"/>
              <w:rPr>
                <w:rFonts w:ascii="宋体" w:hAnsi="宋体" w:cs="宋体"/>
                <w:szCs w:val="21"/>
                <w:highlight w:val="none"/>
              </w:rPr>
            </w:pPr>
          </w:p>
        </w:tc>
        <w:tc>
          <w:tcPr>
            <w:tcW w:w="1397" w:type="dxa"/>
          </w:tcPr>
          <w:p w14:paraId="73D6A397">
            <w:pPr>
              <w:adjustRightInd w:val="0"/>
              <w:snapToGrid w:val="0"/>
              <w:rPr>
                <w:rFonts w:ascii="宋体" w:hAnsi="宋体" w:cs="宋体"/>
                <w:szCs w:val="21"/>
                <w:highlight w:val="none"/>
              </w:rPr>
            </w:pPr>
          </w:p>
        </w:tc>
      </w:tr>
      <w:tr w14:paraId="7061C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vAlign w:val="center"/>
          </w:tcPr>
          <w:p w14:paraId="48FCDB06">
            <w:pPr>
              <w:adjustRightInd w:val="0"/>
              <w:snapToGrid w:val="0"/>
              <w:jc w:val="center"/>
              <w:rPr>
                <w:rFonts w:ascii="宋体" w:hAnsi="宋体" w:cs="宋体"/>
                <w:szCs w:val="21"/>
                <w:highlight w:val="none"/>
              </w:rPr>
            </w:pPr>
            <w:r>
              <w:rPr>
                <w:rFonts w:hint="eastAsia" w:ascii="宋体" w:hAnsi="宋体" w:cs="宋体"/>
                <w:szCs w:val="21"/>
                <w:highlight w:val="none"/>
              </w:rPr>
              <w:t>8</w:t>
            </w:r>
          </w:p>
        </w:tc>
        <w:tc>
          <w:tcPr>
            <w:tcW w:w="6102" w:type="dxa"/>
            <w:vAlign w:val="center"/>
          </w:tcPr>
          <w:p w14:paraId="276B59BC">
            <w:pPr>
              <w:adjustRightInd w:val="0"/>
              <w:snapToGrid w:val="0"/>
              <w:spacing w:before="93" w:beforeLines="30" w:after="93" w:afterLines="30"/>
              <w:rPr>
                <w:rFonts w:ascii="宋体" w:hAnsi="宋体" w:cs="宋体"/>
                <w:szCs w:val="21"/>
                <w:highlight w:val="none"/>
              </w:rPr>
            </w:pPr>
            <w:r>
              <w:rPr>
                <w:rFonts w:hint="eastAsia" w:ascii="宋体" w:hAnsi="宋体" w:cs="宋体"/>
                <w:szCs w:val="21"/>
                <w:highlight w:val="none"/>
              </w:rPr>
              <w:t>无《参与编制经济标投标文件人员名单》的；</w:t>
            </w:r>
          </w:p>
        </w:tc>
        <w:tc>
          <w:tcPr>
            <w:tcW w:w="1397" w:type="dxa"/>
          </w:tcPr>
          <w:p w14:paraId="5C5E51FE">
            <w:pPr>
              <w:adjustRightInd w:val="0"/>
              <w:snapToGrid w:val="0"/>
              <w:rPr>
                <w:rFonts w:ascii="宋体" w:hAnsi="宋体" w:cs="宋体"/>
                <w:szCs w:val="21"/>
                <w:highlight w:val="none"/>
              </w:rPr>
            </w:pPr>
          </w:p>
        </w:tc>
        <w:tc>
          <w:tcPr>
            <w:tcW w:w="1397" w:type="dxa"/>
          </w:tcPr>
          <w:p w14:paraId="297C6F2B">
            <w:pPr>
              <w:adjustRightInd w:val="0"/>
              <w:snapToGrid w:val="0"/>
              <w:rPr>
                <w:rFonts w:ascii="宋体" w:hAnsi="宋体" w:cs="宋体"/>
                <w:szCs w:val="21"/>
                <w:highlight w:val="none"/>
              </w:rPr>
            </w:pPr>
          </w:p>
        </w:tc>
        <w:tc>
          <w:tcPr>
            <w:tcW w:w="1397" w:type="dxa"/>
          </w:tcPr>
          <w:p w14:paraId="25C17BB2">
            <w:pPr>
              <w:adjustRightInd w:val="0"/>
              <w:snapToGrid w:val="0"/>
              <w:rPr>
                <w:rFonts w:ascii="宋体" w:hAnsi="宋体" w:cs="宋体"/>
                <w:szCs w:val="21"/>
                <w:highlight w:val="none"/>
              </w:rPr>
            </w:pPr>
          </w:p>
        </w:tc>
        <w:tc>
          <w:tcPr>
            <w:tcW w:w="1396" w:type="dxa"/>
          </w:tcPr>
          <w:p w14:paraId="0AB3228D">
            <w:pPr>
              <w:adjustRightInd w:val="0"/>
              <w:snapToGrid w:val="0"/>
              <w:rPr>
                <w:rFonts w:ascii="宋体" w:hAnsi="宋体" w:cs="宋体"/>
                <w:szCs w:val="21"/>
                <w:highlight w:val="none"/>
              </w:rPr>
            </w:pPr>
          </w:p>
        </w:tc>
        <w:tc>
          <w:tcPr>
            <w:tcW w:w="1397" w:type="dxa"/>
          </w:tcPr>
          <w:p w14:paraId="15412842">
            <w:pPr>
              <w:adjustRightInd w:val="0"/>
              <w:snapToGrid w:val="0"/>
              <w:rPr>
                <w:rFonts w:ascii="宋体" w:hAnsi="宋体" w:cs="宋体"/>
                <w:szCs w:val="21"/>
                <w:highlight w:val="none"/>
              </w:rPr>
            </w:pPr>
          </w:p>
        </w:tc>
        <w:tc>
          <w:tcPr>
            <w:tcW w:w="1397" w:type="dxa"/>
          </w:tcPr>
          <w:p w14:paraId="7FB225D1">
            <w:pPr>
              <w:adjustRightInd w:val="0"/>
              <w:snapToGrid w:val="0"/>
              <w:rPr>
                <w:rFonts w:ascii="宋体" w:hAnsi="宋体" w:cs="宋体"/>
                <w:szCs w:val="21"/>
                <w:highlight w:val="none"/>
              </w:rPr>
            </w:pPr>
          </w:p>
        </w:tc>
      </w:tr>
      <w:tr w14:paraId="02A7D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vAlign w:val="center"/>
          </w:tcPr>
          <w:p w14:paraId="72D50BBB">
            <w:pPr>
              <w:adjustRightInd w:val="0"/>
              <w:snapToGrid w:val="0"/>
              <w:jc w:val="center"/>
              <w:rPr>
                <w:rFonts w:ascii="宋体" w:hAnsi="宋体" w:cs="宋体"/>
                <w:szCs w:val="21"/>
                <w:highlight w:val="none"/>
              </w:rPr>
            </w:pPr>
            <w:r>
              <w:rPr>
                <w:rFonts w:hint="eastAsia" w:ascii="宋体" w:hAnsi="宋体" w:cs="宋体"/>
                <w:szCs w:val="21"/>
                <w:highlight w:val="none"/>
              </w:rPr>
              <w:t>9</w:t>
            </w:r>
          </w:p>
        </w:tc>
        <w:tc>
          <w:tcPr>
            <w:tcW w:w="6102" w:type="dxa"/>
            <w:vAlign w:val="center"/>
          </w:tcPr>
          <w:p w14:paraId="722FFA0B">
            <w:pPr>
              <w:adjustRightInd w:val="0"/>
              <w:snapToGrid w:val="0"/>
              <w:spacing w:before="93" w:beforeLines="30" w:after="93" w:afterLines="30"/>
              <w:rPr>
                <w:rFonts w:ascii="宋体" w:hAnsi="宋体" w:cs="宋体"/>
                <w:szCs w:val="21"/>
                <w:highlight w:val="none"/>
              </w:rPr>
            </w:pPr>
            <w:r>
              <w:rPr>
                <w:rFonts w:hint="eastAsia" w:ascii="宋体" w:hAnsi="宋体" w:cs="宋体"/>
                <w:szCs w:val="21"/>
                <w:highlight w:val="none"/>
              </w:rPr>
              <w:t>无《对投标文件编制的承诺》</w:t>
            </w:r>
          </w:p>
        </w:tc>
        <w:tc>
          <w:tcPr>
            <w:tcW w:w="1397" w:type="dxa"/>
          </w:tcPr>
          <w:p w14:paraId="3598749A">
            <w:pPr>
              <w:adjustRightInd w:val="0"/>
              <w:snapToGrid w:val="0"/>
              <w:rPr>
                <w:rFonts w:ascii="宋体" w:hAnsi="宋体" w:cs="宋体"/>
                <w:szCs w:val="21"/>
                <w:highlight w:val="none"/>
              </w:rPr>
            </w:pPr>
          </w:p>
        </w:tc>
        <w:tc>
          <w:tcPr>
            <w:tcW w:w="1397" w:type="dxa"/>
          </w:tcPr>
          <w:p w14:paraId="34BE147C">
            <w:pPr>
              <w:adjustRightInd w:val="0"/>
              <w:snapToGrid w:val="0"/>
              <w:rPr>
                <w:rFonts w:ascii="宋体" w:hAnsi="宋体" w:cs="宋体"/>
                <w:szCs w:val="21"/>
                <w:highlight w:val="none"/>
              </w:rPr>
            </w:pPr>
          </w:p>
        </w:tc>
        <w:tc>
          <w:tcPr>
            <w:tcW w:w="1397" w:type="dxa"/>
          </w:tcPr>
          <w:p w14:paraId="7B249908">
            <w:pPr>
              <w:adjustRightInd w:val="0"/>
              <w:snapToGrid w:val="0"/>
              <w:rPr>
                <w:rFonts w:ascii="宋体" w:hAnsi="宋体" w:cs="宋体"/>
                <w:szCs w:val="21"/>
                <w:highlight w:val="none"/>
              </w:rPr>
            </w:pPr>
          </w:p>
        </w:tc>
        <w:tc>
          <w:tcPr>
            <w:tcW w:w="1396" w:type="dxa"/>
          </w:tcPr>
          <w:p w14:paraId="460FCCC1">
            <w:pPr>
              <w:adjustRightInd w:val="0"/>
              <w:snapToGrid w:val="0"/>
              <w:rPr>
                <w:rFonts w:ascii="宋体" w:hAnsi="宋体" w:cs="宋体"/>
                <w:szCs w:val="21"/>
                <w:highlight w:val="none"/>
              </w:rPr>
            </w:pPr>
          </w:p>
        </w:tc>
        <w:tc>
          <w:tcPr>
            <w:tcW w:w="1397" w:type="dxa"/>
          </w:tcPr>
          <w:p w14:paraId="672EE3E6">
            <w:pPr>
              <w:adjustRightInd w:val="0"/>
              <w:snapToGrid w:val="0"/>
              <w:rPr>
                <w:rFonts w:ascii="宋体" w:hAnsi="宋体" w:cs="宋体"/>
                <w:szCs w:val="21"/>
                <w:highlight w:val="none"/>
              </w:rPr>
            </w:pPr>
          </w:p>
        </w:tc>
        <w:tc>
          <w:tcPr>
            <w:tcW w:w="1397" w:type="dxa"/>
          </w:tcPr>
          <w:p w14:paraId="0CE9DBF4">
            <w:pPr>
              <w:adjustRightInd w:val="0"/>
              <w:snapToGrid w:val="0"/>
              <w:rPr>
                <w:rFonts w:ascii="宋体" w:hAnsi="宋体" w:cs="宋体"/>
                <w:szCs w:val="21"/>
                <w:highlight w:val="none"/>
              </w:rPr>
            </w:pPr>
          </w:p>
        </w:tc>
      </w:tr>
      <w:tr w14:paraId="1A58C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vAlign w:val="center"/>
          </w:tcPr>
          <w:p w14:paraId="7C7A6AA2">
            <w:pPr>
              <w:adjustRightInd w:val="0"/>
              <w:snapToGrid w:val="0"/>
              <w:jc w:val="center"/>
              <w:rPr>
                <w:rFonts w:ascii="宋体" w:hAnsi="宋体" w:cs="宋体"/>
                <w:szCs w:val="21"/>
                <w:highlight w:val="none"/>
              </w:rPr>
            </w:pPr>
            <w:r>
              <w:rPr>
                <w:rFonts w:hint="eastAsia" w:ascii="宋体" w:hAnsi="宋体" w:cs="宋体"/>
                <w:szCs w:val="21"/>
                <w:highlight w:val="none"/>
              </w:rPr>
              <w:t>10</w:t>
            </w:r>
          </w:p>
        </w:tc>
        <w:tc>
          <w:tcPr>
            <w:tcW w:w="6102" w:type="dxa"/>
            <w:vAlign w:val="center"/>
          </w:tcPr>
          <w:p w14:paraId="7F59D27E">
            <w:pPr>
              <w:adjustRightInd w:val="0"/>
              <w:snapToGrid w:val="0"/>
              <w:spacing w:before="93" w:beforeLines="30" w:after="93" w:afterLines="30"/>
              <w:rPr>
                <w:rFonts w:ascii="宋体" w:hAnsi="宋体" w:cs="宋体"/>
                <w:szCs w:val="21"/>
                <w:highlight w:val="none"/>
              </w:rPr>
            </w:pPr>
            <w:r>
              <w:rPr>
                <w:rFonts w:hint="eastAsia" w:ascii="宋体" w:hAnsi="宋体"/>
                <w:szCs w:val="21"/>
                <w:highlight w:val="none"/>
              </w:rPr>
              <w:t>投标人与本项目其他投标人的投标文件工程量清单编制机器硬件信息一致的（以</w:t>
            </w:r>
            <w:r>
              <w:rPr>
                <w:rFonts w:hint="eastAsia" w:ascii="宋体" w:hAnsi="宋体" w:cs="宋体"/>
                <w:spacing w:val="-4"/>
                <w:szCs w:val="21"/>
                <w:highlight w:val="none"/>
                <w:u w:val="single"/>
              </w:rPr>
              <w:t>广州公共资源交易中心</w:t>
            </w:r>
            <w:r>
              <w:rPr>
                <w:rFonts w:hint="eastAsia" w:ascii="宋体" w:hAnsi="宋体"/>
                <w:szCs w:val="21"/>
                <w:highlight w:val="none"/>
              </w:rPr>
              <w:t>交易平台评标系统的检索信息为准）</w:t>
            </w:r>
          </w:p>
        </w:tc>
        <w:tc>
          <w:tcPr>
            <w:tcW w:w="1397" w:type="dxa"/>
          </w:tcPr>
          <w:p w14:paraId="33ED3677">
            <w:pPr>
              <w:adjustRightInd w:val="0"/>
              <w:snapToGrid w:val="0"/>
              <w:rPr>
                <w:rFonts w:ascii="宋体" w:hAnsi="宋体" w:cs="宋体"/>
                <w:szCs w:val="21"/>
                <w:highlight w:val="none"/>
              </w:rPr>
            </w:pPr>
          </w:p>
        </w:tc>
        <w:tc>
          <w:tcPr>
            <w:tcW w:w="1397" w:type="dxa"/>
          </w:tcPr>
          <w:p w14:paraId="2E4F5576">
            <w:pPr>
              <w:adjustRightInd w:val="0"/>
              <w:snapToGrid w:val="0"/>
              <w:rPr>
                <w:rFonts w:ascii="宋体" w:hAnsi="宋体" w:cs="宋体"/>
                <w:szCs w:val="21"/>
                <w:highlight w:val="none"/>
              </w:rPr>
            </w:pPr>
          </w:p>
        </w:tc>
        <w:tc>
          <w:tcPr>
            <w:tcW w:w="1397" w:type="dxa"/>
          </w:tcPr>
          <w:p w14:paraId="348E6EBA">
            <w:pPr>
              <w:adjustRightInd w:val="0"/>
              <w:snapToGrid w:val="0"/>
              <w:rPr>
                <w:rFonts w:ascii="宋体" w:hAnsi="宋体" w:cs="宋体"/>
                <w:szCs w:val="21"/>
                <w:highlight w:val="none"/>
              </w:rPr>
            </w:pPr>
          </w:p>
        </w:tc>
        <w:tc>
          <w:tcPr>
            <w:tcW w:w="1396" w:type="dxa"/>
          </w:tcPr>
          <w:p w14:paraId="573AADC3">
            <w:pPr>
              <w:adjustRightInd w:val="0"/>
              <w:snapToGrid w:val="0"/>
              <w:rPr>
                <w:rFonts w:ascii="宋体" w:hAnsi="宋体" w:cs="宋体"/>
                <w:szCs w:val="21"/>
                <w:highlight w:val="none"/>
              </w:rPr>
            </w:pPr>
          </w:p>
        </w:tc>
        <w:tc>
          <w:tcPr>
            <w:tcW w:w="1397" w:type="dxa"/>
          </w:tcPr>
          <w:p w14:paraId="0128E3AA">
            <w:pPr>
              <w:adjustRightInd w:val="0"/>
              <w:snapToGrid w:val="0"/>
              <w:rPr>
                <w:rFonts w:ascii="宋体" w:hAnsi="宋体" w:cs="宋体"/>
                <w:szCs w:val="21"/>
                <w:highlight w:val="none"/>
              </w:rPr>
            </w:pPr>
          </w:p>
        </w:tc>
        <w:tc>
          <w:tcPr>
            <w:tcW w:w="1397" w:type="dxa"/>
          </w:tcPr>
          <w:p w14:paraId="18B2B1B9">
            <w:pPr>
              <w:adjustRightInd w:val="0"/>
              <w:snapToGrid w:val="0"/>
              <w:rPr>
                <w:rFonts w:ascii="宋体" w:hAnsi="宋体" w:cs="宋体"/>
                <w:szCs w:val="21"/>
                <w:highlight w:val="none"/>
              </w:rPr>
            </w:pPr>
          </w:p>
        </w:tc>
      </w:tr>
    </w:tbl>
    <w:p w14:paraId="5B9E4BCD">
      <w:pPr>
        <w:adjustRightInd w:val="0"/>
        <w:snapToGrid w:val="0"/>
        <w:ind w:firstLine="459"/>
        <w:rPr>
          <w:rFonts w:ascii="宋体" w:hAnsi="宋体" w:cs="宋体"/>
          <w:szCs w:val="21"/>
          <w:highlight w:val="none"/>
        </w:rPr>
      </w:pPr>
      <w:r>
        <w:rPr>
          <w:rFonts w:hint="eastAsia" w:ascii="宋体" w:hAnsi="宋体" w:cs="宋体"/>
          <w:szCs w:val="21"/>
          <w:highlight w:val="none"/>
        </w:rPr>
        <w:t>注：1.本表使用GZZB2018-3招标文件范本，与范本内容不同之处均以下划线标明。</w:t>
      </w:r>
    </w:p>
    <w:p w14:paraId="62CEF16B">
      <w:pPr>
        <w:adjustRightInd w:val="0"/>
        <w:snapToGrid w:val="0"/>
        <w:ind w:firstLine="459"/>
        <w:rPr>
          <w:rFonts w:ascii="宋体" w:hAnsi="宋体" w:cs="宋体"/>
          <w:szCs w:val="21"/>
          <w:highlight w:val="none"/>
        </w:rPr>
      </w:pPr>
      <w:r>
        <w:rPr>
          <w:rFonts w:hint="eastAsia" w:ascii="宋体" w:hAnsi="宋体" w:cs="宋体"/>
          <w:szCs w:val="21"/>
          <w:highlight w:val="none"/>
        </w:rPr>
        <w:t>2.凡出现以上任何一项情形，结论均为无效，否则就为有效。</w:t>
      </w:r>
    </w:p>
    <w:p w14:paraId="38107448">
      <w:pPr>
        <w:adjustRightInd w:val="0"/>
        <w:snapToGrid w:val="0"/>
        <w:ind w:firstLine="459"/>
        <w:rPr>
          <w:rFonts w:ascii="宋体" w:hAnsi="宋体" w:cs="宋体"/>
          <w:szCs w:val="21"/>
          <w:highlight w:val="none"/>
        </w:rPr>
      </w:pPr>
      <w:r>
        <w:rPr>
          <w:rFonts w:hint="eastAsia" w:ascii="宋体" w:hAnsi="宋体" w:cs="宋体"/>
          <w:szCs w:val="21"/>
          <w:highlight w:val="none"/>
        </w:rPr>
        <w:t>3.如对本表中某种情形的评审意见不一致时，以评标委员会过半数成员的意见作为评标委员会对该情形的认定结论。</w:t>
      </w:r>
    </w:p>
    <w:p w14:paraId="6A49C2E6">
      <w:pPr>
        <w:ind w:firstLine="458"/>
        <w:rPr>
          <w:rFonts w:ascii="宋体" w:hAnsi="宋体"/>
          <w:szCs w:val="21"/>
          <w:highlight w:val="none"/>
        </w:rPr>
      </w:pPr>
      <w:r>
        <w:rPr>
          <w:rFonts w:hint="eastAsia" w:ascii="宋体" w:hAnsi="宋体"/>
          <w:szCs w:val="21"/>
          <w:highlight w:val="none"/>
        </w:rPr>
        <w:t>4</w:t>
      </w:r>
      <w:r>
        <w:rPr>
          <w:rFonts w:ascii="宋体" w:hAnsi="宋体"/>
          <w:szCs w:val="21"/>
          <w:highlight w:val="none"/>
        </w:rPr>
        <w:t>.</w:t>
      </w:r>
      <w:r>
        <w:rPr>
          <w:rFonts w:hint="eastAsia" w:ascii="宋体" w:hAnsi="宋体"/>
          <w:szCs w:val="21"/>
          <w:highlight w:val="none"/>
        </w:rPr>
        <w:t>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2AC6DC1B">
      <w:pPr>
        <w:pStyle w:val="49"/>
        <w:rPr>
          <w:highlight w:val="none"/>
        </w:rPr>
      </w:pPr>
    </w:p>
    <w:p w14:paraId="29F6B686">
      <w:pPr>
        <w:rPr>
          <w:rFonts w:ascii="宋体" w:hAnsi="宋体"/>
          <w:color w:val="000000"/>
          <w:szCs w:val="21"/>
          <w:highlight w:val="none"/>
        </w:rPr>
      </w:pPr>
      <w:r>
        <w:rPr>
          <w:rFonts w:hint="eastAsia" w:ascii="宋体" w:hAnsi="宋体" w:cs="宋体"/>
          <w:szCs w:val="21"/>
          <w:highlight w:val="none"/>
        </w:rPr>
        <w:t>评委签名：</w:t>
      </w:r>
      <w:r>
        <w:rPr>
          <w:rFonts w:hint="eastAsia" w:ascii="宋体" w:hAnsi="宋体"/>
          <w:color w:val="000000"/>
          <w:szCs w:val="21"/>
          <w:highlight w:val="none"/>
        </w:rPr>
        <w:t xml:space="preserve">                                                         日期：</w:t>
      </w:r>
    </w:p>
    <w:p w14:paraId="16D7A718">
      <w:pPr>
        <w:pStyle w:val="49"/>
        <w:ind w:firstLine="458"/>
        <w:rPr>
          <w:rFonts w:ascii="宋体" w:hAnsi="宋体"/>
          <w:color w:val="000000"/>
          <w:szCs w:val="21"/>
          <w:highlight w:val="none"/>
        </w:rPr>
        <w:sectPr>
          <w:endnotePr>
            <w:numFmt w:val="decimal"/>
          </w:endnotePr>
          <w:pgSz w:w="16838" w:h="11906" w:orient="landscape"/>
          <w:pgMar w:top="1418" w:right="1247" w:bottom="1248" w:left="1134" w:header="851" w:footer="907" w:gutter="0"/>
          <w:cols w:space="720" w:num="1"/>
          <w:titlePg/>
          <w:docGrid w:type="linesAndChars" w:linePitch="312" w:charSpace="0"/>
        </w:sectPr>
      </w:pPr>
    </w:p>
    <w:p w14:paraId="3AAEF9CA">
      <w:pPr>
        <w:rPr>
          <w:rFonts w:ascii="宋体" w:hAnsi="宋体" w:cs="宋体"/>
          <w:szCs w:val="21"/>
          <w:highlight w:val="none"/>
        </w:rPr>
      </w:pPr>
      <w:bookmarkStart w:id="47" w:name="_Hlk60235319"/>
      <w:r>
        <w:rPr>
          <w:rFonts w:hint="eastAsia" w:ascii="宋体" w:hAnsi="宋体" w:cs="宋体"/>
          <w:szCs w:val="21"/>
          <w:highlight w:val="none"/>
        </w:rPr>
        <w:t>附表四</w:t>
      </w:r>
    </w:p>
    <w:p w14:paraId="65B19A84">
      <w:pPr>
        <w:adjustRightInd w:val="0"/>
        <w:snapToGrid w:val="0"/>
        <w:jc w:val="center"/>
        <w:rPr>
          <w:rFonts w:ascii="宋体"/>
          <w:b/>
          <w:sz w:val="36"/>
          <w:szCs w:val="36"/>
          <w:highlight w:val="none"/>
        </w:rPr>
      </w:pPr>
      <w:r>
        <w:rPr>
          <w:rFonts w:hint="eastAsia" w:ascii="宋体"/>
          <w:b/>
          <w:sz w:val="36"/>
          <w:szCs w:val="36"/>
          <w:highlight w:val="none"/>
        </w:rPr>
        <w:t>技术标详细审查评分表</w:t>
      </w:r>
    </w:p>
    <w:tbl>
      <w:tblPr>
        <w:tblStyle w:val="51"/>
        <w:tblW w:w="5000" w:type="pct"/>
        <w:jc w:val="center"/>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411"/>
        <w:gridCol w:w="559"/>
        <w:gridCol w:w="11377"/>
      </w:tblGrid>
      <w:tr w14:paraId="64E7FDFD">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blHeader/>
          <w:jc w:val="center"/>
        </w:trPr>
        <w:tc>
          <w:tcPr>
            <w:tcW w:w="1323" w:type="dxa"/>
            <w:tcBorders>
              <w:top w:val="single" w:color="auto" w:sz="8" w:space="0"/>
              <w:left w:val="single" w:color="auto" w:sz="8" w:space="0"/>
              <w:bottom w:val="single" w:color="auto" w:sz="4" w:space="0"/>
              <w:right w:val="single" w:color="auto" w:sz="4" w:space="0"/>
            </w:tcBorders>
            <w:vAlign w:val="center"/>
          </w:tcPr>
          <w:p w14:paraId="69819583">
            <w:pPr>
              <w:widowControl/>
              <w:adjustRightInd w:val="0"/>
              <w:snapToGrid w:val="0"/>
              <w:jc w:val="center"/>
              <w:rPr>
                <w:rFonts w:cs="宋体"/>
                <w:b/>
                <w:bCs/>
                <w:szCs w:val="21"/>
                <w:highlight w:val="none"/>
              </w:rPr>
            </w:pPr>
            <w:r>
              <w:rPr>
                <w:rFonts w:hint="eastAsia" w:cs="宋体"/>
                <w:b/>
                <w:bCs/>
                <w:szCs w:val="21"/>
                <w:highlight w:val="none"/>
              </w:rPr>
              <w:t>评分项目</w:t>
            </w:r>
          </w:p>
        </w:tc>
        <w:tc>
          <w:tcPr>
            <w:tcW w:w="1409" w:type="dxa"/>
            <w:tcBorders>
              <w:top w:val="single" w:color="auto" w:sz="8" w:space="0"/>
              <w:left w:val="single" w:color="auto" w:sz="4" w:space="0"/>
              <w:bottom w:val="single" w:color="auto" w:sz="4" w:space="0"/>
              <w:right w:val="single" w:color="auto" w:sz="4" w:space="0"/>
            </w:tcBorders>
            <w:vAlign w:val="center"/>
          </w:tcPr>
          <w:p w14:paraId="2B51C172">
            <w:pPr>
              <w:widowControl/>
              <w:adjustRightInd w:val="0"/>
              <w:snapToGrid w:val="0"/>
              <w:jc w:val="center"/>
              <w:rPr>
                <w:rFonts w:cs="宋体"/>
                <w:b/>
                <w:bCs/>
                <w:szCs w:val="21"/>
                <w:highlight w:val="none"/>
              </w:rPr>
            </w:pPr>
            <w:r>
              <w:rPr>
                <w:rFonts w:hint="eastAsia" w:cs="宋体"/>
                <w:b/>
                <w:bCs/>
                <w:szCs w:val="21"/>
                <w:highlight w:val="none"/>
              </w:rPr>
              <w:t>评分内容</w:t>
            </w:r>
          </w:p>
        </w:tc>
        <w:tc>
          <w:tcPr>
            <w:tcW w:w="555" w:type="dxa"/>
            <w:tcBorders>
              <w:top w:val="single" w:color="auto" w:sz="8" w:space="0"/>
              <w:left w:val="single" w:color="auto" w:sz="4" w:space="0"/>
              <w:bottom w:val="single" w:color="auto" w:sz="4" w:space="0"/>
              <w:right w:val="single" w:color="auto" w:sz="4" w:space="0"/>
            </w:tcBorders>
            <w:vAlign w:val="center"/>
          </w:tcPr>
          <w:p w14:paraId="7A76F9BE">
            <w:pPr>
              <w:widowControl/>
              <w:adjustRightInd w:val="0"/>
              <w:snapToGrid w:val="0"/>
              <w:jc w:val="center"/>
              <w:rPr>
                <w:rFonts w:cs="宋体"/>
                <w:b/>
                <w:bCs/>
                <w:szCs w:val="21"/>
                <w:highlight w:val="none"/>
              </w:rPr>
            </w:pPr>
            <w:r>
              <w:rPr>
                <w:rFonts w:hint="eastAsia" w:cs="宋体"/>
                <w:b/>
                <w:bCs/>
                <w:szCs w:val="21"/>
                <w:highlight w:val="none"/>
              </w:rPr>
              <w:t>分值</w:t>
            </w:r>
          </w:p>
        </w:tc>
        <w:tc>
          <w:tcPr>
            <w:tcW w:w="11386" w:type="dxa"/>
            <w:tcBorders>
              <w:top w:val="single" w:color="auto" w:sz="8" w:space="0"/>
              <w:left w:val="single" w:color="auto" w:sz="4" w:space="0"/>
              <w:bottom w:val="single" w:color="auto" w:sz="4" w:space="0"/>
              <w:right w:val="single" w:color="auto" w:sz="4" w:space="0"/>
            </w:tcBorders>
            <w:vAlign w:val="center"/>
          </w:tcPr>
          <w:p w14:paraId="4157EB3B">
            <w:pPr>
              <w:widowControl/>
              <w:adjustRightInd w:val="0"/>
              <w:snapToGrid w:val="0"/>
              <w:jc w:val="center"/>
              <w:rPr>
                <w:rFonts w:cs="宋体"/>
                <w:b/>
                <w:bCs/>
                <w:szCs w:val="21"/>
                <w:highlight w:val="none"/>
              </w:rPr>
            </w:pPr>
            <w:r>
              <w:rPr>
                <w:rFonts w:hint="eastAsia" w:cs="宋体"/>
                <w:b/>
                <w:bCs/>
                <w:szCs w:val="21"/>
                <w:highlight w:val="none"/>
              </w:rPr>
              <w:t>评审标准</w:t>
            </w:r>
          </w:p>
        </w:tc>
      </w:tr>
      <w:tr w14:paraId="125125A5">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1323" w:type="dxa"/>
            <w:tcBorders>
              <w:left w:val="single" w:color="auto" w:sz="8" w:space="0"/>
              <w:right w:val="single" w:color="auto" w:sz="4" w:space="0"/>
            </w:tcBorders>
            <w:vAlign w:val="center"/>
          </w:tcPr>
          <w:p w14:paraId="3307BEA8">
            <w:pPr>
              <w:adjustRightInd w:val="0"/>
              <w:snapToGrid w:val="0"/>
              <w:jc w:val="center"/>
              <w:rPr>
                <w:rFonts w:cs="宋体"/>
                <w:szCs w:val="21"/>
                <w:highlight w:val="none"/>
              </w:rPr>
            </w:pPr>
            <w:r>
              <w:rPr>
                <w:rFonts w:hint="eastAsia" w:cs="宋体"/>
                <w:szCs w:val="21"/>
                <w:highlight w:val="none"/>
              </w:rPr>
              <w:t>一、项目管理机构配置（70分）</w:t>
            </w:r>
          </w:p>
        </w:tc>
        <w:tc>
          <w:tcPr>
            <w:tcW w:w="1409" w:type="dxa"/>
            <w:tcBorders>
              <w:top w:val="single" w:color="auto" w:sz="4" w:space="0"/>
              <w:left w:val="single" w:color="auto" w:sz="4" w:space="0"/>
              <w:right w:val="single" w:color="auto" w:sz="4" w:space="0"/>
            </w:tcBorders>
            <w:vAlign w:val="center"/>
          </w:tcPr>
          <w:p w14:paraId="4B2A1483">
            <w:pPr>
              <w:jc w:val="center"/>
              <w:rPr>
                <w:rFonts w:cs="宋体"/>
                <w:kern w:val="0"/>
                <w:szCs w:val="21"/>
                <w:highlight w:val="none"/>
              </w:rPr>
            </w:pPr>
            <w:r>
              <w:rPr>
                <w:rFonts w:hint="eastAsia" w:cs="宋体"/>
                <w:szCs w:val="21"/>
                <w:highlight w:val="none"/>
              </w:rPr>
              <w:t>项目管理机构配置</w:t>
            </w:r>
          </w:p>
        </w:tc>
        <w:tc>
          <w:tcPr>
            <w:tcW w:w="555" w:type="dxa"/>
            <w:tcBorders>
              <w:top w:val="single" w:color="auto" w:sz="4" w:space="0"/>
              <w:left w:val="single" w:color="auto" w:sz="4" w:space="0"/>
              <w:right w:val="single" w:color="auto" w:sz="4" w:space="0"/>
            </w:tcBorders>
            <w:vAlign w:val="center"/>
          </w:tcPr>
          <w:p w14:paraId="2861CB7E">
            <w:pPr>
              <w:jc w:val="center"/>
              <w:rPr>
                <w:rFonts w:cs="宋体"/>
                <w:kern w:val="0"/>
                <w:szCs w:val="21"/>
                <w:highlight w:val="none"/>
              </w:rPr>
            </w:pPr>
            <w:r>
              <w:rPr>
                <w:rFonts w:hint="eastAsia" w:cs="宋体"/>
                <w:kern w:val="0"/>
                <w:szCs w:val="21"/>
                <w:highlight w:val="none"/>
              </w:rPr>
              <w:t>70</w:t>
            </w:r>
          </w:p>
        </w:tc>
        <w:tc>
          <w:tcPr>
            <w:tcW w:w="11386" w:type="dxa"/>
            <w:tcBorders>
              <w:top w:val="single" w:color="auto" w:sz="4" w:space="0"/>
              <w:left w:val="single" w:color="auto" w:sz="4" w:space="0"/>
              <w:right w:val="single" w:color="auto" w:sz="4" w:space="0"/>
            </w:tcBorders>
            <w:vAlign w:val="center"/>
          </w:tcPr>
          <w:p w14:paraId="4AC87BD0">
            <w:pPr>
              <w:shd w:val="clear" w:color="auto" w:fill="FFFFFF"/>
              <w:snapToGrid w:val="0"/>
              <w:spacing w:line="310" w:lineRule="exact"/>
              <w:rPr>
                <w:rFonts w:cs="宋体"/>
                <w:b/>
                <w:szCs w:val="21"/>
                <w:highlight w:val="none"/>
              </w:rPr>
            </w:pPr>
            <w:r>
              <w:rPr>
                <w:rFonts w:hint="eastAsia" w:cs="宋体"/>
                <w:b/>
                <w:szCs w:val="21"/>
                <w:highlight w:val="none"/>
              </w:rPr>
              <w:t>投标人拟投入本项目人员须</w:t>
            </w:r>
            <w:r>
              <w:rPr>
                <w:rFonts w:hint="eastAsia" w:cs="宋体"/>
                <w:b/>
                <w:bCs/>
                <w:szCs w:val="21"/>
                <w:highlight w:val="none"/>
              </w:rPr>
              <w:t>按照</w:t>
            </w:r>
            <w:r>
              <w:rPr>
                <w:rFonts w:hint="eastAsia" w:cs="宋体"/>
                <w:b/>
                <w:szCs w:val="21"/>
                <w:highlight w:val="none"/>
              </w:rPr>
              <w:t>附表四-1【项目管理部主要人员配备基本要求表】</w:t>
            </w:r>
            <w:r>
              <w:rPr>
                <w:rFonts w:hint="eastAsia" w:cs="宋体"/>
                <w:b/>
                <w:bCs/>
                <w:szCs w:val="21"/>
                <w:highlight w:val="none"/>
              </w:rPr>
              <w:t>配备齐全得10分</w:t>
            </w:r>
            <w:r>
              <w:rPr>
                <w:rFonts w:hint="eastAsia" w:cs="宋体"/>
                <w:b/>
                <w:szCs w:val="21"/>
                <w:highlight w:val="none"/>
              </w:rPr>
              <w:t>，</w:t>
            </w:r>
            <w:r>
              <w:rPr>
                <w:rFonts w:hint="eastAsia" w:cs="宋体"/>
                <w:b/>
                <w:bCs/>
                <w:szCs w:val="21"/>
                <w:highlight w:val="none"/>
              </w:rPr>
              <w:t>若任一岗位不满足，本项得0分</w:t>
            </w:r>
            <w:r>
              <w:rPr>
                <w:rFonts w:hint="eastAsia" w:cs="宋体"/>
                <w:b/>
                <w:bCs/>
                <w:szCs w:val="21"/>
                <w:highlight w:val="none"/>
              </w:rPr>
              <w:t>：</w:t>
            </w:r>
          </w:p>
          <w:p w14:paraId="0842A8A4">
            <w:pPr>
              <w:jc w:val="left"/>
              <w:rPr>
                <w:rFonts w:cs="宋体"/>
                <w:b/>
                <w:bCs/>
                <w:highlight w:val="none"/>
              </w:rPr>
            </w:pPr>
            <w:r>
              <w:rPr>
                <w:rFonts w:hint="eastAsia" w:cs="宋体"/>
                <w:b/>
                <w:bCs/>
                <w:highlight w:val="none"/>
              </w:rPr>
              <w:t>1、技术负责人（10分）：</w:t>
            </w:r>
          </w:p>
          <w:p w14:paraId="004C5966">
            <w:pPr>
              <w:jc w:val="left"/>
              <w:rPr>
                <w:rFonts w:cs="宋体"/>
                <w:kern w:val="0"/>
                <w:szCs w:val="21"/>
                <w:highlight w:val="none"/>
              </w:rPr>
            </w:pPr>
            <w:r>
              <w:rPr>
                <w:rFonts w:hint="eastAsia" w:cs="宋体"/>
                <w:kern w:val="0"/>
                <w:szCs w:val="21"/>
                <w:highlight w:val="none"/>
              </w:rPr>
              <w:t>具有机电或电气相关专业</w:t>
            </w:r>
            <w:r>
              <w:rPr>
                <w:rFonts w:hint="eastAsia" w:cs="宋体"/>
                <w:szCs w:val="21"/>
                <w:highlight w:val="none"/>
              </w:rPr>
              <w:t>中级</w:t>
            </w:r>
            <w:r>
              <w:rPr>
                <w:rFonts w:hint="eastAsia" w:cs="宋体"/>
                <w:kern w:val="0"/>
                <w:szCs w:val="21"/>
                <w:highlight w:val="none"/>
              </w:rPr>
              <w:t>技术职称，得7分；具有机电或电气相关专业高级或以上技术职称，得10分。</w:t>
            </w:r>
          </w:p>
          <w:p w14:paraId="0C0E4BEA">
            <w:pPr>
              <w:numPr>
                <w:ilvl w:val="0"/>
                <w:numId w:val="1"/>
              </w:numPr>
              <w:jc w:val="left"/>
              <w:rPr>
                <w:rFonts w:cs="宋体"/>
                <w:b/>
                <w:bCs/>
                <w:highlight w:val="none"/>
              </w:rPr>
            </w:pPr>
            <w:r>
              <w:rPr>
                <w:rFonts w:hint="eastAsia" w:cs="宋体"/>
                <w:b/>
                <w:bCs/>
                <w:highlight w:val="none"/>
              </w:rPr>
              <w:t>安全负责人（10分）：</w:t>
            </w:r>
          </w:p>
          <w:p w14:paraId="1B8309C8">
            <w:pPr>
              <w:jc w:val="left"/>
              <w:rPr>
                <w:rFonts w:cs="宋体"/>
                <w:kern w:val="0"/>
                <w:szCs w:val="21"/>
                <w:highlight w:val="none"/>
              </w:rPr>
            </w:pPr>
            <w:r>
              <w:rPr>
                <w:rFonts w:hint="eastAsia" w:cs="宋体"/>
                <w:kern w:val="0"/>
                <w:szCs w:val="21"/>
                <w:highlight w:val="none"/>
              </w:rPr>
              <w:t>具有注册安全工程师，得7</w:t>
            </w:r>
            <w:r>
              <w:rPr>
                <w:rFonts w:cs="宋体"/>
                <w:kern w:val="0"/>
                <w:szCs w:val="21"/>
                <w:highlight w:val="none"/>
              </w:rPr>
              <w:t>分；具有工程</w:t>
            </w:r>
            <w:r>
              <w:rPr>
                <w:rFonts w:hint="eastAsia" w:cs="宋体"/>
                <w:kern w:val="0"/>
                <w:szCs w:val="21"/>
                <w:highlight w:val="none"/>
              </w:rPr>
              <w:t>相关</w:t>
            </w:r>
            <w:r>
              <w:rPr>
                <w:rFonts w:cs="宋体"/>
                <w:kern w:val="0"/>
                <w:szCs w:val="21"/>
                <w:highlight w:val="none"/>
              </w:rPr>
              <w:t>专业高级</w:t>
            </w:r>
            <w:r>
              <w:rPr>
                <w:rFonts w:hint="eastAsia" w:cs="宋体"/>
                <w:kern w:val="0"/>
                <w:szCs w:val="21"/>
                <w:highlight w:val="none"/>
              </w:rPr>
              <w:t>或以上技术</w:t>
            </w:r>
            <w:r>
              <w:rPr>
                <w:rFonts w:cs="宋体"/>
                <w:kern w:val="0"/>
                <w:szCs w:val="21"/>
                <w:highlight w:val="none"/>
              </w:rPr>
              <w:t>职称的得</w:t>
            </w:r>
            <w:r>
              <w:rPr>
                <w:rFonts w:hint="eastAsia" w:cs="宋体"/>
                <w:kern w:val="0"/>
                <w:szCs w:val="21"/>
                <w:highlight w:val="none"/>
              </w:rPr>
              <w:t>3</w:t>
            </w:r>
            <w:r>
              <w:rPr>
                <w:rFonts w:cs="宋体"/>
                <w:kern w:val="0"/>
                <w:szCs w:val="21"/>
                <w:highlight w:val="none"/>
              </w:rPr>
              <w:t>分</w:t>
            </w:r>
            <w:r>
              <w:rPr>
                <w:rFonts w:hint="eastAsia" w:cs="宋体"/>
                <w:kern w:val="0"/>
                <w:szCs w:val="21"/>
                <w:highlight w:val="none"/>
              </w:rPr>
              <w:t>；</w:t>
            </w:r>
            <w:r>
              <w:rPr>
                <w:rFonts w:cs="宋体"/>
                <w:kern w:val="0"/>
                <w:szCs w:val="21"/>
                <w:highlight w:val="none"/>
              </w:rPr>
              <w:t>本小项最多得</w:t>
            </w:r>
            <w:r>
              <w:rPr>
                <w:rFonts w:hint="eastAsia" w:cs="宋体"/>
                <w:kern w:val="0"/>
                <w:szCs w:val="21"/>
                <w:highlight w:val="none"/>
              </w:rPr>
              <w:t>10</w:t>
            </w:r>
            <w:r>
              <w:rPr>
                <w:rFonts w:cs="宋体"/>
                <w:kern w:val="0"/>
                <w:szCs w:val="21"/>
                <w:highlight w:val="none"/>
              </w:rPr>
              <w:t>分</w:t>
            </w:r>
            <w:r>
              <w:rPr>
                <w:rFonts w:hint="eastAsia" w:cs="宋体"/>
                <w:kern w:val="0"/>
                <w:szCs w:val="21"/>
                <w:highlight w:val="none"/>
              </w:rPr>
              <w:t>。</w:t>
            </w:r>
          </w:p>
          <w:p w14:paraId="0D1B013C">
            <w:pPr>
              <w:numPr>
                <w:ilvl w:val="0"/>
                <w:numId w:val="1"/>
              </w:numPr>
              <w:jc w:val="left"/>
              <w:rPr>
                <w:rFonts w:cs="宋体"/>
                <w:b/>
                <w:bCs/>
                <w:highlight w:val="none"/>
              </w:rPr>
            </w:pPr>
            <w:r>
              <w:rPr>
                <w:rFonts w:hint="eastAsia" w:cs="宋体"/>
                <w:b/>
                <w:bCs/>
                <w:highlight w:val="none"/>
              </w:rPr>
              <w:t>造价负责人（10分）：</w:t>
            </w:r>
          </w:p>
          <w:p w14:paraId="600B1F3E">
            <w:pPr>
              <w:jc w:val="left"/>
              <w:rPr>
                <w:rFonts w:cs="宋体"/>
                <w:b/>
                <w:bCs/>
                <w:highlight w:val="none"/>
              </w:rPr>
            </w:pPr>
            <w:r>
              <w:rPr>
                <w:rFonts w:ascii="宋体" w:hAnsi="宋体" w:cs="宋体"/>
                <w:kern w:val="0"/>
                <w:szCs w:val="21"/>
                <w:highlight w:val="none"/>
              </w:rPr>
              <w:t>具有</w:t>
            </w:r>
            <w:r>
              <w:rPr>
                <w:rFonts w:hint="eastAsia" w:ascii="宋体" w:hAnsi="宋体" w:cs="宋体"/>
                <w:kern w:val="0"/>
                <w:szCs w:val="21"/>
                <w:highlight w:val="none"/>
              </w:rPr>
              <w:t>工程</w:t>
            </w:r>
            <w:r>
              <w:rPr>
                <w:rFonts w:ascii="宋体" w:hAnsi="宋体" w:cs="宋体"/>
                <w:kern w:val="0"/>
                <w:szCs w:val="21"/>
                <w:highlight w:val="none"/>
              </w:rPr>
              <w:t>造价</w:t>
            </w:r>
            <w:r>
              <w:rPr>
                <w:rFonts w:hint="eastAsia" w:ascii="宋体" w:hAnsi="宋体" w:cs="宋体"/>
                <w:kern w:val="0"/>
                <w:szCs w:val="21"/>
                <w:highlight w:val="none"/>
              </w:rPr>
              <w:t>相关专业中级技术</w:t>
            </w:r>
            <w:r>
              <w:rPr>
                <w:rFonts w:ascii="宋体" w:hAnsi="宋体" w:cs="宋体"/>
                <w:kern w:val="0"/>
                <w:szCs w:val="21"/>
                <w:highlight w:val="none"/>
              </w:rPr>
              <w:t>职称的得</w:t>
            </w:r>
            <w:r>
              <w:rPr>
                <w:rFonts w:hint="eastAsia" w:ascii="宋体" w:hAnsi="宋体" w:cs="宋体"/>
                <w:kern w:val="0"/>
                <w:szCs w:val="21"/>
                <w:highlight w:val="none"/>
              </w:rPr>
              <w:t>7</w:t>
            </w:r>
            <w:r>
              <w:rPr>
                <w:rFonts w:ascii="宋体" w:hAnsi="宋体" w:cs="宋体"/>
                <w:kern w:val="0"/>
                <w:szCs w:val="21"/>
                <w:highlight w:val="none"/>
              </w:rPr>
              <w:t>分</w:t>
            </w:r>
            <w:r>
              <w:rPr>
                <w:rFonts w:hint="eastAsia" w:ascii="宋体" w:hAnsi="宋体" w:cs="宋体"/>
                <w:kern w:val="0"/>
                <w:szCs w:val="21"/>
                <w:highlight w:val="none"/>
              </w:rPr>
              <w:t>，具有工程造价相关专业高级或以上技术职称的得10</w:t>
            </w:r>
            <w:r>
              <w:rPr>
                <w:rFonts w:ascii="宋体" w:hAnsi="宋体" w:cs="宋体"/>
                <w:kern w:val="0"/>
                <w:szCs w:val="21"/>
                <w:highlight w:val="none"/>
              </w:rPr>
              <w:t>分</w:t>
            </w:r>
            <w:r>
              <w:rPr>
                <w:rFonts w:hint="eastAsia" w:ascii="宋体" w:hAnsi="宋体" w:cs="宋体"/>
                <w:kern w:val="0"/>
                <w:szCs w:val="21"/>
                <w:highlight w:val="none"/>
              </w:rPr>
              <w:t>。</w:t>
            </w:r>
          </w:p>
          <w:p w14:paraId="25BA77D0">
            <w:pPr>
              <w:numPr>
                <w:ilvl w:val="0"/>
                <w:numId w:val="1"/>
              </w:numPr>
              <w:jc w:val="left"/>
              <w:rPr>
                <w:rFonts w:cs="宋体"/>
                <w:b/>
                <w:bCs/>
                <w:highlight w:val="none"/>
              </w:rPr>
            </w:pPr>
            <w:r>
              <w:rPr>
                <w:rFonts w:hint="eastAsia" w:cs="宋体"/>
                <w:b/>
                <w:bCs/>
                <w:highlight w:val="none"/>
              </w:rPr>
              <w:t>专业人员（30分）：</w:t>
            </w:r>
          </w:p>
          <w:p w14:paraId="7D93201B">
            <w:pPr>
              <w:jc w:val="left"/>
              <w:rPr>
                <w:highlight w:val="none"/>
              </w:rPr>
            </w:pPr>
            <w:r>
              <w:rPr>
                <w:rFonts w:hint="eastAsia" w:cs="宋体"/>
                <w:kern w:val="0"/>
                <w:szCs w:val="21"/>
                <w:highlight w:val="none"/>
              </w:rPr>
              <w:t>拟投入本项目的各专业人员（除项目负责人、技术负责人、安全负责人、造价负责人外），拟派人员中具备机电或电气、电子、信息管理、网络工程、系统集成等相关专业工程师或以上职称，每人加10分，最多加30分</w:t>
            </w:r>
            <w:r>
              <w:rPr>
                <w:rFonts w:hint="eastAsia"/>
                <w:highlight w:val="none"/>
              </w:rPr>
              <w:t>。</w:t>
            </w:r>
          </w:p>
          <w:p w14:paraId="104398D5">
            <w:pPr>
              <w:jc w:val="left"/>
              <w:rPr>
                <w:rFonts w:cs="宋体"/>
                <w:b/>
                <w:bCs/>
                <w:kern w:val="0"/>
                <w:szCs w:val="21"/>
                <w:highlight w:val="none"/>
              </w:rPr>
            </w:pPr>
          </w:p>
          <w:p w14:paraId="0C4AE1F3">
            <w:pPr>
              <w:jc w:val="left"/>
              <w:rPr>
                <w:rFonts w:cs="宋体"/>
                <w:kern w:val="0"/>
                <w:szCs w:val="21"/>
                <w:highlight w:val="none"/>
              </w:rPr>
            </w:pPr>
            <w:r>
              <w:rPr>
                <w:rFonts w:hint="eastAsia" w:cs="宋体"/>
                <w:b/>
                <w:bCs/>
                <w:kern w:val="0"/>
                <w:szCs w:val="21"/>
                <w:highlight w:val="none"/>
              </w:rPr>
              <w:t>注：</w:t>
            </w:r>
            <w:r>
              <w:rPr>
                <w:rFonts w:hint="eastAsia" w:cs="宋体"/>
                <w:kern w:val="0"/>
                <w:szCs w:val="21"/>
                <w:highlight w:val="none"/>
              </w:rPr>
              <w:t>①上述人员须提供投标截止前一个月（2024年9月)有效社保证明，且须按相应要求提供相关证书，所有资料为扫描件并加盖投标人电子公章；</w:t>
            </w:r>
          </w:p>
          <w:p w14:paraId="2FCACE17">
            <w:pPr>
              <w:ind w:firstLine="420" w:firstLineChars="200"/>
              <w:jc w:val="left"/>
              <w:rPr>
                <w:highlight w:val="none"/>
              </w:rPr>
            </w:pPr>
            <w:r>
              <w:rPr>
                <w:rFonts w:hint="eastAsia" w:cs="宋体"/>
                <w:kern w:val="0"/>
                <w:szCs w:val="21"/>
                <w:highlight w:val="none"/>
              </w:rPr>
              <w:t>②上述人员岗位不能相互兼任。</w:t>
            </w:r>
          </w:p>
        </w:tc>
      </w:tr>
      <w:tr w14:paraId="14995AED">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23" w:type="dxa"/>
            <w:vMerge w:val="restart"/>
            <w:tcBorders>
              <w:top w:val="single" w:color="auto" w:sz="4" w:space="0"/>
              <w:left w:val="single" w:color="auto" w:sz="8" w:space="0"/>
              <w:right w:val="single" w:color="auto" w:sz="4" w:space="0"/>
            </w:tcBorders>
            <w:vAlign w:val="center"/>
          </w:tcPr>
          <w:p w14:paraId="4E1DE3E3">
            <w:pPr>
              <w:adjustRightInd w:val="0"/>
              <w:snapToGrid w:val="0"/>
              <w:jc w:val="center"/>
              <w:rPr>
                <w:rFonts w:cs="宋体"/>
                <w:szCs w:val="21"/>
                <w:highlight w:val="none"/>
              </w:rPr>
            </w:pPr>
            <w:r>
              <w:rPr>
                <w:rFonts w:hint="eastAsia" w:cs="宋体"/>
                <w:szCs w:val="21"/>
                <w:highlight w:val="none"/>
              </w:rPr>
              <w:t>二、企业资信（30分）</w:t>
            </w:r>
          </w:p>
        </w:tc>
        <w:tc>
          <w:tcPr>
            <w:tcW w:w="1409" w:type="dxa"/>
            <w:tcBorders>
              <w:top w:val="single" w:color="auto" w:sz="4" w:space="0"/>
              <w:left w:val="single" w:color="auto" w:sz="4" w:space="0"/>
              <w:right w:val="single" w:color="auto" w:sz="4" w:space="0"/>
            </w:tcBorders>
            <w:vAlign w:val="center"/>
          </w:tcPr>
          <w:p w14:paraId="6BBC571A">
            <w:pPr>
              <w:jc w:val="center"/>
              <w:rPr>
                <w:rFonts w:cs="宋体"/>
                <w:bCs/>
                <w:kern w:val="0"/>
                <w:szCs w:val="21"/>
                <w:highlight w:val="none"/>
              </w:rPr>
            </w:pPr>
            <w:r>
              <w:rPr>
                <w:rFonts w:hint="eastAsia" w:cs="宋体"/>
                <w:kern w:val="0"/>
                <w:szCs w:val="21"/>
                <w:highlight w:val="none"/>
              </w:rPr>
              <w:t>类似工程业绩</w:t>
            </w:r>
          </w:p>
        </w:tc>
        <w:tc>
          <w:tcPr>
            <w:tcW w:w="555" w:type="dxa"/>
            <w:tcBorders>
              <w:top w:val="single" w:color="auto" w:sz="4" w:space="0"/>
              <w:left w:val="single" w:color="auto" w:sz="4" w:space="0"/>
              <w:bottom w:val="single" w:color="auto" w:sz="4" w:space="0"/>
              <w:right w:val="single" w:color="auto" w:sz="4" w:space="0"/>
            </w:tcBorders>
            <w:vAlign w:val="center"/>
          </w:tcPr>
          <w:p w14:paraId="33665FE8">
            <w:pPr>
              <w:jc w:val="center"/>
              <w:rPr>
                <w:rFonts w:cs="宋体"/>
                <w:szCs w:val="21"/>
                <w:highlight w:val="none"/>
              </w:rPr>
            </w:pPr>
            <w:r>
              <w:rPr>
                <w:rFonts w:hint="eastAsia" w:cs="宋体"/>
                <w:kern w:val="0"/>
                <w:szCs w:val="21"/>
                <w:highlight w:val="none"/>
              </w:rPr>
              <w:t>10</w:t>
            </w:r>
          </w:p>
        </w:tc>
        <w:tc>
          <w:tcPr>
            <w:tcW w:w="11386" w:type="dxa"/>
            <w:tcBorders>
              <w:top w:val="single" w:color="auto" w:sz="4" w:space="0"/>
              <w:left w:val="single" w:color="auto" w:sz="4" w:space="0"/>
              <w:bottom w:val="single" w:color="auto" w:sz="4" w:space="0"/>
              <w:right w:val="single" w:color="auto" w:sz="4" w:space="0"/>
            </w:tcBorders>
            <w:vAlign w:val="center"/>
          </w:tcPr>
          <w:p w14:paraId="797A0AA3">
            <w:pPr>
              <w:pStyle w:val="205"/>
              <w:ind w:firstLine="0" w:firstLineChars="0"/>
              <w:jc w:val="left"/>
              <w:rPr>
                <w:rFonts w:ascii="宋体" w:hAnsi="宋体" w:cs="宋体"/>
                <w:kern w:val="0"/>
                <w:szCs w:val="21"/>
                <w:highlight w:val="none"/>
              </w:rPr>
            </w:pPr>
            <w:r>
              <w:rPr>
                <w:rFonts w:hint="eastAsia" w:ascii="宋体" w:hAnsi="宋体" w:cs="宋体"/>
                <w:kern w:val="0"/>
                <w:szCs w:val="21"/>
                <w:highlight w:val="none"/>
              </w:rPr>
              <w:t>投标人自2019年1月1日至今完成过质量合格的工程造价等于或大于3</w:t>
            </w:r>
            <w:r>
              <w:rPr>
                <w:rFonts w:ascii="宋体" w:hAnsi="宋体" w:cs="宋体"/>
                <w:kern w:val="0"/>
                <w:szCs w:val="21"/>
                <w:highlight w:val="none"/>
              </w:rPr>
              <w:t>00</w:t>
            </w:r>
            <w:r>
              <w:rPr>
                <w:rFonts w:hint="eastAsia" w:ascii="宋体" w:hAnsi="宋体" w:cs="宋体"/>
                <w:kern w:val="0"/>
                <w:szCs w:val="21"/>
                <w:highlight w:val="none"/>
              </w:rPr>
              <w:t>万元的电子与智能化工程施工业绩，</w:t>
            </w:r>
          </w:p>
          <w:p w14:paraId="59F71ABB">
            <w:pPr>
              <w:pStyle w:val="205"/>
              <w:ind w:firstLine="0" w:firstLineChars="0"/>
              <w:jc w:val="lef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1）累计完成</w:t>
            </w:r>
            <w:r>
              <w:rPr>
                <w:rFonts w:hint="eastAsia" w:ascii="宋体" w:hAnsi="宋体" w:cs="宋体"/>
                <w:kern w:val="0"/>
                <w:szCs w:val="21"/>
                <w:highlight w:val="none"/>
              </w:rPr>
              <w:t>5</w:t>
            </w:r>
            <w:r>
              <w:rPr>
                <w:rFonts w:ascii="宋体" w:hAnsi="宋体" w:cs="宋体"/>
                <w:kern w:val="0"/>
                <w:szCs w:val="21"/>
                <w:highlight w:val="none"/>
              </w:rPr>
              <w:t>项或以上的，得</w:t>
            </w:r>
            <w:r>
              <w:rPr>
                <w:rFonts w:hint="eastAsia" w:ascii="宋体" w:hAnsi="宋体" w:cs="宋体"/>
                <w:kern w:val="0"/>
                <w:szCs w:val="21"/>
                <w:highlight w:val="none"/>
              </w:rPr>
              <w:t>10</w:t>
            </w:r>
            <w:r>
              <w:rPr>
                <w:rFonts w:ascii="宋体" w:hAnsi="宋体" w:cs="宋体"/>
                <w:kern w:val="0"/>
                <w:szCs w:val="21"/>
                <w:highlight w:val="none"/>
              </w:rPr>
              <w:t>分；</w:t>
            </w:r>
          </w:p>
          <w:p w14:paraId="77C95A29">
            <w:pPr>
              <w:pStyle w:val="205"/>
              <w:ind w:firstLine="0" w:firstLineChars="0"/>
              <w:jc w:val="lef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2）累计完成</w:t>
            </w:r>
            <w:r>
              <w:rPr>
                <w:rFonts w:hint="eastAsia" w:ascii="宋体" w:hAnsi="宋体" w:cs="宋体"/>
                <w:kern w:val="0"/>
                <w:szCs w:val="21"/>
                <w:highlight w:val="none"/>
              </w:rPr>
              <w:t>3</w:t>
            </w:r>
            <w:r>
              <w:rPr>
                <w:rFonts w:ascii="宋体" w:hAnsi="宋体" w:cs="宋体"/>
                <w:kern w:val="0"/>
                <w:szCs w:val="21"/>
                <w:highlight w:val="none"/>
              </w:rPr>
              <w:t>～</w:t>
            </w:r>
            <w:r>
              <w:rPr>
                <w:rFonts w:hint="eastAsia" w:ascii="宋体" w:hAnsi="宋体" w:cs="宋体"/>
                <w:kern w:val="0"/>
                <w:szCs w:val="21"/>
                <w:highlight w:val="none"/>
              </w:rPr>
              <w:t>4</w:t>
            </w:r>
            <w:r>
              <w:rPr>
                <w:rFonts w:ascii="宋体" w:hAnsi="宋体" w:cs="宋体"/>
                <w:kern w:val="0"/>
                <w:szCs w:val="21"/>
                <w:highlight w:val="none"/>
              </w:rPr>
              <w:t>项的，得</w:t>
            </w:r>
            <w:r>
              <w:rPr>
                <w:rFonts w:hint="eastAsia" w:ascii="宋体" w:hAnsi="宋体" w:cs="宋体"/>
                <w:kern w:val="0"/>
                <w:szCs w:val="21"/>
                <w:highlight w:val="none"/>
              </w:rPr>
              <w:t>5</w:t>
            </w:r>
            <w:r>
              <w:rPr>
                <w:rFonts w:ascii="宋体" w:hAnsi="宋体" w:cs="宋体"/>
                <w:kern w:val="0"/>
                <w:szCs w:val="21"/>
                <w:highlight w:val="none"/>
              </w:rPr>
              <w:t>分；</w:t>
            </w:r>
          </w:p>
          <w:p w14:paraId="0294DC1F">
            <w:pPr>
              <w:pStyle w:val="205"/>
              <w:ind w:firstLine="0" w:firstLineChars="0"/>
              <w:jc w:val="lef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3）累计完成</w:t>
            </w:r>
            <w:r>
              <w:rPr>
                <w:rFonts w:hint="eastAsia" w:ascii="宋体" w:hAnsi="宋体" w:cs="宋体"/>
                <w:kern w:val="0"/>
                <w:szCs w:val="21"/>
                <w:highlight w:val="none"/>
              </w:rPr>
              <w:t>1</w:t>
            </w:r>
            <w:r>
              <w:rPr>
                <w:rFonts w:ascii="宋体" w:hAnsi="宋体" w:cs="宋体"/>
                <w:kern w:val="0"/>
                <w:szCs w:val="21"/>
                <w:highlight w:val="none"/>
              </w:rPr>
              <w:t>～</w:t>
            </w:r>
            <w:r>
              <w:rPr>
                <w:rFonts w:hint="eastAsia" w:ascii="宋体" w:hAnsi="宋体" w:cs="宋体"/>
                <w:kern w:val="0"/>
                <w:szCs w:val="21"/>
                <w:highlight w:val="none"/>
              </w:rPr>
              <w:t>2</w:t>
            </w:r>
            <w:r>
              <w:rPr>
                <w:rFonts w:ascii="宋体" w:hAnsi="宋体" w:cs="宋体"/>
                <w:kern w:val="0"/>
                <w:szCs w:val="21"/>
                <w:highlight w:val="none"/>
              </w:rPr>
              <w:t>项的，得</w:t>
            </w:r>
            <w:r>
              <w:rPr>
                <w:rFonts w:hint="eastAsia" w:ascii="宋体" w:hAnsi="宋体" w:cs="宋体"/>
                <w:kern w:val="0"/>
                <w:szCs w:val="21"/>
                <w:highlight w:val="none"/>
              </w:rPr>
              <w:t>1</w:t>
            </w:r>
            <w:r>
              <w:rPr>
                <w:rFonts w:ascii="宋体" w:hAnsi="宋体" w:cs="宋体"/>
                <w:kern w:val="0"/>
                <w:szCs w:val="21"/>
                <w:highlight w:val="none"/>
              </w:rPr>
              <w:t>分；</w:t>
            </w:r>
          </w:p>
          <w:p w14:paraId="23CD433E">
            <w:pPr>
              <w:pStyle w:val="205"/>
              <w:ind w:firstLine="0" w:firstLineChars="0"/>
              <w:jc w:val="left"/>
              <w:rPr>
                <w:rFonts w:ascii="宋体" w:hAnsi="宋体" w:cs="宋体"/>
                <w:bCs/>
                <w:kern w:val="0"/>
                <w:szCs w:val="21"/>
                <w:highlight w:val="none"/>
              </w:rPr>
            </w:pPr>
            <w:r>
              <w:rPr>
                <w:rFonts w:hint="eastAsia" w:ascii="宋体" w:hAnsi="宋体" w:cs="宋体"/>
                <w:kern w:val="0"/>
                <w:szCs w:val="21"/>
                <w:highlight w:val="none"/>
              </w:rPr>
              <w:t>其余不得分。</w:t>
            </w:r>
          </w:p>
        </w:tc>
      </w:tr>
      <w:tr w14:paraId="76B0832A">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23" w:type="dxa"/>
            <w:vMerge w:val="continue"/>
            <w:tcBorders>
              <w:left w:val="single" w:color="auto" w:sz="8" w:space="0"/>
              <w:right w:val="single" w:color="auto" w:sz="4" w:space="0"/>
            </w:tcBorders>
            <w:vAlign w:val="center"/>
          </w:tcPr>
          <w:p w14:paraId="5A41DF75">
            <w:pPr>
              <w:widowControl/>
              <w:jc w:val="center"/>
              <w:rPr>
                <w:rFonts w:cs="宋体"/>
                <w:szCs w:val="21"/>
                <w:highlight w:val="none"/>
              </w:rPr>
            </w:pPr>
          </w:p>
        </w:tc>
        <w:tc>
          <w:tcPr>
            <w:tcW w:w="1409" w:type="dxa"/>
            <w:tcBorders>
              <w:top w:val="single" w:color="auto" w:sz="4" w:space="0"/>
              <w:left w:val="single" w:color="auto" w:sz="4" w:space="0"/>
              <w:bottom w:val="single" w:color="auto" w:sz="4" w:space="0"/>
              <w:right w:val="single" w:color="auto" w:sz="4" w:space="0"/>
            </w:tcBorders>
            <w:vAlign w:val="center"/>
          </w:tcPr>
          <w:p w14:paraId="2C266F89">
            <w:pPr>
              <w:ind w:right="210"/>
              <w:jc w:val="right"/>
              <w:rPr>
                <w:rFonts w:cs="宋体"/>
                <w:szCs w:val="21"/>
                <w:highlight w:val="none"/>
              </w:rPr>
            </w:pPr>
            <w:r>
              <w:rPr>
                <w:rFonts w:hint="eastAsia" w:cs="宋体"/>
                <w:kern w:val="0"/>
                <w:szCs w:val="21"/>
                <w:highlight w:val="none"/>
              </w:rPr>
              <w:t>工程获奖</w:t>
            </w:r>
          </w:p>
        </w:tc>
        <w:tc>
          <w:tcPr>
            <w:tcW w:w="555" w:type="dxa"/>
            <w:tcBorders>
              <w:top w:val="single" w:color="auto" w:sz="4" w:space="0"/>
              <w:left w:val="single" w:color="auto" w:sz="4" w:space="0"/>
              <w:bottom w:val="single" w:color="auto" w:sz="4" w:space="0"/>
              <w:right w:val="single" w:color="auto" w:sz="4" w:space="0"/>
            </w:tcBorders>
            <w:vAlign w:val="center"/>
          </w:tcPr>
          <w:p w14:paraId="5991A10D">
            <w:pPr>
              <w:jc w:val="center"/>
              <w:rPr>
                <w:rFonts w:cs="宋体"/>
                <w:szCs w:val="21"/>
                <w:highlight w:val="none"/>
              </w:rPr>
            </w:pPr>
            <w:r>
              <w:rPr>
                <w:rFonts w:hint="eastAsia" w:cs="宋体"/>
                <w:kern w:val="0"/>
                <w:szCs w:val="21"/>
                <w:highlight w:val="none"/>
              </w:rPr>
              <w:t>12</w:t>
            </w:r>
          </w:p>
        </w:tc>
        <w:tc>
          <w:tcPr>
            <w:tcW w:w="11386" w:type="dxa"/>
            <w:tcBorders>
              <w:top w:val="single" w:color="auto" w:sz="4" w:space="0"/>
              <w:left w:val="single" w:color="auto" w:sz="4" w:space="0"/>
              <w:bottom w:val="single" w:color="auto" w:sz="4" w:space="0"/>
              <w:right w:val="single" w:color="auto" w:sz="4" w:space="0"/>
            </w:tcBorders>
            <w:vAlign w:val="center"/>
          </w:tcPr>
          <w:p w14:paraId="42DC5819">
            <w:pPr>
              <w:jc w:val="left"/>
              <w:rPr>
                <w:rFonts w:cs="宋体"/>
                <w:kern w:val="0"/>
                <w:szCs w:val="21"/>
                <w:highlight w:val="none"/>
              </w:rPr>
            </w:pPr>
            <w:r>
              <w:rPr>
                <w:rFonts w:hint="eastAsia" w:cs="宋体"/>
                <w:kern w:val="0"/>
                <w:szCs w:val="21"/>
                <w:highlight w:val="none"/>
              </w:rPr>
              <w:t>投标人自2019年1月1日至今承接的工程获奖情况：</w:t>
            </w:r>
          </w:p>
          <w:p w14:paraId="1A2C91E6">
            <w:pPr>
              <w:jc w:val="left"/>
              <w:rPr>
                <w:rFonts w:cs="宋体"/>
                <w:kern w:val="0"/>
                <w:szCs w:val="21"/>
                <w:highlight w:val="none"/>
              </w:rPr>
            </w:pPr>
            <w:r>
              <w:rPr>
                <w:rFonts w:hint="eastAsia" w:cs="宋体"/>
                <w:kern w:val="0"/>
                <w:szCs w:val="21"/>
                <w:highlight w:val="none"/>
              </w:rPr>
              <w:t>（1）获得国家级质量奖项，一项得2.4分；</w:t>
            </w:r>
          </w:p>
          <w:p w14:paraId="3AE5DDBA">
            <w:pPr>
              <w:jc w:val="left"/>
              <w:rPr>
                <w:rFonts w:cs="宋体"/>
                <w:kern w:val="0"/>
                <w:szCs w:val="21"/>
                <w:highlight w:val="none"/>
              </w:rPr>
            </w:pPr>
            <w:r>
              <w:rPr>
                <w:rFonts w:hint="eastAsia" w:cs="宋体"/>
                <w:kern w:val="0"/>
                <w:szCs w:val="21"/>
                <w:highlight w:val="none"/>
              </w:rPr>
              <w:t>（2）获得省级质量奖项，一项得1分；</w:t>
            </w:r>
          </w:p>
          <w:p w14:paraId="1F77F2C0">
            <w:pPr>
              <w:jc w:val="left"/>
              <w:rPr>
                <w:rFonts w:cs="宋体"/>
                <w:kern w:val="0"/>
                <w:szCs w:val="21"/>
                <w:highlight w:val="none"/>
              </w:rPr>
            </w:pPr>
            <w:r>
              <w:rPr>
                <w:rFonts w:hint="eastAsia" w:cs="宋体"/>
                <w:kern w:val="0"/>
                <w:szCs w:val="21"/>
                <w:highlight w:val="none"/>
              </w:rPr>
              <w:t>（3）获得市级</w:t>
            </w:r>
            <w:r>
              <w:rPr>
                <w:rFonts w:hint="eastAsia" w:cs="宋体"/>
                <w:kern w:val="0"/>
                <w:szCs w:val="21"/>
                <w:highlight w:val="none"/>
              </w:rPr>
              <w:t>（含副省级）</w:t>
            </w:r>
            <w:r>
              <w:rPr>
                <w:rFonts w:hint="eastAsia" w:cs="宋体"/>
                <w:kern w:val="0"/>
                <w:szCs w:val="21"/>
                <w:highlight w:val="none"/>
              </w:rPr>
              <w:t>质量奖项，一项得0.5分。</w:t>
            </w:r>
          </w:p>
          <w:p w14:paraId="57A882D8">
            <w:pPr>
              <w:jc w:val="left"/>
              <w:rPr>
                <w:rFonts w:cs="宋体"/>
                <w:kern w:val="0"/>
                <w:szCs w:val="21"/>
                <w:highlight w:val="none"/>
              </w:rPr>
            </w:pPr>
            <w:r>
              <w:rPr>
                <w:rFonts w:hint="eastAsia" w:cs="宋体"/>
                <w:kern w:val="0"/>
                <w:szCs w:val="21"/>
                <w:highlight w:val="none"/>
              </w:rPr>
              <w:t>以上合计最多得12分。</w:t>
            </w:r>
          </w:p>
        </w:tc>
      </w:tr>
      <w:tr w14:paraId="26CD5430">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1323" w:type="dxa"/>
            <w:vMerge w:val="continue"/>
            <w:tcBorders>
              <w:left w:val="single" w:color="auto" w:sz="8" w:space="0"/>
              <w:right w:val="single" w:color="auto" w:sz="4" w:space="0"/>
            </w:tcBorders>
            <w:vAlign w:val="center"/>
          </w:tcPr>
          <w:p w14:paraId="6CA4D545">
            <w:pPr>
              <w:widowControl/>
              <w:jc w:val="center"/>
              <w:rPr>
                <w:rFonts w:cs="宋体"/>
                <w:szCs w:val="21"/>
                <w:highlight w:val="none"/>
              </w:rPr>
            </w:pPr>
          </w:p>
        </w:tc>
        <w:tc>
          <w:tcPr>
            <w:tcW w:w="1409" w:type="dxa"/>
            <w:tcBorders>
              <w:top w:val="single" w:color="auto" w:sz="4" w:space="0"/>
              <w:left w:val="single" w:color="auto" w:sz="4" w:space="0"/>
              <w:right w:val="single" w:color="auto" w:sz="4" w:space="0"/>
            </w:tcBorders>
            <w:vAlign w:val="center"/>
          </w:tcPr>
          <w:p w14:paraId="0A96B161">
            <w:pPr>
              <w:jc w:val="center"/>
              <w:rPr>
                <w:rFonts w:cs="宋体"/>
                <w:szCs w:val="21"/>
                <w:highlight w:val="none"/>
              </w:rPr>
            </w:pPr>
            <w:r>
              <w:rPr>
                <w:rFonts w:hint="eastAsia" w:cs="宋体"/>
                <w:kern w:val="0"/>
                <w:szCs w:val="21"/>
                <w:highlight w:val="none"/>
              </w:rPr>
              <w:t>企业工程研发能力</w:t>
            </w:r>
          </w:p>
        </w:tc>
        <w:tc>
          <w:tcPr>
            <w:tcW w:w="555" w:type="dxa"/>
            <w:tcBorders>
              <w:top w:val="single" w:color="auto" w:sz="4" w:space="0"/>
              <w:left w:val="single" w:color="auto" w:sz="4" w:space="0"/>
              <w:bottom w:val="single" w:color="auto" w:sz="4" w:space="0"/>
              <w:right w:val="single" w:color="auto" w:sz="4" w:space="0"/>
            </w:tcBorders>
            <w:vAlign w:val="center"/>
          </w:tcPr>
          <w:p w14:paraId="521F8CB6">
            <w:pPr>
              <w:jc w:val="center"/>
              <w:rPr>
                <w:rFonts w:cs="宋体"/>
                <w:szCs w:val="21"/>
                <w:highlight w:val="none"/>
              </w:rPr>
            </w:pPr>
            <w:r>
              <w:rPr>
                <w:rFonts w:hint="eastAsia" w:cs="宋体"/>
                <w:kern w:val="0"/>
                <w:szCs w:val="21"/>
                <w:highlight w:val="none"/>
              </w:rPr>
              <w:t>2</w:t>
            </w:r>
          </w:p>
        </w:tc>
        <w:tc>
          <w:tcPr>
            <w:tcW w:w="11386" w:type="dxa"/>
            <w:tcBorders>
              <w:top w:val="single" w:color="auto" w:sz="4" w:space="0"/>
              <w:left w:val="single" w:color="auto" w:sz="4" w:space="0"/>
              <w:bottom w:val="single" w:color="auto" w:sz="4" w:space="0"/>
              <w:right w:val="single" w:color="auto" w:sz="4" w:space="0"/>
            </w:tcBorders>
            <w:vAlign w:val="center"/>
          </w:tcPr>
          <w:p w14:paraId="1F65FDFB">
            <w:pPr>
              <w:jc w:val="left"/>
              <w:rPr>
                <w:rFonts w:cs="宋体"/>
                <w:kern w:val="0"/>
                <w:szCs w:val="21"/>
                <w:highlight w:val="none"/>
              </w:rPr>
            </w:pPr>
            <w:r>
              <w:rPr>
                <w:rFonts w:hint="eastAsia" w:cs="宋体"/>
                <w:kern w:val="0"/>
                <w:szCs w:val="21"/>
                <w:highlight w:val="none"/>
              </w:rPr>
              <w:t>投标人自2019年1月1日至今作为完成单位获得过省级各类工法证书奖项，每项得0.3分，最高得2分。</w:t>
            </w:r>
          </w:p>
        </w:tc>
      </w:tr>
      <w:tr w14:paraId="36F8F76B">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1323" w:type="dxa"/>
            <w:vMerge w:val="continue"/>
            <w:tcBorders>
              <w:left w:val="single" w:color="auto" w:sz="8" w:space="0"/>
              <w:right w:val="single" w:color="auto" w:sz="4" w:space="0"/>
            </w:tcBorders>
            <w:vAlign w:val="center"/>
          </w:tcPr>
          <w:p w14:paraId="2E236C49">
            <w:pPr>
              <w:widowControl/>
              <w:jc w:val="center"/>
              <w:rPr>
                <w:rFonts w:cs="宋体"/>
                <w:szCs w:val="21"/>
                <w:highlight w:val="none"/>
              </w:rPr>
            </w:pPr>
          </w:p>
        </w:tc>
        <w:tc>
          <w:tcPr>
            <w:tcW w:w="1409" w:type="dxa"/>
            <w:tcBorders>
              <w:top w:val="single" w:color="auto" w:sz="4" w:space="0"/>
              <w:left w:val="single" w:color="auto" w:sz="4" w:space="0"/>
              <w:right w:val="single" w:color="auto" w:sz="4" w:space="0"/>
            </w:tcBorders>
            <w:vAlign w:val="center"/>
          </w:tcPr>
          <w:p w14:paraId="1FFE04DD">
            <w:pPr>
              <w:jc w:val="center"/>
              <w:rPr>
                <w:rFonts w:cs="宋体"/>
                <w:szCs w:val="21"/>
                <w:highlight w:val="none"/>
              </w:rPr>
            </w:pPr>
            <w:r>
              <w:rPr>
                <w:rFonts w:hint="eastAsia" w:cs="宋体"/>
                <w:kern w:val="0"/>
                <w:szCs w:val="21"/>
                <w:highlight w:val="none"/>
              </w:rPr>
              <w:t>第三方评价</w:t>
            </w:r>
          </w:p>
        </w:tc>
        <w:tc>
          <w:tcPr>
            <w:tcW w:w="555" w:type="dxa"/>
            <w:tcBorders>
              <w:top w:val="single" w:color="auto" w:sz="4" w:space="0"/>
              <w:left w:val="single" w:color="auto" w:sz="4" w:space="0"/>
              <w:bottom w:val="single" w:color="auto" w:sz="4" w:space="0"/>
              <w:right w:val="single" w:color="auto" w:sz="4" w:space="0"/>
            </w:tcBorders>
            <w:vAlign w:val="center"/>
          </w:tcPr>
          <w:p w14:paraId="6F0D4BAD">
            <w:pPr>
              <w:jc w:val="center"/>
              <w:rPr>
                <w:rFonts w:cs="宋体"/>
                <w:szCs w:val="21"/>
                <w:highlight w:val="none"/>
              </w:rPr>
            </w:pPr>
            <w:r>
              <w:rPr>
                <w:rFonts w:hint="eastAsia" w:cs="宋体"/>
                <w:kern w:val="0"/>
                <w:szCs w:val="21"/>
                <w:highlight w:val="none"/>
              </w:rPr>
              <w:t>6</w:t>
            </w:r>
          </w:p>
        </w:tc>
        <w:tc>
          <w:tcPr>
            <w:tcW w:w="11386" w:type="dxa"/>
            <w:tcBorders>
              <w:top w:val="single" w:color="auto" w:sz="4" w:space="0"/>
              <w:left w:val="single" w:color="auto" w:sz="4" w:space="0"/>
              <w:bottom w:val="single" w:color="auto" w:sz="4" w:space="0"/>
              <w:right w:val="single" w:color="auto" w:sz="4" w:space="0"/>
            </w:tcBorders>
            <w:vAlign w:val="center"/>
          </w:tcPr>
          <w:p w14:paraId="6C1D314B">
            <w:pPr>
              <w:jc w:val="left"/>
              <w:rPr>
                <w:rFonts w:cs="宋体"/>
                <w:kern w:val="0"/>
                <w:szCs w:val="21"/>
                <w:highlight w:val="none"/>
              </w:rPr>
            </w:pPr>
            <w:r>
              <w:rPr>
                <w:rFonts w:hint="eastAsia" w:cs="宋体"/>
                <w:kern w:val="0"/>
                <w:szCs w:val="21"/>
                <w:highlight w:val="none"/>
              </w:rPr>
              <w:t>投标人同时具有质量管理体系、环境管理体系、职业健康安全管理体系、知识产权管理体系且在有效期内的得6分；同时具有其中三项认证证书且在有效期内的得</w:t>
            </w:r>
            <w:r>
              <w:rPr>
                <w:rFonts w:cs="宋体"/>
                <w:kern w:val="0"/>
                <w:szCs w:val="21"/>
                <w:highlight w:val="none"/>
              </w:rPr>
              <w:t>4</w:t>
            </w:r>
            <w:r>
              <w:rPr>
                <w:rFonts w:hint="eastAsia" w:cs="宋体"/>
                <w:kern w:val="0"/>
                <w:szCs w:val="21"/>
                <w:highlight w:val="none"/>
              </w:rPr>
              <w:t>分；同时具有其中二项认证证书且在有效期内的得</w:t>
            </w:r>
            <w:r>
              <w:rPr>
                <w:rFonts w:cs="宋体"/>
                <w:kern w:val="0"/>
                <w:szCs w:val="21"/>
                <w:highlight w:val="none"/>
              </w:rPr>
              <w:t>2</w:t>
            </w:r>
            <w:r>
              <w:rPr>
                <w:rFonts w:hint="eastAsia" w:cs="宋体"/>
                <w:kern w:val="0"/>
                <w:szCs w:val="21"/>
                <w:highlight w:val="none"/>
              </w:rPr>
              <w:t>分，具有其中一项认证证书且在有效期内的得1分，没有不得分。</w:t>
            </w:r>
          </w:p>
        </w:tc>
      </w:tr>
      <w:tr w14:paraId="7470BC22">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2732" w:type="dxa"/>
            <w:gridSpan w:val="2"/>
            <w:tcBorders>
              <w:top w:val="single" w:color="auto" w:sz="4" w:space="0"/>
              <w:left w:val="single" w:color="auto" w:sz="8" w:space="0"/>
              <w:bottom w:val="single" w:color="auto" w:sz="4" w:space="0"/>
              <w:right w:val="single" w:color="auto" w:sz="4" w:space="0"/>
            </w:tcBorders>
            <w:vAlign w:val="center"/>
          </w:tcPr>
          <w:p w14:paraId="08389060">
            <w:pPr>
              <w:widowControl/>
              <w:adjustRightInd w:val="0"/>
              <w:snapToGrid w:val="0"/>
              <w:jc w:val="center"/>
              <w:rPr>
                <w:rFonts w:cs="宋体"/>
                <w:szCs w:val="21"/>
                <w:highlight w:val="none"/>
              </w:rPr>
            </w:pPr>
            <w:r>
              <w:rPr>
                <w:rFonts w:hint="eastAsia" w:cs="宋体"/>
                <w:szCs w:val="21"/>
                <w:highlight w:val="none"/>
              </w:rPr>
              <w:t>合计（一+二）</w:t>
            </w:r>
          </w:p>
        </w:tc>
        <w:tc>
          <w:tcPr>
            <w:tcW w:w="555" w:type="dxa"/>
            <w:tcBorders>
              <w:top w:val="single" w:color="auto" w:sz="4" w:space="0"/>
              <w:left w:val="single" w:color="auto" w:sz="4" w:space="0"/>
              <w:bottom w:val="single" w:color="auto" w:sz="4" w:space="0"/>
              <w:right w:val="single" w:color="auto" w:sz="4" w:space="0"/>
            </w:tcBorders>
            <w:vAlign w:val="center"/>
          </w:tcPr>
          <w:p w14:paraId="7D0777CE">
            <w:pPr>
              <w:widowControl/>
              <w:jc w:val="center"/>
              <w:rPr>
                <w:rFonts w:cs="宋体"/>
                <w:szCs w:val="21"/>
                <w:highlight w:val="none"/>
              </w:rPr>
            </w:pPr>
            <w:r>
              <w:rPr>
                <w:rFonts w:hint="eastAsia" w:cs="宋体"/>
                <w:kern w:val="0"/>
                <w:szCs w:val="21"/>
                <w:highlight w:val="none"/>
              </w:rPr>
              <w:t>100</w:t>
            </w:r>
          </w:p>
        </w:tc>
        <w:tc>
          <w:tcPr>
            <w:tcW w:w="11386" w:type="dxa"/>
            <w:tcBorders>
              <w:top w:val="single" w:color="auto" w:sz="4" w:space="0"/>
              <w:left w:val="single" w:color="auto" w:sz="4" w:space="0"/>
              <w:bottom w:val="single" w:color="auto" w:sz="4" w:space="0"/>
              <w:right w:val="single" w:color="auto" w:sz="4" w:space="0"/>
            </w:tcBorders>
            <w:vAlign w:val="center"/>
          </w:tcPr>
          <w:p w14:paraId="228C1E3D">
            <w:pPr>
              <w:adjustRightInd w:val="0"/>
              <w:snapToGrid w:val="0"/>
              <w:rPr>
                <w:rFonts w:cs="宋体"/>
                <w:szCs w:val="21"/>
                <w:highlight w:val="none"/>
              </w:rPr>
            </w:pPr>
          </w:p>
        </w:tc>
      </w:tr>
    </w:tbl>
    <w:p w14:paraId="23EE6A7A">
      <w:pPr>
        <w:spacing w:line="288" w:lineRule="auto"/>
        <w:ind w:left="210" w:leftChars="100"/>
        <w:jc w:val="left"/>
        <w:rPr>
          <w:rFonts w:ascii="宋体" w:hAnsi="宋体" w:cs="宋体"/>
          <w:szCs w:val="21"/>
          <w:highlight w:val="none"/>
        </w:rPr>
      </w:pPr>
      <w:r>
        <w:rPr>
          <w:rFonts w:hint="eastAsia" w:ascii="宋体" w:hAnsi="宋体" w:cs="宋体"/>
          <w:szCs w:val="21"/>
          <w:highlight w:val="none"/>
        </w:rPr>
        <w:t>注：</w:t>
      </w:r>
    </w:p>
    <w:p w14:paraId="0C778332">
      <w:pPr>
        <w:widowControl/>
        <w:spacing w:line="360" w:lineRule="exact"/>
        <w:jc w:val="left"/>
        <w:rPr>
          <w:rFonts w:cs="宋体"/>
          <w:kern w:val="0"/>
          <w:szCs w:val="21"/>
          <w:highlight w:val="none"/>
          <w:shd w:val="clear" w:color="auto" w:fill="FFFFFF"/>
        </w:rPr>
      </w:pPr>
      <w:r>
        <w:rPr>
          <w:rFonts w:hint="eastAsia" w:ascii="宋体" w:hAnsi="宋体" w:cs="宋体"/>
          <w:b/>
          <w:bCs/>
          <w:szCs w:val="21"/>
          <w:highlight w:val="none"/>
        </w:rPr>
        <w:t>1. 类似业绩：</w:t>
      </w:r>
      <w:r>
        <w:rPr>
          <w:rFonts w:hint="eastAsia" w:cs="宋体"/>
          <w:kern w:val="0"/>
          <w:szCs w:val="21"/>
          <w:highlight w:val="none"/>
          <w:shd w:val="clear" w:color="auto" w:fill="FFFFFF"/>
        </w:rPr>
        <w:t>业绩取自广州市住建行业信用管理平台。投标人须提供类似工程业绩的项目名称及业绩在广州市住建行业信用管理平台中项目编号。不提供项目名称及项目编号的业绩不予评审。若投标人提供的项目名称与项目编号不一致：①项目名称和项目编号在平台内分别对应不同业绩的，以项目名称对应的业绩为准②项目名称存在对应业绩的，项目编号在平台内不存在对应业绩，以项目名称对应的业绩为准③项目名称在平台内不存在对应业绩，项目编号存在对应业绩的，以项目编号对应的业绩为准。评标委员会对业绩的评审以投标截止时间在平台内业绩上传件为依据。</w:t>
      </w:r>
    </w:p>
    <w:p w14:paraId="5FF0C378">
      <w:pPr>
        <w:widowControl/>
        <w:spacing w:line="360" w:lineRule="exact"/>
        <w:jc w:val="left"/>
        <w:rPr>
          <w:rFonts w:cs="宋体"/>
          <w:kern w:val="0"/>
          <w:szCs w:val="21"/>
          <w:highlight w:val="none"/>
          <w:shd w:val="clear" w:color="auto" w:fill="FFFFFF"/>
        </w:rPr>
      </w:pPr>
      <w:r>
        <w:rPr>
          <w:rFonts w:hint="eastAsia" w:cs="宋体"/>
          <w:kern w:val="0"/>
          <w:szCs w:val="21"/>
          <w:highlight w:val="none"/>
          <w:shd w:val="clear" w:color="auto" w:fill="FFFFFF"/>
        </w:rPr>
        <w:t>（1）适用于施工专业承包项目：单独发包的专业工程的业绩金额以中标通知书为准，中标通知书上没有金额或免招标的，以施工合同（不含补充合同）为准。如中标通知书未能体现对应的专业工程金额，则以施工合同载明的对应的专业工程金额为准，如中标通知书与施工合同均不能单独体现对应的专业工程金额，则以建设单位提供的证明资料中载明的对应专业金额为准。由总承包单位依法分包的专业工程业绩其金额以分包合同中约定的合同金额为准。用于本项目投标的类似业绩，在平台中“工程对应的企业资质”栏中须登记有与本项目要求相对应的资质（电子与智能化工程）。</w:t>
      </w:r>
    </w:p>
    <w:p w14:paraId="3287B62D">
      <w:pPr>
        <w:widowControl/>
        <w:spacing w:line="360" w:lineRule="exact"/>
        <w:jc w:val="left"/>
        <w:rPr>
          <w:rFonts w:cs="宋体"/>
          <w:kern w:val="0"/>
          <w:szCs w:val="21"/>
          <w:highlight w:val="none"/>
          <w:shd w:val="clear" w:color="auto" w:fill="FFFFFF"/>
        </w:rPr>
      </w:pPr>
      <w:r>
        <w:rPr>
          <w:rFonts w:hint="eastAsia" w:cs="宋体"/>
          <w:kern w:val="0"/>
          <w:szCs w:val="21"/>
          <w:highlight w:val="none"/>
          <w:shd w:val="clear" w:color="auto" w:fill="FFFFFF"/>
        </w:rPr>
        <w:t>（2）技术指标需在广州市住建行业信用管理平台内业绩上传件中反映。</w:t>
      </w:r>
    </w:p>
    <w:p w14:paraId="1B649F30">
      <w:pPr>
        <w:widowControl/>
        <w:spacing w:line="360" w:lineRule="exact"/>
        <w:jc w:val="left"/>
        <w:rPr>
          <w:rFonts w:cs="宋体"/>
          <w:kern w:val="0"/>
          <w:szCs w:val="21"/>
          <w:highlight w:val="none"/>
          <w:shd w:val="clear" w:color="auto" w:fill="FFFFFF"/>
        </w:rPr>
      </w:pPr>
      <w:r>
        <w:rPr>
          <w:rFonts w:hint="eastAsia" w:cs="宋体"/>
          <w:kern w:val="0"/>
          <w:szCs w:val="21"/>
          <w:highlight w:val="none"/>
          <w:shd w:val="clear" w:color="auto" w:fill="FFFFFF"/>
        </w:rPr>
        <w:t>（3）完成时间以子分部工程质量验收记录时间为准。验收记录至少具有建设单位、设计、施工和监理单位盖章（适用于施工专业承包项目和由总承包单位依法分包的专业工程）。</w:t>
      </w:r>
    </w:p>
    <w:p w14:paraId="7E3BA8CF">
      <w:pPr>
        <w:spacing w:line="288" w:lineRule="auto"/>
        <w:ind w:firstLine="420" w:firstLineChars="200"/>
        <w:rPr>
          <w:rFonts w:ascii="宋体" w:hAnsi="宋体" w:cs="宋体"/>
          <w:szCs w:val="21"/>
          <w:highlight w:val="none"/>
        </w:rPr>
      </w:pPr>
      <w:r>
        <w:rPr>
          <w:rFonts w:hint="eastAsia" w:cs="宋体"/>
          <w:kern w:val="0"/>
          <w:szCs w:val="21"/>
          <w:highlight w:val="none"/>
          <w:shd w:val="clear" w:color="auto" w:fill="FFFFFF"/>
        </w:rPr>
        <w:t>（4）平台内业绩上传件不符合上述要求的或登记的工程资质内容与施工合同等业绩证明资料不相符的，该项业绩不予认定。</w:t>
      </w:r>
    </w:p>
    <w:p w14:paraId="51C80C21">
      <w:pPr>
        <w:widowControl/>
        <w:spacing w:line="360" w:lineRule="exact"/>
        <w:jc w:val="left"/>
        <w:rPr>
          <w:rFonts w:cs="宋体"/>
          <w:kern w:val="0"/>
          <w:szCs w:val="21"/>
          <w:highlight w:val="none"/>
          <w:shd w:val="clear" w:color="auto" w:fill="FFFFFF"/>
        </w:rPr>
      </w:pPr>
      <w:r>
        <w:rPr>
          <w:rFonts w:hint="eastAsia" w:ascii="宋体" w:hAnsi="宋体" w:cs="宋体"/>
          <w:b/>
          <w:bCs/>
          <w:szCs w:val="21"/>
          <w:highlight w:val="none"/>
        </w:rPr>
        <w:t>2.</w:t>
      </w:r>
      <w:r>
        <w:rPr>
          <w:rFonts w:hint="eastAsia" w:ascii="宋体" w:hAnsi="宋体" w:cs="宋体"/>
          <w:szCs w:val="21"/>
          <w:highlight w:val="none"/>
        </w:rPr>
        <w:t xml:space="preserve"> </w:t>
      </w:r>
      <w:r>
        <w:rPr>
          <w:rFonts w:hint="eastAsia" w:ascii="宋体" w:hAnsi="宋体" w:cs="宋体"/>
          <w:b/>
          <w:bCs/>
          <w:szCs w:val="21"/>
          <w:highlight w:val="none"/>
        </w:rPr>
        <w:t>工程奖项：</w:t>
      </w:r>
      <w:r>
        <w:rPr>
          <w:rFonts w:hint="eastAsia" w:cs="宋体"/>
          <w:kern w:val="0"/>
          <w:szCs w:val="21"/>
          <w:highlight w:val="none"/>
          <w:shd w:val="clear" w:color="auto" w:fill="FFFFFF"/>
        </w:rPr>
        <w:t>需提交奖项证书原件清晰扫描件，奖项须为质量奖项，时间以发证时间为准。同一项目按最高级别奖项只计一次得分。奖项可为承建单位或参建单位。其中国家级奖项包括但不限于：中国建设工程鲁班奖、国家优质工程（金质奖）、国家优质工程（银质奖）、国家优质工程奖、中国土木工程詹天佑奖。省级工程奖项及市级工程奖项包括各类工程质量奖（但不包括安全文明奖）。如颁奖单位为协会的，还须提供该协会在“中国社会组织政务服务平台”有登记的网页查询截图（网址：https://chinanpo.mca.gov.cn/），证明其有登记备案，否则不得分。不符合上述条件或未提供上述资料的不计分。</w:t>
      </w:r>
    </w:p>
    <w:p w14:paraId="02861C71">
      <w:pPr>
        <w:widowControl/>
        <w:spacing w:line="360" w:lineRule="exact"/>
        <w:jc w:val="left"/>
        <w:rPr>
          <w:rFonts w:cs="宋体"/>
          <w:kern w:val="0"/>
          <w:szCs w:val="21"/>
          <w:highlight w:val="none"/>
          <w:shd w:val="clear" w:color="auto" w:fill="FFFFFF"/>
        </w:rPr>
      </w:pPr>
      <w:r>
        <w:rPr>
          <w:rFonts w:ascii="宋体" w:hAnsi="宋体" w:cs="宋体"/>
          <w:b/>
          <w:bCs/>
          <w:szCs w:val="21"/>
          <w:highlight w:val="none"/>
        </w:rPr>
        <w:t xml:space="preserve">3. </w:t>
      </w:r>
      <w:r>
        <w:rPr>
          <w:rFonts w:hint="eastAsia" w:ascii="宋体" w:hAnsi="宋体" w:cs="宋体"/>
          <w:b/>
          <w:bCs/>
          <w:szCs w:val="21"/>
          <w:highlight w:val="none"/>
        </w:rPr>
        <w:t>研发能力</w:t>
      </w:r>
      <w:r>
        <w:rPr>
          <w:rFonts w:hint="eastAsia" w:ascii="宋体" w:hAnsi="宋体" w:cs="宋体"/>
          <w:bCs/>
          <w:szCs w:val="21"/>
          <w:highlight w:val="none"/>
        </w:rPr>
        <w:t>：</w:t>
      </w:r>
      <w:r>
        <w:rPr>
          <w:rFonts w:hint="eastAsia" w:cs="宋体"/>
          <w:kern w:val="0"/>
          <w:szCs w:val="21"/>
          <w:highlight w:val="none"/>
          <w:shd w:val="clear" w:color="auto" w:fill="FFFFFF"/>
        </w:rPr>
        <w:t>工法证书须提交由省级行政主管部门颁发的工法证书扫描件以及当地建设行政主管部门或建筑业协会或具备相关鉴定能力机构出具的科学技术成果鉴定证书扫描件，不符合上述条件的不计分。</w:t>
      </w:r>
    </w:p>
    <w:p w14:paraId="6DFDD558">
      <w:pPr>
        <w:pStyle w:val="204"/>
        <w:spacing w:line="288" w:lineRule="auto"/>
        <w:ind w:firstLine="360"/>
        <w:rPr>
          <w:rFonts w:ascii="宋体" w:hAnsi="宋体" w:eastAsia="宋体" w:cs="宋体"/>
          <w:b/>
          <w:bCs/>
          <w:sz w:val="21"/>
          <w:szCs w:val="21"/>
          <w:highlight w:val="none"/>
        </w:rPr>
      </w:pPr>
      <w:r>
        <w:rPr>
          <w:rFonts w:hint="eastAsia" w:ascii="宋体" w:hAnsi="宋体" w:eastAsia="宋体" w:cs="宋体"/>
          <w:b/>
          <w:bCs/>
          <w:sz w:val="21"/>
          <w:szCs w:val="21"/>
          <w:highlight w:val="none"/>
        </w:rPr>
        <w:t>4</w:t>
      </w:r>
      <w:r>
        <w:rPr>
          <w:rFonts w:ascii="宋体" w:hAnsi="宋体" w:eastAsia="宋体" w:cs="宋体"/>
          <w:b/>
          <w:bCs/>
          <w:sz w:val="21"/>
          <w:szCs w:val="21"/>
          <w:highlight w:val="none"/>
        </w:rPr>
        <w:t>.</w:t>
      </w:r>
      <w:r>
        <w:rPr>
          <w:rFonts w:hint="eastAsia"/>
          <w:highlight w:val="none"/>
        </w:rPr>
        <w:t xml:space="preserve"> </w:t>
      </w:r>
      <w:r>
        <w:rPr>
          <w:rFonts w:hint="eastAsia" w:ascii="宋体" w:hAnsi="宋体" w:eastAsia="宋体" w:cs="宋体"/>
          <w:b/>
          <w:bCs/>
          <w:sz w:val="21"/>
          <w:szCs w:val="21"/>
          <w:highlight w:val="none"/>
        </w:rPr>
        <w:t>第三方评价:</w:t>
      </w:r>
      <w:r>
        <w:rPr>
          <w:rFonts w:hint="eastAsia" w:ascii="宋体" w:hAnsi="宋体" w:eastAsia="宋体" w:cs="宋体"/>
          <w:sz w:val="21"/>
          <w:szCs w:val="21"/>
          <w:highlight w:val="none"/>
        </w:rPr>
        <w:t>体系认证提供证书扫描件，及全国认证平台相关查询网页截图，未提供的不得分。</w:t>
      </w:r>
    </w:p>
    <w:p w14:paraId="3DEE76F3">
      <w:pPr>
        <w:pStyle w:val="204"/>
        <w:spacing w:line="288" w:lineRule="auto"/>
        <w:ind w:firstLine="360"/>
        <w:rPr>
          <w:rFonts w:ascii="宋体" w:hAnsi="宋体" w:eastAsia="宋体" w:cs="宋体"/>
          <w:sz w:val="21"/>
          <w:szCs w:val="21"/>
          <w:highlight w:val="none"/>
        </w:rPr>
      </w:pPr>
      <w:r>
        <w:rPr>
          <w:rFonts w:ascii="宋体" w:hAnsi="宋体" w:eastAsia="宋体" w:cs="宋体"/>
          <w:b/>
          <w:sz w:val="21"/>
          <w:szCs w:val="21"/>
          <w:highlight w:val="none"/>
        </w:rPr>
        <w:t>5</w:t>
      </w:r>
      <w:r>
        <w:rPr>
          <w:rFonts w:hint="eastAsia" w:ascii="宋体" w:hAnsi="宋体" w:eastAsia="宋体" w:cs="宋体"/>
          <w:b/>
          <w:sz w:val="21"/>
          <w:szCs w:val="21"/>
          <w:highlight w:val="none"/>
        </w:rPr>
        <w:t>. 项目管理机构：</w:t>
      </w:r>
      <w:r>
        <w:rPr>
          <w:rFonts w:hint="eastAsia" w:ascii="宋体" w:hAnsi="宋体" w:eastAsia="宋体" w:cs="宋体"/>
          <w:sz w:val="21"/>
          <w:szCs w:val="21"/>
          <w:highlight w:val="none"/>
        </w:rPr>
        <w:t>①项目管理机构人员须提</w:t>
      </w:r>
      <w:r>
        <w:rPr>
          <w:rFonts w:hint="eastAsia" w:ascii="宋体" w:hAnsi="宋体" w:eastAsia="宋体" w:cs="宋体"/>
          <w:bCs/>
          <w:sz w:val="21"/>
          <w:szCs w:val="21"/>
          <w:highlight w:val="none"/>
        </w:rPr>
        <w:t>供身份证</w:t>
      </w:r>
      <w:r>
        <w:rPr>
          <w:rFonts w:hint="eastAsia" w:ascii="宋体" w:hAnsi="宋体" w:eastAsia="宋体" w:cs="宋体"/>
          <w:sz w:val="21"/>
          <w:szCs w:val="21"/>
          <w:highlight w:val="none"/>
          <w:lang w:val="zh-TW"/>
        </w:rPr>
        <w:t>及</w:t>
      </w:r>
      <w:r>
        <w:rPr>
          <w:rFonts w:hint="eastAsia" w:ascii="宋体" w:hAnsi="宋体" w:eastAsia="宋体" w:cs="宋体"/>
          <w:kern w:val="2"/>
          <w:sz w:val="21"/>
          <w:szCs w:val="21"/>
          <w:highlight w:val="none"/>
          <w:lang w:val="zh-TW"/>
        </w:rPr>
        <w:t>投标截止近一个月（202</w:t>
      </w:r>
      <w:r>
        <w:rPr>
          <w:rFonts w:ascii="宋体" w:hAnsi="宋体" w:eastAsia="宋体" w:cs="宋体"/>
          <w:kern w:val="2"/>
          <w:sz w:val="21"/>
          <w:szCs w:val="21"/>
          <w:highlight w:val="none"/>
        </w:rPr>
        <w:t>4</w:t>
      </w:r>
      <w:r>
        <w:rPr>
          <w:rFonts w:hint="eastAsia" w:ascii="宋体" w:hAnsi="宋体" w:eastAsia="宋体" w:cs="宋体"/>
          <w:kern w:val="2"/>
          <w:sz w:val="21"/>
          <w:szCs w:val="21"/>
          <w:highlight w:val="none"/>
          <w:lang w:val="zh-TW"/>
        </w:rPr>
        <w:t>年</w:t>
      </w:r>
      <w:r>
        <w:rPr>
          <w:rFonts w:hint="eastAsia" w:ascii="宋体" w:hAnsi="宋体" w:eastAsia="宋体" w:cs="宋体"/>
          <w:kern w:val="2"/>
          <w:sz w:val="21"/>
          <w:szCs w:val="21"/>
          <w:highlight w:val="none"/>
        </w:rPr>
        <w:t xml:space="preserve"> 9</w:t>
      </w:r>
      <w:r>
        <w:rPr>
          <w:rFonts w:hint="eastAsia" w:ascii="宋体" w:hAnsi="宋体" w:eastAsia="宋体" w:cs="宋体"/>
          <w:kern w:val="2"/>
          <w:sz w:val="21"/>
          <w:szCs w:val="21"/>
          <w:highlight w:val="none"/>
          <w:lang w:val="zh-TW"/>
        </w:rPr>
        <w:t>月）有效社保证明（若退休人员</w:t>
      </w:r>
      <w:r>
        <w:rPr>
          <w:rFonts w:hint="eastAsia" w:ascii="宋体" w:hAnsi="宋体" w:eastAsia="宋体" w:cs="宋体"/>
          <w:kern w:val="2"/>
          <w:sz w:val="21"/>
          <w:szCs w:val="21"/>
          <w:highlight w:val="none"/>
        </w:rPr>
        <w:t>无</w:t>
      </w:r>
      <w:r>
        <w:rPr>
          <w:rFonts w:hint="eastAsia" w:ascii="宋体" w:hAnsi="宋体" w:eastAsia="宋体" w:cs="宋体"/>
          <w:kern w:val="2"/>
          <w:sz w:val="21"/>
          <w:szCs w:val="21"/>
          <w:highlight w:val="none"/>
          <w:lang w:val="zh-TW"/>
        </w:rPr>
        <w:t>法提供社保</w:t>
      </w:r>
      <w:r>
        <w:rPr>
          <w:rFonts w:hint="eastAsia" w:ascii="宋体" w:hAnsi="宋体" w:eastAsia="宋体" w:cs="宋体"/>
          <w:kern w:val="2"/>
          <w:sz w:val="21"/>
          <w:szCs w:val="21"/>
          <w:highlight w:val="none"/>
        </w:rPr>
        <w:t>的</w:t>
      </w:r>
      <w:r>
        <w:rPr>
          <w:rFonts w:hint="eastAsia" w:ascii="宋体" w:hAnsi="宋体" w:eastAsia="宋体" w:cs="宋体"/>
          <w:kern w:val="2"/>
          <w:sz w:val="21"/>
          <w:szCs w:val="21"/>
          <w:highlight w:val="none"/>
          <w:lang w:val="zh-TW"/>
        </w:rPr>
        <w:t>则提供退休证明）</w:t>
      </w:r>
      <w:r>
        <w:rPr>
          <w:rFonts w:ascii="宋体" w:hAnsi="宋体" w:eastAsia="PMingLiU" w:cs="宋体"/>
          <w:kern w:val="2"/>
          <w:sz w:val="21"/>
          <w:szCs w:val="21"/>
          <w:highlight w:val="none"/>
          <w:lang w:val="zh-TW"/>
        </w:rPr>
        <w:t>;</w:t>
      </w:r>
      <w:r>
        <w:rPr>
          <w:rFonts w:hint="eastAsia" w:ascii="宋体" w:hAnsi="宋体" w:eastAsia="宋体" w:cs="宋体"/>
          <w:kern w:val="2"/>
          <w:sz w:val="21"/>
          <w:szCs w:val="21"/>
          <w:highlight w:val="none"/>
          <w:lang w:val="zh-TW"/>
        </w:rPr>
        <w:t>不符合上述条件的不计分。且须按相应要求提供职称证、有效期内的注册证、有效期内的安全生产考核合格证及相关上岗证或培训证，时间以证书发证时间为准，所有资料为扫描件并加盖投标人电子公章；</w:t>
      </w:r>
      <w:r>
        <w:rPr>
          <w:rFonts w:hint="eastAsia" w:ascii="宋体" w:hAnsi="宋体" w:eastAsia="宋体" w:cs="宋体"/>
          <w:sz w:val="21"/>
          <w:szCs w:val="21"/>
          <w:highlight w:val="none"/>
        </w:rPr>
        <w:t>②项目管理人员均不得兼任。③按照《造价工程师职业资格制度规定》的规定，根据原人事部、原建设部发布的《造价工程师执业资格制度暂行规定》（人发〔1996〕77号）取得的造价工程师执业资格，并经注册且在有效期内的，等同于一级注册造价工程师</w:t>
      </w:r>
      <w:r>
        <w:rPr>
          <w:rFonts w:ascii="宋体" w:hAnsi="宋体" w:eastAsia="宋体" w:cs="宋体"/>
          <w:sz w:val="21"/>
          <w:szCs w:val="21"/>
          <w:highlight w:val="none"/>
        </w:rPr>
        <w:t>。</w:t>
      </w:r>
    </w:p>
    <w:p w14:paraId="00561AED">
      <w:pPr>
        <w:pStyle w:val="204"/>
        <w:spacing w:line="288" w:lineRule="auto"/>
        <w:ind w:firstLine="360"/>
        <w:rPr>
          <w:rFonts w:ascii="宋体" w:hAnsi="宋体" w:eastAsia="宋体" w:cs="宋体"/>
          <w:sz w:val="21"/>
          <w:szCs w:val="21"/>
          <w:highlight w:val="none"/>
        </w:rPr>
      </w:pPr>
      <w:r>
        <w:rPr>
          <w:rFonts w:ascii="宋体" w:hAnsi="宋体" w:eastAsia="宋体" w:cs="宋体"/>
          <w:sz w:val="21"/>
          <w:szCs w:val="21"/>
          <w:highlight w:val="none"/>
        </w:rPr>
        <w:t xml:space="preserve">6. </w:t>
      </w:r>
      <w:r>
        <w:rPr>
          <w:rFonts w:hint="eastAsia" w:ascii="宋体" w:hAnsi="宋体" w:eastAsia="宋体" w:cs="宋体"/>
          <w:sz w:val="21"/>
          <w:szCs w:val="21"/>
          <w:highlight w:val="none"/>
        </w:rPr>
        <w:t>投标人提供的扫描件或网页信息打印页或网页信息截图内容等证明材料必须清晰可辨，如因扫描件或网页信息打印页或网页信息截图内容模糊导致评标时无法判断的，后果由投标人自负。上述证明资料不提供或提供不完整或提供不符合要求的不得分。如招标人有需要，中标单位需准备投标文件涉及的所有原件待查，如原件不齐或与原件不符的，招标人有权取消其中标人资格，并上报建设行政主管部门。</w:t>
      </w:r>
    </w:p>
    <w:p w14:paraId="0253B6FD">
      <w:pPr>
        <w:rPr>
          <w:rStyle w:val="114"/>
          <w:rFonts w:ascii="宋体" w:hAnsi="宋体" w:cs="宋体"/>
          <w:szCs w:val="21"/>
          <w:highlight w:val="none"/>
          <w:lang w:val="zh-TW" w:eastAsia="zh-TW"/>
        </w:rPr>
      </w:pPr>
      <w:r>
        <w:rPr>
          <w:rFonts w:ascii="宋体" w:hAnsi="宋体" w:cs="宋体"/>
          <w:b/>
          <w:bCs/>
          <w:szCs w:val="21"/>
          <w:highlight w:val="none"/>
        </w:rPr>
        <w:t>7</w:t>
      </w:r>
      <w:r>
        <w:rPr>
          <w:rFonts w:hint="eastAsia" w:ascii="宋体" w:hAnsi="宋体" w:cs="宋体"/>
          <w:b/>
          <w:bCs/>
          <w:szCs w:val="21"/>
          <w:highlight w:val="none"/>
        </w:rPr>
        <w:t>.</w:t>
      </w:r>
      <w:r>
        <w:rPr>
          <w:rFonts w:hint="eastAsia"/>
          <w:highlight w:val="none"/>
        </w:rPr>
        <w:t xml:space="preserve"> </w:t>
      </w:r>
      <w:r>
        <w:rPr>
          <w:rFonts w:hint="eastAsia" w:ascii="宋体" w:hAnsi="宋体" w:cs="宋体"/>
          <w:b/>
          <w:bCs/>
          <w:szCs w:val="21"/>
          <w:highlight w:val="none"/>
        </w:rPr>
        <w:t>评标委员会成员评分的算术平均值，即为该投标人的评审得分（若分数出现小数点时，保留到小数点后两位，第三位小数四舍五入）。</w:t>
      </w:r>
      <w:r>
        <w:rPr>
          <w:rStyle w:val="114"/>
          <w:rFonts w:hint="eastAsia" w:ascii="宋体" w:hAnsi="宋体" w:cs="宋体"/>
          <w:szCs w:val="21"/>
          <w:highlight w:val="none"/>
          <w:lang w:val="zh-TW" w:eastAsia="zh-TW"/>
        </w:rPr>
        <w:t xml:space="preserve"> </w:t>
      </w:r>
    </w:p>
    <w:p w14:paraId="609FC6ED">
      <w:pPr>
        <w:rPr>
          <w:rStyle w:val="114"/>
          <w:rFonts w:ascii="宋体" w:hAnsi="宋体" w:cs="宋体"/>
          <w:szCs w:val="21"/>
          <w:highlight w:val="none"/>
          <w:lang w:val="zh-TW" w:eastAsia="zh-TW"/>
        </w:rPr>
      </w:pPr>
    </w:p>
    <w:p w14:paraId="6C9F5118">
      <w:pPr>
        <w:ind w:firstLine="9600" w:firstLineChars="4000"/>
        <w:rPr>
          <w:rFonts w:ascii="宋体" w:hAnsi="宋体" w:cs="宋体"/>
          <w:sz w:val="24"/>
          <w:szCs w:val="24"/>
          <w:highlight w:val="none"/>
        </w:rPr>
      </w:pPr>
    </w:p>
    <w:p w14:paraId="36F6EBEC">
      <w:pPr>
        <w:ind w:firstLine="9600" w:firstLineChars="4000"/>
        <w:rPr>
          <w:rFonts w:ascii="宋体" w:hAnsi="宋体" w:cs="宋体"/>
          <w:sz w:val="24"/>
          <w:szCs w:val="24"/>
          <w:highlight w:val="none"/>
        </w:rPr>
      </w:pPr>
      <w:r>
        <w:rPr>
          <w:rFonts w:hint="eastAsia" w:ascii="宋体" w:hAnsi="宋体" w:cs="宋体"/>
          <w:sz w:val="24"/>
          <w:szCs w:val="24"/>
          <w:highlight w:val="none"/>
        </w:rPr>
        <w:t>评委签名：</w:t>
      </w:r>
    </w:p>
    <w:p w14:paraId="39C58D48">
      <w:pPr>
        <w:ind w:firstLine="9600" w:firstLineChars="4000"/>
        <w:rPr>
          <w:rFonts w:ascii="宋体" w:hAnsi="宋体" w:cs="宋体"/>
          <w:sz w:val="24"/>
          <w:szCs w:val="24"/>
          <w:highlight w:val="none"/>
        </w:rPr>
      </w:pPr>
    </w:p>
    <w:p w14:paraId="6AC9E71C">
      <w:pPr>
        <w:ind w:firstLine="9600" w:firstLineChars="4000"/>
        <w:rPr>
          <w:highlight w:val="none"/>
        </w:rPr>
      </w:pPr>
      <w:r>
        <w:rPr>
          <w:rFonts w:hint="eastAsia" w:ascii="宋体" w:hAnsi="宋体" w:cs="宋体"/>
          <w:sz w:val="24"/>
          <w:szCs w:val="24"/>
          <w:highlight w:val="none"/>
        </w:rPr>
        <w:t>日期：</w:t>
      </w:r>
    </w:p>
    <w:p w14:paraId="538F51E1">
      <w:pPr>
        <w:rPr>
          <w:rFonts w:ascii="宋体" w:hAnsi="宋体"/>
          <w:color w:val="000000"/>
          <w:sz w:val="24"/>
          <w:szCs w:val="24"/>
          <w:highlight w:val="none"/>
        </w:rPr>
        <w:sectPr>
          <w:headerReference r:id="rId7" w:type="first"/>
          <w:footerReference r:id="rId10" w:type="first"/>
          <w:headerReference r:id="rId5" w:type="default"/>
          <w:footerReference r:id="rId8" w:type="default"/>
          <w:headerReference r:id="rId6" w:type="even"/>
          <w:footerReference r:id="rId9" w:type="even"/>
          <w:endnotePr>
            <w:numFmt w:val="decimal"/>
          </w:endnotePr>
          <w:pgSz w:w="16838" w:h="11906" w:orient="landscape"/>
          <w:pgMar w:top="1418" w:right="1247" w:bottom="1418" w:left="1134" w:header="851" w:footer="907" w:gutter="0"/>
          <w:cols w:space="720" w:num="1"/>
          <w:titlePg/>
          <w:docGrid w:type="lines" w:linePitch="312" w:charSpace="0"/>
        </w:sectPr>
      </w:pPr>
      <w:r>
        <w:rPr>
          <w:rFonts w:hint="eastAsia" w:ascii="宋体" w:hAnsi="宋体"/>
          <w:color w:val="000000"/>
          <w:sz w:val="24"/>
          <w:szCs w:val="24"/>
          <w:highlight w:val="none"/>
        </w:rPr>
        <w:br w:type="page"/>
      </w:r>
      <w:bookmarkEnd w:id="47"/>
    </w:p>
    <w:p w14:paraId="3ADE2B67">
      <w:pPr>
        <w:pStyle w:val="365"/>
        <w:tabs>
          <w:tab w:val="left" w:pos="6398"/>
        </w:tabs>
        <w:spacing w:after="80"/>
        <w:jc w:val="center"/>
        <w:rPr>
          <w:b/>
          <w:sz w:val="32"/>
          <w:szCs w:val="32"/>
          <w:highlight w:val="none"/>
          <w:lang w:bidi="zh-CN"/>
        </w:rPr>
      </w:pPr>
      <w:r>
        <w:rPr>
          <w:rStyle w:val="114"/>
          <w:b/>
          <w:sz w:val="32"/>
          <w:szCs w:val="32"/>
          <w:highlight w:val="none"/>
        </w:rPr>
        <w:t>附表四附件</w:t>
      </w:r>
      <w:r>
        <w:rPr>
          <w:rFonts w:hint="eastAsia" w:cs="新宋体"/>
          <w:b/>
          <w:bCs/>
          <w:sz w:val="32"/>
          <w:szCs w:val="32"/>
          <w:highlight w:val="none"/>
        </w:rPr>
        <w:t>：</w:t>
      </w:r>
      <w:r>
        <w:rPr>
          <w:rFonts w:hint="eastAsia" w:cs="新宋体"/>
          <w:b/>
          <w:bCs/>
          <w:sz w:val="32"/>
          <w:szCs w:val="32"/>
          <w:highlight w:val="none"/>
          <w:lang w:val="zh-CN"/>
        </w:rPr>
        <w:t>项目管理</w:t>
      </w:r>
      <w:r>
        <w:rPr>
          <w:rFonts w:hint="eastAsia" w:cs="新宋体"/>
          <w:b/>
          <w:bCs/>
          <w:sz w:val="32"/>
          <w:szCs w:val="32"/>
          <w:highlight w:val="none"/>
        </w:rPr>
        <w:t>岗位</w:t>
      </w:r>
      <w:r>
        <w:rPr>
          <w:rFonts w:hint="eastAsia" w:cs="新宋体"/>
          <w:b/>
          <w:bCs/>
          <w:sz w:val="32"/>
          <w:szCs w:val="32"/>
          <w:highlight w:val="none"/>
          <w:lang w:val="zh-CN"/>
        </w:rPr>
        <w:t>配备基本要求表</w:t>
      </w:r>
    </w:p>
    <w:tbl>
      <w:tblPr>
        <w:tblStyle w:val="51"/>
        <w:tblW w:w="14075" w:type="dxa"/>
        <w:jc w:val="center"/>
        <w:tblLayout w:type="fixed"/>
        <w:tblCellMar>
          <w:top w:w="0" w:type="dxa"/>
          <w:left w:w="10" w:type="dxa"/>
          <w:bottom w:w="0" w:type="dxa"/>
          <w:right w:w="10" w:type="dxa"/>
        </w:tblCellMar>
      </w:tblPr>
      <w:tblGrid>
        <w:gridCol w:w="608"/>
        <w:gridCol w:w="2694"/>
        <w:gridCol w:w="1159"/>
        <w:gridCol w:w="9614"/>
      </w:tblGrid>
      <w:tr w14:paraId="0A25BC9D">
        <w:tblPrEx>
          <w:tblCellMar>
            <w:top w:w="0" w:type="dxa"/>
            <w:left w:w="10" w:type="dxa"/>
            <w:bottom w:w="0" w:type="dxa"/>
            <w:right w:w="10" w:type="dxa"/>
          </w:tblCellMar>
        </w:tblPrEx>
        <w:trPr>
          <w:trHeight w:val="336" w:hRule="exact"/>
          <w:jc w:val="center"/>
        </w:trPr>
        <w:tc>
          <w:tcPr>
            <w:tcW w:w="608" w:type="dxa"/>
            <w:tcBorders>
              <w:top w:val="single" w:color="auto" w:sz="4" w:space="0"/>
              <w:left w:val="single" w:color="auto" w:sz="4" w:space="0"/>
            </w:tcBorders>
            <w:shd w:val="clear" w:color="auto" w:fill="FFFFFF"/>
            <w:vAlign w:val="center"/>
          </w:tcPr>
          <w:p w14:paraId="7833EFD2">
            <w:pPr>
              <w:jc w:val="center"/>
              <w:rPr>
                <w:rFonts w:ascii="宋体" w:hAnsi="宋体" w:cs="宋体"/>
                <w:szCs w:val="21"/>
                <w:highlight w:val="none"/>
                <w:lang w:val="zh-TW" w:eastAsia="zh-TW" w:bidi="zh-TW"/>
              </w:rPr>
            </w:pPr>
            <w:r>
              <w:rPr>
                <w:rFonts w:hint="eastAsia" w:ascii="宋体" w:hAnsi="宋体" w:cs="宋体"/>
                <w:szCs w:val="21"/>
                <w:highlight w:val="none"/>
                <w:lang w:val="zh-TW" w:eastAsia="zh-TW" w:bidi="zh-TW"/>
              </w:rPr>
              <w:t>序号</w:t>
            </w:r>
          </w:p>
        </w:tc>
        <w:tc>
          <w:tcPr>
            <w:tcW w:w="2694" w:type="dxa"/>
            <w:tcBorders>
              <w:top w:val="single" w:color="auto" w:sz="4" w:space="0"/>
              <w:left w:val="single" w:color="auto" w:sz="4" w:space="0"/>
            </w:tcBorders>
            <w:shd w:val="clear" w:color="auto" w:fill="FFFFFF"/>
            <w:vAlign w:val="center"/>
          </w:tcPr>
          <w:p w14:paraId="7B845095">
            <w:pPr>
              <w:jc w:val="center"/>
              <w:rPr>
                <w:rFonts w:ascii="宋体" w:hAnsi="宋体" w:cs="宋体"/>
                <w:szCs w:val="21"/>
                <w:highlight w:val="none"/>
                <w:lang w:val="zh-TW" w:eastAsia="zh-TW" w:bidi="zh-TW"/>
              </w:rPr>
            </w:pPr>
            <w:r>
              <w:rPr>
                <w:rFonts w:hint="eastAsia" w:ascii="宋体" w:hAnsi="宋体" w:cs="宋体"/>
                <w:szCs w:val="21"/>
                <w:highlight w:val="none"/>
                <w:lang w:val="zh-TW" w:eastAsia="zh-TW" w:bidi="zh-TW"/>
              </w:rPr>
              <w:t>内容</w:t>
            </w:r>
          </w:p>
        </w:tc>
        <w:tc>
          <w:tcPr>
            <w:tcW w:w="1159" w:type="dxa"/>
            <w:tcBorders>
              <w:top w:val="single" w:color="auto" w:sz="4" w:space="0"/>
              <w:left w:val="single" w:color="auto" w:sz="4" w:space="0"/>
            </w:tcBorders>
            <w:shd w:val="clear" w:color="auto" w:fill="FFFFFF"/>
            <w:vAlign w:val="center"/>
          </w:tcPr>
          <w:p w14:paraId="1E1469BA">
            <w:pPr>
              <w:jc w:val="left"/>
              <w:rPr>
                <w:rFonts w:ascii="宋体" w:hAnsi="宋体" w:cs="宋体"/>
                <w:szCs w:val="21"/>
                <w:highlight w:val="none"/>
                <w:lang w:val="zh-TW" w:eastAsia="zh-TW" w:bidi="zh-TW"/>
              </w:rPr>
            </w:pPr>
            <w:r>
              <w:rPr>
                <w:rFonts w:hint="eastAsia" w:ascii="宋体" w:hAnsi="宋体" w:cs="宋体"/>
                <w:szCs w:val="21"/>
                <w:highlight w:val="none"/>
                <w:lang w:val="zh-TW" w:eastAsia="zh-TW" w:bidi="zh-TW"/>
              </w:rPr>
              <w:t>人员数量</w:t>
            </w:r>
          </w:p>
        </w:tc>
        <w:tc>
          <w:tcPr>
            <w:tcW w:w="9614" w:type="dxa"/>
            <w:tcBorders>
              <w:top w:val="single" w:color="auto" w:sz="4" w:space="0"/>
              <w:left w:val="single" w:color="auto" w:sz="4" w:space="0"/>
              <w:right w:val="single" w:color="auto" w:sz="4" w:space="0"/>
            </w:tcBorders>
            <w:shd w:val="clear" w:color="auto" w:fill="FFFFFF"/>
            <w:vAlign w:val="center"/>
          </w:tcPr>
          <w:p w14:paraId="1028D951">
            <w:pPr>
              <w:jc w:val="center"/>
              <w:rPr>
                <w:rFonts w:ascii="宋体" w:hAnsi="宋体" w:cs="宋体"/>
                <w:szCs w:val="21"/>
                <w:highlight w:val="none"/>
                <w:lang w:val="zh-TW" w:eastAsia="zh-TW" w:bidi="zh-TW"/>
              </w:rPr>
            </w:pPr>
            <w:r>
              <w:rPr>
                <w:rFonts w:hint="eastAsia" w:ascii="宋体" w:hAnsi="宋体" w:cs="宋体"/>
                <w:szCs w:val="21"/>
                <w:highlight w:val="none"/>
                <w:lang w:val="zh-TW" w:eastAsia="zh-TW" w:bidi="zh-TW"/>
              </w:rPr>
              <w:t>基本要求</w:t>
            </w:r>
          </w:p>
        </w:tc>
      </w:tr>
      <w:tr w14:paraId="7B92E5DD">
        <w:tblPrEx>
          <w:tblCellMar>
            <w:top w:w="0" w:type="dxa"/>
            <w:left w:w="10" w:type="dxa"/>
            <w:bottom w:w="0" w:type="dxa"/>
            <w:right w:w="10" w:type="dxa"/>
          </w:tblCellMar>
        </w:tblPrEx>
        <w:trPr>
          <w:trHeight w:val="385" w:hRule="atLeast"/>
          <w:jc w:val="center"/>
        </w:trPr>
        <w:tc>
          <w:tcPr>
            <w:tcW w:w="608" w:type="dxa"/>
            <w:tcBorders>
              <w:top w:val="single" w:color="auto" w:sz="4" w:space="0"/>
              <w:left w:val="single" w:color="auto" w:sz="4" w:space="0"/>
            </w:tcBorders>
            <w:shd w:val="clear" w:color="auto" w:fill="FFFFFF"/>
            <w:vAlign w:val="center"/>
          </w:tcPr>
          <w:p w14:paraId="64C191C0">
            <w:pPr>
              <w:jc w:val="center"/>
              <w:rPr>
                <w:highlight w:val="none"/>
              </w:rPr>
            </w:pPr>
            <w:r>
              <w:rPr>
                <w:rFonts w:hint="eastAsia"/>
                <w:highlight w:val="none"/>
              </w:rPr>
              <w:t>1</w:t>
            </w:r>
          </w:p>
        </w:tc>
        <w:tc>
          <w:tcPr>
            <w:tcW w:w="2694" w:type="dxa"/>
            <w:tcBorders>
              <w:top w:val="single" w:color="auto" w:sz="4" w:space="0"/>
              <w:left w:val="single" w:color="auto" w:sz="4" w:space="0"/>
            </w:tcBorders>
            <w:shd w:val="clear" w:color="auto" w:fill="FFFFFF"/>
            <w:vAlign w:val="center"/>
          </w:tcPr>
          <w:p w14:paraId="71014DDC">
            <w:pPr>
              <w:jc w:val="center"/>
              <w:rPr>
                <w:highlight w:val="none"/>
              </w:rPr>
            </w:pPr>
            <w:r>
              <w:rPr>
                <w:rFonts w:hint="eastAsia"/>
                <w:highlight w:val="none"/>
              </w:rPr>
              <w:t>项目负责人</w:t>
            </w:r>
          </w:p>
        </w:tc>
        <w:tc>
          <w:tcPr>
            <w:tcW w:w="1159" w:type="dxa"/>
            <w:tcBorders>
              <w:top w:val="single" w:color="auto" w:sz="4" w:space="0"/>
              <w:left w:val="single" w:color="auto" w:sz="4" w:space="0"/>
            </w:tcBorders>
            <w:shd w:val="clear" w:color="auto" w:fill="FFFFFF"/>
            <w:vAlign w:val="center"/>
          </w:tcPr>
          <w:p w14:paraId="5A14EC54">
            <w:pPr>
              <w:ind w:firstLine="380"/>
              <w:jc w:val="left"/>
              <w:rPr>
                <w:rFonts w:ascii="宋体" w:hAnsi="宋体" w:cs="宋体"/>
                <w:szCs w:val="21"/>
                <w:highlight w:val="none"/>
                <w:lang w:val="zh-TW" w:eastAsia="zh-TW" w:bidi="zh-TW"/>
              </w:rPr>
            </w:pPr>
            <w:r>
              <w:rPr>
                <w:rFonts w:hint="eastAsia" w:ascii="宋体" w:hAnsi="宋体" w:cs="宋体"/>
                <w:szCs w:val="21"/>
                <w:highlight w:val="none"/>
                <w:lang w:val="zh-TW" w:eastAsia="zh-TW" w:bidi="zh-TW"/>
              </w:rPr>
              <w:t>1</w:t>
            </w:r>
          </w:p>
        </w:tc>
        <w:tc>
          <w:tcPr>
            <w:tcW w:w="9614" w:type="dxa"/>
            <w:tcBorders>
              <w:top w:val="single" w:color="auto" w:sz="4" w:space="0"/>
              <w:left w:val="single" w:color="auto" w:sz="4" w:space="0"/>
              <w:right w:val="single" w:color="auto" w:sz="4" w:space="0"/>
            </w:tcBorders>
            <w:shd w:val="clear" w:color="auto" w:fill="FFFFFF"/>
            <w:vAlign w:val="center"/>
          </w:tcPr>
          <w:p w14:paraId="6FBB32A5">
            <w:pPr>
              <w:ind w:left="218" w:leftChars="104"/>
              <w:jc w:val="left"/>
              <w:rPr>
                <w:rFonts w:ascii="宋体" w:hAnsi="宋体" w:cs="宋体"/>
                <w:szCs w:val="21"/>
                <w:highlight w:val="none"/>
                <w:lang w:val="zh-TW" w:eastAsia="zh-TW" w:bidi="zh-TW"/>
              </w:rPr>
            </w:pPr>
            <w:r>
              <w:rPr>
                <w:rFonts w:hint="eastAsia" w:ascii="宋体" w:hAnsi="宋体" w:cs="宋体"/>
                <w:szCs w:val="21"/>
                <w:highlight w:val="none"/>
                <w:lang w:val="zh-TW" w:eastAsia="zh-TW" w:bidi="zh-TW"/>
              </w:rPr>
              <w:t>满足招标公告要求。</w:t>
            </w:r>
          </w:p>
        </w:tc>
      </w:tr>
      <w:tr w14:paraId="2BC85920">
        <w:tblPrEx>
          <w:tblCellMar>
            <w:top w:w="0" w:type="dxa"/>
            <w:left w:w="10" w:type="dxa"/>
            <w:bottom w:w="0" w:type="dxa"/>
            <w:right w:w="10" w:type="dxa"/>
          </w:tblCellMar>
        </w:tblPrEx>
        <w:trPr>
          <w:trHeight w:val="385" w:hRule="atLeast"/>
          <w:jc w:val="center"/>
        </w:trPr>
        <w:tc>
          <w:tcPr>
            <w:tcW w:w="608" w:type="dxa"/>
            <w:tcBorders>
              <w:top w:val="single" w:color="auto" w:sz="4" w:space="0"/>
              <w:left w:val="single" w:color="auto" w:sz="4" w:space="0"/>
            </w:tcBorders>
            <w:shd w:val="clear" w:color="auto" w:fill="FFFFFF"/>
            <w:vAlign w:val="center"/>
          </w:tcPr>
          <w:p w14:paraId="4D894E4A">
            <w:pPr>
              <w:jc w:val="center"/>
              <w:rPr>
                <w:highlight w:val="none"/>
              </w:rPr>
            </w:pPr>
            <w:r>
              <w:rPr>
                <w:rFonts w:hint="eastAsia"/>
                <w:highlight w:val="none"/>
              </w:rPr>
              <w:t>2</w:t>
            </w:r>
          </w:p>
        </w:tc>
        <w:tc>
          <w:tcPr>
            <w:tcW w:w="2694" w:type="dxa"/>
            <w:tcBorders>
              <w:top w:val="single" w:color="auto" w:sz="4" w:space="0"/>
              <w:left w:val="single" w:color="auto" w:sz="4" w:space="0"/>
            </w:tcBorders>
            <w:shd w:val="clear" w:color="auto" w:fill="FFFFFF"/>
            <w:vAlign w:val="center"/>
          </w:tcPr>
          <w:p w14:paraId="278D423A">
            <w:pPr>
              <w:jc w:val="center"/>
              <w:rPr>
                <w:highlight w:val="none"/>
              </w:rPr>
            </w:pPr>
            <w:r>
              <w:rPr>
                <w:rFonts w:hint="eastAsia"/>
                <w:highlight w:val="none"/>
              </w:rPr>
              <w:t>技术负责人</w:t>
            </w:r>
          </w:p>
        </w:tc>
        <w:tc>
          <w:tcPr>
            <w:tcW w:w="1159" w:type="dxa"/>
            <w:tcBorders>
              <w:top w:val="single" w:color="auto" w:sz="4" w:space="0"/>
              <w:left w:val="single" w:color="auto" w:sz="4" w:space="0"/>
            </w:tcBorders>
            <w:shd w:val="clear" w:color="auto" w:fill="FFFFFF"/>
            <w:vAlign w:val="center"/>
          </w:tcPr>
          <w:p w14:paraId="713280A3">
            <w:pPr>
              <w:ind w:firstLine="380"/>
              <w:jc w:val="left"/>
              <w:rPr>
                <w:rFonts w:ascii="宋体" w:hAnsi="宋体" w:cs="宋体"/>
                <w:szCs w:val="21"/>
                <w:highlight w:val="none"/>
                <w:lang w:val="zh-TW" w:eastAsia="zh-TW" w:bidi="zh-TW"/>
              </w:rPr>
            </w:pPr>
            <w:r>
              <w:rPr>
                <w:rFonts w:hint="eastAsia" w:ascii="宋体" w:hAnsi="宋体" w:cs="宋体"/>
                <w:szCs w:val="21"/>
                <w:highlight w:val="none"/>
                <w:lang w:val="zh-TW" w:eastAsia="zh-TW" w:bidi="zh-TW"/>
              </w:rPr>
              <w:t>1</w:t>
            </w:r>
          </w:p>
        </w:tc>
        <w:tc>
          <w:tcPr>
            <w:tcW w:w="9614" w:type="dxa"/>
            <w:tcBorders>
              <w:top w:val="single" w:color="auto" w:sz="4" w:space="0"/>
              <w:left w:val="single" w:color="auto" w:sz="4" w:space="0"/>
              <w:right w:val="single" w:color="auto" w:sz="4" w:space="0"/>
            </w:tcBorders>
            <w:shd w:val="clear" w:color="auto" w:fill="FFFFFF"/>
            <w:vAlign w:val="center"/>
          </w:tcPr>
          <w:p w14:paraId="397DD7B0">
            <w:pPr>
              <w:ind w:left="218" w:leftChars="104"/>
              <w:jc w:val="left"/>
              <w:rPr>
                <w:rFonts w:ascii="宋体" w:hAnsi="宋体" w:cs="宋体"/>
                <w:szCs w:val="21"/>
                <w:highlight w:val="none"/>
                <w:lang w:val="zh-TW" w:eastAsia="zh-TW" w:bidi="zh-TW"/>
              </w:rPr>
            </w:pPr>
            <w:r>
              <w:rPr>
                <w:rFonts w:hint="eastAsia" w:ascii="宋体" w:hAnsi="宋体" w:cs="宋体"/>
                <w:szCs w:val="21"/>
                <w:highlight w:val="none"/>
                <w:lang w:val="zh-TW" w:eastAsia="zh-TW" w:bidi="zh-TW"/>
              </w:rPr>
              <w:t>满足招标公告要求。</w:t>
            </w:r>
          </w:p>
        </w:tc>
      </w:tr>
      <w:tr w14:paraId="1181BDD0">
        <w:tblPrEx>
          <w:tblCellMar>
            <w:top w:w="0" w:type="dxa"/>
            <w:left w:w="10" w:type="dxa"/>
            <w:bottom w:w="0" w:type="dxa"/>
            <w:right w:w="10" w:type="dxa"/>
          </w:tblCellMar>
        </w:tblPrEx>
        <w:trPr>
          <w:trHeight w:val="385" w:hRule="atLeast"/>
          <w:jc w:val="center"/>
        </w:trPr>
        <w:tc>
          <w:tcPr>
            <w:tcW w:w="608" w:type="dxa"/>
            <w:tcBorders>
              <w:top w:val="single" w:color="auto" w:sz="4" w:space="0"/>
              <w:left w:val="single" w:color="auto" w:sz="4" w:space="0"/>
            </w:tcBorders>
            <w:shd w:val="clear" w:color="auto" w:fill="FFFFFF"/>
            <w:vAlign w:val="center"/>
          </w:tcPr>
          <w:p w14:paraId="400FE077">
            <w:pPr>
              <w:jc w:val="center"/>
              <w:rPr>
                <w:highlight w:val="none"/>
              </w:rPr>
            </w:pPr>
            <w:r>
              <w:rPr>
                <w:rFonts w:hint="eastAsia"/>
                <w:highlight w:val="none"/>
              </w:rPr>
              <w:t>3</w:t>
            </w:r>
          </w:p>
        </w:tc>
        <w:tc>
          <w:tcPr>
            <w:tcW w:w="2694" w:type="dxa"/>
            <w:tcBorders>
              <w:top w:val="single" w:color="auto" w:sz="4" w:space="0"/>
              <w:left w:val="single" w:color="auto" w:sz="4" w:space="0"/>
            </w:tcBorders>
            <w:shd w:val="clear" w:color="auto" w:fill="FFFFFF"/>
            <w:vAlign w:val="center"/>
          </w:tcPr>
          <w:p w14:paraId="3C2305C7">
            <w:pPr>
              <w:jc w:val="center"/>
              <w:rPr>
                <w:highlight w:val="none"/>
              </w:rPr>
            </w:pPr>
            <w:r>
              <w:rPr>
                <w:rFonts w:hint="eastAsia"/>
                <w:highlight w:val="none"/>
              </w:rPr>
              <w:t>安全负责人</w:t>
            </w:r>
          </w:p>
        </w:tc>
        <w:tc>
          <w:tcPr>
            <w:tcW w:w="1159" w:type="dxa"/>
            <w:tcBorders>
              <w:top w:val="single" w:color="auto" w:sz="4" w:space="0"/>
              <w:left w:val="single" w:color="auto" w:sz="4" w:space="0"/>
            </w:tcBorders>
            <w:shd w:val="clear" w:color="auto" w:fill="FFFFFF"/>
            <w:vAlign w:val="center"/>
          </w:tcPr>
          <w:p w14:paraId="26A18740">
            <w:pPr>
              <w:ind w:firstLine="380"/>
              <w:jc w:val="left"/>
              <w:rPr>
                <w:rFonts w:ascii="宋体" w:hAnsi="宋体" w:cs="宋体"/>
                <w:szCs w:val="21"/>
                <w:highlight w:val="none"/>
                <w:lang w:val="zh-TW" w:eastAsia="zh-TW" w:bidi="zh-TW"/>
              </w:rPr>
            </w:pPr>
            <w:r>
              <w:rPr>
                <w:rFonts w:hint="eastAsia" w:ascii="宋体" w:hAnsi="宋体" w:cs="宋体"/>
                <w:szCs w:val="21"/>
                <w:highlight w:val="none"/>
                <w:lang w:val="zh-TW" w:eastAsia="zh-TW" w:bidi="zh-TW"/>
              </w:rPr>
              <w:t>1</w:t>
            </w:r>
          </w:p>
        </w:tc>
        <w:tc>
          <w:tcPr>
            <w:tcW w:w="9614" w:type="dxa"/>
            <w:tcBorders>
              <w:top w:val="single" w:color="auto" w:sz="4" w:space="0"/>
              <w:left w:val="single" w:color="auto" w:sz="4" w:space="0"/>
              <w:right w:val="single" w:color="auto" w:sz="4" w:space="0"/>
            </w:tcBorders>
            <w:shd w:val="clear" w:color="auto" w:fill="FFFFFF"/>
            <w:vAlign w:val="center"/>
          </w:tcPr>
          <w:p w14:paraId="1DCE6191">
            <w:pPr>
              <w:ind w:left="218" w:leftChars="104"/>
              <w:jc w:val="left"/>
              <w:rPr>
                <w:rFonts w:ascii="宋体" w:hAnsi="宋体" w:eastAsia="PMingLiU" w:cs="宋体"/>
                <w:szCs w:val="21"/>
                <w:highlight w:val="none"/>
                <w:lang w:val="zh-TW" w:eastAsia="zh-TW" w:bidi="zh-TW"/>
              </w:rPr>
            </w:pPr>
            <w:r>
              <w:rPr>
                <w:rFonts w:hint="eastAsia" w:ascii="宋体" w:hAnsi="宋体" w:cs="宋体"/>
                <w:szCs w:val="21"/>
                <w:highlight w:val="none"/>
                <w:lang w:val="zh-TW" w:eastAsia="zh-TW" w:bidi="zh-TW"/>
              </w:rPr>
              <w:t>单位注册人员，具有在有效期内的安全生产考核合格证(A类)或建筑施工企业主要负责人安全生产考核合格证书或安全生产考核合格证(B类)或建筑施工企业项目负责人安全生产考核合格证书或安全生产考核合格证(C类)或建筑施工企业专职安全生产管理人员安全生产考核合格证书（C3）</w:t>
            </w:r>
          </w:p>
        </w:tc>
      </w:tr>
      <w:tr w14:paraId="73111FD0">
        <w:tblPrEx>
          <w:tblCellMar>
            <w:top w:w="0" w:type="dxa"/>
            <w:left w:w="10" w:type="dxa"/>
            <w:bottom w:w="0" w:type="dxa"/>
            <w:right w:w="10" w:type="dxa"/>
          </w:tblCellMar>
        </w:tblPrEx>
        <w:trPr>
          <w:trHeight w:val="385" w:hRule="atLeast"/>
          <w:jc w:val="center"/>
        </w:trPr>
        <w:tc>
          <w:tcPr>
            <w:tcW w:w="608" w:type="dxa"/>
            <w:tcBorders>
              <w:top w:val="single" w:color="auto" w:sz="4" w:space="0"/>
              <w:left w:val="single" w:color="auto" w:sz="4" w:space="0"/>
            </w:tcBorders>
            <w:shd w:val="clear" w:color="auto" w:fill="FFFFFF"/>
            <w:vAlign w:val="center"/>
          </w:tcPr>
          <w:p w14:paraId="395B88A3">
            <w:pPr>
              <w:jc w:val="center"/>
              <w:rPr>
                <w:highlight w:val="none"/>
              </w:rPr>
            </w:pPr>
            <w:r>
              <w:rPr>
                <w:rFonts w:hint="eastAsia"/>
                <w:highlight w:val="none"/>
              </w:rPr>
              <w:t>4</w:t>
            </w:r>
          </w:p>
        </w:tc>
        <w:tc>
          <w:tcPr>
            <w:tcW w:w="2694" w:type="dxa"/>
            <w:tcBorders>
              <w:top w:val="single" w:color="auto" w:sz="4" w:space="0"/>
              <w:left w:val="single" w:color="auto" w:sz="4" w:space="0"/>
            </w:tcBorders>
            <w:shd w:val="clear" w:color="auto" w:fill="FFFFFF"/>
            <w:vAlign w:val="center"/>
          </w:tcPr>
          <w:p w14:paraId="0795B846">
            <w:pPr>
              <w:jc w:val="center"/>
              <w:rPr>
                <w:highlight w:val="none"/>
              </w:rPr>
            </w:pPr>
            <w:r>
              <w:rPr>
                <w:rFonts w:hint="eastAsia"/>
                <w:highlight w:val="none"/>
              </w:rPr>
              <w:t>质量负责人</w:t>
            </w:r>
          </w:p>
        </w:tc>
        <w:tc>
          <w:tcPr>
            <w:tcW w:w="1159" w:type="dxa"/>
            <w:tcBorders>
              <w:top w:val="single" w:color="auto" w:sz="4" w:space="0"/>
              <w:left w:val="single" w:color="auto" w:sz="4" w:space="0"/>
            </w:tcBorders>
            <w:shd w:val="clear" w:color="auto" w:fill="FFFFFF"/>
            <w:vAlign w:val="center"/>
          </w:tcPr>
          <w:p w14:paraId="15CB0DDB">
            <w:pPr>
              <w:ind w:firstLine="380"/>
              <w:jc w:val="left"/>
              <w:rPr>
                <w:rFonts w:ascii="宋体" w:hAnsi="宋体" w:cs="宋体"/>
                <w:szCs w:val="21"/>
                <w:highlight w:val="none"/>
                <w:lang w:bidi="zh-TW"/>
              </w:rPr>
            </w:pPr>
            <w:r>
              <w:rPr>
                <w:rFonts w:hint="eastAsia" w:ascii="宋体" w:hAnsi="宋体" w:cs="宋体"/>
                <w:szCs w:val="21"/>
                <w:highlight w:val="none"/>
                <w:lang w:bidi="zh-TW"/>
              </w:rPr>
              <w:t>1</w:t>
            </w:r>
          </w:p>
        </w:tc>
        <w:tc>
          <w:tcPr>
            <w:tcW w:w="9614" w:type="dxa"/>
            <w:tcBorders>
              <w:top w:val="single" w:color="auto" w:sz="4" w:space="0"/>
              <w:left w:val="single" w:color="auto" w:sz="4" w:space="0"/>
              <w:right w:val="single" w:color="auto" w:sz="4" w:space="0"/>
            </w:tcBorders>
            <w:shd w:val="clear" w:color="auto" w:fill="FFFFFF"/>
            <w:vAlign w:val="center"/>
          </w:tcPr>
          <w:p w14:paraId="29DF356B">
            <w:pPr>
              <w:ind w:left="218" w:leftChars="104"/>
              <w:jc w:val="left"/>
              <w:rPr>
                <w:rFonts w:ascii="宋体" w:hAnsi="宋体" w:cs="宋体"/>
                <w:szCs w:val="21"/>
                <w:highlight w:val="none"/>
                <w:lang w:val="zh-TW" w:eastAsia="zh-TW" w:bidi="zh-TW"/>
              </w:rPr>
            </w:pPr>
            <w:r>
              <w:rPr>
                <w:rFonts w:hint="eastAsia" w:ascii="宋体" w:hAnsi="宋体" w:cs="宋体"/>
                <w:szCs w:val="21"/>
                <w:highlight w:val="none"/>
                <w:lang w:val="zh-TW" w:eastAsia="zh-TW" w:bidi="zh-TW"/>
              </w:rPr>
              <w:t>单位在册人员，具有</w:t>
            </w:r>
            <w:r>
              <w:rPr>
                <w:rFonts w:hint="eastAsia" w:ascii="宋体" w:hAnsi="宋体" w:cs="宋体"/>
                <w:szCs w:val="21"/>
                <w:highlight w:val="none"/>
                <w:lang w:bidi="zh-TW"/>
              </w:rPr>
              <w:t>工程类</w:t>
            </w:r>
            <w:r>
              <w:rPr>
                <w:rFonts w:hint="eastAsia" w:ascii="宋体" w:hAnsi="宋体" w:cs="宋体"/>
                <w:szCs w:val="21"/>
                <w:highlight w:val="none"/>
                <w:lang w:val="zh-TW" w:eastAsia="zh-TW" w:bidi="zh-TW"/>
              </w:rPr>
              <w:t>工程师或以上职称。</w:t>
            </w:r>
          </w:p>
        </w:tc>
      </w:tr>
      <w:tr w14:paraId="36411FA9">
        <w:tblPrEx>
          <w:tblCellMar>
            <w:top w:w="0" w:type="dxa"/>
            <w:left w:w="10" w:type="dxa"/>
            <w:bottom w:w="0" w:type="dxa"/>
            <w:right w:w="10" w:type="dxa"/>
          </w:tblCellMar>
        </w:tblPrEx>
        <w:trPr>
          <w:trHeight w:val="385" w:hRule="atLeast"/>
          <w:jc w:val="center"/>
        </w:trPr>
        <w:tc>
          <w:tcPr>
            <w:tcW w:w="608" w:type="dxa"/>
            <w:tcBorders>
              <w:top w:val="single" w:color="auto" w:sz="4" w:space="0"/>
              <w:left w:val="single" w:color="auto" w:sz="4" w:space="0"/>
            </w:tcBorders>
            <w:shd w:val="clear" w:color="auto" w:fill="FFFFFF"/>
            <w:vAlign w:val="center"/>
          </w:tcPr>
          <w:p w14:paraId="72FE5583">
            <w:pPr>
              <w:jc w:val="center"/>
              <w:rPr>
                <w:highlight w:val="none"/>
              </w:rPr>
            </w:pPr>
            <w:r>
              <w:rPr>
                <w:rFonts w:hint="eastAsia"/>
                <w:highlight w:val="none"/>
              </w:rPr>
              <w:t>5</w:t>
            </w:r>
          </w:p>
        </w:tc>
        <w:tc>
          <w:tcPr>
            <w:tcW w:w="2694" w:type="dxa"/>
            <w:tcBorders>
              <w:top w:val="single" w:color="auto" w:sz="4" w:space="0"/>
              <w:left w:val="single" w:color="auto" w:sz="4" w:space="0"/>
            </w:tcBorders>
            <w:shd w:val="clear" w:color="auto" w:fill="FFFFFF"/>
            <w:vAlign w:val="center"/>
          </w:tcPr>
          <w:p w14:paraId="2223729C">
            <w:pPr>
              <w:jc w:val="center"/>
              <w:rPr>
                <w:highlight w:val="none"/>
              </w:rPr>
            </w:pPr>
            <w:r>
              <w:rPr>
                <w:rFonts w:hint="eastAsia"/>
                <w:highlight w:val="none"/>
              </w:rPr>
              <w:t>造价负责人</w:t>
            </w:r>
          </w:p>
        </w:tc>
        <w:tc>
          <w:tcPr>
            <w:tcW w:w="1159" w:type="dxa"/>
            <w:tcBorders>
              <w:top w:val="single" w:color="auto" w:sz="4" w:space="0"/>
              <w:left w:val="single" w:color="auto" w:sz="4" w:space="0"/>
            </w:tcBorders>
            <w:shd w:val="clear" w:color="auto" w:fill="FFFFFF"/>
            <w:vAlign w:val="center"/>
          </w:tcPr>
          <w:p w14:paraId="44F0936D">
            <w:pPr>
              <w:ind w:firstLine="380"/>
              <w:jc w:val="left"/>
              <w:rPr>
                <w:rFonts w:ascii="宋体" w:hAnsi="宋体" w:cs="宋体"/>
                <w:szCs w:val="21"/>
                <w:highlight w:val="none"/>
                <w:lang w:val="zh-TW" w:bidi="zh-TW"/>
              </w:rPr>
            </w:pPr>
            <w:r>
              <w:rPr>
                <w:rFonts w:hint="eastAsia" w:ascii="宋体" w:hAnsi="宋体" w:cs="宋体"/>
                <w:szCs w:val="21"/>
                <w:highlight w:val="none"/>
                <w:lang w:bidi="zh-TW"/>
              </w:rPr>
              <w:t>1</w:t>
            </w:r>
          </w:p>
        </w:tc>
        <w:tc>
          <w:tcPr>
            <w:tcW w:w="9614" w:type="dxa"/>
            <w:tcBorders>
              <w:top w:val="single" w:color="auto" w:sz="4" w:space="0"/>
              <w:left w:val="single" w:color="auto" w:sz="4" w:space="0"/>
              <w:right w:val="single" w:color="auto" w:sz="4" w:space="0"/>
            </w:tcBorders>
            <w:shd w:val="clear" w:color="auto" w:fill="FFFFFF"/>
            <w:vAlign w:val="center"/>
          </w:tcPr>
          <w:p w14:paraId="5C54A4BF">
            <w:pPr>
              <w:ind w:left="218" w:leftChars="104"/>
              <w:jc w:val="left"/>
              <w:rPr>
                <w:rFonts w:ascii="宋体" w:hAnsi="宋体" w:cs="宋体"/>
                <w:szCs w:val="21"/>
                <w:highlight w:val="none"/>
                <w:lang w:val="zh-TW" w:eastAsia="zh-TW" w:bidi="zh-TW"/>
              </w:rPr>
            </w:pPr>
            <w:r>
              <w:rPr>
                <w:rFonts w:hint="eastAsia" w:ascii="宋体" w:hAnsi="宋体" w:cs="宋体"/>
                <w:szCs w:val="21"/>
                <w:highlight w:val="none"/>
                <w:lang w:val="zh-TW" w:eastAsia="zh-TW" w:bidi="zh-TW"/>
              </w:rPr>
              <w:t>单位在册人员，具备</w:t>
            </w:r>
            <w:r>
              <w:rPr>
                <w:rFonts w:hint="eastAsia" w:ascii="宋体" w:hAnsi="宋体" w:cs="宋体"/>
                <w:szCs w:val="21"/>
                <w:highlight w:val="none"/>
                <w:lang w:bidi="zh-TW"/>
              </w:rPr>
              <w:t>二级或以上</w:t>
            </w:r>
            <w:r>
              <w:rPr>
                <w:rFonts w:hint="eastAsia" w:ascii="宋体" w:hAnsi="宋体" w:cs="宋体"/>
                <w:szCs w:val="21"/>
                <w:highlight w:val="none"/>
                <w:lang w:val="zh-TW" w:eastAsia="zh-TW" w:bidi="zh-TW"/>
              </w:rPr>
              <w:t>注册造价工程师</w:t>
            </w:r>
            <w:r>
              <w:rPr>
                <w:rFonts w:hint="eastAsia" w:ascii="宋体" w:hAnsi="宋体" w:cs="宋体"/>
                <w:szCs w:val="21"/>
                <w:highlight w:val="none"/>
                <w:lang w:bidi="ar"/>
              </w:rPr>
              <w:t>（土木建筑工程专业或安装工程专业）</w:t>
            </w:r>
            <w:r>
              <w:rPr>
                <w:rFonts w:hint="eastAsia" w:ascii="宋体" w:hAnsi="宋体" w:cs="宋体"/>
                <w:szCs w:val="21"/>
                <w:highlight w:val="none"/>
                <w:lang w:bidi="zh-TW"/>
              </w:rPr>
              <w:t>执业证</w:t>
            </w:r>
            <w:r>
              <w:rPr>
                <w:rFonts w:hint="eastAsia" w:ascii="宋体" w:hAnsi="宋体" w:cs="宋体"/>
                <w:szCs w:val="21"/>
                <w:highlight w:val="none"/>
                <w:lang w:bidi="ar"/>
              </w:rPr>
              <w:t>的</w:t>
            </w:r>
            <w:r>
              <w:rPr>
                <w:rFonts w:hint="eastAsia" w:ascii="宋体" w:hAnsi="宋体" w:cs="宋体"/>
                <w:szCs w:val="21"/>
                <w:highlight w:val="none"/>
                <w:lang w:val="zh-TW" w:eastAsia="zh-TW" w:bidi="zh-TW"/>
              </w:rPr>
              <w:t>。</w:t>
            </w:r>
          </w:p>
        </w:tc>
      </w:tr>
      <w:tr w14:paraId="15456073">
        <w:tblPrEx>
          <w:tblCellMar>
            <w:top w:w="0" w:type="dxa"/>
            <w:left w:w="10" w:type="dxa"/>
            <w:bottom w:w="0" w:type="dxa"/>
            <w:right w:w="10" w:type="dxa"/>
          </w:tblCellMar>
        </w:tblPrEx>
        <w:trPr>
          <w:trHeight w:val="385" w:hRule="atLeast"/>
          <w:jc w:val="center"/>
        </w:trPr>
        <w:tc>
          <w:tcPr>
            <w:tcW w:w="608" w:type="dxa"/>
            <w:tcBorders>
              <w:top w:val="single" w:color="auto" w:sz="4" w:space="0"/>
              <w:left w:val="single" w:color="auto" w:sz="4" w:space="0"/>
            </w:tcBorders>
            <w:shd w:val="clear" w:color="auto" w:fill="FFFFFF"/>
            <w:vAlign w:val="center"/>
          </w:tcPr>
          <w:p w14:paraId="7B685BED">
            <w:pPr>
              <w:jc w:val="center"/>
              <w:rPr>
                <w:highlight w:val="none"/>
              </w:rPr>
            </w:pPr>
            <w:r>
              <w:rPr>
                <w:highlight w:val="none"/>
              </w:rPr>
              <w:t>6</w:t>
            </w:r>
          </w:p>
        </w:tc>
        <w:tc>
          <w:tcPr>
            <w:tcW w:w="2694" w:type="dxa"/>
            <w:tcBorders>
              <w:top w:val="single" w:color="auto" w:sz="4" w:space="0"/>
              <w:left w:val="single" w:color="auto" w:sz="4" w:space="0"/>
            </w:tcBorders>
            <w:shd w:val="clear" w:color="auto" w:fill="FFFFFF"/>
            <w:vAlign w:val="center"/>
          </w:tcPr>
          <w:p w14:paraId="6D9B8283">
            <w:pPr>
              <w:jc w:val="center"/>
              <w:rPr>
                <w:highlight w:val="none"/>
              </w:rPr>
            </w:pPr>
            <w:r>
              <w:rPr>
                <w:rFonts w:hint="eastAsia"/>
                <w:highlight w:val="none"/>
              </w:rPr>
              <w:t>专业工程师</w:t>
            </w:r>
          </w:p>
        </w:tc>
        <w:tc>
          <w:tcPr>
            <w:tcW w:w="1159" w:type="dxa"/>
            <w:tcBorders>
              <w:top w:val="single" w:color="auto" w:sz="4" w:space="0"/>
              <w:left w:val="single" w:color="auto" w:sz="4" w:space="0"/>
            </w:tcBorders>
            <w:shd w:val="clear" w:color="auto" w:fill="FFFFFF"/>
            <w:vAlign w:val="center"/>
          </w:tcPr>
          <w:p w14:paraId="01EADFB1">
            <w:pPr>
              <w:ind w:firstLine="380"/>
              <w:jc w:val="left"/>
              <w:rPr>
                <w:rFonts w:ascii="宋体" w:hAnsi="宋体" w:cs="宋体"/>
                <w:szCs w:val="21"/>
                <w:highlight w:val="none"/>
                <w:lang w:bidi="zh-TW"/>
              </w:rPr>
            </w:pPr>
            <w:r>
              <w:rPr>
                <w:rFonts w:hint="eastAsia" w:ascii="宋体" w:hAnsi="宋体" w:cs="宋体"/>
                <w:szCs w:val="21"/>
                <w:highlight w:val="none"/>
                <w:lang w:bidi="zh-TW"/>
              </w:rPr>
              <w:t>1</w:t>
            </w:r>
          </w:p>
        </w:tc>
        <w:tc>
          <w:tcPr>
            <w:tcW w:w="9614" w:type="dxa"/>
            <w:tcBorders>
              <w:top w:val="single" w:color="auto" w:sz="4" w:space="0"/>
              <w:left w:val="single" w:color="auto" w:sz="4" w:space="0"/>
              <w:right w:val="single" w:color="auto" w:sz="4" w:space="0"/>
            </w:tcBorders>
            <w:shd w:val="clear" w:color="auto" w:fill="FFFFFF"/>
            <w:vAlign w:val="center"/>
          </w:tcPr>
          <w:p w14:paraId="2A9445C5">
            <w:pPr>
              <w:ind w:left="218" w:leftChars="104"/>
              <w:jc w:val="left"/>
              <w:rPr>
                <w:rFonts w:ascii="宋体" w:hAnsi="宋体" w:cs="宋体"/>
                <w:szCs w:val="21"/>
                <w:highlight w:val="none"/>
                <w:lang w:val="zh-TW" w:eastAsia="zh-TW" w:bidi="zh-TW"/>
              </w:rPr>
            </w:pPr>
            <w:r>
              <w:rPr>
                <w:rFonts w:hint="eastAsia" w:ascii="宋体" w:hAnsi="宋体" w:cs="宋体"/>
                <w:szCs w:val="21"/>
                <w:highlight w:val="none"/>
                <w:lang w:val="zh-TW" w:eastAsia="zh-TW" w:bidi="zh-TW"/>
              </w:rPr>
              <w:t>单位在册人员，具有</w:t>
            </w:r>
            <w:r>
              <w:rPr>
                <w:rFonts w:hint="eastAsia" w:ascii="宋体" w:hAnsi="宋体" w:cs="宋体"/>
                <w:szCs w:val="21"/>
                <w:highlight w:val="none"/>
              </w:rPr>
              <w:t>智能化或电气相关专业</w:t>
            </w:r>
            <w:r>
              <w:rPr>
                <w:rFonts w:hint="eastAsia" w:ascii="宋体" w:hAnsi="宋体" w:cs="宋体"/>
                <w:szCs w:val="21"/>
                <w:highlight w:val="none"/>
                <w:lang w:val="zh-TW" w:eastAsia="zh-TW" w:bidi="zh-TW"/>
              </w:rPr>
              <w:t>工程师或以上职称。</w:t>
            </w:r>
          </w:p>
        </w:tc>
      </w:tr>
      <w:tr w14:paraId="11B3C03D">
        <w:tblPrEx>
          <w:tblCellMar>
            <w:top w:w="0" w:type="dxa"/>
            <w:left w:w="10" w:type="dxa"/>
            <w:bottom w:w="0" w:type="dxa"/>
            <w:right w:w="10" w:type="dxa"/>
          </w:tblCellMar>
        </w:tblPrEx>
        <w:trPr>
          <w:trHeight w:val="385" w:hRule="atLeast"/>
          <w:jc w:val="center"/>
        </w:trPr>
        <w:tc>
          <w:tcPr>
            <w:tcW w:w="608" w:type="dxa"/>
            <w:tcBorders>
              <w:top w:val="single" w:color="auto" w:sz="4" w:space="0"/>
              <w:left w:val="single" w:color="auto" w:sz="4" w:space="0"/>
            </w:tcBorders>
            <w:shd w:val="clear" w:color="auto" w:fill="FFFFFF"/>
            <w:vAlign w:val="center"/>
          </w:tcPr>
          <w:p w14:paraId="2191EA01">
            <w:pPr>
              <w:jc w:val="center"/>
              <w:rPr>
                <w:highlight w:val="none"/>
              </w:rPr>
            </w:pPr>
            <w:r>
              <w:rPr>
                <w:highlight w:val="none"/>
              </w:rPr>
              <w:t>7</w:t>
            </w:r>
          </w:p>
        </w:tc>
        <w:tc>
          <w:tcPr>
            <w:tcW w:w="2694" w:type="dxa"/>
            <w:tcBorders>
              <w:top w:val="single" w:color="auto" w:sz="4" w:space="0"/>
              <w:left w:val="single" w:color="auto" w:sz="4" w:space="0"/>
            </w:tcBorders>
            <w:shd w:val="clear" w:color="auto" w:fill="FFFFFF"/>
            <w:vAlign w:val="center"/>
          </w:tcPr>
          <w:p w14:paraId="75CAF41D">
            <w:pPr>
              <w:jc w:val="center"/>
              <w:rPr>
                <w:highlight w:val="none"/>
              </w:rPr>
            </w:pPr>
            <w:r>
              <w:rPr>
                <w:rFonts w:hint="eastAsia"/>
                <w:highlight w:val="none"/>
              </w:rPr>
              <w:t>专职安全员</w:t>
            </w:r>
          </w:p>
        </w:tc>
        <w:tc>
          <w:tcPr>
            <w:tcW w:w="1159" w:type="dxa"/>
            <w:tcBorders>
              <w:top w:val="single" w:color="auto" w:sz="4" w:space="0"/>
              <w:left w:val="single" w:color="auto" w:sz="4" w:space="0"/>
            </w:tcBorders>
            <w:shd w:val="clear" w:color="auto" w:fill="FFFFFF"/>
            <w:vAlign w:val="center"/>
          </w:tcPr>
          <w:p w14:paraId="0603EEE1">
            <w:pPr>
              <w:ind w:firstLine="380"/>
              <w:jc w:val="left"/>
              <w:rPr>
                <w:rFonts w:ascii="宋体" w:hAnsi="宋体" w:cs="宋体"/>
                <w:szCs w:val="21"/>
                <w:highlight w:val="none"/>
                <w:lang w:val="zh-TW" w:eastAsia="zh-TW" w:bidi="zh-TW"/>
              </w:rPr>
            </w:pPr>
            <w:r>
              <w:rPr>
                <w:rFonts w:hint="eastAsia" w:ascii="宋体" w:hAnsi="宋体" w:cs="宋体"/>
                <w:szCs w:val="21"/>
                <w:highlight w:val="none"/>
                <w:lang w:val="zh-TW" w:eastAsia="zh-TW" w:bidi="zh-TW"/>
              </w:rPr>
              <w:t>1</w:t>
            </w:r>
          </w:p>
        </w:tc>
        <w:tc>
          <w:tcPr>
            <w:tcW w:w="9614" w:type="dxa"/>
            <w:tcBorders>
              <w:top w:val="single" w:color="auto" w:sz="4" w:space="0"/>
              <w:left w:val="single" w:color="auto" w:sz="4" w:space="0"/>
              <w:right w:val="single" w:color="auto" w:sz="4" w:space="0"/>
            </w:tcBorders>
            <w:shd w:val="clear" w:color="auto" w:fill="FFFFFF"/>
            <w:vAlign w:val="center"/>
          </w:tcPr>
          <w:p w14:paraId="5FEFE868">
            <w:pPr>
              <w:ind w:left="218" w:leftChars="104"/>
              <w:jc w:val="left"/>
              <w:rPr>
                <w:rFonts w:ascii="宋体" w:hAnsi="宋体" w:cs="宋体"/>
                <w:szCs w:val="21"/>
                <w:highlight w:val="none"/>
                <w:lang w:val="zh-TW" w:eastAsia="zh-TW" w:bidi="zh-TW"/>
              </w:rPr>
            </w:pPr>
            <w:r>
              <w:rPr>
                <w:rFonts w:hint="eastAsia" w:ascii="宋体" w:hAnsi="宋体" w:cs="宋体"/>
                <w:szCs w:val="21"/>
                <w:highlight w:val="none"/>
                <w:lang w:val="zh-TW" w:eastAsia="zh-TW" w:bidi="zh-TW"/>
              </w:rPr>
              <w:t>满足招标公告要求。</w:t>
            </w:r>
          </w:p>
        </w:tc>
      </w:tr>
      <w:tr w14:paraId="6E97C571">
        <w:tblPrEx>
          <w:tblCellMar>
            <w:top w:w="0" w:type="dxa"/>
            <w:left w:w="10" w:type="dxa"/>
            <w:bottom w:w="0" w:type="dxa"/>
            <w:right w:w="10" w:type="dxa"/>
          </w:tblCellMar>
        </w:tblPrEx>
        <w:trPr>
          <w:trHeight w:val="385" w:hRule="atLeast"/>
          <w:jc w:val="center"/>
        </w:trPr>
        <w:tc>
          <w:tcPr>
            <w:tcW w:w="608" w:type="dxa"/>
            <w:tcBorders>
              <w:top w:val="single" w:color="auto" w:sz="4" w:space="0"/>
              <w:left w:val="single" w:color="auto" w:sz="4" w:space="0"/>
            </w:tcBorders>
            <w:shd w:val="clear" w:color="auto" w:fill="FFFFFF"/>
            <w:vAlign w:val="center"/>
          </w:tcPr>
          <w:p w14:paraId="37E2B190">
            <w:pPr>
              <w:jc w:val="center"/>
              <w:rPr>
                <w:highlight w:val="none"/>
              </w:rPr>
            </w:pPr>
            <w:r>
              <w:rPr>
                <w:highlight w:val="none"/>
              </w:rPr>
              <w:t>8</w:t>
            </w:r>
          </w:p>
        </w:tc>
        <w:tc>
          <w:tcPr>
            <w:tcW w:w="2694" w:type="dxa"/>
            <w:tcBorders>
              <w:top w:val="single" w:color="auto" w:sz="4" w:space="0"/>
              <w:left w:val="single" w:color="auto" w:sz="4" w:space="0"/>
            </w:tcBorders>
            <w:shd w:val="clear" w:color="auto" w:fill="FFFFFF"/>
            <w:vAlign w:val="center"/>
          </w:tcPr>
          <w:p w14:paraId="0EC2AD25">
            <w:pPr>
              <w:jc w:val="center"/>
              <w:rPr>
                <w:highlight w:val="none"/>
              </w:rPr>
            </w:pPr>
            <w:r>
              <w:rPr>
                <w:rFonts w:hint="eastAsia"/>
                <w:highlight w:val="none"/>
              </w:rPr>
              <w:t>施工员</w:t>
            </w:r>
          </w:p>
        </w:tc>
        <w:tc>
          <w:tcPr>
            <w:tcW w:w="1159" w:type="dxa"/>
            <w:tcBorders>
              <w:top w:val="single" w:color="auto" w:sz="4" w:space="0"/>
              <w:left w:val="single" w:color="auto" w:sz="4" w:space="0"/>
            </w:tcBorders>
            <w:shd w:val="clear" w:color="auto" w:fill="FFFFFF"/>
            <w:vAlign w:val="center"/>
          </w:tcPr>
          <w:p w14:paraId="5D791106">
            <w:pPr>
              <w:ind w:firstLine="380"/>
              <w:jc w:val="left"/>
              <w:rPr>
                <w:rFonts w:ascii="宋体" w:hAnsi="宋体" w:cs="宋体"/>
                <w:szCs w:val="21"/>
                <w:highlight w:val="none"/>
                <w:lang w:bidi="zh-TW"/>
              </w:rPr>
            </w:pPr>
            <w:r>
              <w:rPr>
                <w:rFonts w:hint="eastAsia" w:ascii="宋体" w:hAnsi="宋体" w:cs="宋体"/>
                <w:szCs w:val="21"/>
                <w:highlight w:val="none"/>
                <w:lang w:bidi="zh-TW"/>
              </w:rPr>
              <w:t>1</w:t>
            </w:r>
          </w:p>
        </w:tc>
        <w:tc>
          <w:tcPr>
            <w:tcW w:w="9614" w:type="dxa"/>
            <w:tcBorders>
              <w:top w:val="single" w:color="auto" w:sz="4" w:space="0"/>
              <w:left w:val="single" w:color="auto" w:sz="4" w:space="0"/>
              <w:right w:val="single" w:color="auto" w:sz="4" w:space="0"/>
            </w:tcBorders>
            <w:shd w:val="clear" w:color="auto" w:fill="FFFFFF"/>
            <w:vAlign w:val="center"/>
          </w:tcPr>
          <w:p w14:paraId="088EEFF2">
            <w:pPr>
              <w:ind w:left="218" w:leftChars="104"/>
              <w:jc w:val="left"/>
              <w:rPr>
                <w:rFonts w:ascii="宋体" w:hAnsi="宋体" w:cs="宋体"/>
                <w:szCs w:val="21"/>
                <w:highlight w:val="none"/>
                <w:lang w:val="zh-TW" w:eastAsia="zh-TW" w:bidi="zh-TW"/>
              </w:rPr>
            </w:pPr>
            <w:r>
              <w:rPr>
                <w:rFonts w:hint="eastAsia" w:ascii="宋体" w:hAnsi="宋体" w:cs="宋体"/>
                <w:szCs w:val="21"/>
                <w:highlight w:val="none"/>
                <w:lang w:val="zh-TW" w:eastAsia="zh-TW" w:bidi="zh-TW"/>
              </w:rPr>
              <w:t>单位在册人员，具有</w:t>
            </w:r>
            <w:r>
              <w:rPr>
                <w:rFonts w:hint="eastAsia" w:ascii="宋体" w:hAnsi="宋体" w:cs="宋体"/>
                <w:szCs w:val="21"/>
                <w:highlight w:val="none"/>
                <w:lang w:bidi="zh-TW"/>
              </w:rPr>
              <w:t>施工员</w:t>
            </w:r>
            <w:r>
              <w:rPr>
                <w:rFonts w:hint="eastAsia" w:ascii="宋体" w:hAnsi="宋体" w:cs="宋体"/>
                <w:szCs w:val="21"/>
                <w:highlight w:val="none"/>
                <w:lang w:val="zh-TW" w:eastAsia="zh-TW" w:bidi="zh-TW"/>
              </w:rPr>
              <w:t>上岗证或培训证</w:t>
            </w:r>
          </w:p>
        </w:tc>
      </w:tr>
      <w:tr w14:paraId="021E83C3">
        <w:tblPrEx>
          <w:tblCellMar>
            <w:top w:w="0" w:type="dxa"/>
            <w:left w:w="10" w:type="dxa"/>
            <w:bottom w:w="0" w:type="dxa"/>
            <w:right w:w="10" w:type="dxa"/>
          </w:tblCellMar>
        </w:tblPrEx>
        <w:trPr>
          <w:trHeight w:val="385" w:hRule="atLeast"/>
          <w:jc w:val="center"/>
        </w:trPr>
        <w:tc>
          <w:tcPr>
            <w:tcW w:w="608" w:type="dxa"/>
            <w:tcBorders>
              <w:top w:val="single" w:color="auto" w:sz="4" w:space="0"/>
              <w:left w:val="single" w:color="auto" w:sz="4" w:space="0"/>
            </w:tcBorders>
            <w:shd w:val="clear" w:color="auto" w:fill="FFFFFF"/>
            <w:vAlign w:val="center"/>
          </w:tcPr>
          <w:p w14:paraId="4F7E7889">
            <w:pPr>
              <w:jc w:val="center"/>
              <w:rPr>
                <w:highlight w:val="none"/>
              </w:rPr>
            </w:pPr>
            <w:r>
              <w:rPr>
                <w:highlight w:val="none"/>
              </w:rPr>
              <w:t>9</w:t>
            </w:r>
          </w:p>
        </w:tc>
        <w:tc>
          <w:tcPr>
            <w:tcW w:w="2694" w:type="dxa"/>
            <w:tcBorders>
              <w:top w:val="single" w:color="auto" w:sz="4" w:space="0"/>
              <w:left w:val="single" w:color="auto" w:sz="4" w:space="0"/>
            </w:tcBorders>
            <w:shd w:val="clear" w:color="auto" w:fill="FFFFFF"/>
            <w:vAlign w:val="center"/>
          </w:tcPr>
          <w:p w14:paraId="41E2FC9B">
            <w:pPr>
              <w:jc w:val="center"/>
              <w:rPr>
                <w:highlight w:val="none"/>
              </w:rPr>
            </w:pPr>
            <w:r>
              <w:rPr>
                <w:rFonts w:hint="eastAsia"/>
                <w:highlight w:val="none"/>
              </w:rPr>
              <w:t>资料员</w:t>
            </w:r>
          </w:p>
        </w:tc>
        <w:tc>
          <w:tcPr>
            <w:tcW w:w="1159" w:type="dxa"/>
            <w:tcBorders>
              <w:top w:val="single" w:color="auto" w:sz="4" w:space="0"/>
              <w:left w:val="single" w:color="auto" w:sz="4" w:space="0"/>
            </w:tcBorders>
            <w:shd w:val="clear" w:color="auto" w:fill="FFFFFF"/>
            <w:vAlign w:val="center"/>
          </w:tcPr>
          <w:p w14:paraId="3C01A22C">
            <w:pPr>
              <w:ind w:firstLine="380"/>
              <w:jc w:val="left"/>
              <w:rPr>
                <w:rFonts w:ascii="宋体" w:hAnsi="宋体" w:cs="宋体"/>
                <w:szCs w:val="21"/>
                <w:highlight w:val="none"/>
                <w:lang w:val="zh-TW" w:bidi="zh-TW"/>
              </w:rPr>
            </w:pPr>
            <w:r>
              <w:rPr>
                <w:rFonts w:hint="eastAsia" w:ascii="宋体" w:hAnsi="宋体" w:cs="宋体"/>
                <w:szCs w:val="21"/>
                <w:highlight w:val="none"/>
                <w:lang w:bidi="zh-TW"/>
              </w:rPr>
              <w:t>1</w:t>
            </w:r>
          </w:p>
        </w:tc>
        <w:tc>
          <w:tcPr>
            <w:tcW w:w="9614" w:type="dxa"/>
            <w:tcBorders>
              <w:top w:val="single" w:color="auto" w:sz="4" w:space="0"/>
              <w:left w:val="single" w:color="auto" w:sz="4" w:space="0"/>
              <w:right w:val="single" w:color="auto" w:sz="4" w:space="0"/>
            </w:tcBorders>
            <w:shd w:val="clear" w:color="auto" w:fill="FFFFFF"/>
            <w:vAlign w:val="center"/>
          </w:tcPr>
          <w:p w14:paraId="25B73FFD">
            <w:pPr>
              <w:ind w:left="218" w:leftChars="104"/>
              <w:jc w:val="left"/>
              <w:rPr>
                <w:rFonts w:ascii="宋体" w:hAnsi="宋体" w:cs="宋体"/>
                <w:szCs w:val="21"/>
                <w:highlight w:val="none"/>
                <w:lang w:val="zh-TW" w:eastAsia="zh-TW" w:bidi="zh-TW"/>
              </w:rPr>
            </w:pPr>
            <w:r>
              <w:rPr>
                <w:rFonts w:hint="eastAsia" w:ascii="宋体" w:hAnsi="宋体" w:cs="宋体"/>
                <w:szCs w:val="21"/>
                <w:highlight w:val="none"/>
                <w:lang w:val="zh-TW" w:eastAsia="zh-TW" w:bidi="zh-TW"/>
              </w:rPr>
              <w:t>单位在册人员，具有资料员上岗证或培训证</w:t>
            </w:r>
          </w:p>
        </w:tc>
      </w:tr>
      <w:tr w14:paraId="189643E2">
        <w:tblPrEx>
          <w:tblCellMar>
            <w:top w:w="0" w:type="dxa"/>
            <w:left w:w="10" w:type="dxa"/>
            <w:bottom w:w="0" w:type="dxa"/>
            <w:right w:w="10" w:type="dxa"/>
          </w:tblCellMar>
        </w:tblPrEx>
        <w:trPr>
          <w:trHeight w:val="385" w:hRule="atLeast"/>
          <w:jc w:val="center"/>
        </w:trPr>
        <w:tc>
          <w:tcPr>
            <w:tcW w:w="608" w:type="dxa"/>
            <w:tcBorders>
              <w:top w:val="single" w:color="auto" w:sz="4" w:space="0"/>
              <w:left w:val="single" w:color="auto" w:sz="4" w:space="0"/>
              <w:bottom w:val="single" w:color="auto" w:sz="4" w:space="0"/>
            </w:tcBorders>
            <w:shd w:val="clear" w:color="auto" w:fill="FFFFFF"/>
            <w:vAlign w:val="center"/>
          </w:tcPr>
          <w:p w14:paraId="67B181D1">
            <w:pPr>
              <w:jc w:val="center"/>
              <w:rPr>
                <w:highlight w:val="none"/>
              </w:rPr>
            </w:pPr>
            <w:r>
              <w:rPr>
                <w:rFonts w:hint="eastAsia"/>
                <w:highlight w:val="none"/>
              </w:rPr>
              <w:t>1</w:t>
            </w:r>
            <w:r>
              <w:rPr>
                <w:highlight w:val="none"/>
              </w:rPr>
              <w:t>0</w:t>
            </w:r>
          </w:p>
        </w:tc>
        <w:tc>
          <w:tcPr>
            <w:tcW w:w="2694" w:type="dxa"/>
            <w:tcBorders>
              <w:top w:val="single" w:color="auto" w:sz="4" w:space="0"/>
              <w:left w:val="single" w:color="auto" w:sz="4" w:space="0"/>
              <w:bottom w:val="single" w:color="auto" w:sz="4" w:space="0"/>
            </w:tcBorders>
            <w:shd w:val="clear" w:color="auto" w:fill="FFFFFF"/>
            <w:vAlign w:val="center"/>
          </w:tcPr>
          <w:p w14:paraId="1FCE0EB0">
            <w:pPr>
              <w:jc w:val="center"/>
              <w:rPr>
                <w:highlight w:val="none"/>
              </w:rPr>
            </w:pPr>
            <w:r>
              <w:rPr>
                <w:rFonts w:hint="eastAsia"/>
                <w:highlight w:val="none"/>
              </w:rPr>
              <w:t>材料员</w:t>
            </w:r>
          </w:p>
        </w:tc>
        <w:tc>
          <w:tcPr>
            <w:tcW w:w="1159" w:type="dxa"/>
            <w:tcBorders>
              <w:top w:val="single" w:color="auto" w:sz="4" w:space="0"/>
              <w:left w:val="single" w:color="auto" w:sz="4" w:space="0"/>
              <w:bottom w:val="single" w:color="auto" w:sz="4" w:space="0"/>
            </w:tcBorders>
            <w:shd w:val="clear" w:color="auto" w:fill="FFFFFF"/>
            <w:vAlign w:val="center"/>
          </w:tcPr>
          <w:p w14:paraId="3F1645A9">
            <w:pPr>
              <w:ind w:firstLine="380"/>
              <w:jc w:val="left"/>
              <w:rPr>
                <w:rFonts w:ascii="宋体" w:hAnsi="宋体" w:cs="宋体"/>
                <w:szCs w:val="21"/>
                <w:highlight w:val="none"/>
                <w:lang w:val="zh-TW" w:bidi="zh-TW"/>
              </w:rPr>
            </w:pPr>
            <w:r>
              <w:rPr>
                <w:rFonts w:hint="eastAsia" w:ascii="宋体" w:hAnsi="宋体" w:cs="宋体"/>
                <w:szCs w:val="21"/>
                <w:highlight w:val="none"/>
                <w:lang w:bidi="zh-TW"/>
              </w:rPr>
              <w:t>1</w:t>
            </w:r>
          </w:p>
        </w:tc>
        <w:tc>
          <w:tcPr>
            <w:tcW w:w="9614" w:type="dxa"/>
            <w:tcBorders>
              <w:top w:val="single" w:color="auto" w:sz="4" w:space="0"/>
              <w:left w:val="single" w:color="auto" w:sz="4" w:space="0"/>
              <w:bottom w:val="single" w:color="auto" w:sz="4" w:space="0"/>
              <w:right w:val="single" w:color="auto" w:sz="4" w:space="0"/>
            </w:tcBorders>
            <w:shd w:val="clear" w:color="auto" w:fill="FFFFFF"/>
            <w:vAlign w:val="center"/>
          </w:tcPr>
          <w:p w14:paraId="547B486C">
            <w:pPr>
              <w:ind w:left="218" w:leftChars="104"/>
              <w:jc w:val="left"/>
              <w:rPr>
                <w:rFonts w:ascii="宋体" w:hAnsi="宋体" w:cs="宋体"/>
                <w:szCs w:val="21"/>
                <w:highlight w:val="none"/>
                <w:lang w:val="zh-TW" w:eastAsia="zh-TW" w:bidi="zh-TW"/>
              </w:rPr>
            </w:pPr>
            <w:r>
              <w:rPr>
                <w:rFonts w:hint="eastAsia" w:ascii="宋体" w:hAnsi="宋体" w:cs="宋体"/>
                <w:szCs w:val="21"/>
                <w:highlight w:val="none"/>
                <w:lang w:val="zh-TW" w:eastAsia="zh-TW" w:bidi="zh-TW"/>
              </w:rPr>
              <w:t>单位在册人员，具有材料员上岗证或培训证</w:t>
            </w:r>
          </w:p>
        </w:tc>
      </w:tr>
    </w:tbl>
    <w:p w14:paraId="57B6F71D">
      <w:pPr>
        <w:spacing w:after="80"/>
        <w:jc w:val="left"/>
        <w:rPr>
          <w:rFonts w:ascii="宋体" w:hAnsi="宋体" w:cs="宋体"/>
          <w:szCs w:val="21"/>
          <w:highlight w:val="none"/>
          <w:lang w:val="zh-TW" w:bidi="zh-TW"/>
        </w:rPr>
      </w:pPr>
      <w:r>
        <w:rPr>
          <w:rFonts w:hint="eastAsia" w:ascii="宋体" w:hAnsi="宋体" w:cs="宋体"/>
          <w:szCs w:val="21"/>
          <w:highlight w:val="none"/>
          <w:lang w:val="zh-TW" w:eastAsia="zh-TW" w:bidi="zh-TW"/>
        </w:rPr>
        <w:t>注：1、上表人员均要求为</w:t>
      </w:r>
      <w:r>
        <w:rPr>
          <w:rFonts w:hint="eastAsia" w:ascii="宋体" w:hAnsi="宋体" w:cs="宋体"/>
          <w:szCs w:val="21"/>
          <w:highlight w:val="none"/>
          <w:lang w:val="zh-TW" w:bidi="zh-TW"/>
        </w:rPr>
        <w:t>投标人</w:t>
      </w:r>
      <w:r>
        <w:rPr>
          <w:rFonts w:hint="eastAsia" w:ascii="宋体" w:hAnsi="宋体" w:cs="宋体"/>
          <w:szCs w:val="21"/>
          <w:highlight w:val="none"/>
          <w:lang w:val="zh-TW" w:eastAsia="zh-TW" w:bidi="zh-TW"/>
        </w:rPr>
        <w:t>在</w:t>
      </w:r>
      <w:r>
        <w:rPr>
          <w:rFonts w:hint="eastAsia" w:ascii="宋体" w:hAnsi="宋体" w:cs="宋体"/>
          <w:szCs w:val="21"/>
          <w:highlight w:val="none"/>
          <w:lang w:val="zh-TW" w:bidi="zh-TW"/>
        </w:rPr>
        <w:t>册</w:t>
      </w:r>
      <w:r>
        <w:rPr>
          <w:rFonts w:hint="eastAsia" w:ascii="宋体" w:hAnsi="宋体" w:cs="宋体"/>
          <w:szCs w:val="21"/>
          <w:highlight w:val="none"/>
          <w:lang w:val="zh-TW" w:eastAsia="zh-TW" w:bidi="zh-TW"/>
        </w:rPr>
        <w:t>人员，各岗位人员不得相互兼职。</w:t>
      </w:r>
      <w:r>
        <w:rPr>
          <w:rFonts w:hint="eastAsia" w:ascii="宋体" w:hAnsi="宋体" w:cs="宋体"/>
          <w:szCs w:val="21"/>
          <w:highlight w:val="none"/>
          <w:lang w:val="zh-TW" w:bidi="zh-TW"/>
        </w:rPr>
        <w:t>上述人员需</w:t>
      </w:r>
      <w:r>
        <w:rPr>
          <w:rFonts w:hint="eastAsia" w:ascii="宋体" w:hAnsi="宋体" w:cs="宋体"/>
          <w:szCs w:val="21"/>
          <w:highlight w:val="none"/>
          <w:lang w:bidi="zh-TW"/>
        </w:rPr>
        <w:t>提供近1个月</w:t>
      </w:r>
      <w:r>
        <w:rPr>
          <w:rFonts w:hint="eastAsia" w:ascii="宋体" w:hAnsi="宋体" w:cs="宋体"/>
          <w:szCs w:val="21"/>
          <w:highlight w:val="none"/>
          <w:lang w:bidi="ar"/>
        </w:rPr>
        <w:t>（202</w:t>
      </w:r>
      <w:r>
        <w:rPr>
          <w:rFonts w:ascii="宋体" w:hAnsi="宋体" w:cs="宋体"/>
          <w:szCs w:val="21"/>
          <w:highlight w:val="none"/>
          <w:lang w:bidi="ar"/>
        </w:rPr>
        <w:t>4</w:t>
      </w:r>
      <w:r>
        <w:rPr>
          <w:rFonts w:hint="eastAsia" w:ascii="宋体" w:hAnsi="宋体" w:cs="宋体"/>
          <w:szCs w:val="21"/>
          <w:highlight w:val="none"/>
          <w:lang w:bidi="ar"/>
        </w:rPr>
        <w:t>年9月）</w:t>
      </w:r>
      <w:r>
        <w:rPr>
          <w:rFonts w:hint="eastAsia" w:ascii="宋体" w:hAnsi="宋体" w:cs="宋体"/>
          <w:szCs w:val="21"/>
          <w:highlight w:val="none"/>
          <w:lang w:bidi="zh-TW"/>
        </w:rPr>
        <w:t>在投标人单位（或分公司）参保的社保缴纳记录证明清晰扫描件</w:t>
      </w:r>
      <w:r>
        <w:rPr>
          <w:rFonts w:hint="eastAsia" w:ascii="宋体" w:hAnsi="宋体" w:cs="宋体"/>
          <w:szCs w:val="21"/>
          <w:highlight w:val="none"/>
          <w:lang w:val="zh-TW" w:bidi="zh-TW"/>
        </w:rPr>
        <w:t>。</w:t>
      </w:r>
    </w:p>
    <w:p w14:paraId="2132EE5A">
      <w:pPr>
        <w:spacing w:after="80"/>
        <w:jc w:val="left"/>
        <w:rPr>
          <w:rFonts w:ascii="宋体" w:hAnsi="宋体" w:cs="宋体"/>
          <w:szCs w:val="21"/>
          <w:highlight w:val="none"/>
          <w:lang w:val="zh-TW" w:bidi="zh-TW"/>
        </w:rPr>
      </w:pPr>
      <w:r>
        <w:rPr>
          <w:rFonts w:hint="eastAsia" w:ascii="宋体" w:hAnsi="宋体" w:cs="宋体"/>
          <w:szCs w:val="21"/>
          <w:highlight w:val="none"/>
          <w:lang w:val="zh-TW" w:bidi="zh-TW"/>
        </w:rPr>
        <w:t>2、投标人须按上表要求提交相应的证明文件</w:t>
      </w:r>
      <w:r>
        <w:rPr>
          <w:rFonts w:hint="eastAsia" w:ascii="宋体" w:hAnsi="宋体" w:cs="宋体"/>
          <w:szCs w:val="21"/>
          <w:highlight w:val="none"/>
          <w:lang w:bidi="zh-TW"/>
        </w:rPr>
        <w:t>清晰</w:t>
      </w:r>
      <w:r>
        <w:rPr>
          <w:rFonts w:hint="eastAsia" w:ascii="宋体" w:hAnsi="宋体" w:cs="宋体"/>
          <w:szCs w:val="21"/>
          <w:highlight w:val="none"/>
          <w:lang w:val="zh-TW" w:bidi="zh-TW"/>
        </w:rPr>
        <w:t>扫描件，否则将不予以计分，具体为：（1）单位在册人员提交第1点所述的社保证明文件</w:t>
      </w:r>
      <w:r>
        <w:rPr>
          <w:rFonts w:hint="eastAsia" w:ascii="宋体" w:hAnsi="宋体" w:cs="宋体"/>
          <w:szCs w:val="21"/>
          <w:highlight w:val="none"/>
          <w:lang w:bidi="zh-TW"/>
        </w:rPr>
        <w:t>的清晰扫描件</w:t>
      </w:r>
      <w:r>
        <w:rPr>
          <w:rFonts w:hint="eastAsia" w:ascii="宋体" w:hAnsi="宋体" w:cs="宋体"/>
          <w:szCs w:val="21"/>
          <w:highlight w:val="none"/>
          <w:lang w:val="zh-TW" w:bidi="zh-TW"/>
        </w:rPr>
        <w:t>；（2）技术职称提交职称证书</w:t>
      </w:r>
      <w:r>
        <w:rPr>
          <w:rFonts w:hint="eastAsia" w:ascii="宋体" w:hAnsi="宋体" w:cs="宋体"/>
          <w:szCs w:val="21"/>
          <w:highlight w:val="none"/>
          <w:lang w:bidi="zh-TW"/>
        </w:rPr>
        <w:t>的清晰扫描件</w:t>
      </w:r>
      <w:r>
        <w:rPr>
          <w:rFonts w:hint="eastAsia" w:ascii="宋体" w:hAnsi="宋体" w:cs="宋体"/>
          <w:szCs w:val="21"/>
          <w:highlight w:val="none"/>
          <w:lang w:val="zh-TW" w:bidi="zh-TW"/>
        </w:rPr>
        <w:t>：（3）注册类人员提供注册证书</w:t>
      </w:r>
      <w:r>
        <w:rPr>
          <w:rFonts w:hint="eastAsia" w:ascii="宋体" w:hAnsi="宋体" w:cs="宋体"/>
          <w:szCs w:val="21"/>
          <w:highlight w:val="none"/>
          <w:lang w:bidi="zh-TW"/>
        </w:rPr>
        <w:t>的清晰扫描件</w:t>
      </w:r>
      <w:r>
        <w:rPr>
          <w:rFonts w:hint="eastAsia" w:ascii="宋体" w:hAnsi="宋体" w:cs="宋体"/>
          <w:szCs w:val="21"/>
          <w:highlight w:val="none"/>
          <w:lang w:val="zh-TW" w:bidi="zh-TW"/>
        </w:rPr>
        <w:t>（证书在有效期内且注册单位必须与投标人一致）（</w:t>
      </w:r>
      <w:r>
        <w:rPr>
          <w:rFonts w:hint="eastAsia" w:ascii="宋体" w:hAnsi="宋体" w:cs="宋体"/>
          <w:szCs w:val="21"/>
          <w:highlight w:val="none"/>
          <w:lang w:bidi="zh-TW"/>
        </w:rPr>
        <w:t>4）</w:t>
      </w:r>
      <w:r>
        <w:rPr>
          <w:rFonts w:hint="eastAsia" w:ascii="宋体" w:hAnsi="宋体" w:cs="宋体"/>
          <w:szCs w:val="21"/>
          <w:highlight w:val="none"/>
          <w:lang w:val="zh-TW" w:bidi="zh-TW"/>
        </w:rPr>
        <w:t>安全生产考核合格证</w:t>
      </w:r>
      <w:r>
        <w:rPr>
          <w:rFonts w:hint="eastAsia" w:ascii="宋体" w:hAnsi="宋体" w:cs="宋体"/>
          <w:szCs w:val="21"/>
          <w:highlight w:val="none"/>
          <w:lang w:bidi="zh-TW"/>
        </w:rPr>
        <w:t>、相关上岗证或培训证或其他证明的清晰扫描件</w:t>
      </w:r>
      <w:r>
        <w:rPr>
          <w:rFonts w:hint="eastAsia" w:ascii="宋体" w:hAnsi="宋体" w:cs="宋体"/>
          <w:szCs w:val="21"/>
          <w:highlight w:val="none"/>
          <w:lang w:val="zh-TW" w:bidi="zh-TW"/>
        </w:rPr>
        <w:t>；（5）</w:t>
      </w:r>
      <w:r>
        <w:rPr>
          <w:rFonts w:hint="eastAsia" w:ascii="宋体" w:hAnsi="宋体" w:cs="宋体"/>
          <w:szCs w:val="21"/>
          <w:highlight w:val="none"/>
        </w:rPr>
        <w:t>按照《造价工程师职业资格制度规定》的规定，</w:t>
      </w:r>
      <w:r>
        <w:rPr>
          <w:rFonts w:hint="eastAsia" w:ascii="宋体" w:hAnsi="宋体" w:cs="宋体"/>
          <w:szCs w:val="21"/>
          <w:highlight w:val="none"/>
          <w:lang w:val="zh-TW" w:bidi="zh-TW"/>
        </w:rPr>
        <w:t>根据原人事部、原建设部发布的《造价工程师执业资格制度暂行规定》（人发[1996]77号)取得的造价工程师执业资格，并经注册且在有效期内的，等同于一级注册造价工程师。</w:t>
      </w:r>
    </w:p>
    <w:p w14:paraId="39EEABDE">
      <w:pPr>
        <w:spacing w:after="80"/>
        <w:jc w:val="left"/>
        <w:rPr>
          <w:rFonts w:ascii="宋体" w:hAnsi="宋体" w:cs="宋体"/>
          <w:szCs w:val="21"/>
          <w:highlight w:val="none"/>
          <w:lang w:val="zh-TW" w:eastAsia="zh-TW" w:bidi="zh-TW"/>
        </w:rPr>
      </w:pPr>
      <w:r>
        <w:rPr>
          <w:rFonts w:hint="eastAsia" w:ascii="宋体" w:hAnsi="宋体" w:cs="宋体"/>
          <w:szCs w:val="21"/>
          <w:highlight w:val="none"/>
          <w:lang w:val="zh-TW" w:eastAsia="zh-TW" w:bidi="zh-TW"/>
        </w:rPr>
        <w:t>3、以上人员配置只作为评分标准，不作为废标条件。</w:t>
      </w:r>
    </w:p>
    <w:p w14:paraId="64264ACF">
      <w:pPr>
        <w:rPr>
          <w:rFonts w:ascii="宋体" w:hAnsi="宋体" w:cs="宋体"/>
          <w:szCs w:val="21"/>
          <w:highlight w:val="none"/>
        </w:rPr>
        <w:sectPr>
          <w:endnotePr>
            <w:numFmt w:val="decimal"/>
          </w:endnotePr>
          <w:pgSz w:w="16838" w:h="11906" w:orient="landscape"/>
          <w:pgMar w:top="1418" w:right="1247" w:bottom="1418" w:left="1134" w:header="851" w:footer="907" w:gutter="0"/>
          <w:cols w:space="720" w:num="1"/>
          <w:titlePg/>
          <w:docGrid w:type="lines" w:linePitch="312" w:charSpace="0"/>
        </w:sectPr>
      </w:pPr>
      <w:r>
        <w:rPr>
          <w:rFonts w:hint="eastAsia" w:ascii="宋体" w:hAnsi="宋体" w:cs="宋体"/>
          <w:szCs w:val="21"/>
          <w:highlight w:val="none"/>
          <w:lang w:val="zh-TW" w:bidi="zh-TW"/>
        </w:rPr>
        <w:t>4、</w:t>
      </w:r>
      <w:r>
        <w:rPr>
          <w:rFonts w:hint="eastAsia"/>
          <w:szCs w:val="21"/>
          <w:highlight w:val="none"/>
        </w:rPr>
        <w:t>其他工程技术人员由投标人按工程内容自行考虑并予以配置</w:t>
      </w:r>
    </w:p>
    <w:p w14:paraId="169EF11D">
      <w:pPr>
        <w:rPr>
          <w:rFonts w:ascii="宋体" w:hAnsi="宋体" w:cs="宋体"/>
          <w:szCs w:val="21"/>
          <w:highlight w:val="none"/>
        </w:rPr>
      </w:pPr>
      <w:r>
        <w:rPr>
          <w:rFonts w:hint="eastAsia" w:ascii="宋体" w:hAnsi="宋体" w:cs="宋体"/>
          <w:szCs w:val="21"/>
          <w:highlight w:val="none"/>
        </w:rPr>
        <w:t>附表五（适用于加权平均法）</w:t>
      </w:r>
    </w:p>
    <w:p w14:paraId="6A94A9DE">
      <w:pPr>
        <w:jc w:val="center"/>
        <w:rPr>
          <w:rFonts w:ascii="宋体" w:hAnsi="宋体" w:cs="宋体"/>
          <w:b/>
          <w:sz w:val="36"/>
          <w:szCs w:val="36"/>
          <w:highlight w:val="none"/>
        </w:rPr>
      </w:pPr>
      <w:r>
        <w:rPr>
          <w:rFonts w:hint="eastAsia" w:ascii="宋体" w:hAnsi="宋体" w:cs="宋体"/>
          <w:b/>
          <w:sz w:val="36"/>
          <w:szCs w:val="36"/>
          <w:highlight w:val="none"/>
        </w:rPr>
        <w:t>经济标评分表</w:t>
      </w:r>
    </w:p>
    <w:p w14:paraId="64459CA9">
      <w:pPr>
        <w:rPr>
          <w:rFonts w:ascii="宋体" w:hAnsi="宋体" w:cs="宋体"/>
          <w:szCs w:val="21"/>
          <w:highlight w:val="none"/>
        </w:rPr>
      </w:pPr>
      <w:r>
        <w:rPr>
          <w:rFonts w:hint="eastAsia" w:ascii="宋体" w:hAnsi="宋体" w:cs="宋体"/>
          <w:szCs w:val="21"/>
          <w:highlight w:val="none"/>
        </w:rPr>
        <w:t>工程名称：</w:t>
      </w:r>
    </w:p>
    <w:tbl>
      <w:tblPr>
        <w:tblStyle w:val="5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gridCol w:w="1017"/>
        <w:gridCol w:w="12"/>
        <w:gridCol w:w="1042"/>
        <w:gridCol w:w="1041"/>
        <w:gridCol w:w="1041"/>
        <w:gridCol w:w="1041"/>
        <w:gridCol w:w="1041"/>
        <w:gridCol w:w="1041"/>
        <w:gridCol w:w="1041"/>
        <w:gridCol w:w="1041"/>
        <w:gridCol w:w="1041"/>
        <w:gridCol w:w="1041"/>
        <w:gridCol w:w="1040"/>
      </w:tblGrid>
      <w:tr w14:paraId="774B0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80" w:type="dxa"/>
            <w:tcBorders>
              <w:top w:val="single" w:color="auto" w:sz="4" w:space="0"/>
              <w:left w:val="single" w:color="auto" w:sz="4" w:space="0"/>
              <w:bottom w:val="single" w:color="auto" w:sz="4" w:space="0"/>
              <w:right w:val="single" w:color="auto" w:sz="4" w:space="0"/>
            </w:tcBorders>
            <w:vAlign w:val="center"/>
          </w:tcPr>
          <w:p w14:paraId="5D97F8A1">
            <w:pPr>
              <w:rPr>
                <w:rFonts w:ascii="宋体" w:hAnsi="宋体" w:cs="宋体"/>
                <w:szCs w:val="21"/>
                <w:highlight w:val="none"/>
              </w:rPr>
            </w:pPr>
            <w:r>
              <w:rPr>
                <w:rFonts w:hint="eastAsia" w:ascii="宋体" w:hAnsi="宋体" w:cs="宋体"/>
                <w:szCs w:val="21"/>
                <w:highlight w:val="none"/>
              </w:rPr>
              <w:t>投标人名称</w:t>
            </w:r>
          </w:p>
        </w:tc>
        <w:tc>
          <w:tcPr>
            <w:tcW w:w="1029" w:type="dxa"/>
            <w:gridSpan w:val="2"/>
            <w:tcBorders>
              <w:top w:val="single" w:color="auto" w:sz="4" w:space="0"/>
              <w:left w:val="single" w:color="auto" w:sz="4" w:space="0"/>
              <w:bottom w:val="single" w:color="auto" w:sz="4" w:space="0"/>
              <w:right w:val="single" w:color="auto" w:sz="4" w:space="0"/>
            </w:tcBorders>
            <w:vAlign w:val="center"/>
          </w:tcPr>
          <w:p w14:paraId="2A2A0E48">
            <w:pPr>
              <w:rPr>
                <w:rFonts w:ascii="宋体" w:hAnsi="宋体" w:cs="宋体"/>
                <w:szCs w:val="21"/>
                <w:highlight w:val="none"/>
              </w:rPr>
            </w:pPr>
          </w:p>
        </w:tc>
        <w:tc>
          <w:tcPr>
            <w:tcW w:w="1042" w:type="dxa"/>
            <w:tcBorders>
              <w:top w:val="single" w:color="auto" w:sz="4" w:space="0"/>
              <w:left w:val="single" w:color="auto" w:sz="4" w:space="0"/>
              <w:bottom w:val="single" w:color="auto" w:sz="4" w:space="0"/>
              <w:right w:val="single" w:color="auto" w:sz="4" w:space="0"/>
            </w:tcBorders>
            <w:vAlign w:val="center"/>
          </w:tcPr>
          <w:p w14:paraId="2A72B92C">
            <w:pPr>
              <w:rPr>
                <w:rFonts w:ascii="宋体" w:hAnsi="宋体" w:cs="宋体"/>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0E369EBC">
            <w:pPr>
              <w:rPr>
                <w:rFonts w:ascii="宋体" w:hAnsi="宋体" w:cs="宋体"/>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60744C4A">
            <w:pPr>
              <w:rPr>
                <w:rFonts w:ascii="宋体" w:hAnsi="宋体" w:cs="宋体"/>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689FA359">
            <w:pPr>
              <w:rPr>
                <w:rFonts w:ascii="宋体" w:hAnsi="宋体" w:cs="宋体"/>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4F4A7FD2">
            <w:pPr>
              <w:rPr>
                <w:rFonts w:ascii="宋体" w:hAnsi="宋体" w:cs="宋体"/>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78168A1B">
            <w:pPr>
              <w:rPr>
                <w:rFonts w:ascii="宋体" w:hAnsi="宋体" w:cs="宋体"/>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13BD2074">
            <w:pPr>
              <w:rPr>
                <w:rFonts w:ascii="宋体" w:hAnsi="宋体" w:cs="宋体"/>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5992B251">
            <w:pPr>
              <w:rPr>
                <w:rFonts w:ascii="宋体" w:hAnsi="宋体" w:cs="宋体"/>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6BCFC5C2">
            <w:pPr>
              <w:rPr>
                <w:rFonts w:ascii="宋体" w:hAnsi="宋体" w:cs="宋体"/>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1CE298BE">
            <w:pPr>
              <w:rPr>
                <w:rFonts w:ascii="宋体" w:hAnsi="宋体" w:cs="宋体"/>
                <w:szCs w:val="21"/>
                <w:highlight w:val="none"/>
              </w:rPr>
            </w:pPr>
          </w:p>
        </w:tc>
        <w:tc>
          <w:tcPr>
            <w:tcW w:w="1040" w:type="dxa"/>
            <w:tcBorders>
              <w:top w:val="single" w:color="auto" w:sz="4" w:space="0"/>
              <w:left w:val="single" w:color="auto" w:sz="4" w:space="0"/>
              <w:bottom w:val="single" w:color="auto" w:sz="4" w:space="0"/>
              <w:right w:val="single" w:color="auto" w:sz="4" w:space="0"/>
            </w:tcBorders>
            <w:vAlign w:val="center"/>
          </w:tcPr>
          <w:p w14:paraId="3C0A6ED7">
            <w:pPr>
              <w:rPr>
                <w:rFonts w:ascii="宋体" w:hAnsi="宋体" w:cs="宋体"/>
                <w:szCs w:val="21"/>
                <w:highlight w:val="none"/>
              </w:rPr>
            </w:pPr>
          </w:p>
        </w:tc>
      </w:tr>
      <w:tr w14:paraId="40DB6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80" w:type="dxa"/>
            <w:tcBorders>
              <w:top w:val="single" w:color="auto" w:sz="4" w:space="0"/>
              <w:left w:val="single" w:color="auto" w:sz="4" w:space="0"/>
              <w:bottom w:val="single" w:color="auto" w:sz="4" w:space="0"/>
              <w:right w:val="single" w:color="auto" w:sz="4" w:space="0"/>
            </w:tcBorders>
            <w:vAlign w:val="center"/>
          </w:tcPr>
          <w:p w14:paraId="13A50A4A">
            <w:pPr>
              <w:rPr>
                <w:rFonts w:ascii="宋体" w:hAnsi="宋体" w:cs="宋体"/>
                <w:szCs w:val="21"/>
                <w:highlight w:val="none"/>
              </w:rPr>
            </w:pPr>
            <w:r>
              <w:rPr>
                <w:rFonts w:hint="eastAsia" w:ascii="宋体" w:hAnsi="宋体" w:cs="宋体"/>
                <w:szCs w:val="21"/>
                <w:highlight w:val="none"/>
              </w:rPr>
              <w:t>投标报价PT（元）</w:t>
            </w:r>
          </w:p>
        </w:tc>
        <w:tc>
          <w:tcPr>
            <w:tcW w:w="1029" w:type="dxa"/>
            <w:gridSpan w:val="2"/>
            <w:tcBorders>
              <w:top w:val="single" w:color="auto" w:sz="4" w:space="0"/>
              <w:left w:val="single" w:color="auto" w:sz="4" w:space="0"/>
              <w:bottom w:val="single" w:color="auto" w:sz="4" w:space="0"/>
              <w:right w:val="single" w:color="auto" w:sz="4" w:space="0"/>
            </w:tcBorders>
            <w:vAlign w:val="center"/>
          </w:tcPr>
          <w:p w14:paraId="3D886E28">
            <w:pPr>
              <w:rPr>
                <w:rFonts w:ascii="宋体" w:hAnsi="宋体" w:cs="宋体"/>
                <w:szCs w:val="21"/>
                <w:highlight w:val="none"/>
              </w:rPr>
            </w:pPr>
          </w:p>
        </w:tc>
        <w:tc>
          <w:tcPr>
            <w:tcW w:w="1042" w:type="dxa"/>
            <w:tcBorders>
              <w:top w:val="single" w:color="auto" w:sz="4" w:space="0"/>
              <w:left w:val="single" w:color="auto" w:sz="4" w:space="0"/>
              <w:bottom w:val="single" w:color="auto" w:sz="4" w:space="0"/>
              <w:right w:val="single" w:color="auto" w:sz="4" w:space="0"/>
            </w:tcBorders>
            <w:vAlign w:val="center"/>
          </w:tcPr>
          <w:p w14:paraId="35F6D3FE">
            <w:pPr>
              <w:rPr>
                <w:rFonts w:ascii="宋体" w:hAnsi="宋体" w:cs="宋体"/>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592F7A7C">
            <w:pPr>
              <w:rPr>
                <w:rFonts w:ascii="宋体" w:hAnsi="宋体" w:cs="宋体"/>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0D7ABE44">
            <w:pPr>
              <w:rPr>
                <w:rFonts w:ascii="宋体" w:hAnsi="宋体" w:cs="宋体"/>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38E1FAAA">
            <w:pPr>
              <w:rPr>
                <w:rFonts w:ascii="宋体" w:hAnsi="宋体" w:cs="宋体"/>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505A1BEE">
            <w:pPr>
              <w:rPr>
                <w:rFonts w:ascii="宋体" w:hAnsi="宋体" w:cs="宋体"/>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2BEE60F0">
            <w:pPr>
              <w:rPr>
                <w:rFonts w:ascii="宋体" w:hAnsi="宋体" w:cs="宋体"/>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7309AB1B">
            <w:pPr>
              <w:rPr>
                <w:rFonts w:ascii="宋体" w:hAnsi="宋体" w:cs="宋体"/>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54F6156E">
            <w:pPr>
              <w:rPr>
                <w:rFonts w:ascii="宋体" w:hAnsi="宋体" w:cs="宋体"/>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7FA10914">
            <w:pPr>
              <w:rPr>
                <w:rFonts w:ascii="宋体" w:hAnsi="宋体" w:cs="宋体"/>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5FE64896">
            <w:pPr>
              <w:rPr>
                <w:rFonts w:ascii="宋体" w:hAnsi="宋体" w:cs="宋体"/>
                <w:szCs w:val="21"/>
                <w:highlight w:val="none"/>
              </w:rPr>
            </w:pPr>
          </w:p>
        </w:tc>
        <w:tc>
          <w:tcPr>
            <w:tcW w:w="1040" w:type="dxa"/>
            <w:tcBorders>
              <w:top w:val="single" w:color="auto" w:sz="4" w:space="0"/>
              <w:left w:val="single" w:color="auto" w:sz="4" w:space="0"/>
              <w:bottom w:val="single" w:color="auto" w:sz="4" w:space="0"/>
              <w:right w:val="single" w:color="auto" w:sz="4" w:space="0"/>
            </w:tcBorders>
            <w:vAlign w:val="center"/>
          </w:tcPr>
          <w:p w14:paraId="207B9A4E">
            <w:pPr>
              <w:rPr>
                <w:rFonts w:ascii="宋体" w:hAnsi="宋体" w:cs="宋体"/>
                <w:szCs w:val="21"/>
                <w:highlight w:val="none"/>
              </w:rPr>
            </w:pPr>
          </w:p>
        </w:tc>
      </w:tr>
      <w:tr w14:paraId="7E68C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80" w:type="dxa"/>
            <w:tcBorders>
              <w:top w:val="single" w:color="auto" w:sz="4" w:space="0"/>
              <w:left w:val="single" w:color="auto" w:sz="4" w:space="0"/>
              <w:bottom w:val="single" w:color="auto" w:sz="4" w:space="0"/>
              <w:right w:val="single" w:color="auto" w:sz="4" w:space="0"/>
            </w:tcBorders>
            <w:vAlign w:val="center"/>
          </w:tcPr>
          <w:p w14:paraId="3C0460E1">
            <w:pPr>
              <w:rPr>
                <w:rFonts w:ascii="宋体" w:hAnsi="宋体" w:cs="宋体"/>
                <w:szCs w:val="21"/>
                <w:highlight w:val="none"/>
              </w:rPr>
            </w:pPr>
            <w:r>
              <w:rPr>
                <w:rFonts w:hint="eastAsia" w:ascii="宋体" w:hAnsi="宋体" w:cs="宋体"/>
                <w:szCs w:val="21"/>
                <w:highlight w:val="none"/>
              </w:rPr>
              <w:t>报价权重</w:t>
            </w:r>
          </w:p>
        </w:tc>
        <w:tc>
          <w:tcPr>
            <w:tcW w:w="1017" w:type="dxa"/>
            <w:tcBorders>
              <w:top w:val="single" w:color="auto" w:sz="4" w:space="0"/>
              <w:left w:val="single" w:color="auto" w:sz="4" w:space="0"/>
              <w:bottom w:val="single" w:color="auto" w:sz="4" w:space="0"/>
              <w:right w:val="single" w:color="auto" w:sz="4" w:space="0"/>
            </w:tcBorders>
            <w:vAlign w:val="center"/>
          </w:tcPr>
          <w:p w14:paraId="0F05625F">
            <w:pPr>
              <w:rPr>
                <w:rFonts w:ascii="宋体" w:hAnsi="宋体" w:cs="宋体"/>
                <w:szCs w:val="21"/>
                <w:highlight w:val="none"/>
              </w:rPr>
            </w:pPr>
          </w:p>
        </w:tc>
        <w:tc>
          <w:tcPr>
            <w:tcW w:w="1054" w:type="dxa"/>
            <w:gridSpan w:val="2"/>
            <w:tcBorders>
              <w:top w:val="single" w:color="auto" w:sz="4" w:space="0"/>
              <w:left w:val="single" w:color="auto" w:sz="4" w:space="0"/>
              <w:bottom w:val="single" w:color="auto" w:sz="4" w:space="0"/>
              <w:right w:val="single" w:color="auto" w:sz="4" w:space="0"/>
            </w:tcBorders>
            <w:vAlign w:val="center"/>
          </w:tcPr>
          <w:p w14:paraId="5C9B86B0">
            <w:pPr>
              <w:rPr>
                <w:rFonts w:ascii="宋体" w:hAnsi="宋体" w:cs="宋体"/>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558B0645">
            <w:pPr>
              <w:rPr>
                <w:rFonts w:ascii="宋体" w:hAnsi="宋体" w:cs="宋体"/>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517C7A54">
            <w:pPr>
              <w:rPr>
                <w:rFonts w:ascii="宋体" w:hAnsi="宋体" w:cs="宋体"/>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2F6DCC9F">
            <w:pPr>
              <w:rPr>
                <w:rFonts w:ascii="宋体" w:hAnsi="宋体" w:cs="宋体"/>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224FBD04">
            <w:pPr>
              <w:rPr>
                <w:rFonts w:ascii="宋体" w:hAnsi="宋体" w:cs="宋体"/>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68130057">
            <w:pPr>
              <w:rPr>
                <w:rFonts w:ascii="宋体" w:hAnsi="宋体" w:cs="宋体"/>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3C010B28">
            <w:pPr>
              <w:rPr>
                <w:rFonts w:ascii="宋体" w:hAnsi="宋体" w:cs="宋体"/>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0F15D98C">
            <w:pPr>
              <w:rPr>
                <w:rFonts w:ascii="宋体" w:hAnsi="宋体" w:cs="宋体"/>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5447856F">
            <w:pPr>
              <w:rPr>
                <w:rFonts w:ascii="宋体" w:hAnsi="宋体" w:cs="宋体"/>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56D6C84B">
            <w:pPr>
              <w:rPr>
                <w:rFonts w:ascii="宋体" w:hAnsi="宋体" w:cs="宋体"/>
                <w:szCs w:val="21"/>
                <w:highlight w:val="none"/>
              </w:rPr>
            </w:pPr>
          </w:p>
        </w:tc>
        <w:tc>
          <w:tcPr>
            <w:tcW w:w="1040" w:type="dxa"/>
            <w:tcBorders>
              <w:top w:val="single" w:color="auto" w:sz="4" w:space="0"/>
              <w:left w:val="single" w:color="auto" w:sz="4" w:space="0"/>
              <w:bottom w:val="single" w:color="auto" w:sz="4" w:space="0"/>
              <w:right w:val="single" w:color="auto" w:sz="4" w:space="0"/>
            </w:tcBorders>
            <w:vAlign w:val="center"/>
          </w:tcPr>
          <w:p w14:paraId="08CEBE57">
            <w:pPr>
              <w:rPr>
                <w:rFonts w:ascii="宋体" w:hAnsi="宋体" w:cs="宋体"/>
                <w:szCs w:val="21"/>
                <w:highlight w:val="none"/>
              </w:rPr>
            </w:pPr>
          </w:p>
        </w:tc>
      </w:tr>
      <w:tr w14:paraId="3B7A9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80" w:type="dxa"/>
            <w:tcBorders>
              <w:top w:val="single" w:color="auto" w:sz="4" w:space="0"/>
              <w:left w:val="single" w:color="auto" w:sz="4" w:space="0"/>
              <w:bottom w:val="single" w:color="auto" w:sz="4" w:space="0"/>
              <w:right w:val="single" w:color="auto" w:sz="4" w:space="0"/>
            </w:tcBorders>
            <w:vAlign w:val="center"/>
          </w:tcPr>
          <w:p w14:paraId="13E5B03E">
            <w:pPr>
              <w:rPr>
                <w:rFonts w:ascii="宋体" w:hAnsi="宋体" w:cs="宋体"/>
                <w:szCs w:val="21"/>
                <w:highlight w:val="none"/>
              </w:rPr>
            </w:pPr>
            <w:r>
              <w:rPr>
                <w:rFonts w:hint="eastAsia" w:ascii="宋体" w:hAnsi="宋体" w:cs="宋体"/>
                <w:szCs w:val="21"/>
                <w:highlight w:val="none"/>
              </w:rPr>
              <w:t>评标参考价PC（元）</w:t>
            </w:r>
          </w:p>
        </w:tc>
        <w:tc>
          <w:tcPr>
            <w:tcW w:w="12480" w:type="dxa"/>
            <w:gridSpan w:val="13"/>
            <w:tcBorders>
              <w:top w:val="single" w:color="auto" w:sz="4" w:space="0"/>
              <w:left w:val="single" w:color="auto" w:sz="4" w:space="0"/>
              <w:bottom w:val="single" w:color="auto" w:sz="4" w:space="0"/>
              <w:right w:val="single" w:color="auto" w:sz="4" w:space="0"/>
            </w:tcBorders>
            <w:vAlign w:val="center"/>
          </w:tcPr>
          <w:p w14:paraId="6DA70513">
            <w:pPr>
              <w:rPr>
                <w:rFonts w:ascii="宋体" w:hAnsi="宋体" w:cs="宋体"/>
                <w:szCs w:val="21"/>
                <w:highlight w:val="none"/>
              </w:rPr>
            </w:pPr>
          </w:p>
        </w:tc>
      </w:tr>
      <w:tr w14:paraId="0EFEF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80" w:type="dxa"/>
            <w:tcBorders>
              <w:top w:val="single" w:color="auto" w:sz="4" w:space="0"/>
              <w:left w:val="single" w:color="auto" w:sz="4" w:space="0"/>
              <w:bottom w:val="single" w:color="auto" w:sz="4" w:space="0"/>
              <w:right w:val="single" w:color="auto" w:sz="4" w:space="0"/>
            </w:tcBorders>
            <w:vAlign w:val="center"/>
          </w:tcPr>
          <w:p w14:paraId="6A52D158">
            <w:pPr>
              <w:rPr>
                <w:rFonts w:ascii="宋体" w:hAnsi="宋体" w:cs="宋体"/>
                <w:szCs w:val="21"/>
                <w:highlight w:val="none"/>
              </w:rPr>
            </w:pPr>
            <w:r>
              <w:rPr>
                <w:rFonts w:hint="eastAsia" w:ascii="宋体" w:hAnsi="宋体" w:cs="宋体"/>
                <w:szCs w:val="21"/>
                <w:highlight w:val="none"/>
              </w:rPr>
              <w:t>偏差（（PT-PC）/PC）（%）</w:t>
            </w:r>
          </w:p>
        </w:tc>
        <w:tc>
          <w:tcPr>
            <w:tcW w:w="1029" w:type="dxa"/>
            <w:gridSpan w:val="2"/>
            <w:tcBorders>
              <w:top w:val="single" w:color="auto" w:sz="4" w:space="0"/>
              <w:left w:val="single" w:color="auto" w:sz="4" w:space="0"/>
              <w:bottom w:val="single" w:color="auto" w:sz="4" w:space="0"/>
              <w:right w:val="single" w:color="auto" w:sz="4" w:space="0"/>
            </w:tcBorders>
            <w:vAlign w:val="center"/>
          </w:tcPr>
          <w:p w14:paraId="06361FCC">
            <w:pPr>
              <w:rPr>
                <w:rFonts w:ascii="宋体" w:hAnsi="宋体" w:cs="宋体"/>
                <w:szCs w:val="21"/>
                <w:highlight w:val="none"/>
              </w:rPr>
            </w:pPr>
          </w:p>
        </w:tc>
        <w:tc>
          <w:tcPr>
            <w:tcW w:w="1042" w:type="dxa"/>
            <w:tcBorders>
              <w:top w:val="single" w:color="auto" w:sz="4" w:space="0"/>
              <w:left w:val="single" w:color="auto" w:sz="4" w:space="0"/>
              <w:bottom w:val="single" w:color="auto" w:sz="4" w:space="0"/>
              <w:right w:val="single" w:color="auto" w:sz="4" w:space="0"/>
            </w:tcBorders>
            <w:vAlign w:val="center"/>
          </w:tcPr>
          <w:p w14:paraId="656E8E21">
            <w:pPr>
              <w:rPr>
                <w:rFonts w:ascii="宋体" w:hAnsi="宋体" w:cs="宋体"/>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5D4F6A98">
            <w:pPr>
              <w:rPr>
                <w:rFonts w:ascii="宋体" w:hAnsi="宋体" w:cs="宋体"/>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4AB9248E">
            <w:pPr>
              <w:rPr>
                <w:rFonts w:ascii="宋体" w:hAnsi="宋体" w:cs="宋体"/>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3BBC4589">
            <w:pPr>
              <w:rPr>
                <w:rFonts w:ascii="宋体" w:hAnsi="宋体" w:cs="宋体"/>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40C46C77">
            <w:pPr>
              <w:rPr>
                <w:rFonts w:ascii="宋体" w:hAnsi="宋体" w:cs="宋体"/>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4A81E6F3">
            <w:pPr>
              <w:rPr>
                <w:rFonts w:ascii="宋体" w:hAnsi="宋体" w:cs="宋体"/>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7485CA52">
            <w:pPr>
              <w:rPr>
                <w:rFonts w:ascii="宋体" w:hAnsi="宋体" w:cs="宋体"/>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4BAFA805">
            <w:pPr>
              <w:rPr>
                <w:rFonts w:ascii="宋体" w:hAnsi="宋体" w:cs="宋体"/>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2CCDA7F3">
            <w:pPr>
              <w:rPr>
                <w:rFonts w:ascii="宋体" w:hAnsi="宋体" w:cs="宋体"/>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68B0F0D6">
            <w:pPr>
              <w:rPr>
                <w:rFonts w:ascii="宋体" w:hAnsi="宋体" w:cs="宋体"/>
                <w:szCs w:val="21"/>
                <w:highlight w:val="none"/>
              </w:rPr>
            </w:pPr>
          </w:p>
        </w:tc>
        <w:tc>
          <w:tcPr>
            <w:tcW w:w="1040" w:type="dxa"/>
            <w:tcBorders>
              <w:top w:val="single" w:color="auto" w:sz="4" w:space="0"/>
              <w:left w:val="single" w:color="auto" w:sz="4" w:space="0"/>
              <w:bottom w:val="single" w:color="auto" w:sz="4" w:space="0"/>
              <w:right w:val="single" w:color="auto" w:sz="4" w:space="0"/>
            </w:tcBorders>
            <w:vAlign w:val="center"/>
          </w:tcPr>
          <w:p w14:paraId="67144098">
            <w:pPr>
              <w:rPr>
                <w:rFonts w:ascii="宋体" w:hAnsi="宋体" w:cs="宋体"/>
                <w:szCs w:val="21"/>
                <w:highlight w:val="none"/>
              </w:rPr>
            </w:pPr>
          </w:p>
        </w:tc>
      </w:tr>
      <w:tr w14:paraId="4176F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80" w:type="dxa"/>
            <w:tcBorders>
              <w:top w:val="single" w:color="auto" w:sz="4" w:space="0"/>
              <w:left w:val="single" w:color="auto" w:sz="4" w:space="0"/>
              <w:bottom w:val="single" w:color="auto" w:sz="4" w:space="0"/>
              <w:right w:val="single" w:color="auto" w:sz="4" w:space="0"/>
            </w:tcBorders>
            <w:vAlign w:val="center"/>
          </w:tcPr>
          <w:p w14:paraId="66068BD9">
            <w:pPr>
              <w:rPr>
                <w:rFonts w:ascii="宋体" w:hAnsi="宋体" w:cs="宋体"/>
                <w:szCs w:val="21"/>
                <w:highlight w:val="none"/>
              </w:rPr>
            </w:pPr>
            <w:r>
              <w:rPr>
                <w:rFonts w:hint="eastAsia" w:ascii="宋体" w:hAnsi="宋体" w:cs="宋体"/>
                <w:szCs w:val="21"/>
                <w:highlight w:val="none"/>
              </w:rPr>
              <w:t>减分（A）</w:t>
            </w:r>
          </w:p>
        </w:tc>
        <w:tc>
          <w:tcPr>
            <w:tcW w:w="1029" w:type="dxa"/>
            <w:gridSpan w:val="2"/>
            <w:tcBorders>
              <w:top w:val="single" w:color="auto" w:sz="4" w:space="0"/>
              <w:left w:val="single" w:color="auto" w:sz="4" w:space="0"/>
              <w:bottom w:val="single" w:color="auto" w:sz="4" w:space="0"/>
              <w:right w:val="single" w:color="auto" w:sz="4" w:space="0"/>
            </w:tcBorders>
            <w:vAlign w:val="center"/>
          </w:tcPr>
          <w:p w14:paraId="242FF1AE">
            <w:pPr>
              <w:rPr>
                <w:rFonts w:ascii="宋体" w:hAnsi="宋体" w:cs="宋体"/>
                <w:szCs w:val="21"/>
                <w:highlight w:val="none"/>
              </w:rPr>
            </w:pPr>
          </w:p>
        </w:tc>
        <w:tc>
          <w:tcPr>
            <w:tcW w:w="1042" w:type="dxa"/>
            <w:tcBorders>
              <w:top w:val="single" w:color="auto" w:sz="4" w:space="0"/>
              <w:left w:val="single" w:color="auto" w:sz="4" w:space="0"/>
              <w:bottom w:val="single" w:color="auto" w:sz="4" w:space="0"/>
              <w:right w:val="single" w:color="auto" w:sz="4" w:space="0"/>
            </w:tcBorders>
            <w:vAlign w:val="center"/>
          </w:tcPr>
          <w:p w14:paraId="5E575EA0">
            <w:pPr>
              <w:rPr>
                <w:rFonts w:ascii="宋体" w:hAnsi="宋体" w:cs="宋体"/>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58D605BA">
            <w:pPr>
              <w:rPr>
                <w:rFonts w:ascii="宋体" w:hAnsi="宋体" w:cs="宋体"/>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25A6961A">
            <w:pPr>
              <w:rPr>
                <w:rFonts w:ascii="宋体" w:hAnsi="宋体" w:cs="宋体"/>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02D91BA5">
            <w:pPr>
              <w:rPr>
                <w:rFonts w:ascii="宋体" w:hAnsi="宋体" w:cs="宋体"/>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5E064542">
            <w:pPr>
              <w:rPr>
                <w:rFonts w:ascii="宋体" w:hAnsi="宋体" w:cs="宋体"/>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319BD749">
            <w:pPr>
              <w:rPr>
                <w:rFonts w:ascii="宋体" w:hAnsi="宋体" w:cs="宋体"/>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429EE1FD">
            <w:pPr>
              <w:rPr>
                <w:rFonts w:ascii="宋体" w:hAnsi="宋体" w:cs="宋体"/>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645071E9">
            <w:pPr>
              <w:rPr>
                <w:rFonts w:ascii="宋体" w:hAnsi="宋体" w:cs="宋体"/>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7D2EF106">
            <w:pPr>
              <w:rPr>
                <w:rFonts w:ascii="宋体" w:hAnsi="宋体" w:cs="宋体"/>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0CE17D47">
            <w:pPr>
              <w:rPr>
                <w:rFonts w:ascii="宋体" w:hAnsi="宋体" w:cs="宋体"/>
                <w:szCs w:val="21"/>
                <w:highlight w:val="none"/>
              </w:rPr>
            </w:pPr>
          </w:p>
        </w:tc>
        <w:tc>
          <w:tcPr>
            <w:tcW w:w="1040" w:type="dxa"/>
            <w:tcBorders>
              <w:top w:val="single" w:color="auto" w:sz="4" w:space="0"/>
              <w:left w:val="single" w:color="auto" w:sz="4" w:space="0"/>
              <w:bottom w:val="single" w:color="auto" w:sz="4" w:space="0"/>
              <w:right w:val="single" w:color="auto" w:sz="4" w:space="0"/>
            </w:tcBorders>
            <w:vAlign w:val="center"/>
          </w:tcPr>
          <w:p w14:paraId="418FB747">
            <w:pPr>
              <w:rPr>
                <w:rFonts w:ascii="宋体" w:hAnsi="宋体" w:cs="宋体"/>
                <w:szCs w:val="21"/>
                <w:highlight w:val="none"/>
              </w:rPr>
            </w:pPr>
          </w:p>
        </w:tc>
      </w:tr>
      <w:tr w14:paraId="08523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80" w:type="dxa"/>
            <w:tcBorders>
              <w:top w:val="single" w:color="auto" w:sz="4" w:space="0"/>
              <w:left w:val="single" w:color="auto" w:sz="4" w:space="0"/>
              <w:bottom w:val="single" w:color="auto" w:sz="4" w:space="0"/>
              <w:right w:val="single" w:color="auto" w:sz="4" w:space="0"/>
            </w:tcBorders>
            <w:vAlign w:val="center"/>
          </w:tcPr>
          <w:p w14:paraId="0C1ED12C">
            <w:pPr>
              <w:rPr>
                <w:rFonts w:ascii="宋体" w:hAnsi="宋体" w:cs="宋体"/>
                <w:szCs w:val="21"/>
                <w:highlight w:val="none"/>
              </w:rPr>
            </w:pPr>
            <w:r>
              <w:rPr>
                <w:rFonts w:hint="eastAsia" w:ascii="宋体" w:hAnsi="宋体" w:cs="宋体"/>
                <w:szCs w:val="21"/>
                <w:highlight w:val="none"/>
              </w:rPr>
              <w:t>得分(I=100-A)</w:t>
            </w:r>
          </w:p>
        </w:tc>
        <w:tc>
          <w:tcPr>
            <w:tcW w:w="1029" w:type="dxa"/>
            <w:gridSpan w:val="2"/>
            <w:tcBorders>
              <w:top w:val="single" w:color="auto" w:sz="4" w:space="0"/>
              <w:left w:val="single" w:color="auto" w:sz="4" w:space="0"/>
              <w:bottom w:val="single" w:color="auto" w:sz="4" w:space="0"/>
              <w:right w:val="single" w:color="auto" w:sz="4" w:space="0"/>
            </w:tcBorders>
            <w:vAlign w:val="center"/>
          </w:tcPr>
          <w:p w14:paraId="154B4C9E">
            <w:pPr>
              <w:rPr>
                <w:rFonts w:ascii="宋体" w:hAnsi="宋体" w:cs="宋体"/>
                <w:szCs w:val="21"/>
                <w:highlight w:val="none"/>
              </w:rPr>
            </w:pPr>
          </w:p>
        </w:tc>
        <w:tc>
          <w:tcPr>
            <w:tcW w:w="1042" w:type="dxa"/>
            <w:tcBorders>
              <w:top w:val="single" w:color="auto" w:sz="4" w:space="0"/>
              <w:left w:val="single" w:color="auto" w:sz="4" w:space="0"/>
              <w:bottom w:val="single" w:color="auto" w:sz="4" w:space="0"/>
              <w:right w:val="single" w:color="auto" w:sz="4" w:space="0"/>
            </w:tcBorders>
            <w:vAlign w:val="center"/>
          </w:tcPr>
          <w:p w14:paraId="04C715C1">
            <w:pPr>
              <w:rPr>
                <w:rFonts w:ascii="宋体" w:hAnsi="宋体" w:cs="宋体"/>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649A441C">
            <w:pPr>
              <w:rPr>
                <w:rFonts w:ascii="宋体" w:hAnsi="宋体" w:cs="宋体"/>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0D33CC74">
            <w:pPr>
              <w:rPr>
                <w:rFonts w:ascii="宋体" w:hAnsi="宋体" w:cs="宋体"/>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17372F4C">
            <w:pPr>
              <w:rPr>
                <w:rFonts w:ascii="宋体" w:hAnsi="宋体" w:cs="宋体"/>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3B1E3014">
            <w:pPr>
              <w:rPr>
                <w:rFonts w:ascii="宋体" w:hAnsi="宋体" w:cs="宋体"/>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10275552">
            <w:pPr>
              <w:rPr>
                <w:rFonts w:ascii="宋体" w:hAnsi="宋体" w:cs="宋体"/>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5000ED66">
            <w:pPr>
              <w:rPr>
                <w:rFonts w:ascii="宋体" w:hAnsi="宋体" w:cs="宋体"/>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4EA04E40">
            <w:pPr>
              <w:rPr>
                <w:rFonts w:ascii="宋体" w:hAnsi="宋体" w:cs="宋体"/>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76E6D22D">
            <w:pPr>
              <w:rPr>
                <w:rFonts w:ascii="宋体" w:hAnsi="宋体" w:cs="宋体"/>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1019FBE4">
            <w:pPr>
              <w:rPr>
                <w:rFonts w:ascii="宋体" w:hAnsi="宋体" w:cs="宋体"/>
                <w:szCs w:val="21"/>
                <w:highlight w:val="none"/>
              </w:rPr>
            </w:pPr>
          </w:p>
        </w:tc>
        <w:tc>
          <w:tcPr>
            <w:tcW w:w="1040" w:type="dxa"/>
            <w:tcBorders>
              <w:top w:val="single" w:color="auto" w:sz="4" w:space="0"/>
              <w:left w:val="single" w:color="auto" w:sz="4" w:space="0"/>
              <w:bottom w:val="single" w:color="auto" w:sz="4" w:space="0"/>
              <w:right w:val="single" w:color="auto" w:sz="4" w:space="0"/>
            </w:tcBorders>
            <w:vAlign w:val="center"/>
          </w:tcPr>
          <w:p w14:paraId="4FE110E6">
            <w:pPr>
              <w:rPr>
                <w:rFonts w:ascii="宋体" w:hAnsi="宋体" w:cs="宋体"/>
                <w:szCs w:val="21"/>
                <w:highlight w:val="none"/>
              </w:rPr>
            </w:pPr>
          </w:p>
        </w:tc>
      </w:tr>
      <w:tr w14:paraId="17C02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80" w:type="dxa"/>
            <w:tcBorders>
              <w:top w:val="single" w:color="auto" w:sz="4" w:space="0"/>
              <w:left w:val="single" w:color="auto" w:sz="4" w:space="0"/>
              <w:bottom w:val="single" w:color="auto" w:sz="4" w:space="0"/>
              <w:right w:val="single" w:color="auto" w:sz="4" w:space="0"/>
            </w:tcBorders>
            <w:vAlign w:val="center"/>
          </w:tcPr>
          <w:p w14:paraId="54C06FDE">
            <w:pPr>
              <w:rPr>
                <w:rFonts w:ascii="宋体" w:hAnsi="宋体" w:cs="宋体"/>
                <w:szCs w:val="21"/>
                <w:highlight w:val="none"/>
              </w:rPr>
            </w:pPr>
            <w:r>
              <w:rPr>
                <w:rFonts w:hint="eastAsia" w:ascii="宋体" w:hAnsi="宋体" w:cs="宋体"/>
                <w:szCs w:val="21"/>
                <w:highlight w:val="none"/>
              </w:rPr>
              <w:t>得分排名次序</w:t>
            </w:r>
          </w:p>
        </w:tc>
        <w:tc>
          <w:tcPr>
            <w:tcW w:w="1029" w:type="dxa"/>
            <w:gridSpan w:val="2"/>
            <w:tcBorders>
              <w:top w:val="single" w:color="auto" w:sz="4" w:space="0"/>
              <w:left w:val="single" w:color="auto" w:sz="4" w:space="0"/>
              <w:bottom w:val="single" w:color="auto" w:sz="4" w:space="0"/>
              <w:right w:val="single" w:color="auto" w:sz="4" w:space="0"/>
            </w:tcBorders>
            <w:vAlign w:val="center"/>
          </w:tcPr>
          <w:p w14:paraId="759077DA">
            <w:pPr>
              <w:rPr>
                <w:rFonts w:ascii="宋体" w:hAnsi="宋体" w:cs="宋体"/>
                <w:szCs w:val="21"/>
                <w:highlight w:val="none"/>
              </w:rPr>
            </w:pPr>
          </w:p>
        </w:tc>
        <w:tc>
          <w:tcPr>
            <w:tcW w:w="1042" w:type="dxa"/>
            <w:tcBorders>
              <w:top w:val="single" w:color="auto" w:sz="4" w:space="0"/>
              <w:left w:val="single" w:color="auto" w:sz="4" w:space="0"/>
              <w:bottom w:val="single" w:color="auto" w:sz="4" w:space="0"/>
              <w:right w:val="single" w:color="auto" w:sz="4" w:space="0"/>
            </w:tcBorders>
            <w:vAlign w:val="center"/>
          </w:tcPr>
          <w:p w14:paraId="4252EF17">
            <w:pPr>
              <w:rPr>
                <w:rFonts w:ascii="宋体" w:hAnsi="宋体" w:cs="宋体"/>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02AB19CE">
            <w:pPr>
              <w:rPr>
                <w:rFonts w:ascii="宋体" w:hAnsi="宋体" w:cs="宋体"/>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79099C25">
            <w:pPr>
              <w:rPr>
                <w:rFonts w:ascii="宋体" w:hAnsi="宋体" w:cs="宋体"/>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00B82D03">
            <w:pPr>
              <w:rPr>
                <w:rFonts w:ascii="宋体" w:hAnsi="宋体" w:cs="宋体"/>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34A36FFB">
            <w:pPr>
              <w:rPr>
                <w:rFonts w:ascii="宋体" w:hAnsi="宋体" w:cs="宋体"/>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7D0BCA3F">
            <w:pPr>
              <w:rPr>
                <w:rFonts w:ascii="宋体" w:hAnsi="宋体" w:cs="宋体"/>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485AC4F7">
            <w:pPr>
              <w:rPr>
                <w:rFonts w:ascii="宋体" w:hAnsi="宋体" w:cs="宋体"/>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5D431384">
            <w:pPr>
              <w:rPr>
                <w:rFonts w:ascii="宋体" w:hAnsi="宋体" w:cs="宋体"/>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71509C59">
            <w:pPr>
              <w:rPr>
                <w:rFonts w:ascii="宋体" w:hAnsi="宋体" w:cs="宋体"/>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3C8AE3AA">
            <w:pPr>
              <w:rPr>
                <w:rFonts w:ascii="宋体" w:hAnsi="宋体" w:cs="宋体"/>
                <w:szCs w:val="21"/>
                <w:highlight w:val="none"/>
              </w:rPr>
            </w:pPr>
          </w:p>
        </w:tc>
        <w:tc>
          <w:tcPr>
            <w:tcW w:w="1040" w:type="dxa"/>
            <w:tcBorders>
              <w:top w:val="single" w:color="auto" w:sz="4" w:space="0"/>
              <w:left w:val="single" w:color="auto" w:sz="4" w:space="0"/>
              <w:bottom w:val="single" w:color="auto" w:sz="4" w:space="0"/>
              <w:right w:val="single" w:color="auto" w:sz="4" w:space="0"/>
            </w:tcBorders>
            <w:vAlign w:val="center"/>
          </w:tcPr>
          <w:p w14:paraId="374CC8CD">
            <w:pPr>
              <w:rPr>
                <w:rFonts w:ascii="宋体" w:hAnsi="宋体" w:cs="宋体"/>
                <w:szCs w:val="21"/>
                <w:highlight w:val="none"/>
              </w:rPr>
            </w:pPr>
          </w:p>
        </w:tc>
      </w:tr>
    </w:tbl>
    <w:p w14:paraId="413FA6A1">
      <w:pPr>
        <w:rPr>
          <w:rFonts w:ascii="宋体" w:hAnsi="宋体" w:cs="宋体"/>
          <w:szCs w:val="21"/>
          <w:highlight w:val="none"/>
        </w:rPr>
      </w:pPr>
      <w:r>
        <w:rPr>
          <w:rFonts w:hint="eastAsia" w:ascii="宋体" w:hAnsi="宋体" w:cs="宋体"/>
          <w:szCs w:val="21"/>
          <w:highlight w:val="none"/>
        </w:rPr>
        <w:t>评委签名：</w:t>
      </w:r>
      <w:r>
        <w:rPr>
          <w:rFonts w:hint="eastAsia" w:ascii="宋体" w:hAnsi="宋体" w:cs="宋体"/>
          <w:szCs w:val="21"/>
          <w:highlight w:val="none"/>
        </w:rPr>
        <w:br w:type="page"/>
      </w:r>
    </w:p>
    <w:p w14:paraId="41E833B9">
      <w:pPr>
        <w:rPr>
          <w:rFonts w:ascii="宋体" w:hAnsi="宋体" w:cs="宋体"/>
          <w:b/>
          <w:szCs w:val="21"/>
          <w:highlight w:val="none"/>
        </w:rPr>
      </w:pPr>
      <w:r>
        <w:rPr>
          <w:rFonts w:hint="eastAsia" w:ascii="宋体" w:hAnsi="宋体" w:cs="宋体"/>
          <w:szCs w:val="21"/>
          <w:highlight w:val="none"/>
        </w:rPr>
        <w:t>附表六</w:t>
      </w:r>
    </w:p>
    <w:p w14:paraId="041513C2">
      <w:pPr>
        <w:jc w:val="center"/>
        <w:rPr>
          <w:rFonts w:ascii="宋体" w:hAnsi="宋体" w:cs="宋体"/>
          <w:b/>
          <w:sz w:val="36"/>
          <w:szCs w:val="36"/>
          <w:highlight w:val="none"/>
        </w:rPr>
      </w:pPr>
      <w:r>
        <w:rPr>
          <w:rFonts w:hint="eastAsia" w:ascii="宋体" w:hAnsi="宋体" w:cs="宋体"/>
          <w:b/>
          <w:sz w:val="36"/>
          <w:szCs w:val="36"/>
          <w:highlight w:val="none"/>
        </w:rPr>
        <w:t>算术复核表</w:t>
      </w:r>
    </w:p>
    <w:p w14:paraId="37A39AE5">
      <w:pPr>
        <w:rPr>
          <w:rFonts w:ascii="宋体" w:hAnsi="宋体" w:cs="宋体"/>
          <w:kern w:val="0"/>
          <w:szCs w:val="21"/>
          <w:highlight w:val="none"/>
        </w:rPr>
      </w:pPr>
      <w:r>
        <w:rPr>
          <w:rFonts w:hint="eastAsia" w:ascii="宋体" w:hAnsi="宋体" w:cs="宋体"/>
          <w:kern w:val="0"/>
          <w:szCs w:val="21"/>
          <w:highlight w:val="none"/>
        </w:rPr>
        <w:t>工程名称：                                           投标人:                                                  单位：元</w:t>
      </w:r>
    </w:p>
    <w:tbl>
      <w:tblPr>
        <w:tblStyle w:val="51"/>
        <w:tblW w:w="0" w:type="auto"/>
        <w:tblInd w:w="0" w:type="dxa"/>
        <w:tblLayout w:type="fixed"/>
        <w:tblCellMar>
          <w:top w:w="0" w:type="dxa"/>
          <w:left w:w="108" w:type="dxa"/>
          <w:bottom w:w="0" w:type="dxa"/>
          <w:right w:w="108" w:type="dxa"/>
        </w:tblCellMar>
      </w:tblPr>
      <w:tblGrid>
        <w:gridCol w:w="645"/>
        <w:gridCol w:w="4488"/>
        <w:gridCol w:w="1602"/>
        <w:gridCol w:w="1575"/>
        <w:gridCol w:w="1575"/>
        <w:gridCol w:w="1470"/>
        <w:gridCol w:w="3465"/>
      </w:tblGrid>
      <w:tr w14:paraId="023BE129">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14:paraId="1A7A1D7C">
            <w:pPr>
              <w:rPr>
                <w:rFonts w:ascii="宋体" w:hAnsi="宋体" w:cs="宋体"/>
                <w:kern w:val="0"/>
                <w:szCs w:val="21"/>
                <w:highlight w:val="none"/>
              </w:rPr>
            </w:pPr>
            <w:r>
              <w:rPr>
                <w:rFonts w:hint="eastAsia" w:ascii="宋体" w:hAnsi="宋体" w:cs="宋体"/>
                <w:kern w:val="0"/>
                <w:szCs w:val="21"/>
                <w:highlight w:val="none"/>
              </w:rPr>
              <w:t>编号</w:t>
            </w:r>
          </w:p>
        </w:tc>
        <w:tc>
          <w:tcPr>
            <w:tcW w:w="4488" w:type="dxa"/>
            <w:tcBorders>
              <w:top w:val="single" w:color="auto" w:sz="4" w:space="0"/>
              <w:left w:val="nil"/>
              <w:bottom w:val="single" w:color="auto" w:sz="4" w:space="0"/>
              <w:right w:val="single" w:color="auto" w:sz="4" w:space="0"/>
            </w:tcBorders>
            <w:vAlign w:val="center"/>
          </w:tcPr>
          <w:p w14:paraId="59C9CCCD">
            <w:pPr>
              <w:rPr>
                <w:rFonts w:ascii="宋体" w:hAnsi="宋体" w:cs="宋体"/>
                <w:kern w:val="0"/>
                <w:szCs w:val="21"/>
                <w:highlight w:val="none"/>
              </w:rPr>
            </w:pPr>
            <w:r>
              <w:rPr>
                <w:rFonts w:hint="eastAsia" w:ascii="宋体" w:hAnsi="宋体" w:cs="宋体"/>
                <w:kern w:val="0"/>
                <w:szCs w:val="21"/>
                <w:highlight w:val="none"/>
              </w:rPr>
              <w:t>算术校核项目</w:t>
            </w:r>
          </w:p>
        </w:tc>
        <w:tc>
          <w:tcPr>
            <w:tcW w:w="1602" w:type="dxa"/>
            <w:tcBorders>
              <w:top w:val="single" w:color="auto" w:sz="4" w:space="0"/>
              <w:left w:val="nil"/>
              <w:bottom w:val="single" w:color="auto" w:sz="4" w:space="0"/>
              <w:right w:val="single" w:color="auto" w:sz="4" w:space="0"/>
            </w:tcBorders>
            <w:vAlign w:val="center"/>
          </w:tcPr>
          <w:p w14:paraId="2DC2BB80">
            <w:pPr>
              <w:rPr>
                <w:rFonts w:ascii="宋体" w:hAnsi="宋体" w:cs="宋体"/>
                <w:kern w:val="0"/>
                <w:szCs w:val="21"/>
                <w:highlight w:val="none"/>
              </w:rPr>
            </w:pPr>
            <w:r>
              <w:rPr>
                <w:rFonts w:hint="eastAsia" w:ascii="宋体" w:hAnsi="宋体" w:cs="宋体"/>
                <w:kern w:val="0"/>
                <w:szCs w:val="21"/>
                <w:highlight w:val="none"/>
              </w:rPr>
              <w:t>修正前投标</w:t>
            </w:r>
          </w:p>
          <w:p w14:paraId="229FEDFA">
            <w:pPr>
              <w:rPr>
                <w:rFonts w:ascii="宋体" w:hAnsi="宋体" w:cs="宋体"/>
                <w:kern w:val="0"/>
                <w:szCs w:val="21"/>
                <w:highlight w:val="none"/>
              </w:rPr>
            </w:pPr>
            <w:r>
              <w:rPr>
                <w:rFonts w:hint="eastAsia" w:ascii="宋体" w:hAnsi="宋体" w:cs="宋体"/>
                <w:kern w:val="0"/>
                <w:szCs w:val="21"/>
                <w:highlight w:val="none"/>
              </w:rPr>
              <w:t>报价A</w:t>
            </w:r>
          </w:p>
        </w:tc>
        <w:tc>
          <w:tcPr>
            <w:tcW w:w="1575" w:type="dxa"/>
            <w:tcBorders>
              <w:top w:val="single" w:color="auto" w:sz="4" w:space="0"/>
              <w:left w:val="nil"/>
              <w:bottom w:val="single" w:color="auto" w:sz="4" w:space="0"/>
              <w:right w:val="single" w:color="auto" w:sz="4" w:space="0"/>
            </w:tcBorders>
            <w:vAlign w:val="center"/>
          </w:tcPr>
          <w:p w14:paraId="6C794671">
            <w:pPr>
              <w:rPr>
                <w:rFonts w:ascii="宋体" w:hAnsi="宋体" w:cs="宋体"/>
                <w:kern w:val="0"/>
                <w:szCs w:val="21"/>
                <w:highlight w:val="none"/>
              </w:rPr>
            </w:pPr>
            <w:r>
              <w:rPr>
                <w:rFonts w:hint="eastAsia" w:ascii="宋体" w:hAnsi="宋体" w:cs="宋体"/>
                <w:kern w:val="0"/>
                <w:szCs w:val="21"/>
                <w:highlight w:val="none"/>
              </w:rPr>
              <w:t>修正后投标</w:t>
            </w:r>
          </w:p>
          <w:p w14:paraId="039046DB">
            <w:pPr>
              <w:rPr>
                <w:rFonts w:ascii="宋体" w:hAnsi="宋体" w:cs="宋体"/>
                <w:kern w:val="0"/>
                <w:szCs w:val="21"/>
                <w:highlight w:val="none"/>
              </w:rPr>
            </w:pPr>
            <w:r>
              <w:rPr>
                <w:rFonts w:hint="eastAsia" w:ascii="宋体" w:hAnsi="宋体" w:cs="宋体"/>
                <w:kern w:val="0"/>
                <w:szCs w:val="21"/>
                <w:highlight w:val="none"/>
              </w:rPr>
              <w:t>报价B</w:t>
            </w:r>
          </w:p>
        </w:tc>
        <w:tc>
          <w:tcPr>
            <w:tcW w:w="1575" w:type="dxa"/>
            <w:tcBorders>
              <w:top w:val="single" w:color="auto" w:sz="4" w:space="0"/>
              <w:left w:val="nil"/>
              <w:bottom w:val="single" w:color="auto" w:sz="4" w:space="0"/>
              <w:right w:val="single" w:color="auto" w:sz="4" w:space="0"/>
            </w:tcBorders>
            <w:vAlign w:val="center"/>
          </w:tcPr>
          <w:p w14:paraId="50FADEF4">
            <w:pPr>
              <w:rPr>
                <w:rFonts w:ascii="宋体" w:hAnsi="宋体" w:cs="宋体"/>
                <w:kern w:val="0"/>
                <w:szCs w:val="21"/>
                <w:highlight w:val="none"/>
              </w:rPr>
            </w:pPr>
            <w:r>
              <w:rPr>
                <w:rFonts w:hint="eastAsia" w:ascii="宋体" w:hAnsi="宋体" w:cs="宋体"/>
                <w:kern w:val="0"/>
                <w:szCs w:val="21"/>
                <w:highlight w:val="none"/>
              </w:rPr>
              <w:t>修正率</w:t>
            </w:r>
          </w:p>
          <w:p w14:paraId="4348149A">
            <w:pPr>
              <w:rPr>
                <w:rFonts w:ascii="宋体" w:hAnsi="宋体" w:cs="宋体"/>
                <w:kern w:val="0"/>
                <w:szCs w:val="21"/>
                <w:highlight w:val="none"/>
              </w:rPr>
            </w:pPr>
            <w:r>
              <w:rPr>
                <w:rFonts w:hint="eastAsia" w:ascii="宋体" w:hAnsi="宋体" w:cs="宋体"/>
                <w:kern w:val="0"/>
                <w:szCs w:val="21"/>
                <w:highlight w:val="none"/>
              </w:rPr>
              <w:t>r=|A-B|/A*100%</w:t>
            </w:r>
          </w:p>
        </w:tc>
        <w:tc>
          <w:tcPr>
            <w:tcW w:w="1470" w:type="dxa"/>
            <w:tcBorders>
              <w:top w:val="single" w:color="auto" w:sz="4" w:space="0"/>
              <w:left w:val="nil"/>
              <w:bottom w:val="single" w:color="auto" w:sz="4" w:space="0"/>
              <w:right w:val="single" w:color="auto" w:sz="4" w:space="0"/>
            </w:tcBorders>
            <w:vAlign w:val="center"/>
          </w:tcPr>
          <w:p w14:paraId="3F4B293E">
            <w:pPr>
              <w:rPr>
                <w:rFonts w:ascii="宋体" w:hAnsi="宋体" w:cs="宋体"/>
                <w:kern w:val="0"/>
                <w:szCs w:val="21"/>
                <w:highlight w:val="none"/>
              </w:rPr>
            </w:pPr>
            <w:r>
              <w:rPr>
                <w:rFonts w:hint="eastAsia" w:ascii="宋体" w:hAnsi="宋体" w:cs="宋体"/>
                <w:kern w:val="0"/>
                <w:szCs w:val="21"/>
                <w:highlight w:val="none"/>
              </w:rPr>
              <w:t>经评审的最终投标报价</w:t>
            </w:r>
          </w:p>
        </w:tc>
        <w:tc>
          <w:tcPr>
            <w:tcW w:w="3465" w:type="dxa"/>
            <w:tcBorders>
              <w:top w:val="single" w:color="auto" w:sz="4" w:space="0"/>
              <w:left w:val="nil"/>
              <w:bottom w:val="single" w:color="auto" w:sz="4" w:space="0"/>
              <w:right w:val="single" w:color="auto" w:sz="4" w:space="0"/>
            </w:tcBorders>
            <w:vAlign w:val="center"/>
          </w:tcPr>
          <w:p w14:paraId="417A0C6F">
            <w:pPr>
              <w:rPr>
                <w:rFonts w:ascii="宋体" w:hAnsi="宋体" w:cs="宋体"/>
                <w:kern w:val="0"/>
                <w:szCs w:val="21"/>
                <w:highlight w:val="none"/>
              </w:rPr>
            </w:pPr>
            <w:r>
              <w:rPr>
                <w:rFonts w:hint="eastAsia" w:ascii="宋体" w:hAnsi="宋体" w:cs="宋体"/>
                <w:kern w:val="0"/>
                <w:szCs w:val="21"/>
                <w:highlight w:val="none"/>
              </w:rPr>
              <w:t>当B&gt;A时，修正后报价与原报价的差额；当B≤A时,R=0</w:t>
            </w:r>
          </w:p>
        </w:tc>
      </w:tr>
      <w:tr w14:paraId="4ED91AEE">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4E398569">
            <w:pPr>
              <w:rPr>
                <w:rFonts w:ascii="宋体" w:hAnsi="宋体" w:cs="宋体"/>
                <w:kern w:val="0"/>
                <w:szCs w:val="21"/>
                <w:highlight w:val="none"/>
              </w:rPr>
            </w:pPr>
            <w:r>
              <w:rPr>
                <w:rFonts w:hint="eastAsia" w:ascii="宋体" w:hAnsi="宋体" w:cs="宋体"/>
                <w:kern w:val="0"/>
                <w:szCs w:val="21"/>
                <w:highlight w:val="none"/>
              </w:rPr>
              <w:t>1</w:t>
            </w:r>
          </w:p>
        </w:tc>
        <w:tc>
          <w:tcPr>
            <w:tcW w:w="4488" w:type="dxa"/>
            <w:tcBorders>
              <w:top w:val="nil"/>
              <w:left w:val="nil"/>
              <w:bottom w:val="single" w:color="auto" w:sz="4" w:space="0"/>
              <w:right w:val="single" w:color="auto" w:sz="4" w:space="0"/>
            </w:tcBorders>
            <w:vAlign w:val="center"/>
          </w:tcPr>
          <w:p w14:paraId="0FBFEABC">
            <w:pPr>
              <w:rPr>
                <w:rFonts w:ascii="宋体" w:hAnsi="宋体" w:cs="宋体"/>
                <w:kern w:val="0"/>
                <w:szCs w:val="21"/>
                <w:highlight w:val="none"/>
              </w:rPr>
            </w:pPr>
            <w:r>
              <w:rPr>
                <w:rFonts w:hint="eastAsia" w:ascii="宋体" w:hAnsi="宋体" w:cs="宋体"/>
                <w:kern w:val="0"/>
                <w:szCs w:val="21"/>
                <w:highlight w:val="none"/>
              </w:rPr>
              <w:t>[单位工程1]</w:t>
            </w:r>
          </w:p>
        </w:tc>
        <w:tc>
          <w:tcPr>
            <w:tcW w:w="1602" w:type="dxa"/>
            <w:tcBorders>
              <w:top w:val="nil"/>
              <w:left w:val="nil"/>
              <w:bottom w:val="single" w:color="auto" w:sz="4" w:space="0"/>
              <w:right w:val="single" w:color="auto" w:sz="4" w:space="0"/>
            </w:tcBorders>
            <w:vAlign w:val="center"/>
          </w:tcPr>
          <w:p w14:paraId="509CF3C1">
            <w:pPr>
              <w:rPr>
                <w:rFonts w:ascii="宋体" w:hAnsi="宋体" w:cs="宋体"/>
                <w:kern w:val="0"/>
                <w:szCs w:val="21"/>
                <w:highlight w:val="none"/>
              </w:rPr>
            </w:pPr>
            <w:r>
              <w:rPr>
                <w:rFonts w:hint="eastAsia" w:ascii="宋体" w:hAnsi="宋体" w:cs="宋体"/>
                <w:kern w:val="0"/>
                <w:szCs w:val="21"/>
                <w:highlight w:val="none"/>
              </w:rPr>
              <w:t>　</w:t>
            </w:r>
          </w:p>
        </w:tc>
        <w:tc>
          <w:tcPr>
            <w:tcW w:w="1575" w:type="dxa"/>
            <w:tcBorders>
              <w:top w:val="nil"/>
              <w:left w:val="nil"/>
              <w:bottom w:val="single" w:color="auto" w:sz="4" w:space="0"/>
              <w:right w:val="single" w:color="auto" w:sz="4" w:space="0"/>
            </w:tcBorders>
            <w:vAlign w:val="center"/>
          </w:tcPr>
          <w:p w14:paraId="30401B91">
            <w:pPr>
              <w:rPr>
                <w:rFonts w:ascii="宋体" w:hAnsi="宋体" w:cs="宋体"/>
                <w:kern w:val="0"/>
                <w:szCs w:val="21"/>
                <w:highlight w:val="none"/>
              </w:rPr>
            </w:pPr>
            <w:r>
              <w:rPr>
                <w:rFonts w:hint="eastAsia" w:ascii="宋体" w:hAnsi="宋体" w:cs="宋体"/>
                <w:kern w:val="0"/>
                <w:szCs w:val="21"/>
                <w:highlight w:val="none"/>
              </w:rPr>
              <w:t>　</w:t>
            </w:r>
          </w:p>
        </w:tc>
        <w:tc>
          <w:tcPr>
            <w:tcW w:w="1575" w:type="dxa"/>
            <w:tcBorders>
              <w:top w:val="nil"/>
              <w:left w:val="nil"/>
              <w:bottom w:val="single" w:color="auto" w:sz="4" w:space="0"/>
              <w:right w:val="single" w:color="auto" w:sz="4" w:space="0"/>
            </w:tcBorders>
            <w:vAlign w:val="center"/>
          </w:tcPr>
          <w:p w14:paraId="266E4519">
            <w:pPr>
              <w:rPr>
                <w:rFonts w:ascii="宋体" w:hAnsi="宋体" w:cs="宋体"/>
                <w:kern w:val="0"/>
                <w:szCs w:val="21"/>
                <w:highlight w:val="none"/>
              </w:rPr>
            </w:pPr>
            <w:r>
              <w:rPr>
                <w:rFonts w:hint="eastAsia" w:ascii="宋体" w:hAnsi="宋体" w:cs="宋体"/>
                <w:kern w:val="0"/>
                <w:szCs w:val="21"/>
                <w:highlight w:val="none"/>
              </w:rPr>
              <w:t>　</w:t>
            </w:r>
          </w:p>
        </w:tc>
        <w:tc>
          <w:tcPr>
            <w:tcW w:w="1470" w:type="dxa"/>
            <w:tcBorders>
              <w:top w:val="nil"/>
              <w:left w:val="nil"/>
              <w:bottom w:val="single" w:color="auto" w:sz="4" w:space="0"/>
              <w:right w:val="single" w:color="auto" w:sz="4" w:space="0"/>
            </w:tcBorders>
            <w:vAlign w:val="center"/>
          </w:tcPr>
          <w:p w14:paraId="6F5D8521">
            <w:pPr>
              <w:rPr>
                <w:rFonts w:ascii="宋体" w:hAnsi="宋体" w:cs="宋体"/>
                <w:kern w:val="0"/>
                <w:szCs w:val="21"/>
                <w:highlight w:val="none"/>
              </w:rPr>
            </w:pPr>
            <w:r>
              <w:rPr>
                <w:rFonts w:hint="eastAsia" w:ascii="宋体" w:hAnsi="宋体" w:cs="宋体"/>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71C933E7">
            <w:pPr>
              <w:rPr>
                <w:rFonts w:ascii="宋体" w:hAnsi="宋体" w:cs="宋体"/>
                <w:kern w:val="0"/>
                <w:szCs w:val="21"/>
                <w:highlight w:val="none"/>
              </w:rPr>
            </w:pPr>
          </w:p>
        </w:tc>
      </w:tr>
      <w:tr w14:paraId="3D7CCD0B">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79EAF998">
            <w:pPr>
              <w:rPr>
                <w:rFonts w:ascii="宋体" w:hAnsi="宋体" w:cs="宋体"/>
                <w:kern w:val="0"/>
                <w:szCs w:val="21"/>
                <w:highlight w:val="none"/>
              </w:rPr>
            </w:pPr>
            <w:r>
              <w:rPr>
                <w:rFonts w:hint="eastAsia" w:ascii="宋体" w:hAnsi="宋体" w:cs="宋体"/>
                <w:kern w:val="0"/>
                <w:szCs w:val="21"/>
                <w:highlight w:val="none"/>
              </w:rPr>
              <w:t>2</w:t>
            </w:r>
          </w:p>
        </w:tc>
        <w:tc>
          <w:tcPr>
            <w:tcW w:w="4488" w:type="dxa"/>
            <w:tcBorders>
              <w:top w:val="nil"/>
              <w:left w:val="nil"/>
              <w:bottom w:val="single" w:color="auto" w:sz="4" w:space="0"/>
              <w:right w:val="single" w:color="auto" w:sz="4" w:space="0"/>
            </w:tcBorders>
            <w:vAlign w:val="center"/>
          </w:tcPr>
          <w:p w14:paraId="467633F4">
            <w:pPr>
              <w:rPr>
                <w:rFonts w:ascii="宋体" w:hAnsi="宋体" w:cs="宋体"/>
                <w:kern w:val="0"/>
                <w:szCs w:val="21"/>
                <w:highlight w:val="none"/>
              </w:rPr>
            </w:pPr>
            <w:r>
              <w:rPr>
                <w:rFonts w:hint="eastAsia" w:ascii="宋体" w:hAnsi="宋体" w:cs="宋体"/>
                <w:kern w:val="0"/>
                <w:szCs w:val="21"/>
                <w:highlight w:val="none"/>
              </w:rPr>
              <w:t>[单位工程2]</w:t>
            </w:r>
          </w:p>
        </w:tc>
        <w:tc>
          <w:tcPr>
            <w:tcW w:w="1602" w:type="dxa"/>
            <w:tcBorders>
              <w:top w:val="nil"/>
              <w:left w:val="nil"/>
              <w:bottom w:val="single" w:color="auto" w:sz="4" w:space="0"/>
              <w:right w:val="single" w:color="auto" w:sz="4" w:space="0"/>
            </w:tcBorders>
            <w:vAlign w:val="center"/>
          </w:tcPr>
          <w:p w14:paraId="3FB3FBAC">
            <w:pPr>
              <w:rPr>
                <w:rFonts w:ascii="宋体" w:hAnsi="宋体" w:cs="宋体"/>
                <w:kern w:val="0"/>
                <w:szCs w:val="21"/>
                <w:highlight w:val="none"/>
              </w:rPr>
            </w:pPr>
            <w:r>
              <w:rPr>
                <w:rFonts w:hint="eastAsia" w:ascii="宋体" w:hAnsi="宋体" w:cs="宋体"/>
                <w:kern w:val="0"/>
                <w:szCs w:val="21"/>
                <w:highlight w:val="none"/>
              </w:rPr>
              <w:t>　</w:t>
            </w:r>
          </w:p>
        </w:tc>
        <w:tc>
          <w:tcPr>
            <w:tcW w:w="1575" w:type="dxa"/>
            <w:tcBorders>
              <w:top w:val="nil"/>
              <w:left w:val="nil"/>
              <w:bottom w:val="single" w:color="auto" w:sz="4" w:space="0"/>
              <w:right w:val="single" w:color="auto" w:sz="4" w:space="0"/>
            </w:tcBorders>
            <w:vAlign w:val="center"/>
          </w:tcPr>
          <w:p w14:paraId="76CABBC4">
            <w:pPr>
              <w:rPr>
                <w:rFonts w:ascii="宋体" w:hAnsi="宋体" w:cs="宋体"/>
                <w:kern w:val="0"/>
                <w:szCs w:val="21"/>
                <w:highlight w:val="none"/>
              </w:rPr>
            </w:pPr>
            <w:r>
              <w:rPr>
                <w:rFonts w:hint="eastAsia" w:ascii="宋体" w:hAnsi="宋体" w:cs="宋体"/>
                <w:kern w:val="0"/>
                <w:szCs w:val="21"/>
                <w:highlight w:val="none"/>
              </w:rPr>
              <w:t>　</w:t>
            </w:r>
          </w:p>
        </w:tc>
        <w:tc>
          <w:tcPr>
            <w:tcW w:w="1575" w:type="dxa"/>
            <w:tcBorders>
              <w:top w:val="nil"/>
              <w:left w:val="nil"/>
              <w:bottom w:val="single" w:color="auto" w:sz="4" w:space="0"/>
              <w:right w:val="single" w:color="auto" w:sz="4" w:space="0"/>
            </w:tcBorders>
            <w:vAlign w:val="center"/>
          </w:tcPr>
          <w:p w14:paraId="5A923694">
            <w:pPr>
              <w:rPr>
                <w:rFonts w:ascii="宋体" w:hAnsi="宋体" w:cs="宋体"/>
                <w:kern w:val="0"/>
                <w:szCs w:val="21"/>
                <w:highlight w:val="none"/>
              </w:rPr>
            </w:pPr>
            <w:r>
              <w:rPr>
                <w:rFonts w:hint="eastAsia" w:ascii="宋体" w:hAnsi="宋体" w:cs="宋体"/>
                <w:kern w:val="0"/>
                <w:szCs w:val="21"/>
                <w:highlight w:val="none"/>
              </w:rPr>
              <w:t>　</w:t>
            </w:r>
          </w:p>
        </w:tc>
        <w:tc>
          <w:tcPr>
            <w:tcW w:w="1470" w:type="dxa"/>
            <w:tcBorders>
              <w:top w:val="nil"/>
              <w:left w:val="nil"/>
              <w:bottom w:val="single" w:color="auto" w:sz="4" w:space="0"/>
              <w:right w:val="single" w:color="auto" w:sz="4" w:space="0"/>
            </w:tcBorders>
            <w:vAlign w:val="center"/>
          </w:tcPr>
          <w:p w14:paraId="3644A6A8">
            <w:pPr>
              <w:rPr>
                <w:rFonts w:ascii="宋体" w:hAnsi="宋体" w:cs="宋体"/>
                <w:kern w:val="0"/>
                <w:szCs w:val="21"/>
                <w:highlight w:val="none"/>
              </w:rPr>
            </w:pPr>
            <w:r>
              <w:rPr>
                <w:rFonts w:hint="eastAsia" w:ascii="宋体" w:hAnsi="宋体" w:cs="宋体"/>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02BA3B2D">
            <w:pPr>
              <w:rPr>
                <w:rFonts w:ascii="宋体" w:hAnsi="宋体" w:cs="宋体"/>
                <w:kern w:val="0"/>
                <w:szCs w:val="21"/>
                <w:highlight w:val="none"/>
              </w:rPr>
            </w:pPr>
          </w:p>
        </w:tc>
      </w:tr>
      <w:tr w14:paraId="2E577D49">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77D2F277">
            <w:pPr>
              <w:rPr>
                <w:rFonts w:ascii="宋体" w:hAnsi="宋体" w:cs="宋体"/>
                <w:kern w:val="0"/>
                <w:szCs w:val="21"/>
                <w:highlight w:val="none"/>
              </w:rPr>
            </w:pPr>
            <w:r>
              <w:rPr>
                <w:rFonts w:hint="eastAsia" w:ascii="宋体" w:hAnsi="宋体" w:cs="宋体"/>
                <w:kern w:val="0"/>
                <w:szCs w:val="21"/>
                <w:highlight w:val="none"/>
              </w:rPr>
              <w:t>…</w:t>
            </w:r>
          </w:p>
        </w:tc>
        <w:tc>
          <w:tcPr>
            <w:tcW w:w="4488" w:type="dxa"/>
            <w:tcBorders>
              <w:top w:val="nil"/>
              <w:left w:val="nil"/>
              <w:bottom w:val="single" w:color="auto" w:sz="4" w:space="0"/>
              <w:right w:val="single" w:color="auto" w:sz="4" w:space="0"/>
            </w:tcBorders>
            <w:vAlign w:val="center"/>
          </w:tcPr>
          <w:p w14:paraId="72ACBD68">
            <w:pPr>
              <w:rPr>
                <w:rFonts w:ascii="宋体" w:hAnsi="宋体" w:cs="宋体"/>
                <w:kern w:val="0"/>
                <w:szCs w:val="21"/>
                <w:highlight w:val="none"/>
              </w:rPr>
            </w:pPr>
            <w:r>
              <w:rPr>
                <w:rFonts w:hint="eastAsia" w:ascii="宋体" w:hAnsi="宋体" w:cs="宋体"/>
                <w:kern w:val="0"/>
                <w:szCs w:val="21"/>
                <w:highlight w:val="none"/>
              </w:rPr>
              <w:t>…</w:t>
            </w:r>
          </w:p>
        </w:tc>
        <w:tc>
          <w:tcPr>
            <w:tcW w:w="1602" w:type="dxa"/>
            <w:tcBorders>
              <w:top w:val="nil"/>
              <w:left w:val="nil"/>
              <w:bottom w:val="single" w:color="auto" w:sz="4" w:space="0"/>
              <w:right w:val="single" w:color="auto" w:sz="4" w:space="0"/>
            </w:tcBorders>
            <w:vAlign w:val="center"/>
          </w:tcPr>
          <w:p w14:paraId="67EB3A7C">
            <w:pPr>
              <w:rPr>
                <w:rFonts w:ascii="宋体" w:hAnsi="宋体" w:cs="宋体"/>
                <w:kern w:val="0"/>
                <w:szCs w:val="21"/>
                <w:highlight w:val="none"/>
              </w:rPr>
            </w:pPr>
            <w:r>
              <w:rPr>
                <w:rFonts w:hint="eastAsia" w:ascii="宋体" w:hAnsi="宋体" w:cs="宋体"/>
                <w:kern w:val="0"/>
                <w:szCs w:val="21"/>
                <w:highlight w:val="none"/>
              </w:rPr>
              <w:t>　</w:t>
            </w:r>
          </w:p>
        </w:tc>
        <w:tc>
          <w:tcPr>
            <w:tcW w:w="1575" w:type="dxa"/>
            <w:tcBorders>
              <w:top w:val="nil"/>
              <w:left w:val="nil"/>
              <w:bottom w:val="single" w:color="auto" w:sz="4" w:space="0"/>
              <w:right w:val="single" w:color="auto" w:sz="4" w:space="0"/>
            </w:tcBorders>
            <w:vAlign w:val="center"/>
          </w:tcPr>
          <w:p w14:paraId="462FA30E">
            <w:pPr>
              <w:rPr>
                <w:rFonts w:ascii="宋体" w:hAnsi="宋体" w:cs="宋体"/>
                <w:kern w:val="0"/>
                <w:szCs w:val="21"/>
                <w:highlight w:val="none"/>
              </w:rPr>
            </w:pPr>
            <w:r>
              <w:rPr>
                <w:rFonts w:hint="eastAsia" w:ascii="宋体" w:hAnsi="宋体" w:cs="宋体"/>
                <w:kern w:val="0"/>
                <w:szCs w:val="21"/>
                <w:highlight w:val="none"/>
              </w:rPr>
              <w:t>　</w:t>
            </w:r>
          </w:p>
        </w:tc>
        <w:tc>
          <w:tcPr>
            <w:tcW w:w="1575" w:type="dxa"/>
            <w:tcBorders>
              <w:top w:val="nil"/>
              <w:left w:val="nil"/>
              <w:bottom w:val="single" w:color="auto" w:sz="4" w:space="0"/>
              <w:right w:val="single" w:color="auto" w:sz="4" w:space="0"/>
            </w:tcBorders>
            <w:vAlign w:val="center"/>
          </w:tcPr>
          <w:p w14:paraId="2C8F1B2A">
            <w:pPr>
              <w:rPr>
                <w:rFonts w:ascii="宋体" w:hAnsi="宋体" w:cs="宋体"/>
                <w:kern w:val="0"/>
                <w:szCs w:val="21"/>
                <w:highlight w:val="none"/>
              </w:rPr>
            </w:pPr>
            <w:r>
              <w:rPr>
                <w:rFonts w:hint="eastAsia" w:ascii="宋体" w:hAnsi="宋体" w:cs="宋体"/>
                <w:kern w:val="0"/>
                <w:szCs w:val="21"/>
                <w:highlight w:val="none"/>
              </w:rPr>
              <w:t>　</w:t>
            </w:r>
          </w:p>
        </w:tc>
        <w:tc>
          <w:tcPr>
            <w:tcW w:w="1470" w:type="dxa"/>
            <w:tcBorders>
              <w:top w:val="nil"/>
              <w:left w:val="nil"/>
              <w:bottom w:val="single" w:color="auto" w:sz="4" w:space="0"/>
              <w:right w:val="single" w:color="auto" w:sz="4" w:space="0"/>
            </w:tcBorders>
            <w:vAlign w:val="center"/>
          </w:tcPr>
          <w:p w14:paraId="0911F440">
            <w:pPr>
              <w:rPr>
                <w:rFonts w:ascii="宋体" w:hAnsi="宋体" w:cs="宋体"/>
                <w:kern w:val="0"/>
                <w:szCs w:val="21"/>
                <w:highlight w:val="none"/>
              </w:rPr>
            </w:pPr>
            <w:r>
              <w:rPr>
                <w:rFonts w:hint="eastAsia" w:ascii="宋体" w:hAnsi="宋体" w:cs="宋体"/>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10D3F480">
            <w:pPr>
              <w:rPr>
                <w:rFonts w:ascii="宋体" w:hAnsi="宋体" w:cs="宋体"/>
                <w:kern w:val="0"/>
                <w:szCs w:val="21"/>
                <w:highlight w:val="none"/>
              </w:rPr>
            </w:pPr>
          </w:p>
        </w:tc>
      </w:tr>
      <w:tr w14:paraId="04591903">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6D6E287E">
            <w:pPr>
              <w:rPr>
                <w:rFonts w:ascii="宋体" w:hAnsi="宋体" w:cs="宋体"/>
                <w:kern w:val="0"/>
                <w:szCs w:val="21"/>
                <w:highlight w:val="none"/>
              </w:rPr>
            </w:pPr>
            <w:r>
              <w:rPr>
                <w:rFonts w:hint="eastAsia" w:ascii="宋体" w:hAnsi="宋体" w:cs="宋体"/>
                <w:kern w:val="0"/>
                <w:szCs w:val="21"/>
                <w:highlight w:val="none"/>
              </w:rPr>
              <w:t>…</w:t>
            </w:r>
          </w:p>
        </w:tc>
        <w:tc>
          <w:tcPr>
            <w:tcW w:w="4488" w:type="dxa"/>
            <w:tcBorders>
              <w:top w:val="nil"/>
              <w:left w:val="nil"/>
              <w:bottom w:val="single" w:color="auto" w:sz="4" w:space="0"/>
              <w:right w:val="single" w:color="auto" w:sz="4" w:space="0"/>
            </w:tcBorders>
            <w:vAlign w:val="center"/>
          </w:tcPr>
          <w:p w14:paraId="361454D9">
            <w:pPr>
              <w:rPr>
                <w:rFonts w:ascii="宋体" w:hAnsi="宋体" w:cs="宋体"/>
                <w:kern w:val="0"/>
                <w:szCs w:val="21"/>
                <w:highlight w:val="none"/>
              </w:rPr>
            </w:pPr>
            <w:r>
              <w:rPr>
                <w:rFonts w:hint="eastAsia" w:ascii="宋体" w:hAnsi="宋体" w:cs="宋体"/>
                <w:kern w:val="0"/>
                <w:szCs w:val="21"/>
                <w:highlight w:val="none"/>
              </w:rPr>
              <w:t>…</w:t>
            </w:r>
          </w:p>
        </w:tc>
        <w:tc>
          <w:tcPr>
            <w:tcW w:w="1602" w:type="dxa"/>
            <w:tcBorders>
              <w:top w:val="nil"/>
              <w:left w:val="nil"/>
              <w:bottom w:val="single" w:color="auto" w:sz="4" w:space="0"/>
              <w:right w:val="single" w:color="auto" w:sz="4" w:space="0"/>
            </w:tcBorders>
            <w:vAlign w:val="center"/>
          </w:tcPr>
          <w:p w14:paraId="4507D209">
            <w:pPr>
              <w:rPr>
                <w:rFonts w:ascii="宋体" w:hAnsi="宋体" w:cs="宋体"/>
                <w:kern w:val="0"/>
                <w:szCs w:val="21"/>
                <w:highlight w:val="none"/>
              </w:rPr>
            </w:pPr>
            <w:r>
              <w:rPr>
                <w:rFonts w:hint="eastAsia" w:ascii="宋体" w:hAnsi="宋体" w:cs="宋体"/>
                <w:kern w:val="0"/>
                <w:szCs w:val="21"/>
                <w:highlight w:val="none"/>
              </w:rPr>
              <w:t>　</w:t>
            </w:r>
          </w:p>
        </w:tc>
        <w:tc>
          <w:tcPr>
            <w:tcW w:w="1575" w:type="dxa"/>
            <w:tcBorders>
              <w:top w:val="nil"/>
              <w:left w:val="nil"/>
              <w:bottom w:val="single" w:color="auto" w:sz="4" w:space="0"/>
              <w:right w:val="single" w:color="auto" w:sz="4" w:space="0"/>
            </w:tcBorders>
            <w:vAlign w:val="center"/>
          </w:tcPr>
          <w:p w14:paraId="58118EDE">
            <w:pPr>
              <w:rPr>
                <w:rFonts w:ascii="宋体" w:hAnsi="宋体" w:cs="宋体"/>
                <w:kern w:val="0"/>
                <w:szCs w:val="21"/>
                <w:highlight w:val="none"/>
              </w:rPr>
            </w:pPr>
            <w:r>
              <w:rPr>
                <w:rFonts w:hint="eastAsia" w:ascii="宋体" w:hAnsi="宋体" w:cs="宋体"/>
                <w:kern w:val="0"/>
                <w:szCs w:val="21"/>
                <w:highlight w:val="none"/>
              </w:rPr>
              <w:t>　</w:t>
            </w:r>
          </w:p>
        </w:tc>
        <w:tc>
          <w:tcPr>
            <w:tcW w:w="1575" w:type="dxa"/>
            <w:tcBorders>
              <w:top w:val="nil"/>
              <w:left w:val="nil"/>
              <w:bottom w:val="single" w:color="auto" w:sz="4" w:space="0"/>
              <w:right w:val="single" w:color="auto" w:sz="4" w:space="0"/>
            </w:tcBorders>
            <w:vAlign w:val="center"/>
          </w:tcPr>
          <w:p w14:paraId="34A2AE32">
            <w:pPr>
              <w:rPr>
                <w:rFonts w:ascii="宋体" w:hAnsi="宋体" w:cs="宋体"/>
                <w:kern w:val="0"/>
                <w:szCs w:val="21"/>
                <w:highlight w:val="none"/>
              </w:rPr>
            </w:pPr>
            <w:r>
              <w:rPr>
                <w:rFonts w:hint="eastAsia" w:ascii="宋体" w:hAnsi="宋体" w:cs="宋体"/>
                <w:kern w:val="0"/>
                <w:szCs w:val="21"/>
                <w:highlight w:val="none"/>
              </w:rPr>
              <w:t>　</w:t>
            </w:r>
          </w:p>
        </w:tc>
        <w:tc>
          <w:tcPr>
            <w:tcW w:w="1470" w:type="dxa"/>
            <w:tcBorders>
              <w:top w:val="nil"/>
              <w:left w:val="nil"/>
              <w:bottom w:val="single" w:color="auto" w:sz="4" w:space="0"/>
              <w:right w:val="single" w:color="auto" w:sz="4" w:space="0"/>
            </w:tcBorders>
            <w:vAlign w:val="center"/>
          </w:tcPr>
          <w:p w14:paraId="60017BF2">
            <w:pPr>
              <w:rPr>
                <w:rFonts w:ascii="宋体" w:hAnsi="宋体" w:cs="宋体"/>
                <w:kern w:val="0"/>
                <w:szCs w:val="21"/>
                <w:highlight w:val="none"/>
              </w:rPr>
            </w:pPr>
            <w:r>
              <w:rPr>
                <w:rFonts w:hint="eastAsia" w:ascii="宋体" w:hAnsi="宋体" w:cs="宋体"/>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33FCCD34">
            <w:pPr>
              <w:rPr>
                <w:rFonts w:ascii="宋体" w:hAnsi="宋体" w:cs="宋体"/>
                <w:kern w:val="0"/>
                <w:szCs w:val="21"/>
                <w:highlight w:val="none"/>
              </w:rPr>
            </w:pPr>
          </w:p>
        </w:tc>
      </w:tr>
      <w:tr w14:paraId="6FA63F63">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692148C0">
            <w:pPr>
              <w:rPr>
                <w:rFonts w:ascii="宋体" w:hAnsi="宋体" w:cs="宋体"/>
                <w:kern w:val="0"/>
                <w:szCs w:val="21"/>
                <w:highlight w:val="none"/>
              </w:rPr>
            </w:pPr>
            <w:r>
              <w:rPr>
                <w:rFonts w:hint="eastAsia" w:ascii="宋体" w:hAnsi="宋体" w:cs="宋体"/>
                <w:kern w:val="0"/>
                <w:szCs w:val="21"/>
                <w:highlight w:val="none"/>
              </w:rPr>
              <w:t>…</w:t>
            </w:r>
          </w:p>
        </w:tc>
        <w:tc>
          <w:tcPr>
            <w:tcW w:w="4488" w:type="dxa"/>
            <w:tcBorders>
              <w:top w:val="nil"/>
              <w:left w:val="nil"/>
              <w:bottom w:val="single" w:color="auto" w:sz="4" w:space="0"/>
              <w:right w:val="single" w:color="auto" w:sz="4" w:space="0"/>
            </w:tcBorders>
            <w:vAlign w:val="center"/>
          </w:tcPr>
          <w:p w14:paraId="3CF0E496">
            <w:pPr>
              <w:rPr>
                <w:rFonts w:ascii="宋体" w:hAnsi="宋体" w:cs="宋体"/>
                <w:kern w:val="0"/>
                <w:szCs w:val="21"/>
                <w:highlight w:val="none"/>
              </w:rPr>
            </w:pPr>
            <w:r>
              <w:rPr>
                <w:rFonts w:hint="eastAsia" w:ascii="宋体" w:hAnsi="宋体" w:cs="宋体"/>
                <w:kern w:val="0"/>
                <w:szCs w:val="21"/>
                <w:highlight w:val="none"/>
              </w:rPr>
              <w:t>…</w:t>
            </w:r>
          </w:p>
        </w:tc>
        <w:tc>
          <w:tcPr>
            <w:tcW w:w="1602" w:type="dxa"/>
            <w:tcBorders>
              <w:top w:val="nil"/>
              <w:left w:val="nil"/>
              <w:bottom w:val="single" w:color="auto" w:sz="4" w:space="0"/>
              <w:right w:val="single" w:color="auto" w:sz="4" w:space="0"/>
            </w:tcBorders>
            <w:vAlign w:val="center"/>
          </w:tcPr>
          <w:p w14:paraId="007E2B7B">
            <w:pPr>
              <w:rPr>
                <w:rFonts w:ascii="宋体" w:hAnsi="宋体" w:cs="宋体"/>
                <w:kern w:val="0"/>
                <w:szCs w:val="21"/>
                <w:highlight w:val="none"/>
              </w:rPr>
            </w:pPr>
            <w:r>
              <w:rPr>
                <w:rFonts w:hint="eastAsia" w:ascii="宋体" w:hAnsi="宋体" w:cs="宋体"/>
                <w:kern w:val="0"/>
                <w:szCs w:val="21"/>
                <w:highlight w:val="none"/>
              </w:rPr>
              <w:t>　</w:t>
            </w:r>
          </w:p>
        </w:tc>
        <w:tc>
          <w:tcPr>
            <w:tcW w:w="1575" w:type="dxa"/>
            <w:tcBorders>
              <w:top w:val="nil"/>
              <w:left w:val="nil"/>
              <w:bottom w:val="single" w:color="auto" w:sz="4" w:space="0"/>
              <w:right w:val="single" w:color="auto" w:sz="4" w:space="0"/>
            </w:tcBorders>
            <w:vAlign w:val="center"/>
          </w:tcPr>
          <w:p w14:paraId="0356D120">
            <w:pPr>
              <w:rPr>
                <w:rFonts w:ascii="宋体" w:hAnsi="宋体" w:cs="宋体"/>
                <w:kern w:val="0"/>
                <w:szCs w:val="21"/>
                <w:highlight w:val="none"/>
              </w:rPr>
            </w:pPr>
            <w:r>
              <w:rPr>
                <w:rFonts w:hint="eastAsia" w:ascii="宋体" w:hAnsi="宋体" w:cs="宋体"/>
                <w:kern w:val="0"/>
                <w:szCs w:val="21"/>
                <w:highlight w:val="none"/>
              </w:rPr>
              <w:t>　</w:t>
            </w:r>
          </w:p>
        </w:tc>
        <w:tc>
          <w:tcPr>
            <w:tcW w:w="1575" w:type="dxa"/>
            <w:tcBorders>
              <w:top w:val="nil"/>
              <w:left w:val="nil"/>
              <w:bottom w:val="single" w:color="auto" w:sz="4" w:space="0"/>
              <w:right w:val="single" w:color="auto" w:sz="4" w:space="0"/>
            </w:tcBorders>
            <w:vAlign w:val="center"/>
          </w:tcPr>
          <w:p w14:paraId="34A15806">
            <w:pPr>
              <w:rPr>
                <w:rFonts w:ascii="宋体" w:hAnsi="宋体" w:cs="宋体"/>
                <w:kern w:val="0"/>
                <w:szCs w:val="21"/>
                <w:highlight w:val="none"/>
              </w:rPr>
            </w:pPr>
            <w:r>
              <w:rPr>
                <w:rFonts w:hint="eastAsia" w:ascii="宋体" w:hAnsi="宋体" w:cs="宋体"/>
                <w:kern w:val="0"/>
                <w:szCs w:val="21"/>
                <w:highlight w:val="none"/>
              </w:rPr>
              <w:t>　</w:t>
            </w:r>
          </w:p>
        </w:tc>
        <w:tc>
          <w:tcPr>
            <w:tcW w:w="1470" w:type="dxa"/>
            <w:tcBorders>
              <w:top w:val="nil"/>
              <w:left w:val="nil"/>
              <w:bottom w:val="single" w:color="auto" w:sz="4" w:space="0"/>
              <w:right w:val="single" w:color="auto" w:sz="4" w:space="0"/>
            </w:tcBorders>
            <w:vAlign w:val="center"/>
          </w:tcPr>
          <w:p w14:paraId="2CBAA146">
            <w:pPr>
              <w:rPr>
                <w:rFonts w:ascii="宋体" w:hAnsi="宋体" w:cs="宋体"/>
                <w:kern w:val="0"/>
                <w:szCs w:val="21"/>
                <w:highlight w:val="none"/>
              </w:rPr>
            </w:pPr>
            <w:r>
              <w:rPr>
                <w:rFonts w:hint="eastAsia" w:ascii="宋体" w:hAnsi="宋体" w:cs="宋体"/>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0EC9D2BC">
            <w:pPr>
              <w:rPr>
                <w:rFonts w:ascii="宋体" w:hAnsi="宋体" w:cs="宋体"/>
                <w:kern w:val="0"/>
                <w:szCs w:val="21"/>
                <w:highlight w:val="none"/>
              </w:rPr>
            </w:pPr>
          </w:p>
        </w:tc>
      </w:tr>
      <w:tr w14:paraId="3FE947EA">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57DAAD4A">
            <w:pPr>
              <w:rPr>
                <w:rFonts w:ascii="宋体" w:hAnsi="宋体" w:cs="宋体"/>
                <w:kern w:val="0"/>
                <w:szCs w:val="21"/>
                <w:highlight w:val="none"/>
              </w:rPr>
            </w:pPr>
            <w:r>
              <w:rPr>
                <w:rFonts w:hint="eastAsia" w:ascii="宋体" w:hAnsi="宋体" w:cs="宋体"/>
                <w:kern w:val="0"/>
                <w:szCs w:val="21"/>
                <w:highlight w:val="none"/>
              </w:rPr>
              <w:t>n</w:t>
            </w:r>
          </w:p>
        </w:tc>
        <w:tc>
          <w:tcPr>
            <w:tcW w:w="4488" w:type="dxa"/>
            <w:tcBorders>
              <w:top w:val="nil"/>
              <w:left w:val="nil"/>
              <w:bottom w:val="single" w:color="auto" w:sz="4" w:space="0"/>
              <w:right w:val="single" w:color="auto" w:sz="4" w:space="0"/>
            </w:tcBorders>
            <w:vAlign w:val="center"/>
          </w:tcPr>
          <w:p w14:paraId="7B36DCE6">
            <w:pPr>
              <w:rPr>
                <w:rFonts w:ascii="宋体" w:hAnsi="宋体" w:cs="宋体"/>
                <w:kern w:val="0"/>
                <w:szCs w:val="21"/>
                <w:highlight w:val="none"/>
              </w:rPr>
            </w:pPr>
            <w:r>
              <w:rPr>
                <w:rFonts w:hint="eastAsia" w:ascii="宋体" w:hAnsi="宋体" w:cs="宋体"/>
                <w:kern w:val="0"/>
                <w:szCs w:val="21"/>
                <w:highlight w:val="none"/>
              </w:rPr>
              <w:t>[单位工程n]</w:t>
            </w:r>
          </w:p>
        </w:tc>
        <w:tc>
          <w:tcPr>
            <w:tcW w:w="1602" w:type="dxa"/>
            <w:tcBorders>
              <w:top w:val="nil"/>
              <w:left w:val="nil"/>
              <w:bottom w:val="single" w:color="auto" w:sz="4" w:space="0"/>
              <w:right w:val="single" w:color="auto" w:sz="4" w:space="0"/>
            </w:tcBorders>
            <w:vAlign w:val="center"/>
          </w:tcPr>
          <w:p w14:paraId="02C56EC7">
            <w:pPr>
              <w:rPr>
                <w:rFonts w:ascii="宋体" w:hAnsi="宋体" w:cs="宋体"/>
                <w:kern w:val="0"/>
                <w:szCs w:val="21"/>
                <w:highlight w:val="none"/>
              </w:rPr>
            </w:pPr>
            <w:r>
              <w:rPr>
                <w:rFonts w:hint="eastAsia" w:ascii="宋体" w:hAnsi="宋体" w:cs="宋体"/>
                <w:kern w:val="0"/>
                <w:szCs w:val="21"/>
                <w:highlight w:val="none"/>
              </w:rPr>
              <w:t>　</w:t>
            </w:r>
          </w:p>
        </w:tc>
        <w:tc>
          <w:tcPr>
            <w:tcW w:w="1575" w:type="dxa"/>
            <w:tcBorders>
              <w:top w:val="nil"/>
              <w:left w:val="nil"/>
              <w:bottom w:val="single" w:color="auto" w:sz="4" w:space="0"/>
              <w:right w:val="single" w:color="auto" w:sz="4" w:space="0"/>
            </w:tcBorders>
            <w:vAlign w:val="center"/>
          </w:tcPr>
          <w:p w14:paraId="6B376849">
            <w:pPr>
              <w:rPr>
                <w:rFonts w:ascii="宋体" w:hAnsi="宋体" w:cs="宋体"/>
                <w:kern w:val="0"/>
                <w:szCs w:val="21"/>
                <w:highlight w:val="none"/>
              </w:rPr>
            </w:pPr>
            <w:r>
              <w:rPr>
                <w:rFonts w:hint="eastAsia" w:ascii="宋体" w:hAnsi="宋体" w:cs="宋体"/>
                <w:kern w:val="0"/>
                <w:szCs w:val="21"/>
                <w:highlight w:val="none"/>
              </w:rPr>
              <w:t>　</w:t>
            </w:r>
          </w:p>
        </w:tc>
        <w:tc>
          <w:tcPr>
            <w:tcW w:w="1575" w:type="dxa"/>
            <w:tcBorders>
              <w:top w:val="nil"/>
              <w:left w:val="nil"/>
              <w:bottom w:val="single" w:color="auto" w:sz="4" w:space="0"/>
              <w:right w:val="single" w:color="auto" w:sz="4" w:space="0"/>
            </w:tcBorders>
            <w:vAlign w:val="center"/>
          </w:tcPr>
          <w:p w14:paraId="47A8A7DD">
            <w:pPr>
              <w:rPr>
                <w:rFonts w:ascii="宋体" w:hAnsi="宋体" w:cs="宋体"/>
                <w:kern w:val="0"/>
                <w:szCs w:val="21"/>
                <w:highlight w:val="none"/>
              </w:rPr>
            </w:pPr>
            <w:r>
              <w:rPr>
                <w:rFonts w:hint="eastAsia" w:ascii="宋体" w:hAnsi="宋体" w:cs="宋体"/>
                <w:kern w:val="0"/>
                <w:szCs w:val="21"/>
                <w:highlight w:val="none"/>
              </w:rPr>
              <w:t>　</w:t>
            </w:r>
          </w:p>
        </w:tc>
        <w:tc>
          <w:tcPr>
            <w:tcW w:w="1470" w:type="dxa"/>
            <w:tcBorders>
              <w:top w:val="nil"/>
              <w:left w:val="nil"/>
              <w:bottom w:val="single" w:color="auto" w:sz="4" w:space="0"/>
              <w:right w:val="single" w:color="auto" w:sz="4" w:space="0"/>
            </w:tcBorders>
            <w:vAlign w:val="center"/>
          </w:tcPr>
          <w:p w14:paraId="2C3CB70E">
            <w:pPr>
              <w:rPr>
                <w:rFonts w:ascii="宋体" w:hAnsi="宋体" w:cs="宋体"/>
                <w:kern w:val="0"/>
                <w:szCs w:val="21"/>
                <w:highlight w:val="none"/>
              </w:rPr>
            </w:pPr>
            <w:r>
              <w:rPr>
                <w:rFonts w:hint="eastAsia" w:ascii="宋体" w:hAnsi="宋体" w:cs="宋体"/>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304771E6">
            <w:pPr>
              <w:rPr>
                <w:rFonts w:ascii="宋体" w:hAnsi="宋体" w:cs="宋体"/>
                <w:kern w:val="0"/>
                <w:szCs w:val="21"/>
                <w:highlight w:val="none"/>
              </w:rPr>
            </w:pPr>
          </w:p>
        </w:tc>
      </w:tr>
      <w:tr w14:paraId="55BB28DF">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7378C128">
            <w:pPr>
              <w:rPr>
                <w:rFonts w:ascii="宋体" w:hAnsi="宋体" w:cs="宋体"/>
                <w:kern w:val="0"/>
                <w:szCs w:val="21"/>
                <w:highlight w:val="none"/>
              </w:rPr>
            </w:pPr>
            <w:r>
              <w:rPr>
                <w:rFonts w:hint="eastAsia" w:ascii="宋体" w:hAnsi="宋体" w:cs="宋体"/>
                <w:kern w:val="0"/>
                <w:szCs w:val="21"/>
                <w:highlight w:val="none"/>
              </w:rPr>
              <w:t>∑</w:t>
            </w:r>
          </w:p>
        </w:tc>
        <w:tc>
          <w:tcPr>
            <w:tcW w:w="4488" w:type="dxa"/>
            <w:tcBorders>
              <w:top w:val="nil"/>
              <w:left w:val="nil"/>
              <w:bottom w:val="single" w:color="auto" w:sz="4" w:space="0"/>
              <w:right w:val="single" w:color="auto" w:sz="4" w:space="0"/>
            </w:tcBorders>
            <w:vAlign w:val="center"/>
          </w:tcPr>
          <w:p w14:paraId="7A9723F9">
            <w:pPr>
              <w:rPr>
                <w:rFonts w:ascii="宋体" w:hAnsi="宋体" w:cs="宋体"/>
                <w:kern w:val="0"/>
                <w:szCs w:val="21"/>
                <w:highlight w:val="none"/>
              </w:rPr>
            </w:pPr>
            <w:r>
              <w:rPr>
                <w:rFonts w:hint="eastAsia" w:ascii="宋体" w:hAnsi="宋体" w:cs="宋体"/>
                <w:kern w:val="0"/>
                <w:szCs w:val="21"/>
                <w:highlight w:val="none"/>
              </w:rPr>
              <w:t>投标总报价</w:t>
            </w:r>
          </w:p>
        </w:tc>
        <w:tc>
          <w:tcPr>
            <w:tcW w:w="1602" w:type="dxa"/>
            <w:tcBorders>
              <w:top w:val="nil"/>
              <w:left w:val="nil"/>
              <w:bottom w:val="single" w:color="auto" w:sz="4" w:space="0"/>
              <w:right w:val="single" w:color="auto" w:sz="4" w:space="0"/>
            </w:tcBorders>
            <w:vAlign w:val="center"/>
          </w:tcPr>
          <w:p w14:paraId="134BFED2">
            <w:pPr>
              <w:rPr>
                <w:rFonts w:ascii="宋体" w:hAnsi="宋体" w:cs="宋体"/>
                <w:kern w:val="0"/>
                <w:szCs w:val="21"/>
                <w:highlight w:val="none"/>
              </w:rPr>
            </w:pPr>
            <w:r>
              <w:rPr>
                <w:rFonts w:hint="eastAsia" w:ascii="宋体" w:hAnsi="宋体" w:cs="宋体"/>
                <w:kern w:val="0"/>
                <w:szCs w:val="21"/>
                <w:highlight w:val="none"/>
              </w:rPr>
              <w:t>　</w:t>
            </w:r>
          </w:p>
        </w:tc>
        <w:tc>
          <w:tcPr>
            <w:tcW w:w="1575" w:type="dxa"/>
            <w:tcBorders>
              <w:top w:val="nil"/>
              <w:left w:val="nil"/>
              <w:bottom w:val="single" w:color="auto" w:sz="4" w:space="0"/>
              <w:right w:val="single" w:color="auto" w:sz="4" w:space="0"/>
            </w:tcBorders>
            <w:vAlign w:val="center"/>
          </w:tcPr>
          <w:p w14:paraId="657B7F66">
            <w:pPr>
              <w:rPr>
                <w:rFonts w:ascii="宋体" w:hAnsi="宋体" w:cs="宋体"/>
                <w:kern w:val="0"/>
                <w:szCs w:val="21"/>
                <w:highlight w:val="none"/>
              </w:rPr>
            </w:pPr>
            <w:r>
              <w:rPr>
                <w:rFonts w:hint="eastAsia" w:ascii="宋体" w:hAnsi="宋体" w:cs="宋体"/>
                <w:kern w:val="0"/>
                <w:szCs w:val="21"/>
                <w:highlight w:val="none"/>
              </w:rPr>
              <w:t>　</w:t>
            </w:r>
          </w:p>
        </w:tc>
        <w:tc>
          <w:tcPr>
            <w:tcW w:w="1575" w:type="dxa"/>
            <w:tcBorders>
              <w:top w:val="nil"/>
              <w:left w:val="nil"/>
              <w:bottom w:val="single" w:color="auto" w:sz="4" w:space="0"/>
              <w:right w:val="single" w:color="auto" w:sz="4" w:space="0"/>
              <w:tr2bl w:val="single" w:color="auto" w:sz="4" w:space="0"/>
            </w:tcBorders>
            <w:vAlign w:val="center"/>
          </w:tcPr>
          <w:p w14:paraId="4DD36656">
            <w:pPr>
              <w:rPr>
                <w:rFonts w:ascii="宋体" w:hAnsi="宋体" w:cs="宋体"/>
                <w:kern w:val="0"/>
                <w:szCs w:val="21"/>
                <w:highlight w:val="none"/>
              </w:rPr>
            </w:pPr>
            <w:r>
              <w:rPr>
                <w:rFonts w:hint="eastAsia" w:ascii="宋体" w:hAnsi="宋体" w:cs="宋体"/>
                <w:kern w:val="0"/>
                <w:szCs w:val="21"/>
                <w:highlight w:val="none"/>
              </w:rPr>
              <w:t>　</w:t>
            </w:r>
          </w:p>
        </w:tc>
        <w:tc>
          <w:tcPr>
            <w:tcW w:w="1470" w:type="dxa"/>
            <w:tcBorders>
              <w:top w:val="nil"/>
              <w:left w:val="nil"/>
              <w:bottom w:val="single" w:color="auto" w:sz="4" w:space="0"/>
              <w:right w:val="single" w:color="auto" w:sz="4" w:space="0"/>
            </w:tcBorders>
            <w:vAlign w:val="center"/>
          </w:tcPr>
          <w:p w14:paraId="4209DBDE">
            <w:pPr>
              <w:rPr>
                <w:rFonts w:ascii="宋体" w:hAnsi="宋体" w:cs="宋体"/>
                <w:kern w:val="0"/>
                <w:szCs w:val="21"/>
                <w:highlight w:val="none"/>
              </w:rPr>
            </w:pPr>
            <w:r>
              <w:rPr>
                <w:rFonts w:hint="eastAsia" w:ascii="宋体" w:hAnsi="宋体" w:cs="宋体"/>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0F449956">
            <w:pPr>
              <w:rPr>
                <w:rFonts w:ascii="宋体" w:hAnsi="宋体" w:cs="宋体"/>
                <w:kern w:val="0"/>
                <w:szCs w:val="21"/>
                <w:highlight w:val="none"/>
              </w:rPr>
            </w:pPr>
            <w:r>
              <w:rPr>
                <w:rFonts w:hint="eastAsia" w:ascii="宋体" w:hAnsi="宋体" w:cs="宋体"/>
                <w:kern w:val="0"/>
                <w:szCs w:val="21"/>
                <w:highlight w:val="none"/>
              </w:rPr>
              <w:t>∑A=A</w:t>
            </w:r>
            <w:r>
              <w:rPr>
                <w:rFonts w:hint="eastAsia" w:ascii="宋体" w:hAnsi="宋体" w:cs="宋体"/>
                <w:kern w:val="0"/>
                <w:szCs w:val="21"/>
                <w:highlight w:val="none"/>
                <w:vertAlign w:val="subscript"/>
              </w:rPr>
              <w:t>1</w:t>
            </w:r>
            <w:r>
              <w:rPr>
                <w:rFonts w:hint="eastAsia" w:ascii="宋体" w:hAnsi="宋体" w:cs="宋体"/>
                <w:kern w:val="0"/>
                <w:szCs w:val="21"/>
                <w:highlight w:val="none"/>
              </w:rPr>
              <w:t>+A</w:t>
            </w:r>
            <w:r>
              <w:rPr>
                <w:rFonts w:hint="eastAsia" w:ascii="宋体" w:hAnsi="宋体" w:cs="宋体"/>
                <w:kern w:val="0"/>
                <w:szCs w:val="21"/>
                <w:highlight w:val="none"/>
                <w:vertAlign w:val="subscript"/>
              </w:rPr>
              <w:t>2</w:t>
            </w:r>
            <w:r>
              <w:rPr>
                <w:rFonts w:hint="eastAsia" w:ascii="宋体" w:hAnsi="宋体" w:cs="宋体"/>
                <w:kern w:val="0"/>
                <w:szCs w:val="21"/>
                <w:highlight w:val="none"/>
              </w:rPr>
              <w:t>+…An；∑B=B</w:t>
            </w:r>
            <w:r>
              <w:rPr>
                <w:rFonts w:hint="eastAsia" w:ascii="宋体" w:hAnsi="宋体" w:cs="宋体"/>
                <w:kern w:val="0"/>
                <w:szCs w:val="21"/>
                <w:highlight w:val="none"/>
                <w:vertAlign w:val="subscript"/>
              </w:rPr>
              <w:t>1</w:t>
            </w:r>
            <w:r>
              <w:rPr>
                <w:rFonts w:hint="eastAsia" w:ascii="宋体" w:hAnsi="宋体" w:cs="宋体"/>
                <w:kern w:val="0"/>
                <w:szCs w:val="21"/>
                <w:highlight w:val="none"/>
              </w:rPr>
              <w:t>+B</w:t>
            </w:r>
            <w:r>
              <w:rPr>
                <w:rFonts w:hint="eastAsia" w:ascii="宋体" w:hAnsi="宋体" w:cs="宋体"/>
                <w:kern w:val="0"/>
                <w:szCs w:val="21"/>
                <w:highlight w:val="none"/>
                <w:vertAlign w:val="subscript"/>
              </w:rPr>
              <w:t>2</w:t>
            </w:r>
            <w:r>
              <w:rPr>
                <w:rFonts w:hint="eastAsia" w:ascii="宋体" w:hAnsi="宋体" w:cs="宋体"/>
                <w:kern w:val="0"/>
                <w:szCs w:val="21"/>
                <w:highlight w:val="none"/>
              </w:rPr>
              <w:t>+…Bn</w:t>
            </w:r>
          </w:p>
        </w:tc>
      </w:tr>
    </w:tbl>
    <w:p w14:paraId="081BC86F">
      <w:pPr>
        <w:rPr>
          <w:rFonts w:ascii="宋体" w:hAnsi="宋体" w:cs="宋体"/>
          <w:kern w:val="0"/>
          <w:szCs w:val="21"/>
          <w:highlight w:val="none"/>
        </w:rPr>
      </w:pPr>
      <w:r>
        <w:rPr>
          <w:rFonts w:hint="eastAsia" w:ascii="宋体" w:hAnsi="宋体" w:cs="宋体"/>
          <w:kern w:val="0"/>
          <w:szCs w:val="21"/>
          <w:highlight w:val="none"/>
        </w:rPr>
        <w:t>修正原则：</w:t>
      </w:r>
      <w:r>
        <w:rPr>
          <w:rFonts w:hint="eastAsia" w:ascii="宋体" w:hAnsi="宋体" w:cs="宋体"/>
          <w:szCs w:val="21"/>
          <w:highlight w:val="none"/>
        </w:rPr>
        <w:t>按就低不就高原则，当修正后报价小于原报价，总价按修正后报价；当修正后报价大于原报价，总价按原报价，并在签订合同时载明在结算价中扣除修正报价与原报价的差额。</w:t>
      </w:r>
      <w:r>
        <w:rPr>
          <w:rFonts w:hint="eastAsia" w:ascii="宋体" w:hAnsi="宋体" w:cs="宋体"/>
          <w:kern w:val="0"/>
          <w:szCs w:val="21"/>
          <w:highlight w:val="none"/>
        </w:rPr>
        <w:tab/>
      </w:r>
    </w:p>
    <w:p w14:paraId="2CE50080">
      <w:pPr>
        <w:rPr>
          <w:rFonts w:ascii="宋体" w:hAnsi="宋体" w:cs="宋体"/>
          <w:kern w:val="0"/>
          <w:szCs w:val="21"/>
          <w:highlight w:val="none"/>
        </w:rPr>
      </w:pPr>
      <w:r>
        <w:rPr>
          <w:rFonts w:hint="eastAsia" w:ascii="宋体" w:hAnsi="宋体" w:cs="宋体"/>
          <w:kern w:val="0"/>
          <w:szCs w:val="21"/>
          <w:highlight w:val="none"/>
        </w:rPr>
        <w:t>评委签名：</w:t>
      </w:r>
      <w:r>
        <w:rPr>
          <w:rFonts w:hint="eastAsia" w:ascii="宋体" w:hAnsi="宋体" w:cs="宋体"/>
          <w:kern w:val="0"/>
          <w:szCs w:val="21"/>
          <w:highlight w:val="none"/>
        </w:rPr>
        <w:tab/>
      </w:r>
      <w:r>
        <w:rPr>
          <w:rFonts w:hint="eastAsia" w:ascii="宋体" w:hAnsi="宋体" w:cs="宋体"/>
          <w:kern w:val="0"/>
          <w:szCs w:val="21"/>
          <w:highlight w:val="none"/>
        </w:rPr>
        <w:tab/>
      </w:r>
      <w:r>
        <w:rPr>
          <w:rFonts w:hint="eastAsia" w:ascii="宋体" w:hAnsi="宋体" w:cs="宋体"/>
          <w:kern w:val="0"/>
          <w:szCs w:val="21"/>
          <w:highlight w:val="none"/>
        </w:rPr>
        <w:tab/>
      </w:r>
      <w:r>
        <w:rPr>
          <w:rFonts w:hint="eastAsia" w:ascii="宋体" w:hAnsi="宋体" w:cs="宋体"/>
          <w:kern w:val="0"/>
          <w:szCs w:val="21"/>
          <w:highlight w:val="none"/>
        </w:rPr>
        <w:tab/>
      </w:r>
      <w:r>
        <w:rPr>
          <w:rFonts w:hint="eastAsia" w:ascii="宋体" w:hAnsi="宋体" w:cs="宋体"/>
          <w:kern w:val="0"/>
          <w:szCs w:val="21"/>
          <w:highlight w:val="none"/>
        </w:rPr>
        <w:tab/>
      </w:r>
      <w:r>
        <w:rPr>
          <w:rFonts w:hint="eastAsia" w:ascii="宋体" w:hAnsi="宋体" w:cs="宋体"/>
          <w:kern w:val="0"/>
          <w:szCs w:val="21"/>
          <w:highlight w:val="none"/>
        </w:rPr>
        <w:t>日期：</w:t>
      </w:r>
    </w:p>
    <w:p w14:paraId="6850EE7D">
      <w:pPr>
        <w:widowControl/>
        <w:jc w:val="left"/>
        <w:rPr>
          <w:rFonts w:ascii="宋体" w:hAnsi="宋体" w:cs="宋体"/>
          <w:highlight w:val="none"/>
        </w:rPr>
      </w:pPr>
      <w:r>
        <w:rPr>
          <w:rFonts w:hint="eastAsia" w:ascii="宋体" w:hAnsi="宋体" w:cs="宋体"/>
          <w:highlight w:val="none"/>
        </w:rPr>
        <w:br w:type="page"/>
      </w:r>
    </w:p>
    <w:p w14:paraId="03DA0FE6">
      <w:pPr>
        <w:jc w:val="center"/>
        <w:rPr>
          <w:rFonts w:ascii="宋体" w:hAnsi="宋体" w:cs="宋体"/>
          <w:b/>
          <w:sz w:val="36"/>
          <w:szCs w:val="36"/>
          <w:highlight w:val="none"/>
        </w:rPr>
      </w:pPr>
      <w:r>
        <w:rPr>
          <w:rFonts w:hint="eastAsia" w:ascii="宋体" w:hAnsi="宋体" w:cs="宋体"/>
          <w:b/>
          <w:sz w:val="36"/>
          <w:szCs w:val="36"/>
          <w:highlight w:val="none"/>
        </w:rPr>
        <w:t>算术复核表</w:t>
      </w:r>
    </w:p>
    <w:p w14:paraId="5FA09FE7">
      <w:pPr>
        <w:rPr>
          <w:rFonts w:ascii="宋体" w:hAnsi="宋体" w:cs="宋体"/>
          <w:szCs w:val="21"/>
          <w:highlight w:val="none"/>
        </w:rPr>
      </w:pPr>
      <w:r>
        <w:rPr>
          <w:rFonts w:hint="eastAsia" w:ascii="宋体" w:hAnsi="宋体" w:cs="宋体"/>
          <w:szCs w:val="21"/>
          <w:highlight w:val="none"/>
        </w:rPr>
        <w:t>工程名称：</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14:paraId="0217B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30234759">
            <w:pPr>
              <w:rPr>
                <w:rFonts w:ascii="宋体" w:hAnsi="宋体" w:cs="宋体"/>
                <w:b/>
                <w:sz w:val="28"/>
                <w:szCs w:val="28"/>
                <w:highlight w:val="none"/>
              </w:rPr>
            </w:pPr>
            <w:r>
              <w:rPr>
                <w:rFonts w:hint="eastAsia" w:ascii="宋体" w:hAnsi="宋体" w:cs="宋体"/>
                <w:b/>
                <w:sz w:val="28"/>
                <w:szCs w:val="28"/>
                <w:highlight w:val="none"/>
              </w:rPr>
              <w:t>编号</w:t>
            </w:r>
          </w:p>
        </w:tc>
        <w:tc>
          <w:tcPr>
            <w:tcW w:w="4297" w:type="dxa"/>
            <w:tcBorders>
              <w:top w:val="single" w:color="auto" w:sz="4" w:space="0"/>
              <w:left w:val="single" w:color="auto" w:sz="4" w:space="0"/>
              <w:bottom w:val="single" w:color="auto" w:sz="4" w:space="0"/>
              <w:right w:val="single" w:color="auto" w:sz="4" w:space="0"/>
            </w:tcBorders>
          </w:tcPr>
          <w:p w14:paraId="5474E06C">
            <w:pPr>
              <w:rPr>
                <w:rFonts w:ascii="宋体" w:hAnsi="宋体" w:cs="宋体"/>
                <w:b/>
                <w:sz w:val="28"/>
                <w:szCs w:val="28"/>
                <w:highlight w:val="none"/>
              </w:rPr>
            </w:pPr>
            <w:r>
              <w:rPr>
                <w:rFonts w:hint="eastAsia" w:ascii="宋体" w:hAnsi="宋体" w:cs="宋体"/>
                <w:b/>
                <w:sz w:val="28"/>
                <w:szCs w:val="28"/>
                <w:highlight w:val="none"/>
              </w:rPr>
              <w:t>投标人名称</w:t>
            </w:r>
          </w:p>
        </w:tc>
        <w:tc>
          <w:tcPr>
            <w:tcW w:w="2330" w:type="dxa"/>
            <w:tcBorders>
              <w:top w:val="single" w:color="auto" w:sz="4" w:space="0"/>
              <w:left w:val="single" w:color="auto" w:sz="4" w:space="0"/>
              <w:bottom w:val="single" w:color="auto" w:sz="4" w:space="0"/>
              <w:right w:val="single" w:color="auto" w:sz="4" w:space="0"/>
            </w:tcBorders>
          </w:tcPr>
          <w:p w14:paraId="22D266D4">
            <w:pPr>
              <w:rPr>
                <w:rFonts w:ascii="宋体" w:hAnsi="宋体" w:cs="宋体"/>
                <w:b/>
                <w:sz w:val="28"/>
                <w:szCs w:val="28"/>
                <w:highlight w:val="none"/>
              </w:rPr>
            </w:pPr>
            <w:r>
              <w:rPr>
                <w:rFonts w:hint="eastAsia" w:ascii="宋体" w:hAnsi="宋体" w:cs="宋体"/>
                <w:b/>
                <w:sz w:val="28"/>
                <w:szCs w:val="28"/>
                <w:highlight w:val="none"/>
              </w:rPr>
              <w:t>原投标报价（A）</w:t>
            </w:r>
          </w:p>
        </w:tc>
        <w:tc>
          <w:tcPr>
            <w:tcW w:w="3101" w:type="dxa"/>
            <w:tcBorders>
              <w:top w:val="single" w:color="auto" w:sz="4" w:space="0"/>
              <w:left w:val="single" w:color="auto" w:sz="4" w:space="0"/>
              <w:bottom w:val="single" w:color="auto" w:sz="4" w:space="0"/>
              <w:right w:val="single" w:color="auto" w:sz="4" w:space="0"/>
            </w:tcBorders>
          </w:tcPr>
          <w:p w14:paraId="7CBF9373">
            <w:pPr>
              <w:rPr>
                <w:rFonts w:ascii="宋体" w:hAnsi="宋体" w:cs="宋体"/>
                <w:b/>
                <w:sz w:val="28"/>
                <w:szCs w:val="28"/>
                <w:highlight w:val="none"/>
              </w:rPr>
            </w:pPr>
            <w:r>
              <w:rPr>
                <w:rFonts w:hint="eastAsia" w:ascii="宋体" w:hAnsi="宋体" w:cs="宋体"/>
                <w:b/>
                <w:sz w:val="28"/>
                <w:szCs w:val="28"/>
                <w:highlight w:val="none"/>
              </w:rPr>
              <w:t>算数复核后投标报价（B）</w:t>
            </w:r>
          </w:p>
        </w:tc>
        <w:tc>
          <w:tcPr>
            <w:tcW w:w="3423" w:type="dxa"/>
            <w:tcBorders>
              <w:top w:val="single" w:color="auto" w:sz="4" w:space="0"/>
              <w:left w:val="single" w:color="auto" w:sz="4" w:space="0"/>
              <w:bottom w:val="single" w:color="auto" w:sz="4" w:space="0"/>
              <w:right w:val="single" w:color="auto" w:sz="4" w:space="0"/>
            </w:tcBorders>
          </w:tcPr>
          <w:p w14:paraId="5C88AB12">
            <w:pPr>
              <w:rPr>
                <w:rFonts w:ascii="宋体" w:hAnsi="宋体" w:cs="宋体"/>
                <w:b/>
                <w:sz w:val="28"/>
                <w:szCs w:val="28"/>
                <w:highlight w:val="none"/>
              </w:rPr>
            </w:pPr>
            <w:r>
              <w:rPr>
                <w:rFonts w:hint="eastAsia" w:ascii="宋体" w:hAnsi="宋体" w:cs="宋体"/>
                <w:b/>
                <w:sz w:val="28"/>
                <w:szCs w:val="28"/>
                <w:highlight w:val="none"/>
              </w:rPr>
              <w:t>误差率（r=|A-B|/A*100%）</w:t>
            </w:r>
          </w:p>
        </w:tc>
      </w:tr>
      <w:tr w14:paraId="6626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636C5F02">
            <w:pPr>
              <w:rPr>
                <w:rFonts w:ascii="宋体" w:hAnsi="宋体" w:cs="宋体"/>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4F85C24B">
            <w:pPr>
              <w:rPr>
                <w:rFonts w:ascii="宋体" w:hAnsi="宋体" w:cs="宋体"/>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597B9DAC">
            <w:pPr>
              <w:rPr>
                <w:rFonts w:ascii="宋体" w:hAnsi="宋体" w:cs="宋体"/>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765CB4EF">
            <w:pPr>
              <w:rPr>
                <w:rFonts w:ascii="宋体" w:hAnsi="宋体" w:cs="宋体"/>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5D9632C7">
            <w:pPr>
              <w:rPr>
                <w:rFonts w:ascii="宋体" w:hAnsi="宋体" w:cs="宋体"/>
                <w:sz w:val="36"/>
                <w:szCs w:val="36"/>
                <w:highlight w:val="none"/>
              </w:rPr>
            </w:pPr>
          </w:p>
        </w:tc>
      </w:tr>
      <w:tr w14:paraId="36AA8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7CE5D184">
            <w:pPr>
              <w:rPr>
                <w:rFonts w:ascii="宋体" w:hAnsi="宋体" w:cs="宋体"/>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17A3C08C">
            <w:pPr>
              <w:rPr>
                <w:rFonts w:ascii="宋体" w:hAnsi="宋体" w:cs="宋体"/>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001E7DA0">
            <w:pPr>
              <w:rPr>
                <w:rFonts w:ascii="宋体" w:hAnsi="宋体" w:cs="宋体"/>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2CC61088">
            <w:pPr>
              <w:rPr>
                <w:rFonts w:ascii="宋体" w:hAnsi="宋体" w:cs="宋体"/>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45750E18">
            <w:pPr>
              <w:rPr>
                <w:rFonts w:ascii="宋体" w:hAnsi="宋体" w:cs="宋体"/>
                <w:sz w:val="36"/>
                <w:szCs w:val="36"/>
                <w:highlight w:val="none"/>
              </w:rPr>
            </w:pPr>
          </w:p>
        </w:tc>
      </w:tr>
      <w:tr w14:paraId="55665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47A4835A">
            <w:pPr>
              <w:rPr>
                <w:rFonts w:ascii="宋体" w:hAnsi="宋体" w:cs="宋体"/>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0D4FFE8C">
            <w:pPr>
              <w:rPr>
                <w:rFonts w:ascii="宋体" w:hAnsi="宋体" w:cs="宋体"/>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50E4F515">
            <w:pPr>
              <w:rPr>
                <w:rFonts w:ascii="宋体" w:hAnsi="宋体" w:cs="宋体"/>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7A9B179E">
            <w:pPr>
              <w:rPr>
                <w:rFonts w:ascii="宋体" w:hAnsi="宋体" w:cs="宋体"/>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2AE6054E">
            <w:pPr>
              <w:rPr>
                <w:rFonts w:ascii="宋体" w:hAnsi="宋体" w:cs="宋体"/>
                <w:sz w:val="36"/>
                <w:szCs w:val="36"/>
                <w:highlight w:val="none"/>
              </w:rPr>
            </w:pPr>
          </w:p>
        </w:tc>
      </w:tr>
      <w:tr w14:paraId="66D96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5199AC78">
            <w:pPr>
              <w:rPr>
                <w:rFonts w:ascii="宋体" w:hAnsi="宋体" w:cs="宋体"/>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0F7A5795">
            <w:pPr>
              <w:rPr>
                <w:rFonts w:ascii="宋体" w:hAnsi="宋体" w:cs="宋体"/>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637E9664">
            <w:pPr>
              <w:rPr>
                <w:rFonts w:ascii="宋体" w:hAnsi="宋体" w:cs="宋体"/>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0A5C5B10">
            <w:pPr>
              <w:rPr>
                <w:rFonts w:ascii="宋体" w:hAnsi="宋体" w:cs="宋体"/>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141E3B66">
            <w:pPr>
              <w:rPr>
                <w:rFonts w:ascii="宋体" w:hAnsi="宋体" w:cs="宋体"/>
                <w:sz w:val="36"/>
                <w:szCs w:val="36"/>
                <w:highlight w:val="none"/>
              </w:rPr>
            </w:pPr>
          </w:p>
        </w:tc>
      </w:tr>
      <w:tr w14:paraId="12759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3E9A4B18">
            <w:pPr>
              <w:rPr>
                <w:rFonts w:ascii="宋体" w:hAnsi="宋体" w:cs="宋体"/>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403FB8C0">
            <w:pPr>
              <w:rPr>
                <w:rFonts w:ascii="宋体" w:hAnsi="宋体" w:cs="宋体"/>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679F8034">
            <w:pPr>
              <w:rPr>
                <w:rFonts w:ascii="宋体" w:hAnsi="宋体" w:cs="宋体"/>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6D063EA7">
            <w:pPr>
              <w:rPr>
                <w:rFonts w:ascii="宋体" w:hAnsi="宋体" w:cs="宋体"/>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239E7EDC">
            <w:pPr>
              <w:rPr>
                <w:rFonts w:ascii="宋体" w:hAnsi="宋体" w:cs="宋体"/>
                <w:sz w:val="36"/>
                <w:szCs w:val="36"/>
                <w:highlight w:val="none"/>
              </w:rPr>
            </w:pPr>
          </w:p>
        </w:tc>
      </w:tr>
      <w:tr w14:paraId="0577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43437169">
            <w:pPr>
              <w:rPr>
                <w:rFonts w:ascii="宋体" w:hAnsi="宋体" w:cs="宋体"/>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0D629E0B">
            <w:pPr>
              <w:rPr>
                <w:rFonts w:ascii="宋体" w:hAnsi="宋体" w:cs="宋体"/>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1B55B7C2">
            <w:pPr>
              <w:rPr>
                <w:rFonts w:ascii="宋体" w:hAnsi="宋体" w:cs="宋体"/>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427743F3">
            <w:pPr>
              <w:rPr>
                <w:rFonts w:ascii="宋体" w:hAnsi="宋体" w:cs="宋体"/>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74769D23">
            <w:pPr>
              <w:rPr>
                <w:rFonts w:ascii="宋体" w:hAnsi="宋体" w:cs="宋体"/>
                <w:sz w:val="36"/>
                <w:szCs w:val="36"/>
                <w:highlight w:val="none"/>
              </w:rPr>
            </w:pPr>
          </w:p>
        </w:tc>
      </w:tr>
      <w:tr w14:paraId="1196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4A48A88D">
            <w:pPr>
              <w:rPr>
                <w:rFonts w:ascii="宋体" w:hAnsi="宋体" w:cs="宋体"/>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60770888">
            <w:pPr>
              <w:rPr>
                <w:rFonts w:ascii="宋体" w:hAnsi="宋体" w:cs="宋体"/>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518F250B">
            <w:pPr>
              <w:rPr>
                <w:rFonts w:ascii="宋体" w:hAnsi="宋体" w:cs="宋体"/>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7B8CF674">
            <w:pPr>
              <w:rPr>
                <w:rFonts w:ascii="宋体" w:hAnsi="宋体" w:cs="宋体"/>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69D7A9B6">
            <w:pPr>
              <w:rPr>
                <w:rFonts w:ascii="宋体" w:hAnsi="宋体" w:cs="宋体"/>
                <w:sz w:val="36"/>
                <w:szCs w:val="36"/>
                <w:highlight w:val="none"/>
              </w:rPr>
            </w:pPr>
          </w:p>
        </w:tc>
      </w:tr>
      <w:tr w14:paraId="4F94E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5BD57EDB">
            <w:pPr>
              <w:rPr>
                <w:rFonts w:ascii="宋体" w:hAnsi="宋体" w:cs="宋体"/>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287089FA">
            <w:pPr>
              <w:rPr>
                <w:rFonts w:ascii="宋体" w:hAnsi="宋体" w:cs="宋体"/>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0069FD50">
            <w:pPr>
              <w:rPr>
                <w:rFonts w:ascii="宋体" w:hAnsi="宋体" w:cs="宋体"/>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7D279018">
            <w:pPr>
              <w:rPr>
                <w:rFonts w:ascii="宋体" w:hAnsi="宋体" w:cs="宋体"/>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71CFE519">
            <w:pPr>
              <w:rPr>
                <w:rFonts w:ascii="宋体" w:hAnsi="宋体" w:cs="宋体"/>
                <w:sz w:val="36"/>
                <w:szCs w:val="36"/>
                <w:highlight w:val="none"/>
              </w:rPr>
            </w:pPr>
          </w:p>
        </w:tc>
      </w:tr>
    </w:tbl>
    <w:p w14:paraId="1F3D78FE">
      <w:pPr>
        <w:rPr>
          <w:rFonts w:ascii="宋体" w:hAnsi="宋体" w:cs="宋体"/>
          <w:szCs w:val="21"/>
          <w:highlight w:val="none"/>
        </w:rPr>
      </w:pPr>
    </w:p>
    <w:p w14:paraId="5FFB334E">
      <w:pPr>
        <w:spacing w:line="360" w:lineRule="auto"/>
        <w:jc w:val="center"/>
        <w:rPr>
          <w:rFonts w:ascii="宋体" w:hAnsi="宋体" w:cs="宋体"/>
          <w:szCs w:val="21"/>
          <w:highlight w:val="none"/>
        </w:rPr>
        <w:sectPr>
          <w:endnotePr>
            <w:numFmt w:val="decimal"/>
          </w:endnotePr>
          <w:pgSz w:w="16838" w:h="11906" w:orient="landscape"/>
          <w:pgMar w:top="1418" w:right="1247" w:bottom="1418" w:left="1134" w:header="851" w:footer="907" w:gutter="0"/>
          <w:cols w:space="720" w:num="1"/>
          <w:titlePg/>
          <w:docGrid w:type="lines" w:linePitch="312" w:charSpace="0"/>
        </w:sectPr>
      </w:pPr>
    </w:p>
    <w:p w14:paraId="7AC0145F">
      <w:pPr>
        <w:pStyle w:val="2"/>
        <w:jc w:val="center"/>
        <w:rPr>
          <w:rFonts w:ascii="宋体" w:hAnsi="宋体" w:cs="宋体"/>
          <w:b w:val="0"/>
          <w:bCs/>
          <w:highlight w:val="none"/>
        </w:rPr>
      </w:pPr>
      <w:bookmarkStart w:id="48" w:name="_Toc2272566"/>
      <w:r>
        <w:rPr>
          <w:rFonts w:hint="eastAsia" w:ascii="宋体" w:hAnsi="宋体" w:cs="宋体"/>
          <w:bCs/>
          <w:highlight w:val="none"/>
        </w:rPr>
        <w:t>第三章  合同条款</w:t>
      </w:r>
      <w:bookmarkEnd w:id="48"/>
    </w:p>
    <w:p w14:paraId="35DA6A50">
      <w:pPr>
        <w:jc w:val="center"/>
        <w:rPr>
          <w:rFonts w:ascii="Times New Roman" w:hAnsi="Times New Roman" w:eastAsia="黑体"/>
          <w:b/>
          <w:color w:val="000000"/>
          <w:sz w:val="48"/>
          <w:szCs w:val="72"/>
          <w:highlight w:val="none"/>
          <w:u w:val="single"/>
        </w:rPr>
      </w:pPr>
      <w:r>
        <w:rPr>
          <w:rFonts w:hint="eastAsia" w:ascii="宋体" w:hAnsi="宋体" w:cs="宋体"/>
          <w:b/>
          <w:bCs/>
          <w:sz w:val="24"/>
          <w:szCs w:val="24"/>
          <w:highlight w:val="none"/>
        </w:rPr>
        <w:t>另册。</w:t>
      </w:r>
    </w:p>
    <w:p w14:paraId="172D44D3">
      <w:pPr>
        <w:pStyle w:val="25"/>
        <w:spacing w:line="360" w:lineRule="auto"/>
        <w:rPr>
          <w:color w:val="000000"/>
          <w:sz w:val="24"/>
          <w:szCs w:val="24"/>
          <w:highlight w:val="none"/>
        </w:rPr>
      </w:pPr>
    </w:p>
    <w:p w14:paraId="3EB60A40">
      <w:pPr>
        <w:keepNext/>
        <w:keepLines/>
        <w:spacing w:before="120" w:after="120" w:line="360" w:lineRule="auto"/>
        <w:jc w:val="center"/>
        <w:outlineLvl w:val="0"/>
        <w:rPr>
          <w:rFonts w:ascii="宋体" w:hAnsi="宋体" w:cs="宋体"/>
          <w:b/>
          <w:kern w:val="44"/>
          <w:sz w:val="28"/>
          <w:szCs w:val="28"/>
          <w:highlight w:val="none"/>
        </w:rPr>
      </w:pPr>
      <w:r>
        <w:rPr>
          <w:color w:val="000000"/>
          <w:sz w:val="24"/>
          <w:szCs w:val="24"/>
          <w:highlight w:val="none"/>
        </w:rPr>
        <w:br w:type="page"/>
      </w:r>
      <w:bookmarkStart w:id="49" w:name="_Toc27709"/>
      <w:bookmarkStart w:id="50" w:name="_Toc21525512"/>
      <w:bookmarkStart w:id="51" w:name="_Toc48896908"/>
      <w:r>
        <w:rPr>
          <w:rFonts w:hint="eastAsia" w:ascii="宋体" w:hAnsi="宋体" w:cs="宋体"/>
          <w:b/>
          <w:kern w:val="44"/>
          <w:sz w:val="28"/>
          <w:szCs w:val="28"/>
          <w:highlight w:val="none"/>
        </w:rPr>
        <w:t>第四章  投标文件格式</w:t>
      </w:r>
      <w:bookmarkEnd w:id="49"/>
      <w:bookmarkEnd w:id="50"/>
    </w:p>
    <w:p w14:paraId="68B40A8C">
      <w:pPr>
        <w:topLinePunct/>
        <w:adjustRightInd w:val="0"/>
        <w:snapToGrid w:val="0"/>
        <w:spacing w:line="360" w:lineRule="auto"/>
        <w:jc w:val="center"/>
        <w:outlineLvl w:val="0"/>
        <w:rPr>
          <w:rFonts w:ascii="宋体" w:hAnsi="宋体" w:cs="宋体"/>
          <w:b/>
          <w:spacing w:val="4"/>
          <w:kern w:val="0"/>
          <w:sz w:val="30"/>
          <w:szCs w:val="30"/>
          <w:highlight w:val="none"/>
        </w:rPr>
      </w:pPr>
      <w:bookmarkStart w:id="52" w:name="_Toc19004584"/>
      <w:bookmarkStart w:id="53" w:name="_Toc532475786"/>
      <w:bookmarkStart w:id="54" w:name="_Toc19004585"/>
      <w:bookmarkStart w:id="55" w:name="_Toc532475353"/>
      <w:bookmarkStart w:id="56" w:name="_Toc510963883"/>
      <w:r>
        <w:rPr>
          <w:rFonts w:hint="eastAsia" w:ascii="宋体" w:hAnsi="宋体" w:cs="宋体"/>
          <w:b/>
          <w:spacing w:val="4"/>
          <w:kern w:val="0"/>
          <w:sz w:val="30"/>
          <w:szCs w:val="30"/>
          <w:highlight w:val="none"/>
        </w:rPr>
        <w:t>一、技术标投标文件格式</w:t>
      </w:r>
      <w:bookmarkEnd w:id="52"/>
    </w:p>
    <w:p w14:paraId="5E0579C5">
      <w:pPr>
        <w:topLinePunct/>
        <w:adjustRightInd w:val="0"/>
        <w:snapToGrid w:val="0"/>
        <w:spacing w:line="360" w:lineRule="auto"/>
        <w:jc w:val="left"/>
        <w:outlineLvl w:val="2"/>
        <w:rPr>
          <w:rFonts w:ascii="宋体" w:hAnsi="宋体" w:cs="宋体"/>
          <w:b/>
          <w:snapToGrid w:val="0"/>
          <w:spacing w:val="4"/>
          <w:kern w:val="0"/>
          <w:sz w:val="24"/>
          <w:szCs w:val="20"/>
          <w:highlight w:val="none"/>
        </w:rPr>
      </w:pPr>
      <w:r>
        <w:rPr>
          <w:rFonts w:hint="eastAsia" w:ascii="宋体" w:hAnsi="宋体" w:cs="宋体"/>
          <w:b/>
          <w:snapToGrid w:val="0"/>
          <w:spacing w:val="4"/>
          <w:kern w:val="0"/>
          <w:sz w:val="24"/>
          <w:szCs w:val="20"/>
          <w:highlight w:val="none"/>
        </w:rPr>
        <w:t>格式一：技术标封面</w:t>
      </w:r>
      <w:bookmarkEnd w:id="53"/>
      <w:bookmarkEnd w:id="54"/>
      <w:bookmarkEnd w:id="55"/>
      <w:bookmarkEnd w:id="56"/>
    </w:p>
    <w:p w14:paraId="131D5D66">
      <w:pPr>
        <w:topLinePunct/>
        <w:adjustRightInd w:val="0"/>
        <w:snapToGrid w:val="0"/>
        <w:spacing w:line="360" w:lineRule="auto"/>
        <w:ind w:firstLine="496" w:firstLineChars="200"/>
        <w:rPr>
          <w:rFonts w:ascii="宋体" w:hAnsi="宋体" w:cs="宋体"/>
          <w:snapToGrid w:val="0"/>
          <w:spacing w:val="4"/>
          <w:kern w:val="0"/>
          <w:sz w:val="24"/>
          <w:szCs w:val="20"/>
          <w:highlight w:val="none"/>
        </w:rPr>
      </w:pPr>
    </w:p>
    <w:p w14:paraId="6894DBEF">
      <w:pPr>
        <w:topLinePunct/>
        <w:adjustRightInd w:val="0"/>
        <w:snapToGrid w:val="0"/>
        <w:spacing w:line="360" w:lineRule="auto"/>
        <w:ind w:firstLine="496" w:firstLineChars="200"/>
        <w:rPr>
          <w:rFonts w:ascii="宋体" w:hAnsi="宋体" w:cs="宋体"/>
          <w:snapToGrid w:val="0"/>
          <w:spacing w:val="4"/>
          <w:kern w:val="0"/>
          <w:sz w:val="24"/>
          <w:szCs w:val="20"/>
          <w:highlight w:val="none"/>
        </w:rPr>
      </w:pPr>
    </w:p>
    <w:p w14:paraId="31C63D69">
      <w:pPr>
        <w:topLinePunct/>
        <w:adjustRightInd w:val="0"/>
        <w:snapToGrid w:val="0"/>
        <w:spacing w:line="360" w:lineRule="auto"/>
        <w:ind w:firstLine="496" w:firstLineChars="200"/>
        <w:rPr>
          <w:rFonts w:ascii="宋体" w:hAnsi="宋体" w:cs="宋体"/>
          <w:snapToGrid w:val="0"/>
          <w:spacing w:val="4"/>
          <w:kern w:val="0"/>
          <w:sz w:val="24"/>
          <w:szCs w:val="20"/>
          <w:highlight w:val="none"/>
        </w:rPr>
      </w:pPr>
    </w:p>
    <w:p w14:paraId="1D2EB9F7">
      <w:pPr>
        <w:pStyle w:val="192"/>
        <w:rPr>
          <w:rFonts w:eastAsia="宋体" w:cs="宋体"/>
          <w:b w:val="0"/>
          <w:highlight w:val="none"/>
          <w:u w:val="single"/>
        </w:rPr>
      </w:pPr>
      <w:r>
        <w:rPr>
          <w:rFonts w:hint="eastAsia" w:eastAsia="宋体" w:cs="宋体"/>
          <w:b w:val="0"/>
          <w:highlight w:val="none"/>
          <w:u w:val="single"/>
        </w:rPr>
        <w:t xml:space="preserve">[工程名称] </w:t>
      </w:r>
    </w:p>
    <w:p w14:paraId="24A103E3">
      <w:pPr>
        <w:topLinePunct/>
        <w:adjustRightInd w:val="0"/>
        <w:snapToGrid w:val="0"/>
        <w:spacing w:line="360" w:lineRule="auto"/>
        <w:ind w:firstLine="496" w:firstLineChars="200"/>
        <w:rPr>
          <w:rFonts w:ascii="宋体" w:hAnsi="宋体" w:cs="宋体"/>
          <w:snapToGrid w:val="0"/>
          <w:spacing w:val="4"/>
          <w:kern w:val="0"/>
          <w:sz w:val="24"/>
          <w:szCs w:val="20"/>
          <w:highlight w:val="none"/>
        </w:rPr>
      </w:pPr>
    </w:p>
    <w:p w14:paraId="501ED60F">
      <w:pPr>
        <w:topLinePunct/>
        <w:adjustRightInd w:val="0"/>
        <w:snapToGrid w:val="0"/>
        <w:spacing w:line="360" w:lineRule="auto"/>
        <w:ind w:firstLine="496" w:firstLineChars="200"/>
        <w:rPr>
          <w:rFonts w:ascii="宋体" w:hAnsi="宋体" w:cs="宋体"/>
          <w:snapToGrid w:val="0"/>
          <w:spacing w:val="4"/>
          <w:kern w:val="0"/>
          <w:sz w:val="24"/>
          <w:szCs w:val="20"/>
          <w:highlight w:val="none"/>
        </w:rPr>
      </w:pPr>
    </w:p>
    <w:p w14:paraId="4A06D8F0">
      <w:pPr>
        <w:topLinePunct/>
        <w:adjustRightInd w:val="0"/>
        <w:snapToGrid w:val="0"/>
        <w:spacing w:line="360" w:lineRule="auto"/>
        <w:ind w:firstLine="496" w:firstLineChars="200"/>
        <w:rPr>
          <w:rFonts w:ascii="宋体" w:hAnsi="宋体" w:cs="宋体"/>
          <w:snapToGrid w:val="0"/>
          <w:spacing w:val="4"/>
          <w:kern w:val="0"/>
          <w:sz w:val="24"/>
          <w:szCs w:val="20"/>
          <w:highlight w:val="none"/>
        </w:rPr>
      </w:pPr>
    </w:p>
    <w:p w14:paraId="03BD40B7">
      <w:pPr>
        <w:topLinePunct/>
        <w:adjustRightInd w:val="0"/>
        <w:snapToGrid w:val="0"/>
        <w:spacing w:line="360" w:lineRule="auto"/>
        <w:ind w:firstLine="496" w:firstLineChars="200"/>
        <w:rPr>
          <w:rFonts w:ascii="宋体" w:hAnsi="宋体" w:cs="宋体"/>
          <w:snapToGrid w:val="0"/>
          <w:spacing w:val="4"/>
          <w:kern w:val="0"/>
          <w:sz w:val="24"/>
          <w:szCs w:val="20"/>
          <w:highlight w:val="none"/>
        </w:rPr>
      </w:pPr>
    </w:p>
    <w:p w14:paraId="0E685193">
      <w:pPr>
        <w:pStyle w:val="297"/>
        <w:rPr>
          <w:rFonts w:eastAsia="宋体" w:cs="宋体"/>
          <w:b w:val="0"/>
          <w:highlight w:val="none"/>
        </w:rPr>
      </w:pPr>
      <w:r>
        <w:rPr>
          <w:rFonts w:hint="eastAsia" w:eastAsia="宋体" w:cs="宋体"/>
          <w:b w:val="0"/>
          <w:highlight w:val="none"/>
        </w:rPr>
        <w:t>投标文件</w:t>
      </w:r>
    </w:p>
    <w:p w14:paraId="530E2481">
      <w:pPr>
        <w:pStyle w:val="192"/>
        <w:rPr>
          <w:rFonts w:eastAsia="宋体" w:cs="宋体"/>
          <w:b w:val="0"/>
          <w:highlight w:val="none"/>
        </w:rPr>
      </w:pPr>
      <w:r>
        <w:rPr>
          <w:rFonts w:hint="eastAsia" w:eastAsia="宋体" w:cs="宋体"/>
          <w:b w:val="0"/>
          <w:highlight w:val="none"/>
        </w:rPr>
        <w:t>技术投标文件（含资格审查文件）</w:t>
      </w:r>
    </w:p>
    <w:p w14:paraId="609B5A3A">
      <w:pPr>
        <w:topLinePunct/>
        <w:adjustRightInd w:val="0"/>
        <w:snapToGrid w:val="0"/>
        <w:spacing w:line="360" w:lineRule="auto"/>
        <w:ind w:firstLine="496" w:firstLineChars="200"/>
        <w:rPr>
          <w:rFonts w:ascii="宋体" w:hAnsi="宋体" w:cs="宋体"/>
          <w:snapToGrid w:val="0"/>
          <w:spacing w:val="4"/>
          <w:kern w:val="0"/>
          <w:sz w:val="24"/>
          <w:szCs w:val="20"/>
          <w:highlight w:val="none"/>
        </w:rPr>
      </w:pPr>
    </w:p>
    <w:p w14:paraId="42E15C74">
      <w:pPr>
        <w:topLinePunct/>
        <w:adjustRightInd w:val="0"/>
        <w:snapToGrid w:val="0"/>
        <w:spacing w:line="360" w:lineRule="auto"/>
        <w:ind w:firstLine="496" w:firstLineChars="200"/>
        <w:rPr>
          <w:rFonts w:ascii="宋体" w:hAnsi="宋体" w:cs="宋体"/>
          <w:snapToGrid w:val="0"/>
          <w:spacing w:val="4"/>
          <w:kern w:val="0"/>
          <w:sz w:val="24"/>
          <w:szCs w:val="20"/>
          <w:highlight w:val="none"/>
        </w:rPr>
      </w:pPr>
    </w:p>
    <w:p w14:paraId="5AA4B1DE">
      <w:pPr>
        <w:topLinePunct/>
        <w:adjustRightInd w:val="0"/>
        <w:snapToGrid w:val="0"/>
        <w:spacing w:line="360" w:lineRule="auto"/>
        <w:ind w:firstLine="496" w:firstLineChars="200"/>
        <w:rPr>
          <w:rFonts w:ascii="宋体" w:hAnsi="宋体" w:cs="宋体"/>
          <w:snapToGrid w:val="0"/>
          <w:spacing w:val="4"/>
          <w:kern w:val="0"/>
          <w:sz w:val="24"/>
          <w:szCs w:val="20"/>
          <w:highlight w:val="none"/>
        </w:rPr>
      </w:pPr>
    </w:p>
    <w:p w14:paraId="7B4888C8">
      <w:pPr>
        <w:topLinePunct/>
        <w:adjustRightInd w:val="0"/>
        <w:snapToGrid w:val="0"/>
        <w:spacing w:line="360" w:lineRule="auto"/>
        <w:ind w:firstLine="496" w:firstLineChars="200"/>
        <w:rPr>
          <w:rFonts w:ascii="宋体" w:hAnsi="宋体" w:cs="宋体"/>
          <w:snapToGrid w:val="0"/>
          <w:spacing w:val="4"/>
          <w:kern w:val="0"/>
          <w:sz w:val="24"/>
          <w:szCs w:val="20"/>
          <w:highlight w:val="none"/>
        </w:rPr>
      </w:pPr>
    </w:p>
    <w:p w14:paraId="28B45984">
      <w:pPr>
        <w:pStyle w:val="300"/>
        <w:ind w:firstLine="616"/>
        <w:rPr>
          <w:rFonts w:eastAsia="宋体" w:cs="宋体"/>
          <w:highlight w:val="none"/>
        </w:rPr>
      </w:pPr>
      <w:r>
        <w:rPr>
          <w:rFonts w:hint="eastAsia" w:eastAsia="宋体" w:cs="宋体"/>
          <w:highlight w:val="none"/>
        </w:rPr>
        <w:t>投标人：</w:t>
      </w:r>
      <w:r>
        <w:rPr>
          <w:rFonts w:hint="eastAsia" w:eastAsia="宋体" w:cs="宋体"/>
          <w:highlight w:val="none"/>
          <w:u w:val="single"/>
        </w:rPr>
        <w:t xml:space="preserve">    （填写投标人单位名称）    （盖章）</w:t>
      </w:r>
    </w:p>
    <w:p w14:paraId="29DAF658">
      <w:pPr>
        <w:pStyle w:val="300"/>
        <w:ind w:firstLine="616"/>
        <w:rPr>
          <w:rFonts w:eastAsia="宋体" w:cs="宋体"/>
          <w:highlight w:val="none"/>
        </w:rPr>
      </w:pPr>
      <w:r>
        <w:rPr>
          <w:rFonts w:hint="eastAsia" w:eastAsia="宋体" w:cs="宋体"/>
          <w:highlight w:val="none"/>
        </w:rPr>
        <w:t>法定代表人或</w:t>
      </w:r>
    </w:p>
    <w:p w14:paraId="50295C31">
      <w:pPr>
        <w:pStyle w:val="300"/>
        <w:ind w:firstLine="616"/>
        <w:rPr>
          <w:rFonts w:eastAsia="宋体" w:cs="宋体"/>
          <w:highlight w:val="none"/>
        </w:rPr>
      </w:pPr>
      <w:r>
        <w:rPr>
          <w:rFonts w:hint="eastAsia" w:eastAsia="宋体" w:cs="宋体"/>
          <w:highlight w:val="none"/>
        </w:rPr>
        <w:t>其委托代理人：</w:t>
      </w:r>
      <w:r>
        <w:rPr>
          <w:rFonts w:hint="eastAsia" w:eastAsia="宋体" w:cs="宋体"/>
          <w:highlight w:val="none"/>
          <w:u w:val="single"/>
        </w:rPr>
        <w:t xml:space="preserve">                    （签名或盖章）</w:t>
      </w:r>
    </w:p>
    <w:p w14:paraId="5DC2B5EA">
      <w:pPr>
        <w:pStyle w:val="300"/>
        <w:ind w:firstLine="616"/>
        <w:rPr>
          <w:rFonts w:eastAsia="宋体" w:cs="宋体"/>
          <w:sz w:val="24"/>
          <w:szCs w:val="24"/>
          <w:highlight w:val="none"/>
        </w:rPr>
      </w:pPr>
      <w:r>
        <w:rPr>
          <w:rFonts w:hint="eastAsia" w:eastAsia="宋体" w:cs="宋体"/>
          <w:highlight w:val="none"/>
        </w:rPr>
        <w:t>日  期：</w:t>
      </w:r>
    </w:p>
    <w:p w14:paraId="11C9C45A">
      <w:pPr>
        <w:topLinePunct/>
        <w:adjustRightInd w:val="0"/>
        <w:snapToGrid w:val="0"/>
        <w:spacing w:line="360" w:lineRule="auto"/>
        <w:ind w:firstLine="496" w:firstLineChars="200"/>
        <w:rPr>
          <w:rFonts w:ascii="宋体" w:hAnsi="宋体" w:cs="宋体"/>
          <w:snapToGrid w:val="0"/>
          <w:spacing w:val="4"/>
          <w:kern w:val="0"/>
          <w:sz w:val="24"/>
          <w:szCs w:val="20"/>
          <w:highlight w:val="none"/>
        </w:rPr>
      </w:pPr>
    </w:p>
    <w:p w14:paraId="047E6B38">
      <w:pPr>
        <w:pStyle w:val="6"/>
        <w:rPr>
          <w:highlight w:val="none"/>
        </w:rPr>
      </w:pPr>
    </w:p>
    <w:p w14:paraId="00E3F181">
      <w:pPr>
        <w:pStyle w:val="6"/>
        <w:rPr>
          <w:highlight w:val="none"/>
        </w:rPr>
      </w:pPr>
    </w:p>
    <w:p w14:paraId="43B49125">
      <w:pPr>
        <w:tabs>
          <w:tab w:val="left" w:pos="720"/>
        </w:tabs>
        <w:snapToGrid w:val="0"/>
        <w:spacing w:line="360" w:lineRule="auto"/>
        <w:rPr>
          <w:rFonts w:ascii="宋体" w:hAnsi="宋体" w:cs="宋体"/>
          <w:sz w:val="24"/>
          <w:szCs w:val="24"/>
          <w:highlight w:val="none"/>
        </w:rPr>
      </w:pPr>
    </w:p>
    <w:p w14:paraId="01310386">
      <w:pPr>
        <w:rPr>
          <w:rFonts w:ascii="宋体" w:hAnsi="宋体" w:cs="宋体"/>
          <w:highlight w:val="none"/>
        </w:rPr>
      </w:pPr>
      <w:bookmarkStart w:id="57" w:name="_Toc19004587"/>
      <w:r>
        <w:rPr>
          <w:rFonts w:hint="eastAsia" w:ascii="宋体" w:hAnsi="宋体" w:cs="宋体"/>
          <w:b/>
          <w:bCs/>
          <w:snapToGrid w:val="0"/>
          <w:spacing w:val="4"/>
          <w:kern w:val="0"/>
          <w:sz w:val="24"/>
          <w:szCs w:val="21"/>
          <w:highlight w:val="none"/>
        </w:rPr>
        <w:t>格式二：参与编制技术标投标文件人员名单</w:t>
      </w:r>
      <w:bookmarkEnd w:id="57"/>
    </w:p>
    <w:p w14:paraId="5060EAC5">
      <w:pPr>
        <w:tabs>
          <w:tab w:val="left" w:pos="720"/>
        </w:tabs>
        <w:snapToGrid w:val="0"/>
        <w:spacing w:line="360" w:lineRule="auto"/>
        <w:jc w:val="center"/>
        <w:rPr>
          <w:rFonts w:ascii="宋体" w:hAnsi="宋体" w:cs="宋体"/>
          <w:b/>
          <w:sz w:val="32"/>
          <w:szCs w:val="32"/>
          <w:highlight w:val="none"/>
        </w:rPr>
      </w:pPr>
    </w:p>
    <w:p w14:paraId="311B5F29">
      <w:pPr>
        <w:autoSpaceDE w:val="0"/>
        <w:autoSpaceDN w:val="0"/>
        <w:adjustRightInd w:val="0"/>
        <w:ind w:left="-540" w:leftChars="-257" w:firstLine="929" w:firstLineChars="257"/>
        <w:jc w:val="center"/>
        <w:rPr>
          <w:rFonts w:ascii="宋体" w:hAnsi="宋体" w:cs="宋体"/>
          <w:b/>
          <w:bCs/>
          <w:sz w:val="36"/>
          <w:szCs w:val="36"/>
          <w:highlight w:val="none"/>
          <w:lang w:val="zh-CN"/>
        </w:rPr>
      </w:pPr>
      <w:r>
        <w:rPr>
          <w:rFonts w:hint="eastAsia" w:ascii="宋体" w:hAnsi="宋体" w:cs="宋体"/>
          <w:b/>
          <w:bCs/>
          <w:sz w:val="36"/>
          <w:szCs w:val="36"/>
          <w:highlight w:val="none"/>
          <w:lang w:val="zh-CN"/>
        </w:rPr>
        <w:t>参与编制技术标投标文件人员名单</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381"/>
        <w:gridCol w:w="2342"/>
        <w:gridCol w:w="2246"/>
        <w:gridCol w:w="1361"/>
      </w:tblGrid>
      <w:tr w14:paraId="654D3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522" w:type="dxa"/>
            <w:gridSpan w:val="5"/>
            <w:tcBorders>
              <w:top w:val="single" w:color="auto" w:sz="4" w:space="0"/>
              <w:left w:val="single" w:color="auto" w:sz="4" w:space="0"/>
              <w:bottom w:val="single" w:color="auto" w:sz="4" w:space="0"/>
              <w:right w:val="single" w:color="auto" w:sz="4" w:space="0"/>
            </w:tcBorders>
            <w:vAlign w:val="center"/>
          </w:tcPr>
          <w:p w14:paraId="021E73CD">
            <w:pPr>
              <w:tabs>
                <w:tab w:val="left" w:pos="720"/>
              </w:tabs>
              <w:snapToGrid w:val="0"/>
              <w:spacing w:line="360" w:lineRule="auto"/>
              <w:jc w:val="center"/>
              <w:rPr>
                <w:rFonts w:ascii="宋体" w:hAnsi="宋体" w:cs="宋体"/>
                <w:szCs w:val="21"/>
                <w:highlight w:val="none"/>
              </w:rPr>
            </w:pPr>
            <w:r>
              <w:rPr>
                <w:rFonts w:hint="eastAsia" w:ascii="宋体" w:hAnsi="宋体" w:cs="宋体"/>
                <w:szCs w:val="21"/>
                <w:highlight w:val="none"/>
              </w:rPr>
              <w:t>投标人名称</w:t>
            </w:r>
          </w:p>
        </w:tc>
      </w:tr>
      <w:tr w14:paraId="53F87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92" w:type="dxa"/>
            <w:tcBorders>
              <w:top w:val="single" w:color="auto" w:sz="4" w:space="0"/>
              <w:left w:val="single" w:color="auto" w:sz="4" w:space="0"/>
              <w:bottom w:val="single" w:color="auto" w:sz="4" w:space="0"/>
              <w:right w:val="single" w:color="auto" w:sz="4" w:space="0"/>
            </w:tcBorders>
            <w:vAlign w:val="center"/>
          </w:tcPr>
          <w:p w14:paraId="5DAB45D2">
            <w:pPr>
              <w:tabs>
                <w:tab w:val="left" w:pos="720"/>
              </w:tabs>
              <w:snapToGrid w:val="0"/>
              <w:spacing w:line="360" w:lineRule="auto"/>
              <w:jc w:val="center"/>
              <w:rPr>
                <w:rFonts w:ascii="宋体" w:hAnsi="宋体" w:cs="宋体"/>
                <w:szCs w:val="21"/>
                <w:highlight w:val="none"/>
              </w:rPr>
            </w:pPr>
            <w:r>
              <w:rPr>
                <w:rFonts w:hint="eastAsia" w:ascii="宋体" w:hAnsi="宋体" w:cs="宋体"/>
                <w:szCs w:val="21"/>
                <w:highlight w:val="none"/>
              </w:rPr>
              <w:t>姓名</w:t>
            </w:r>
          </w:p>
        </w:tc>
        <w:tc>
          <w:tcPr>
            <w:tcW w:w="1381" w:type="dxa"/>
            <w:tcBorders>
              <w:top w:val="single" w:color="auto" w:sz="4" w:space="0"/>
              <w:left w:val="single" w:color="auto" w:sz="4" w:space="0"/>
              <w:bottom w:val="single" w:color="auto" w:sz="4" w:space="0"/>
              <w:right w:val="single" w:color="auto" w:sz="4" w:space="0"/>
            </w:tcBorders>
            <w:vAlign w:val="center"/>
          </w:tcPr>
          <w:p w14:paraId="0EA27590">
            <w:pPr>
              <w:tabs>
                <w:tab w:val="left" w:pos="720"/>
              </w:tabs>
              <w:snapToGrid w:val="0"/>
              <w:spacing w:line="360" w:lineRule="auto"/>
              <w:jc w:val="center"/>
              <w:rPr>
                <w:rFonts w:ascii="宋体" w:hAnsi="宋体" w:cs="宋体"/>
                <w:szCs w:val="21"/>
                <w:highlight w:val="none"/>
              </w:rPr>
            </w:pPr>
            <w:r>
              <w:rPr>
                <w:rFonts w:hint="eastAsia" w:ascii="宋体" w:hAnsi="宋体" w:cs="宋体"/>
                <w:szCs w:val="21"/>
                <w:highlight w:val="none"/>
              </w:rPr>
              <w:t>职务</w:t>
            </w:r>
          </w:p>
        </w:tc>
        <w:tc>
          <w:tcPr>
            <w:tcW w:w="2342" w:type="dxa"/>
            <w:tcBorders>
              <w:top w:val="single" w:color="auto" w:sz="4" w:space="0"/>
              <w:left w:val="single" w:color="auto" w:sz="4" w:space="0"/>
              <w:bottom w:val="single" w:color="auto" w:sz="4" w:space="0"/>
              <w:right w:val="single" w:color="auto" w:sz="4" w:space="0"/>
            </w:tcBorders>
            <w:vAlign w:val="center"/>
          </w:tcPr>
          <w:p w14:paraId="0984DAD9">
            <w:pPr>
              <w:tabs>
                <w:tab w:val="left" w:pos="720"/>
              </w:tabs>
              <w:snapToGrid w:val="0"/>
              <w:spacing w:line="360" w:lineRule="auto"/>
              <w:jc w:val="center"/>
              <w:rPr>
                <w:rFonts w:ascii="宋体" w:hAnsi="宋体" w:cs="宋体"/>
                <w:szCs w:val="21"/>
                <w:highlight w:val="none"/>
              </w:rPr>
            </w:pPr>
            <w:r>
              <w:rPr>
                <w:rFonts w:hint="eastAsia" w:ascii="宋体" w:hAnsi="宋体" w:cs="宋体"/>
                <w:szCs w:val="21"/>
                <w:highlight w:val="none"/>
              </w:rPr>
              <w:t>所承担工作</w:t>
            </w:r>
          </w:p>
        </w:tc>
        <w:tc>
          <w:tcPr>
            <w:tcW w:w="2246" w:type="dxa"/>
            <w:tcBorders>
              <w:top w:val="single" w:color="auto" w:sz="4" w:space="0"/>
              <w:left w:val="single" w:color="auto" w:sz="4" w:space="0"/>
              <w:bottom w:val="single" w:color="auto" w:sz="4" w:space="0"/>
              <w:right w:val="single" w:color="auto" w:sz="4" w:space="0"/>
            </w:tcBorders>
            <w:vAlign w:val="center"/>
          </w:tcPr>
          <w:p w14:paraId="48CC7FE3">
            <w:pPr>
              <w:tabs>
                <w:tab w:val="left" w:pos="720"/>
              </w:tabs>
              <w:snapToGrid w:val="0"/>
              <w:spacing w:line="360" w:lineRule="auto"/>
              <w:jc w:val="center"/>
              <w:rPr>
                <w:rFonts w:ascii="宋体" w:hAnsi="宋体" w:cs="宋体"/>
                <w:szCs w:val="21"/>
                <w:highlight w:val="none"/>
              </w:rPr>
            </w:pPr>
            <w:r>
              <w:rPr>
                <w:rFonts w:hint="eastAsia" w:ascii="宋体" w:hAnsi="宋体" w:cs="宋体"/>
                <w:szCs w:val="21"/>
                <w:highlight w:val="none"/>
              </w:rPr>
              <w:t>身份证号码</w:t>
            </w:r>
          </w:p>
        </w:tc>
        <w:tc>
          <w:tcPr>
            <w:tcW w:w="1361" w:type="dxa"/>
            <w:tcBorders>
              <w:top w:val="single" w:color="auto" w:sz="4" w:space="0"/>
              <w:left w:val="single" w:color="auto" w:sz="4" w:space="0"/>
              <w:bottom w:val="single" w:color="auto" w:sz="4" w:space="0"/>
              <w:right w:val="single" w:color="auto" w:sz="4" w:space="0"/>
            </w:tcBorders>
            <w:vAlign w:val="center"/>
          </w:tcPr>
          <w:p w14:paraId="68530520">
            <w:pPr>
              <w:tabs>
                <w:tab w:val="left" w:pos="720"/>
              </w:tabs>
              <w:snapToGrid w:val="0"/>
              <w:spacing w:line="360" w:lineRule="auto"/>
              <w:jc w:val="center"/>
              <w:rPr>
                <w:rFonts w:ascii="宋体" w:hAnsi="宋体" w:cs="宋体"/>
                <w:szCs w:val="21"/>
                <w:highlight w:val="none"/>
              </w:rPr>
            </w:pPr>
            <w:r>
              <w:rPr>
                <w:rFonts w:hint="eastAsia" w:ascii="宋体" w:hAnsi="宋体" w:cs="宋体"/>
                <w:szCs w:val="21"/>
                <w:highlight w:val="none"/>
              </w:rPr>
              <w:t>本人签名栏</w:t>
            </w:r>
          </w:p>
        </w:tc>
      </w:tr>
      <w:tr w14:paraId="22921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92" w:type="dxa"/>
            <w:tcBorders>
              <w:top w:val="single" w:color="auto" w:sz="4" w:space="0"/>
              <w:left w:val="single" w:color="auto" w:sz="4" w:space="0"/>
              <w:bottom w:val="single" w:color="auto" w:sz="4" w:space="0"/>
              <w:right w:val="single" w:color="auto" w:sz="4" w:space="0"/>
            </w:tcBorders>
            <w:vAlign w:val="center"/>
          </w:tcPr>
          <w:p w14:paraId="7E304189">
            <w:pPr>
              <w:tabs>
                <w:tab w:val="left" w:pos="720"/>
              </w:tabs>
              <w:snapToGrid w:val="0"/>
              <w:spacing w:line="360" w:lineRule="auto"/>
              <w:jc w:val="center"/>
              <w:rPr>
                <w:rFonts w:ascii="宋体" w:hAnsi="宋体" w:cs="宋体"/>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1C4F2C78">
            <w:pPr>
              <w:tabs>
                <w:tab w:val="left" w:pos="720"/>
              </w:tabs>
              <w:snapToGrid w:val="0"/>
              <w:spacing w:line="360" w:lineRule="auto"/>
              <w:jc w:val="center"/>
              <w:rPr>
                <w:rFonts w:ascii="宋体" w:hAnsi="宋体" w:cs="宋体"/>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2469A946">
            <w:pPr>
              <w:tabs>
                <w:tab w:val="left" w:pos="720"/>
              </w:tabs>
              <w:snapToGrid w:val="0"/>
              <w:spacing w:line="360" w:lineRule="auto"/>
              <w:jc w:val="center"/>
              <w:rPr>
                <w:rFonts w:ascii="宋体" w:hAnsi="宋体" w:cs="宋体"/>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048FA652">
            <w:pPr>
              <w:tabs>
                <w:tab w:val="left" w:pos="720"/>
              </w:tabs>
              <w:snapToGrid w:val="0"/>
              <w:spacing w:line="360" w:lineRule="auto"/>
              <w:jc w:val="center"/>
              <w:rPr>
                <w:rFonts w:ascii="宋体" w:hAnsi="宋体" w:cs="宋体"/>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15EC3AA2">
            <w:pPr>
              <w:tabs>
                <w:tab w:val="left" w:pos="720"/>
              </w:tabs>
              <w:snapToGrid w:val="0"/>
              <w:spacing w:line="360" w:lineRule="auto"/>
              <w:jc w:val="center"/>
              <w:rPr>
                <w:rFonts w:ascii="宋体" w:hAnsi="宋体" w:cs="宋体"/>
                <w:szCs w:val="21"/>
                <w:highlight w:val="none"/>
              </w:rPr>
            </w:pPr>
          </w:p>
        </w:tc>
      </w:tr>
      <w:tr w14:paraId="7FF46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14:paraId="5A990589">
            <w:pPr>
              <w:tabs>
                <w:tab w:val="left" w:pos="720"/>
              </w:tabs>
              <w:snapToGrid w:val="0"/>
              <w:spacing w:line="360" w:lineRule="auto"/>
              <w:jc w:val="center"/>
              <w:rPr>
                <w:rFonts w:ascii="宋体" w:hAnsi="宋体" w:cs="宋体"/>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3B7646EA">
            <w:pPr>
              <w:tabs>
                <w:tab w:val="left" w:pos="720"/>
              </w:tabs>
              <w:snapToGrid w:val="0"/>
              <w:spacing w:line="360" w:lineRule="auto"/>
              <w:jc w:val="center"/>
              <w:rPr>
                <w:rFonts w:ascii="宋体" w:hAnsi="宋体" w:cs="宋体"/>
                <w:szCs w:val="21"/>
                <w:highlight w:val="none"/>
                <w:u w:val="single"/>
              </w:rPr>
            </w:pPr>
          </w:p>
        </w:tc>
        <w:tc>
          <w:tcPr>
            <w:tcW w:w="2342" w:type="dxa"/>
            <w:tcBorders>
              <w:top w:val="single" w:color="auto" w:sz="4" w:space="0"/>
              <w:left w:val="single" w:color="auto" w:sz="4" w:space="0"/>
              <w:bottom w:val="single" w:color="auto" w:sz="4" w:space="0"/>
              <w:right w:val="single" w:color="auto" w:sz="4" w:space="0"/>
            </w:tcBorders>
            <w:vAlign w:val="center"/>
          </w:tcPr>
          <w:p w14:paraId="438B594C">
            <w:pPr>
              <w:tabs>
                <w:tab w:val="left" w:pos="720"/>
              </w:tabs>
              <w:snapToGrid w:val="0"/>
              <w:spacing w:line="360" w:lineRule="auto"/>
              <w:jc w:val="center"/>
              <w:rPr>
                <w:rFonts w:ascii="宋体" w:hAnsi="宋体" w:cs="宋体"/>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53ED8DBA">
            <w:pPr>
              <w:tabs>
                <w:tab w:val="left" w:pos="720"/>
              </w:tabs>
              <w:snapToGrid w:val="0"/>
              <w:spacing w:line="360" w:lineRule="auto"/>
              <w:jc w:val="center"/>
              <w:rPr>
                <w:rFonts w:ascii="宋体" w:hAnsi="宋体" w:cs="宋体"/>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5B62FF98">
            <w:pPr>
              <w:tabs>
                <w:tab w:val="left" w:pos="720"/>
              </w:tabs>
              <w:snapToGrid w:val="0"/>
              <w:spacing w:line="360" w:lineRule="auto"/>
              <w:jc w:val="center"/>
              <w:rPr>
                <w:rFonts w:ascii="宋体" w:hAnsi="宋体" w:cs="宋体"/>
                <w:szCs w:val="21"/>
                <w:highlight w:val="none"/>
              </w:rPr>
            </w:pPr>
          </w:p>
        </w:tc>
      </w:tr>
      <w:tr w14:paraId="08C71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14:paraId="5D3C3312">
            <w:pPr>
              <w:tabs>
                <w:tab w:val="left" w:pos="720"/>
              </w:tabs>
              <w:snapToGrid w:val="0"/>
              <w:spacing w:line="360" w:lineRule="auto"/>
              <w:jc w:val="center"/>
              <w:rPr>
                <w:rFonts w:ascii="宋体" w:hAnsi="宋体" w:cs="宋体"/>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69802369">
            <w:pPr>
              <w:tabs>
                <w:tab w:val="left" w:pos="720"/>
              </w:tabs>
              <w:snapToGrid w:val="0"/>
              <w:spacing w:line="360" w:lineRule="auto"/>
              <w:jc w:val="center"/>
              <w:rPr>
                <w:rFonts w:ascii="宋体" w:hAnsi="宋体" w:cs="宋体"/>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73DB663B">
            <w:pPr>
              <w:tabs>
                <w:tab w:val="left" w:pos="720"/>
              </w:tabs>
              <w:snapToGrid w:val="0"/>
              <w:spacing w:line="360" w:lineRule="auto"/>
              <w:jc w:val="center"/>
              <w:rPr>
                <w:rFonts w:ascii="宋体" w:hAnsi="宋体" w:cs="宋体"/>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42EDE5A3">
            <w:pPr>
              <w:tabs>
                <w:tab w:val="left" w:pos="720"/>
              </w:tabs>
              <w:snapToGrid w:val="0"/>
              <w:spacing w:line="360" w:lineRule="auto"/>
              <w:jc w:val="center"/>
              <w:rPr>
                <w:rFonts w:ascii="宋体" w:hAnsi="宋体" w:cs="宋体"/>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3B8F6FF6">
            <w:pPr>
              <w:tabs>
                <w:tab w:val="left" w:pos="720"/>
              </w:tabs>
              <w:snapToGrid w:val="0"/>
              <w:spacing w:line="360" w:lineRule="auto"/>
              <w:jc w:val="center"/>
              <w:rPr>
                <w:rFonts w:ascii="宋体" w:hAnsi="宋体" w:cs="宋体"/>
                <w:szCs w:val="21"/>
                <w:highlight w:val="none"/>
              </w:rPr>
            </w:pPr>
          </w:p>
        </w:tc>
      </w:tr>
      <w:tr w14:paraId="1D246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14:paraId="57D979AC">
            <w:pPr>
              <w:tabs>
                <w:tab w:val="left" w:pos="720"/>
              </w:tabs>
              <w:snapToGrid w:val="0"/>
              <w:spacing w:line="360" w:lineRule="auto"/>
              <w:jc w:val="center"/>
              <w:rPr>
                <w:rFonts w:ascii="宋体" w:hAnsi="宋体" w:cs="宋体"/>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4D1DADF9">
            <w:pPr>
              <w:tabs>
                <w:tab w:val="left" w:pos="720"/>
              </w:tabs>
              <w:snapToGrid w:val="0"/>
              <w:spacing w:line="360" w:lineRule="auto"/>
              <w:jc w:val="center"/>
              <w:rPr>
                <w:rFonts w:ascii="宋体" w:hAnsi="宋体" w:cs="宋体"/>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06A81848">
            <w:pPr>
              <w:tabs>
                <w:tab w:val="left" w:pos="720"/>
              </w:tabs>
              <w:snapToGrid w:val="0"/>
              <w:spacing w:line="360" w:lineRule="auto"/>
              <w:jc w:val="center"/>
              <w:rPr>
                <w:rFonts w:ascii="宋体" w:hAnsi="宋体" w:cs="宋体"/>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79B82811">
            <w:pPr>
              <w:tabs>
                <w:tab w:val="left" w:pos="720"/>
              </w:tabs>
              <w:snapToGrid w:val="0"/>
              <w:spacing w:line="360" w:lineRule="auto"/>
              <w:jc w:val="center"/>
              <w:rPr>
                <w:rFonts w:ascii="宋体" w:hAnsi="宋体" w:cs="宋体"/>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28E610EF">
            <w:pPr>
              <w:tabs>
                <w:tab w:val="left" w:pos="720"/>
              </w:tabs>
              <w:snapToGrid w:val="0"/>
              <w:spacing w:line="360" w:lineRule="auto"/>
              <w:jc w:val="center"/>
              <w:rPr>
                <w:rFonts w:ascii="宋体" w:hAnsi="宋体" w:cs="宋体"/>
                <w:szCs w:val="21"/>
                <w:highlight w:val="none"/>
              </w:rPr>
            </w:pPr>
          </w:p>
        </w:tc>
      </w:tr>
      <w:tr w14:paraId="6CDD7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14:paraId="184102F0">
            <w:pPr>
              <w:tabs>
                <w:tab w:val="left" w:pos="720"/>
              </w:tabs>
              <w:snapToGrid w:val="0"/>
              <w:spacing w:line="360" w:lineRule="auto"/>
              <w:jc w:val="center"/>
              <w:rPr>
                <w:rFonts w:ascii="宋体" w:hAnsi="宋体" w:cs="宋体"/>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111A6A10">
            <w:pPr>
              <w:tabs>
                <w:tab w:val="left" w:pos="720"/>
              </w:tabs>
              <w:snapToGrid w:val="0"/>
              <w:spacing w:line="360" w:lineRule="auto"/>
              <w:jc w:val="center"/>
              <w:rPr>
                <w:rFonts w:ascii="宋体" w:hAnsi="宋体" w:cs="宋体"/>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3D63961E">
            <w:pPr>
              <w:tabs>
                <w:tab w:val="left" w:pos="720"/>
              </w:tabs>
              <w:snapToGrid w:val="0"/>
              <w:spacing w:line="360" w:lineRule="auto"/>
              <w:jc w:val="center"/>
              <w:rPr>
                <w:rFonts w:ascii="宋体" w:hAnsi="宋体" w:cs="宋体"/>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3082E07B">
            <w:pPr>
              <w:tabs>
                <w:tab w:val="left" w:pos="720"/>
              </w:tabs>
              <w:snapToGrid w:val="0"/>
              <w:spacing w:line="360" w:lineRule="auto"/>
              <w:jc w:val="center"/>
              <w:rPr>
                <w:rFonts w:ascii="宋体" w:hAnsi="宋体" w:cs="宋体"/>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27EA9185">
            <w:pPr>
              <w:tabs>
                <w:tab w:val="left" w:pos="720"/>
              </w:tabs>
              <w:snapToGrid w:val="0"/>
              <w:spacing w:line="360" w:lineRule="auto"/>
              <w:jc w:val="center"/>
              <w:rPr>
                <w:rFonts w:ascii="宋体" w:hAnsi="宋体" w:cs="宋体"/>
                <w:szCs w:val="21"/>
                <w:highlight w:val="none"/>
              </w:rPr>
            </w:pPr>
          </w:p>
        </w:tc>
      </w:tr>
      <w:tr w14:paraId="4CA6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14:paraId="0706CFA8">
            <w:pPr>
              <w:tabs>
                <w:tab w:val="left" w:pos="720"/>
              </w:tabs>
              <w:snapToGrid w:val="0"/>
              <w:spacing w:line="360" w:lineRule="auto"/>
              <w:jc w:val="center"/>
              <w:rPr>
                <w:rFonts w:ascii="宋体" w:hAnsi="宋体" w:cs="宋体"/>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2B59081F">
            <w:pPr>
              <w:tabs>
                <w:tab w:val="left" w:pos="720"/>
              </w:tabs>
              <w:snapToGrid w:val="0"/>
              <w:spacing w:line="360" w:lineRule="auto"/>
              <w:jc w:val="center"/>
              <w:rPr>
                <w:rFonts w:ascii="宋体" w:hAnsi="宋体" w:cs="宋体"/>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1199478F">
            <w:pPr>
              <w:tabs>
                <w:tab w:val="left" w:pos="720"/>
              </w:tabs>
              <w:snapToGrid w:val="0"/>
              <w:spacing w:line="360" w:lineRule="auto"/>
              <w:jc w:val="center"/>
              <w:rPr>
                <w:rFonts w:ascii="宋体" w:hAnsi="宋体" w:cs="宋体"/>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405AF890">
            <w:pPr>
              <w:tabs>
                <w:tab w:val="left" w:pos="720"/>
              </w:tabs>
              <w:snapToGrid w:val="0"/>
              <w:spacing w:line="360" w:lineRule="auto"/>
              <w:jc w:val="center"/>
              <w:rPr>
                <w:rFonts w:ascii="宋体" w:hAnsi="宋体" w:cs="宋体"/>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7CFE8E51">
            <w:pPr>
              <w:tabs>
                <w:tab w:val="left" w:pos="720"/>
              </w:tabs>
              <w:snapToGrid w:val="0"/>
              <w:spacing w:line="360" w:lineRule="auto"/>
              <w:jc w:val="center"/>
              <w:rPr>
                <w:rFonts w:ascii="宋体" w:hAnsi="宋体" w:cs="宋体"/>
                <w:szCs w:val="21"/>
                <w:highlight w:val="none"/>
              </w:rPr>
            </w:pPr>
          </w:p>
        </w:tc>
      </w:tr>
      <w:tr w14:paraId="25108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92" w:type="dxa"/>
            <w:tcBorders>
              <w:top w:val="single" w:color="auto" w:sz="4" w:space="0"/>
              <w:left w:val="single" w:color="auto" w:sz="4" w:space="0"/>
              <w:bottom w:val="single" w:color="auto" w:sz="4" w:space="0"/>
              <w:right w:val="single" w:color="auto" w:sz="4" w:space="0"/>
            </w:tcBorders>
            <w:vAlign w:val="center"/>
          </w:tcPr>
          <w:p w14:paraId="30CAC2A7">
            <w:pPr>
              <w:tabs>
                <w:tab w:val="left" w:pos="720"/>
              </w:tabs>
              <w:snapToGrid w:val="0"/>
              <w:spacing w:line="360" w:lineRule="auto"/>
              <w:jc w:val="center"/>
              <w:rPr>
                <w:rFonts w:ascii="宋体" w:hAnsi="宋体" w:cs="宋体"/>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6D9A5855">
            <w:pPr>
              <w:tabs>
                <w:tab w:val="left" w:pos="720"/>
              </w:tabs>
              <w:snapToGrid w:val="0"/>
              <w:spacing w:line="360" w:lineRule="auto"/>
              <w:jc w:val="center"/>
              <w:rPr>
                <w:rFonts w:ascii="宋体" w:hAnsi="宋体" w:cs="宋体"/>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553BA2A6">
            <w:pPr>
              <w:tabs>
                <w:tab w:val="left" w:pos="720"/>
              </w:tabs>
              <w:snapToGrid w:val="0"/>
              <w:spacing w:line="360" w:lineRule="auto"/>
              <w:jc w:val="center"/>
              <w:rPr>
                <w:rFonts w:ascii="宋体" w:hAnsi="宋体" w:cs="宋体"/>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6BDB9830">
            <w:pPr>
              <w:tabs>
                <w:tab w:val="left" w:pos="720"/>
              </w:tabs>
              <w:snapToGrid w:val="0"/>
              <w:spacing w:line="360" w:lineRule="auto"/>
              <w:jc w:val="center"/>
              <w:rPr>
                <w:rFonts w:ascii="宋体" w:hAnsi="宋体" w:cs="宋体"/>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626A5A21">
            <w:pPr>
              <w:tabs>
                <w:tab w:val="left" w:pos="720"/>
              </w:tabs>
              <w:snapToGrid w:val="0"/>
              <w:spacing w:line="360" w:lineRule="auto"/>
              <w:jc w:val="center"/>
              <w:rPr>
                <w:rFonts w:ascii="宋体" w:hAnsi="宋体" w:cs="宋体"/>
                <w:szCs w:val="21"/>
                <w:highlight w:val="none"/>
              </w:rPr>
            </w:pPr>
          </w:p>
        </w:tc>
      </w:tr>
      <w:tr w14:paraId="2797A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92" w:type="dxa"/>
            <w:tcBorders>
              <w:top w:val="single" w:color="auto" w:sz="4" w:space="0"/>
              <w:left w:val="single" w:color="auto" w:sz="4" w:space="0"/>
              <w:bottom w:val="single" w:color="auto" w:sz="4" w:space="0"/>
              <w:right w:val="single" w:color="auto" w:sz="4" w:space="0"/>
            </w:tcBorders>
            <w:vAlign w:val="center"/>
          </w:tcPr>
          <w:p w14:paraId="05CBF347">
            <w:pPr>
              <w:tabs>
                <w:tab w:val="left" w:pos="720"/>
              </w:tabs>
              <w:snapToGrid w:val="0"/>
              <w:spacing w:line="360" w:lineRule="auto"/>
              <w:jc w:val="center"/>
              <w:rPr>
                <w:rFonts w:ascii="宋体" w:hAnsi="宋体" w:cs="宋体"/>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7C4091D4">
            <w:pPr>
              <w:tabs>
                <w:tab w:val="left" w:pos="720"/>
              </w:tabs>
              <w:snapToGrid w:val="0"/>
              <w:spacing w:line="360" w:lineRule="auto"/>
              <w:jc w:val="center"/>
              <w:rPr>
                <w:rFonts w:ascii="宋体" w:hAnsi="宋体" w:cs="宋体"/>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54276435">
            <w:pPr>
              <w:tabs>
                <w:tab w:val="left" w:pos="720"/>
              </w:tabs>
              <w:snapToGrid w:val="0"/>
              <w:spacing w:line="360" w:lineRule="auto"/>
              <w:jc w:val="center"/>
              <w:rPr>
                <w:rFonts w:ascii="宋体" w:hAnsi="宋体" w:cs="宋体"/>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063C1834">
            <w:pPr>
              <w:tabs>
                <w:tab w:val="left" w:pos="720"/>
              </w:tabs>
              <w:snapToGrid w:val="0"/>
              <w:spacing w:line="360" w:lineRule="auto"/>
              <w:jc w:val="center"/>
              <w:rPr>
                <w:rFonts w:ascii="宋体" w:hAnsi="宋体" w:cs="宋体"/>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4A79394A">
            <w:pPr>
              <w:tabs>
                <w:tab w:val="left" w:pos="720"/>
              </w:tabs>
              <w:snapToGrid w:val="0"/>
              <w:spacing w:line="360" w:lineRule="auto"/>
              <w:jc w:val="center"/>
              <w:rPr>
                <w:rFonts w:ascii="宋体" w:hAnsi="宋体" w:cs="宋体"/>
                <w:szCs w:val="21"/>
                <w:highlight w:val="none"/>
              </w:rPr>
            </w:pPr>
          </w:p>
        </w:tc>
      </w:tr>
    </w:tbl>
    <w:p w14:paraId="7EFFC469">
      <w:pPr>
        <w:tabs>
          <w:tab w:val="left" w:pos="720"/>
        </w:tabs>
        <w:snapToGrid w:val="0"/>
        <w:spacing w:line="360" w:lineRule="auto"/>
        <w:rPr>
          <w:rFonts w:ascii="宋体" w:hAnsi="宋体" w:cs="宋体"/>
          <w:szCs w:val="21"/>
          <w:highlight w:val="none"/>
        </w:rPr>
      </w:pPr>
      <w:r>
        <w:rPr>
          <w:rFonts w:hint="eastAsia" w:ascii="宋体" w:hAnsi="宋体" w:cs="宋体"/>
          <w:szCs w:val="21"/>
          <w:highlight w:val="none"/>
        </w:rPr>
        <w:t>注：参与编制技术标书所有人员名单应包括如编制技术投标方案、负责清样校对、负责打印及复印等所有人员在内的人员名单。</w:t>
      </w:r>
    </w:p>
    <w:p w14:paraId="351EF358">
      <w:pPr>
        <w:topLinePunct/>
        <w:adjustRightInd w:val="0"/>
        <w:snapToGrid w:val="0"/>
        <w:spacing w:line="360" w:lineRule="auto"/>
        <w:rPr>
          <w:rFonts w:ascii="宋体" w:hAnsi="宋体" w:cs="宋体"/>
          <w:snapToGrid w:val="0"/>
          <w:spacing w:val="4"/>
          <w:kern w:val="0"/>
          <w:sz w:val="24"/>
          <w:szCs w:val="20"/>
          <w:highlight w:val="none"/>
        </w:rPr>
      </w:pPr>
      <w:r>
        <w:rPr>
          <w:rFonts w:hint="eastAsia" w:ascii="宋体" w:hAnsi="宋体" w:cs="宋体"/>
          <w:szCs w:val="21"/>
          <w:highlight w:val="none"/>
        </w:rPr>
        <w:br w:type="page"/>
      </w:r>
      <w:bookmarkStart w:id="58" w:name="_Toc19004594"/>
      <w:bookmarkStart w:id="59" w:name="_Toc519524342"/>
      <w:r>
        <w:rPr>
          <w:rFonts w:hint="eastAsia" w:ascii="宋体" w:hAnsi="宋体" w:cs="宋体"/>
          <w:b/>
          <w:bCs/>
          <w:snapToGrid w:val="0"/>
          <w:spacing w:val="4"/>
          <w:kern w:val="0"/>
          <w:sz w:val="24"/>
          <w:szCs w:val="20"/>
          <w:highlight w:val="none"/>
        </w:rPr>
        <w:t>格式三：响应招标文件所附施工组织设计要点的承诺书</w:t>
      </w:r>
      <w:bookmarkEnd w:id="58"/>
      <w:bookmarkEnd w:id="59"/>
    </w:p>
    <w:p w14:paraId="7F6A52E7">
      <w:pPr>
        <w:topLinePunct/>
        <w:adjustRightInd w:val="0"/>
        <w:snapToGrid w:val="0"/>
        <w:spacing w:line="360" w:lineRule="auto"/>
        <w:rPr>
          <w:rFonts w:ascii="宋体" w:hAnsi="宋体" w:cs="宋体"/>
          <w:snapToGrid w:val="0"/>
          <w:spacing w:val="4"/>
          <w:kern w:val="0"/>
          <w:sz w:val="24"/>
          <w:szCs w:val="20"/>
          <w:highlight w:val="none"/>
        </w:rPr>
      </w:pPr>
    </w:p>
    <w:p w14:paraId="2CFB6340">
      <w:pPr>
        <w:autoSpaceDE w:val="0"/>
        <w:autoSpaceDN w:val="0"/>
        <w:adjustRightInd w:val="0"/>
        <w:jc w:val="center"/>
        <w:rPr>
          <w:rFonts w:ascii="宋体" w:hAnsi="宋体" w:cs="宋体"/>
          <w:b/>
          <w:bCs/>
          <w:sz w:val="36"/>
          <w:szCs w:val="36"/>
          <w:highlight w:val="none"/>
          <w:lang w:val="zh-CN"/>
        </w:rPr>
      </w:pPr>
      <w:r>
        <w:rPr>
          <w:rFonts w:hint="eastAsia" w:ascii="宋体" w:hAnsi="宋体" w:cs="宋体"/>
          <w:b/>
          <w:bCs/>
          <w:sz w:val="36"/>
          <w:szCs w:val="36"/>
          <w:highlight w:val="none"/>
          <w:lang w:val="zh-CN"/>
        </w:rPr>
        <w:t>响应招标文件所附施工组织设计要点的承诺书</w:t>
      </w:r>
    </w:p>
    <w:p w14:paraId="431B677D">
      <w:pPr>
        <w:topLinePunct/>
        <w:adjustRightInd w:val="0"/>
        <w:snapToGrid w:val="0"/>
        <w:spacing w:line="360" w:lineRule="auto"/>
        <w:rPr>
          <w:rFonts w:ascii="宋体" w:hAnsi="宋体" w:cs="宋体"/>
          <w:snapToGrid w:val="0"/>
          <w:spacing w:val="4"/>
          <w:kern w:val="0"/>
          <w:sz w:val="24"/>
          <w:szCs w:val="20"/>
          <w:highlight w:val="none"/>
          <w:u w:val="single"/>
        </w:rPr>
      </w:pPr>
    </w:p>
    <w:p w14:paraId="0D5E0D11">
      <w:pPr>
        <w:topLinePunct/>
        <w:adjustRightInd w:val="0"/>
        <w:snapToGrid w:val="0"/>
        <w:spacing w:line="360" w:lineRule="auto"/>
        <w:rPr>
          <w:rFonts w:ascii="宋体" w:hAnsi="宋体" w:cs="宋体"/>
          <w:snapToGrid w:val="0"/>
          <w:spacing w:val="4"/>
          <w:kern w:val="0"/>
          <w:sz w:val="24"/>
          <w:szCs w:val="20"/>
          <w:highlight w:val="none"/>
          <w:u w:val="single"/>
        </w:rPr>
      </w:pPr>
      <w:r>
        <w:rPr>
          <w:rFonts w:hint="eastAsia" w:ascii="宋体" w:hAnsi="宋体" w:cs="宋体"/>
          <w:snapToGrid w:val="0"/>
          <w:spacing w:val="4"/>
          <w:kern w:val="0"/>
          <w:sz w:val="24"/>
          <w:szCs w:val="20"/>
          <w:highlight w:val="none"/>
          <w:u w:val="single"/>
        </w:rPr>
        <w:t>(招标人):</w:t>
      </w:r>
    </w:p>
    <w:p w14:paraId="6C27F2CE">
      <w:pPr>
        <w:topLinePunct/>
        <w:adjustRightInd w:val="0"/>
        <w:snapToGrid w:val="0"/>
        <w:spacing w:line="360" w:lineRule="auto"/>
        <w:ind w:firstLine="496" w:firstLineChars="200"/>
        <w:rPr>
          <w:rFonts w:ascii="宋体" w:hAnsi="宋体" w:cs="宋体"/>
          <w:snapToGrid w:val="0"/>
          <w:spacing w:val="4"/>
          <w:kern w:val="0"/>
          <w:sz w:val="24"/>
          <w:szCs w:val="20"/>
          <w:highlight w:val="none"/>
        </w:rPr>
      </w:pPr>
      <w:r>
        <w:rPr>
          <w:rFonts w:hint="eastAsia" w:ascii="宋体" w:hAnsi="宋体" w:cs="宋体"/>
          <w:snapToGrid w:val="0"/>
          <w:spacing w:val="4"/>
          <w:kern w:val="0"/>
          <w:sz w:val="24"/>
          <w:szCs w:val="20"/>
          <w:highlight w:val="none"/>
          <w:u w:val="single"/>
        </w:rPr>
        <w:t>我方承诺，如中标承建   (项目名称)  ，将按招标文件所附的本工程施工组织设计要点进行响应的基础上自行组织施工。并承诺在中标后按招标文件所附的_施工组织设计要点基础上编制详细的施工组织设计，按照招标人提出的施工现场建筑垃圾源头减量的具体要求以及建筑垃圾综合利用产品的使用要求提供相应措施，并报经监理单位和建设单位审批后实施。</w:t>
      </w:r>
    </w:p>
    <w:p w14:paraId="539ABA6D">
      <w:pPr>
        <w:topLinePunct/>
        <w:adjustRightInd w:val="0"/>
        <w:snapToGrid w:val="0"/>
        <w:spacing w:line="360" w:lineRule="auto"/>
        <w:jc w:val="left"/>
        <w:rPr>
          <w:rFonts w:ascii="宋体" w:hAnsi="宋体" w:cs="宋体"/>
          <w:snapToGrid w:val="0"/>
          <w:spacing w:val="4"/>
          <w:kern w:val="0"/>
          <w:sz w:val="24"/>
          <w:szCs w:val="21"/>
          <w:highlight w:val="none"/>
        </w:rPr>
      </w:pPr>
    </w:p>
    <w:p w14:paraId="71EECF85">
      <w:pPr>
        <w:topLinePunct/>
        <w:adjustRightInd w:val="0"/>
        <w:snapToGrid w:val="0"/>
        <w:spacing w:line="360" w:lineRule="auto"/>
        <w:ind w:firstLine="3596" w:firstLineChars="1450"/>
        <w:rPr>
          <w:rFonts w:ascii="宋体" w:hAnsi="宋体" w:cs="宋体"/>
          <w:snapToGrid w:val="0"/>
          <w:spacing w:val="4"/>
          <w:kern w:val="0"/>
          <w:sz w:val="24"/>
          <w:szCs w:val="20"/>
          <w:highlight w:val="none"/>
        </w:rPr>
      </w:pPr>
      <w:r>
        <w:rPr>
          <w:rFonts w:hint="eastAsia" w:ascii="宋体" w:hAnsi="宋体" w:cs="宋体"/>
          <w:snapToGrid w:val="0"/>
          <w:spacing w:val="4"/>
          <w:kern w:val="0"/>
          <w:sz w:val="24"/>
          <w:szCs w:val="20"/>
          <w:highlight w:val="none"/>
        </w:rPr>
        <w:t>投标人：　　（盖章）</w:t>
      </w:r>
    </w:p>
    <w:p w14:paraId="719C1F0B">
      <w:pPr>
        <w:topLinePunct/>
        <w:adjustRightInd w:val="0"/>
        <w:snapToGrid w:val="0"/>
        <w:spacing w:line="360" w:lineRule="auto"/>
        <w:ind w:firstLine="3596" w:firstLineChars="1450"/>
        <w:rPr>
          <w:rFonts w:ascii="宋体" w:hAnsi="宋体" w:cs="宋体"/>
          <w:snapToGrid w:val="0"/>
          <w:spacing w:val="4"/>
          <w:kern w:val="0"/>
          <w:sz w:val="24"/>
          <w:szCs w:val="20"/>
          <w:highlight w:val="none"/>
        </w:rPr>
      </w:pPr>
      <w:r>
        <w:rPr>
          <w:rFonts w:hint="eastAsia" w:ascii="宋体" w:hAnsi="宋体" w:cs="宋体"/>
          <w:snapToGrid w:val="0"/>
          <w:spacing w:val="4"/>
          <w:kern w:val="0"/>
          <w:sz w:val="24"/>
          <w:szCs w:val="20"/>
          <w:highlight w:val="none"/>
        </w:rPr>
        <w:t>法定代表人或授权代理人（签字或盖章）：</w:t>
      </w:r>
    </w:p>
    <w:p w14:paraId="0D5FE169">
      <w:pPr>
        <w:pStyle w:val="2"/>
        <w:jc w:val="right"/>
        <w:rPr>
          <w:color w:val="000000"/>
          <w:highlight w:val="none"/>
        </w:rPr>
      </w:pPr>
      <w:r>
        <w:rPr>
          <w:rFonts w:hint="eastAsia" w:ascii="宋体" w:hAnsi="宋体" w:cs="宋体"/>
          <w:snapToGrid w:val="0"/>
          <w:spacing w:val="4"/>
          <w:kern w:val="0"/>
          <w:sz w:val="24"/>
          <w:szCs w:val="20"/>
          <w:highlight w:val="none"/>
        </w:rPr>
        <w:t xml:space="preserve">日   期：    年    月    日  </w:t>
      </w:r>
    </w:p>
    <w:p w14:paraId="325728BA">
      <w:pPr>
        <w:pStyle w:val="4"/>
        <w:spacing w:before="0" w:beforeAutospacing="0" w:after="0" w:afterAutospacing="0"/>
        <w:rPr>
          <w:rFonts w:cs="宋体"/>
          <w:b/>
          <w:color w:val="000000"/>
          <w:sz w:val="24"/>
          <w:szCs w:val="24"/>
          <w:highlight w:val="none"/>
        </w:rPr>
      </w:pPr>
    </w:p>
    <w:p w14:paraId="54C22828">
      <w:pPr>
        <w:pStyle w:val="4"/>
        <w:spacing w:before="0" w:beforeAutospacing="0" w:after="0" w:afterAutospacing="0"/>
        <w:rPr>
          <w:color w:val="000000"/>
          <w:highlight w:val="none"/>
        </w:rPr>
      </w:pPr>
      <w:r>
        <w:rPr>
          <w:color w:val="000000"/>
          <w:highlight w:val="none"/>
        </w:rPr>
        <w:br w:type="page"/>
      </w:r>
    </w:p>
    <w:p w14:paraId="378B7666">
      <w:pPr>
        <w:pStyle w:val="4"/>
        <w:spacing w:before="0" w:beforeAutospacing="0" w:after="0" w:afterAutospacing="0"/>
        <w:rPr>
          <w:color w:val="000000"/>
          <w:sz w:val="24"/>
          <w:highlight w:val="none"/>
        </w:rPr>
      </w:pPr>
      <w:r>
        <w:rPr>
          <w:rFonts w:hint="eastAsia"/>
          <w:color w:val="000000"/>
          <w:sz w:val="24"/>
          <w:highlight w:val="none"/>
        </w:rPr>
        <w:t>格式四：</w:t>
      </w:r>
    </w:p>
    <w:p w14:paraId="7C4A0829">
      <w:pPr>
        <w:topLinePunct/>
        <w:adjustRightInd w:val="0"/>
        <w:snapToGrid w:val="0"/>
        <w:spacing w:line="360" w:lineRule="auto"/>
        <w:jc w:val="center"/>
        <w:rPr>
          <w:rFonts w:ascii="宋体" w:hAnsi="宋体" w:cs="宋体"/>
          <w:b/>
          <w:snapToGrid w:val="0"/>
          <w:spacing w:val="4"/>
          <w:kern w:val="0"/>
          <w:sz w:val="32"/>
          <w:szCs w:val="32"/>
          <w:highlight w:val="none"/>
        </w:rPr>
      </w:pPr>
      <w:r>
        <w:rPr>
          <w:rFonts w:hint="eastAsia" w:ascii="宋体" w:hAnsi="宋体" w:cs="宋体"/>
          <w:b/>
          <w:snapToGrid w:val="0"/>
          <w:spacing w:val="4"/>
          <w:kern w:val="0"/>
          <w:sz w:val="32"/>
          <w:szCs w:val="32"/>
          <w:highlight w:val="none"/>
        </w:rPr>
        <w:t>投 标 函</w:t>
      </w:r>
    </w:p>
    <w:p w14:paraId="3F27F652">
      <w:pPr>
        <w:topLinePunct/>
        <w:adjustRightInd w:val="0"/>
        <w:snapToGrid w:val="0"/>
        <w:spacing w:line="360" w:lineRule="auto"/>
        <w:rPr>
          <w:rFonts w:ascii="宋体" w:hAnsi="宋体" w:cs="宋体"/>
          <w:snapToGrid w:val="0"/>
          <w:spacing w:val="4"/>
          <w:kern w:val="0"/>
          <w:sz w:val="24"/>
          <w:szCs w:val="24"/>
          <w:highlight w:val="none"/>
        </w:rPr>
      </w:pPr>
      <w:r>
        <w:rPr>
          <w:rFonts w:hint="eastAsia" w:ascii="宋体" w:hAnsi="宋体" w:cs="宋体"/>
          <w:snapToGrid w:val="0"/>
          <w:spacing w:val="4"/>
          <w:kern w:val="0"/>
          <w:sz w:val="24"/>
          <w:szCs w:val="24"/>
          <w:highlight w:val="none"/>
        </w:rPr>
        <w:t>致：</w:t>
      </w:r>
    </w:p>
    <w:p w14:paraId="7B21712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1.根据已收到贵方的项目编号为的工程的招标文件，并已详细审核了全部招标文件及有关附件。</w:t>
      </w:r>
    </w:p>
    <w:p w14:paraId="4CFE6B9D">
      <w:pPr>
        <w:snapToGrid w:val="0"/>
        <w:spacing w:line="360" w:lineRule="auto"/>
        <w:ind w:firstLine="523" w:firstLineChars="218"/>
        <w:rPr>
          <w:rFonts w:ascii="宋体" w:hAnsi="宋体" w:cs="宋体"/>
          <w:sz w:val="24"/>
          <w:szCs w:val="24"/>
          <w:highlight w:val="none"/>
        </w:rPr>
      </w:pPr>
      <w:r>
        <w:rPr>
          <w:rFonts w:hint="eastAsia" w:ascii="宋体" w:hAnsi="宋体" w:cs="宋体"/>
          <w:sz w:val="24"/>
          <w:szCs w:val="24"/>
          <w:highlight w:val="none"/>
        </w:rPr>
        <w:t>2.遵照《中华人民共和国招标投标法》、《中华人民共和国招标投标法实施条例》、《广东省实施〈中华人民共和国招标投标法〉办法》、等有关规定，经考察现场和研究上述招标文件的投标须知、合同条款、标准和技术规范、图纸、工程量清单及其他有关文件后，我方承诺：</w:t>
      </w:r>
    </w:p>
    <w:p w14:paraId="5773317D">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愿以经济标中的投标报价并按上述合同条款、标准和技术规范、图纸、工程量清单等的要求承包上述工程的施工、竣工并修补其任何缺陷。</w:t>
      </w:r>
    </w:p>
    <w:p w14:paraId="793E5EE0">
      <w:pPr>
        <w:spacing w:line="360" w:lineRule="auto"/>
        <w:rPr>
          <w:rFonts w:ascii="宋体" w:hAnsi="宋体" w:cs="宋体"/>
          <w:sz w:val="24"/>
          <w:szCs w:val="24"/>
          <w:highlight w:val="none"/>
        </w:rPr>
      </w:pPr>
      <w:r>
        <w:rPr>
          <w:rFonts w:hint="eastAsia" w:ascii="宋体" w:hAnsi="宋体" w:cs="宋体"/>
          <w:sz w:val="24"/>
          <w:szCs w:val="24"/>
          <w:highlight w:val="none"/>
        </w:rPr>
        <w:t xml:space="preserve">    3.我方同意所递交的投标文件在投标须知规定的投标有效期内有效，在此期间内我方的投标有可能中标，我方将受此约束。如果在投标有效期内撤回投标或放弃中标资格，我方的投标担保将不予退还，给贵方造成的损失超过我方投标担保金额的，贵方还有权要求我方对超过部分进行赔偿。</w:t>
      </w:r>
    </w:p>
    <w:p w14:paraId="68CAA8BD">
      <w:pPr>
        <w:spacing w:line="360" w:lineRule="auto"/>
        <w:rPr>
          <w:rFonts w:ascii="宋体" w:hAnsi="宋体" w:cs="宋体"/>
          <w:sz w:val="24"/>
          <w:szCs w:val="24"/>
          <w:highlight w:val="none"/>
        </w:rPr>
      </w:pPr>
      <w:r>
        <w:rPr>
          <w:rFonts w:hint="eastAsia" w:ascii="宋体" w:hAnsi="宋体" w:cs="宋体"/>
          <w:sz w:val="24"/>
          <w:szCs w:val="24"/>
          <w:highlight w:val="none"/>
        </w:rPr>
        <w:t xml:space="preserve">    4.我方理解贵方将不受必须接受你们所收到的最低标价或其它任何投标文件的约束。</w:t>
      </w:r>
    </w:p>
    <w:p w14:paraId="41B8541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5.如果我方中标，我方保证按招标文件中规定的工期，在日历天内完成并移交本工程，质量标准达到招标文件中的要求。</w:t>
      </w:r>
    </w:p>
    <w:p w14:paraId="577FED9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6.如果我方中标，我方将按照规定递交由招标人认可，并在招标文件中规定金额的履约保函。</w:t>
      </w:r>
    </w:p>
    <w:p w14:paraId="61CAD33B">
      <w:pPr>
        <w:spacing w:line="360" w:lineRule="auto"/>
        <w:ind w:firstLine="480"/>
        <w:rPr>
          <w:rFonts w:ascii="宋体" w:hAnsi="宋体" w:cs="宋体"/>
          <w:sz w:val="24"/>
          <w:szCs w:val="24"/>
          <w:highlight w:val="none"/>
        </w:rPr>
      </w:pPr>
      <w:r>
        <w:rPr>
          <w:rFonts w:hint="eastAsia" w:ascii="宋体" w:hAnsi="宋体" w:cs="宋体"/>
          <w:sz w:val="24"/>
          <w:szCs w:val="24"/>
          <w:highlight w:val="none"/>
        </w:rPr>
        <w:t>7.除非另外达成协议并生效，贵方的中标通知书和本投标文件将成为约束双方的合同文件的组成部分。</w:t>
      </w:r>
    </w:p>
    <w:p w14:paraId="3D1677AB">
      <w:pPr>
        <w:spacing w:line="360" w:lineRule="auto"/>
        <w:ind w:firstLine="480"/>
        <w:rPr>
          <w:rFonts w:ascii="宋体" w:hAnsi="宋体" w:cs="宋体"/>
          <w:sz w:val="24"/>
          <w:szCs w:val="24"/>
          <w:highlight w:val="none"/>
        </w:rPr>
      </w:pPr>
      <w:r>
        <w:rPr>
          <w:rFonts w:hint="eastAsia" w:ascii="宋体" w:hAnsi="宋体" w:cs="宋体"/>
          <w:sz w:val="24"/>
          <w:szCs w:val="24"/>
          <w:highlight w:val="none"/>
        </w:rPr>
        <w:t>8、如果我方中标，我方将实行项目经理负责制，并按投标文件配备项目管理班子。如未经招标人同意更换项目班子成员，招标人有权取消我公司的中标资格或单方面终止合同，由此造成的违约责任由我公司承担。</w:t>
      </w:r>
    </w:p>
    <w:p w14:paraId="21F9B0EB">
      <w:pPr>
        <w:topLinePunct/>
        <w:adjustRightInd w:val="0"/>
        <w:snapToGrid w:val="0"/>
        <w:spacing w:line="360" w:lineRule="auto"/>
        <w:ind w:firstLine="691" w:firstLineChars="279"/>
        <w:jc w:val="right"/>
        <w:rPr>
          <w:rFonts w:ascii="宋体" w:hAnsi="宋体" w:cs="宋体"/>
          <w:snapToGrid w:val="0"/>
          <w:spacing w:val="4"/>
          <w:kern w:val="0"/>
          <w:sz w:val="24"/>
          <w:szCs w:val="24"/>
          <w:highlight w:val="none"/>
        </w:rPr>
      </w:pPr>
      <w:r>
        <w:rPr>
          <w:rFonts w:hint="eastAsia" w:ascii="宋体" w:hAnsi="宋体" w:cs="宋体"/>
          <w:snapToGrid w:val="0"/>
          <w:spacing w:val="4"/>
          <w:kern w:val="0"/>
          <w:sz w:val="24"/>
          <w:szCs w:val="24"/>
          <w:highlight w:val="none"/>
        </w:rPr>
        <w:t>投 标 人：    （盖章）</w:t>
      </w:r>
    </w:p>
    <w:p w14:paraId="0304DA07">
      <w:pPr>
        <w:topLinePunct/>
        <w:adjustRightInd w:val="0"/>
        <w:snapToGrid w:val="0"/>
        <w:spacing w:line="360" w:lineRule="auto"/>
        <w:ind w:firstLine="691" w:firstLineChars="279"/>
        <w:jc w:val="right"/>
        <w:rPr>
          <w:rFonts w:ascii="宋体" w:hAnsi="宋体" w:cs="宋体"/>
          <w:snapToGrid w:val="0"/>
          <w:spacing w:val="4"/>
          <w:kern w:val="0"/>
          <w:sz w:val="24"/>
          <w:szCs w:val="24"/>
          <w:highlight w:val="none"/>
        </w:rPr>
      </w:pPr>
      <w:r>
        <w:rPr>
          <w:rFonts w:hint="eastAsia" w:ascii="宋体" w:hAnsi="宋体" w:cs="宋体"/>
          <w:snapToGrid w:val="0"/>
          <w:spacing w:val="4"/>
          <w:kern w:val="0"/>
          <w:sz w:val="24"/>
          <w:szCs w:val="24"/>
          <w:highlight w:val="none"/>
        </w:rPr>
        <w:t>法定代表人或授权代理人（签字或盖章）：</w:t>
      </w:r>
    </w:p>
    <w:p w14:paraId="6C2CE9ED">
      <w:pPr>
        <w:pStyle w:val="25"/>
        <w:jc w:val="right"/>
        <w:rPr>
          <w:rFonts w:hAnsi="宋体" w:cs="宋体"/>
          <w:snapToGrid w:val="0"/>
          <w:spacing w:val="4"/>
          <w:sz w:val="24"/>
          <w:szCs w:val="24"/>
          <w:highlight w:val="none"/>
        </w:rPr>
      </w:pPr>
      <w:r>
        <w:rPr>
          <w:rFonts w:hint="eastAsia" w:hAnsi="宋体" w:cs="宋体"/>
          <w:snapToGrid w:val="0"/>
          <w:spacing w:val="4"/>
          <w:sz w:val="24"/>
          <w:szCs w:val="24"/>
          <w:highlight w:val="none"/>
        </w:rPr>
        <w:t>日    期：    年    月    日</w:t>
      </w:r>
    </w:p>
    <w:p w14:paraId="12170976">
      <w:pPr>
        <w:pStyle w:val="25"/>
        <w:jc w:val="left"/>
        <w:rPr>
          <w:color w:val="000000"/>
          <w:sz w:val="24"/>
          <w:highlight w:val="none"/>
        </w:rPr>
      </w:pPr>
    </w:p>
    <w:p w14:paraId="18D2AEB0">
      <w:pPr>
        <w:pStyle w:val="25"/>
        <w:jc w:val="left"/>
        <w:rPr>
          <w:rFonts w:hAnsi="宋体" w:cs="宋体"/>
          <w:snapToGrid w:val="0"/>
          <w:spacing w:val="4"/>
          <w:sz w:val="24"/>
          <w:szCs w:val="24"/>
          <w:highlight w:val="none"/>
        </w:rPr>
      </w:pPr>
      <w:r>
        <w:rPr>
          <w:rFonts w:hint="eastAsia"/>
          <w:color w:val="000000"/>
          <w:sz w:val="24"/>
          <w:highlight w:val="none"/>
        </w:rPr>
        <w:t>格式</w:t>
      </w:r>
      <w:r>
        <w:rPr>
          <w:rFonts w:hAnsi="宋体" w:cs="宋体"/>
          <w:snapToGrid w:val="0"/>
          <w:spacing w:val="4"/>
          <w:sz w:val="24"/>
          <w:szCs w:val="24"/>
          <w:highlight w:val="none"/>
        </w:rPr>
        <w:t>五：</w:t>
      </w:r>
    </w:p>
    <w:p w14:paraId="65845FF7">
      <w:pPr>
        <w:pStyle w:val="25"/>
        <w:jc w:val="center"/>
        <w:rPr>
          <w:rFonts w:ascii="黑体" w:hAnsi="黑体" w:eastAsia="黑体" w:cs="华文仿宋"/>
          <w:sz w:val="32"/>
          <w:szCs w:val="32"/>
          <w:highlight w:val="none"/>
        </w:rPr>
      </w:pPr>
    </w:p>
    <w:p w14:paraId="22627241">
      <w:pPr>
        <w:widowControl/>
        <w:autoSpaceDE w:val="0"/>
        <w:autoSpaceDN w:val="0"/>
        <w:adjustRightInd w:val="0"/>
        <w:spacing w:line="360" w:lineRule="auto"/>
        <w:jc w:val="center"/>
        <w:rPr>
          <w:rFonts w:ascii="宋体" w:hAnsi="宋体" w:cs="宋体"/>
          <w:b/>
          <w:kern w:val="0"/>
          <w:sz w:val="24"/>
          <w:szCs w:val="24"/>
          <w:highlight w:val="none"/>
        </w:rPr>
      </w:pPr>
      <w:r>
        <w:rPr>
          <w:rFonts w:hint="eastAsia" w:ascii="宋体" w:hAnsi="宋体" w:cs="宋体"/>
          <w:b/>
          <w:kern w:val="0"/>
          <w:sz w:val="24"/>
          <w:szCs w:val="24"/>
          <w:highlight w:val="none"/>
        </w:rPr>
        <w:t>危险性较大的分部分项工程安全管理措施</w:t>
      </w:r>
    </w:p>
    <w:p w14:paraId="35C5F431">
      <w:pPr>
        <w:widowControl/>
        <w:numPr>
          <w:ilvl w:val="0"/>
          <w:numId w:val="2"/>
        </w:numPr>
        <w:autoSpaceDE w:val="0"/>
        <w:autoSpaceDN w:val="0"/>
        <w:adjustRightInd w:val="0"/>
        <w:spacing w:line="360" w:lineRule="auto"/>
        <w:jc w:val="left"/>
        <w:rPr>
          <w:rFonts w:ascii="宋体" w:hAnsi="宋体"/>
          <w:snapToGrid w:val="0"/>
          <w:spacing w:val="4"/>
          <w:kern w:val="0"/>
          <w:sz w:val="24"/>
          <w:szCs w:val="24"/>
          <w:highlight w:val="none"/>
        </w:rPr>
      </w:pPr>
      <w:r>
        <w:rPr>
          <w:rFonts w:hint="eastAsia" w:ascii="宋体" w:hAnsi="宋体"/>
          <w:kern w:val="0"/>
          <w:sz w:val="24"/>
          <w:szCs w:val="28"/>
          <w:highlight w:val="none"/>
        </w:rPr>
        <w:t>根据中华人民共和国住房和城乡建设部令第37号《危险性较大的分部分项工程安全管理规定》（以下简称“37号文”），投标人在投标时须补充完善危大工程清单并</w:t>
      </w:r>
      <w:r>
        <w:rPr>
          <w:rFonts w:hint="eastAsia" w:ascii="宋体" w:hAnsi="宋体"/>
          <w:snapToGrid w:val="0"/>
          <w:spacing w:val="4"/>
          <w:kern w:val="0"/>
          <w:sz w:val="24"/>
          <w:szCs w:val="24"/>
          <w:highlight w:val="none"/>
        </w:rPr>
        <w:t>结合本工程的类型和特点，科学、合理地设置本项目的危险性较大的分部分项工程安全管理措施，危险性较大的分部分项工程安全管理措施由投标人结合招标人对本工程的具体要求自行设定。</w:t>
      </w:r>
    </w:p>
    <w:p w14:paraId="0635C7B5">
      <w:pPr>
        <w:widowControl/>
        <w:numPr>
          <w:ilvl w:val="0"/>
          <w:numId w:val="2"/>
        </w:numPr>
        <w:autoSpaceDE w:val="0"/>
        <w:autoSpaceDN w:val="0"/>
        <w:adjustRightInd w:val="0"/>
        <w:spacing w:line="360" w:lineRule="auto"/>
        <w:jc w:val="left"/>
        <w:rPr>
          <w:rFonts w:ascii="宋体" w:hAnsi="宋体"/>
          <w:kern w:val="0"/>
          <w:sz w:val="24"/>
          <w:szCs w:val="28"/>
          <w:highlight w:val="none"/>
        </w:rPr>
      </w:pPr>
      <w:r>
        <w:rPr>
          <w:rFonts w:hint="eastAsia" w:ascii="宋体" w:hAnsi="宋体"/>
          <w:kern w:val="0"/>
          <w:sz w:val="24"/>
          <w:szCs w:val="28"/>
          <w:highlight w:val="none"/>
        </w:rPr>
        <w:t>招标人根据设计文件的要求及37号文的规定列出“危险性较大的分部分项工程清单及超过一定规模的危险性较大的分部分项工程清单”中与本招标项目相关的清单项，具体详第5点“打</w:t>
      </w:r>
      <w:r>
        <w:rPr>
          <w:rFonts w:hint="eastAsia" w:ascii="宋体" w:hAnsi="宋体"/>
          <w:kern w:val="0"/>
          <w:sz w:val="24"/>
          <w:szCs w:val="36"/>
          <w:highlight w:val="none"/>
        </w:rPr>
        <w:t>√”标识。</w:t>
      </w:r>
    </w:p>
    <w:p w14:paraId="583B1E4E">
      <w:pPr>
        <w:widowControl/>
        <w:numPr>
          <w:ilvl w:val="0"/>
          <w:numId w:val="3"/>
        </w:numPr>
        <w:autoSpaceDE w:val="0"/>
        <w:autoSpaceDN w:val="0"/>
        <w:adjustRightInd w:val="0"/>
        <w:spacing w:line="360" w:lineRule="auto"/>
        <w:jc w:val="left"/>
        <w:rPr>
          <w:rFonts w:ascii="宋体" w:hAnsi="宋体"/>
          <w:kern w:val="0"/>
          <w:sz w:val="24"/>
          <w:szCs w:val="36"/>
          <w:highlight w:val="none"/>
        </w:rPr>
      </w:pPr>
      <w:r>
        <w:rPr>
          <w:rFonts w:hint="eastAsia" w:ascii="宋体" w:hAnsi="宋体"/>
          <w:kern w:val="0"/>
          <w:sz w:val="24"/>
          <w:szCs w:val="28"/>
          <w:highlight w:val="none"/>
        </w:rPr>
        <w:t>投标单位同意建设单位在清单中标识的该项请在对应项打“</w:t>
      </w:r>
      <w:r>
        <w:rPr>
          <w:rFonts w:hint="eastAsia" w:ascii="宋体" w:hAnsi="宋体"/>
          <w:kern w:val="0"/>
          <w:sz w:val="24"/>
          <w:szCs w:val="36"/>
          <w:highlight w:val="none"/>
        </w:rPr>
        <w:t>√”标识，并在投标文件中提供相应的安全管理措施。</w:t>
      </w:r>
    </w:p>
    <w:p w14:paraId="6F066EF9">
      <w:pPr>
        <w:widowControl/>
        <w:numPr>
          <w:ilvl w:val="0"/>
          <w:numId w:val="3"/>
        </w:numPr>
        <w:autoSpaceDE w:val="0"/>
        <w:autoSpaceDN w:val="0"/>
        <w:adjustRightInd w:val="0"/>
        <w:spacing w:line="360" w:lineRule="auto"/>
        <w:jc w:val="left"/>
        <w:rPr>
          <w:rFonts w:ascii="宋体" w:hAnsi="宋体"/>
          <w:kern w:val="0"/>
          <w:sz w:val="24"/>
          <w:szCs w:val="36"/>
          <w:highlight w:val="none"/>
        </w:rPr>
      </w:pPr>
      <w:r>
        <w:rPr>
          <w:rFonts w:hint="eastAsia" w:ascii="宋体" w:hAnsi="宋体"/>
          <w:kern w:val="0"/>
          <w:sz w:val="24"/>
          <w:szCs w:val="28"/>
          <w:highlight w:val="none"/>
        </w:rPr>
        <w:t>投标单位对清单中认为需要补充的该项请在对应项打“</w:t>
      </w:r>
      <w:r>
        <w:rPr>
          <w:rFonts w:hint="eastAsia" w:ascii="宋体" w:hAnsi="宋体"/>
          <w:kern w:val="0"/>
          <w:sz w:val="24"/>
          <w:szCs w:val="36"/>
          <w:highlight w:val="none"/>
        </w:rPr>
        <w:t>√”标识，并在投标文件中提供相应的安全管理措施。</w:t>
      </w:r>
    </w:p>
    <w:p w14:paraId="64DC4216">
      <w:pPr>
        <w:widowControl/>
        <w:numPr>
          <w:ilvl w:val="0"/>
          <w:numId w:val="3"/>
        </w:numPr>
        <w:autoSpaceDE w:val="0"/>
        <w:autoSpaceDN w:val="0"/>
        <w:adjustRightInd w:val="0"/>
        <w:spacing w:line="360" w:lineRule="auto"/>
        <w:jc w:val="left"/>
        <w:rPr>
          <w:rFonts w:ascii="宋体" w:hAnsi="宋体"/>
          <w:kern w:val="0"/>
          <w:sz w:val="24"/>
          <w:szCs w:val="28"/>
          <w:highlight w:val="none"/>
        </w:rPr>
      </w:pPr>
      <w:r>
        <w:rPr>
          <w:rFonts w:hint="eastAsia" w:ascii="宋体" w:hAnsi="宋体"/>
          <w:kern w:val="0"/>
          <w:sz w:val="24"/>
          <w:szCs w:val="36"/>
          <w:highlight w:val="none"/>
        </w:rPr>
        <w:t>投标单位不同意建设单位</w:t>
      </w:r>
      <w:r>
        <w:rPr>
          <w:rFonts w:hint="eastAsia" w:ascii="宋体" w:hAnsi="宋体"/>
          <w:kern w:val="0"/>
          <w:sz w:val="24"/>
          <w:szCs w:val="28"/>
          <w:highlight w:val="none"/>
        </w:rPr>
        <w:t>在清单中标识的该项</w:t>
      </w:r>
      <w:r>
        <w:rPr>
          <w:rFonts w:hint="eastAsia" w:ascii="宋体" w:hAnsi="宋体"/>
          <w:kern w:val="0"/>
          <w:sz w:val="24"/>
          <w:szCs w:val="36"/>
          <w:highlight w:val="none"/>
        </w:rPr>
        <w:t>请在对应项打“×”标识，并在备注栏填上相关说明。</w:t>
      </w:r>
    </w:p>
    <w:p w14:paraId="70E03B1A">
      <w:pPr>
        <w:widowControl/>
        <w:numPr>
          <w:ilvl w:val="0"/>
          <w:numId w:val="2"/>
        </w:numPr>
        <w:autoSpaceDE w:val="0"/>
        <w:autoSpaceDN w:val="0"/>
        <w:adjustRightInd w:val="0"/>
        <w:spacing w:line="360" w:lineRule="auto"/>
        <w:jc w:val="left"/>
        <w:rPr>
          <w:rFonts w:ascii="宋体" w:hAnsi="宋体"/>
          <w:kern w:val="0"/>
          <w:sz w:val="24"/>
          <w:szCs w:val="28"/>
          <w:highlight w:val="none"/>
        </w:rPr>
      </w:pPr>
      <w:r>
        <w:rPr>
          <w:rFonts w:hint="eastAsia" w:ascii="宋体" w:hAnsi="宋体"/>
          <w:kern w:val="0"/>
          <w:sz w:val="24"/>
          <w:szCs w:val="28"/>
          <w:highlight w:val="none"/>
        </w:rPr>
        <w:t>投标单位应当在投标时根据招标人提供的下述第5点清单，在投标文件中编制专项施工方案。</w:t>
      </w:r>
    </w:p>
    <w:p w14:paraId="654850F9">
      <w:pPr>
        <w:widowControl/>
        <w:numPr>
          <w:ilvl w:val="0"/>
          <w:numId w:val="2"/>
        </w:numPr>
        <w:autoSpaceDE w:val="0"/>
        <w:autoSpaceDN w:val="0"/>
        <w:adjustRightInd w:val="0"/>
        <w:spacing w:line="360" w:lineRule="auto"/>
        <w:jc w:val="left"/>
        <w:rPr>
          <w:rFonts w:ascii="宋体" w:hAnsi="宋体"/>
          <w:kern w:val="0"/>
          <w:sz w:val="24"/>
          <w:szCs w:val="28"/>
          <w:highlight w:val="none"/>
        </w:rPr>
      </w:pPr>
      <w:r>
        <w:rPr>
          <w:rFonts w:hint="eastAsia" w:ascii="宋体" w:hAnsi="宋体"/>
          <w:kern w:val="0"/>
          <w:sz w:val="24"/>
          <w:szCs w:val="28"/>
          <w:highlight w:val="none"/>
        </w:rPr>
        <w:t>对于超过一定规模的危大工程，中标人应当组织召开专家论证会对专项施工方案进行论证。实行施工总承包的，由施工总承包单位组织召开专家论证会。专家论证前专项施工方案应当通过施工总承包单位审核和总监理工程师审查。</w:t>
      </w:r>
    </w:p>
    <w:p w14:paraId="22575C77">
      <w:pPr>
        <w:widowControl/>
        <w:numPr>
          <w:ilvl w:val="0"/>
          <w:numId w:val="2"/>
        </w:numPr>
        <w:autoSpaceDE w:val="0"/>
        <w:autoSpaceDN w:val="0"/>
        <w:adjustRightInd w:val="0"/>
        <w:spacing w:line="360" w:lineRule="auto"/>
        <w:jc w:val="left"/>
        <w:rPr>
          <w:rFonts w:ascii="宋体" w:hAnsi="宋体"/>
          <w:kern w:val="0"/>
          <w:sz w:val="24"/>
          <w:szCs w:val="28"/>
          <w:highlight w:val="none"/>
        </w:rPr>
      </w:pPr>
      <w:r>
        <w:rPr>
          <w:rFonts w:hint="eastAsia" w:ascii="宋体" w:hAnsi="宋体"/>
          <w:kern w:val="0"/>
          <w:sz w:val="24"/>
          <w:szCs w:val="28"/>
          <w:highlight w:val="none"/>
        </w:rPr>
        <w:t>危险性较大的分部分项工程清单及超过一定规模的危险性较大的分部分项工程清单（参考版）（招标时要请前期部门和项目部核填）：</w:t>
      </w:r>
    </w:p>
    <w:p w14:paraId="18607A78">
      <w:pPr>
        <w:widowControl/>
        <w:autoSpaceDE w:val="0"/>
        <w:autoSpaceDN w:val="0"/>
        <w:adjustRightInd w:val="0"/>
        <w:spacing w:line="360" w:lineRule="auto"/>
        <w:jc w:val="left"/>
        <w:rPr>
          <w:rFonts w:ascii="宋体" w:hAnsi="宋体"/>
          <w:kern w:val="0"/>
          <w:sz w:val="24"/>
          <w:szCs w:val="28"/>
          <w:highlight w:val="none"/>
        </w:rPr>
        <w:sectPr>
          <w:headerReference r:id="rId11" w:type="default"/>
          <w:pgSz w:w="11907" w:h="16840"/>
          <w:pgMar w:top="1440" w:right="1800" w:bottom="1440" w:left="1800" w:header="720" w:footer="720" w:gutter="0"/>
          <w:pgNumType w:fmt="numberInDash"/>
          <w:cols w:space="720" w:num="1"/>
        </w:sectPr>
      </w:pPr>
    </w:p>
    <w:p w14:paraId="1A7C0CB1">
      <w:pPr>
        <w:widowControl/>
        <w:autoSpaceDE w:val="0"/>
        <w:autoSpaceDN w:val="0"/>
        <w:adjustRightInd w:val="0"/>
        <w:spacing w:line="360" w:lineRule="auto"/>
        <w:jc w:val="left"/>
        <w:rPr>
          <w:rFonts w:ascii="宋体" w:hAnsi="宋体"/>
          <w:kern w:val="0"/>
          <w:sz w:val="24"/>
          <w:szCs w:val="28"/>
          <w:highlight w:val="none"/>
        </w:rPr>
      </w:pPr>
    </w:p>
    <w:tbl>
      <w:tblPr>
        <w:tblStyle w:val="51"/>
        <w:tblW w:w="9660" w:type="dxa"/>
        <w:jc w:val="center"/>
        <w:tblLayout w:type="fixed"/>
        <w:tblCellMar>
          <w:top w:w="0" w:type="dxa"/>
          <w:left w:w="108" w:type="dxa"/>
          <w:bottom w:w="0" w:type="dxa"/>
          <w:right w:w="108" w:type="dxa"/>
        </w:tblCellMar>
      </w:tblPr>
      <w:tblGrid>
        <w:gridCol w:w="6612"/>
        <w:gridCol w:w="1272"/>
        <w:gridCol w:w="1152"/>
        <w:gridCol w:w="624"/>
      </w:tblGrid>
      <w:tr w14:paraId="1C016E94">
        <w:tblPrEx>
          <w:tblCellMar>
            <w:top w:w="0" w:type="dxa"/>
            <w:left w:w="108" w:type="dxa"/>
            <w:bottom w:w="0" w:type="dxa"/>
            <w:right w:w="108" w:type="dxa"/>
          </w:tblCellMar>
        </w:tblPrEx>
        <w:trPr>
          <w:trHeight w:val="378" w:hRule="atLeast"/>
          <w:jc w:val="center"/>
        </w:trPr>
        <w:tc>
          <w:tcPr>
            <w:tcW w:w="6612" w:type="dxa"/>
            <w:tcBorders>
              <w:top w:val="single" w:color="000000" w:sz="4" w:space="0"/>
              <w:left w:val="single" w:color="000000" w:sz="4" w:space="0"/>
              <w:bottom w:val="single" w:color="000000" w:sz="4" w:space="0"/>
              <w:right w:val="single" w:color="000000" w:sz="4" w:space="0"/>
            </w:tcBorders>
            <w:vAlign w:val="center"/>
          </w:tcPr>
          <w:p w14:paraId="23FF9B8C">
            <w:pPr>
              <w:widowControl/>
              <w:autoSpaceDE w:val="0"/>
              <w:spacing w:line="276" w:lineRule="auto"/>
              <w:jc w:val="center"/>
              <w:textAlignment w:val="center"/>
              <w:rPr>
                <w:rFonts w:ascii="宋体" w:hAnsi="宋体" w:cs="宋体"/>
                <w:szCs w:val="21"/>
                <w:highlight w:val="none"/>
              </w:rPr>
            </w:pPr>
            <w:r>
              <w:rPr>
                <w:rFonts w:hint="eastAsia" w:ascii="宋体" w:hAnsi="宋体"/>
                <w:b/>
                <w:bCs/>
                <w:kern w:val="0"/>
                <w:highlight w:val="none"/>
              </w:rPr>
              <w:t>危险性较大的分部分项</w:t>
            </w:r>
            <w:r>
              <w:rPr>
                <w:rFonts w:hint="eastAsia" w:ascii="宋体" w:hAnsi="宋体"/>
                <w:b/>
                <w:bCs/>
                <w:highlight w:val="none"/>
              </w:rPr>
              <w:t>工程清单</w:t>
            </w:r>
          </w:p>
        </w:tc>
        <w:tc>
          <w:tcPr>
            <w:tcW w:w="1272" w:type="dxa"/>
            <w:tcBorders>
              <w:top w:val="single" w:color="000000" w:sz="4" w:space="0"/>
              <w:left w:val="nil"/>
              <w:bottom w:val="single" w:color="000000" w:sz="4" w:space="0"/>
              <w:right w:val="single" w:color="000000" w:sz="4" w:space="0"/>
            </w:tcBorders>
            <w:vAlign w:val="center"/>
          </w:tcPr>
          <w:p w14:paraId="1FFF1B02">
            <w:pPr>
              <w:widowControl/>
              <w:autoSpaceDE w:val="0"/>
              <w:spacing w:line="276" w:lineRule="auto"/>
              <w:jc w:val="center"/>
              <w:textAlignment w:val="center"/>
              <w:rPr>
                <w:rFonts w:ascii="宋体" w:hAnsi="宋体" w:cs="宋体"/>
                <w:szCs w:val="21"/>
                <w:highlight w:val="none"/>
              </w:rPr>
            </w:pPr>
            <w:r>
              <w:rPr>
                <w:rFonts w:hint="eastAsia" w:ascii="宋体" w:hAnsi="宋体"/>
                <w:kern w:val="0"/>
                <w:highlight w:val="none"/>
              </w:rPr>
              <w:t>建设单位</w:t>
            </w:r>
          </w:p>
        </w:tc>
        <w:tc>
          <w:tcPr>
            <w:tcW w:w="1152" w:type="dxa"/>
            <w:tcBorders>
              <w:top w:val="single" w:color="000000" w:sz="4" w:space="0"/>
              <w:left w:val="nil"/>
              <w:bottom w:val="single" w:color="000000" w:sz="4" w:space="0"/>
              <w:right w:val="single" w:color="000000" w:sz="4" w:space="0"/>
            </w:tcBorders>
            <w:vAlign w:val="center"/>
          </w:tcPr>
          <w:p w14:paraId="18BBEAB4">
            <w:pPr>
              <w:widowControl/>
              <w:autoSpaceDE w:val="0"/>
              <w:spacing w:line="276" w:lineRule="auto"/>
              <w:jc w:val="center"/>
              <w:textAlignment w:val="center"/>
              <w:rPr>
                <w:rFonts w:ascii="宋体" w:hAnsi="宋体" w:cs="宋体"/>
                <w:szCs w:val="21"/>
                <w:highlight w:val="none"/>
              </w:rPr>
            </w:pPr>
            <w:r>
              <w:rPr>
                <w:rFonts w:hint="eastAsia" w:ascii="宋体" w:hAnsi="宋体"/>
                <w:kern w:val="0"/>
                <w:highlight w:val="none"/>
              </w:rPr>
              <w:t>投标单位</w:t>
            </w:r>
          </w:p>
        </w:tc>
        <w:tc>
          <w:tcPr>
            <w:tcW w:w="624" w:type="dxa"/>
            <w:tcBorders>
              <w:top w:val="single" w:color="000000" w:sz="4" w:space="0"/>
              <w:left w:val="nil"/>
              <w:bottom w:val="single" w:color="000000" w:sz="4" w:space="0"/>
              <w:right w:val="single" w:color="000000" w:sz="4" w:space="0"/>
            </w:tcBorders>
            <w:vAlign w:val="center"/>
          </w:tcPr>
          <w:p w14:paraId="7C27C019">
            <w:pPr>
              <w:widowControl/>
              <w:autoSpaceDE w:val="0"/>
              <w:spacing w:line="276" w:lineRule="auto"/>
              <w:jc w:val="center"/>
              <w:textAlignment w:val="center"/>
              <w:rPr>
                <w:rFonts w:ascii="宋体" w:hAnsi="宋体" w:cs="宋体"/>
                <w:szCs w:val="21"/>
                <w:highlight w:val="none"/>
              </w:rPr>
            </w:pPr>
            <w:r>
              <w:rPr>
                <w:rFonts w:hint="eastAsia" w:ascii="宋体" w:hAnsi="宋体"/>
                <w:kern w:val="0"/>
                <w:highlight w:val="none"/>
              </w:rPr>
              <w:t>备注</w:t>
            </w:r>
          </w:p>
        </w:tc>
      </w:tr>
      <w:tr w14:paraId="3C4EF33B">
        <w:tblPrEx>
          <w:tblCellMar>
            <w:top w:w="0" w:type="dxa"/>
            <w:left w:w="108" w:type="dxa"/>
            <w:bottom w:w="0" w:type="dxa"/>
            <w:right w:w="108" w:type="dxa"/>
          </w:tblCellMar>
        </w:tblPrEx>
        <w:trPr>
          <w:trHeight w:val="270" w:hRule="atLeast"/>
          <w:jc w:val="center"/>
        </w:trPr>
        <w:tc>
          <w:tcPr>
            <w:tcW w:w="6612" w:type="dxa"/>
            <w:tcBorders>
              <w:top w:val="single" w:color="000000" w:sz="4" w:space="0"/>
              <w:left w:val="single" w:color="000000" w:sz="4" w:space="0"/>
              <w:bottom w:val="single" w:color="000000" w:sz="4" w:space="0"/>
              <w:right w:val="single" w:color="000000" w:sz="4" w:space="0"/>
            </w:tcBorders>
            <w:vAlign w:val="center"/>
          </w:tcPr>
          <w:p w14:paraId="7DFBE207">
            <w:pPr>
              <w:widowControl/>
              <w:autoSpaceDE w:val="0"/>
              <w:spacing w:line="276" w:lineRule="auto"/>
              <w:jc w:val="left"/>
              <w:textAlignment w:val="center"/>
              <w:rPr>
                <w:rFonts w:ascii="宋体" w:hAnsi="宋体" w:cs="宋体"/>
                <w:szCs w:val="21"/>
                <w:highlight w:val="none"/>
              </w:rPr>
            </w:pPr>
            <w:r>
              <w:rPr>
                <w:rFonts w:hint="eastAsia" w:ascii="宋体" w:hAnsi="宋体"/>
                <w:kern w:val="0"/>
                <w:highlight w:val="none"/>
              </w:rPr>
              <w:t>一、基坑工程</w:t>
            </w:r>
          </w:p>
        </w:tc>
        <w:tc>
          <w:tcPr>
            <w:tcW w:w="1272" w:type="dxa"/>
            <w:tcBorders>
              <w:top w:val="single" w:color="000000" w:sz="4" w:space="0"/>
              <w:left w:val="nil"/>
              <w:bottom w:val="single" w:color="000000" w:sz="4" w:space="0"/>
              <w:right w:val="single" w:color="000000" w:sz="4" w:space="0"/>
            </w:tcBorders>
            <w:vAlign w:val="center"/>
          </w:tcPr>
          <w:p w14:paraId="431B2493">
            <w:pPr>
              <w:autoSpaceDE w:val="0"/>
              <w:spacing w:line="276" w:lineRule="auto"/>
              <w:jc w:val="center"/>
              <w:rPr>
                <w:rFonts w:ascii="宋体" w:hAnsi="宋体" w:cs="宋体"/>
                <w:szCs w:val="21"/>
                <w:highlight w:val="none"/>
              </w:rPr>
            </w:pPr>
            <w:r>
              <w:rPr>
                <w:rFonts w:hint="eastAsia" w:ascii="宋体" w:hAnsi="宋体"/>
                <w:highlight w:val="none"/>
              </w:rPr>
              <w:t>(   )</w:t>
            </w:r>
          </w:p>
        </w:tc>
        <w:tc>
          <w:tcPr>
            <w:tcW w:w="1152" w:type="dxa"/>
            <w:tcBorders>
              <w:top w:val="single" w:color="000000" w:sz="4" w:space="0"/>
              <w:left w:val="nil"/>
              <w:bottom w:val="single" w:color="000000" w:sz="4" w:space="0"/>
              <w:right w:val="single" w:color="000000" w:sz="4" w:space="0"/>
            </w:tcBorders>
            <w:vAlign w:val="center"/>
          </w:tcPr>
          <w:p w14:paraId="0356E2F7">
            <w:pPr>
              <w:autoSpaceDE w:val="0"/>
              <w:spacing w:line="276" w:lineRule="auto"/>
              <w:jc w:val="center"/>
              <w:rPr>
                <w:rFonts w:ascii="宋体" w:hAnsi="宋体" w:cs="宋体"/>
                <w:szCs w:val="21"/>
                <w:highlight w:val="none"/>
              </w:rPr>
            </w:pPr>
            <w:r>
              <w:rPr>
                <w:rFonts w:hint="eastAsia" w:ascii="宋体" w:hAnsi="宋体"/>
                <w:highlight w:val="none"/>
              </w:rPr>
              <w:t>(    )</w:t>
            </w:r>
          </w:p>
        </w:tc>
        <w:tc>
          <w:tcPr>
            <w:tcW w:w="624" w:type="dxa"/>
            <w:tcBorders>
              <w:top w:val="single" w:color="000000" w:sz="4" w:space="0"/>
              <w:left w:val="nil"/>
              <w:bottom w:val="single" w:color="000000" w:sz="4" w:space="0"/>
              <w:right w:val="single" w:color="000000" w:sz="4" w:space="0"/>
            </w:tcBorders>
            <w:vAlign w:val="center"/>
          </w:tcPr>
          <w:p w14:paraId="374DBCC0">
            <w:pPr>
              <w:autoSpaceDE w:val="0"/>
              <w:spacing w:line="276" w:lineRule="auto"/>
              <w:rPr>
                <w:rFonts w:ascii="宋体" w:hAnsi="宋体" w:cs="宋体"/>
                <w:szCs w:val="21"/>
                <w:highlight w:val="none"/>
              </w:rPr>
            </w:pPr>
          </w:p>
        </w:tc>
      </w:tr>
      <w:tr w14:paraId="77CF9C40">
        <w:tblPrEx>
          <w:tblCellMar>
            <w:top w:w="0" w:type="dxa"/>
            <w:left w:w="108" w:type="dxa"/>
            <w:bottom w:w="0" w:type="dxa"/>
            <w:right w:w="108" w:type="dxa"/>
          </w:tblCellMar>
        </w:tblPrEx>
        <w:trPr>
          <w:trHeight w:val="548" w:hRule="atLeast"/>
          <w:jc w:val="center"/>
        </w:trPr>
        <w:tc>
          <w:tcPr>
            <w:tcW w:w="6612" w:type="dxa"/>
            <w:tcBorders>
              <w:top w:val="single" w:color="000000" w:sz="4" w:space="0"/>
              <w:left w:val="single" w:color="000000" w:sz="4" w:space="0"/>
              <w:bottom w:val="single" w:color="000000" w:sz="4" w:space="0"/>
              <w:right w:val="single" w:color="000000" w:sz="4" w:space="0"/>
            </w:tcBorders>
            <w:vAlign w:val="center"/>
          </w:tcPr>
          <w:p w14:paraId="3BD60456">
            <w:pPr>
              <w:widowControl/>
              <w:autoSpaceDE w:val="0"/>
              <w:spacing w:line="276" w:lineRule="auto"/>
              <w:jc w:val="left"/>
              <w:textAlignment w:val="center"/>
              <w:rPr>
                <w:rFonts w:ascii="宋体" w:hAnsi="宋体" w:cs="宋体"/>
                <w:szCs w:val="21"/>
                <w:highlight w:val="none"/>
              </w:rPr>
            </w:pPr>
            <w:r>
              <w:rPr>
                <w:rFonts w:hint="eastAsia" w:ascii="宋体" w:hAnsi="宋体"/>
                <w:kern w:val="0"/>
                <w:highlight w:val="none"/>
              </w:rPr>
              <w:t>（一）开挖深度超过3m（含3m）的基坑（槽）的土方开挖、支护、降水工程。</w:t>
            </w:r>
          </w:p>
        </w:tc>
        <w:tc>
          <w:tcPr>
            <w:tcW w:w="1272" w:type="dxa"/>
            <w:tcBorders>
              <w:top w:val="single" w:color="000000" w:sz="4" w:space="0"/>
              <w:left w:val="nil"/>
              <w:bottom w:val="single" w:color="000000" w:sz="4" w:space="0"/>
              <w:right w:val="single" w:color="000000" w:sz="4" w:space="0"/>
            </w:tcBorders>
            <w:vAlign w:val="center"/>
          </w:tcPr>
          <w:p w14:paraId="1C713248">
            <w:pPr>
              <w:autoSpaceDE w:val="0"/>
              <w:spacing w:line="276" w:lineRule="auto"/>
              <w:jc w:val="center"/>
              <w:rPr>
                <w:rFonts w:ascii="宋体" w:hAnsi="宋体" w:cs="宋体"/>
                <w:szCs w:val="21"/>
                <w:highlight w:val="none"/>
              </w:rPr>
            </w:pPr>
            <w:r>
              <w:rPr>
                <w:rFonts w:hint="eastAsia" w:ascii="宋体" w:hAnsi="宋体"/>
                <w:highlight w:val="none"/>
              </w:rPr>
              <w:t>(   )</w:t>
            </w:r>
          </w:p>
        </w:tc>
        <w:tc>
          <w:tcPr>
            <w:tcW w:w="1152" w:type="dxa"/>
            <w:tcBorders>
              <w:top w:val="single" w:color="000000" w:sz="4" w:space="0"/>
              <w:left w:val="nil"/>
              <w:bottom w:val="single" w:color="000000" w:sz="4" w:space="0"/>
              <w:right w:val="single" w:color="000000" w:sz="4" w:space="0"/>
            </w:tcBorders>
            <w:vAlign w:val="center"/>
          </w:tcPr>
          <w:p w14:paraId="3DA2C23B">
            <w:pPr>
              <w:autoSpaceDE w:val="0"/>
              <w:spacing w:line="276" w:lineRule="auto"/>
              <w:jc w:val="center"/>
              <w:rPr>
                <w:rFonts w:ascii="宋体" w:hAnsi="宋体" w:cs="宋体"/>
                <w:szCs w:val="21"/>
                <w:highlight w:val="none"/>
              </w:rPr>
            </w:pPr>
            <w:r>
              <w:rPr>
                <w:rFonts w:hint="eastAsia" w:ascii="宋体" w:hAnsi="宋体"/>
                <w:highlight w:val="none"/>
              </w:rPr>
              <w:t>(    )</w:t>
            </w:r>
          </w:p>
        </w:tc>
        <w:tc>
          <w:tcPr>
            <w:tcW w:w="624" w:type="dxa"/>
            <w:tcBorders>
              <w:top w:val="single" w:color="000000" w:sz="4" w:space="0"/>
              <w:left w:val="nil"/>
              <w:bottom w:val="single" w:color="000000" w:sz="4" w:space="0"/>
              <w:right w:val="single" w:color="000000" w:sz="4" w:space="0"/>
            </w:tcBorders>
            <w:vAlign w:val="center"/>
          </w:tcPr>
          <w:p w14:paraId="2802359D">
            <w:pPr>
              <w:autoSpaceDE w:val="0"/>
              <w:spacing w:line="276" w:lineRule="auto"/>
              <w:rPr>
                <w:rFonts w:ascii="宋体" w:hAnsi="宋体" w:cs="宋体"/>
                <w:szCs w:val="21"/>
                <w:highlight w:val="none"/>
              </w:rPr>
            </w:pPr>
          </w:p>
        </w:tc>
      </w:tr>
      <w:tr w14:paraId="6552717D">
        <w:tblPrEx>
          <w:tblCellMar>
            <w:top w:w="0" w:type="dxa"/>
            <w:left w:w="108" w:type="dxa"/>
            <w:bottom w:w="0" w:type="dxa"/>
            <w:right w:w="108" w:type="dxa"/>
          </w:tblCellMar>
        </w:tblPrEx>
        <w:trPr>
          <w:trHeight w:val="691" w:hRule="atLeast"/>
          <w:jc w:val="center"/>
        </w:trPr>
        <w:tc>
          <w:tcPr>
            <w:tcW w:w="6612" w:type="dxa"/>
            <w:tcBorders>
              <w:top w:val="single" w:color="000000" w:sz="4" w:space="0"/>
              <w:left w:val="single" w:color="000000" w:sz="4" w:space="0"/>
              <w:bottom w:val="single" w:color="000000" w:sz="4" w:space="0"/>
              <w:right w:val="single" w:color="000000" w:sz="4" w:space="0"/>
            </w:tcBorders>
            <w:vAlign w:val="center"/>
          </w:tcPr>
          <w:p w14:paraId="72AA49BE">
            <w:pPr>
              <w:widowControl/>
              <w:autoSpaceDE w:val="0"/>
              <w:spacing w:line="276" w:lineRule="auto"/>
              <w:jc w:val="left"/>
              <w:textAlignment w:val="center"/>
              <w:rPr>
                <w:rFonts w:ascii="宋体" w:hAnsi="宋体" w:cs="宋体"/>
                <w:szCs w:val="21"/>
                <w:highlight w:val="none"/>
              </w:rPr>
            </w:pPr>
            <w:r>
              <w:rPr>
                <w:rFonts w:hint="eastAsia" w:ascii="宋体" w:hAnsi="宋体"/>
                <w:kern w:val="0"/>
                <w:highlight w:val="none"/>
              </w:rPr>
              <w:t>（二）开挖深度虽未超过3m，但地质条件、周围环境和地下管线复杂，或影响毗邻建、构筑物安全的基坑（槽）的土方开挖、支护、降水工程。</w:t>
            </w:r>
          </w:p>
        </w:tc>
        <w:tc>
          <w:tcPr>
            <w:tcW w:w="1272" w:type="dxa"/>
            <w:tcBorders>
              <w:top w:val="single" w:color="000000" w:sz="4" w:space="0"/>
              <w:left w:val="nil"/>
              <w:bottom w:val="single" w:color="000000" w:sz="4" w:space="0"/>
              <w:right w:val="single" w:color="000000" w:sz="4" w:space="0"/>
            </w:tcBorders>
            <w:vAlign w:val="center"/>
          </w:tcPr>
          <w:p w14:paraId="09DC0007">
            <w:pPr>
              <w:autoSpaceDE w:val="0"/>
              <w:spacing w:line="276" w:lineRule="auto"/>
              <w:jc w:val="center"/>
              <w:rPr>
                <w:rFonts w:ascii="宋体" w:hAnsi="宋体" w:cs="宋体"/>
                <w:szCs w:val="21"/>
                <w:highlight w:val="none"/>
              </w:rPr>
            </w:pPr>
            <w:r>
              <w:rPr>
                <w:rFonts w:hint="eastAsia" w:ascii="宋体" w:hAnsi="宋体"/>
                <w:highlight w:val="none"/>
              </w:rPr>
              <w:t>(   )</w:t>
            </w:r>
          </w:p>
        </w:tc>
        <w:tc>
          <w:tcPr>
            <w:tcW w:w="1152" w:type="dxa"/>
            <w:tcBorders>
              <w:top w:val="single" w:color="000000" w:sz="4" w:space="0"/>
              <w:left w:val="nil"/>
              <w:bottom w:val="single" w:color="000000" w:sz="4" w:space="0"/>
              <w:right w:val="single" w:color="000000" w:sz="4" w:space="0"/>
            </w:tcBorders>
            <w:vAlign w:val="center"/>
          </w:tcPr>
          <w:p w14:paraId="57F9C5B6">
            <w:pPr>
              <w:autoSpaceDE w:val="0"/>
              <w:spacing w:line="276" w:lineRule="auto"/>
              <w:jc w:val="center"/>
              <w:rPr>
                <w:rFonts w:ascii="宋体" w:hAnsi="宋体" w:cs="宋体"/>
                <w:szCs w:val="21"/>
                <w:highlight w:val="none"/>
              </w:rPr>
            </w:pPr>
            <w:r>
              <w:rPr>
                <w:rFonts w:hint="eastAsia" w:ascii="宋体" w:hAnsi="宋体"/>
                <w:highlight w:val="none"/>
              </w:rPr>
              <w:t>(    )</w:t>
            </w:r>
          </w:p>
        </w:tc>
        <w:tc>
          <w:tcPr>
            <w:tcW w:w="624" w:type="dxa"/>
            <w:tcBorders>
              <w:top w:val="single" w:color="000000" w:sz="4" w:space="0"/>
              <w:left w:val="nil"/>
              <w:bottom w:val="single" w:color="000000" w:sz="4" w:space="0"/>
              <w:right w:val="single" w:color="000000" w:sz="4" w:space="0"/>
            </w:tcBorders>
            <w:vAlign w:val="center"/>
          </w:tcPr>
          <w:p w14:paraId="2422C7A9">
            <w:pPr>
              <w:autoSpaceDE w:val="0"/>
              <w:spacing w:line="276" w:lineRule="auto"/>
              <w:rPr>
                <w:rFonts w:ascii="宋体" w:hAnsi="宋体" w:cs="宋体"/>
                <w:szCs w:val="21"/>
                <w:highlight w:val="none"/>
              </w:rPr>
            </w:pPr>
          </w:p>
        </w:tc>
      </w:tr>
      <w:tr w14:paraId="3BD5CF0C">
        <w:tblPrEx>
          <w:tblCellMar>
            <w:top w:w="0" w:type="dxa"/>
            <w:left w:w="108" w:type="dxa"/>
            <w:bottom w:w="0" w:type="dxa"/>
            <w:right w:w="108" w:type="dxa"/>
          </w:tblCellMar>
        </w:tblPrEx>
        <w:trPr>
          <w:trHeight w:val="307" w:hRule="atLeast"/>
          <w:jc w:val="center"/>
        </w:trPr>
        <w:tc>
          <w:tcPr>
            <w:tcW w:w="6612" w:type="dxa"/>
            <w:tcBorders>
              <w:top w:val="single" w:color="000000" w:sz="4" w:space="0"/>
              <w:left w:val="single" w:color="000000" w:sz="4" w:space="0"/>
              <w:bottom w:val="single" w:color="000000" w:sz="4" w:space="0"/>
              <w:right w:val="single" w:color="000000" w:sz="4" w:space="0"/>
            </w:tcBorders>
            <w:vAlign w:val="center"/>
          </w:tcPr>
          <w:p w14:paraId="26D8B31C">
            <w:pPr>
              <w:widowControl/>
              <w:autoSpaceDE w:val="0"/>
              <w:spacing w:line="276" w:lineRule="auto"/>
              <w:jc w:val="left"/>
              <w:textAlignment w:val="center"/>
              <w:rPr>
                <w:rFonts w:ascii="宋体" w:hAnsi="宋体" w:cs="宋体"/>
                <w:szCs w:val="21"/>
                <w:highlight w:val="none"/>
              </w:rPr>
            </w:pPr>
            <w:r>
              <w:rPr>
                <w:rFonts w:hint="eastAsia" w:ascii="宋体" w:hAnsi="宋体"/>
                <w:kern w:val="0"/>
                <w:highlight w:val="none"/>
              </w:rPr>
              <w:t>二、模板工程及支撑体系</w:t>
            </w:r>
          </w:p>
        </w:tc>
        <w:tc>
          <w:tcPr>
            <w:tcW w:w="1272" w:type="dxa"/>
            <w:tcBorders>
              <w:top w:val="single" w:color="000000" w:sz="4" w:space="0"/>
              <w:left w:val="nil"/>
              <w:bottom w:val="single" w:color="000000" w:sz="4" w:space="0"/>
              <w:right w:val="single" w:color="000000" w:sz="4" w:space="0"/>
            </w:tcBorders>
            <w:vAlign w:val="center"/>
          </w:tcPr>
          <w:p w14:paraId="625C05D2">
            <w:pPr>
              <w:autoSpaceDE w:val="0"/>
              <w:spacing w:line="276" w:lineRule="auto"/>
              <w:jc w:val="center"/>
              <w:rPr>
                <w:rFonts w:ascii="宋体" w:hAnsi="宋体" w:cs="宋体"/>
                <w:szCs w:val="21"/>
                <w:highlight w:val="none"/>
              </w:rPr>
            </w:pPr>
            <w:r>
              <w:rPr>
                <w:rFonts w:hint="eastAsia" w:ascii="宋体" w:hAnsi="宋体"/>
                <w:highlight w:val="none"/>
              </w:rPr>
              <w:t>(   )</w:t>
            </w:r>
          </w:p>
        </w:tc>
        <w:tc>
          <w:tcPr>
            <w:tcW w:w="1152" w:type="dxa"/>
            <w:tcBorders>
              <w:top w:val="single" w:color="000000" w:sz="4" w:space="0"/>
              <w:left w:val="nil"/>
              <w:bottom w:val="single" w:color="000000" w:sz="4" w:space="0"/>
              <w:right w:val="single" w:color="000000" w:sz="4" w:space="0"/>
            </w:tcBorders>
            <w:vAlign w:val="center"/>
          </w:tcPr>
          <w:p w14:paraId="7F584285">
            <w:pPr>
              <w:autoSpaceDE w:val="0"/>
              <w:spacing w:line="276" w:lineRule="auto"/>
              <w:jc w:val="center"/>
              <w:rPr>
                <w:rFonts w:ascii="宋体" w:hAnsi="宋体" w:cs="宋体"/>
                <w:szCs w:val="21"/>
                <w:highlight w:val="none"/>
              </w:rPr>
            </w:pPr>
            <w:r>
              <w:rPr>
                <w:rFonts w:hint="eastAsia" w:ascii="宋体" w:hAnsi="宋体"/>
                <w:highlight w:val="none"/>
              </w:rPr>
              <w:t>(    )</w:t>
            </w:r>
          </w:p>
        </w:tc>
        <w:tc>
          <w:tcPr>
            <w:tcW w:w="624" w:type="dxa"/>
            <w:tcBorders>
              <w:top w:val="single" w:color="000000" w:sz="4" w:space="0"/>
              <w:left w:val="nil"/>
              <w:bottom w:val="single" w:color="000000" w:sz="4" w:space="0"/>
              <w:right w:val="single" w:color="000000" w:sz="4" w:space="0"/>
            </w:tcBorders>
            <w:vAlign w:val="center"/>
          </w:tcPr>
          <w:p w14:paraId="77FCE478">
            <w:pPr>
              <w:autoSpaceDE w:val="0"/>
              <w:spacing w:line="276" w:lineRule="auto"/>
              <w:rPr>
                <w:rFonts w:ascii="宋体" w:hAnsi="宋体" w:cs="宋体"/>
                <w:szCs w:val="21"/>
                <w:highlight w:val="none"/>
              </w:rPr>
            </w:pPr>
          </w:p>
        </w:tc>
      </w:tr>
      <w:tr w14:paraId="02315F2C">
        <w:tblPrEx>
          <w:tblCellMar>
            <w:top w:w="0" w:type="dxa"/>
            <w:left w:w="108" w:type="dxa"/>
            <w:bottom w:w="0" w:type="dxa"/>
            <w:right w:w="108" w:type="dxa"/>
          </w:tblCellMar>
        </w:tblPrEx>
        <w:trPr>
          <w:trHeight w:val="343" w:hRule="atLeast"/>
          <w:jc w:val="center"/>
        </w:trPr>
        <w:tc>
          <w:tcPr>
            <w:tcW w:w="6612" w:type="dxa"/>
            <w:tcBorders>
              <w:top w:val="single" w:color="000000" w:sz="4" w:space="0"/>
              <w:left w:val="single" w:color="000000" w:sz="4" w:space="0"/>
              <w:bottom w:val="single" w:color="000000" w:sz="4" w:space="0"/>
              <w:right w:val="single" w:color="000000" w:sz="4" w:space="0"/>
            </w:tcBorders>
            <w:vAlign w:val="center"/>
          </w:tcPr>
          <w:p w14:paraId="1474D827">
            <w:pPr>
              <w:widowControl/>
              <w:autoSpaceDE w:val="0"/>
              <w:spacing w:line="276" w:lineRule="auto"/>
              <w:jc w:val="left"/>
              <w:textAlignment w:val="center"/>
              <w:rPr>
                <w:rFonts w:ascii="宋体" w:hAnsi="宋体" w:cs="宋体"/>
                <w:szCs w:val="21"/>
                <w:highlight w:val="none"/>
              </w:rPr>
            </w:pPr>
            <w:r>
              <w:rPr>
                <w:rFonts w:hint="eastAsia" w:ascii="宋体" w:hAnsi="宋体"/>
                <w:kern w:val="0"/>
                <w:highlight w:val="none"/>
              </w:rPr>
              <w:t>（一）各类工具式模板工程：包括滑模、爬模、飞模、隧道模等工程。</w:t>
            </w:r>
          </w:p>
        </w:tc>
        <w:tc>
          <w:tcPr>
            <w:tcW w:w="1272" w:type="dxa"/>
            <w:tcBorders>
              <w:top w:val="single" w:color="000000" w:sz="4" w:space="0"/>
              <w:left w:val="nil"/>
              <w:bottom w:val="single" w:color="000000" w:sz="4" w:space="0"/>
              <w:right w:val="single" w:color="000000" w:sz="4" w:space="0"/>
            </w:tcBorders>
            <w:vAlign w:val="center"/>
          </w:tcPr>
          <w:p w14:paraId="61950D02">
            <w:pPr>
              <w:autoSpaceDE w:val="0"/>
              <w:spacing w:line="276" w:lineRule="auto"/>
              <w:jc w:val="center"/>
              <w:rPr>
                <w:rFonts w:ascii="宋体" w:hAnsi="宋体" w:cs="宋体"/>
                <w:szCs w:val="21"/>
                <w:highlight w:val="none"/>
              </w:rPr>
            </w:pPr>
            <w:r>
              <w:rPr>
                <w:rFonts w:hint="eastAsia" w:ascii="宋体" w:hAnsi="宋体"/>
                <w:highlight w:val="none"/>
              </w:rPr>
              <w:t>(   )</w:t>
            </w:r>
          </w:p>
        </w:tc>
        <w:tc>
          <w:tcPr>
            <w:tcW w:w="1152" w:type="dxa"/>
            <w:tcBorders>
              <w:top w:val="single" w:color="000000" w:sz="4" w:space="0"/>
              <w:left w:val="nil"/>
              <w:bottom w:val="single" w:color="000000" w:sz="4" w:space="0"/>
              <w:right w:val="single" w:color="000000" w:sz="4" w:space="0"/>
            </w:tcBorders>
            <w:vAlign w:val="center"/>
          </w:tcPr>
          <w:p w14:paraId="2E20F273">
            <w:pPr>
              <w:autoSpaceDE w:val="0"/>
              <w:spacing w:line="276" w:lineRule="auto"/>
              <w:jc w:val="center"/>
              <w:rPr>
                <w:rFonts w:ascii="宋体" w:hAnsi="宋体" w:cs="宋体"/>
                <w:szCs w:val="21"/>
                <w:highlight w:val="none"/>
              </w:rPr>
            </w:pPr>
            <w:r>
              <w:rPr>
                <w:rFonts w:hint="eastAsia" w:ascii="宋体" w:hAnsi="宋体"/>
                <w:highlight w:val="none"/>
              </w:rPr>
              <w:t>(    )</w:t>
            </w:r>
          </w:p>
        </w:tc>
        <w:tc>
          <w:tcPr>
            <w:tcW w:w="624" w:type="dxa"/>
            <w:tcBorders>
              <w:top w:val="single" w:color="000000" w:sz="4" w:space="0"/>
              <w:left w:val="nil"/>
              <w:bottom w:val="single" w:color="000000" w:sz="4" w:space="0"/>
              <w:right w:val="single" w:color="000000" w:sz="4" w:space="0"/>
            </w:tcBorders>
            <w:vAlign w:val="center"/>
          </w:tcPr>
          <w:p w14:paraId="4101EEC2">
            <w:pPr>
              <w:autoSpaceDE w:val="0"/>
              <w:spacing w:line="276" w:lineRule="auto"/>
              <w:rPr>
                <w:rFonts w:ascii="宋体" w:hAnsi="宋体" w:cs="宋体"/>
                <w:szCs w:val="21"/>
                <w:highlight w:val="none"/>
              </w:rPr>
            </w:pPr>
          </w:p>
        </w:tc>
      </w:tr>
      <w:tr w14:paraId="6AFF785B">
        <w:tblPrEx>
          <w:tblCellMar>
            <w:top w:w="0" w:type="dxa"/>
            <w:left w:w="108" w:type="dxa"/>
            <w:bottom w:w="0" w:type="dxa"/>
            <w:right w:w="108" w:type="dxa"/>
          </w:tblCellMar>
        </w:tblPrEx>
        <w:trPr>
          <w:trHeight w:val="1050" w:hRule="atLeast"/>
          <w:jc w:val="center"/>
        </w:trPr>
        <w:tc>
          <w:tcPr>
            <w:tcW w:w="6612" w:type="dxa"/>
            <w:tcBorders>
              <w:top w:val="single" w:color="000000" w:sz="4" w:space="0"/>
              <w:left w:val="single" w:color="000000" w:sz="4" w:space="0"/>
              <w:bottom w:val="single" w:color="000000" w:sz="4" w:space="0"/>
              <w:right w:val="single" w:color="000000" w:sz="4" w:space="0"/>
            </w:tcBorders>
            <w:vAlign w:val="center"/>
          </w:tcPr>
          <w:p w14:paraId="3B1CD488">
            <w:pPr>
              <w:widowControl/>
              <w:autoSpaceDE w:val="0"/>
              <w:spacing w:line="276" w:lineRule="auto"/>
              <w:jc w:val="left"/>
              <w:textAlignment w:val="center"/>
              <w:rPr>
                <w:rFonts w:ascii="宋体" w:hAnsi="宋体" w:cs="宋体"/>
                <w:szCs w:val="21"/>
                <w:highlight w:val="none"/>
              </w:rPr>
            </w:pPr>
            <w:r>
              <w:rPr>
                <w:rFonts w:hint="eastAsia" w:ascii="宋体" w:hAnsi="宋体"/>
                <w:kern w:val="0"/>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272" w:type="dxa"/>
            <w:tcBorders>
              <w:top w:val="single" w:color="000000" w:sz="4" w:space="0"/>
              <w:left w:val="nil"/>
              <w:bottom w:val="single" w:color="000000" w:sz="4" w:space="0"/>
              <w:right w:val="single" w:color="000000" w:sz="4" w:space="0"/>
            </w:tcBorders>
            <w:vAlign w:val="center"/>
          </w:tcPr>
          <w:p w14:paraId="5C122C11">
            <w:pPr>
              <w:autoSpaceDE w:val="0"/>
              <w:spacing w:line="276" w:lineRule="auto"/>
              <w:jc w:val="center"/>
              <w:rPr>
                <w:rFonts w:ascii="宋体" w:hAnsi="宋体" w:cs="宋体"/>
                <w:szCs w:val="21"/>
                <w:highlight w:val="none"/>
              </w:rPr>
            </w:pPr>
            <w:r>
              <w:rPr>
                <w:rFonts w:hint="eastAsia" w:ascii="宋体" w:hAnsi="宋体"/>
                <w:highlight w:val="none"/>
              </w:rPr>
              <w:t>(   )</w:t>
            </w:r>
          </w:p>
        </w:tc>
        <w:tc>
          <w:tcPr>
            <w:tcW w:w="1152" w:type="dxa"/>
            <w:tcBorders>
              <w:top w:val="single" w:color="000000" w:sz="4" w:space="0"/>
              <w:left w:val="nil"/>
              <w:bottom w:val="single" w:color="000000" w:sz="4" w:space="0"/>
              <w:right w:val="single" w:color="000000" w:sz="4" w:space="0"/>
            </w:tcBorders>
            <w:vAlign w:val="center"/>
          </w:tcPr>
          <w:p w14:paraId="40315DAB">
            <w:pPr>
              <w:autoSpaceDE w:val="0"/>
              <w:spacing w:line="276" w:lineRule="auto"/>
              <w:jc w:val="center"/>
              <w:rPr>
                <w:rFonts w:ascii="宋体" w:hAnsi="宋体" w:cs="宋体"/>
                <w:szCs w:val="21"/>
                <w:highlight w:val="none"/>
              </w:rPr>
            </w:pPr>
            <w:r>
              <w:rPr>
                <w:rFonts w:hint="eastAsia" w:ascii="宋体" w:hAnsi="宋体"/>
                <w:highlight w:val="none"/>
              </w:rPr>
              <w:t>(    )</w:t>
            </w:r>
          </w:p>
        </w:tc>
        <w:tc>
          <w:tcPr>
            <w:tcW w:w="624" w:type="dxa"/>
            <w:tcBorders>
              <w:top w:val="single" w:color="000000" w:sz="4" w:space="0"/>
              <w:left w:val="nil"/>
              <w:bottom w:val="single" w:color="000000" w:sz="4" w:space="0"/>
              <w:right w:val="single" w:color="000000" w:sz="4" w:space="0"/>
            </w:tcBorders>
            <w:vAlign w:val="center"/>
          </w:tcPr>
          <w:p w14:paraId="40E34CA0">
            <w:pPr>
              <w:autoSpaceDE w:val="0"/>
              <w:spacing w:line="276" w:lineRule="auto"/>
              <w:rPr>
                <w:rFonts w:ascii="宋体" w:hAnsi="宋体" w:cs="宋体"/>
                <w:szCs w:val="21"/>
                <w:highlight w:val="none"/>
              </w:rPr>
            </w:pPr>
          </w:p>
        </w:tc>
      </w:tr>
      <w:tr w14:paraId="0647E69A">
        <w:tblPrEx>
          <w:tblCellMar>
            <w:top w:w="0" w:type="dxa"/>
            <w:left w:w="108" w:type="dxa"/>
            <w:bottom w:w="0" w:type="dxa"/>
            <w:right w:w="108" w:type="dxa"/>
          </w:tblCellMar>
        </w:tblPrEx>
        <w:trPr>
          <w:trHeight w:val="297" w:hRule="atLeast"/>
          <w:jc w:val="center"/>
        </w:trPr>
        <w:tc>
          <w:tcPr>
            <w:tcW w:w="6612" w:type="dxa"/>
            <w:tcBorders>
              <w:top w:val="single" w:color="000000" w:sz="4" w:space="0"/>
              <w:left w:val="single" w:color="000000" w:sz="4" w:space="0"/>
              <w:bottom w:val="single" w:color="000000" w:sz="4" w:space="0"/>
              <w:right w:val="single" w:color="000000" w:sz="4" w:space="0"/>
            </w:tcBorders>
            <w:vAlign w:val="center"/>
          </w:tcPr>
          <w:p w14:paraId="65B919EA">
            <w:pPr>
              <w:widowControl/>
              <w:autoSpaceDE w:val="0"/>
              <w:spacing w:line="276" w:lineRule="auto"/>
              <w:jc w:val="left"/>
              <w:textAlignment w:val="center"/>
              <w:rPr>
                <w:rFonts w:ascii="宋体" w:hAnsi="宋体" w:cs="宋体"/>
                <w:szCs w:val="21"/>
                <w:highlight w:val="none"/>
              </w:rPr>
            </w:pPr>
            <w:r>
              <w:rPr>
                <w:rFonts w:hint="eastAsia" w:ascii="宋体" w:hAnsi="宋体"/>
                <w:kern w:val="0"/>
                <w:highlight w:val="none"/>
              </w:rPr>
              <w:t>（三）承重支撑体系：用于钢结构安装等满堂支撑体系。</w:t>
            </w:r>
          </w:p>
        </w:tc>
        <w:tc>
          <w:tcPr>
            <w:tcW w:w="1272" w:type="dxa"/>
            <w:tcBorders>
              <w:top w:val="single" w:color="000000" w:sz="4" w:space="0"/>
              <w:left w:val="nil"/>
              <w:bottom w:val="single" w:color="000000" w:sz="4" w:space="0"/>
              <w:right w:val="single" w:color="000000" w:sz="4" w:space="0"/>
            </w:tcBorders>
            <w:vAlign w:val="center"/>
          </w:tcPr>
          <w:p w14:paraId="092424B7">
            <w:pPr>
              <w:autoSpaceDE w:val="0"/>
              <w:spacing w:line="276" w:lineRule="auto"/>
              <w:jc w:val="center"/>
              <w:rPr>
                <w:rFonts w:ascii="宋体" w:hAnsi="宋体" w:cs="宋体"/>
                <w:szCs w:val="21"/>
                <w:highlight w:val="none"/>
              </w:rPr>
            </w:pPr>
            <w:r>
              <w:rPr>
                <w:rFonts w:hint="eastAsia" w:ascii="宋体" w:hAnsi="宋体"/>
                <w:highlight w:val="none"/>
              </w:rPr>
              <w:t>(   )</w:t>
            </w:r>
          </w:p>
        </w:tc>
        <w:tc>
          <w:tcPr>
            <w:tcW w:w="1152" w:type="dxa"/>
            <w:tcBorders>
              <w:top w:val="single" w:color="000000" w:sz="4" w:space="0"/>
              <w:left w:val="nil"/>
              <w:bottom w:val="single" w:color="000000" w:sz="4" w:space="0"/>
              <w:right w:val="single" w:color="000000" w:sz="4" w:space="0"/>
            </w:tcBorders>
            <w:vAlign w:val="center"/>
          </w:tcPr>
          <w:p w14:paraId="4AA139E0">
            <w:pPr>
              <w:autoSpaceDE w:val="0"/>
              <w:spacing w:line="276" w:lineRule="auto"/>
              <w:jc w:val="center"/>
              <w:rPr>
                <w:rFonts w:ascii="宋体" w:hAnsi="宋体" w:cs="宋体"/>
                <w:szCs w:val="21"/>
                <w:highlight w:val="none"/>
              </w:rPr>
            </w:pPr>
            <w:r>
              <w:rPr>
                <w:rFonts w:hint="eastAsia" w:ascii="宋体" w:hAnsi="宋体"/>
                <w:highlight w:val="none"/>
              </w:rPr>
              <w:t>(    )</w:t>
            </w:r>
          </w:p>
        </w:tc>
        <w:tc>
          <w:tcPr>
            <w:tcW w:w="624" w:type="dxa"/>
            <w:tcBorders>
              <w:top w:val="single" w:color="000000" w:sz="4" w:space="0"/>
              <w:left w:val="nil"/>
              <w:bottom w:val="single" w:color="000000" w:sz="4" w:space="0"/>
              <w:right w:val="single" w:color="000000" w:sz="4" w:space="0"/>
            </w:tcBorders>
            <w:vAlign w:val="center"/>
          </w:tcPr>
          <w:p w14:paraId="26362576">
            <w:pPr>
              <w:autoSpaceDE w:val="0"/>
              <w:spacing w:line="276" w:lineRule="auto"/>
              <w:rPr>
                <w:rFonts w:ascii="宋体" w:hAnsi="宋体" w:cs="宋体"/>
                <w:szCs w:val="21"/>
                <w:highlight w:val="none"/>
              </w:rPr>
            </w:pPr>
          </w:p>
        </w:tc>
      </w:tr>
      <w:tr w14:paraId="1988686E">
        <w:tblPrEx>
          <w:tblCellMar>
            <w:top w:w="0" w:type="dxa"/>
            <w:left w:w="108" w:type="dxa"/>
            <w:bottom w:w="0" w:type="dxa"/>
            <w:right w:w="108" w:type="dxa"/>
          </w:tblCellMar>
        </w:tblPrEx>
        <w:trPr>
          <w:trHeight w:val="270" w:hRule="atLeast"/>
          <w:jc w:val="center"/>
        </w:trPr>
        <w:tc>
          <w:tcPr>
            <w:tcW w:w="6612" w:type="dxa"/>
            <w:tcBorders>
              <w:top w:val="single" w:color="000000" w:sz="4" w:space="0"/>
              <w:left w:val="single" w:color="000000" w:sz="4" w:space="0"/>
              <w:bottom w:val="single" w:color="000000" w:sz="4" w:space="0"/>
              <w:right w:val="single" w:color="000000" w:sz="4" w:space="0"/>
            </w:tcBorders>
            <w:vAlign w:val="center"/>
          </w:tcPr>
          <w:p w14:paraId="0F666768">
            <w:pPr>
              <w:widowControl/>
              <w:autoSpaceDE w:val="0"/>
              <w:spacing w:line="276" w:lineRule="auto"/>
              <w:jc w:val="left"/>
              <w:textAlignment w:val="center"/>
              <w:rPr>
                <w:rFonts w:ascii="宋体" w:hAnsi="宋体" w:cs="宋体"/>
                <w:szCs w:val="21"/>
                <w:highlight w:val="none"/>
              </w:rPr>
            </w:pPr>
            <w:r>
              <w:rPr>
                <w:rFonts w:hint="eastAsia" w:ascii="宋体" w:hAnsi="宋体"/>
                <w:kern w:val="0"/>
                <w:highlight w:val="none"/>
              </w:rPr>
              <w:t>三、起重吊装及起重机械安装拆卸工程</w:t>
            </w:r>
          </w:p>
        </w:tc>
        <w:tc>
          <w:tcPr>
            <w:tcW w:w="1272" w:type="dxa"/>
            <w:tcBorders>
              <w:top w:val="single" w:color="000000" w:sz="4" w:space="0"/>
              <w:left w:val="nil"/>
              <w:bottom w:val="single" w:color="000000" w:sz="4" w:space="0"/>
              <w:right w:val="single" w:color="000000" w:sz="4" w:space="0"/>
            </w:tcBorders>
            <w:vAlign w:val="center"/>
          </w:tcPr>
          <w:p w14:paraId="6699C2DE">
            <w:pPr>
              <w:autoSpaceDE w:val="0"/>
              <w:spacing w:line="276" w:lineRule="auto"/>
              <w:jc w:val="center"/>
              <w:rPr>
                <w:rFonts w:ascii="宋体" w:hAnsi="宋体" w:cs="宋体"/>
                <w:szCs w:val="21"/>
                <w:highlight w:val="none"/>
              </w:rPr>
            </w:pPr>
            <w:r>
              <w:rPr>
                <w:rFonts w:hint="eastAsia" w:ascii="宋体" w:hAnsi="宋体"/>
                <w:highlight w:val="none"/>
              </w:rPr>
              <w:t>(   )</w:t>
            </w:r>
          </w:p>
        </w:tc>
        <w:tc>
          <w:tcPr>
            <w:tcW w:w="1152" w:type="dxa"/>
            <w:tcBorders>
              <w:top w:val="single" w:color="000000" w:sz="4" w:space="0"/>
              <w:left w:val="nil"/>
              <w:bottom w:val="single" w:color="000000" w:sz="4" w:space="0"/>
              <w:right w:val="single" w:color="000000" w:sz="4" w:space="0"/>
            </w:tcBorders>
            <w:vAlign w:val="center"/>
          </w:tcPr>
          <w:p w14:paraId="33D5A06E">
            <w:pPr>
              <w:autoSpaceDE w:val="0"/>
              <w:spacing w:line="276" w:lineRule="auto"/>
              <w:jc w:val="center"/>
              <w:rPr>
                <w:rFonts w:ascii="宋体" w:hAnsi="宋体" w:cs="宋体"/>
                <w:szCs w:val="21"/>
                <w:highlight w:val="none"/>
              </w:rPr>
            </w:pPr>
            <w:r>
              <w:rPr>
                <w:rFonts w:hint="eastAsia" w:ascii="宋体" w:hAnsi="宋体"/>
                <w:highlight w:val="none"/>
              </w:rPr>
              <w:t>(    )</w:t>
            </w:r>
          </w:p>
        </w:tc>
        <w:tc>
          <w:tcPr>
            <w:tcW w:w="624" w:type="dxa"/>
            <w:tcBorders>
              <w:top w:val="single" w:color="000000" w:sz="4" w:space="0"/>
              <w:left w:val="nil"/>
              <w:bottom w:val="single" w:color="000000" w:sz="4" w:space="0"/>
              <w:right w:val="single" w:color="000000" w:sz="4" w:space="0"/>
            </w:tcBorders>
            <w:vAlign w:val="center"/>
          </w:tcPr>
          <w:p w14:paraId="25787760">
            <w:pPr>
              <w:autoSpaceDE w:val="0"/>
              <w:spacing w:line="276" w:lineRule="auto"/>
              <w:rPr>
                <w:rFonts w:ascii="宋体" w:hAnsi="宋体" w:cs="宋体"/>
                <w:szCs w:val="21"/>
                <w:highlight w:val="none"/>
              </w:rPr>
            </w:pPr>
          </w:p>
        </w:tc>
      </w:tr>
      <w:tr w14:paraId="5C81DC82">
        <w:tblPrEx>
          <w:tblCellMar>
            <w:top w:w="0" w:type="dxa"/>
            <w:left w:w="108" w:type="dxa"/>
            <w:bottom w:w="0" w:type="dxa"/>
            <w:right w:w="108" w:type="dxa"/>
          </w:tblCellMar>
        </w:tblPrEx>
        <w:trPr>
          <w:trHeight w:val="580" w:hRule="atLeast"/>
          <w:jc w:val="center"/>
        </w:trPr>
        <w:tc>
          <w:tcPr>
            <w:tcW w:w="6612" w:type="dxa"/>
            <w:tcBorders>
              <w:top w:val="single" w:color="000000" w:sz="4" w:space="0"/>
              <w:left w:val="single" w:color="000000" w:sz="4" w:space="0"/>
              <w:bottom w:val="single" w:color="000000" w:sz="4" w:space="0"/>
              <w:right w:val="single" w:color="000000" w:sz="4" w:space="0"/>
            </w:tcBorders>
            <w:vAlign w:val="center"/>
          </w:tcPr>
          <w:p w14:paraId="211B1389">
            <w:pPr>
              <w:widowControl/>
              <w:autoSpaceDE w:val="0"/>
              <w:spacing w:line="276" w:lineRule="auto"/>
              <w:jc w:val="left"/>
              <w:textAlignment w:val="center"/>
              <w:rPr>
                <w:rFonts w:ascii="宋体" w:hAnsi="宋体" w:cs="宋体"/>
                <w:szCs w:val="21"/>
                <w:highlight w:val="none"/>
              </w:rPr>
            </w:pPr>
            <w:r>
              <w:rPr>
                <w:rFonts w:hint="eastAsia" w:ascii="宋体" w:hAnsi="宋体"/>
                <w:kern w:val="0"/>
                <w:highlight w:val="none"/>
              </w:rPr>
              <w:t>（一）采用非常规起重设备、方法，且单件起吊重量在10kN及以上的起重吊装工程。</w:t>
            </w:r>
          </w:p>
        </w:tc>
        <w:tc>
          <w:tcPr>
            <w:tcW w:w="1272" w:type="dxa"/>
            <w:tcBorders>
              <w:top w:val="single" w:color="000000" w:sz="4" w:space="0"/>
              <w:left w:val="nil"/>
              <w:bottom w:val="single" w:color="000000" w:sz="4" w:space="0"/>
              <w:right w:val="single" w:color="000000" w:sz="4" w:space="0"/>
            </w:tcBorders>
            <w:vAlign w:val="center"/>
          </w:tcPr>
          <w:p w14:paraId="26C944DD">
            <w:pPr>
              <w:autoSpaceDE w:val="0"/>
              <w:spacing w:line="276" w:lineRule="auto"/>
              <w:jc w:val="center"/>
              <w:rPr>
                <w:rFonts w:ascii="宋体" w:hAnsi="宋体" w:cs="宋体"/>
                <w:szCs w:val="21"/>
                <w:highlight w:val="none"/>
              </w:rPr>
            </w:pPr>
            <w:r>
              <w:rPr>
                <w:rFonts w:hint="eastAsia" w:ascii="宋体" w:hAnsi="宋体"/>
                <w:highlight w:val="none"/>
              </w:rPr>
              <w:t>(   )</w:t>
            </w:r>
          </w:p>
        </w:tc>
        <w:tc>
          <w:tcPr>
            <w:tcW w:w="1152" w:type="dxa"/>
            <w:tcBorders>
              <w:top w:val="single" w:color="000000" w:sz="4" w:space="0"/>
              <w:left w:val="nil"/>
              <w:bottom w:val="single" w:color="000000" w:sz="4" w:space="0"/>
              <w:right w:val="single" w:color="000000" w:sz="4" w:space="0"/>
            </w:tcBorders>
            <w:vAlign w:val="center"/>
          </w:tcPr>
          <w:p w14:paraId="1263A0D0">
            <w:pPr>
              <w:autoSpaceDE w:val="0"/>
              <w:spacing w:line="276" w:lineRule="auto"/>
              <w:jc w:val="center"/>
              <w:rPr>
                <w:rFonts w:ascii="宋体" w:hAnsi="宋体" w:cs="宋体"/>
                <w:szCs w:val="21"/>
                <w:highlight w:val="none"/>
              </w:rPr>
            </w:pPr>
            <w:r>
              <w:rPr>
                <w:rFonts w:hint="eastAsia" w:ascii="宋体" w:hAnsi="宋体"/>
                <w:highlight w:val="none"/>
              </w:rPr>
              <w:t>(    )</w:t>
            </w:r>
          </w:p>
        </w:tc>
        <w:tc>
          <w:tcPr>
            <w:tcW w:w="624" w:type="dxa"/>
            <w:tcBorders>
              <w:top w:val="single" w:color="000000" w:sz="4" w:space="0"/>
              <w:left w:val="nil"/>
              <w:bottom w:val="single" w:color="000000" w:sz="4" w:space="0"/>
              <w:right w:val="single" w:color="000000" w:sz="4" w:space="0"/>
            </w:tcBorders>
            <w:vAlign w:val="center"/>
          </w:tcPr>
          <w:p w14:paraId="131D0CD4">
            <w:pPr>
              <w:autoSpaceDE w:val="0"/>
              <w:spacing w:line="276" w:lineRule="auto"/>
              <w:rPr>
                <w:rFonts w:ascii="宋体" w:hAnsi="宋体" w:cs="宋体"/>
                <w:szCs w:val="21"/>
                <w:highlight w:val="none"/>
              </w:rPr>
            </w:pPr>
          </w:p>
        </w:tc>
      </w:tr>
      <w:tr w14:paraId="07FC2CCC">
        <w:tblPrEx>
          <w:tblCellMar>
            <w:top w:w="0" w:type="dxa"/>
            <w:left w:w="108" w:type="dxa"/>
            <w:bottom w:w="0" w:type="dxa"/>
            <w:right w:w="108" w:type="dxa"/>
          </w:tblCellMar>
        </w:tblPrEx>
        <w:trPr>
          <w:trHeight w:val="270" w:hRule="atLeast"/>
          <w:jc w:val="center"/>
        </w:trPr>
        <w:tc>
          <w:tcPr>
            <w:tcW w:w="6612" w:type="dxa"/>
            <w:tcBorders>
              <w:top w:val="single" w:color="000000" w:sz="4" w:space="0"/>
              <w:left w:val="single" w:color="000000" w:sz="4" w:space="0"/>
              <w:bottom w:val="single" w:color="000000" w:sz="4" w:space="0"/>
              <w:right w:val="single" w:color="000000" w:sz="4" w:space="0"/>
            </w:tcBorders>
            <w:vAlign w:val="center"/>
          </w:tcPr>
          <w:p w14:paraId="7CF5499B">
            <w:pPr>
              <w:widowControl/>
              <w:autoSpaceDE w:val="0"/>
              <w:spacing w:line="276" w:lineRule="auto"/>
              <w:jc w:val="left"/>
              <w:textAlignment w:val="center"/>
              <w:rPr>
                <w:rFonts w:ascii="宋体" w:hAnsi="宋体" w:cs="宋体"/>
                <w:szCs w:val="21"/>
                <w:highlight w:val="none"/>
              </w:rPr>
            </w:pPr>
            <w:r>
              <w:rPr>
                <w:rFonts w:hint="eastAsia" w:ascii="宋体" w:hAnsi="宋体"/>
                <w:kern w:val="0"/>
                <w:highlight w:val="none"/>
              </w:rPr>
              <w:t>（二）采用起重机械进行安装的工程。</w:t>
            </w:r>
          </w:p>
        </w:tc>
        <w:tc>
          <w:tcPr>
            <w:tcW w:w="1272" w:type="dxa"/>
            <w:tcBorders>
              <w:top w:val="single" w:color="000000" w:sz="4" w:space="0"/>
              <w:left w:val="nil"/>
              <w:bottom w:val="single" w:color="000000" w:sz="4" w:space="0"/>
              <w:right w:val="single" w:color="000000" w:sz="4" w:space="0"/>
            </w:tcBorders>
            <w:vAlign w:val="center"/>
          </w:tcPr>
          <w:p w14:paraId="6915AC1A">
            <w:pPr>
              <w:autoSpaceDE w:val="0"/>
              <w:spacing w:line="276" w:lineRule="auto"/>
              <w:jc w:val="center"/>
              <w:rPr>
                <w:rFonts w:ascii="宋体" w:hAnsi="宋体" w:cs="宋体"/>
                <w:szCs w:val="21"/>
                <w:highlight w:val="none"/>
              </w:rPr>
            </w:pPr>
            <w:r>
              <w:rPr>
                <w:rFonts w:hint="eastAsia" w:ascii="宋体" w:hAnsi="宋体"/>
                <w:highlight w:val="none"/>
              </w:rPr>
              <w:t>(   )</w:t>
            </w:r>
          </w:p>
        </w:tc>
        <w:tc>
          <w:tcPr>
            <w:tcW w:w="1152" w:type="dxa"/>
            <w:tcBorders>
              <w:top w:val="single" w:color="000000" w:sz="4" w:space="0"/>
              <w:left w:val="nil"/>
              <w:bottom w:val="single" w:color="000000" w:sz="4" w:space="0"/>
              <w:right w:val="single" w:color="000000" w:sz="4" w:space="0"/>
            </w:tcBorders>
            <w:vAlign w:val="center"/>
          </w:tcPr>
          <w:p w14:paraId="7F7857C1">
            <w:pPr>
              <w:autoSpaceDE w:val="0"/>
              <w:spacing w:line="276" w:lineRule="auto"/>
              <w:jc w:val="center"/>
              <w:rPr>
                <w:rFonts w:ascii="宋体" w:hAnsi="宋体" w:cs="宋体"/>
                <w:szCs w:val="21"/>
                <w:highlight w:val="none"/>
              </w:rPr>
            </w:pPr>
            <w:r>
              <w:rPr>
                <w:rFonts w:hint="eastAsia" w:ascii="宋体" w:hAnsi="宋体"/>
                <w:highlight w:val="none"/>
              </w:rPr>
              <w:t>(    )</w:t>
            </w:r>
          </w:p>
        </w:tc>
        <w:tc>
          <w:tcPr>
            <w:tcW w:w="624" w:type="dxa"/>
            <w:tcBorders>
              <w:top w:val="single" w:color="000000" w:sz="4" w:space="0"/>
              <w:left w:val="nil"/>
              <w:bottom w:val="single" w:color="000000" w:sz="4" w:space="0"/>
              <w:right w:val="single" w:color="000000" w:sz="4" w:space="0"/>
            </w:tcBorders>
            <w:vAlign w:val="center"/>
          </w:tcPr>
          <w:p w14:paraId="46CB800C">
            <w:pPr>
              <w:autoSpaceDE w:val="0"/>
              <w:spacing w:line="276" w:lineRule="auto"/>
              <w:rPr>
                <w:rFonts w:ascii="宋体" w:hAnsi="宋体" w:cs="宋体"/>
                <w:szCs w:val="21"/>
                <w:highlight w:val="none"/>
              </w:rPr>
            </w:pPr>
          </w:p>
        </w:tc>
      </w:tr>
      <w:tr w14:paraId="28F02FE1">
        <w:tblPrEx>
          <w:tblCellMar>
            <w:top w:w="0" w:type="dxa"/>
            <w:left w:w="108" w:type="dxa"/>
            <w:bottom w:w="0" w:type="dxa"/>
            <w:right w:w="108" w:type="dxa"/>
          </w:tblCellMar>
        </w:tblPrEx>
        <w:trPr>
          <w:trHeight w:val="270" w:hRule="atLeast"/>
          <w:jc w:val="center"/>
        </w:trPr>
        <w:tc>
          <w:tcPr>
            <w:tcW w:w="6612" w:type="dxa"/>
            <w:tcBorders>
              <w:top w:val="single" w:color="000000" w:sz="4" w:space="0"/>
              <w:left w:val="single" w:color="000000" w:sz="4" w:space="0"/>
              <w:bottom w:val="single" w:color="000000" w:sz="4" w:space="0"/>
              <w:right w:val="single" w:color="000000" w:sz="4" w:space="0"/>
            </w:tcBorders>
            <w:vAlign w:val="center"/>
          </w:tcPr>
          <w:p w14:paraId="704F38D1">
            <w:pPr>
              <w:widowControl/>
              <w:autoSpaceDE w:val="0"/>
              <w:spacing w:line="276" w:lineRule="auto"/>
              <w:jc w:val="left"/>
              <w:textAlignment w:val="center"/>
              <w:rPr>
                <w:rFonts w:ascii="宋体" w:hAnsi="宋体" w:cs="宋体"/>
                <w:szCs w:val="21"/>
                <w:highlight w:val="none"/>
              </w:rPr>
            </w:pPr>
            <w:r>
              <w:rPr>
                <w:rFonts w:hint="eastAsia" w:ascii="宋体" w:hAnsi="宋体"/>
                <w:kern w:val="0"/>
                <w:highlight w:val="none"/>
              </w:rPr>
              <w:t>（三）起重机械安装和拆卸工程。</w:t>
            </w:r>
          </w:p>
        </w:tc>
        <w:tc>
          <w:tcPr>
            <w:tcW w:w="1272" w:type="dxa"/>
            <w:tcBorders>
              <w:top w:val="single" w:color="000000" w:sz="4" w:space="0"/>
              <w:left w:val="nil"/>
              <w:bottom w:val="single" w:color="000000" w:sz="4" w:space="0"/>
              <w:right w:val="single" w:color="000000" w:sz="4" w:space="0"/>
            </w:tcBorders>
            <w:vAlign w:val="center"/>
          </w:tcPr>
          <w:p w14:paraId="2A43984C">
            <w:pPr>
              <w:autoSpaceDE w:val="0"/>
              <w:spacing w:line="276" w:lineRule="auto"/>
              <w:jc w:val="center"/>
              <w:rPr>
                <w:rFonts w:ascii="宋体" w:hAnsi="宋体" w:cs="宋体"/>
                <w:szCs w:val="21"/>
                <w:highlight w:val="none"/>
              </w:rPr>
            </w:pPr>
            <w:r>
              <w:rPr>
                <w:rFonts w:hint="eastAsia" w:ascii="宋体" w:hAnsi="宋体"/>
                <w:highlight w:val="none"/>
              </w:rPr>
              <w:t>(   )</w:t>
            </w:r>
          </w:p>
        </w:tc>
        <w:tc>
          <w:tcPr>
            <w:tcW w:w="1152" w:type="dxa"/>
            <w:tcBorders>
              <w:top w:val="single" w:color="000000" w:sz="4" w:space="0"/>
              <w:left w:val="nil"/>
              <w:bottom w:val="single" w:color="000000" w:sz="4" w:space="0"/>
              <w:right w:val="single" w:color="000000" w:sz="4" w:space="0"/>
            </w:tcBorders>
            <w:vAlign w:val="center"/>
          </w:tcPr>
          <w:p w14:paraId="7E366483">
            <w:pPr>
              <w:autoSpaceDE w:val="0"/>
              <w:spacing w:line="276" w:lineRule="auto"/>
              <w:jc w:val="center"/>
              <w:rPr>
                <w:rFonts w:ascii="宋体" w:hAnsi="宋体" w:cs="宋体"/>
                <w:szCs w:val="21"/>
                <w:highlight w:val="none"/>
              </w:rPr>
            </w:pPr>
            <w:r>
              <w:rPr>
                <w:rFonts w:hint="eastAsia" w:ascii="宋体" w:hAnsi="宋体"/>
                <w:highlight w:val="none"/>
              </w:rPr>
              <w:t>(    )</w:t>
            </w:r>
          </w:p>
        </w:tc>
        <w:tc>
          <w:tcPr>
            <w:tcW w:w="624" w:type="dxa"/>
            <w:tcBorders>
              <w:top w:val="single" w:color="000000" w:sz="4" w:space="0"/>
              <w:left w:val="nil"/>
              <w:bottom w:val="single" w:color="000000" w:sz="4" w:space="0"/>
              <w:right w:val="single" w:color="000000" w:sz="4" w:space="0"/>
            </w:tcBorders>
            <w:vAlign w:val="center"/>
          </w:tcPr>
          <w:p w14:paraId="07BAEBAE">
            <w:pPr>
              <w:autoSpaceDE w:val="0"/>
              <w:spacing w:line="276" w:lineRule="auto"/>
              <w:rPr>
                <w:rFonts w:ascii="宋体" w:hAnsi="宋体" w:cs="宋体"/>
                <w:szCs w:val="21"/>
                <w:highlight w:val="none"/>
              </w:rPr>
            </w:pPr>
          </w:p>
        </w:tc>
      </w:tr>
      <w:tr w14:paraId="634FA437">
        <w:tblPrEx>
          <w:tblCellMar>
            <w:top w:w="0" w:type="dxa"/>
            <w:left w:w="108" w:type="dxa"/>
            <w:bottom w:w="0" w:type="dxa"/>
            <w:right w:w="108" w:type="dxa"/>
          </w:tblCellMar>
        </w:tblPrEx>
        <w:trPr>
          <w:trHeight w:val="270" w:hRule="atLeast"/>
          <w:jc w:val="center"/>
        </w:trPr>
        <w:tc>
          <w:tcPr>
            <w:tcW w:w="6612" w:type="dxa"/>
            <w:tcBorders>
              <w:top w:val="single" w:color="000000" w:sz="4" w:space="0"/>
              <w:left w:val="single" w:color="000000" w:sz="4" w:space="0"/>
              <w:bottom w:val="single" w:color="000000" w:sz="4" w:space="0"/>
              <w:right w:val="single" w:color="000000" w:sz="4" w:space="0"/>
            </w:tcBorders>
            <w:vAlign w:val="center"/>
          </w:tcPr>
          <w:p w14:paraId="21699106">
            <w:pPr>
              <w:widowControl/>
              <w:autoSpaceDE w:val="0"/>
              <w:spacing w:line="276" w:lineRule="auto"/>
              <w:jc w:val="left"/>
              <w:textAlignment w:val="center"/>
              <w:rPr>
                <w:rFonts w:ascii="宋体" w:hAnsi="宋体" w:cs="宋体"/>
                <w:szCs w:val="21"/>
                <w:highlight w:val="none"/>
              </w:rPr>
            </w:pPr>
            <w:r>
              <w:rPr>
                <w:rFonts w:hint="eastAsia" w:ascii="宋体" w:hAnsi="宋体"/>
                <w:kern w:val="0"/>
                <w:highlight w:val="none"/>
              </w:rPr>
              <w:t>四、脚手架工程</w:t>
            </w:r>
          </w:p>
        </w:tc>
        <w:tc>
          <w:tcPr>
            <w:tcW w:w="1272" w:type="dxa"/>
            <w:tcBorders>
              <w:top w:val="single" w:color="000000" w:sz="4" w:space="0"/>
              <w:left w:val="nil"/>
              <w:bottom w:val="single" w:color="000000" w:sz="4" w:space="0"/>
              <w:right w:val="single" w:color="000000" w:sz="4" w:space="0"/>
            </w:tcBorders>
            <w:vAlign w:val="center"/>
          </w:tcPr>
          <w:p w14:paraId="69ED5530">
            <w:pPr>
              <w:autoSpaceDE w:val="0"/>
              <w:spacing w:line="276" w:lineRule="auto"/>
              <w:jc w:val="center"/>
              <w:rPr>
                <w:rFonts w:ascii="宋体" w:hAnsi="宋体" w:cs="宋体"/>
                <w:szCs w:val="21"/>
                <w:highlight w:val="none"/>
              </w:rPr>
            </w:pPr>
            <w:r>
              <w:rPr>
                <w:rFonts w:hint="eastAsia" w:ascii="宋体" w:hAnsi="宋体"/>
                <w:highlight w:val="none"/>
              </w:rPr>
              <w:t>(   )</w:t>
            </w:r>
          </w:p>
        </w:tc>
        <w:tc>
          <w:tcPr>
            <w:tcW w:w="1152" w:type="dxa"/>
            <w:tcBorders>
              <w:top w:val="single" w:color="000000" w:sz="4" w:space="0"/>
              <w:left w:val="nil"/>
              <w:bottom w:val="single" w:color="000000" w:sz="4" w:space="0"/>
              <w:right w:val="single" w:color="000000" w:sz="4" w:space="0"/>
            </w:tcBorders>
            <w:vAlign w:val="center"/>
          </w:tcPr>
          <w:p w14:paraId="50EA139D">
            <w:pPr>
              <w:autoSpaceDE w:val="0"/>
              <w:spacing w:line="276" w:lineRule="auto"/>
              <w:jc w:val="center"/>
              <w:rPr>
                <w:rFonts w:ascii="宋体" w:hAnsi="宋体" w:cs="宋体"/>
                <w:szCs w:val="21"/>
                <w:highlight w:val="none"/>
              </w:rPr>
            </w:pPr>
            <w:r>
              <w:rPr>
                <w:rFonts w:hint="eastAsia" w:ascii="宋体" w:hAnsi="宋体"/>
                <w:highlight w:val="none"/>
              </w:rPr>
              <w:t>(    )</w:t>
            </w:r>
          </w:p>
        </w:tc>
        <w:tc>
          <w:tcPr>
            <w:tcW w:w="624" w:type="dxa"/>
            <w:tcBorders>
              <w:top w:val="single" w:color="000000" w:sz="4" w:space="0"/>
              <w:left w:val="nil"/>
              <w:bottom w:val="single" w:color="000000" w:sz="4" w:space="0"/>
              <w:right w:val="single" w:color="000000" w:sz="4" w:space="0"/>
            </w:tcBorders>
            <w:vAlign w:val="center"/>
          </w:tcPr>
          <w:p w14:paraId="3EFF4D92">
            <w:pPr>
              <w:autoSpaceDE w:val="0"/>
              <w:spacing w:line="276" w:lineRule="auto"/>
              <w:rPr>
                <w:rFonts w:ascii="宋体" w:hAnsi="宋体" w:cs="宋体"/>
                <w:szCs w:val="21"/>
                <w:highlight w:val="none"/>
              </w:rPr>
            </w:pPr>
          </w:p>
        </w:tc>
      </w:tr>
      <w:tr w14:paraId="2067E513">
        <w:tblPrEx>
          <w:tblCellMar>
            <w:top w:w="0" w:type="dxa"/>
            <w:left w:w="108" w:type="dxa"/>
            <w:bottom w:w="0" w:type="dxa"/>
            <w:right w:w="108" w:type="dxa"/>
          </w:tblCellMar>
        </w:tblPrEx>
        <w:trPr>
          <w:trHeight w:val="598" w:hRule="atLeast"/>
          <w:jc w:val="center"/>
        </w:trPr>
        <w:tc>
          <w:tcPr>
            <w:tcW w:w="6612" w:type="dxa"/>
            <w:tcBorders>
              <w:top w:val="single" w:color="000000" w:sz="4" w:space="0"/>
              <w:left w:val="single" w:color="000000" w:sz="4" w:space="0"/>
              <w:bottom w:val="single" w:color="000000" w:sz="4" w:space="0"/>
              <w:right w:val="single" w:color="000000" w:sz="4" w:space="0"/>
            </w:tcBorders>
            <w:vAlign w:val="center"/>
          </w:tcPr>
          <w:p w14:paraId="015BCB72">
            <w:pPr>
              <w:widowControl/>
              <w:autoSpaceDE w:val="0"/>
              <w:spacing w:line="276" w:lineRule="auto"/>
              <w:jc w:val="left"/>
              <w:textAlignment w:val="center"/>
              <w:rPr>
                <w:rFonts w:ascii="宋体" w:hAnsi="宋体" w:cs="宋体"/>
                <w:szCs w:val="21"/>
                <w:highlight w:val="none"/>
              </w:rPr>
            </w:pPr>
            <w:r>
              <w:rPr>
                <w:rFonts w:hint="eastAsia" w:ascii="宋体" w:hAnsi="宋体"/>
                <w:kern w:val="0"/>
                <w:highlight w:val="none"/>
              </w:rPr>
              <w:t>（一）搭设高度24m及以上的落地式钢管脚手架工程（包括采光井、电梯井脚手架）。</w:t>
            </w:r>
          </w:p>
        </w:tc>
        <w:tc>
          <w:tcPr>
            <w:tcW w:w="1272" w:type="dxa"/>
            <w:tcBorders>
              <w:top w:val="single" w:color="000000" w:sz="4" w:space="0"/>
              <w:left w:val="nil"/>
              <w:bottom w:val="single" w:color="000000" w:sz="4" w:space="0"/>
              <w:right w:val="single" w:color="000000" w:sz="4" w:space="0"/>
            </w:tcBorders>
            <w:vAlign w:val="center"/>
          </w:tcPr>
          <w:p w14:paraId="39987263">
            <w:pPr>
              <w:autoSpaceDE w:val="0"/>
              <w:spacing w:line="276" w:lineRule="auto"/>
              <w:jc w:val="center"/>
              <w:rPr>
                <w:rFonts w:ascii="宋体" w:hAnsi="宋体" w:cs="宋体"/>
                <w:szCs w:val="21"/>
                <w:highlight w:val="none"/>
              </w:rPr>
            </w:pPr>
            <w:r>
              <w:rPr>
                <w:rFonts w:hint="eastAsia" w:ascii="宋体" w:hAnsi="宋体"/>
                <w:highlight w:val="none"/>
              </w:rPr>
              <w:t>(   )</w:t>
            </w:r>
          </w:p>
        </w:tc>
        <w:tc>
          <w:tcPr>
            <w:tcW w:w="1152" w:type="dxa"/>
            <w:tcBorders>
              <w:top w:val="single" w:color="000000" w:sz="4" w:space="0"/>
              <w:left w:val="nil"/>
              <w:bottom w:val="single" w:color="000000" w:sz="4" w:space="0"/>
              <w:right w:val="single" w:color="000000" w:sz="4" w:space="0"/>
            </w:tcBorders>
            <w:vAlign w:val="center"/>
          </w:tcPr>
          <w:p w14:paraId="28690C9F">
            <w:pPr>
              <w:autoSpaceDE w:val="0"/>
              <w:spacing w:line="276" w:lineRule="auto"/>
              <w:jc w:val="center"/>
              <w:rPr>
                <w:rFonts w:ascii="宋体" w:hAnsi="宋体" w:cs="宋体"/>
                <w:szCs w:val="21"/>
                <w:highlight w:val="none"/>
              </w:rPr>
            </w:pPr>
            <w:r>
              <w:rPr>
                <w:rFonts w:hint="eastAsia" w:ascii="宋体" w:hAnsi="宋体"/>
                <w:highlight w:val="none"/>
              </w:rPr>
              <w:t>(    )</w:t>
            </w:r>
          </w:p>
        </w:tc>
        <w:tc>
          <w:tcPr>
            <w:tcW w:w="624" w:type="dxa"/>
            <w:tcBorders>
              <w:top w:val="single" w:color="000000" w:sz="4" w:space="0"/>
              <w:left w:val="nil"/>
              <w:bottom w:val="single" w:color="000000" w:sz="4" w:space="0"/>
              <w:right w:val="single" w:color="000000" w:sz="4" w:space="0"/>
            </w:tcBorders>
            <w:vAlign w:val="center"/>
          </w:tcPr>
          <w:p w14:paraId="6115E7BB">
            <w:pPr>
              <w:autoSpaceDE w:val="0"/>
              <w:spacing w:line="276" w:lineRule="auto"/>
              <w:rPr>
                <w:rFonts w:ascii="宋体" w:hAnsi="宋体" w:cs="宋体"/>
                <w:szCs w:val="21"/>
                <w:highlight w:val="none"/>
              </w:rPr>
            </w:pPr>
          </w:p>
        </w:tc>
      </w:tr>
      <w:tr w14:paraId="7325D29E">
        <w:tblPrEx>
          <w:tblCellMar>
            <w:top w:w="0" w:type="dxa"/>
            <w:left w:w="108" w:type="dxa"/>
            <w:bottom w:w="0" w:type="dxa"/>
            <w:right w:w="108" w:type="dxa"/>
          </w:tblCellMar>
        </w:tblPrEx>
        <w:trPr>
          <w:trHeight w:val="270" w:hRule="atLeast"/>
          <w:jc w:val="center"/>
        </w:trPr>
        <w:tc>
          <w:tcPr>
            <w:tcW w:w="6612" w:type="dxa"/>
            <w:tcBorders>
              <w:top w:val="single" w:color="000000" w:sz="4" w:space="0"/>
              <w:left w:val="single" w:color="000000" w:sz="4" w:space="0"/>
              <w:bottom w:val="single" w:color="000000" w:sz="4" w:space="0"/>
              <w:right w:val="single" w:color="000000" w:sz="4" w:space="0"/>
            </w:tcBorders>
            <w:vAlign w:val="center"/>
          </w:tcPr>
          <w:p w14:paraId="4CCBD235">
            <w:pPr>
              <w:widowControl/>
              <w:autoSpaceDE w:val="0"/>
              <w:spacing w:line="276" w:lineRule="auto"/>
              <w:jc w:val="left"/>
              <w:textAlignment w:val="center"/>
              <w:rPr>
                <w:rFonts w:ascii="宋体" w:hAnsi="宋体" w:cs="宋体"/>
                <w:szCs w:val="21"/>
                <w:highlight w:val="none"/>
              </w:rPr>
            </w:pPr>
            <w:r>
              <w:rPr>
                <w:rFonts w:hint="eastAsia" w:ascii="宋体" w:hAnsi="宋体"/>
                <w:kern w:val="0"/>
                <w:highlight w:val="none"/>
              </w:rPr>
              <w:t>（二）附着式升降脚手架工程。</w:t>
            </w:r>
          </w:p>
        </w:tc>
        <w:tc>
          <w:tcPr>
            <w:tcW w:w="1272" w:type="dxa"/>
            <w:tcBorders>
              <w:top w:val="single" w:color="000000" w:sz="4" w:space="0"/>
              <w:left w:val="nil"/>
              <w:bottom w:val="single" w:color="000000" w:sz="4" w:space="0"/>
              <w:right w:val="single" w:color="000000" w:sz="4" w:space="0"/>
            </w:tcBorders>
            <w:vAlign w:val="center"/>
          </w:tcPr>
          <w:p w14:paraId="424C1FF5">
            <w:pPr>
              <w:autoSpaceDE w:val="0"/>
              <w:spacing w:line="276" w:lineRule="auto"/>
              <w:jc w:val="center"/>
              <w:rPr>
                <w:rFonts w:ascii="宋体" w:hAnsi="宋体" w:cs="宋体"/>
                <w:szCs w:val="21"/>
                <w:highlight w:val="none"/>
              </w:rPr>
            </w:pPr>
            <w:r>
              <w:rPr>
                <w:rFonts w:hint="eastAsia" w:ascii="宋体" w:hAnsi="宋体"/>
                <w:highlight w:val="none"/>
              </w:rPr>
              <w:t>(   )</w:t>
            </w:r>
          </w:p>
        </w:tc>
        <w:tc>
          <w:tcPr>
            <w:tcW w:w="1152" w:type="dxa"/>
            <w:tcBorders>
              <w:top w:val="single" w:color="000000" w:sz="4" w:space="0"/>
              <w:left w:val="nil"/>
              <w:bottom w:val="single" w:color="000000" w:sz="4" w:space="0"/>
              <w:right w:val="single" w:color="000000" w:sz="4" w:space="0"/>
            </w:tcBorders>
            <w:vAlign w:val="center"/>
          </w:tcPr>
          <w:p w14:paraId="7D72D8A3">
            <w:pPr>
              <w:autoSpaceDE w:val="0"/>
              <w:spacing w:line="276" w:lineRule="auto"/>
              <w:jc w:val="center"/>
              <w:rPr>
                <w:rFonts w:ascii="宋体" w:hAnsi="宋体" w:cs="宋体"/>
                <w:szCs w:val="21"/>
                <w:highlight w:val="none"/>
              </w:rPr>
            </w:pPr>
            <w:r>
              <w:rPr>
                <w:rFonts w:hint="eastAsia" w:ascii="宋体" w:hAnsi="宋体"/>
                <w:highlight w:val="none"/>
              </w:rPr>
              <w:t>(    )</w:t>
            </w:r>
          </w:p>
        </w:tc>
        <w:tc>
          <w:tcPr>
            <w:tcW w:w="624" w:type="dxa"/>
            <w:tcBorders>
              <w:top w:val="single" w:color="000000" w:sz="4" w:space="0"/>
              <w:left w:val="nil"/>
              <w:bottom w:val="single" w:color="000000" w:sz="4" w:space="0"/>
              <w:right w:val="single" w:color="000000" w:sz="4" w:space="0"/>
            </w:tcBorders>
            <w:vAlign w:val="center"/>
          </w:tcPr>
          <w:p w14:paraId="39EDCEDD">
            <w:pPr>
              <w:autoSpaceDE w:val="0"/>
              <w:spacing w:line="276" w:lineRule="auto"/>
              <w:rPr>
                <w:rFonts w:ascii="宋体" w:hAnsi="宋体" w:cs="宋体"/>
                <w:szCs w:val="21"/>
                <w:highlight w:val="none"/>
              </w:rPr>
            </w:pPr>
          </w:p>
        </w:tc>
      </w:tr>
      <w:tr w14:paraId="730B976B">
        <w:tblPrEx>
          <w:tblCellMar>
            <w:top w:w="0" w:type="dxa"/>
            <w:left w:w="108" w:type="dxa"/>
            <w:bottom w:w="0" w:type="dxa"/>
            <w:right w:w="108" w:type="dxa"/>
          </w:tblCellMar>
        </w:tblPrEx>
        <w:trPr>
          <w:trHeight w:val="270" w:hRule="atLeast"/>
          <w:jc w:val="center"/>
        </w:trPr>
        <w:tc>
          <w:tcPr>
            <w:tcW w:w="6612" w:type="dxa"/>
            <w:tcBorders>
              <w:top w:val="single" w:color="000000" w:sz="4" w:space="0"/>
              <w:left w:val="single" w:color="000000" w:sz="4" w:space="0"/>
              <w:bottom w:val="single" w:color="000000" w:sz="4" w:space="0"/>
              <w:right w:val="single" w:color="000000" w:sz="4" w:space="0"/>
            </w:tcBorders>
            <w:vAlign w:val="center"/>
          </w:tcPr>
          <w:p w14:paraId="0D0DEB8A">
            <w:pPr>
              <w:widowControl/>
              <w:autoSpaceDE w:val="0"/>
              <w:spacing w:line="276" w:lineRule="auto"/>
              <w:jc w:val="left"/>
              <w:textAlignment w:val="center"/>
              <w:rPr>
                <w:rFonts w:ascii="宋体" w:hAnsi="宋体" w:cs="宋体"/>
                <w:szCs w:val="21"/>
                <w:highlight w:val="none"/>
              </w:rPr>
            </w:pPr>
            <w:r>
              <w:rPr>
                <w:rFonts w:hint="eastAsia" w:ascii="宋体" w:hAnsi="宋体"/>
                <w:kern w:val="0"/>
                <w:highlight w:val="none"/>
              </w:rPr>
              <w:t>（三）悬挑式脚手架工程。</w:t>
            </w:r>
          </w:p>
        </w:tc>
        <w:tc>
          <w:tcPr>
            <w:tcW w:w="1272" w:type="dxa"/>
            <w:tcBorders>
              <w:top w:val="single" w:color="000000" w:sz="4" w:space="0"/>
              <w:left w:val="nil"/>
              <w:bottom w:val="single" w:color="000000" w:sz="4" w:space="0"/>
              <w:right w:val="single" w:color="000000" w:sz="4" w:space="0"/>
            </w:tcBorders>
            <w:vAlign w:val="center"/>
          </w:tcPr>
          <w:p w14:paraId="6A11D596">
            <w:pPr>
              <w:autoSpaceDE w:val="0"/>
              <w:spacing w:line="276" w:lineRule="auto"/>
              <w:jc w:val="center"/>
              <w:rPr>
                <w:rFonts w:ascii="宋体" w:hAnsi="宋体" w:cs="宋体"/>
                <w:szCs w:val="21"/>
                <w:highlight w:val="none"/>
              </w:rPr>
            </w:pPr>
            <w:r>
              <w:rPr>
                <w:rFonts w:hint="eastAsia" w:ascii="宋体" w:hAnsi="宋体"/>
                <w:highlight w:val="none"/>
              </w:rPr>
              <w:t>(   )</w:t>
            </w:r>
          </w:p>
        </w:tc>
        <w:tc>
          <w:tcPr>
            <w:tcW w:w="1152" w:type="dxa"/>
            <w:tcBorders>
              <w:top w:val="single" w:color="000000" w:sz="4" w:space="0"/>
              <w:left w:val="nil"/>
              <w:bottom w:val="single" w:color="000000" w:sz="4" w:space="0"/>
              <w:right w:val="single" w:color="000000" w:sz="4" w:space="0"/>
            </w:tcBorders>
            <w:vAlign w:val="center"/>
          </w:tcPr>
          <w:p w14:paraId="493BCE22">
            <w:pPr>
              <w:autoSpaceDE w:val="0"/>
              <w:spacing w:line="276" w:lineRule="auto"/>
              <w:jc w:val="center"/>
              <w:rPr>
                <w:rFonts w:ascii="宋体" w:hAnsi="宋体" w:cs="宋体"/>
                <w:szCs w:val="21"/>
                <w:highlight w:val="none"/>
              </w:rPr>
            </w:pPr>
            <w:r>
              <w:rPr>
                <w:rFonts w:hint="eastAsia" w:ascii="宋体" w:hAnsi="宋体"/>
                <w:highlight w:val="none"/>
              </w:rPr>
              <w:t>(    )</w:t>
            </w:r>
          </w:p>
        </w:tc>
        <w:tc>
          <w:tcPr>
            <w:tcW w:w="624" w:type="dxa"/>
            <w:tcBorders>
              <w:top w:val="single" w:color="000000" w:sz="4" w:space="0"/>
              <w:left w:val="nil"/>
              <w:bottom w:val="single" w:color="000000" w:sz="4" w:space="0"/>
              <w:right w:val="single" w:color="000000" w:sz="4" w:space="0"/>
            </w:tcBorders>
            <w:vAlign w:val="center"/>
          </w:tcPr>
          <w:p w14:paraId="165FC4BF">
            <w:pPr>
              <w:autoSpaceDE w:val="0"/>
              <w:spacing w:line="276" w:lineRule="auto"/>
              <w:rPr>
                <w:rFonts w:ascii="宋体" w:hAnsi="宋体" w:cs="宋体"/>
                <w:szCs w:val="21"/>
                <w:highlight w:val="none"/>
              </w:rPr>
            </w:pPr>
          </w:p>
        </w:tc>
      </w:tr>
      <w:tr w14:paraId="20DC2E35">
        <w:tblPrEx>
          <w:tblCellMar>
            <w:top w:w="0" w:type="dxa"/>
            <w:left w:w="108" w:type="dxa"/>
            <w:bottom w:w="0" w:type="dxa"/>
            <w:right w:w="108" w:type="dxa"/>
          </w:tblCellMar>
        </w:tblPrEx>
        <w:trPr>
          <w:trHeight w:val="270" w:hRule="atLeast"/>
          <w:jc w:val="center"/>
        </w:trPr>
        <w:tc>
          <w:tcPr>
            <w:tcW w:w="6612" w:type="dxa"/>
            <w:tcBorders>
              <w:top w:val="single" w:color="000000" w:sz="4" w:space="0"/>
              <w:left w:val="single" w:color="000000" w:sz="4" w:space="0"/>
              <w:bottom w:val="single" w:color="000000" w:sz="4" w:space="0"/>
              <w:right w:val="single" w:color="000000" w:sz="4" w:space="0"/>
            </w:tcBorders>
            <w:vAlign w:val="center"/>
          </w:tcPr>
          <w:p w14:paraId="1EBCE161">
            <w:pPr>
              <w:widowControl/>
              <w:autoSpaceDE w:val="0"/>
              <w:spacing w:line="276" w:lineRule="auto"/>
              <w:jc w:val="left"/>
              <w:textAlignment w:val="center"/>
              <w:rPr>
                <w:rFonts w:ascii="宋体" w:hAnsi="宋体" w:cs="宋体"/>
                <w:szCs w:val="21"/>
                <w:highlight w:val="none"/>
              </w:rPr>
            </w:pPr>
            <w:r>
              <w:rPr>
                <w:rFonts w:hint="eastAsia" w:ascii="宋体" w:hAnsi="宋体"/>
                <w:kern w:val="0"/>
                <w:highlight w:val="none"/>
              </w:rPr>
              <w:t>（四）高处作业吊篮。</w:t>
            </w:r>
          </w:p>
        </w:tc>
        <w:tc>
          <w:tcPr>
            <w:tcW w:w="1272" w:type="dxa"/>
            <w:tcBorders>
              <w:top w:val="single" w:color="000000" w:sz="4" w:space="0"/>
              <w:left w:val="nil"/>
              <w:bottom w:val="single" w:color="000000" w:sz="4" w:space="0"/>
              <w:right w:val="single" w:color="000000" w:sz="4" w:space="0"/>
            </w:tcBorders>
            <w:vAlign w:val="center"/>
          </w:tcPr>
          <w:p w14:paraId="4F1F034E">
            <w:pPr>
              <w:autoSpaceDE w:val="0"/>
              <w:spacing w:line="276" w:lineRule="auto"/>
              <w:jc w:val="center"/>
              <w:rPr>
                <w:rFonts w:ascii="宋体" w:hAnsi="宋体" w:cs="宋体"/>
                <w:szCs w:val="21"/>
                <w:highlight w:val="none"/>
              </w:rPr>
            </w:pPr>
            <w:r>
              <w:rPr>
                <w:rFonts w:hint="eastAsia" w:ascii="宋体" w:hAnsi="宋体"/>
                <w:highlight w:val="none"/>
              </w:rPr>
              <w:t>(   )</w:t>
            </w:r>
          </w:p>
        </w:tc>
        <w:tc>
          <w:tcPr>
            <w:tcW w:w="1152" w:type="dxa"/>
            <w:tcBorders>
              <w:top w:val="single" w:color="000000" w:sz="4" w:space="0"/>
              <w:left w:val="nil"/>
              <w:bottom w:val="single" w:color="000000" w:sz="4" w:space="0"/>
              <w:right w:val="single" w:color="000000" w:sz="4" w:space="0"/>
            </w:tcBorders>
            <w:vAlign w:val="center"/>
          </w:tcPr>
          <w:p w14:paraId="73CEA299">
            <w:pPr>
              <w:autoSpaceDE w:val="0"/>
              <w:spacing w:line="276" w:lineRule="auto"/>
              <w:jc w:val="center"/>
              <w:rPr>
                <w:rFonts w:ascii="宋体" w:hAnsi="宋体" w:cs="宋体"/>
                <w:szCs w:val="21"/>
                <w:highlight w:val="none"/>
              </w:rPr>
            </w:pPr>
            <w:r>
              <w:rPr>
                <w:rFonts w:hint="eastAsia" w:ascii="宋体" w:hAnsi="宋体"/>
                <w:highlight w:val="none"/>
              </w:rPr>
              <w:t>(    )</w:t>
            </w:r>
          </w:p>
        </w:tc>
        <w:tc>
          <w:tcPr>
            <w:tcW w:w="624" w:type="dxa"/>
            <w:tcBorders>
              <w:top w:val="single" w:color="000000" w:sz="4" w:space="0"/>
              <w:left w:val="nil"/>
              <w:bottom w:val="single" w:color="000000" w:sz="4" w:space="0"/>
              <w:right w:val="single" w:color="000000" w:sz="4" w:space="0"/>
            </w:tcBorders>
            <w:vAlign w:val="center"/>
          </w:tcPr>
          <w:p w14:paraId="5940AA90">
            <w:pPr>
              <w:autoSpaceDE w:val="0"/>
              <w:spacing w:line="276" w:lineRule="auto"/>
              <w:rPr>
                <w:rFonts w:ascii="宋体" w:hAnsi="宋体" w:cs="宋体"/>
                <w:szCs w:val="21"/>
                <w:highlight w:val="none"/>
              </w:rPr>
            </w:pPr>
          </w:p>
        </w:tc>
      </w:tr>
      <w:tr w14:paraId="43B0618B">
        <w:tblPrEx>
          <w:tblCellMar>
            <w:top w:w="0" w:type="dxa"/>
            <w:left w:w="108" w:type="dxa"/>
            <w:bottom w:w="0" w:type="dxa"/>
            <w:right w:w="108" w:type="dxa"/>
          </w:tblCellMar>
        </w:tblPrEx>
        <w:trPr>
          <w:trHeight w:val="270" w:hRule="atLeast"/>
          <w:jc w:val="center"/>
        </w:trPr>
        <w:tc>
          <w:tcPr>
            <w:tcW w:w="6612" w:type="dxa"/>
            <w:tcBorders>
              <w:top w:val="single" w:color="000000" w:sz="4" w:space="0"/>
              <w:left w:val="single" w:color="000000" w:sz="4" w:space="0"/>
              <w:bottom w:val="single" w:color="000000" w:sz="4" w:space="0"/>
              <w:right w:val="single" w:color="000000" w:sz="4" w:space="0"/>
            </w:tcBorders>
            <w:vAlign w:val="center"/>
          </w:tcPr>
          <w:p w14:paraId="39E55D34">
            <w:pPr>
              <w:widowControl/>
              <w:autoSpaceDE w:val="0"/>
              <w:spacing w:line="276" w:lineRule="auto"/>
              <w:jc w:val="left"/>
              <w:textAlignment w:val="center"/>
              <w:rPr>
                <w:rFonts w:ascii="宋体" w:hAnsi="宋体" w:cs="宋体"/>
                <w:szCs w:val="21"/>
                <w:highlight w:val="none"/>
              </w:rPr>
            </w:pPr>
            <w:r>
              <w:rPr>
                <w:rFonts w:hint="eastAsia" w:ascii="宋体" w:hAnsi="宋体"/>
                <w:kern w:val="0"/>
                <w:highlight w:val="none"/>
              </w:rPr>
              <w:t>（五）卸料平台、操作平台工程。</w:t>
            </w:r>
          </w:p>
        </w:tc>
        <w:tc>
          <w:tcPr>
            <w:tcW w:w="1272" w:type="dxa"/>
            <w:tcBorders>
              <w:top w:val="single" w:color="000000" w:sz="4" w:space="0"/>
              <w:left w:val="nil"/>
              <w:bottom w:val="single" w:color="000000" w:sz="4" w:space="0"/>
              <w:right w:val="single" w:color="000000" w:sz="4" w:space="0"/>
            </w:tcBorders>
            <w:vAlign w:val="center"/>
          </w:tcPr>
          <w:p w14:paraId="2F356557">
            <w:pPr>
              <w:autoSpaceDE w:val="0"/>
              <w:spacing w:line="276" w:lineRule="auto"/>
              <w:jc w:val="center"/>
              <w:rPr>
                <w:rFonts w:ascii="宋体" w:hAnsi="宋体" w:cs="宋体"/>
                <w:szCs w:val="21"/>
                <w:highlight w:val="none"/>
              </w:rPr>
            </w:pPr>
            <w:r>
              <w:rPr>
                <w:rFonts w:hint="eastAsia" w:ascii="宋体" w:hAnsi="宋体"/>
                <w:highlight w:val="none"/>
              </w:rPr>
              <w:t>(   )</w:t>
            </w:r>
          </w:p>
        </w:tc>
        <w:tc>
          <w:tcPr>
            <w:tcW w:w="1152" w:type="dxa"/>
            <w:tcBorders>
              <w:top w:val="single" w:color="000000" w:sz="4" w:space="0"/>
              <w:left w:val="nil"/>
              <w:bottom w:val="single" w:color="000000" w:sz="4" w:space="0"/>
              <w:right w:val="single" w:color="000000" w:sz="4" w:space="0"/>
            </w:tcBorders>
            <w:vAlign w:val="center"/>
          </w:tcPr>
          <w:p w14:paraId="2E7D7F17">
            <w:pPr>
              <w:autoSpaceDE w:val="0"/>
              <w:spacing w:line="276" w:lineRule="auto"/>
              <w:jc w:val="center"/>
              <w:rPr>
                <w:rFonts w:ascii="宋体" w:hAnsi="宋体" w:cs="宋体"/>
                <w:szCs w:val="21"/>
                <w:highlight w:val="none"/>
              </w:rPr>
            </w:pPr>
            <w:r>
              <w:rPr>
                <w:rFonts w:hint="eastAsia" w:ascii="宋体" w:hAnsi="宋体"/>
                <w:highlight w:val="none"/>
              </w:rPr>
              <w:t>(    )</w:t>
            </w:r>
          </w:p>
        </w:tc>
        <w:tc>
          <w:tcPr>
            <w:tcW w:w="624" w:type="dxa"/>
            <w:tcBorders>
              <w:top w:val="single" w:color="000000" w:sz="4" w:space="0"/>
              <w:left w:val="nil"/>
              <w:bottom w:val="single" w:color="000000" w:sz="4" w:space="0"/>
              <w:right w:val="single" w:color="000000" w:sz="4" w:space="0"/>
            </w:tcBorders>
            <w:vAlign w:val="center"/>
          </w:tcPr>
          <w:p w14:paraId="1F816FF2">
            <w:pPr>
              <w:autoSpaceDE w:val="0"/>
              <w:spacing w:line="276" w:lineRule="auto"/>
              <w:rPr>
                <w:rFonts w:ascii="宋体" w:hAnsi="宋体" w:cs="宋体"/>
                <w:szCs w:val="21"/>
                <w:highlight w:val="none"/>
              </w:rPr>
            </w:pPr>
          </w:p>
        </w:tc>
      </w:tr>
      <w:tr w14:paraId="559905AC">
        <w:tblPrEx>
          <w:tblCellMar>
            <w:top w:w="0" w:type="dxa"/>
            <w:left w:w="108" w:type="dxa"/>
            <w:bottom w:w="0" w:type="dxa"/>
            <w:right w:w="108" w:type="dxa"/>
          </w:tblCellMar>
        </w:tblPrEx>
        <w:trPr>
          <w:trHeight w:val="270" w:hRule="atLeast"/>
          <w:jc w:val="center"/>
        </w:trPr>
        <w:tc>
          <w:tcPr>
            <w:tcW w:w="6612" w:type="dxa"/>
            <w:tcBorders>
              <w:top w:val="single" w:color="000000" w:sz="4" w:space="0"/>
              <w:left w:val="single" w:color="000000" w:sz="4" w:space="0"/>
              <w:bottom w:val="single" w:color="000000" w:sz="4" w:space="0"/>
              <w:right w:val="single" w:color="000000" w:sz="4" w:space="0"/>
            </w:tcBorders>
            <w:vAlign w:val="center"/>
          </w:tcPr>
          <w:p w14:paraId="609AE809">
            <w:pPr>
              <w:widowControl/>
              <w:autoSpaceDE w:val="0"/>
              <w:spacing w:line="276" w:lineRule="auto"/>
              <w:jc w:val="left"/>
              <w:textAlignment w:val="center"/>
              <w:rPr>
                <w:rFonts w:ascii="宋体" w:hAnsi="宋体" w:cs="宋体"/>
                <w:szCs w:val="21"/>
                <w:highlight w:val="none"/>
              </w:rPr>
            </w:pPr>
            <w:r>
              <w:rPr>
                <w:rFonts w:hint="eastAsia" w:ascii="宋体" w:hAnsi="宋体"/>
                <w:kern w:val="0"/>
                <w:highlight w:val="none"/>
              </w:rPr>
              <w:t>（六）异型脚手架工程。</w:t>
            </w:r>
          </w:p>
        </w:tc>
        <w:tc>
          <w:tcPr>
            <w:tcW w:w="1272" w:type="dxa"/>
            <w:tcBorders>
              <w:top w:val="single" w:color="000000" w:sz="4" w:space="0"/>
              <w:left w:val="nil"/>
              <w:bottom w:val="single" w:color="000000" w:sz="4" w:space="0"/>
              <w:right w:val="single" w:color="000000" w:sz="4" w:space="0"/>
            </w:tcBorders>
            <w:vAlign w:val="center"/>
          </w:tcPr>
          <w:p w14:paraId="31C4999B">
            <w:pPr>
              <w:autoSpaceDE w:val="0"/>
              <w:spacing w:line="276" w:lineRule="auto"/>
              <w:jc w:val="center"/>
              <w:rPr>
                <w:rFonts w:ascii="宋体" w:hAnsi="宋体" w:cs="宋体"/>
                <w:szCs w:val="21"/>
                <w:highlight w:val="none"/>
              </w:rPr>
            </w:pPr>
            <w:r>
              <w:rPr>
                <w:rFonts w:hint="eastAsia" w:ascii="宋体" w:hAnsi="宋体"/>
                <w:highlight w:val="none"/>
              </w:rPr>
              <w:t>(   )</w:t>
            </w:r>
          </w:p>
        </w:tc>
        <w:tc>
          <w:tcPr>
            <w:tcW w:w="1152" w:type="dxa"/>
            <w:tcBorders>
              <w:top w:val="single" w:color="000000" w:sz="4" w:space="0"/>
              <w:left w:val="nil"/>
              <w:bottom w:val="single" w:color="000000" w:sz="4" w:space="0"/>
              <w:right w:val="single" w:color="000000" w:sz="4" w:space="0"/>
            </w:tcBorders>
            <w:vAlign w:val="center"/>
          </w:tcPr>
          <w:p w14:paraId="5E459E35">
            <w:pPr>
              <w:autoSpaceDE w:val="0"/>
              <w:spacing w:line="276" w:lineRule="auto"/>
              <w:jc w:val="center"/>
              <w:rPr>
                <w:rFonts w:ascii="宋体" w:hAnsi="宋体" w:cs="宋体"/>
                <w:szCs w:val="21"/>
                <w:highlight w:val="none"/>
              </w:rPr>
            </w:pPr>
            <w:r>
              <w:rPr>
                <w:rFonts w:hint="eastAsia" w:ascii="宋体" w:hAnsi="宋体"/>
                <w:highlight w:val="none"/>
              </w:rPr>
              <w:t>(    )</w:t>
            </w:r>
          </w:p>
        </w:tc>
        <w:tc>
          <w:tcPr>
            <w:tcW w:w="624" w:type="dxa"/>
            <w:tcBorders>
              <w:top w:val="single" w:color="000000" w:sz="4" w:space="0"/>
              <w:left w:val="nil"/>
              <w:bottom w:val="single" w:color="000000" w:sz="4" w:space="0"/>
              <w:right w:val="single" w:color="000000" w:sz="4" w:space="0"/>
            </w:tcBorders>
            <w:vAlign w:val="center"/>
          </w:tcPr>
          <w:p w14:paraId="2FD33B5C">
            <w:pPr>
              <w:autoSpaceDE w:val="0"/>
              <w:spacing w:line="276" w:lineRule="auto"/>
              <w:rPr>
                <w:rFonts w:ascii="宋体" w:hAnsi="宋体" w:cs="宋体"/>
                <w:szCs w:val="21"/>
                <w:highlight w:val="none"/>
              </w:rPr>
            </w:pPr>
          </w:p>
        </w:tc>
      </w:tr>
      <w:tr w14:paraId="6EE928BF">
        <w:tblPrEx>
          <w:tblCellMar>
            <w:top w:w="0" w:type="dxa"/>
            <w:left w:w="108" w:type="dxa"/>
            <w:bottom w:w="0" w:type="dxa"/>
            <w:right w:w="108" w:type="dxa"/>
          </w:tblCellMar>
        </w:tblPrEx>
        <w:trPr>
          <w:trHeight w:val="270" w:hRule="atLeast"/>
          <w:jc w:val="center"/>
        </w:trPr>
        <w:tc>
          <w:tcPr>
            <w:tcW w:w="6612" w:type="dxa"/>
            <w:tcBorders>
              <w:top w:val="single" w:color="000000" w:sz="4" w:space="0"/>
              <w:left w:val="single" w:color="000000" w:sz="4" w:space="0"/>
              <w:bottom w:val="single" w:color="000000" w:sz="4" w:space="0"/>
              <w:right w:val="single" w:color="000000" w:sz="4" w:space="0"/>
            </w:tcBorders>
            <w:vAlign w:val="center"/>
          </w:tcPr>
          <w:p w14:paraId="6A7B7BBC">
            <w:pPr>
              <w:widowControl/>
              <w:autoSpaceDE w:val="0"/>
              <w:spacing w:line="276" w:lineRule="auto"/>
              <w:jc w:val="left"/>
              <w:textAlignment w:val="center"/>
              <w:rPr>
                <w:rFonts w:ascii="宋体" w:hAnsi="宋体" w:cs="宋体"/>
                <w:szCs w:val="21"/>
                <w:highlight w:val="none"/>
              </w:rPr>
            </w:pPr>
            <w:r>
              <w:rPr>
                <w:rFonts w:hint="eastAsia" w:ascii="宋体" w:hAnsi="宋体"/>
                <w:kern w:val="0"/>
                <w:highlight w:val="none"/>
              </w:rPr>
              <w:t>五、拆除工程</w:t>
            </w:r>
          </w:p>
        </w:tc>
        <w:tc>
          <w:tcPr>
            <w:tcW w:w="1272" w:type="dxa"/>
            <w:tcBorders>
              <w:top w:val="single" w:color="000000" w:sz="4" w:space="0"/>
              <w:left w:val="nil"/>
              <w:bottom w:val="single" w:color="000000" w:sz="4" w:space="0"/>
              <w:right w:val="single" w:color="000000" w:sz="4" w:space="0"/>
            </w:tcBorders>
            <w:vAlign w:val="center"/>
          </w:tcPr>
          <w:p w14:paraId="1E46DCDA">
            <w:pPr>
              <w:autoSpaceDE w:val="0"/>
              <w:spacing w:line="276" w:lineRule="auto"/>
              <w:jc w:val="center"/>
              <w:rPr>
                <w:rFonts w:ascii="宋体" w:hAnsi="宋体" w:cs="宋体"/>
                <w:szCs w:val="21"/>
                <w:highlight w:val="none"/>
              </w:rPr>
            </w:pPr>
            <w:r>
              <w:rPr>
                <w:rFonts w:hint="eastAsia" w:ascii="宋体" w:hAnsi="宋体"/>
                <w:highlight w:val="none"/>
              </w:rPr>
              <w:t>(   )</w:t>
            </w:r>
          </w:p>
        </w:tc>
        <w:tc>
          <w:tcPr>
            <w:tcW w:w="1152" w:type="dxa"/>
            <w:tcBorders>
              <w:top w:val="single" w:color="000000" w:sz="4" w:space="0"/>
              <w:left w:val="nil"/>
              <w:bottom w:val="single" w:color="000000" w:sz="4" w:space="0"/>
              <w:right w:val="single" w:color="000000" w:sz="4" w:space="0"/>
            </w:tcBorders>
            <w:vAlign w:val="center"/>
          </w:tcPr>
          <w:p w14:paraId="1F934CD9">
            <w:pPr>
              <w:autoSpaceDE w:val="0"/>
              <w:spacing w:line="276" w:lineRule="auto"/>
              <w:jc w:val="center"/>
              <w:rPr>
                <w:rFonts w:ascii="宋体" w:hAnsi="宋体" w:cs="宋体"/>
                <w:szCs w:val="21"/>
                <w:highlight w:val="none"/>
              </w:rPr>
            </w:pPr>
            <w:r>
              <w:rPr>
                <w:rFonts w:hint="eastAsia" w:ascii="宋体" w:hAnsi="宋体"/>
                <w:highlight w:val="none"/>
              </w:rPr>
              <w:t>(    )</w:t>
            </w:r>
          </w:p>
        </w:tc>
        <w:tc>
          <w:tcPr>
            <w:tcW w:w="624" w:type="dxa"/>
            <w:tcBorders>
              <w:top w:val="single" w:color="000000" w:sz="4" w:space="0"/>
              <w:left w:val="nil"/>
              <w:bottom w:val="single" w:color="000000" w:sz="4" w:space="0"/>
              <w:right w:val="single" w:color="000000" w:sz="4" w:space="0"/>
            </w:tcBorders>
            <w:vAlign w:val="center"/>
          </w:tcPr>
          <w:p w14:paraId="70F7D667">
            <w:pPr>
              <w:autoSpaceDE w:val="0"/>
              <w:spacing w:line="276" w:lineRule="auto"/>
              <w:rPr>
                <w:rFonts w:ascii="宋体" w:hAnsi="宋体" w:cs="宋体"/>
                <w:szCs w:val="21"/>
                <w:highlight w:val="none"/>
              </w:rPr>
            </w:pPr>
          </w:p>
        </w:tc>
      </w:tr>
      <w:tr w14:paraId="5BD76F86">
        <w:tblPrEx>
          <w:tblCellMar>
            <w:top w:w="0" w:type="dxa"/>
            <w:left w:w="108" w:type="dxa"/>
            <w:bottom w:w="0" w:type="dxa"/>
            <w:right w:w="108" w:type="dxa"/>
          </w:tblCellMar>
        </w:tblPrEx>
        <w:trPr>
          <w:trHeight w:val="260" w:hRule="atLeast"/>
          <w:jc w:val="center"/>
        </w:trPr>
        <w:tc>
          <w:tcPr>
            <w:tcW w:w="6612" w:type="dxa"/>
            <w:tcBorders>
              <w:top w:val="single" w:color="000000" w:sz="4" w:space="0"/>
              <w:left w:val="single" w:color="000000" w:sz="4" w:space="0"/>
              <w:bottom w:val="single" w:color="000000" w:sz="4" w:space="0"/>
              <w:right w:val="single" w:color="000000" w:sz="4" w:space="0"/>
            </w:tcBorders>
            <w:vAlign w:val="center"/>
          </w:tcPr>
          <w:p w14:paraId="01CD26FE">
            <w:pPr>
              <w:widowControl/>
              <w:autoSpaceDE w:val="0"/>
              <w:spacing w:line="276" w:lineRule="auto"/>
              <w:jc w:val="left"/>
              <w:textAlignment w:val="center"/>
              <w:rPr>
                <w:rFonts w:ascii="宋体" w:hAnsi="宋体" w:cs="宋体"/>
                <w:szCs w:val="21"/>
                <w:highlight w:val="none"/>
              </w:rPr>
            </w:pPr>
            <w:r>
              <w:rPr>
                <w:rFonts w:hint="eastAsia" w:ascii="宋体" w:hAnsi="宋体"/>
                <w:kern w:val="0"/>
                <w:highlight w:val="none"/>
              </w:rPr>
              <w:t>可能影响行人、交通、电力设施、通讯设施或其它建、构筑物安全的拆除工程。</w:t>
            </w:r>
          </w:p>
        </w:tc>
        <w:tc>
          <w:tcPr>
            <w:tcW w:w="1272" w:type="dxa"/>
            <w:tcBorders>
              <w:top w:val="single" w:color="000000" w:sz="4" w:space="0"/>
              <w:left w:val="nil"/>
              <w:bottom w:val="single" w:color="000000" w:sz="4" w:space="0"/>
              <w:right w:val="single" w:color="000000" w:sz="4" w:space="0"/>
            </w:tcBorders>
            <w:vAlign w:val="center"/>
          </w:tcPr>
          <w:p w14:paraId="365D9EA3">
            <w:pPr>
              <w:autoSpaceDE w:val="0"/>
              <w:spacing w:line="276" w:lineRule="auto"/>
              <w:jc w:val="center"/>
              <w:rPr>
                <w:rFonts w:ascii="宋体" w:hAnsi="宋体" w:cs="宋体"/>
                <w:szCs w:val="21"/>
                <w:highlight w:val="none"/>
              </w:rPr>
            </w:pPr>
            <w:r>
              <w:rPr>
                <w:rFonts w:hint="eastAsia" w:ascii="宋体" w:hAnsi="宋体"/>
                <w:highlight w:val="none"/>
              </w:rPr>
              <w:t>(   )</w:t>
            </w:r>
          </w:p>
        </w:tc>
        <w:tc>
          <w:tcPr>
            <w:tcW w:w="1152" w:type="dxa"/>
            <w:tcBorders>
              <w:top w:val="single" w:color="000000" w:sz="4" w:space="0"/>
              <w:left w:val="nil"/>
              <w:bottom w:val="single" w:color="000000" w:sz="4" w:space="0"/>
              <w:right w:val="single" w:color="000000" w:sz="4" w:space="0"/>
            </w:tcBorders>
            <w:vAlign w:val="center"/>
          </w:tcPr>
          <w:p w14:paraId="409BAE2E">
            <w:pPr>
              <w:autoSpaceDE w:val="0"/>
              <w:spacing w:line="276" w:lineRule="auto"/>
              <w:jc w:val="center"/>
              <w:rPr>
                <w:rFonts w:ascii="宋体" w:hAnsi="宋体" w:cs="宋体"/>
                <w:szCs w:val="21"/>
                <w:highlight w:val="none"/>
              </w:rPr>
            </w:pPr>
            <w:r>
              <w:rPr>
                <w:rFonts w:hint="eastAsia" w:ascii="宋体" w:hAnsi="宋体"/>
                <w:highlight w:val="none"/>
              </w:rPr>
              <w:t>(    )</w:t>
            </w:r>
          </w:p>
        </w:tc>
        <w:tc>
          <w:tcPr>
            <w:tcW w:w="624" w:type="dxa"/>
            <w:tcBorders>
              <w:top w:val="single" w:color="000000" w:sz="4" w:space="0"/>
              <w:left w:val="nil"/>
              <w:bottom w:val="single" w:color="000000" w:sz="4" w:space="0"/>
              <w:right w:val="single" w:color="000000" w:sz="4" w:space="0"/>
            </w:tcBorders>
            <w:vAlign w:val="center"/>
          </w:tcPr>
          <w:p w14:paraId="2F75F8D2">
            <w:pPr>
              <w:autoSpaceDE w:val="0"/>
              <w:spacing w:line="276" w:lineRule="auto"/>
              <w:rPr>
                <w:rFonts w:ascii="宋体" w:hAnsi="宋体" w:cs="宋体"/>
                <w:szCs w:val="21"/>
                <w:highlight w:val="none"/>
              </w:rPr>
            </w:pPr>
          </w:p>
        </w:tc>
      </w:tr>
      <w:tr w14:paraId="6430ACB5">
        <w:tblPrEx>
          <w:tblCellMar>
            <w:top w:w="0" w:type="dxa"/>
            <w:left w:w="108" w:type="dxa"/>
            <w:bottom w:w="0" w:type="dxa"/>
            <w:right w:w="108" w:type="dxa"/>
          </w:tblCellMar>
        </w:tblPrEx>
        <w:trPr>
          <w:trHeight w:val="270" w:hRule="atLeast"/>
          <w:jc w:val="center"/>
        </w:trPr>
        <w:tc>
          <w:tcPr>
            <w:tcW w:w="6612" w:type="dxa"/>
            <w:tcBorders>
              <w:top w:val="single" w:color="000000" w:sz="4" w:space="0"/>
              <w:left w:val="single" w:color="000000" w:sz="4" w:space="0"/>
              <w:bottom w:val="single" w:color="000000" w:sz="4" w:space="0"/>
              <w:right w:val="single" w:color="000000" w:sz="4" w:space="0"/>
            </w:tcBorders>
            <w:vAlign w:val="center"/>
          </w:tcPr>
          <w:p w14:paraId="72DE3C59">
            <w:pPr>
              <w:widowControl/>
              <w:autoSpaceDE w:val="0"/>
              <w:spacing w:line="276" w:lineRule="auto"/>
              <w:jc w:val="left"/>
              <w:textAlignment w:val="center"/>
              <w:rPr>
                <w:rFonts w:ascii="宋体" w:hAnsi="宋体" w:cs="宋体"/>
                <w:szCs w:val="21"/>
                <w:highlight w:val="none"/>
              </w:rPr>
            </w:pPr>
            <w:r>
              <w:rPr>
                <w:rFonts w:hint="eastAsia" w:ascii="宋体" w:hAnsi="宋体"/>
                <w:kern w:val="0"/>
                <w:highlight w:val="none"/>
              </w:rPr>
              <w:t>六、暗挖工程</w:t>
            </w:r>
          </w:p>
        </w:tc>
        <w:tc>
          <w:tcPr>
            <w:tcW w:w="1272" w:type="dxa"/>
            <w:tcBorders>
              <w:top w:val="single" w:color="000000" w:sz="4" w:space="0"/>
              <w:left w:val="nil"/>
              <w:bottom w:val="single" w:color="000000" w:sz="4" w:space="0"/>
              <w:right w:val="single" w:color="000000" w:sz="4" w:space="0"/>
            </w:tcBorders>
            <w:vAlign w:val="center"/>
          </w:tcPr>
          <w:p w14:paraId="52BE05E9">
            <w:pPr>
              <w:autoSpaceDE w:val="0"/>
              <w:spacing w:line="276" w:lineRule="auto"/>
              <w:jc w:val="center"/>
              <w:rPr>
                <w:rFonts w:ascii="宋体" w:hAnsi="宋体" w:cs="宋体"/>
                <w:szCs w:val="21"/>
                <w:highlight w:val="none"/>
              </w:rPr>
            </w:pPr>
            <w:r>
              <w:rPr>
                <w:rFonts w:hint="eastAsia" w:ascii="宋体" w:hAnsi="宋体"/>
                <w:highlight w:val="none"/>
              </w:rPr>
              <w:t>(   )</w:t>
            </w:r>
          </w:p>
        </w:tc>
        <w:tc>
          <w:tcPr>
            <w:tcW w:w="1152" w:type="dxa"/>
            <w:tcBorders>
              <w:top w:val="single" w:color="000000" w:sz="4" w:space="0"/>
              <w:left w:val="nil"/>
              <w:bottom w:val="single" w:color="000000" w:sz="4" w:space="0"/>
              <w:right w:val="single" w:color="000000" w:sz="4" w:space="0"/>
            </w:tcBorders>
            <w:vAlign w:val="center"/>
          </w:tcPr>
          <w:p w14:paraId="5EF5A4EB">
            <w:pPr>
              <w:autoSpaceDE w:val="0"/>
              <w:spacing w:line="276" w:lineRule="auto"/>
              <w:jc w:val="center"/>
              <w:rPr>
                <w:rFonts w:ascii="宋体" w:hAnsi="宋体" w:cs="宋体"/>
                <w:szCs w:val="21"/>
                <w:highlight w:val="none"/>
              </w:rPr>
            </w:pPr>
            <w:r>
              <w:rPr>
                <w:rFonts w:hint="eastAsia" w:ascii="宋体" w:hAnsi="宋体"/>
                <w:highlight w:val="none"/>
              </w:rPr>
              <w:t>(    )</w:t>
            </w:r>
          </w:p>
        </w:tc>
        <w:tc>
          <w:tcPr>
            <w:tcW w:w="624" w:type="dxa"/>
            <w:tcBorders>
              <w:top w:val="single" w:color="000000" w:sz="4" w:space="0"/>
              <w:left w:val="nil"/>
              <w:bottom w:val="single" w:color="000000" w:sz="4" w:space="0"/>
              <w:right w:val="single" w:color="000000" w:sz="4" w:space="0"/>
            </w:tcBorders>
            <w:vAlign w:val="center"/>
          </w:tcPr>
          <w:p w14:paraId="10C4AD15">
            <w:pPr>
              <w:autoSpaceDE w:val="0"/>
              <w:spacing w:line="276" w:lineRule="auto"/>
              <w:rPr>
                <w:rFonts w:ascii="宋体" w:hAnsi="宋体" w:cs="宋体"/>
                <w:szCs w:val="21"/>
                <w:highlight w:val="none"/>
              </w:rPr>
            </w:pPr>
          </w:p>
        </w:tc>
      </w:tr>
      <w:tr w14:paraId="6DD3DACF">
        <w:tblPrEx>
          <w:tblCellMar>
            <w:top w:w="0" w:type="dxa"/>
            <w:left w:w="108" w:type="dxa"/>
            <w:bottom w:w="0" w:type="dxa"/>
            <w:right w:w="108" w:type="dxa"/>
          </w:tblCellMar>
        </w:tblPrEx>
        <w:trPr>
          <w:trHeight w:val="270" w:hRule="atLeast"/>
          <w:jc w:val="center"/>
        </w:trPr>
        <w:tc>
          <w:tcPr>
            <w:tcW w:w="6612" w:type="dxa"/>
            <w:tcBorders>
              <w:top w:val="single" w:color="000000" w:sz="4" w:space="0"/>
              <w:left w:val="single" w:color="000000" w:sz="4" w:space="0"/>
              <w:bottom w:val="single" w:color="000000" w:sz="4" w:space="0"/>
              <w:right w:val="single" w:color="000000" w:sz="4" w:space="0"/>
            </w:tcBorders>
            <w:vAlign w:val="center"/>
          </w:tcPr>
          <w:p w14:paraId="3A5E90CB">
            <w:pPr>
              <w:widowControl/>
              <w:autoSpaceDE w:val="0"/>
              <w:spacing w:line="276" w:lineRule="auto"/>
              <w:jc w:val="left"/>
              <w:textAlignment w:val="center"/>
              <w:rPr>
                <w:rFonts w:ascii="宋体" w:hAnsi="宋体" w:cs="宋体"/>
                <w:szCs w:val="21"/>
                <w:highlight w:val="none"/>
              </w:rPr>
            </w:pPr>
            <w:r>
              <w:rPr>
                <w:rFonts w:hint="eastAsia" w:ascii="宋体" w:hAnsi="宋体"/>
                <w:kern w:val="0"/>
                <w:highlight w:val="none"/>
              </w:rPr>
              <w:t>采用矿山法、盾构法、顶管法施工的隧道、洞室工程。</w:t>
            </w:r>
          </w:p>
        </w:tc>
        <w:tc>
          <w:tcPr>
            <w:tcW w:w="1272" w:type="dxa"/>
            <w:tcBorders>
              <w:top w:val="single" w:color="000000" w:sz="4" w:space="0"/>
              <w:left w:val="nil"/>
              <w:bottom w:val="single" w:color="000000" w:sz="4" w:space="0"/>
              <w:right w:val="single" w:color="000000" w:sz="4" w:space="0"/>
            </w:tcBorders>
            <w:vAlign w:val="center"/>
          </w:tcPr>
          <w:p w14:paraId="58E58AF2">
            <w:pPr>
              <w:autoSpaceDE w:val="0"/>
              <w:spacing w:line="276" w:lineRule="auto"/>
              <w:jc w:val="center"/>
              <w:rPr>
                <w:rFonts w:ascii="宋体" w:hAnsi="宋体" w:cs="宋体"/>
                <w:szCs w:val="21"/>
                <w:highlight w:val="none"/>
              </w:rPr>
            </w:pPr>
            <w:r>
              <w:rPr>
                <w:rFonts w:hint="eastAsia" w:ascii="宋体" w:hAnsi="宋体"/>
                <w:highlight w:val="none"/>
              </w:rPr>
              <w:t>(   )</w:t>
            </w:r>
          </w:p>
        </w:tc>
        <w:tc>
          <w:tcPr>
            <w:tcW w:w="1152" w:type="dxa"/>
            <w:tcBorders>
              <w:top w:val="single" w:color="000000" w:sz="4" w:space="0"/>
              <w:left w:val="nil"/>
              <w:bottom w:val="single" w:color="000000" w:sz="4" w:space="0"/>
              <w:right w:val="single" w:color="000000" w:sz="4" w:space="0"/>
            </w:tcBorders>
            <w:vAlign w:val="center"/>
          </w:tcPr>
          <w:p w14:paraId="79103F86">
            <w:pPr>
              <w:autoSpaceDE w:val="0"/>
              <w:spacing w:line="276" w:lineRule="auto"/>
              <w:jc w:val="center"/>
              <w:rPr>
                <w:rFonts w:ascii="宋体" w:hAnsi="宋体" w:cs="宋体"/>
                <w:szCs w:val="21"/>
                <w:highlight w:val="none"/>
              </w:rPr>
            </w:pPr>
            <w:r>
              <w:rPr>
                <w:rFonts w:hint="eastAsia" w:ascii="宋体" w:hAnsi="宋体"/>
                <w:highlight w:val="none"/>
              </w:rPr>
              <w:t>(    )</w:t>
            </w:r>
          </w:p>
        </w:tc>
        <w:tc>
          <w:tcPr>
            <w:tcW w:w="624" w:type="dxa"/>
            <w:tcBorders>
              <w:top w:val="single" w:color="000000" w:sz="4" w:space="0"/>
              <w:left w:val="nil"/>
              <w:bottom w:val="single" w:color="000000" w:sz="4" w:space="0"/>
              <w:right w:val="single" w:color="000000" w:sz="4" w:space="0"/>
            </w:tcBorders>
            <w:vAlign w:val="center"/>
          </w:tcPr>
          <w:p w14:paraId="7F62012B">
            <w:pPr>
              <w:autoSpaceDE w:val="0"/>
              <w:spacing w:line="276" w:lineRule="auto"/>
              <w:rPr>
                <w:rFonts w:ascii="宋体" w:hAnsi="宋体" w:cs="宋体"/>
                <w:szCs w:val="21"/>
                <w:highlight w:val="none"/>
              </w:rPr>
            </w:pPr>
          </w:p>
        </w:tc>
      </w:tr>
      <w:tr w14:paraId="74DCC4D6">
        <w:tblPrEx>
          <w:tblCellMar>
            <w:top w:w="0" w:type="dxa"/>
            <w:left w:w="108" w:type="dxa"/>
            <w:bottom w:w="0" w:type="dxa"/>
            <w:right w:w="108" w:type="dxa"/>
          </w:tblCellMar>
        </w:tblPrEx>
        <w:trPr>
          <w:trHeight w:val="270" w:hRule="atLeast"/>
          <w:jc w:val="center"/>
        </w:trPr>
        <w:tc>
          <w:tcPr>
            <w:tcW w:w="6612" w:type="dxa"/>
            <w:tcBorders>
              <w:top w:val="single" w:color="000000" w:sz="4" w:space="0"/>
              <w:left w:val="single" w:color="000000" w:sz="4" w:space="0"/>
              <w:bottom w:val="single" w:color="000000" w:sz="4" w:space="0"/>
              <w:right w:val="single" w:color="000000" w:sz="4" w:space="0"/>
            </w:tcBorders>
            <w:vAlign w:val="center"/>
          </w:tcPr>
          <w:p w14:paraId="737E31B4">
            <w:pPr>
              <w:widowControl/>
              <w:autoSpaceDE w:val="0"/>
              <w:spacing w:line="276" w:lineRule="auto"/>
              <w:jc w:val="left"/>
              <w:textAlignment w:val="center"/>
              <w:rPr>
                <w:rFonts w:ascii="宋体" w:hAnsi="宋体" w:cs="宋体"/>
                <w:szCs w:val="21"/>
                <w:highlight w:val="none"/>
              </w:rPr>
            </w:pPr>
            <w:r>
              <w:rPr>
                <w:rFonts w:hint="eastAsia" w:ascii="宋体" w:hAnsi="宋体"/>
                <w:kern w:val="0"/>
                <w:highlight w:val="none"/>
              </w:rPr>
              <w:t>七、其它</w:t>
            </w:r>
          </w:p>
        </w:tc>
        <w:tc>
          <w:tcPr>
            <w:tcW w:w="1272" w:type="dxa"/>
            <w:tcBorders>
              <w:top w:val="single" w:color="000000" w:sz="4" w:space="0"/>
              <w:left w:val="nil"/>
              <w:bottom w:val="single" w:color="000000" w:sz="4" w:space="0"/>
              <w:right w:val="single" w:color="000000" w:sz="4" w:space="0"/>
            </w:tcBorders>
            <w:vAlign w:val="center"/>
          </w:tcPr>
          <w:p w14:paraId="4B45C5FE">
            <w:pPr>
              <w:autoSpaceDE w:val="0"/>
              <w:spacing w:line="276" w:lineRule="auto"/>
              <w:jc w:val="center"/>
              <w:rPr>
                <w:rFonts w:ascii="宋体" w:hAnsi="宋体" w:cs="宋体"/>
                <w:szCs w:val="21"/>
                <w:highlight w:val="none"/>
              </w:rPr>
            </w:pPr>
            <w:r>
              <w:rPr>
                <w:rFonts w:hint="eastAsia" w:ascii="宋体" w:hAnsi="宋体"/>
                <w:highlight w:val="none"/>
              </w:rPr>
              <w:t>(   )</w:t>
            </w:r>
          </w:p>
        </w:tc>
        <w:tc>
          <w:tcPr>
            <w:tcW w:w="1152" w:type="dxa"/>
            <w:tcBorders>
              <w:top w:val="single" w:color="000000" w:sz="4" w:space="0"/>
              <w:left w:val="nil"/>
              <w:bottom w:val="single" w:color="000000" w:sz="4" w:space="0"/>
              <w:right w:val="single" w:color="000000" w:sz="4" w:space="0"/>
            </w:tcBorders>
            <w:vAlign w:val="center"/>
          </w:tcPr>
          <w:p w14:paraId="4EC98800">
            <w:pPr>
              <w:autoSpaceDE w:val="0"/>
              <w:spacing w:line="276" w:lineRule="auto"/>
              <w:jc w:val="center"/>
              <w:rPr>
                <w:rFonts w:ascii="宋体" w:hAnsi="宋体" w:cs="宋体"/>
                <w:szCs w:val="21"/>
                <w:highlight w:val="none"/>
              </w:rPr>
            </w:pPr>
            <w:r>
              <w:rPr>
                <w:rFonts w:hint="eastAsia" w:ascii="宋体" w:hAnsi="宋体"/>
                <w:highlight w:val="none"/>
              </w:rPr>
              <w:t>(    )</w:t>
            </w:r>
          </w:p>
        </w:tc>
        <w:tc>
          <w:tcPr>
            <w:tcW w:w="624" w:type="dxa"/>
            <w:tcBorders>
              <w:top w:val="single" w:color="000000" w:sz="4" w:space="0"/>
              <w:left w:val="nil"/>
              <w:bottom w:val="single" w:color="000000" w:sz="4" w:space="0"/>
              <w:right w:val="single" w:color="000000" w:sz="4" w:space="0"/>
            </w:tcBorders>
            <w:vAlign w:val="center"/>
          </w:tcPr>
          <w:p w14:paraId="247342F7">
            <w:pPr>
              <w:autoSpaceDE w:val="0"/>
              <w:spacing w:line="276" w:lineRule="auto"/>
              <w:rPr>
                <w:rFonts w:ascii="宋体" w:hAnsi="宋体" w:cs="宋体"/>
                <w:szCs w:val="21"/>
                <w:highlight w:val="none"/>
              </w:rPr>
            </w:pPr>
          </w:p>
        </w:tc>
      </w:tr>
      <w:tr w14:paraId="1F7D68A3">
        <w:tblPrEx>
          <w:tblCellMar>
            <w:top w:w="0" w:type="dxa"/>
            <w:left w:w="108" w:type="dxa"/>
            <w:bottom w:w="0" w:type="dxa"/>
            <w:right w:w="108" w:type="dxa"/>
          </w:tblCellMar>
        </w:tblPrEx>
        <w:trPr>
          <w:trHeight w:val="270" w:hRule="atLeast"/>
          <w:jc w:val="center"/>
        </w:trPr>
        <w:tc>
          <w:tcPr>
            <w:tcW w:w="6612" w:type="dxa"/>
            <w:tcBorders>
              <w:top w:val="single" w:color="000000" w:sz="4" w:space="0"/>
              <w:left w:val="single" w:color="000000" w:sz="4" w:space="0"/>
              <w:bottom w:val="single" w:color="000000" w:sz="4" w:space="0"/>
              <w:right w:val="single" w:color="000000" w:sz="4" w:space="0"/>
            </w:tcBorders>
            <w:vAlign w:val="center"/>
          </w:tcPr>
          <w:p w14:paraId="54782E0B">
            <w:pPr>
              <w:widowControl/>
              <w:autoSpaceDE w:val="0"/>
              <w:spacing w:line="276" w:lineRule="auto"/>
              <w:jc w:val="left"/>
              <w:textAlignment w:val="center"/>
              <w:rPr>
                <w:rFonts w:ascii="宋体" w:hAnsi="宋体" w:cs="宋体"/>
                <w:szCs w:val="21"/>
                <w:highlight w:val="none"/>
              </w:rPr>
            </w:pPr>
            <w:r>
              <w:rPr>
                <w:rFonts w:hint="eastAsia" w:ascii="宋体" w:hAnsi="宋体"/>
                <w:kern w:val="0"/>
                <w:highlight w:val="none"/>
              </w:rPr>
              <w:t>（一）建筑幕墙安装工程。</w:t>
            </w:r>
          </w:p>
        </w:tc>
        <w:tc>
          <w:tcPr>
            <w:tcW w:w="1272" w:type="dxa"/>
            <w:tcBorders>
              <w:top w:val="single" w:color="000000" w:sz="4" w:space="0"/>
              <w:left w:val="nil"/>
              <w:bottom w:val="single" w:color="000000" w:sz="4" w:space="0"/>
              <w:right w:val="single" w:color="000000" w:sz="4" w:space="0"/>
            </w:tcBorders>
            <w:vAlign w:val="center"/>
          </w:tcPr>
          <w:p w14:paraId="218B2FD8">
            <w:pPr>
              <w:autoSpaceDE w:val="0"/>
              <w:spacing w:line="276" w:lineRule="auto"/>
              <w:jc w:val="center"/>
              <w:rPr>
                <w:rFonts w:ascii="宋体" w:hAnsi="宋体" w:cs="宋体"/>
                <w:szCs w:val="21"/>
                <w:highlight w:val="none"/>
              </w:rPr>
            </w:pPr>
            <w:r>
              <w:rPr>
                <w:rFonts w:hint="eastAsia" w:ascii="宋体" w:hAnsi="宋体"/>
                <w:highlight w:val="none"/>
              </w:rPr>
              <w:t>(   )</w:t>
            </w:r>
          </w:p>
        </w:tc>
        <w:tc>
          <w:tcPr>
            <w:tcW w:w="1152" w:type="dxa"/>
            <w:tcBorders>
              <w:top w:val="single" w:color="000000" w:sz="4" w:space="0"/>
              <w:left w:val="nil"/>
              <w:bottom w:val="single" w:color="000000" w:sz="4" w:space="0"/>
              <w:right w:val="single" w:color="000000" w:sz="4" w:space="0"/>
            </w:tcBorders>
            <w:vAlign w:val="center"/>
          </w:tcPr>
          <w:p w14:paraId="73B72EC2">
            <w:pPr>
              <w:autoSpaceDE w:val="0"/>
              <w:spacing w:line="276" w:lineRule="auto"/>
              <w:jc w:val="center"/>
              <w:rPr>
                <w:rFonts w:ascii="宋体" w:hAnsi="宋体" w:cs="宋体"/>
                <w:szCs w:val="21"/>
                <w:highlight w:val="none"/>
              </w:rPr>
            </w:pPr>
            <w:r>
              <w:rPr>
                <w:rFonts w:hint="eastAsia" w:ascii="宋体" w:hAnsi="宋体"/>
                <w:highlight w:val="none"/>
              </w:rPr>
              <w:t>(    )</w:t>
            </w:r>
          </w:p>
        </w:tc>
        <w:tc>
          <w:tcPr>
            <w:tcW w:w="624" w:type="dxa"/>
            <w:tcBorders>
              <w:top w:val="single" w:color="000000" w:sz="4" w:space="0"/>
              <w:left w:val="nil"/>
              <w:bottom w:val="single" w:color="000000" w:sz="4" w:space="0"/>
              <w:right w:val="single" w:color="000000" w:sz="4" w:space="0"/>
            </w:tcBorders>
            <w:vAlign w:val="center"/>
          </w:tcPr>
          <w:p w14:paraId="5589B8A5">
            <w:pPr>
              <w:autoSpaceDE w:val="0"/>
              <w:spacing w:line="276" w:lineRule="auto"/>
              <w:rPr>
                <w:rFonts w:ascii="宋体" w:hAnsi="宋体" w:cs="宋体"/>
                <w:szCs w:val="21"/>
                <w:highlight w:val="none"/>
              </w:rPr>
            </w:pPr>
          </w:p>
        </w:tc>
      </w:tr>
      <w:tr w14:paraId="48C8A317">
        <w:tblPrEx>
          <w:tblCellMar>
            <w:top w:w="0" w:type="dxa"/>
            <w:left w:w="108" w:type="dxa"/>
            <w:bottom w:w="0" w:type="dxa"/>
            <w:right w:w="108" w:type="dxa"/>
          </w:tblCellMar>
        </w:tblPrEx>
        <w:trPr>
          <w:trHeight w:val="270" w:hRule="atLeast"/>
          <w:jc w:val="center"/>
        </w:trPr>
        <w:tc>
          <w:tcPr>
            <w:tcW w:w="6612" w:type="dxa"/>
            <w:tcBorders>
              <w:top w:val="single" w:color="000000" w:sz="4" w:space="0"/>
              <w:left w:val="single" w:color="000000" w:sz="4" w:space="0"/>
              <w:bottom w:val="single" w:color="000000" w:sz="4" w:space="0"/>
              <w:right w:val="single" w:color="000000" w:sz="4" w:space="0"/>
            </w:tcBorders>
            <w:vAlign w:val="center"/>
          </w:tcPr>
          <w:p w14:paraId="2923EEC3">
            <w:pPr>
              <w:widowControl/>
              <w:autoSpaceDE w:val="0"/>
              <w:spacing w:line="276" w:lineRule="auto"/>
              <w:jc w:val="left"/>
              <w:textAlignment w:val="center"/>
              <w:rPr>
                <w:rFonts w:ascii="宋体" w:hAnsi="宋体" w:cs="宋体"/>
                <w:szCs w:val="21"/>
                <w:highlight w:val="none"/>
              </w:rPr>
            </w:pPr>
            <w:r>
              <w:rPr>
                <w:rFonts w:hint="eastAsia" w:ascii="宋体" w:hAnsi="宋体"/>
                <w:kern w:val="0"/>
                <w:highlight w:val="none"/>
              </w:rPr>
              <w:t>（二）钢结构、网架和索膜结构安装工程。</w:t>
            </w:r>
          </w:p>
        </w:tc>
        <w:tc>
          <w:tcPr>
            <w:tcW w:w="1272" w:type="dxa"/>
            <w:tcBorders>
              <w:top w:val="single" w:color="000000" w:sz="4" w:space="0"/>
              <w:left w:val="nil"/>
              <w:bottom w:val="single" w:color="000000" w:sz="4" w:space="0"/>
              <w:right w:val="single" w:color="000000" w:sz="4" w:space="0"/>
            </w:tcBorders>
            <w:vAlign w:val="center"/>
          </w:tcPr>
          <w:p w14:paraId="628B757F">
            <w:pPr>
              <w:autoSpaceDE w:val="0"/>
              <w:spacing w:line="276" w:lineRule="auto"/>
              <w:jc w:val="center"/>
              <w:rPr>
                <w:rFonts w:ascii="宋体" w:hAnsi="宋体" w:cs="宋体"/>
                <w:szCs w:val="21"/>
                <w:highlight w:val="none"/>
              </w:rPr>
            </w:pPr>
            <w:r>
              <w:rPr>
                <w:rFonts w:hint="eastAsia" w:ascii="宋体" w:hAnsi="宋体"/>
                <w:highlight w:val="none"/>
              </w:rPr>
              <w:t>(   )</w:t>
            </w:r>
          </w:p>
        </w:tc>
        <w:tc>
          <w:tcPr>
            <w:tcW w:w="1152" w:type="dxa"/>
            <w:tcBorders>
              <w:top w:val="single" w:color="000000" w:sz="4" w:space="0"/>
              <w:left w:val="nil"/>
              <w:bottom w:val="single" w:color="000000" w:sz="4" w:space="0"/>
              <w:right w:val="single" w:color="000000" w:sz="4" w:space="0"/>
            </w:tcBorders>
            <w:vAlign w:val="center"/>
          </w:tcPr>
          <w:p w14:paraId="1B276DFE">
            <w:pPr>
              <w:autoSpaceDE w:val="0"/>
              <w:spacing w:line="276" w:lineRule="auto"/>
              <w:jc w:val="center"/>
              <w:rPr>
                <w:rFonts w:ascii="宋体" w:hAnsi="宋体" w:cs="宋体"/>
                <w:szCs w:val="21"/>
                <w:highlight w:val="none"/>
              </w:rPr>
            </w:pPr>
            <w:r>
              <w:rPr>
                <w:rFonts w:hint="eastAsia" w:ascii="宋体" w:hAnsi="宋体"/>
                <w:highlight w:val="none"/>
              </w:rPr>
              <w:t>(    )</w:t>
            </w:r>
          </w:p>
        </w:tc>
        <w:tc>
          <w:tcPr>
            <w:tcW w:w="624" w:type="dxa"/>
            <w:tcBorders>
              <w:top w:val="single" w:color="000000" w:sz="4" w:space="0"/>
              <w:left w:val="nil"/>
              <w:bottom w:val="single" w:color="000000" w:sz="4" w:space="0"/>
              <w:right w:val="single" w:color="000000" w:sz="4" w:space="0"/>
            </w:tcBorders>
            <w:vAlign w:val="center"/>
          </w:tcPr>
          <w:p w14:paraId="52B36F7B">
            <w:pPr>
              <w:autoSpaceDE w:val="0"/>
              <w:spacing w:line="276" w:lineRule="auto"/>
              <w:rPr>
                <w:rFonts w:ascii="宋体" w:hAnsi="宋体" w:cs="宋体"/>
                <w:szCs w:val="21"/>
                <w:highlight w:val="none"/>
              </w:rPr>
            </w:pPr>
          </w:p>
        </w:tc>
      </w:tr>
      <w:tr w14:paraId="5CB6BD9C">
        <w:tblPrEx>
          <w:tblCellMar>
            <w:top w:w="0" w:type="dxa"/>
            <w:left w:w="108" w:type="dxa"/>
            <w:bottom w:w="0" w:type="dxa"/>
            <w:right w:w="108" w:type="dxa"/>
          </w:tblCellMar>
        </w:tblPrEx>
        <w:trPr>
          <w:trHeight w:val="270" w:hRule="atLeast"/>
          <w:jc w:val="center"/>
        </w:trPr>
        <w:tc>
          <w:tcPr>
            <w:tcW w:w="6612" w:type="dxa"/>
            <w:tcBorders>
              <w:top w:val="single" w:color="000000" w:sz="4" w:space="0"/>
              <w:left w:val="single" w:color="000000" w:sz="4" w:space="0"/>
              <w:bottom w:val="single" w:color="000000" w:sz="4" w:space="0"/>
              <w:right w:val="single" w:color="000000" w:sz="4" w:space="0"/>
            </w:tcBorders>
            <w:vAlign w:val="center"/>
          </w:tcPr>
          <w:p w14:paraId="5425884A">
            <w:pPr>
              <w:widowControl/>
              <w:autoSpaceDE w:val="0"/>
              <w:spacing w:line="276" w:lineRule="auto"/>
              <w:jc w:val="left"/>
              <w:textAlignment w:val="center"/>
              <w:rPr>
                <w:rFonts w:ascii="宋体" w:hAnsi="宋体" w:cs="宋体"/>
                <w:szCs w:val="21"/>
                <w:highlight w:val="none"/>
              </w:rPr>
            </w:pPr>
            <w:r>
              <w:rPr>
                <w:rFonts w:hint="eastAsia" w:ascii="宋体" w:hAnsi="宋体"/>
                <w:kern w:val="0"/>
                <w:highlight w:val="none"/>
              </w:rPr>
              <w:t>（三）人工挖孔桩工程。</w:t>
            </w:r>
          </w:p>
        </w:tc>
        <w:tc>
          <w:tcPr>
            <w:tcW w:w="1272" w:type="dxa"/>
            <w:tcBorders>
              <w:top w:val="single" w:color="000000" w:sz="4" w:space="0"/>
              <w:left w:val="nil"/>
              <w:bottom w:val="single" w:color="000000" w:sz="4" w:space="0"/>
              <w:right w:val="single" w:color="000000" w:sz="4" w:space="0"/>
            </w:tcBorders>
            <w:vAlign w:val="center"/>
          </w:tcPr>
          <w:p w14:paraId="3EEA5E0B">
            <w:pPr>
              <w:autoSpaceDE w:val="0"/>
              <w:spacing w:line="276" w:lineRule="auto"/>
              <w:jc w:val="center"/>
              <w:rPr>
                <w:rFonts w:ascii="宋体" w:hAnsi="宋体" w:cs="宋体"/>
                <w:szCs w:val="21"/>
                <w:highlight w:val="none"/>
              </w:rPr>
            </w:pPr>
            <w:r>
              <w:rPr>
                <w:rFonts w:hint="eastAsia" w:ascii="宋体" w:hAnsi="宋体"/>
                <w:highlight w:val="none"/>
              </w:rPr>
              <w:t>(   )</w:t>
            </w:r>
          </w:p>
        </w:tc>
        <w:tc>
          <w:tcPr>
            <w:tcW w:w="1152" w:type="dxa"/>
            <w:tcBorders>
              <w:top w:val="single" w:color="000000" w:sz="4" w:space="0"/>
              <w:left w:val="nil"/>
              <w:bottom w:val="single" w:color="000000" w:sz="4" w:space="0"/>
              <w:right w:val="single" w:color="000000" w:sz="4" w:space="0"/>
            </w:tcBorders>
            <w:vAlign w:val="center"/>
          </w:tcPr>
          <w:p w14:paraId="402699B2">
            <w:pPr>
              <w:autoSpaceDE w:val="0"/>
              <w:spacing w:line="276" w:lineRule="auto"/>
              <w:jc w:val="center"/>
              <w:rPr>
                <w:rFonts w:ascii="宋体" w:hAnsi="宋体" w:cs="宋体"/>
                <w:szCs w:val="21"/>
                <w:highlight w:val="none"/>
              </w:rPr>
            </w:pPr>
            <w:r>
              <w:rPr>
                <w:rFonts w:hint="eastAsia" w:ascii="宋体" w:hAnsi="宋体"/>
                <w:highlight w:val="none"/>
              </w:rPr>
              <w:t>(    )</w:t>
            </w:r>
          </w:p>
        </w:tc>
        <w:tc>
          <w:tcPr>
            <w:tcW w:w="624" w:type="dxa"/>
            <w:tcBorders>
              <w:top w:val="single" w:color="000000" w:sz="4" w:space="0"/>
              <w:left w:val="nil"/>
              <w:bottom w:val="single" w:color="000000" w:sz="4" w:space="0"/>
              <w:right w:val="single" w:color="000000" w:sz="4" w:space="0"/>
            </w:tcBorders>
            <w:vAlign w:val="center"/>
          </w:tcPr>
          <w:p w14:paraId="23E3295E">
            <w:pPr>
              <w:autoSpaceDE w:val="0"/>
              <w:spacing w:line="276" w:lineRule="auto"/>
              <w:rPr>
                <w:rFonts w:ascii="宋体" w:hAnsi="宋体" w:cs="宋体"/>
                <w:szCs w:val="21"/>
                <w:highlight w:val="none"/>
              </w:rPr>
            </w:pPr>
          </w:p>
        </w:tc>
      </w:tr>
      <w:tr w14:paraId="3B5D646B">
        <w:tblPrEx>
          <w:tblCellMar>
            <w:top w:w="0" w:type="dxa"/>
            <w:left w:w="108" w:type="dxa"/>
            <w:bottom w:w="0" w:type="dxa"/>
            <w:right w:w="108" w:type="dxa"/>
          </w:tblCellMar>
        </w:tblPrEx>
        <w:trPr>
          <w:trHeight w:val="270" w:hRule="atLeast"/>
          <w:jc w:val="center"/>
        </w:trPr>
        <w:tc>
          <w:tcPr>
            <w:tcW w:w="6612" w:type="dxa"/>
            <w:tcBorders>
              <w:top w:val="single" w:color="000000" w:sz="4" w:space="0"/>
              <w:left w:val="single" w:color="000000" w:sz="4" w:space="0"/>
              <w:bottom w:val="single" w:color="000000" w:sz="4" w:space="0"/>
              <w:right w:val="single" w:color="000000" w:sz="4" w:space="0"/>
            </w:tcBorders>
            <w:vAlign w:val="center"/>
          </w:tcPr>
          <w:p w14:paraId="6994E7EE">
            <w:pPr>
              <w:widowControl/>
              <w:autoSpaceDE w:val="0"/>
              <w:spacing w:line="276" w:lineRule="auto"/>
              <w:jc w:val="left"/>
              <w:textAlignment w:val="center"/>
              <w:rPr>
                <w:rFonts w:ascii="宋体" w:hAnsi="宋体" w:cs="宋体"/>
                <w:szCs w:val="21"/>
                <w:highlight w:val="none"/>
              </w:rPr>
            </w:pPr>
            <w:r>
              <w:rPr>
                <w:rFonts w:hint="eastAsia" w:ascii="宋体" w:hAnsi="宋体"/>
                <w:kern w:val="0"/>
                <w:highlight w:val="none"/>
              </w:rPr>
              <w:t>（四）水下作业工程。</w:t>
            </w:r>
          </w:p>
        </w:tc>
        <w:tc>
          <w:tcPr>
            <w:tcW w:w="1272" w:type="dxa"/>
            <w:tcBorders>
              <w:top w:val="single" w:color="000000" w:sz="4" w:space="0"/>
              <w:left w:val="nil"/>
              <w:bottom w:val="single" w:color="000000" w:sz="4" w:space="0"/>
              <w:right w:val="single" w:color="000000" w:sz="4" w:space="0"/>
            </w:tcBorders>
            <w:vAlign w:val="center"/>
          </w:tcPr>
          <w:p w14:paraId="109282A2">
            <w:pPr>
              <w:autoSpaceDE w:val="0"/>
              <w:spacing w:line="276" w:lineRule="auto"/>
              <w:jc w:val="center"/>
              <w:rPr>
                <w:rFonts w:ascii="宋体" w:hAnsi="宋体" w:cs="宋体"/>
                <w:szCs w:val="21"/>
                <w:highlight w:val="none"/>
              </w:rPr>
            </w:pPr>
            <w:r>
              <w:rPr>
                <w:rFonts w:hint="eastAsia" w:ascii="宋体" w:hAnsi="宋体"/>
                <w:highlight w:val="none"/>
              </w:rPr>
              <w:t>(   )</w:t>
            </w:r>
          </w:p>
        </w:tc>
        <w:tc>
          <w:tcPr>
            <w:tcW w:w="1152" w:type="dxa"/>
            <w:tcBorders>
              <w:top w:val="single" w:color="000000" w:sz="4" w:space="0"/>
              <w:left w:val="nil"/>
              <w:bottom w:val="single" w:color="000000" w:sz="4" w:space="0"/>
              <w:right w:val="single" w:color="000000" w:sz="4" w:space="0"/>
            </w:tcBorders>
            <w:vAlign w:val="center"/>
          </w:tcPr>
          <w:p w14:paraId="5FAA4D47">
            <w:pPr>
              <w:autoSpaceDE w:val="0"/>
              <w:spacing w:line="276" w:lineRule="auto"/>
              <w:jc w:val="center"/>
              <w:rPr>
                <w:rFonts w:ascii="宋体" w:hAnsi="宋体" w:cs="宋体"/>
                <w:szCs w:val="21"/>
                <w:highlight w:val="none"/>
              </w:rPr>
            </w:pPr>
            <w:r>
              <w:rPr>
                <w:rFonts w:hint="eastAsia" w:ascii="宋体" w:hAnsi="宋体"/>
                <w:highlight w:val="none"/>
              </w:rPr>
              <w:t>(    )</w:t>
            </w:r>
          </w:p>
        </w:tc>
        <w:tc>
          <w:tcPr>
            <w:tcW w:w="624" w:type="dxa"/>
            <w:tcBorders>
              <w:top w:val="single" w:color="000000" w:sz="4" w:space="0"/>
              <w:left w:val="nil"/>
              <w:bottom w:val="single" w:color="000000" w:sz="4" w:space="0"/>
              <w:right w:val="single" w:color="000000" w:sz="4" w:space="0"/>
            </w:tcBorders>
            <w:vAlign w:val="center"/>
          </w:tcPr>
          <w:p w14:paraId="23638120">
            <w:pPr>
              <w:autoSpaceDE w:val="0"/>
              <w:spacing w:line="276" w:lineRule="auto"/>
              <w:rPr>
                <w:rFonts w:ascii="宋体" w:hAnsi="宋体" w:cs="宋体"/>
                <w:szCs w:val="21"/>
                <w:highlight w:val="none"/>
              </w:rPr>
            </w:pPr>
          </w:p>
        </w:tc>
      </w:tr>
      <w:tr w14:paraId="7A7053D6">
        <w:tblPrEx>
          <w:tblCellMar>
            <w:top w:w="0" w:type="dxa"/>
            <w:left w:w="108" w:type="dxa"/>
            <w:bottom w:w="0" w:type="dxa"/>
            <w:right w:w="108" w:type="dxa"/>
          </w:tblCellMar>
        </w:tblPrEx>
        <w:trPr>
          <w:trHeight w:val="270" w:hRule="atLeast"/>
          <w:jc w:val="center"/>
        </w:trPr>
        <w:tc>
          <w:tcPr>
            <w:tcW w:w="6612" w:type="dxa"/>
            <w:tcBorders>
              <w:top w:val="single" w:color="000000" w:sz="4" w:space="0"/>
              <w:left w:val="single" w:color="000000" w:sz="4" w:space="0"/>
              <w:bottom w:val="single" w:color="000000" w:sz="4" w:space="0"/>
              <w:right w:val="single" w:color="000000" w:sz="4" w:space="0"/>
            </w:tcBorders>
            <w:vAlign w:val="center"/>
          </w:tcPr>
          <w:p w14:paraId="08E234C4">
            <w:pPr>
              <w:widowControl/>
              <w:autoSpaceDE w:val="0"/>
              <w:spacing w:line="276" w:lineRule="auto"/>
              <w:jc w:val="left"/>
              <w:textAlignment w:val="center"/>
              <w:rPr>
                <w:rFonts w:ascii="宋体" w:hAnsi="宋体" w:cs="宋体"/>
                <w:szCs w:val="21"/>
                <w:highlight w:val="none"/>
              </w:rPr>
            </w:pPr>
            <w:r>
              <w:rPr>
                <w:rFonts w:hint="eastAsia" w:ascii="宋体" w:hAnsi="宋体"/>
                <w:kern w:val="0"/>
                <w:highlight w:val="none"/>
              </w:rPr>
              <w:t>（五）装配式建筑混凝土预制构件安装工程。</w:t>
            </w:r>
          </w:p>
        </w:tc>
        <w:tc>
          <w:tcPr>
            <w:tcW w:w="1272" w:type="dxa"/>
            <w:tcBorders>
              <w:top w:val="single" w:color="000000" w:sz="4" w:space="0"/>
              <w:left w:val="nil"/>
              <w:bottom w:val="single" w:color="000000" w:sz="4" w:space="0"/>
              <w:right w:val="single" w:color="000000" w:sz="4" w:space="0"/>
            </w:tcBorders>
            <w:vAlign w:val="center"/>
          </w:tcPr>
          <w:p w14:paraId="690EF926">
            <w:pPr>
              <w:autoSpaceDE w:val="0"/>
              <w:spacing w:line="276" w:lineRule="auto"/>
              <w:jc w:val="center"/>
              <w:rPr>
                <w:rFonts w:ascii="宋体" w:hAnsi="宋体" w:cs="宋体"/>
                <w:szCs w:val="21"/>
                <w:highlight w:val="none"/>
              </w:rPr>
            </w:pPr>
            <w:r>
              <w:rPr>
                <w:rFonts w:hint="eastAsia" w:ascii="宋体" w:hAnsi="宋体"/>
                <w:highlight w:val="none"/>
              </w:rPr>
              <w:t>(   )</w:t>
            </w:r>
          </w:p>
        </w:tc>
        <w:tc>
          <w:tcPr>
            <w:tcW w:w="1152" w:type="dxa"/>
            <w:tcBorders>
              <w:top w:val="single" w:color="000000" w:sz="4" w:space="0"/>
              <w:left w:val="nil"/>
              <w:bottom w:val="single" w:color="000000" w:sz="4" w:space="0"/>
              <w:right w:val="single" w:color="000000" w:sz="4" w:space="0"/>
            </w:tcBorders>
            <w:vAlign w:val="center"/>
          </w:tcPr>
          <w:p w14:paraId="7E791E9D">
            <w:pPr>
              <w:autoSpaceDE w:val="0"/>
              <w:spacing w:line="276" w:lineRule="auto"/>
              <w:jc w:val="center"/>
              <w:rPr>
                <w:rFonts w:ascii="宋体" w:hAnsi="宋体" w:cs="宋体"/>
                <w:szCs w:val="21"/>
                <w:highlight w:val="none"/>
              </w:rPr>
            </w:pPr>
            <w:r>
              <w:rPr>
                <w:rFonts w:hint="eastAsia" w:ascii="宋体" w:hAnsi="宋体"/>
                <w:highlight w:val="none"/>
              </w:rPr>
              <w:t>(    )</w:t>
            </w:r>
          </w:p>
        </w:tc>
        <w:tc>
          <w:tcPr>
            <w:tcW w:w="624" w:type="dxa"/>
            <w:tcBorders>
              <w:top w:val="single" w:color="000000" w:sz="4" w:space="0"/>
              <w:left w:val="nil"/>
              <w:bottom w:val="single" w:color="000000" w:sz="4" w:space="0"/>
              <w:right w:val="single" w:color="000000" w:sz="4" w:space="0"/>
            </w:tcBorders>
            <w:vAlign w:val="center"/>
          </w:tcPr>
          <w:p w14:paraId="079857E3">
            <w:pPr>
              <w:autoSpaceDE w:val="0"/>
              <w:spacing w:line="276" w:lineRule="auto"/>
              <w:rPr>
                <w:rFonts w:ascii="宋体" w:hAnsi="宋体" w:cs="宋体"/>
                <w:szCs w:val="21"/>
                <w:highlight w:val="none"/>
              </w:rPr>
            </w:pPr>
          </w:p>
        </w:tc>
      </w:tr>
      <w:tr w14:paraId="30737D67">
        <w:tblPrEx>
          <w:tblCellMar>
            <w:top w:w="0" w:type="dxa"/>
            <w:left w:w="108" w:type="dxa"/>
            <w:bottom w:w="0" w:type="dxa"/>
            <w:right w:w="108" w:type="dxa"/>
          </w:tblCellMar>
        </w:tblPrEx>
        <w:trPr>
          <w:trHeight w:val="473" w:hRule="atLeast"/>
          <w:jc w:val="center"/>
        </w:trPr>
        <w:tc>
          <w:tcPr>
            <w:tcW w:w="6612" w:type="dxa"/>
            <w:tcBorders>
              <w:top w:val="single" w:color="000000" w:sz="4" w:space="0"/>
              <w:left w:val="single" w:color="000000" w:sz="4" w:space="0"/>
              <w:bottom w:val="single" w:color="000000" w:sz="4" w:space="0"/>
              <w:right w:val="single" w:color="000000" w:sz="4" w:space="0"/>
            </w:tcBorders>
            <w:vAlign w:val="center"/>
          </w:tcPr>
          <w:p w14:paraId="424D37AC">
            <w:pPr>
              <w:widowControl/>
              <w:autoSpaceDE w:val="0"/>
              <w:spacing w:line="276" w:lineRule="auto"/>
              <w:jc w:val="left"/>
              <w:textAlignment w:val="center"/>
              <w:rPr>
                <w:rFonts w:ascii="宋体" w:hAnsi="宋体" w:cs="宋体"/>
                <w:szCs w:val="21"/>
                <w:highlight w:val="none"/>
              </w:rPr>
            </w:pPr>
            <w:r>
              <w:rPr>
                <w:rFonts w:hint="eastAsia" w:ascii="宋体" w:hAnsi="宋体"/>
                <w:kern w:val="0"/>
                <w:highlight w:val="none"/>
              </w:rPr>
              <w:t>（六）采用新技术、新工艺、新材料、新设备可能影响工程施工安全，尚无国家、行业及地方技术标准的分部分项工程。</w:t>
            </w:r>
          </w:p>
        </w:tc>
        <w:tc>
          <w:tcPr>
            <w:tcW w:w="1272" w:type="dxa"/>
            <w:tcBorders>
              <w:top w:val="single" w:color="000000" w:sz="4" w:space="0"/>
              <w:left w:val="nil"/>
              <w:bottom w:val="single" w:color="000000" w:sz="4" w:space="0"/>
              <w:right w:val="single" w:color="000000" w:sz="4" w:space="0"/>
            </w:tcBorders>
            <w:vAlign w:val="center"/>
          </w:tcPr>
          <w:p w14:paraId="275D8FF0">
            <w:pPr>
              <w:autoSpaceDE w:val="0"/>
              <w:spacing w:line="276" w:lineRule="auto"/>
              <w:jc w:val="center"/>
              <w:rPr>
                <w:rFonts w:ascii="宋体" w:hAnsi="宋体" w:cs="宋体"/>
                <w:szCs w:val="21"/>
                <w:highlight w:val="none"/>
              </w:rPr>
            </w:pPr>
            <w:r>
              <w:rPr>
                <w:rFonts w:hint="eastAsia" w:ascii="宋体" w:hAnsi="宋体"/>
                <w:highlight w:val="none"/>
              </w:rPr>
              <w:t>(   )</w:t>
            </w:r>
          </w:p>
        </w:tc>
        <w:tc>
          <w:tcPr>
            <w:tcW w:w="1152" w:type="dxa"/>
            <w:tcBorders>
              <w:top w:val="single" w:color="000000" w:sz="4" w:space="0"/>
              <w:left w:val="nil"/>
              <w:bottom w:val="single" w:color="000000" w:sz="4" w:space="0"/>
              <w:right w:val="single" w:color="000000" w:sz="4" w:space="0"/>
            </w:tcBorders>
            <w:vAlign w:val="center"/>
          </w:tcPr>
          <w:p w14:paraId="4B67A47B">
            <w:pPr>
              <w:autoSpaceDE w:val="0"/>
              <w:spacing w:line="276" w:lineRule="auto"/>
              <w:jc w:val="center"/>
              <w:rPr>
                <w:rFonts w:ascii="宋体" w:hAnsi="宋体" w:cs="宋体"/>
                <w:szCs w:val="21"/>
                <w:highlight w:val="none"/>
              </w:rPr>
            </w:pPr>
            <w:r>
              <w:rPr>
                <w:rFonts w:hint="eastAsia" w:ascii="宋体" w:hAnsi="宋体"/>
                <w:highlight w:val="none"/>
              </w:rPr>
              <w:t>(    )</w:t>
            </w:r>
          </w:p>
        </w:tc>
        <w:tc>
          <w:tcPr>
            <w:tcW w:w="624" w:type="dxa"/>
            <w:tcBorders>
              <w:top w:val="single" w:color="000000" w:sz="4" w:space="0"/>
              <w:left w:val="nil"/>
              <w:bottom w:val="single" w:color="000000" w:sz="4" w:space="0"/>
              <w:right w:val="single" w:color="000000" w:sz="4" w:space="0"/>
            </w:tcBorders>
            <w:vAlign w:val="center"/>
          </w:tcPr>
          <w:p w14:paraId="621DE8A9">
            <w:pPr>
              <w:autoSpaceDE w:val="0"/>
              <w:spacing w:line="276" w:lineRule="auto"/>
              <w:rPr>
                <w:rFonts w:ascii="宋体" w:hAnsi="宋体" w:cs="宋体"/>
                <w:szCs w:val="21"/>
                <w:highlight w:val="none"/>
              </w:rPr>
            </w:pPr>
          </w:p>
        </w:tc>
      </w:tr>
      <w:tr w14:paraId="40AA0A5B">
        <w:tblPrEx>
          <w:tblCellMar>
            <w:top w:w="0" w:type="dxa"/>
            <w:left w:w="108" w:type="dxa"/>
            <w:bottom w:w="0" w:type="dxa"/>
            <w:right w:w="108" w:type="dxa"/>
          </w:tblCellMar>
        </w:tblPrEx>
        <w:trPr>
          <w:trHeight w:val="270" w:hRule="atLeast"/>
          <w:jc w:val="center"/>
        </w:trPr>
        <w:tc>
          <w:tcPr>
            <w:tcW w:w="6612" w:type="dxa"/>
            <w:tcBorders>
              <w:top w:val="single" w:color="000000" w:sz="4" w:space="0"/>
              <w:left w:val="single" w:color="000000" w:sz="4" w:space="0"/>
              <w:bottom w:val="single" w:color="000000" w:sz="4" w:space="0"/>
              <w:right w:val="single" w:color="000000" w:sz="4" w:space="0"/>
            </w:tcBorders>
            <w:vAlign w:val="center"/>
          </w:tcPr>
          <w:p w14:paraId="599EA25F">
            <w:pPr>
              <w:widowControl/>
              <w:autoSpaceDE w:val="0"/>
              <w:spacing w:line="276" w:lineRule="auto"/>
              <w:jc w:val="left"/>
              <w:textAlignment w:val="center"/>
              <w:rPr>
                <w:rFonts w:ascii="宋体" w:hAnsi="宋体" w:cs="宋体"/>
                <w:szCs w:val="21"/>
                <w:highlight w:val="none"/>
              </w:rPr>
            </w:pPr>
            <w:r>
              <w:rPr>
                <w:rFonts w:hint="eastAsia" w:ascii="宋体" w:hAnsi="宋体"/>
                <w:kern w:val="0"/>
                <w:highlight w:val="none"/>
              </w:rPr>
              <w:t>附件2</w:t>
            </w:r>
          </w:p>
        </w:tc>
        <w:tc>
          <w:tcPr>
            <w:tcW w:w="1272" w:type="dxa"/>
            <w:tcBorders>
              <w:top w:val="single" w:color="000000" w:sz="4" w:space="0"/>
              <w:left w:val="nil"/>
              <w:bottom w:val="single" w:color="000000" w:sz="4" w:space="0"/>
              <w:right w:val="single" w:color="000000" w:sz="4" w:space="0"/>
            </w:tcBorders>
            <w:vAlign w:val="center"/>
          </w:tcPr>
          <w:p w14:paraId="35C7FB11">
            <w:pPr>
              <w:autoSpaceDE w:val="0"/>
              <w:spacing w:line="276" w:lineRule="auto"/>
              <w:jc w:val="center"/>
              <w:rPr>
                <w:rFonts w:ascii="宋体" w:hAnsi="宋体" w:cs="宋体"/>
                <w:szCs w:val="21"/>
                <w:highlight w:val="none"/>
              </w:rPr>
            </w:pPr>
            <w:r>
              <w:rPr>
                <w:rFonts w:hint="eastAsia" w:ascii="宋体" w:hAnsi="宋体"/>
                <w:highlight w:val="none"/>
              </w:rPr>
              <w:t>(   )</w:t>
            </w:r>
          </w:p>
        </w:tc>
        <w:tc>
          <w:tcPr>
            <w:tcW w:w="1152" w:type="dxa"/>
            <w:tcBorders>
              <w:top w:val="single" w:color="000000" w:sz="4" w:space="0"/>
              <w:left w:val="nil"/>
              <w:bottom w:val="single" w:color="000000" w:sz="4" w:space="0"/>
              <w:right w:val="single" w:color="000000" w:sz="4" w:space="0"/>
            </w:tcBorders>
            <w:vAlign w:val="center"/>
          </w:tcPr>
          <w:p w14:paraId="53F78BDF">
            <w:pPr>
              <w:autoSpaceDE w:val="0"/>
              <w:spacing w:line="276" w:lineRule="auto"/>
              <w:jc w:val="center"/>
              <w:rPr>
                <w:rFonts w:ascii="宋体" w:hAnsi="宋体" w:cs="宋体"/>
                <w:szCs w:val="21"/>
                <w:highlight w:val="none"/>
              </w:rPr>
            </w:pPr>
            <w:r>
              <w:rPr>
                <w:rFonts w:hint="eastAsia" w:ascii="宋体" w:hAnsi="宋体"/>
                <w:highlight w:val="none"/>
              </w:rPr>
              <w:t>(    )</w:t>
            </w:r>
          </w:p>
        </w:tc>
        <w:tc>
          <w:tcPr>
            <w:tcW w:w="624" w:type="dxa"/>
            <w:tcBorders>
              <w:top w:val="single" w:color="000000" w:sz="4" w:space="0"/>
              <w:left w:val="nil"/>
              <w:bottom w:val="single" w:color="000000" w:sz="4" w:space="0"/>
              <w:right w:val="single" w:color="000000" w:sz="4" w:space="0"/>
            </w:tcBorders>
            <w:vAlign w:val="center"/>
          </w:tcPr>
          <w:p w14:paraId="5ABDDBE7">
            <w:pPr>
              <w:autoSpaceDE w:val="0"/>
              <w:spacing w:line="276" w:lineRule="auto"/>
              <w:rPr>
                <w:rFonts w:ascii="宋体" w:hAnsi="宋体" w:cs="宋体"/>
                <w:szCs w:val="21"/>
                <w:highlight w:val="none"/>
              </w:rPr>
            </w:pPr>
          </w:p>
        </w:tc>
      </w:tr>
      <w:tr w14:paraId="04C33A1F">
        <w:tblPrEx>
          <w:tblCellMar>
            <w:top w:w="0" w:type="dxa"/>
            <w:left w:w="108" w:type="dxa"/>
            <w:bottom w:w="0" w:type="dxa"/>
            <w:right w:w="108" w:type="dxa"/>
          </w:tblCellMar>
        </w:tblPrEx>
        <w:trPr>
          <w:trHeight w:val="270" w:hRule="atLeast"/>
          <w:jc w:val="center"/>
        </w:trPr>
        <w:tc>
          <w:tcPr>
            <w:tcW w:w="6612" w:type="dxa"/>
            <w:tcBorders>
              <w:top w:val="single" w:color="000000" w:sz="4" w:space="0"/>
              <w:left w:val="single" w:color="000000" w:sz="4" w:space="0"/>
              <w:bottom w:val="single" w:color="000000" w:sz="4" w:space="0"/>
              <w:right w:val="single" w:color="000000" w:sz="4" w:space="0"/>
            </w:tcBorders>
            <w:vAlign w:val="center"/>
          </w:tcPr>
          <w:p w14:paraId="565C0BF1">
            <w:pPr>
              <w:widowControl/>
              <w:autoSpaceDE w:val="0"/>
              <w:spacing w:line="276" w:lineRule="auto"/>
              <w:jc w:val="left"/>
              <w:textAlignment w:val="center"/>
              <w:rPr>
                <w:rFonts w:ascii="宋体" w:hAnsi="宋体" w:cs="宋体"/>
                <w:szCs w:val="21"/>
                <w:highlight w:val="none"/>
              </w:rPr>
            </w:pPr>
            <w:r>
              <w:rPr>
                <w:rFonts w:hint="eastAsia" w:ascii="宋体" w:hAnsi="宋体"/>
                <w:kern w:val="0"/>
                <w:highlight w:val="none"/>
              </w:rPr>
              <w:t>超过一定规模的危险性较大的分部分项工程范围</w:t>
            </w:r>
          </w:p>
        </w:tc>
        <w:tc>
          <w:tcPr>
            <w:tcW w:w="1272" w:type="dxa"/>
            <w:tcBorders>
              <w:top w:val="single" w:color="000000" w:sz="4" w:space="0"/>
              <w:left w:val="nil"/>
              <w:bottom w:val="single" w:color="000000" w:sz="4" w:space="0"/>
              <w:right w:val="single" w:color="000000" w:sz="4" w:space="0"/>
            </w:tcBorders>
            <w:vAlign w:val="center"/>
          </w:tcPr>
          <w:p w14:paraId="2442EFF3">
            <w:pPr>
              <w:autoSpaceDE w:val="0"/>
              <w:spacing w:line="276" w:lineRule="auto"/>
              <w:jc w:val="center"/>
              <w:rPr>
                <w:rFonts w:ascii="宋体" w:hAnsi="宋体" w:cs="宋体"/>
                <w:szCs w:val="21"/>
                <w:highlight w:val="none"/>
              </w:rPr>
            </w:pPr>
            <w:r>
              <w:rPr>
                <w:rFonts w:hint="eastAsia" w:ascii="宋体" w:hAnsi="宋体"/>
                <w:highlight w:val="none"/>
              </w:rPr>
              <w:t>(   )</w:t>
            </w:r>
          </w:p>
        </w:tc>
        <w:tc>
          <w:tcPr>
            <w:tcW w:w="1152" w:type="dxa"/>
            <w:tcBorders>
              <w:top w:val="single" w:color="000000" w:sz="4" w:space="0"/>
              <w:left w:val="nil"/>
              <w:bottom w:val="single" w:color="000000" w:sz="4" w:space="0"/>
              <w:right w:val="single" w:color="000000" w:sz="4" w:space="0"/>
            </w:tcBorders>
            <w:vAlign w:val="center"/>
          </w:tcPr>
          <w:p w14:paraId="36FBF71F">
            <w:pPr>
              <w:autoSpaceDE w:val="0"/>
              <w:spacing w:line="276" w:lineRule="auto"/>
              <w:jc w:val="center"/>
              <w:rPr>
                <w:rFonts w:ascii="宋体" w:hAnsi="宋体" w:cs="宋体"/>
                <w:szCs w:val="21"/>
                <w:highlight w:val="none"/>
              </w:rPr>
            </w:pPr>
            <w:r>
              <w:rPr>
                <w:rFonts w:hint="eastAsia" w:ascii="宋体" w:hAnsi="宋体"/>
                <w:highlight w:val="none"/>
              </w:rPr>
              <w:t>(    )</w:t>
            </w:r>
          </w:p>
        </w:tc>
        <w:tc>
          <w:tcPr>
            <w:tcW w:w="624" w:type="dxa"/>
            <w:tcBorders>
              <w:top w:val="single" w:color="000000" w:sz="4" w:space="0"/>
              <w:left w:val="nil"/>
              <w:bottom w:val="single" w:color="000000" w:sz="4" w:space="0"/>
              <w:right w:val="single" w:color="000000" w:sz="4" w:space="0"/>
            </w:tcBorders>
            <w:vAlign w:val="center"/>
          </w:tcPr>
          <w:p w14:paraId="7B4442CA">
            <w:pPr>
              <w:autoSpaceDE w:val="0"/>
              <w:spacing w:line="276" w:lineRule="auto"/>
              <w:rPr>
                <w:rFonts w:ascii="宋体" w:hAnsi="宋体" w:cs="宋体"/>
                <w:szCs w:val="21"/>
                <w:highlight w:val="none"/>
              </w:rPr>
            </w:pPr>
          </w:p>
        </w:tc>
      </w:tr>
      <w:tr w14:paraId="5EDC9570">
        <w:tblPrEx>
          <w:tblCellMar>
            <w:top w:w="0" w:type="dxa"/>
            <w:left w:w="108" w:type="dxa"/>
            <w:bottom w:w="0" w:type="dxa"/>
            <w:right w:w="108" w:type="dxa"/>
          </w:tblCellMar>
        </w:tblPrEx>
        <w:trPr>
          <w:trHeight w:val="270" w:hRule="atLeast"/>
          <w:jc w:val="center"/>
        </w:trPr>
        <w:tc>
          <w:tcPr>
            <w:tcW w:w="6612" w:type="dxa"/>
            <w:tcBorders>
              <w:top w:val="single" w:color="000000" w:sz="4" w:space="0"/>
              <w:left w:val="single" w:color="000000" w:sz="4" w:space="0"/>
              <w:bottom w:val="single" w:color="000000" w:sz="4" w:space="0"/>
              <w:right w:val="single" w:color="000000" w:sz="4" w:space="0"/>
            </w:tcBorders>
            <w:vAlign w:val="center"/>
          </w:tcPr>
          <w:p w14:paraId="509958C1">
            <w:pPr>
              <w:widowControl/>
              <w:autoSpaceDE w:val="0"/>
              <w:spacing w:line="276" w:lineRule="auto"/>
              <w:jc w:val="left"/>
              <w:textAlignment w:val="center"/>
              <w:rPr>
                <w:rFonts w:ascii="宋体" w:hAnsi="宋体" w:cs="宋体"/>
                <w:szCs w:val="21"/>
                <w:highlight w:val="none"/>
              </w:rPr>
            </w:pPr>
            <w:r>
              <w:rPr>
                <w:rFonts w:hint="eastAsia" w:ascii="宋体" w:hAnsi="宋体"/>
                <w:kern w:val="0"/>
                <w:highlight w:val="none"/>
              </w:rPr>
              <w:t>一、深基坑工程</w:t>
            </w:r>
          </w:p>
        </w:tc>
        <w:tc>
          <w:tcPr>
            <w:tcW w:w="1272" w:type="dxa"/>
            <w:tcBorders>
              <w:top w:val="single" w:color="000000" w:sz="4" w:space="0"/>
              <w:left w:val="nil"/>
              <w:bottom w:val="single" w:color="000000" w:sz="4" w:space="0"/>
              <w:right w:val="single" w:color="000000" w:sz="4" w:space="0"/>
            </w:tcBorders>
            <w:vAlign w:val="center"/>
          </w:tcPr>
          <w:p w14:paraId="25EEC55F">
            <w:pPr>
              <w:autoSpaceDE w:val="0"/>
              <w:spacing w:line="276" w:lineRule="auto"/>
              <w:jc w:val="center"/>
              <w:rPr>
                <w:rFonts w:ascii="宋体" w:hAnsi="宋体" w:cs="宋体"/>
                <w:szCs w:val="21"/>
                <w:highlight w:val="none"/>
              </w:rPr>
            </w:pPr>
            <w:r>
              <w:rPr>
                <w:rFonts w:hint="eastAsia" w:ascii="宋体" w:hAnsi="宋体"/>
                <w:highlight w:val="none"/>
              </w:rPr>
              <w:t>(   )</w:t>
            </w:r>
          </w:p>
        </w:tc>
        <w:tc>
          <w:tcPr>
            <w:tcW w:w="1152" w:type="dxa"/>
            <w:tcBorders>
              <w:top w:val="single" w:color="000000" w:sz="4" w:space="0"/>
              <w:left w:val="nil"/>
              <w:bottom w:val="single" w:color="000000" w:sz="4" w:space="0"/>
              <w:right w:val="single" w:color="000000" w:sz="4" w:space="0"/>
            </w:tcBorders>
            <w:vAlign w:val="center"/>
          </w:tcPr>
          <w:p w14:paraId="54169E82">
            <w:pPr>
              <w:autoSpaceDE w:val="0"/>
              <w:spacing w:line="276" w:lineRule="auto"/>
              <w:jc w:val="center"/>
              <w:rPr>
                <w:rFonts w:ascii="宋体" w:hAnsi="宋体" w:cs="宋体"/>
                <w:szCs w:val="21"/>
                <w:highlight w:val="none"/>
              </w:rPr>
            </w:pPr>
            <w:r>
              <w:rPr>
                <w:rFonts w:hint="eastAsia" w:ascii="宋体" w:hAnsi="宋体"/>
                <w:highlight w:val="none"/>
              </w:rPr>
              <w:t>(    )</w:t>
            </w:r>
          </w:p>
        </w:tc>
        <w:tc>
          <w:tcPr>
            <w:tcW w:w="624" w:type="dxa"/>
            <w:tcBorders>
              <w:top w:val="single" w:color="000000" w:sz="4" w:space="0"/>
              <w:left w:val="nil"/>
              <w:bottom w:val="single" w:color="000000" w:sz="4" w:space="0"/>
              <w:right w:val="single" w:color="000000" w:sz="4" w:space="0"/>
            </w:tcBorders>
            <w:vAlign w:val="center"/>
          </w:tcPr>
          <w:p w14:paraId="02CBC8A2">
            <w:pPr>
              <w:autoSpaceDE w:val="0"/>
              <w:spacing w:line="276" w:lineRule="auto"/>
              <w:rPr>
                <w:rFonts w:ascii="宋体" w:hAnsi="宋体" w:cs="宋体"/>
                <w:szCs w:val="21"/>
                <w:highlight w:val="none"/>
              </w:rPr>
            </w:pPr>
          </w:p>
        </w:tc>
      </w:tr>
      <w:tr w14:paraId="2FBB271D">
        <w:tblPrEx>
          <w:tblCellMar>
            <w:top w:w="0" w:type="dxa"/>
            <w:left w:w="108" w:type="dxa"/>
            <w:bottom w:w="0" w:type="dxa"/>
            <w:right w:w="108" w:type="dxa"/>
          </w:tblCellMar>
        </w:tblPrEx>
        <w:trPr>
          <w:trHeight w:val="313" w:hRule="atLeast"/>
          <w:jc w:val="center"/>
        </w:trPr>
        <w:tc>
          <w:tcPr>
            <w:tcW w:w="6612" w:type="dxa"/>
            <w:tcBorders>
              <w:top w:val="single" w:color="000000" w:sz="4" w:space="0"/>
              <w:left w:val="single" w:color="000000" w:sz="4" w:space="0"/>
              <w:bottom w:val="single" w:color="000000" w:sz="4" w:space="0"/>
              <w:right w:val="single" w:color="000000" w:sz="4" w:space="0"/>
            </w:tcBorders>
            <w:vAlign w:val="center"/>
          </w:tcPr>
          <w:p w14:paraId="4F5DD86F">
            <w:pPr>
              <w:widowControl/>
              <w:autoSpaceDE w:val="0"/>
              <w:spacing w:line="276" w:lineRule="auto"/>
              <w:jc w:val="left"/>
              <w:textAlignment w:val="center"/>
              <w:rPr>
                <w:rFonts w:ascii="宋体" w:hAnsi="宋体" w:cs="宋体"/>
                <w:szCs w:val="21"/>
                <w:highlight w:val="none"/>
              </w:rPr>
            </w:pPr>
            <w:r>
              <w:rPr>
                <w:rFonts w:hint="eastAsia" w:ascii="宋体" w:hAnsi="宋体"/>
                <w:kern w:val="0"/>
                <w:highlight w:val="none"/>
              </w:rPr>
              <w:t>开挖深度超过5m（含5m）的基坑（槽）的土方开挖、支护、降水工程。</w:t>
            </w:r>
          </w:p>
        </w:tc>
        <w:tc>
          <w:tcPr>
            <w:tcW w:w="1272" w:type="dxa"/>
            <w:tcBorders>
              <w:top w:val="single" w:color="000000" w:sz="4" w:space="0"/>
              <w:left w:val="nil"/>
              <w:bottom w:val="single" w:color="000000" w:sz="4" w:space="0"/>
              <w:right w:val="single" w:color="000000" w:sz="4" w:space="0"/>
            </w:tcBorders>
            <w:vAlign w:val="center"/>
          </w:tcPr>
          <w:p w14:paraId="5E44F6A2">
            <w:pPr>
              <w:autoSpaceDE w:val="0"/>
              <w:spacing w:line="276" w:lineRule="auto"/>
              <w:jc w:val="center"/>
              <w:rPr>
                <w:rFonts w:ascii="宋体" w:hAnsi="宋体" w:cs="宋体"/>
                <w:szCs w:val="21"/>
                <w:highlight w:val="none"/>
              </w:rPr>
            </w:pPr>
            <w:r>
              <w:rPr>
                <w:rFonts w:hint="eastAsia" w:ascii="宋体" w:hAnsi="宋体"/>
                <w:highlight w:val="none"/>
              </w:rPr>
              <w:t>(   )</w:t>
            </w:r>
          </w:p>
        </w:tc>
        <w:tc>
          <w:tcPr>
            <w:tcW w:w="1152" w:type="dxa"/>
            <w:tcBorders>
              <w:top w:val="single" w:color="000000" w:sz="4" w:space="0"/>
              <w:left w:val="nil"/>
              <w:bottom w:val="single" w:color="000000" w:sz="4" w:space="0"/>
              <w:right w:val="single" w:color="000000" w:sz="4" w:space="0"/>
            </w:tcBorders>
            <w:vAlign w:val="center"/>
          </w:tcPr>
          <w:p w14:paraId="16B69CAA">
            <w:pPr>
              <w:autoSpaceDE w:val="0"/>
              <w:spacing w:line="276" w:lineRule="auto"/>
              <w:jc w:val="center"/>
              <w:rPr>
                <w:rFonts w:ascii="宋体" w:hAnsi="宋体" w:cs="宋体"/>
                <w:szCs w:val="21"/>
                <w:highlight w:val="none"/>
              </w:rPr>
            </w:pPr>
            <w:r>
              <w:rPr>
                <w:rFonts w:hint="eastAsia" w:ascii="宋体" w:hAnsi="宋体"/>
                <w:highlight w:val="none"/>
              </w:rPr>
              <w:t>(    )</w:t>
            </w:r>
          </w:p>
        </w:tc>
        <w:tc>
          <w:tcPr>
            <w:tcW w:w="624" w:type="dxa"/>
            <w:tcBorders>
              <w:top w:val="single" w:color="000000" w:sz="4" w:space="0"/>
              <w:left w:val="nil"/>
              <w:bottom w:val="single" w:color="000000" w:sz="4" w:space="0"/>
              <w:right w:val="single" w:color="000000" w:sz="4" w:space="0"/>
            </w:tcBorders>
            <w:vAlign w:val="center"/>
          </w:tcPr>
          <w:p w14:paraId="76A4EA3D">
            <w:pPr>
              <w:autoSpaceDE w:val="0"/>
              <w:spacing w:line="276" w:lineRule="auto"/>
              <w:rPr>
                <w:rFonts w:ascii="宋体" w:hAnsi="宋体" w:cs="宋体"/>
                <w:szCs w:val="21"/>
                <w:highlight w:val="none"/>
              </w:rPr>
            </w:pPr>
          </w:p>
        </w:tc>
      </w:tr>
      <w:tr w14:paraId="08A0398A">
        <w:tblPrEx>
          <w:tblCellMar>
            <w:top w:w="0" w:type="dxa"/>
            <w:left w:w="108" w:type="dxa"/>
            <w:bottom w:w="0" w:type="dxa"/>
            <w:right w:w="108" w:type="dxa"/>
          </w:tblCellMar>
        </w:tblPrEx>
        <w:trPr>
          <w:trHeight w:val="270" w:hRule="atLeast"/>
          <w:jc w:val="center"/>
        </w:trPr>
        <w:tc>
          <w:tcPr>
            <w:tcW w:w="6612" w:type="dxa"/>
            <w:tcBorders>
              <w:top w:val="single" w:color="000000" w:sz="4" w:space="0"/>
              <w:left w:val="single" w:color="000000" w:sz="4" w:space="0"/>
              <w:bottom w:val="single" w:color="000000" w:sz="4" w:space="0"/>
              <w:right w:val="single" w:color="000000" w:sz="4" w:space="0"/>
            </w:tcBorders>
            <w:vAlign w:val="center"/>
          </w:tcPr>
          <w:p w14:paraId="39D84E3D">
            <w:pPr>
              <w:widowControl/>
              <w:autoSpaceDE w:val="0"/>
              <w:spacing w:line="276" w:lineRule="auto"/>
              <w:jc w:val="left"/>
              <w:textAlignment w:val="center"/>
              <w:rPr>
                <w:rFonts w:ascii="宋体" w:hAnsi="宋体" w:cs="宋体"/>
                <w:szCs w:val="21"/>
                <w:highlight w:val="none"/>
              </w:rPr>
            </w:pPr>
            <w:r>
              <w:rPr>
                <w:rFonts w:hint="eastAsia" w:ascii="宋体" w:hAnsi="宋体"/>
                <w:kern w:val="0"/>
                <w:highlight w:val="none"/>
              </w:rPr>
              <w:t>二、模板工程及支撑体系</w:t>
            </w:r>
          </w:p>
        </w:tc>
        <w:tc>
          <w:tcPr>
            <w:tcW w:w="1272" w:type="dxa"/>
            <w:tcBorders>
              <w:top w:val="single" w:color="000000" w:sz="4" w:space="0"/>
              <w:left w:val="nil"/>
              <w:bottom w:val="single" w:color="000000" w:sz="4" w:space="0"/>
              <w:right w:val="single" w:color="000000" w:sz="4" w:space="0"/>
            </w:tcBorders>
            <w:vAlign w:val="center"/>
          </w:tcPr>
          <w:p w14:paraId="3A3E57AC">
            <w:pPr>
              <w:autoSpaceDE w:val="0"/>
              <w:spacing w:line="276" w:lineRule="auto"/>
              <w:jc w:val="center"/>
              <w:rPr>
                <w:rFonts w:ascii="宋体" w:hAnsi="宋体" w:cs="宋体"/>
                <w:szCs w:val="21"/>
                <w:highlight w:val="none"/>
              </w:rPr>
            </w:pPr>
            <w:r>
              <w:rPr>
                <w:rFonts w:hint="eastAsia" w:ascii="宋体" w:hAnsi="宋体"/>
                <w:highlight w:val="none"/>
              </w:rPr>
              <w:t>(   )</w:t>
            </w:r>
          </w:p>
        </w:tc>
        <w:tc>
          <w:tcPr>
            <w:tcW w:w="1152" w:type="dxa"/>
            <w:tcBorders>
              <w:top w:val="single" w:color="000000" w:sz="4" w:space="0"/>
              <w:left w:val="nil"/>
              <w:bottom w:val="single" w:color="000000" w:sz="4" w:space="0"/>
              <w:right w:val="single" w:color="000000" w:sz="4" w:space="0"/>
            </w:tcBorders>
            <w:vAlign w:val="center"/>
          </w:tcPr>
          <w:p w14:paraId="04B62F57">
            <w:pPr>
              <w:autoSpaceDE w:val="0"/>
              <w:spacing w:line="276" w:lineRule="auto"/>
              <w:jc w:val="center"/>
              <w:rPr>
                <w:rFonts w:ascii="宋体" w:hAnsi="宋体" w:cs="宋体"/>
                <w:szCs w:val="21"/>
                <w:highlight w:val="none"/>
              </w:rPr>
            </w:pPr>
            <w:r>
              <w:rPr>
                <w:rFonts w:hint="eastAsia" w:ascii="宋体" w:hAnsi="宋体"/>
                <w:highlight w:val="none"/>
              </w:rPr>
              <w:t>(    )</w:t>
            </w:r>
          </w:p>
        </w:tc>
        <w:tc>
          <w:tcPr>
            <w:tcW w:w="624" w:type="dxa"/>
            <w:tcBorders>
              <w:top w:val="single" w:color="000000" w:sz="4" w:space="0"/>
              <w:left w:val="nil"/>
              <w:bottom w:val="single" w:color="000000" w:sz="4" w:space="0"/>
              <w:right w:val="single" w:color="000000" w:sz="4" w:space="0"/>
            </w:tcBorders>
            <w:vAlign w:val="center"/>
          </w:tcPr>
          <w:p w14:paraId="5C42C584">
            <w:pPr>
              <w:autoSpaceDE w:val="0"/>
              <w:spacing w:line="276" w:lineRule="auto"/>
              <w:rPr>
                <w:rFonts w:ascii="宋体" w:hAnsi="宋体" w:cs="宋体"/>
                <w:szCs w:val="21"/>
                <w:highlight w:val="none"/>
              </w:rPr>
            </w:pPr>
          </w:p>
        </w:tc>
      </w:tr>
      <w:tr w14:paraId="03E5AB86">
        <w:tblPrEx>
          <w:tblCellMar>
            <w:top w:w="0" w:type="dxa"/>
            <w:left w:w="108" w:type="dxa"/>
            <w:bottom w:w="0" w:type="dxa"/>
            <w:right w:w="108" w:type="dxa"/>
          </w:tblCellMar>
        </w:tblPrEx>
        <w:trPr>
          <w:trHeight w:val="303" w:hRule="atLeast"/>
          <w:jc w:val="center"/>
        </w:trPr>
        <w:tc>
          <w:tcPr>
            <w:tcW w:w="6612" w:type="dxa"/>
            <w:tcBorders>
              <w:top w:val="single" w:color="000000" w:sz="4" w:space="0"/>
              <w:left w:val="single" w:color="000000" w:sz="4" w:space="0"/>
              <w:bottom w:val="single" w:color="000000" w:sz="4" w:space="0"/>
              <w:right w:val="single" w:color="000000" w:sz="4" w:space="0"/>
            </w:tcBorders>
            <w:vAlign w:val="center"/>
          </w:tcPr>
          <w:p w14:paraId="05CC1BC8">
            <w:pPr>
              <w:widowControl/>
              <w:autoSpaceDE w:val="0"/>
              <w:spacing w:line="276" w:lineRule="auto"/>
              <w:jc w:val="left"/>
              <w:textAlignment w:val="center"/>
              <w:rPr>
                <w:rFonts w:ascii="宋体" w:hAnsi="宋体" w:cs="宋体"/>
                <w:szCs w:val="21"/>
                <w:highlight w:val="none"/>
              </w:rPr>
            </w:pPr>
            <w:r>
              <w:rPr>
                <w:rFonts w:hint="eastAsia" w:ascii="宋体" w:hAnsi="宋体"/>
                <w:kern w:val="0"/>
                <w:highlight w:val="none"/>
              </w:rPr>
              <w:t>（一）各类工具式模板工程：包括滑模、爬模、飞模、隧道模等工程。</w:t>
            </w:r>
          </w:p>
        </w:tc>
        <w:tc>
          <w:tcPr>
            <w:tcW w:w="1272" w:type="dxa"/>
            <w:tcBorders>
              <w:top w:val="single" w:color="000000" w:sz="4" w:space="0"/>
              <w:left w:val="nil"/>
              <w:bottom w:val="single" w:color="000000" w:sz="4" w:space="0"/>
              <w:right w:val="single" w:color="000000" w:sz="4" w:space="0"/>
            </w:tcBorders>
            <w:vAlign w:val="center"/>
          </w:tcPr>
          <w:p w14:paraId="0252876D">
            <w:pPr>
              <w:autoSpaceDE w:val="0"/>
              <w:spacing w:line="276" w:lineRule="auto"/>
              <w:jc w:val="center"/>
              <w:rPr>
                <w:rFonts w:ascii="宋体" w:hAnsi="宋体" w:cs="宋体"/>
                <w:szCs w:val="21"/>
                <w:highlight w:val="none"/>
              </w:rPr>
            </w:pPr>
            <w:r>
              <w:rPr>
                <w:rFonts w:hint="eastAsia" w:ascii="宋体" w:hAnsi="宋体"/>
                <w:highlight w:val="none"/>
              </w:rPr>
              <w:t>(   )</w:t>
            </w:r>
          </w:p>
        </w:tc>
        <w:tc>
          <w:tcPr>
            <w:tcW w:w="1152" w:type="dxa"/>
            <w:tcBorders>
              <w:top w:val="single" w:color="000000" w:sz="4" w:space="0"/>
              <w:left w:val="nil"/>
              <w:bottom w:val="single" w:color="000000" w:sz="4" w:space="0"/>
              <w:right w:val="single" w:color="000000" w:sz="4" w:space="0"/>
            </w:tcBorders>
            <w:vAlign w:val="center"/>
          </w:tcPr>
          <w:p w14:paraId="332203D1">
            <w:pPr>
              <w:autoSpaceDE w:val="0"/>
              <w:spacing w:line="276" w:lineRule="auto"/>
              <w:jc w:val="center"/>
              <w:rPr>
                <w:rFonts w:ascii="宋体" w:hAnsi="宋体" w:cs="宋体"/>
                <w:szCs w:val="21"/>
                <w:highlight w:val="none"/>
              </w:rPr>
            </w:pPr>
            <w:r>
              <w:rPr>
                <w:rFonts w:hint="eastAsia" w:ascii="宋体" w:hAnsi="宋体"/>
                <w:highlight w:val="none"/>
              </w:rPr>
              <w:t>(    )</w:t>
            </w:r>
          </w:p>
        </w:tc>
        <w:tc>
          <w:tcPr>
            <w:tcW w:w="624" w:type="dxa"/>
            <w:tcBorders>
              <w:top w:val="single" w:color="000000" w:sz="4" w:space="0"/>
              <w:left w:val="nil"/>
              <w:bottom w:val="single" w:color="000000" w:sz="4" w:space="0"/>
              <w:right w:val="single" w:color="000000" w:sz="4" w:space="0"/>
            </w:tcBorders>
            <w:vAlign w:val="center"/>
          </w:tcPr>
          <w:p w14:paraId="3AF92AA4">
            <w:pPr>
              <w:autoSpaceDE w:val="0"/>
              <w:spacing w:line="276" w:lineRule="auto"/>
              <w:rPr>
                <w:rFonts w:ascii="宋体" w:hAnsi="宋体" w:cs="宋体"/>
                <w:szCs w:val="21"/>
                <w:highlight w:val="none"/>
              </w:rPr>
            </w:pPr>
          </w:p>
        </w:tc>
      </w:tr>
      <w:tr w14:paraId="56C657ED">
        <w:tblPrEx>
          <w:tblCellMar>
            <w:top w:w="0" w:type="dxa"/>
            <w:left w:w="108" w:type="dxa"/>
            <w:bottom w:w="0" w:type="dxa"/>
            <w:right w:w="108" w:type="dxa"/>
          </w:tblCellMar>
        </w:tblPrEx>
        <w:trPr>
          <w:trHeight w:val="90" w:hRule="atLeast"/>
          <w:jc w:val="center"/>
        </w:trPr>
        <w:tc>
          <w:tcPr>
            <w:tcW w:w="6612" w:type="dxa"/>
            <w:tcBorders>
              <w:top w:val="single" w:color="000000" w:sz="4" w:space="0"/>
              <w:left w:val="single" w:color="000000" w:sz="4" w:space="0"/>
              <w:bottom w:val="single" w:color="000000" w:sz="4" w:space="0"/>
              <w:right w:val="single" w:color="000000" w:sz="4" w:space="0"/>
            </w:tcBorders>
            <w:vAlign w:val="center"/>
          </w:tcPr>
          <w:p w14:paraId="1CF1F445">
            <w:pPr>
              <w:widowControl/>
              <w:autoSpaceDE w:val="0"/>
              <w:spacing w:line="276" w:lineRule="auto"/>
              <w:jc w:val="left"/>
              <w:textAlignment w:val="center"/>
              <w:rPr>
                <w:rFonts w:ascii="宋体" w:hAnsi="宋体" w:cs="宋体"/>
                <w:szCs w:val="21"/>
                <w:highlight w:val="none"/>
              </w:rPr>
            </w:pPr>
            <w:r>
              <w:rPr>
                <w:rFonts w:hint="eastAsia" w:ascii="宋体" w:hAnsi="宋体"/>
                <w:kern w:val="0"/>
                <w:highlight w:val="none"/>
              </w:rPr>
              <w:t>（二）混凝土模板支撑工程：搭设高度8m及以上，或搭设跨度18m及以上，或施工总荷载（设计值）15kN/m2及以上，或集中线荷载（设计值）20kN/m及以上。</w:t>
            </w:r>
          </w:p>
        </w:tc>
        <w:tc>
          <w:tcPr>
            <w:tcW w:w="1272" w:type="dxa"/>
            <w:tcBorders>
              <w:top w:val="single" w:color="000000" w:sz="4" w:space="0"/>
              <w:left w:val="nil"/>
              <w:bottom w:val="single" w:color="000000" w:sz="4" w:space="0"/>
              <w:right w:val="single" w:color="000000" w:sz="4" w:space="0"/>
            </w:tcBorders>
            <w:vAlign w:val="center"/>
          </w:tcPr>
          <w:p w14:paraId="0934C493">
            <w:pPr>
              <w:autoSpaceDE w:val="0"/>
              <w:spacing w:line="276" w:lineRule="auto"/>
              <w:jc w:val="center"/>
              <w:rPr>
                <w:rFonts w:ascii="宋体" w:hAnsi="宋体" w:cs="宋体"/>
                <w:szCs w:val="21"/>
                <w:highlight w:val="none"/>
              </w:rPr>
            </w:pPr>
            <w:r>
              <w:rPr>
                <w:rFonts w:hint="eastAsia" w:ascii="宋体" w:hAnsi="宋体"/>
                <w:highlight w:val="none"/>
              </w:rPr>
              <w:t>(   )</w:t>
            </w:r>
          </w:p>
        </w:tc>
        <w:tc>
          <w:tcPr>
            <w:tcW w:w="1152" w:type="dxa"/>
            <w:tcBorders>
              <w:top w:val="single" w:color="000000" w:sz="4" w:space="0"/>
              <w:left w:val="nil"/>
              <w:bottom w:val="single" w:color="000000" w:sz="4" w:space="0"/>
              <w:right w:val="single" w:color="000000" w:sz="4" w:space="0"/>
            </w:tcBorders>
            <w:vAlign w:val="center"/>
          </w:tcPr>
          <w:p w14:paraId="4865F625">
            <w:pPr>
              <w:autoSpaceDE w:val="0"/>
              <w:spacing w:line="276" w:lineRule="auto"/>
              <w:jc w:val="center"/>
              <w:rPr>
                <w:rFonts w:ascii="宋体" w:hAnsi="宋体" w:cs="宋体"/>
                <w:szCs w:val="21"/>
                <w:highlight w:val="none"/>
              </w:rPr>
            </w:pPr>
            <w:r>
              <w:rPr>
                <w:rFonts w:hint="eastAsia" w:ascii="宋体" w:hAnsi="宋体"/>
                <w:highlight w:val="none"/>
              </w:rPr>
              <w:t>(    )</w:t>
            </w:r>
          </w:p>
        </w:tc>
        <w:tc>
          <w:tcPr>
            <w:tcW w:w="624" w:type="dxa"/>
            <w:tcBorders>
              <w:top w:val="single" w:color="000000" w:sz="4" w:space="0"/>
              <w:left w:val="nil"/>
              <w:bottom w:val="single" w:color="000000" w:sz="4" w:space="0"/>
              <w:right w:val="single" w:color="000000" w:sz="4" w:space="0"/>
            </w:tcBorders>
            <w:vAlign w:val="center"/>
          </w:tcPr>
          <w:p w14:paraId="0AA0D2DE">
            <w:pPr>
              <w:autoSpaceDE w:val="0"/>
              <w:spacing w:line="276" w:lineRule="auto"/>
              <w:rPr>
                <w:rFonts w:ascii="宋体" w:hAnsi="宋体" w:cs="宋体"/>
                <w:szCs w:val="21"/>
                <w:highlight w:val="none"/>
              </w:rPr>
            </w:pPr>
          </w:p>
        </w:tc>
      </w:tr>
      <w:tr w14:paraId="2974BA68">
        <w:tblPrEx>
          <w:tblCellMar>
            <w:top w:w="0" w:type="dxa"/>
            <w:left w:w="108" w:type="dxa"/>
            <w:bottom w:w="0" w:type="dxa"/>
            <w:right w:w="108" w:type="dxa"/>
          </w:tblCellMar>
        </w:tblPrEx>
        <w:trPr>
          <w:trHeight w:val="480" w:hRule="atLeast"/>
          <w:jc w:val="center"/>
        </w:trPr>
        <w:tc>
          <w:tcPr>
            <w:tcW w:w="6612" w:type="dxa"/>
            <w:tcBorders>
              <w:top w:val="single" w:color="000000" w:sz="4" w:space="0"/>
              <w:left w:val="single" w:color="000000" w:sz="4" w:space="0"/>
              <w:bottom w:val="single" w:color="000000" w:sz="4" w:space="0"/>
              <w:right w:val="single" w:color="000000" w:sz="4" w:space="0"/>
            </w:tcBorders>
            <w:vAlign w:val="center"/>
          </w:tcPr>
          <w:p w14:paraId="122811AB">
            <w:pPr>
              <w:widowControl/>
              <w:autoSpaceDE w:val="0"/>
              <w:spacing w:line="276" w:lineRule="auto"/>
              <w:jc w:val="left"/>
              <w:textAlignment w:val="center"/>
              <w:rPr>
                <w:rFonts w:ascii="宋体" w:hAnsi="宋体" w:cs="宋体"/>
                <w:szCs w:val="21"/>
                <w:highlight w:val="none"/>
              </w:rPr>
            </w:pPr>
            <w:r>
              <w:rPr>
                <w:rFonts w:hint="eastAsia" w:ascii="宋体" w:hAnsi="宋体"/>
                <w:kern w:val="0"/>
                <w:highlight w:val="none"/>
              </w:rPr>
              <w:t>（三）承重支撑体系：用于钢结构安装等满堂支撑体系，承受单点集中荷载7kN及以上。</w:t>
            </w:r>
          </w:p>
        </w:tc>
        <w:tc>
          <w:tcPr>
            <w:tcW w:w="1272" w:type="dxa"/>
            <w:tcBorders>
              <w:top w:val="single" w:color="000000" w:sz="4" w:space="0"/>
              <w:left w:val="nil"/>
              <w:bottom w:val="single" w:color="000000" w:sz="4" w:space="0"/>
              <w:right w:val="single" w:color="000000" w:sz="4" w:space="0"/>
            </w:tcBorders>
            <w:vAlign w:val="center"/>
          </w:tcPr>
          <w:p w14:paraId="263A762F">
            <w:pPr>
              <w:autoSpaceDE w:val="0"/>
              <w:spacing w:line="276" w:lineRule="auto"/>
              <w:jc w:val="center"/>
              <w:rPr>
                <w:rFonts w:ascii="宋体" w:hAnsi="宋体" w:cs="宋体"/>
                <w:szCs w:val="21"/>
                <w:highlight w:val="none"/>
              </w:rPr>
            </w:pPr>
            <w:r>
              <w:rPr>
                <w:rFonts w:hint="eastAsia" w:ascii="宋体" w:hAnsi="宋体"/>
                <w:highlight w:val="none"/>
              </w:rPr>
              <w:t>(   )</w:t>
            </w:r>
          </w:p>
        </w:tc>
        <w:tc>
          <w:tcPr>
            <w:tcW w:w="1152" w:type="dxa"/>
            <w:tcBorders>
              <w:top w:val="single" w:color="000000" w:sz="4" w:space="0"/>
              <w:left w:val="nil"/>
              <w:bottom w:val="single" w:color="000000" w:sz="4" w:space="0"/>
              <w:right w:val="single" w:color="000000" w:sz="4" w:space="0"/>
            </w:tcBorders>
            <w:vAlign w:val="center"/>
          </w:tcPr>
          <w:p w14:paraId="2BD4B13B">
            <w:pPr>
              <w:autoSpaceDE w:val="0"/>
              <w:spacing w:line="276" w:lineRule="auto"/>
              <w:jc w:val="center"/>
              <w:rPr>
                <w:rFonts w:ascii="宋体" w:hAnsi="宋体" w:cs="宋体"/>
                <w:szCs w:val="21"/>
                <w:highlight w:val="none"/>
              </w:rPr>
            </w:pPr>
            <w:r>
              <w:rPr>
                <w:rFonts w:hint="eastAsia" w:ascii="宋体" w:hAnsi="宋体"/>
                <w:highlight w:val="none"/>
              </w:rPr>
              <w:t>(    )</w:t>
            </w:r>
          </w:p>
        </w:tc>
        <w:tc>
          <w:tcPr>
            <w:tcW w:w="624" w:type="dxa"/>
            <w:tcBorders>
              <w:top w:val="single" w:color="000000" w:sz="4" w:space="0"/>
              <w:left w:val="nil"/>
              <w:bottom w:val="single" w:color="000000" w:sz="4" w:space="0"/>
              <w:right w:val="single" w:color="000000" w:sz="4" w:space="0"/>
            </w:tcBorders>
            <w:vAlign w:val="center"/>
          </w:tcPr>
          <w:p w14:paraId="199FFB34">
            <w:pPr>
              <w:autoSpaceDE w:val="0"/>
              <w:spacing w:line="276" w:lineRule="auto"/>
              <w:rPr>
                <w:rFonts w:ascii="宋体" w:hAnsi="宋体" w:cs="宋体"/>
                <w:szCs w:val="21"/>
                <w:highlight w:val="none"/>
              </w:rPr>
            </w:pPr>
          </w:p>
        </w:tc>
      </w:tr>
      <w:tr w14:paraId="455D60A4">
        <w:tblPrEx>
          <w:tblCellMar>
            <w:top w:w="0" w:type="dxa"/>
            <w:left w:w="108" w:type="dxa"/>
            <w:bottom w:w="0" w:type="dxa"/>
            <w:right w:w="108" w:type="dxa"/>
          </w:tblCellMar>
        </w:tblPrEx>
        <w:trPr>
          <w:trHeight w:val="270" w:hRule="atLeast"/>
          <w:jc w:val="center"/>
        </w:trPr>
        <w:tc>
          <w:tcPr>
            <w:tcW w:w="6612" w:type="dxa"/>
            <w:tcBorders>
              <w:top w:val="single" w:color="000000" w:sz="4" w:space="0"/>
              <w:left w:val="single" w:color="000000" w:sz="4" w:space="0"/>
              <w:bottom w:val="single" w:color="000000" w:sz="4" w:space="0"/>
              <w:right w:val="single" w:color="000000" w:sz="4" w:space="0"/>
            </w:tcBorders>
            <w:vAlign w:val="center"/>
          </w:tcPr>
          <w:p w14:paraId="7E1FEA50">
            <w:pPr>
              <w:widowControl/>
              <w:autoSpaceDE w:val="0"/>
              <w:spacing w:line="276" w:lineRule="auto"/>
              <w:jc w:val="left"/>
              <w:textAlignment w:val="center"/>
              <w:rPr>
                <w:rFonts w:ascii="宋体" w:hAnsi="宋体" w:cs="宋体"/>
                <w:szCs w:val="21"/>
                <w:highlight w:val="none"/>
              </w:rPr>
            </w:pPr>
            <w:r>
              <w:rPr>
                <w:rFonts w:hint="eastAsia" w:ascii="宋体" w:hAnsi="宋体"/>
                <w:kern w:val="0"/>
                <w:highlight w:val="none"/>
              </w:rPr>
              <w:t>三、起重吊装及起重机械安装拆卸工程</w:t>
            </w:r>
          </w:p>
        </w:tc>
        <w:tc>
          <w:tcPr>
            <w:tcW w:w="1272" w:type="dxa"/>
            <w:tcBorders>
              <w:top w:val="single" w:color="000000" w:sz="4" w:space="0"/>
              <w:left w:val="nil"/>
              <w:bottom w:val="single" w:color="000000" w:sz="4" w:space="0"/>
              <w:right w:val="single" w:color="000000" w:sz="4" w:space="0"/>
            </w:tcBorders>
            <w:vAlign w:val="center"/>
          </w:tcPr>
          <w:p w14:paraId="296D0AA8">
            <w:pPr>
              <w:autoSpaceDE w:val="0"/>
              <w:spacing w:line="276" w:lineRule="auto"/>
              <w:jc w:val="center"/>
              <w:rPr>
                <w:rFonts w:ascii="宋体" w:hAnsi="宋体" w:cs="宋体"/>
                <w:szCs w:val="21"/>
                <w:highlight w:val="none"/>
              </w:rPr>
            </w:pPr>
            <w:r>
              <w:rPr>
                <w:rFonts w:hint="eastAsia" w:ascii="宋体" w:hAnsi="宋体"/>
                <w:highlight w:val="none"/>
              </w:rPr>
              <w:t>(   )</w:t>
            </w:r>
          </w:p>
        </w:tc>
        <w:tc>
          <w:tcPr>
            <w:tcW w:w="1152" w:type="dxa"/>
            <w:tcBorders>
              <w:top w:val="single" w:color="000000" w:sz="4" w:space="0"/>
              <w:left w:val="nil"/>
              <w:bottom w:val="single" w:color="000000" w:sz="4" w:space="0"/>
              <w:right w:val="single" w:color="000000" w:sz="4" w:space="0"/>
            </w:tcBorders>
            <w:vAlign w:val="center"/>
          </w:tcPr>
          <w:p w14:paraId="573E91CB">
            <w:pPr>
              <w:autoSpaceDE w:val="0"/>
              <w:spacing w:line="276" w:lineRule="auto"/>
              <w:jc w:val="center"/>
              <w:rPr>
                <w:rFonts w:ascii="宋体" w:hAnsi="宋体" w:cs="宋体"/>
                <w:szCs w:val="21"/>
                <w:highlight w:val="none"/>
              </w:rPr>
            </w:pPr>
            <w:r>
              <w:rPr>
                <w:rFonts w:hint="eastAsia" w:ascii="宋体" w:hAnsi="宋体"/>
                <w:highlight w:val="none"/>
              </w:rPr>
              <w:t>(    )</w:t>
            </w:r>
          </w:p>
        </w:tc>
        <w:tc>
          <w:tcPr>
            <w:tcW w:w="624" w:type="dxa"/>
            <w:tcBorders>
              <w:top w:val="single" w:color="000000" w:sz="4" w:space="0"/>
              <w:left w:val="nil"/>
              <w:bottom w:val="single" w:color="000000" w:sz="4" w:space="0"/>
              <w:right w:val="single" w:color="000000" w:sz="4" w:space="0"/>
            </w:tcBorders>
            <w:vAlign w:val="center"/>
          </w:tcPr>
          <w:p w14:paraId="166BEC85">
            <w:pPr>
              <w:autoSpaceDE w:val="0"/>
              <w:spacing w:line="276" w:lineRule="auto"/>
              <w:rPr>
                <w:rFonts w:ascii="宋体" w:hAnsi="宋体" w:cs="宋体"/>
                <w:szCs w:val="21"/>
                <w:highlight w:val="none"/>
              </w:rPr>
            </w:pPr>
          </w:p>
        </w:tc>
      </w:tr>
      <w:tr w14:paraId="2FD4CC76">
        <w:tblPrEx>
          <w:tblCellMar>
            <w:top w:w="0" w:type="dxa"/>
            <w:left w:w="108" w:type="dxa"/>
            <w:bottom w:w="0" w:type="dxa"/>
            <w:right w:w="108" w:type="dxa"/>
          </w:tblCellMar>
        </w:tblPrEx>
        <w:trPr>
          <w:trHeight w:val="636" w:hRule="atLeast"/>
          <w:jc w:val="center"/>
        </w:trPr>
        <w:tc>
          <w:tcPr>
            <w:tcW w:w="6612" w:type="dxa"/>
            <w:tcBorders>
              <w:top w:val="single" w:color="000000" w:sz="4" w:space="0"/>
              <w:left w:val="single" w:color="000000" w:sz="4" w:space="0"/>
              <w:bottom w:val="single" w:color="000000" w:sz="4" w:space="0"/>
              <w:right w:val="single" w:color="000000" w:sz="4" w:space="0"/>
            </w:tcBorders>
            <w:vAlign w:val="center"/>
          </w:tcPr>
          <w:p w14:paraId="2A514181">
            <w:pPr>
              <w:widowControl/>
              <w:autoSpaceDE w:val="0"/>
              <w:spacing w:line="276" w:lineRule="auto"/>
              <w:jc w:val="left"/>
              <w:textAlignment w:val="center"/>
              <w:rPr>
                <w:rFonts w:ascii="宋体" w:hAnsi="宋体" w:cs="宋体"/>
                <w:szCs w:val="21"/>
                <w:highlight w:val="none"/>
              </w:rPr>
            </w:pPr>
            <w:r>
              <w:rPr>
                <w:rFonts w:hint="eastAsia" w:ascii="宋体" w:hAnsi="宋体"/>
                <w:kern w:val="0"/>
                <w:highlight w:val="none"/>
              </w:rPr>
              <w:t>（一）采用非常规起重设备、方法，且单件起吊重量在100kN及以上的起重吊装工程。</w:t>
            </w:r>
          </w:p>
        </w:tc>
        <w:tc>
          <w:tcPr>
            <w:tcW w:w="1272" w:type="dxa"/>
            <w:tcBorders>
              <w:top w:val="single" w:color="000000" w:sz="4" w:space="0"/>
              <w:left w:val="nil"/>
              <w:bottom w:val="single" w:color="000000" w:sz="4" w:space="0"/>
              <w:right w:val="single" w:color="000000" w:sz="4" w:space="0"/>
            </w:tcBorders>
            <w:vAlign w:val="center"/>
          </w:tcPr>
          <w:p w14:paraId="0A4AC81C">
            <w:pPr>
              <w:autoSpaceDE w:val="0"/>
              <w:spacing w:line="276" w:lineRule="auto"/>
              <w:jc w:val="center"/>
              <w:rPr>
                <w:rFonts w:ascii="宋体" w:hAnsi="宋体" w:cs="宋体"/>
                <w:szCs w:val="21"/>
                <w:highlight w:val="none"/>
              </w:rPr>
            </w:pPr>
            <w:r>
              <w:rPr>
                <w:rFonts w:hint="eastAsia" w:ascii="宋体" w:hAnsi="宋体"/>
                <w:highlight w:val="none"/>
              </w:rPr>
              <w:t>(   )</w:t>
            </w:r>
          </w:p>
        </w:tc>
        <w:tc>
          <w:tcPr>
            <w:tcW w:w="1152" w:type="dxa"/>
            <w:tcBorders>
              <w:top w:val="single" w:color="000000" w:sz="4" w:space="0"/>
              <w:left w:val="nil"/>
              <w:bottom w:val="single" w:color="000000" w:sz="4" w:space="0"/>
              <w:right w:val="single" w:color="000000" w:sz="4" w:space="0"/>
            </w:tcBorders>
            <w:vAlign w:val="center"/>
          </w:tcPr>
          <w:p w14:paraId="71EB9044">
            <w:pPr>
              <w:autoSpaceDE w:val="0"/>
              <w:spacing w:line="276" w:lineRule="auto"/>
              <w:jc w:val="center"/>
              <w:rPr>
                <w:rFonts w:ascii="宋体" w:hAnsi="宋体" w:cs="宋体"/>
                <w:szCs w:val="21"/>
                <w:highlight w:val="none"/>
              </w:rPr>
            </w:pPr>
            <w:r>
              <w:rPr>
                <w:rFonts w:hint="eastAsia" w:ascii="宋体" w:hAnsi="宋体"/>
                <w:highlight w:val="none"/>
              </w:rPr>
              <w:t>(    )</w:t>
            </w:r>
          </w:p>
        </w:tc>
        <w:tc>
          <w:tcPr>
            <w:tcW w:w="624" w:type="dxa"/>
            <w:tcBorders>
              <w:top w:val="single" w:color="000000" w:sz="4" w:space="0"/>
              <w:left w:val="nil"/>
              <w:bottom w:val="single" w:color="000000" w:sz="4" w:space="0"/>
              <w:right w:val="single" w:color="000000" w:sz="4" w:space="0"/>
            </w:tcBorders>
            <w:vAlign w:val="center"/>
          </w:tcPr>
          <w:p w14:paraId="750A8672">
            <w:pPr>
              <w:autoSpaceDE w:val="0"/>
              <w:spacing w:line="276" w:lineRule="auto"/>
              <w:rPr>
                <w:rFonts w:ascii="宋体" w:hAnsi="宋体" w:cs="宋体"/>
                <w:szCs w:val="21"/>
                <w:highlight w:val="none"/>
              </w:rPr>
            </w:pPr>
          </w:p>
        </w:tc>
      </w:tr>
      <w:tr w14:paraId="5E24C49B">
        <w:tblPrEx>
          <w:tblCellMar>
            <w:top w:w="0" w:type="dxa"/>
            <w:left w:w="108" w:type="dxa"/>
            <w:bottom w:w="0" w:type="dxa"/>
            <w:right w:w="108" w:type="dxa"/>
          </w:tblCellMar>
        </w:tblPrEx>
        <w:trPr>
          <w:trHeight w:val="610" w:hRule="atLeast"/>
          <w:jc w:val="center"/>
        </w:trPr>
        <w:tc>
          <w:tcPr>
            <w:tcW w:w="6612" w:type="dxa"/>
            <w:tcBorders>
              <w:top w:val="single" w:color="000000" w:sz="4" w:space="0"/>
              <w:left w:val="single" w:color="000000" w:sz="4" w:space="0"/>
              <w:bottom w:val="single" w:color="000000" w:sz="4" w:space="0"/>
              <w:right w:val="single" w:color="000000" w:sz="4" w:space="0"/>
            </w:tcBorders>
            <w:vAlign w:val="center"/>
          </w:tcPr>
          <w:p w14:paraId="11B486E3">
            <w:pPr>
              <w:widowControl/>
              <w:autoSpaceDE w:val="0"/>
              <w:spacing w:line="276" w:lineRule="auto"/>
              <w:jc w:val="left"/>
              <w:textAlignment w:val="center"/>
              <w:rPr>
                <w:rFonts w:ascii="宋体" w:hAnsi="宋体" w:cs="宋体"/>
                <w:szCs w:val="21"/>
                <w:highlight w:val="none"/>
              </w:rPr>
            </w:pPr>
            <w:r>
              <w:rPr>
                <w:rFonts w:hint="eastAsia" w:ascii="宋体" w:hAnsi="宋体"/>
                <w:kern w:val="0"/>
                <w:highlight w:val="none"/>
              </w:rPr>
              <w:t>（二）起重量300kN及以上，或搭设总高度200m及以上，或搭设基础标高在200m及以上的起重机械安装和拆卸工程。</w:t>
            </w:r>
          </w:p>
        </w:tc>
        <w:tc>
          <w:tcPr>
            <w:tcW w:w="1272" w:type="dxa"/>
            <w:tcBorders>
              <w:top w:val="single" w:color="000000" w:sz="4" w:space="0"/>
              <w:left w:val="nil"/>
              <w:bottom w:val="single" w:color="000000" w:sz="4" w:space="0"/>
              <w:right w:val="single" w:color="000000" w:sz="4" w:space="0"/>
            </w:tcBorders>
            <w:vAlign w:val="center"/>
          </w:tcPr>
          <w:p w14:paraId="55A778E5">
            <w:pPr>
              <w:autoSpaceDE w:val="0"/>
              <w:spacing w:line="276" w:lineRule="auto"/>
              <w:jc w:val="center"/>
              <w:rPr>
                <w:rFonts w:ascii="宋体" w:hAnsi="宋体" w:cs="宋体"/>
                <w:szCs w:val="21"/>
                <w:highlight w:val="none"/>
              </w:rPr>
            </w:pPr>
            <w:r>
              <w:rPr>
                <w:rFonts w:hint="eastAsia" w:ascii="宋体" w:hAnsi="宋体"/>
                <w:highlight w:val="none"/>
              </w:rPr>
              <w:t>(   )</w:t>
            </w:r>
          </w:p>
        </w:tc>
        <w:tc>
          <w:tcPr>
            <w:tcW w:w="1152" w:type="dxa"/>
            <w:tcBorders>
              <w:top w:val="single" w:color="000000" w:sz="4" w:space="0"/>
              <w:left w:val="nil"/>
              <w:bottom w:val="single" w:color="000000" w:sz="4" w:space="0"/>
              <w:right w:val="single" w:color="000000" w:sz="4" w:space="0"/>
            </w:tcBorders>
            <w:vAlign w:val="center"/>
          </w:tcPr>
          <w:p w14:paraId="14D5DF82">
            <w:pPr>
              <w:autoSpaceDE w:val="0"/>
              <w:spacing w:line="276" w:lineRule="auto"/>
              <w:jc w:val="center"/>
              <w:rPr>
                <w:rFonts w:ascii="宋体" w:hAnsi="宋体" w:cs="宋体"/>
                <w:szCs w:val="21"/>
                <w:highlight w:val="none"/>
              </w:rPr>
            </w:pPr>
            <w:r>
              <w:rPr>
                <w:rFonts w:hint="eastAsia" w:ascii="宋体" w:hAnsi="宋体"/>
                <w:highlight w:val="none"/>
              </w:rPr>
              <w:t>(    )</w:t>
            </w:r>
          </w:p>
        </w:tc>
        <w:tc>
          <w:tcPr>
            <w:tcW w:w="624" w:type="dxa"/>
            <w:tcBorders>
              <w:top w:val="single" w:color="000000" w:sz="4" w:space="0"/>
              <w:left w:val="nil"/>
              <w:bottom w:val="single" w:color="000000" w:sz="4" w:space="0"/>
              <w:right w:val="single" w:color="000000" w:sz="4" w:space="0"/>
            </w:tcBorders>
            <w:vAlign w:val="center"/>
          </w:tcPr>
          <w:p w14:paraId="6BEC2A6F">
            <w:pPr>
              <w:autoSpaceDE w:val="0"/>
              <w:spacing w:line="276" w:lineRule="auto"/>
              <w:rPr>
                <w:rFonts w:ascii="宋体" w:hAnsi="宋体" w:cs="宋体"/>
                <w:szCs w:val="21"/>
                <w:highlight w:val="none"/>
              </w:rPr>
            </w:pPr>
          </w:p>
        </w:tc>
      </w:tr>
      <w:tr w14:paraId="448E2B36">
        <w:tblPrEx>
          <w:tblCellMar>
            <w:top w:w="0" w:type="dxa"/>
            <w:left w:w="108" w:type="dxa"/>
            <w:bottom w:w="0" w:type="dxa"/>
            <w:right w:w="108" w:type="dxa"/>
          </w:tblCellMar>
        </w:tblPrEx>
        <w:trPr>
          <w:trHeight w:val="270" w:hRule="atLeast"/>
          <w:jc w:val="center"/>
        </w:trPr>
        <w:tc>
          <w:tcPr>
            <w:tcW w:w="6612" w:type="dxa"/>
            <w:tcBorders>
              <w:top w:val="single" w:color="000000" w:sz="4" w:space="0"/>
              <w:left w:val="single" w:color="000000" w:sz="4" w:space="0"/>
              <w:bottom w:val="single" w:color="000000" w:sz="4" w:space="0"/>
              <w:right w:val="single" w:color="000000" w:sz="4" w:space="0"/>
            </w:tcBorders>
            <w:vAlign w:val="center"/>
          </w:tcPr>
          <w:p w14:paraId="439757E2">
            <w:pPr>
              <w:widowControl/>
              <w:autoSpaceDE w:val="0"/>
              <w:spacing w:line="276" w:lineRule="auto"/>
              <w:jc w:val="left"/>
              <w:textAlignment w:val="center"/>
              <w:rPr>
                <w:rFonts w:ascii="宋体" w:hAnsi="宋体" w:cs="宋体"/>
                <w:szCs w:val="21"/>
                <w:highlight w:val="none"/>
              </w:rPr>
            </w:pPr>
            <w:r>
              <w:rPr>
                <w:rFonts w:hint="eastAsia" w:ascii="宋体" w:hAnsi="宋体"/>
                <w:kern w:val="0"/>
                <w:highlight w:val="none"/>
              </w:rPr>
              <w:t>四、脚手架工程</w:t>
            </w:r>
          </w:p>
        </w:tc>
        <w:tc>
          <w:tcPr>
            <w:tcW w:w="1272" w:type="dxa"/>
            <w:tcBorders>
              <w:top w:val="single" w:color="000000" w:sz="4" w:space="0"/>
              <w:left w:val="nil"/>
              <w:bottom w:val="single" w:color="000000" w:sz="4" w:space="0"/>
              <w:right w:val="single" w:color="000000" w:sz="4" w:space="0"/>
            </w:tcBorders>
            <w:vAlign w:val="center"/>
          </w:tcPr>
          <w:p w14:paraId="20135052">
            <w:pPr>
              <w:autoSpaceDE w:val="0"/>
              <w:spacing w:line="276" w:lineRule="auto"/>
              <w:jc w:val="center"/>
              <w:rPr>
                <w:rFonts w:ascii="宋体" w:hAnsi="宋体" w:cs="宋体"/>
                <w:szCs w:val="21"/>
                <w:highlight w:val="none"/>
              </w:rPr>
            </w:pPr>
            <w:r>
              <w:rPr>
                <w:rFonts w:hint="eastAsia" w:ascii="宋体" w:hAnsi="宋体"/>
                <w:highlight w:val="none"/>
              </w:rPr>
              <w:t>(   )</w:t>
            </w:r>
          </w:p>
        </w:tc>
        <w:tc>
          <w:tcPr>
            <w:tcW w:w="1152" w:type="dxa"/>
            <w:tcBorders>
              <w:top w:val="single" w:color="000000" w:sz="4" w:space="0"/>
              <w:left w:val="nil"/>
              <w:bottom w:val="single" w:color="000000" w:sz="4" w:space="0"/>
              <w:right w:val="single" w:color="000000" w:sz="4" w:space="0"/>
            </w:tcBorders>
            <w:vAlign w:val="center"/>
          </w:tcPr>
          <w:p w14:paraId="1FFD1DC0">
            <w:pPr>
              <w:autoSpaceDE w:val="0"/>
              <w:spacing w:line="276" w:lineRule="auto"/>
              <w:jc w:val="center"/>
              <w:rPr>
                <w:rFonts w:ascii="宋体" w:hAnsi="宋体" w:cs="宋体"/>
                <w:szCs w:val="21"/>
                <w:highlight w:val="none"/>
              </w:rPr>
            </w:pPr>
            <w:r>
              <w:rPr>
                <w:rFonts w:hint="eastAsia" w:ascii="宋体" w:hAnsi="宋体"/>
                <w:highlight w:val="none"/>
              </w:rPr>
              <w:t>(    )</w:t>
            </w:r>
          </w:p>
        </w:tc>
        <w:tc>
          <w:tcPr>
            <w:tcW w:w="624" w:type="dxa"/>
            <w:tcBorders>
              <w:top w:val="single" w:color="000000" w:sz="4" w:space="0"/>
              <w:left w:val="nil"/>
              <w:bottom w:val="single" w:color="000000" w:sz="4" w:space="0"/>
              <w:right w:val="single" w:color="000000" w:sz="4" w:space="0"/>
            </w:tcBorders>
            <w:vAlign w:val="center"/>
          </w:tcPr>
          <w:p w14:paraId="4C6B1EEC">
            <w:pPr>
              <w:autoSpaceDE w:val="0"/>
              <w:spacing w:line="276" w:lineRule="auto"/>
              <w:rPr>
                <w:rFonts w:ascii="宋体" w:hAnsi="宋体" w:cs="宋体"/>
                <w:szCs w:val="21"/>
                <w:highlight w:val="none"/>
              </w:rPr>
            </w:pPr>
          </w:p>
        </w:tc>
      </w:tr>
      <w:tr w14:paraId="18489AD0">
        <w:tblPrEx>
          <w:tblCellMar>
            <w:top w:w="0" w:type="dxa"/>
            <w:left w:w="108" w:type="dxa"/>
            <w:bottom w:w="0" w:type="dxa"/>
            <w:right w:w="108" w:type="dxa"/>
          </w:tblCellMar>
        </w:tblPrEx>
        <w:trPr>
          <w:trHeight w:val="270" w:hRule="atLeast"/>
          <w:jc w:val="center"/>
        </w:trPr>
        <w:tc>
          <w:tcPr>
            <w:tcW w:w="6612" w:type="dxa"/>
            <w:tcBorders>
              <w:top w:val="single" w:color="000000" w:sz="4" w:space="0"/>
              <w:left w:val="single" w:color="000000" w:sz="4" w:space="0"/>
              <w:bottom w:val="single" w:color="000000" w:sz="4" w:space="0"/>
              <w:right w:val="single" w:color="000000" w:sz="4" w:space="0"/>
            </w:tcBorders>
            <w:vAlign w:val="center"/>
          </w:tcPr>
          <w:p w14:paraId="1D1C8A8A">
            <w:pPr>
              <w:widowControl/>
              <w:autoSpaceDE w:val="0"/>
              <w:spacing w:line="276" w:lineRule="auto"/>
              <w:jc w:val="left"/>
              <w:textAlignment w:val="center"/>
              <w:rPr>
                <w:rFonts w:ascii="宋体" w:hAnsi="宋体" w:cs="宋体"/>
                <w:szCs w:val="21"/>
                <w:highlight w:val="none"/>
              </w:rPr>
            </w:pPr>
            <w:r>
              <w:rPr>
                <w:rFonts w:hint="eastAsia" w:ascii="宋体" w:hAnsi="宋体"/>
                <w:kern w:val="0"/>
                <w:highlight w:val="none"/>
              </w:rPr>
              <w:t>（一）搭设高度50m及以上的落地式钢管脚手架工程。</w:t>
            </w:r>
          </w:p>
        </w:tc>
        <w:tc>
          <w:tcPr>
            <w:tcW w:w="1272" w:type="dxa"/>
            <w:tcBorders>
              <w:top w:val="single" w:color="000000" w:sz="4" w:space="0"/>
              <w:left w:val="nil"/>
              <w:bottom w:val="single" w:color="000000" w:sz="4" w:space="0"/>
              <w:right w:val="single" w:color="000000" w:sz="4" w:space="0"/>
            </w:tcBorders>
            <w:vAlign w:val="center"/>
          </w:tcPr>
          <w:p w14:paraId="6AFB9464">
            <w:pPr>
              <w:autoSpaceDE w:val="0"/>
              <w:spacing w:line="276" w:lineRule="auto"/>
              <w:jc w:val="center"/>
              <w:rPr>
                <w:rFonts w:ascii="宋体" w:hAnsi="宋体" w:cs="宋体"/>
                <w:szCs w:val="21"/>
                <w:highlight w:val="none"/>
              </w:rPr>
            </w:pPr>
            <w:r>
              <w:rPr>
                <w:rFonts w:hint="eastAsia" w:ascii="宋体" w:hAnsi="宋体"/>
                <w:highlight w:val="none"/>
              </w:rPr>
              <w:t>(   )</w:t>
            </w:r>
          </w:p>
        </w:tc>
        <w:tc>
          <w:tcPr>
            <w:tcW w:w="1152" w:type="dxa"/>
            <w:tcBorders>
              <w:top w:val="single" w:color="000000" w:sz="4" w:space="0"/>
              <w:left w:val="nil"/>
              <w:bottom w:val="single" w:color="000000" w:sz="4" w:space="0"/>
              <w:right w:val="single" w:color="000000" w:sz="4" w:space="0"/>
            </w:tcBorders>
            <w:vAlign w:val="center"/>
          </w:tcPr>
          <w:p w14:paraId="5078AC60">
            <w:pPr>
              <w:autoSpaceDE w:val="0"/>
              <w:spacing w:line="276" w:lineRule="auto"/>
              <w:jc w:val="center"/>
              <w:rPr>
                <w:rFonts w:ascii="宋体" w:hAnsi="宋体" w:cs="宋体"/>
                <w:szCs w:val="21"/>
                <w:highlight w:val="none"/>
              </w:rPr>
            </w:pPr>
            <w:r>
              <w:rPr>
                <w:rFonts w:hint="eastAsia" w:ascii="宋体" w:hAnsi="宋体"/>
                <w:highlight w:val="none"/>
              </w:rPr>
              <w:t>(    )</w:t>
            </w:r>
          </w:p>
        </w:tc>
        <w:tc>
          <w:tcPr>
            <w:tcW w:w="624" w:type="dxa"/>
            <w:tcBorders>
              <w:top w:val="single" w:color="000000" w:sz="4" w:space="0"/>
              <w:left w:val="nil"/>
              <w:bottom w:val="single" w:color="000000" w:sz="4" w:space="0"/>
              <w:right w:val="single" w:color="000000" w:sz="4" w:space="0"/>
            </w:tcBorders>
            <w:vAlign w:val="center"/>
          </w:tcPr>
          <w:p w14:paraId="4079B604">
            <w:pPr>
              <w:autoSpaceDE w:val="0"/>
              <w:spacing w:line="276" w:lineRule="auto"/>
              <w:rPr>
                <w:rFonts w:ascii="宋体" w:hAnsi="宋体" w:cs="宋体"/>
                <w:szCs w:val="21"/>
                <w:highlight w:val="none"/>
              </w:rPr>
            </w:pPr>
          </w:p>
        </w:tc>
      </w:tr>
      <w:tr w14:paraId="59F2BC8E">
        <w:tblPrEx>
          <w:tblCellMar>
            <w:top w:w="0" w:type="dxa"/>
            <w:left w:w="108" w:type="dxa"/>
            <w:bottom w:w="0" w:type="dxa"/>
            <w:right w:w="108" w:type="dxa"/>
          </w:tblCellMar>
        </w:tblPrEx>
        <w:trPr>
          <w:trHeight w:val="581" w:hRule="atLeast"/>
          <w:jc w:val="center"/>
        </w:trPr>
        <w:tc>
          <w:tcPr>
            <w:tcW w:w="6612" w:type="dxa"/>
            <w:tcBorders>
              <w:top w:val="single" w:color="000000" w:sz="4" w:space="0"/>
              <w:left w:val="single" w:color="000000" w:sz="4" w:space="0"/>
              <w:bottom w:val="single" w:color="000000" w:sz="4" w:space="0"/>
              <w:right w:val="single" w:color="000000" w:sz="4" w:space="0"/>
            </w:tcBorders>
            <w:vAlign w:val="center"/>
          </w:tcPr>
          <w:p w14:paraId="3467CB7F">
            <w:pPr>
              <w:widowControl/>
              <w:autoSpaceDE w:val="0"/>
              <w:spacing w:line="276" w:lineRule="auto"/>
              <w:jc w:val="left"/>
              <w:textAlignment w:val="center"/>
              <w:rPr>
                <w:rFonts w:ascii="宋体" w:hAnsi="宋体" w:cs="宋体"/>
                <w:szCs w:val="21"/>
                <w:highlight w:val="none"/>
              </w:rPr>
            </w:pPr>
            <w:r>
              <w:rPr>
                <w:rFonts w:hint="eastAsia" w:ascii="宋体" w:hAnsi="宋体"/>
                <w:kern w:val="0"/>
                <w:highlight w:val="none"/>
              </w:rPr>
              <w:t>（二）提升高度在150m及以上的附着式升降脚手架工程或附着式升降操作平台工程。</w:t>
            </w:r>
          </w:p>
        </w:tc>
        <w:tc>
          <w:tcPr>
            <w:tcW w:w="1272" w:type="dxa"/>
            <w:tcBorders>
              <w:top w:val="single" w:color="000000" w:sz="4" w:space="0"/>
              <w:left w:val="nil"/>
              <w:bottom w:val="single" w:color="000000" w:sz="4" w:space="0"/>
              <w:right w:val="single" w:color="000000" w:sz="4" w:space="0"/>
            </w:tcBorders>
            <w:vAlign w:val="center"/>
          </w:tcPr>
          <w:p w14:paraId="0CF687E1">
            <w:pPr>
              <w:autoSpaceDE w:val="0"/>
              <w:spacing w:line="276" w:lineRule="auto"/>
              <w:jc w:val="center"/>
              <w:rPr>
                <w:rFonts w:ascii="宋体" w:hAnsi="宋体" w:cs="宋体"/>
                <w:szCs w:val="21"/>
                <w:highlight w:val="none"/>
              </w:rPr>
            </w:pPr>
            <w:r>
              <w:rPr>
                <w:rFonts w:hint="eastAsia" w:ascii="宋体" w:hAnsi="宋体"/>
                <w:highlight w:val="none"/>
              </w:rPr>
              <w:t>(   )</w:t>
            </w:r>
          </w:p>
        </w:tc>
        <w:tc>
          <w:tcPr>
            <w:tcW w:w="1152" w:type="dxa"/>
            <w:tcBorders>
              <w:top w:val="single" w:color="000000" w:sz="4" w:space="0"/>
              <w:left w:val="nil"/>
              <w:bottom w:val="single" w:color="000000" w:sz="4" w:space="0"/>
              <w:right w:val="single" w:color="000000" w:sz="4" w:space="0"/>
            </w:tcBorders>
            <w:vAlign w:val="center"/>
          </w:tcPr>
          <w:p w14:paraId="68C773D0">
            <w:pPr>
              <w:autoSpaceDE w:val="0"/>
              <w:spacing w:line="276" w:lineRule="auto"/>
              <w:jc w:val="center"/>
              <w:rPr>
                <w:rFonts w:ascii="宋体" w:hAnsi="宋体" w:cs="宋体"/>
                <w:szCs w:val="21"/>
                <w:highlight w:val="none"/>
              </w:rPr>
            </w:pPr>
            <w:r>
              <w:rPr>
                <w:rFonts w:hint="eastAsia" w:ascii="宋体" w:hAnsi="宋体"/>
                <w:highlight w:val="none"/>
              </w:rPr>
              <w:t>(    )</w:t>
            </w:r>
          </w:p>
        </w:tc>
        <w:tc>
          <w:tcPr>
            <w:tcW w:w="624" w:type="dxa"/>
            <w:tcBorders>
              <w:top w:val="single" w:color="000000" w:sz="4" w:space="0"/>
              <w:left w:val="nil"/>
              <w:bottom w:val="single" w:color="000000" w:sz="4" w:space="0"/>
              <w:right w:val="single" w:color="000000" w:sz="4" w:space="0"/>
            </w:tcBorders>
            <w:vAlign w:val="center"/>
          </w:tcPr>
          <w:p w14:paraId="46B2F1CA">
            <w:pPr>
              <w:autoSpaceDE w:val="0"/>
              <w:spacing w:line="276" w:lineRule="auto"/>
              <w:rPr>
                <w:rFonts w:ascii="宋体" w:hAnsi="宋体" w:cs="宋体"/>
                <w:szCs w:val="21"/>
                <w:highlight w:val="none"/>
              </w:rPr>
            </w:pPr>
          </w:p>
        </w:tc>
      </w:tr>
      <w:tr w14:paraId="08523B62">
        <w:tblPrEx>
          <w:tblCellMar>
            <w:top w:w="0" w:type="dxa"/>
            <w:left w:w="108" w:type="dxa"/>
            <w:bottom w:w="0" w:type="dxa"/>
            <w:right w:w="108" w:type="dxa"/>
          </w:tblCellMar>
        </w:tblPrEx>
        <w:trPr>
          <w:trHeight w:val="314" w:hRule="atLeast"/>
          <w:jc w:val="center"/>
        </w:trPr>
        <w:tc>
          <w:tcPr>
            <w:tcW w:w="6612" w:type="dxa"/>
            <w:tcBorders>
              <w:top w:val="single" w:color="000000" w:sz="4" w:space="0"/>
              <w:left w:val="single" w:color="000000" w:sz="4" w:space="0"/>
              <w:bottom w:val="single" w:color="000000" w:sz="4" w:space="0"/>
              <w:right w:val="single" w:color="000000" w:sz="4" w:space="0"/>
            </w:tcBorders>
            <w:vAlign w:val="center"/>
          </w:tcPr>
          <w:p w14:paraId="50387C2F">
            <w:pPr>
              <w:widowControl/>
              <w:autoSpaceDE w:val="0"/>
              <w:spacing w:line="276" w:lineRule="auto"/>
              <w:jc w:val="left"/>
              <w:textAlignment w:val="center"/>
              <w:rPr>
                <w:rFonts w:ascii="宋体" w:hAnsi="宋体" w:cs="宋体"/>
                <w:szCs w:val="21"/>
                <w:highlight w:val="none"/>
              </w:rPr>
            </w:pPr>
            <w:r>
              <w:rPr>
                <w:rFonts w:hint="eastAsia" w:ascii="宋体" w:hAnsi="宋体"/>
                <w:kern w:val="0"/>
                <w:highlight w:val="none"/>
              </w:rPr>
              <w:t>（三）分段架体搭设高度20m及以上的悬挑式脚手架工程。</w:t>
            </w:r>
          </w:p>
        </w:tc>
        <w:tc>
          <w:tcPr>
            <w:tcW w:w="1272" w:type="dxa"/>
            <w:tcBorders>
              <w:top w:val="single" w:color="000000" w:sz="4" w:space="0"/>
              <w:left w:val="nil"/>
              <w:bottom w:val="single" w:color="000000" w:sz="4" w:space="0"/>
              <w:right w:val="single" w:color="000000" w:sz="4" w:space="0"/>
            </w:tcBorders>
            <w:vAlign w:val="center"/>
          </w:tcPr>
          <w:p w14:paraId="220106CB">
            <w:pPr>
              <w:autoSpaceDE w:val="0"/>
              <w:spacing w:line="276" w:lineRule="auto"/>
              <w:jc w:val="center"/>
              <w:rPr>
                <w:rFonts w:ascii="宋体" w:hAnsi="宋体" w:cs="宋体"/>
                <w:szCs w:val="21"/>
                <w:highlight w:val="none"/>
              </w:rPr>
            </w:pPr>
            <w:r>
              <w:rPr>
                <w:rFonts w:hint="eastAsia" w:ascii="宋体" w:hAnsi="宋体"/>
                <w:highlight w:val="none"/>
              </w:rPr>
              <w:t>(   )</w:t>
            </w:r>
          </w:p>
        </w:tc>
        <w:tc>
          <w:tcPr>
            <w:tcW w:w="1152" w:type="dxa"/>
            <w:tcBorders>
              <w:top w:val="single" w:color="000000" w:sz="4" w:space="0"/>
              <w:left w:val="nil"/>
              <w:bottom w:val="single" w:color="000000" w:sz="4" w:space="0"/>
              <w:right w:val="single" w:color="000000" w:sz="4" w:space="0"/>
            </w:tcBorders>
            <w:vAlign w:val="center"/>
          </w:tcPr>
          <w:p w14:paraId="1C6E6CEB">
            <w:pPr>
              <w:autoSpaceDE w:val="0"/>
              <w:spacing w:line="276" w:lineRule="auto"/>
              <w:jc w:val="center"/>
              <w:rPr>
                <w:rFonts w:ascii="宋体" w:hAnsi="宋体" w:cs="宋体"/>
                <w:szCs w:val="21"/>
                <w:highlight w:val="none"/>
              </w:rPr>
            </w:pPr>
            <w:r>
              <w:rPr>
                <w:rFonts w:hint="eastAsia" w:ascii="宋体" w:hAnsi="宋体"/>
                <w:highlight w:val="none"/>
              </w:rPr>
              <w:t>(    )</w:t>
            </w:r>
          </w:p>
        </w:tc>
        <w:tc>
          <w:tcPr>
            <w:tcW w:w="624" w:type="dxa"/>
            <w:tcBorders>
              <w:top w:val="single" w:color="000000" w:sz="4" w:space="0"/>
              <w:left w:val="nil"/>
              <w:bottom w:val="single" w:color="000000" w:sz="4" w:space="0"/>
              <w:right w:val="single" w:color="000000" w:sz="4" w:space="0"/>
            </w:tcBorders>
            <w:vAlign w:val="center"/>
          </w:tcPr>
          <w:p w14:paraId="53553EAC">
            <w:pPr>
              <w:autoSpaceDE w:val="0"/>
              <w:spacing w:line="276" w:lineRule="auto"/>
              <w:rPr>
                <w:rFonts w:ascii="宋体" w:hAnsi="宋体" w:cs="宋体"/>
                <w:szCs w:val="21"/>
                <w:highlight w:val="none"/>
              </w:rPr>
            </w:pPr>
          </w:p>
        </w:tc>
      </w:tr>
      <w:tr w14:paraId="7D37D48D">
        <w:tblPrEx>
          <w:tblCellMar>
            <w:top w:w="0" w:type="dxa"/>
            <w:left w:w="108" w:type="dxa"/>
            <w:bottom w:w="0" w:type="dxa"/>
            <w:right w:w="108" w:type="dxa"/>
          </w:tblCellMar>
        </w:tblPrEx>
        <w:trPr>
          <w:trHeight w:val="347" w:hRule="atLeast"/>
          <w:jc w:val="center"/>
        </w:trPr>
        <w:tc>
          <w:tcPr>
            <w:tcW w:w="6612" w:type="dxa"/>
            <w:tcBorders>
              <w:top w:val="single" w:color="000000" w:sz="4" w:space="0"/>
              <w:left w:val="single" w:color="000000" w:sz="4" w:space="0"/>
              <w:bottom w:val="single" w:color="000000" w:sz="4" w:space="0"/>
              <w:right w:val="single" w:color="000000" w:sz="4" w:space="0"/>
            </w:tcBorders>
            <w:vAlign w:val="center"/>
          </w:tcPr>
          <w:p w14:paraId="55BCCB7C">
            <w:pPr>
              <w:widowControl/>
              <w:autoSpaceDE w:val="0"/>
              <w:spacing w:line="276" w:lineRule="auto"/>
              <w:jc w:val="left"/>
              <w:textAlignment w:val="center"/>
              <w:rPr>
                <w:rFonts w:ascii="宋体" w:hAnsi="宋体" w:cs="宋体"/>
                <w:szCs w:val="21"/>
                <w:highlight w:val="none"/>
              </w:rPr>
            </w:pPr>
            <w:r>
              <w:rPr>
                <w:rFonts w:hint="eastAsia" w:ascii="宋体" w:hAnsi="宋体"/>
                <w:kern w:val="0"/>
                <w:highlight w:val="none"/>
              </w:rPr>
              <w:t>五、拆除工程</w:t>
            </w:r>
          </w:p>
        </w:tc>
        <w:tc>
          <w:tcPr>
            <w:tcW w:w="1272" w:type="dxa"/>
            <w:tcBorders>
              <w:top w:val="single" w:color="000000" w:sz="4" w:space="0"/>
              <w:left w:val="nil"/>
              <w:bottom w:val="single" w:color="000000" w:sz="4" w:space="0"/>
              <w:right w:val="single" w:color="000000" w:sz="4" w:space="0"/>
            </w:tcBorders>
            <w:vAlign w:val="center"/>
          </w:tcPr>
          <w:p w14:paraId="46D72651">
            <w:pPr>
              <w:autoSpaceDE w:val="0"/>
              <w:spacing w:line="276" w:lineRule="auto"/>
              <w:jc w:val="center"/>
              <w:rPr>
                <w:rFonts w:ascii="宋体" w:hAnsi="宋体" w:cs="宋体"/>
                <w:szCs w:val="21"/>
                <w:highlight w:val="none"/>
              </w:rPr>
            </w:pPr>
            <w:r>
              <w:rPr>
                <w:rFonts w:hint="eastAsia" w:ascii="宋体" w:hAnsi="宋体"/>
                <w:highlight w:val="none"/>
              </w:rPr>
              <w:t>(   )</w:t>
            </w:r>
          </w:p>
        </w:tc>
        <w:tc>
          <w:tcPr>
            <w:tcW w:w="1152" w:type="dxa"/>
            <w:tcBorders>
              <w:top w:val="single" w:color="000000" w:sz="4" w:space="0"/>
              <w:left w:val="nil"/>
              <w:bottom w:val="single" w:color="000000" w:sz="4" w:space="0"/>
              <w:right w:val="single" w:color="000000" w:sz="4" w:space="0"/>
            </w:tcBorders>
            <w:vAlign w:val="center"/>
          </w:tcPr>
          <w:p w14:paraId="46E5DC33">
            <w:pPr>
              <w:autoSpaceDE w:val="0"/>
              <w:spacing w:line="276" w:lineRule="auto"/>
              <w:jc w:val="center"/>
              <w:rPr>
                <w:rFonts w:ascii="宋体" w:hAnsi="宋体" w:cs="宋体"/>
                <w:szCs w:val="21"/>
                <w:highlight w:val="none"/>
              </w:rPr>
            </w:pPr>
            <w:r>
              <w:rPr>
                <w:rFonts w:hint="eastAsia" w:ascii="宋体" w:hAnsi="宋体"/>
                <w:highlight w:val="none"/>
              </w:rPr>
              <w:t>(    )</w:t>
            </w:r>
          </w:p>
        </w:tc>
        <w:tc>
          <w:tcPr>
            <w:tcW w:w="624" w:type="dxa"/>
            <w:tcBorders>
              <w:top w:val="single" w:color="000000" w:sz="4" w:space="0"/>
              <w:left w:val="nil"/>
              <w:bottom w:val="single" w:color="000000" w:sz="4" w:space="0"/>
              <w:right w:val="single" w:color="000000" w:sz="4" w:space="0"/>
            </w:tcBorders>
            <w:vAlign w:val="center"/>
          </w:tcPr>
          <w:p w14:paraId="7B3D6425">
            <w:pPr>
              <w:autoSpaceDE w:val="0"/>
              <w:spacing w:line="276" w:lineRule="auto"/>
              <w:rPr>
                <w:rFonts w:ascii="宋体" w:hAnsi="宋体" w:cs="宋体"/>
                <w:szCs w:val="21"/>
                <w:highlight w:val="none"/>
              </w:rPr>
            </w:pPr>
          </w:p>
        </w:tc>
      </w:tr>
      <w:tr w14:paraId="6847A62D">
        <w:tblPrEx>
          <w:tblCellMar>
            <w:top w:w="0" w:type="dxa"/>
            <w:left w:w="108" w:type="dxa"/>
            <w:bottom w:w="0" w:type="dxa"/>
            <w:right w:w="108" w:type="dxa"/>
          </w:tblCellMar>
        </w:tblPrEx>
        <w:trPr>
          <w:trHeight w:val="806" w:hRule="atLeast"/>
          <w:jc w:val="center"/>
        </w:trPr>
        <w:tc>
          <w:tcPr>
            <w:tcW w:w="6612" w:type="dxa"/>
            <w:tcBorders>
              <w:top w:val="single" w:color="000000" w:sz="4" w:space="0"/>
              <w:left w:val="single" w:color="000000" w:sz="4" w:space="0"/>
              <w:bottom w:val="single" w:color="000000" w:sz="4" w:space="0"/>
              <w:right w:val="single" w:color="000000" w:sz="4" w:space="0"/>
            </w:tcBorders>
            <w:vAlign w:val="center"/>
          </w:tcPr>
          <w:p w14:paraId="61E221D4">
            <w:pPr>
              <w:widowControl/>
              <w:autoSpaceDE w:val="0"/>
              <w:spacing w:line="276" w:lineRule="auto"/>
              <w:jc w:val="left"/>
              <w:textAlignment w:val="center"/>
              <w:rPr>
                <w:rFonts w:ascii="宋体" w:hAnsi="宋体" w:cs="宋体"/>
                <w:szCs w:val="21"/>
                <w:highlight w:val="none"/>
              </w:rPr>
            </w:pPr>
            <w:r>
              <w:rPr>
                <w:rFonts w:hint="eastAsia" w:ascii="宋体" w:hAnsi="宋体"/>
                <w:kern w:val="0"/>
                <w:highlight w:val="none"/>
              </w:rPr>
              <w:t>（一）码头、桥梁、高架、烟囱、水塔或拆除中容易引起有毒有害气（液）体或粉尘扩散、易燃易爆事故发生的特殊建、构筑物的拆除工程。</w:t>
            </w:r>
          </w:p>
        </w:tc>
        <w:tc>
          <w:tcPr>
            <w:tcW w:w="1272" w:type="dxa"/>
            <w:tcBorders>
              <w:top w:val="single" w:color="000000" w:sz="4" w:space="0"/>
              <w:left w:val="nil"/>
              <w:bottom w:val="single" w:color="000000" w:sz="4" w:space="0"/>
              <w:right w:val="single" w:color="000000" w:sz="4" w:space="0"/>
            </w:tcBorders>
            <w:vAlign w:val="center"/>
          </w:tcPr>
          <w:p w14:paraId="3B389E8D">
            <w:pPr>
              <w:autoSpaceDE w:val="0"/>
              <w:spacing w:line="276" w:lineRule="auto"/>
              <w:jc w:val="center"/>
              <w:rPr>
                <w:rFonts w:ascii="宋体" w:hAnsi="宋体" w:cs="宋体"/>
                <w:szCs w:val="21"/>
                <w:highlight w:val="none"/>
              </w:rPr>
            </w:pPr>
            <w:r>
              <w:rPr>
                <w:rFonts w:hint="eastAsia" w:ascii="宋体" w:hAnsi="宋体"/>
                <w:highlight w:val="none"/>
              </w:rPr>
              <w:t>(   )</w:t>
            </w:r>
          </w:p>
        </w:tc>
        <w:tc>
          <w:tcPr>
            <w:tcW w:w="1152" w:type="dxa"/>
            <w:tcBorders>
              <w:top w:val="single" w:color="000000" w:sz="4" w:space="0"/>
              <w:left w:val="nil"/>
              <w:bottom w:val="single" w:color="000000" w:sz="4" w:space="0"/>
              <w:right w:val="single" w:color="000000" w:sz="4" w:space="0"/>
            </w:tcBorders>
            <w:vAlign w:val="center"/>
          </w:tcPr>
          <w:p w14:paraId="06276D94">
            <w:pPr>
              <w:autoSpaceDE w:val="0"/>
              <w:spacing w:line="276" w:lineRule="auto"/>
              <w:jc w:val="center"/>
              <w:rPr>
                <w:rFonts w:ascii="宋体" w:hAnsi="宋体" w:cs="宋体"/>
                <w:szCs w:val="21"/>
                <w:highlight w:val="none"/>
              </w:rPr>
            </w:pPr>
            <w:r>
              <w:rPr>
                <w:rFonts w:hint="eastAsia" w:ascii="宋体" w:hAnsi="宋体"/>
                <w:highlight w:val="none"/>
              </w:rPr>
              <w:t>(    )</w:t>
            </w:r>
          </w:p>
        </w:tc>
        <w:tc>
          <w:tcPr>
            <w:tcW w:w="624" w:type="dxa"/>
            <w:tcBorders>
              <w:top w:val="single" w:color="000000" w:sz="4" w:space="0"/>
              <w:left w:val="nil"/>
              <w:bottom w:val="single" w:color="000000" w:sz="4" w:space="0"/>
              <w:right w:val="single" w:color="000000" w:sz="4" w:space="0"/>
            </w:tcBorders>
            <w:vAlign w:val="center"/>
          </w:tcPr>
          <w:p w14:paraId="31A37EE3">
            <w:pPr>
              <w:autoSpaceDE w:val="0"/>
              <w:spacing w:line="276" w:lineRule="auto"/>
              <w:rPr>
                <w:rFonts w:ascii="宋体" w:hAnsi="宋体" w:cs="宋体"/>
                <w:szCs w:val="21"/>
                <w:highlight w:val="none"/>
              </w:rPr>
            </w:pPr>
          </w:p>
        </w:tc>
      </w:tr>
      <w:tr w14:paraId="115BC1C0">
        <w:tblPrEx>
          <w:tblCellMar>
            <w:top w:w="0" w:type="dxa"/>
            <w:left w:w="108" w:type="dxa"/>
            <w:bottom w:w="0" w:type="dxa"/>
            <w:right w:w="108" w:type="dxa"/>
          </w:tblCellMar>
        </w:tblPrEx>
        <w:trPr>
          <w:trHeight w:val="520" w:hRule="atLeast"/>
          <w:jc w:val="center"/>
        </w:trPr>
        <w:tc>
          <w:tcPr>
            <w:tcW w:w="6612" w:type="dxa"/>
            <w:tcBorders>
              <w:top w:val="single" w:color="000000" w:sz="4" w:space="0"/>
              <w:left w:val="single" w:color="000000" w:sz="4" w:space="0"/>
              <w:bottom w:val="single" w:color="000000" w:sz="4" w:space="0"/>
              <w:right w:val="single" w:color="000000" w:sz="4" w:space="0"/>
            </w:tcBorders>
            <w:vAlign w:val="center"/>
          </w:tcPr>
          <w:p w14:paraId="1FBEF2C7">
            <w:pPr>
              <w:widowControl/>
              <w:autoSpaceDE w:val="0"/>
              <w:spacing w:line="276" w:lineRule="auto"/>
              <w:jc w:val="left"/>
              <w:textAlignment w:val="center"/>
              <w:rPr>
                <w:rFonts w:ascii="宋体" w:hAnsi="宋体" w:cs="宋体"/>
                <w:szCs w:val="21"/>
                <w:highlight w:val="none"/>
              </w:rPr>
            </w:pPr>
            <w:r>
              <w:rPr>
                <w:rFonts w:hint="eastAsia" w:ascii="宋体" w:hAnsi="宋体"/>
                <w:kern w:val="0"/>
                <w:highlight w:val="none"/>
              </w:rPr>
              <w:t>（二）文物保护建筑、优秀历史建筑或历史文化风貌区影响范围内的拆除工程。</w:t>
            </w:r>
          </w:p>
        </w:tc>
        <w:tc>
          <w:tcPr>
            <w:tcW w:w="1272" w:type="dxa"/>
            <w:tcBorders>
              <w:top w:val="single" w:color="000000" w:sz="4" w:space="0"/>
              <w:left w:val="nil"/>
              <w:bottom w:val="single" w:color="000000" w:sz="4" w:space="0"/>
              <w:right w:val="single" w:color="000000" w:sz="4" w:space="0"/>
            </w:tcBorders>
            <w:vAlign w:val="center"/>
          </w:tcPr>
          <w:p w14:paraId="7B747B61">
            <w:pPr>
              <w:autoSpaceDE w:val="0"/>
              <w:spacing w:line="276" w:lineRule="auto"/>
              <w:jc w:val="center"/>
              <w:rPr>
                <w:rFonts w:ascii="宋体" w:hAnsi="宋体" w:cs="宋体"/>
                <w:szCs w:val="21"/>
                <w:highlight w:val="none"/>
              </w:rPr>
            </w:pPr>
            <w:r>
              <w:rPr>
                <w:rFonts w:hint="eastAsia" w:ascii="宋体" w:hAnsi="宋体"/>
                <w:highlight w:val="none"/>
              </w:rPr>
              <w:t>(   )</w:t>
            </w:r>
          </w:p>
        </w:tc>
        <w:tc>
          <w:tcPr>
            <w:tcW w:w="1152" w:type="dxa"/>
            <w:tcBorders>
              <w:top w:val="single" w:color="000000" w:sz="4" w:space="0"/>
              <w:left w:val="nil"/>
              <w:bottom w:val="single" w:color="000000" w:sz="4" w:space="0"/>
              <w:right w:val="single" w:color="000000" w:sz="4" w:space="0"/>
            </w:tcBorders>
            <w:vAlign w:val="center"/>
          </w:tcPr>
          <w:p w14:paraId="3EAE3631">
            <w:pPr>
              <w:autoSpaceDE w:val="0"/>
              <w:spacing w:line="276" w:lineRule="auto"/>
              <w:jc w:val="center"/>
              <w:rPr>
                <w:rFonts w:ascii="宋体" w:hAnsi="宋体" w:cs="宋体"/>
                <w:szCs w:val="21"/>
                <w:highlight w:val="none"/>
              </w:rPr>
            </w:pPr>
            <w:r>
              <w:rPr>
                <w:rFonts w:hint="eastAsia" w:ascii="宋体" w:hAnsi="宋体"/>
                <w:highlight w:val="none"/>
              </w:rPr>
              <w:t>(    )</w:t>
            </w:r>
          </w:p>
        </w:tc>
        <w:tc>
          <w:tcPr>
            <w:tcW w:w="624" w:type="dxa"/>
            <w:tcBorders>
              <w:top w:val="single" w:color="000000" w:sz="4" w:space="0"/>
              <w:left w:val="nil"/>
              <w:bottom w:val="single" w:color="000000" w:sz="4" w:space="0"/>
              <w:right w:val="single" w:color="000000" w:sz="4" w:space="0"/>
            </w:tcBorders>
            <w:vAlign w:val="center"/>
          </w:tcPr>
          <w:p w14:paraId="3C61DCAE">
            <w:pPr>
              <w:autoSpaceDE w:val="0"/>
              <w:spacing w:line="276" w:lineRule="auto"/>
              <w:rPr>
                <w:rFonts w:ascii="宋体" w:hAnsi="宋体" w:cs="宋体"/>
                <w:szCs w:val="21"/>
                <w:highlight w:val="none"/>
              </w:rPr>
            </w:pPr>
          </w:p>
        </w:tc>
      </w:tr>
      <w:tr w14:paraId="42643886">
        <w:tblPrEx>
          <w:tblCellMar>
            <w:top w:w="0" w:type="dxa"/>
            <w:left w:w="108" w:type="dxa"/>
            <w:bottom w:w="0" w:type="dxa"/>
            <w:right w:w="108" w:type="dxa"/>
          </w:tblCellMar>
        </w:tblPrEx>
        <w:trPr>
          <w:trHeight w:val="270" w:hRule="atLeast"/>
          <w:jc w:val="center"/>
        </w:trPr>
        <w:tc>
          <w:tcPr>
            <w:tcW w:w="6612" w:type="dxa"/>
            <w:tcBorders>
              <w:top w:val="single" w:color="000000" w:sz="4" w:space="0"/>
              <w:left w:val="single" w:color="000000" w:sz="4" w:space="0"/>
              <w:bottom w:val="single" w:color="000000" w:sz="4" w:space="0"/>
              <w:right w:val="single" w:color="000000" w:sz="4" w:space="0"/>
            </w:tcBorders>
            <w:vAlign w:val="center"/>
          </w:tcPr>
          <w:p w14:paraId="0824A19E">
            <w:pPr>
              <w:widowControl/>
              <w:autoSpaceDE w:val="0"/>
              <w:spacing w:line="276" w:lineRule="auto"/>
              <w:jc w:val="left"/>
              <w:textAlignment w:val="center"/>
              <w:rPr>
                <w:rFonts w:ascii="宋体" w:hAnsi="宋体" w:cs="宋体"/>
                <w:szCs w:val="21"/>
                <w:highlight w:val="none"/>
              </w:rPr>
            </w:pPr>
            <w:r>
              <w:rPr>
                <w:rFonts w:hint="eastAsia" w:ascii="宋体" w:hAnsi="宋体"/>
                <w:kern w:val="0"/>
                <w:highlight w:val="none"/>
              </w:rPr>
              <w:t>六、暗挖工程</w:t>
            </w:r>
          </w:p>
        </w:tc>
        <w:tc>
          <w:tcPr>
            <w:tcW w:w="1272" w:type="dxa"/>
            <w:tcBorders>
              <w:top w:val="single" w:color="000000" w:sz="4" w:space="0"/>
              <w:left w:val="nil"/>
              <w:bottom w:val="single" w:color="000000" w:sz="4" w:space="0"/>
              <w:right w:val="single" w:color="000000" w:sz="4" w:space="0"/>
            </w:tcBorders>
            <w:vAlign w:val="center"/>
          </w:tcPr>
          <w:p w14:paraId="0058ED17">
            <w:pPr>
              <w:autoSpaceDE w:val="0"/>
              <w:spacing w:line="276" w:lineRule="auto"/>
              <w:jc w:val="center"/>
              <w:rPr>
                <w:rFonts w:ascii="宋体" w:hAnsi="宋体" w:cs="宋体"/>
                <w:szCs w:val="21"/>
                <w:highlight w:val="none"/>
              </w:rPr>
            </w:pPr>
            <w:r>
              <w:rPr>
                <w:rFonts w:hint="eastAsia" w:ascii="宋体" w:hAnsi="宋体"/>
                <w:highlight w:val="none"/>
              </w:rPr>
              <w:t>(   )</w:t>
            </w:r>
          </w:p>
        </w:tc>
        <w:tc>
          <w:tcPr>
            <w:tcW w:w="1152" w:type="dxa"/>
            <w:tcBorders>
              <w:top w:val="single" w:color="000000" w:sz="4" w:space="0"/>
              <w:left w:val="nil"/>
              <w:bottom w:val="single" w:color="000000" w:sz="4" w:space="0"/>
              <w:right w:val="single" w:color="000000" w:sz="4" w:space="0"/>
            </w:tcBorders>
            <w:vAlign w:val="center"/>
          </w:tcPr>
          <w:p w14:paraId="6E8C31CB">
            <w:pPr>
              <w:autoSpaceDE w:val="0"/>
              <w:spacing w:line="276" w:lineRule="auto"/>
              <w:jc w:val="center"/>
              <w:rPr>
                <w:rFonts w:ascii="宋体" w:hAnsi="宋体" w:cs="宋体"/>
                <w:szCs w:val="21"/>
                <w:highlight w:val="none"/>
              </w:rPr>
            </w:pPr>
            <w:r>
              <w:rPr>
                <w:rFonts w:hint="eastAsia" w:ascii="宋体" w:hAnsi="宋体"/>
                <w:highlight w:val="none"/>
              </w:rPr>
              <w:t>(    )</w:t>
            </w:r>
          </w:p>
        </w:tc>
        <w:tc>
          <w:tcPr>
            <w:tcW w:w="624" w:type="dxa"/>
            <w:tcBorders>
              <w:top w:val="single" w:color="000000" w:sz="4" w:space="0"/>
              <w:left w:val="nil"/>
              <w:bottom w:val="single" w:color="000000" w:sz="4" w:space="0"/>
              <w:right w:val="single" w:color="000000" w:sz="4" w:space="0"/>
            </w:tcBorders>
            <w:vAlign w:val="center"/>
          </w:tcPr>
          <w:p w14:paraId="135F198F">
            <w:pPr>
              <w:autoSpaceDE w:val="0"/>
              <w:spacing w:line="276" w:lineRule="auto"/>
              <w:rPr>
                <w:rFonts w:ascii="宋体" w:hAnsi="宋体" w:cs="宋体"/>
                <w:szCs w:val="21"/>
                <w:highlight w:val="none"/>
              </w:rPr>
            </w:pPr>
          </w:p>
        </w:tc>
      </w:tr>
      <w:tr w14:paraId="025FB54D">
        <w:tblPrEx>
          <w:tblCellMar>
            <w:top w:w="0" w:type="dxa"/>
            <w:left w:w="108" w:type="dxa"/>
            <w:bottom w:w="0" w:type="dxa"/>
            <w:right w:w="108" w:type="dxa"/>
          </w:tblCellMar>
        </w:tblPrEx>
        <w:trPr>
          <w:trHeight w:val="270" w:hRule="atLeast"/>
          <w:jc w:val="center"/>
        </w:trPr>
        <w:tc>
          <w:tcPr>
            <w:tcW w:w="6612" w:type="dxa"/>
            <w:tcBorders>
              <w:top w:val="single" w:color="000000" w:sz="4" w:space="0"/>
              <w:left w:val="single" w:color="000000" w:sz="4" w:space="0"/>
              <w:bottom w:val="single" w:color="000000" w:sz="4" w:space="0"/>
              <w:right w:val="single" w:color="000000" w:sz="4" w:space="0"/>
            </w:tcBorders>
            <w:vAlign w:val="center"/>
          </w:tcPr>
          <w:p w14:paraId="19D941A7">
            <w:pPr>
              <w:widowControl/>
              <w:autoSpaceDE w:val="0"/>
              <w:spacing w:line="276" w:lineRule="auto"/>
              <w:jc w:val="left"/>
              <w:textAlignment w:val="center"/>
              <w:rPr>
                <w:rFonts w:ascii="宋体" w:hAnsi="宋体" w:cs="宋体"/>
                <w:szCs w:val="21"/>
                <w:highlight w:val="none"/>
              </w:rPr>
            </w:pPr>
            <w:r>
              <w:rPr>
                <w:rFonts w:hint="eastAsia" w:ascii="宋体" w:hAnsi="宋体"/>
                <w:kern w:val="0"/>
                <w:highlight w:val="none"/>
              </w:rPr>
              <w:t>采用矿山法、盾构法、顶管法施工的隧道、洞室工程。</w:t>
            </w:r>
          </w:p>
        </w:tc>
        <w:tc>
          <w:tcPr>
            <w:tcW w:w="1272" w:type="dxa"/>
            <w:tcBorders>
              <w:top w:val="single" w:color="000000" w:sz="4" w:space="0"/>
              <w:left w:val="nil"/>
              <w:bottom w:val="single" w:color="000000" w:sz="4" w:space="0"/>
              <w:right w:val="single" w:color="000000" w:sz="4" w:space="0"/>
            </w:tcBorders>
            <w:vAlign w:val="center"/>
          </w:tcPr>
          <w:p w14:paraId="3EB85665">
            <w:pPr>
              <w:autoSpaceDE w:val="0"/>
              <w:spacing w:line="276" w:lineRule="auto"/>
              <w:jc w:val="center"/>
              <w:rPr>
                <w:rFonts w:ascii="宋体" w:hAnsi="宋体" w:cs="宋体"/>
                <w:szCs w:val="21"/>
                <w:highlight w:val="none"/>
              </w:rPr>
            </w:pPr>
            <w:r>
              <w:rPr>
                <w:rFonts w:hint="eastAsia" w:ascii="宋体" w:hAnsi="宋体"/>
                <w:highlight w:val="none"/>
              </w:rPr>
              <w:t>(   )</w:t>
            </w:r>
          </w:p>
        </w:tc>
        <w:tc>
          <w:tcPr>
            <w:tcW w:w="1152" w:type="dxa"/>
            <w:tcBorders>
              <w:top w:val="single" w:color="000000" w:sz="4" w:space="0"/>
              <w:left w:val="nil"/>
              <w:bottom w:val="single" w:color="000000" w:sz="4" w:space="0"/>
              <w:right w:val="single" w:color="000000" w:sz="4" w:space="0"/>
            </w:tcBorders>
            <w:vAlign w:val="center"/>
          </w:tcPr>
          <w:p w14:paraId="40D73968">
            <w:pPr>
              <w:autoSpaceDE w:val="0"/>
              <w:spacing w:line="276" w:lineRule="auto"/>
              <w:jc w:val="center"/>
              <w:rPr>
                <w:rFonts w:ascii="宋体" w:hAnsi="宋体" w:cs="宋体"/>
                <w:szCs w:val="21"/>
                <w:highlight w:val="none"/>
              </w:rPr>
            </w:pPr>
            <w:r>
              <w:rPr>
                <w:rFonts w:hint="eastAsia" w:ascii="宋体" w:hAnsi="宋体"/>
                <w:highlight w:val="none"/>
              </w:rPr>
              <w:t>(    )</w:t>
            </w:r>
          </w:p>
        </w:tc>
        <w:tc>
          <w:tcPr>
            <w:tcW w:w="624" w:type="dxa"/>
            <w:tcBorders>
              <w:top w:val="single" w:color="000000" w:sz="4" w:space="0"/>
              <w:left w:val="nil"/>
              <w:bottom w:val="single" w:color="000000" w:sz="4" w:space="0"/>
              <w:right w:val="single" w:color="000000" w:sz="4" w:space="0"/>
            </w:tcBorders>
            <w:vAlign w:val="center"/>
          </w:tcPr>
          <w:p w14:paraId="1BC22705">
            <w:pPr>
              <w:autoSpaceDE w:val="0"/>
              <w:spacing w:line="276" w:lineRule="auto"/>
              <w:rPr>
                <w:rFonts w:ascii="宋体" w:hAnsi="宋体" w:cs="宋体"/>
                <w:szCs w:val="21"/>
                <w:highlight w:val="none"/>
              </w:rPr>
            </w:pPr>
          </w:p>
        </w:tc>
      </w:tr>
      <w:tr w14:paraId="7B2DCD25">
        <w:tblPrEx>
          <w:tblCellMar>
            <w:top w:w="0" w:type="dxa"/>
            <w:left w:w="108" w:type="dxa"/>
            <w:bottom w:w="0" w:type="dxa"/>
            <w:right w:w="108" w:type="dxa"/>
          </w:tblCellMar>
        </w:tblPrEx>
        <w:trPr>
          <w:trHeight w:val="270" w:hRule="atLeast"/>
          <w:jc w:val="center"/>
        </w:trPr>
        <w:tc>
          <w:tcPr>
            <w:tcW w:w="6612" w:type="dxa"/>
            <w:tcBorders>
              <w:top w:val="single" w:color="000000" w:sz="4" w:space="0"/>
              <w:left w:val="single" w:color="000000" w:sz="4" w:space="0"/>
              <w:bottom w:val="single" w:color="000000" w:sz="4" w:space="0"/>
              <w:right w:val="single" w:color="000000" w:sz="4" w:space="0"/>
            </w:tcBorders>
            <w:vAlign w:val="center"/>
          </w:tcPr>
          <w:p w14:paraId="2CBAED37">
            <w:pPr>
              <w:widowControl/>
              <w:autoSpaceDE w:val="0"/>
              <w:spacing w:line="276" w:lineRule="auto"/>
              <w:jc w:val="left"/>
              <w:textAlignment w:val="center"/>
              <w:rPr>
                <w:rFonts w:ascii="宋体" w:hAnsi="宋体" w:cs="宋体"/>
                <w:szCs w:val="21"/>
                <w:highlight w:val="none"/>
              </w:rPr>
            </w:pPr>
            <w:r>
              <w:rPr>
                <w:rFonts w:hint="eastAsia" w:ascii="宋体" w:hAnsi="宋体"/>
                <w:kern w:val="0"/>
                <w:highlight w:val="none"/>
              </w:rPr>
              <w:t>七、其它</w:t>
            </w:r>
          </w:p>
        </w:tc>
        <w:tc>
          <w:tcPr>
            <w:tcW w:w="1272" w:type="dxa"/>
            <w:tcBorders>
              <w:top w:val="single" w:color="000000" w:sz="4" w:space="0"/>
              <w:left w:val="nil"/>
              <w:bottom w:val="single" w:color="000000" w:sz="4" w:space="0"/>
              <w:right w:val="single" w:color="000000" w:sz="4" w:space="0"/>
            </w:tcBorders>
            <w:vAlign w:val="center"/>
          </w:tcPr>
          <w:p w14:paraId="1A2B3133">
            <w:pPr>
              <w:autoSpaceDE w:val="0"/>
              <w:spacing w:line="276" w:lineRule="auto"/>
              <w:jc w:val="center"/>
              <w:rPr>
                <w:rFonts w:ascii="宋体" w:hAnsi="宋体" w:cs="宋体"/>
                <w:szCs w:val="21"/>
                <w:highlight w:val="none"/>
              </w:rPr>
            </w:pPr>
            <w:r>
              <w:rPr>
                <w:rFonts w:hint="eastAsia" w:ascii="宋体" w:hAnsi="宋体"/>
                <w:highlight w:val="none"/>
              </w:rPr>
              <w:t>(   )</w:t>
            </w:r>
          </w:p>
        </w:tc>
        <w:tc>
          <w:tcPr>
            <w:tcW w:w="1152" w:type="dxa"/>
            <w:tcBorders>
              <w:top w:val="single" w:color="000000" w:sz="4" w:space="0"/>
              <w:left w:val="nil"/>
              <w:bottom w:val="single" w:color="000000" w:sz="4" w:space="0"/>
              <w:right w:val="single" w:color="000000" w:sz="4" w:space="0"/>
            </w:tcBorders>
            <w:vAlign w:val="center"/>
          </w:tcPr>
          <w:p w14:paraId="060B3052">
            <w:pPr>
              <w:autoSpaceDE w:val="0"/>
              <w:spacing w:line="276" w:lineRule="auto"/>
              <w:jc w:val="center"/>
              <w:rPr>
                <w:rFonts w:ascii="宋体" w:hAnsi="宋体" w:cs="宋体"/>
                <w:szCs w:val="21"/>
                <w:highlight w:val="none"/>
              </w:rPr>
            </w:pPr>
            <w:r>
              <w:rPr>
                <w:rFonts w:hint="eastAsia" w:ascii="宋体" w:hAnsi="宋体"/>
                <w:highlight w:val="none"/>
              </w:rPr>
              <w:t>(    )</w:t>
            </w:r>
          </w:p>
        </w:tc>
        <w:tc>
          <w:tcPr>
            <w:tcW w:w="624" w:type="dxa"/>
            <w:tcBorders>
              <w:top w:val="single" w:color="000000" w:sz="4" w:space="0"/>
              <w:left w:val="nil"/>
              <w:bottom w:val="single" w:color="000000" w:sz="4" w:space="0"/>
              <w:right w:val="single" w:color="000000" w:sz="4" w:space="0"/>
            </w:tcBorders>
            <w:vAlign w:val="center"/>
          </w:tcPr>
          <w:p w14:paraId="76497581">
            <w:pPr>
              <w:autoSpaceDE w:val="0"/>
              <w:spacing w:line="276" w:lineRule="auto"/>
              <w:rPr>
                <w:rFonts w:ascii="宋体" w:hAnsi="宋体" w:cs="宋体"/>
                <w:szCs w:val="21"/>
                <w:highlight w:val="none"/>
              </w:rPr>
            </w:pPr>
          </w:p>
        </w:tc>
      </w:tr>
      <w:tr w14:paraId="3C50D514">
        <w:tblPrEx>
          <w:tblCellMar>
            <w:top w:w="0" w:type="dxa"/>
            <w:left w:w="108" w:type="dxa"/>
            <w:bottom w:w="0" w:type="dxa"/>
            <w:right w:w="108" w:type="dxa"/>
          </w:tblCellMar>
        </w:tblPrEx>
        <w:trPr>
          <w:trHeight w:val="270" w:hRule="atLeast"/>
          <w:jc w:val="center"/>
        </w:trPr>
        <w:tc>
          <w:tcPr>
            <w:tcW w:w="6612" w:type="dxa"/>
            <w:tcBorders>
              <w:top w:val="single" w:color="000000" w:sz="4" w:space="0"/>
              <w:left w:val="single" w:color="000000" w:sz="4" w:space="0"/>
              <w:bottom w:val="single" w:color="000000" w:sz="4" w:space="0"/>
              <w:right w:val="single" w:color="000000" w:sz="4" w:space="0"/>
            </w:tcBorders>
            <w:vAlign w:val="center"/>
          </w:tcPr>
          <w:p w14:paraId="27240B3D">
            <w:pPr>
              <w:widowControl/>
              <w:autoSpaceDE w:val="0"/>
              <w:spacing w:line="276" w:lineRule="auto"/>
              <w:jc w:val="left"/>
              <w:textAlignment w:val="center"/>
              <w:rPr>
                <w:rFonts w:ascii="宋体" w:hAnsi="宋体" w:cs="宋体"/>
                <w:szCs w:val="21"/>
                <w:highlight w:val="none"/>
              </w:rPr>
            </w:pPr>
            <w:r>
              <w:rPr>
                <w:rFonts w:hint="eastAsia" w:ascii="宋体" w:hAnsi="宋体"/>
                <w:kern w:val="0"/>
                <w:highlight w:val="none"/>
              </w:rPr>
              <w:t>（一）施工高度50m及以上的建筑幕墙安装工程。</w:t>
            </w:r>
          </w:p>
        </w:tc>
        <w:tc>
          <w:tcPr>
            <w:tcW w:w="1272" w:type="dxa"/>
            <w:tcBorders>
              <w:top w:val="single" w:color="000000" w:sz="4" w:space="0"/>
              <w:left w:val="nil"/>
              <w:bottom w:val="single" w:color="000000" w:sz="4" w:space="0"/>
              <w:right w:val="single" w:color="000000" w:sz="4" w:space="0"/>
            </w:tcBorders>
            <w:vAlign w:val="center"/>
          </w:tcPr>
          <w:p w14:paraId="2CCFF44F">
            <w:pPr>
              <w:autoSpaceDE w:val="0"/>
              <w:spacing w:line="276" w:lineRule="auto"/>
              <w:jc w:val="center"/>
              <w:rPr>
                <w:rFonts w:ascii="宋体" w:hAnsi="宋体" w:cs="宋体"/>
                <w:szCs w:val="21"/>
                <w:highlight w:val="none"/>
              </w:rPr>
            </w:pPr>
            <w:r>
              <w:rPr>
                <w:rFonts w:hint="eastAsia" w:ascii="宋体" w:hAnsi="宋体"/>
                <w:highlight w:val="none"/>
              </w:rPr>
              <w:t>(   )</w:t>
            </w:r>
          </w:p>
        </w:tc>
        <w:tc>
          <w:tcPr>
            <w:tcW w:w="1152" w:type="dxa"/>
            <w:tcBorders>
              <w:top w:val="single" w:color="000000" w:sz="4" w:space="0"/>
              <w:left w:val="nil"/>
              <w:bottom w:val="single" w:color="000000" w:sz="4" w:space="0"/>
              <w:right w:val="single" w:color="000000" w:sz="4" w:space="0"/>
            </w:tcBorders>
            <w:vAlign w:val="center"/>
          </w:tcPr>
          <w:p w14:paraId="40DC49AD">
            <w:pPr>
              <w:autoSpaceDE w:val="0"/>
              <w:spacing w:line="276" w:lineRule="auto"/>
              <w:jc w:val="center"/>
              <w:rPr>
                <w:rFonts w:ascii="宋体" w:hAnsi="宋体" w:cs="宋体"/>
                <w:szCs w:val="21"/>
                <w:highlight w:val="none"/>
              </w:rPr>
            </w:pPr>
            <w:r>
              <w:rPr>
                <w:rFonts w:hint="eastAsia" w:ascii="宋体" w:hAnsi="宋体"/>
                <w:highlight w:val="none"/>
              </w:rPr>
              <w:t>(    )</w:t>
            </w:r>
          </w:p>
        </w:tc>
        <w:tc>
          <w:tcPr>
            <w:tcW w:w="624" w:type="dxa"/>
            <w:tcBorders>
              <w:top w:val="single" w:color="000000" w:sz="4" w:space="0"/>
              <w:left w:val="nil"/>
              <w:bottom w:val="single" w:color="000000" w:sz="4" w:space="0"/>
              <w:right w:val="single" w:color="000000" w:sz="4" w:space="0"/>
            </w:tcBorders>
            <w:vAlign w:val="center"/>
          </w:tcPr>
          <w:p w14:paraId="5E03368E">
            <w:pPr>
              <w:autoSpaceDE w:val="0"/>
              <w:spacing w:line="276" w:lineRule="auto"/>
              <w:rPr>
                <w:rFonts w:ascii="宋体" w:hAnsi="宋体" w:cs="宋体"/>
                <w:szCs w:val="21"/>
                <w:highlight w:val="none"/>
              </w:rPr>
            </w:pPr>
          </w:p>
        </w:tc>
      </w:tr>
      <w:tr w14:paraId="0538C0E1">
        <w:tblPrEx>
          <w:tblCellMar>
            <w:top w:w="0" w:type="dxa"/>
            <w:left w:w="108" w:type="dxa"/>
            <w:bottom w:w="0" w:type="dxa"/>
            <w:right w:w="108" w:type="dxa"/>
          </w:tblCellMar>
        </w:tblPrEx>
        <w:trPr>
          <w:trHeight w:val="660" w:hRule="atLeast"/>
          <w:jc w:val="center"/>
        </w:trPr>
        <w:tc>
          <w:tcPr>
            <w:tcW w:w="6612" w:type="dxa"/>
            <w:tcBorders>
              <w:top w:val="single" w:color="000000" w:sz="4" w:space="0"/>
              <w:left w:val="single" w:color="000000" w:sz="4" w:space="0"/>
              <w:bottom w:val="single" w:color="000000" w:sz="4" w:space="0"/>
              <w:right w:val="single" w:color="000000" w:sz="4" w:space="0"/>
            </w:tcBorders>
            <w:vAlign w:val="center"/>
          </w:tcPr>
          <w:p w14:paraId="040B44E6">
            <w:pPr>
              <w:widowControl/>
              <w:autoSpaceDE w:val="0"/>
              <w:spacing w:line="276" w:lineRule="auto"/>
              <w:jc w:val="left"/>
              <w:textAlignment w:val="center"/>
              <w:rPr>
                <w:rFonts w:ascii="宋体" w:hAnsi="宋体" w:cs="宋体"/>
                <w:szCs w:val="21"/>
                <w:highlight w:val="none"/>
              </w:rPr>
            </w:pPr>
            <w:r>
              <w:rPr>
                <w:rFonts w:hint="eastAsia" w:ascii="宋体" w:hAnsi="宋体"/>
                <w:kern w:val="0"/>
                <w:highlight w:val="none"/>
              </w:rPr>
              <w:t>（二）跨度36m及以上的钢结构安装工程，或跨度60m及以上的网架和索膜结构安装工程。</w:t>
            </w:r>
          </w:p>
        </w:tc>
        <w:tc>
          <w:tcPr>
            <w:tcW w:w="1272" w:type="dxa"/>
            <w:tcBorders>
              <w:top w:val="single" w:color="000000" w:sz="4" w:space="0"/>
              <w:left w:val="nil"/>
              <w:bottom w:val="single" w:color="000000" w:sz="4" w:space="0"/>
              <w:right w:val="single" w:color="000000" w:sz="4" w:space="0"/>
            </w:tcBorders>
            <w:vAlign w:val="center"/>
          </w:tcPr>
          <w:p w14:paraId="3F5EDCDC">
            <w:pPr>
              <w:autoSpaceDE w:val="0"/>
              <w:spacing w:line="276" w:lineRule="auto"/>
              <w:jc w:val="center"/>
              <w:rPr>
                <w:rFonts w:ascii="宋体" w:hAnsi="宋体" w:cs="宋体"/>
                <w:szCs w:val="21"/>
                <w:highlight w:val="none"/>
              </w:rPr>
            </w:pPr>
            <w:r>
              <w:rPr>
                <w:rFonts w:hint="eastAsia" w:ascii="宋体" w:hAnsi="宋体"/>
                <w:highlight w:val="none"/>
              </w:rPr>
              <w:t>(   )</w:t>
            </w:r>
          </w:p>
        </w:tc>
        <w:tc>
          <w:tcPr>
            <w:tcW w:w="1152" w:type="dxa"/>
            <w:tcBorders>
              <w:top w:val="single" w:color="000000" w:sz="4" w:space="0"/>
              <w:left w:val="nil"/>
              <w:bottom w:val="single" w:color="000000" w:sz="4" w:space="0"/>
              <w:right w:val="single" w:color="000000" w:sz="4" w:space="0"/>
            </w:tcBorders>
            <w:vAlign w:val="center"/>
          </w:tcPr>
          <w:p w14:paraId="354BAB54">
            <w:pPr>
              <w:autoSpaceDE w:val="0"/>
              <w:spacing w:line="276" w:lineRule="auto"/>
              <w:jc w:val="center"/>
              <w:rPr>
                <w:rFonts w:ascii="宋体" w:hAnsi="宋体" w:cs="宋体"/>
                <w:szCs w:val="21"/>
                <w:highlight w:val="none"/>
              </w:rPr>
            </w:pPr>
            <w:r>
              <w:rPr>
                <w:rFonts w:hint="eastAsia" w:ascii="宋体" w:hAnsi="宋体"/>
                <w:highlight w:val="none"/>
              </w:rPr>
              <w:t>(    )</w:t>
            </w:r>
          </w:p>
        </w:tc>
        <w:tc>
          <w:tcPr>
            <w:tcW w:w="624" w:type="dxa"/>
            <w:tcBorders>
              <w:top w:val="single" w:color="000000" w:sz="4" w:space="0"/>
              <w:left w:val="nil"/>
              <w:bottom w:val="single" w:color="000000" w:sz="4" w:space="0"/>
              <w:right w:val="single" w:color="000000" w:sz="4" w:space="0"/>
            </w:tcBorders>
            <w:vAlign w:val="center"/>
          </w:tcPr>
          <w:p w14:paraId="32F89354">
            <w:pPr>
              <w:autoSpaceDE w:val="0"/>
              <w:spacing w:line="276" w:lineRule="auto"/>
              <w:rPr>
                <w:rFonts w:ascii="宋体" w:hAnsi="宋体" w:cs="宋体"/>
                <w:szCs w:val="21"/>
                <w:highlight w:val="none"/>
              </w:rPr>
            </w:pPr>
          </w:p>
        </w:tc>
      </w:tr>
      <w:tr w14:paraId="026C2A37">
        <w:tblPrEx>
          <w:tblCellMar>
            <w:top w:w="0" w:type="dxa"/>
            <w:left w:w="108" w:type="dxa"/>
            <w:bottom w:w="0" w:type="dxa"/>
            <w:right w:w="108" w:type="dxa"/>
          </w:tblCellMar>
        </w:tblPrEx>
        <w:trPr>
          <w:trHeight w:val="270" w:hRule="atLeast"/>
          <w:jc w:val="center"/>
        </w:trPr>
        <w:tc>
          <w:tcPr>
            <w:tcW w:w="6612" w:type="dxa"/>
            <w:tcBorders>
              <w:top w:val="single" w:color="000000" w:sz="4" w:space="0"/>
              <w:left w:val="single" w:color="000000" w:sz="4" w:space="0"/>
              <w:bottom w:val="single" w:color="000000" w:sz="4" w:space="0"/>
              <w:right w:val="single" w:color="000000" w:sz="4" w:space="0"/>
            </w:tcBorders>
            <w:vAlign w:val="center"/>
          </w:tcPr>
          <w:p w14:paraId="6D4C3687">
            <w:pPr>
              <w:widowControl/>
              <w:autoSpaceDE w:val="0"/>
              <w:spacing w:line="276" w:lineRule="auto"/>
              <w:jc w:val="left"/>
              <w:textAlignment w:val="center"/>
              <w:rPr>
                <w:rFonts w:ascii="宋体" w:hAnsi="宋体" w:cs="宋体"/>
                <w:szCs w:val="21"/>
                <w:highlight w:val="none"/>
              </w:rPr>
            </w:pPr>
            <w:r>
              <w:rPr>
                <w:rFonts w:hint="eastAsia" w:ascii="宋体" w:hAnsi="宋体"/>
                <w:kern w:val="0"/>
                <w:highlight w:val="none"/>
              </w:rPr>
              <w:t>（三）开挖深度16m及以上的人工挖孔桩工程。</w:t>
            </w:r>
          </w:p>
        </w:tc>
        <w:tc>
          <w:tcPr>
            <w:tcW w:w="1272" w:type="dxa"/>
            <w:tcBorders>
              <w:top w:val="single" w:color="000000" w:sz="4" w:space="0"/>
              <w:left w:val="nil"/>
              <w:bottom w:val="single" w:color="000000" w:sz="4" w:space="0"/>
              <w:right w:val="single" w:color="000000" w:sz="4" w:space="0"/>
            </w:tcBorders>
            <w:vAlign w:val="center"/>
          </w:tcPr>
          <w:p w14:paraId="1FD4BB20">
            <w:pPr>
              <w:autoSpaceDE w:val="0"/>
              <w:spacing w:line="276" w:lineRule="auto"/>
              <w:jc w:val="center"/>
              <w:rPr>
                <w:rFonts w:ascii="宋体" w:hAnsi="宋体" w:cs="宋体"/>
                <w:szCs w:val="21"/>
                <w:highlight w:val="none"/>
              </w:rPr>
            </w:pPr>
            <w:r>
              <w:rPr>
                <w:rFonts w:hint="eastAsia" w:ascii="宋体" w:hAnsi="宋体"/>
                <w:highlight w:val="none"/>
              </w:rPr>
              <w:t>(   )</w:t>
            </w:r>
          </w:p>
        </w:tc>
        <w:tc>
          <w:tcPr>
            <w:tcW w:w="1152" w:type="dxa"/>
            <w:tcBorders>
              <w:top w:val="single" w:color="000000" w:sz="4" w:space="0"/>
              <w:left w:val="nil"/>
              <w:bottom w:val="single" w:color="000000" w:sz="4" w:space="0"/>
              <w:right w:val="single" w:color="000000" w:sz="4" w:space="0"/>
            </w:tcBorders>
            <w:vAlign w:val="center"/>
          </w:tcPr>
          <w:p w14:paraId="3F1B8B9F">
            <w:pPr>
              <w:autoSpaceDE w:val="0"/>
              <w:spacing w:line="276" w:lineRule="auto"/>
              <w:jc w:val="center"/>
              <w:rPr>
                <w:rFonts w:ascii="宋体" w:hAnsi="宋体" w:cs="宋体"/>
                <w:szCs w:val="21"/>
                <w:highlight w:val="none"/>
              </w:rPr>
            </w:pPr>
            <w:r>
              <w:rPr>
                <w:rFonts w:hint="eastAsia" w:ascii="宋体" w:hAnsi="宋体"/>
                <w:highlight w:val="none"/>
              </w:rPr>
              <w:t>(    )</w:t>
            </w:r>
          </w:p>
        </w:tc>
        <w:tc>
          <w:tcPr>
            <w:tcW w:w="624" w:type="dxa"/>
            <w:tcBorders>
              <w:top w:val="single" w:color="000000" w:sz="4" w:space="0"/>
              <w:left w:val="nil"/>
              <w:bottom w:val="single" w:color="000000" w:sz="4" w:space="0"/>
              <w:right w:val="single" w:color="000000" w:sz="4" w:space="0"/>
            </w:tcBorders>
            <w:vAlign w:val="center"/>
          </w:tcPr>
          <w:p w14:paraId="1EC83A2A">
            <w:pPr>
              <w:autoSpaceDE w:val="0"/>
              <w:spacing w:line="276" w:lineRule="auto"/>
              <w:rPr>
                <w:rFonts w:ascii="宋体" w:hAnsi="宋体" w:cs="宋体"/>
                <w:szCs w:val="21"/>
                <w:highlight w:val="none"/>
              </w:rPr>
            </w:pPr>
          </w:p>
        </w:tc>
      </w:tr>
      <w:tr w14:paraId="6BF2EA75">
        <w:tblPrEx>
          <w:tblCellMar>
            <w:top w:w="0" w:type="dxa"/>
            <w:left w:w="108" w:type="dxa"/>
            <w:bottom w:w="0" w:type="dxa"/>
            <w:right w:w="108" w:type="dxa"/>
          </w:tblCellMar>
        </w:tblPrEx>
        <w:trPr>
          <w:trHeight w:val="270" w:hRule="atLeast"/>
          <w:jc w:val="center"/>
        </w:trPr>
        <w:tc>
          <w:tcPr>
            <w:tcW w:w="6612" w:type="dxa"/>
            <w:tcBorders>
              <w:top w:val="single" w:color="000000" w:sz="4" w:space="0"/>
              <w:left w:val="single" w:color="000000" w:sz="4" w:space="0"/>
              <w:bottom w:val="single" w:color="000000" w:sz="4" w:space="0"/>
              <w:right w:val="single" w:color="000000" w:sz="4" w:space="0"/>
            </w:tcBorders>
            <w:vAlign w:val="center"/>
          </w:tcPr>
          <w:p w14:paraId="0A9C2200">
            <w:pPr>
              <w:widowControl/>
              <w:autoSpaceDE w:val="0"/>
              <w:spacing w:line="276" w:lineRule="auto"/>
              <w:jc w:val="left"/>
              <w:textAlignment w:val="center"/>
              <w:rPr>
                <w:rFonts w:ascii="宋体" w:hAnsi="宋体" w:cs="宋体"/>
                <w:szCs w:val="21"/>
                <w:highlight w:val="none"/>
              </w:rPr>
            </w:pPr>
            <w:r>
              <w:rPr>
                <w:rFonts w:hint="eastAsia" w:ascii="宋体" w:hAnsi="宋体"/>
                <w:kern w:val="0"/>
                <w:highlight w:val="none"/>
              </w:rPr>
              <w:t>（四）水下作业工程。</w:t>
            </w:r>
          </w:p>
        </w:tc>
        <w:tc>
          <w:tcPr>
            <w:tcW w:w="1272" w:type="dxa"/>
            <w:tcBorders>
              <w:top w:val="single" w:color="000000" w:sz="4" w:space="0"/>
              <w:left w:val="nil"/>
              <w:bottom w:val="single" w:color="000000" w:sz="4" w:space="0"/>
              <w:right w:val="single" w:color="000000" w:sz="4" w:space="0"/>
            </w:tcBorders>
            <w:vAlign w:val="center"/>
          </w:tcPr>
          <w:p w14:paraId="22D11F50">
            <w:pPr>
              <w:autoSpaceDE w:val="0"/>
              <w:spacing w:line="276" w:lineRule="auto"/>
              <w:jc w:val="center"/>
              <w:rPr>
                <w:rFonts w:ascii="宋体" w:hAnsi="宋体" w:cs="宋体"/>
                <w:szCs w:val="21"/>
                <w:highlight w:val="none"/>
              </w:rPr>
            </w:pPr>
            <w:r>
              <w:rPr>
                <w:rFonts w:hint="eastAsia" w:ascii="宋体" w:hAnsi="宋体"/>
                <w:highlight w:val="none"/>
              </w:rPr>
              <w:t>(   )</w:t>
            </w:r>
          </w:p>
        </w:tc>
        <w:tc>
          <w:tcPr>
            <w:tcW w:w="1152" w:type="dxa"/>
            <w:tcBorders>
              <w:top w:val="single" w:color="000000" w:sz="4" w:space="0"/>
              <w:left w:val="nil"/>
              <w:bottom w:val="single" w:color="000000" w:sz="4" w:space="0"/>
              <w:right w:val="single" w:color="000000" w:sz="4" w:space="0"/>
            </w:tcBorders>
            <w:vAlign w:val="center"/>
          </w:tcPr>
          <w:p w14:paraId="4BAB0B35">
            <w:pPr>
              <w:autoSpaceDE w:val="0"/>
              <w:spacing w:line="276" w:lineRule="auto"/>
              <w:jc w:val="center"/>
              <w:rPr>
                <w:rFonts w:ascii="宋体" w:hAnsi="宋体" w:cs="宋体"/>
                <w:szCs w:val="21"/>
                <w:highlight w:val="none"/>
              </w:rPr>
            </w:pPr>
            <w:r>
              <w:rPr>
                <w:rFonts w:hint="eastAsia" w:ascii="宋体" w:hAnsi="宋体"/>
                <w:highlight w:val="none"/>
              </w:rPr>
              <w:t>(    )</w:t>
            </w:r>
          </w:p>
        </w:tc>
        <w:tc>
          <w:tcPr>
            <w:tcW w:w="624" w:type="dxa"/>
            <w:tcBorders>
              <w:top w:val="single" w:color="000000" w:sz="4" w:space="0"/>
              <w:left w:val="nil"/>
              <w:bottom w:val="single" w:color="000000" w:sz="4" w:space="0"/>
              <w:right w:val="single" w:color="000000" w:sz="4" w:space="0"/>
            </w:tcBorders>
            <w:vAlign w:val="center"/>
          </w:tcPr>
          <w:p w14:paraId="7BD9C1F6">
            <w:pPr>
              <w:autoSpaceDE w:val="0"/>
              <w:spacing w:line="276" w:lineRule="auto"/>
              <w:rPr>
                <w:rFonts w:ascii="宋体" w:hAnsi="宋体" w:cs="宋体"/>
                <w:szCs w:val="21"/>
                <w:highlight w:val="none"/>
              </w:rPr>
            </w:pPr>
          </w:p>
        </w:tc>
      </w:tr>
      <w:tr w14:paraId="53F7457C">
        <w:tblPrEx>
          <w:tblCellMar>
            <w:top w:w="0" w:type="dxa"/>
            <w:left w:w="108" w:type="dxa"/>
            <w:bottom w:w="0" w:type="dxa"/>
            <w:right w:w="108" w:type="dxa"/>
          </w:tblCellMar>
        </w:tblPrEx>
        <w:trPr>
          <w:trHeight w:val="553" w:hRule="atLeast"/>
          <w:jc w:val="center"/>
        </w:trPr>
        <w:tc>
          <w:tcPr>
            <w:tcW w:w="6612" w:type="dxa"/>
            <w:tcBorders>
              <w:top w:val="single" w:color="000000" w:sz="4" w:space="0"/>
              <w:left w:val="single" w:color="000000" w:sz="4" w:space="0"/>
              <w:bottom w:val="single" w:color="000000" w:sz="4" w:space="0"/>
              <w:right w:val="single" w:color="000000" w:sz="4" w:space="0"/>
            </w:tcBorders>
            <w:vAlign w:val="center"/>
          </w:tcPr>
          <w:p w14:paraId="61198084">
            <w:pPr>
              <w:widowControl/>
              <w:autoSpaceDE w:val="0"/>
              <w:spacing w:line="276" w:lineRule="auto"/>
              <w:jc w:val="left"/>
              <w:textAlignment w:val="center"/>
              <w:rPr>
                <w:rFonts w:ascii="宋体" w:hAnsi="宋体" w:cs="宋体"/>
                <w:szCs w:val="21"/>
                <w:highlight w:val="none"/>
              </w:rPr>
            </w:pPr>
            <w:r>
              <w:rPr>
                <w:rFonts w:hint="eastAsia" w:ascii="宋体" w:hAnsi="宋体"/>
                <w:kern w:val="0"/>
                <w:highlight w:val="none"/>
              </w:rPr>
              <w:t>（五）重量1000kN及以上的大型结构整体顶升、平移、转体等施工工艺。</w:t>
            </w:r>
          </w:p>
        </w:tc>
        <w:tc>
          <w:tcPr>
            <w:tcW w:w="1272" w:type="dxa"/>
            <w:tcBorders>
              <w:top w:val="single" w:color="000000" w:sz="4" w:space="0"/>
              <w:left w:val="nil"/>
              <w:bottom w:val="single" w:color="000000" w:sz="4" w:space="0"/>
              <w:right w:val="single" w:color="000000" w:sz="4" w:space="0"/>
            </w:tcBorders>
            <w:vAlign w:val="center"/>
          </w:tcPr>
          <w:p w14:paraId="2A642517">
            <w:pPr>
              <w:autoSpaceDE w:val="0"/>
              <w:spacing w:line="276" w:lineRule="auto"/>
              <w:jc w:val="center"/>
              <w:rPr>
                <w:rFonts w:ascii="宋体" w:hAnsi="宋体" w:cs="宋体"/>
                <w:szCs w:val="21"/>
                <w:highlight w:val="none"/>
              </w:rPr>
            </w:pPr>
            <w:r>
              <w:rPr>
                <w:rFonts w:hint="eastAsia" w:ascii="宋体" w:hAnsi="宋体"/>
                <w:highlight w:val="none"/>
              </w:rPr>
              <w:t>(   )</w:t>
            </w:r>
          </w:p>
        </w:tc>
        <w:tc>
          <w:tcPr>
            <w:tcW w:w="1152" w:type="dxa"/>
            <w:tcBorders>
              <w:top w:val="single" w:color="000000" w:sz="4" w:space="0"/>
              <w:left w:val="nil"/>
              <w:bottom w:val="single" w:color="000000" w:sz="4" w:space="0"/>
              <w:right w:val="single" w:color="000000" w:sz="4" w:space="0"/>
            </w:tcBorders>
            <w:vAlign w:val="center"/>
          </w:tcPr>
          <w:p w14:paraId="5EEFB4BA">
            <w:pPr>
              <w:autoSpaceDE w:val="0"/>
              <w:spacing w:line="276" w:lineRule="auto"/>
              <w:jc w:val="center"/>
              <w:rPr>
                <w:rFonts w:ascii="宋体" w:hAnsi="宋体" w:cs="宋体"/>
                <w:szCs w:val="21"/>
                <w:highlight w:val="none"/>
              </w:rPr>
            </w:pPr>
            <w:r>
              <w:rPr>
                <w:rFonts w:hint="eastAsia" w:ascii="宋体" w:hAnsi="宋体"/>
                <w:highlight w:val="none"/>
              </w:rPr>
              <w:t>(    )</w:t>
            </w:r>
          </w:p>
        </w:tc>
        <w:tc>
          <w:tcPr>
            <w:tcW w:w="624" w:type="dxa"/>
            <w:tcBorders>
              <w:top w:val="single" w:color="000000" w:sz="4" w:space="0"/>
              <w:left w:val="nil"/>
              <w:bottom w:val="single" w:color="000000" w:sz="4" w:space="0"/>
              <w:right w:val="single" w:color="000000" w:sz="4" w:space="0"/>
            </w:tcBorders>
            <w:vAlign w:val="center"/>
          </w:tcPr>
          <w:p w14:paraId="2CF52774">
            <w:pPr>
              <w:autoSpaceDE w:val="0"/>
              <w:spacing w:line="276" w:lineRule="auto"/>
              <w:rPr>
                <w:rFonts w:ascii="宋体" w:hAnsi="宋体" w:cs="宋体"/>
                <w:szCs w:val="21"/>
                <w:highlight w:val="none"/>
              </w:rPr>
            </w:pPr>
          </w:p>
        </w:tc>
      </w:tr>
      <w:tr w14:paraId="1811CC33">
        <w:tblPrEx>
          <w:tblCellMar>
            <w:top w:w="0" w:type="dxa"/>
            <w:left w:w="108" w:type="dxa"/>
            <w:bottom w:w="0" w:type="dxa"/>
            <w:right w:w="108" w:type="dxa"/>
          </w:tblCellMar>
        </w:tblPrEx>
        <w:trPr>
          <w:trHeight w:val="722" w:hRule="atLeast"/>
          <w:jc w:val="center"/>
        </w:trPr>
        <w:tc>
          <w:tcPr>
            <w:tcW w:w="6612" w:type="dxa"/>
            <w:tcBorders>
              <w:top w:val="single" w:color="000000" w:sz="4" w:space="0"/>
              <w:left w:val="single" w:color="000000" w:sz="4" w:space="0"/>
              <w:bottom w:val="single" w:color="000000" w:sz="4" w:space="0"/>
              <w:right w:val="single" w:color="000000" w:sz="4" w:space="0"/>
            </w:tcBorders>
            <w:vAlign w:val="center"/>
          </w:tcPr>
          <w:p w14:paraId="503196AA">
            <w:pPr>
              <w:widowControl/>
              <w:autoSpaceDE w:val="0"/>
              <w:spacing w:line="276" w:lineRule="auto"/>
              <w:jc w:val="left"/>
              <w:textAlignment w:val="center"/>
              <w:rPr>
                <w:rFonts w:ascii="宋体" w:hAnsi="宋体" w:cs="宋体"/>
                <w:szCs w:val="21"/>
                <w:highlight w:val="none"/>
              </w:rPr>
            </w:pPr>
            <w:r>
              <w:rPr>
                <w:rFonts w:hint="eastAsia" w:ascii="宋体" w:hAnsi="宋体"/>
                <w:kern w:val="0"/>
                <w:highlight w:val="none"/>
              </w:rPr>
              <w:t>（六）采用新技术、新工艺、新材料、新设备可能影响工程施工安全，尚无国家、行业及地方技术标准的分部分项工程。</w:t>
            </w:r>
          </w:p>
        </w:tc>
        <w:tc>
          <w:tcPr>
            <w:tcW w:w="1272" w:type="dxa"/>
            <w:tcBorders>
              <w:top w:val="single" w:color="000000" w:sz="4" w:space="0"/>
              <w:left w:val="nil"/>
              <w:bottom w:val="single" w:color="000000" w:sz="4" w:space="0"/>
              <w:right w:val="single" w:color="000000" w:sz="4" w:space="0"/>
            </w:tcBorders>
            <w:vAlign w:val="center"/>
          </w:tcPr>
          <w:p w14:paraId="196DD1D3">
            <w:pPr>
              <w:autoSpaceDE w:val="0"/>
              <w:spacing w:line="276" w:lineRule="auto"/>
              <w:jc w:val="center"/>
              <w:rPr>
                <w:rFonts w:ascii="宋体" w:hAnsi="宋体" w:cs="宋体"/>
                <w:szCs w:val="21"/>
                <w:highlight w:val="none"/>
              </w:rPr>
            </w:pPr>
            <w:r>
              <w:rPr>
                <w:rFonts w:hint="eastAsia" w:ascii="宋体" w:hAnsi="宋体"/>
                <w:highlight w:val="none"/>
              </w:rPr>
              <w:t>(   )</w:t>
            </w:r>
          </w:p>
        </w:tc>
        <w:tc>
          <w:tcPr>
            <w:tcW w:w="1152" w:type="dxa"/>
            <w:tcBorders>
              <w:top w:val="single" w:color="000000" w:sz="4" w:space="0"/>
              <w:left w:val="nil"/>
              <w:bottom w:val="single" w:color="000000" w:sz="4" w:space="0"/>
              <w:right w:val="single" w:color="000000" w:sz="4" w:space="0"/>
            </w:tcBorders>
            <w:vAlign w:val="center"/>
          </w:tcPr>
          <w:p w14:paraId="25174BDE">
            <w:pPr>
              <w:autoSpaceDE w:val="0"/>
              <w:spacing w:line="276" w:lineRule="auto"/>
              <w:jc w:val="center"/>
              <w:rPr>
                <w:rFonts w:ascii="宋体" w:hAnsi="宋体" w:cs="宋体"/>
                <w:szCs w:val="21"/>
                <w:highlight w:val="none"/>
              </w:rPr>
            </w:pPr>
            <w:r>
              <w:rPr>
                <w:rFonts w:hint="eastAsia" w:ascii="宋体" w:hAnsi="宋体"/>
                <w:highlight w:val="none"/>
              </w:rPr>
              <w:t>(    )</w:t>
            </w:r>
          </w:p>
        </w:tc>
        <w:tc>
          <w:tcPr>
            <w:tcW w:w="624" w:type="dxa"/>
            <w:tcBorders>
              <w:top w:val="single" w:color="000000" w:sz="4" w:space="0"/>
              <w:left w:val="nil"/>
              <w:bottom w:val="single" w:color="000000" w:sz="4" w:space="0"/>
              <w:right w:val="single" w:color="000000" w:sz="4" w:space="0"/>
            </w:tcBorders>
            <w:vAlign w:val="center"/>
          </w:tcPr>
          <w:p w14:paraId="09C650AE">
            <w:pPr>
              <w:autoSpaceDE w:val="0"/>
              <w:spacing w:line="276" w:lineRule="auto"/>
              <w:rPr>
                <w:rFonts w:ascii="宋体" w:hAnsi="宋体" w:cs="宋体"/>
                <w:szCs w:val="21"/>
                <w:highlight w:val="none"/>
              </w:rPr>
            </w:pPr>
          </w:p>
        </w:tc>
      </w:tr>
    </w:tbl>
    <w:p w14:paraId="7DD381B6">
      <w:pPr>
        <w:widowControl/>
        <w:topLinePunct/>
        <w:adjustRightInd w:val="0"/>
        <w:snapToGrid w:val="0"/>
        <w:spacing w:line="360" w:lineRule="auto"/>
        <w:ind w:firstLine="496" w:firstLineChars="200"/>
        <w:jc w:val="left"/>
        <w:rPr>
          <w:rFonts w:ascii="宋体" w:hAnsi="宋体"/>
          <w:spacing w:val="4"/>
          <w:kern w:val="0"/>
          <w:sz w:val="24"/>
          <w:szCs w:val="24"/>
          <w:highlight w:val="none"/>
        </w:rPr>
      </w:pPr>
    </w:p>
    <w:p w14:paraId="3624245F">
      <w:pPr>
        <w:widowControl/>
        <w:spacing w:line="360" w:lineRule="auto"/>
        <w:ind w:firstLine="4320" w:firstLineChars="1800"/>
        <w:jc w:val="left"/>
        <w:rPr>
          <w:rFonts w:ascii="宋体" w:hAnsi="宋体" w:cs="宋体"/>
          <w:kern w:val="0"/>
          <w:sz w:val="24"/>
          <w:szCs w:val="20"/>
          <w:highlight w:val="none"/>
        </w:rPr>
      </w:pPr>
      <w:r>
        <w:rPr>
          <w:rFonts w:hint="eastAsia" w:ascii="宋体" w:hAnsi="宋体" w:cs="宋体"/>
          <w:kern w:val="0"/>
          <w:sz w:val="24"/>
          <w:szCs w:val="20"/>
          <w:highlight w:val="none"/>
        </w:rPr>
        <w:t>投标人名称（盖法人公章）：</w:t>
      </w:r>
    </w:p>
    <w:p w14:paraId="239410BA">
      <w:pPr>
        <w:widowControl/>
        <w:spacing w:line="360" w:lineRule="auto"/>
        <w:ind w:firstLine="3120" w:firstLineChars="1300"/>
        <w:jc w:val="left"/>
        <w:rPr>
          <w:rFonts w:ascii="宋体" w:hAnsi="宋体" w:cs="宋体"/>
          <w:kern w:val="0"/>
          <w:sz w:val="24"/>
          <w:szCs w:val="20"/>
          <w:highlight w:val="none"/>
        </w:rPr>
      </w:pPr>
      <w:r>
        <w:rPr>
          <w:rFonts w:hint="eastAsia" w:ascii="宋体" w:hAnsi="宋体" w:cs="宋体"/>
          <w:kern w:val="0"/>
          <w:sz w:val="24"/>
          <w:szCs w:val="20"/>
          <w:highlight w:val="none"/>
        </w:rPr>
        <w:t>法定代表人或被授权人（签字或盖章）：</w:t>
      </w:r>
    </w:p>
    <w:p w14:paraId="02527C9A">
      <w:pPr>
        <w:autoSpaceDE w:val="0"/>
        <w:autoSpaceDN w:val="0"/>
        <w:adjustRightInd w:val="0"/>
        <w:spacing w:line="360" w:lineRule="auto"/>
        <w:ind w:firstLine="5040" w:firstLineChars="2100"/>
        <w:rPr>
          <w:rFonts w:ascii="宋体" w:hAnsi="宋体" w:cs="宋体"/>
          <w:sz w:val="24"/>
          <w:szCs w:val="24"/>
          <w:highlight w:val="none"/>
        </w:rPr>
      </w:pPr>
      <w:r>
        <w:rPr>
          <w:rFonts w:hint="eastAsia" w:ascii="宋体" w:hAnsi="宋体" w:cs="宋体"/>
          <w:kern w:val="0"/>
          <w:sz w:val="24"/>
          <w:szCs w:val="24"/>
          <w:highlight w:val="none"/>
        </w:rPr>
        <w:t>日期：   年  月  日</w:t>
      </w:r>
    </w:p>
    <w:p w14:paraId="3182C8EF">
      <w:pPr>
        <w:autoSpaceDE w:val="0"/>
        <w:autoSpaceDN w:val="0"/>
        <w:adjustRightInd w:val="0"/>
        <w:spacing w:line="360" w:lineRule="auto"/>
        <w:ind w:firstLine="4410" w:firstLineChars="2100"/>
        <w:rPr>
          <w:rFonts w:ascii="宋体" w:hAnsi="宋体" w:cs="宋体"/>
          <w:szCs w:val="20"/>
          <w:highlight w:val="none"/>
        </w:rPr>
      </w:pPr>
    </w:p>
    <w:p w14:paraId="01633A05">
      <w:pPr>
        <w:jc w:val="center"/>
        <w:rPr>
          <w:rFonts w:ascii="黑体" w:hAnsi="黑体" w:eastAsia="黑体" w:cs="华文仿宋"/>
          <w:sz w:val="32"/>
          <w:szCs w:val="32"/>
          <w:highlight w:val="none"/>
        </w:rPr>
      </w:pPr>
      <w:r>
        <w:rPr>
          <w:rFonts w:hint="eastAsia" w:ascii="黑体" w:hAnsi="黑体" w:eastAsia="黑体" w:cs="华文仿宋"/>
          <w:sz w:val="32"/>
          <w:szCs w:val="32"/>
          <w:highlight w:val="none"/>
        </w:rPr>
        <w:br w:type="page"/>
      </w:r>
    </w:p>
    <w:p w14:paraId="56B576FB">
      <w:pPr>
        <w:autoSpaceDE w:val="0"/>
        <w:autoSpaceDN w:val="0"/>
        <w:adjustRightInd w:val="0"/>
        <w:jc w:val="center"/>
        <w:rPr>
          <w:rFonts w:ascii="宋体" w:hAnsi="宋体" w:cs="宋体"/>
          <w:b/>
          <w:bCs/>
          <w:sz w:val="44"/>
          <w:szCs w:val="44"/>
          <w:highlight w:val="none"/>
          <w:lang w:val="zh-CN"/>
        </w:rPr>
      </w:pPr>
    </w:p>
    <w:p w14:paraId="0AA258A0">
      <w:pPr>
        <w:autoSpaceDE w:val="0"/>
        <w:autoSpaceDN w:val="0"/>
        <w:adjustRightInd w:val="0"/>
        <w:jc w:val="center"/>
        <w:rPr>
          <w:rFonts w:ascii="宋体" w:hAnsi="宋体"/>
          <w:b/>
          <w:bCs/>
          <w:sz w:val="52"/>
          <w:szCs w:val="52"/>
          <w:highlight w:val="none"/>
        </w:rPr>
      </w:pPr>
      <w:r>
        <w:rPr>
          <w:rFonts w:hint="eastAsia" w:ascii="宋体" w:hAnsi="宋体" w:cs="宋体"/>
          <w:b/>
          <w:bCs/>
          <w:sz w:val="44"/>
          <w:szCs w:val="44"/>
          <w:highlight w:val="none"/>
          <w:lang w:val="zh-CN"/>
        </w:rPr>
        <w:t>广州建设工程施工招标投标书</w:t>
      </w:r>
    </w:p>
    <w:tbl>
      <w:tblPr>
        <w:tblStyle w:val="51"/>
        <w:tblpPr w:leftFromText="180" w:rightFromText="180" w:vertAnchor="text" w:horzAnchor="margin" w:tblpXSpec="center" w:tblpY="2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5"/>
        <w:gridCol w:w="3574"/>
      </w:tblGrid>
      <w:tr w14:paraId="401BE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112E9E1C">
            <w:pPr>
              <w:autoSpaceDE w:val="0"/>
              <w:autoSpaceDN w:val="0"/>
              <w:adjustRightInd w:val="0"/>
              <w:jc w:val="center"/>
              <w:rPr>
                <w:rFonts w:ascii="宋体" w:hAnsi="宋体" w:cs="宋体"/>
                <w:b/>
                <w:bCs/>
                <w:sz w:val="24"/>
                <w:szCs w:val="24"/>
                <w:highlight w:val="none"/>
                <w:lang w:val="zh-CN"/>
              </w:rPr>
            </w:pPr>
            <w:r>
              <w:rPr>
                <w:rFonts w:hint="eastAsia" w:ascii="宋体" w:hAnsi="宋体" w:cs="宋体"/>
                <w:b/>
                <w:sz w:val="24"/>
                <w:szCs w:val="24"/>
                <w:highlight w:val="none"/>
                <w:lang w:val="zh-CN"/>
              </w:rPr>
              <w:t>工程名称</w:t>
            </w:r>
          </w:p>
        </w:tc>
        <w:tc>
          <w:tcPr>
            <w:tcW w:w="3574" w:type="dxa"/>
            <w:tcBorders>
              <w:top w:val="single" w:color="auto" w:sz="4" w:space="0"/>
              <w:left w:val="single" w:color="auto" w:sz="4" w:space="0"/>
              <w:bottom w:val="single" w:color="auto" w:sz="4" w:space="0"/>
              <w:right w:val="single" w:color="auto" w:sz="4" w:space="0"/>
            </w:tcBorders>
          </w:tcPr>
          <w:p w14:paraId="4474638D">
            <w:pPr>
              <w:autoSpaceDE w:val="0"/>
              <w:autoSpaceDN w:val="0"/>
              <w:adjustRightInd w:val="0"/>
              <w:rPr>
                <w:rFonts w:ascii="宋体" w:hAnsi="宋体" w:cs="宋体"/>
                <w:b/>
                <w:bCs/>
                <w:sz w:val="24"/>
                <w:szCs w:val="24"/>
                <w:highlight w:val="none"/>
                <w:lang w:val="zh-CN"/>
              </w:rPr>
            </w:pPr>
          </w:p>
        </w:tc>
      </w:tr>
      <w:tr w14:paraId="59BBC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435EEA52">
            <w:pPr>
              <w:autoSpaceDE w:val="0"/>
              <w:autoSpaceDN w:val="0"/>
              <w:adjustRightInd w:val="0"/>
              <w:jc w:val="center"/>
              <w:rPr>
                <w:rFonts w:hint="eastAsia" w:ascii="宋体" w:hAnsi="宋体" w:cs="宋体"/>
                <w:b/>
                <w:sz w:val="24"/>
                <w:szCs w:val="24"/>
                <w:highlight w:val="none"/>
                <w:lang w:val="zh-CN"/>
              </w:rPr>
            </w:pPr>
            <w:r>
              <w:rPr>
                <w:rFonts w:hint="eastAsia" w:ascii="宋体" w:hAnsi="宋体" w:cs="宋体"/>
                <w:b/>
                <w:sz w:val="24"/>
                <w:szCs w:val="24"/>
                <w:highlight w:val="none"/>
                <w:lang w:val="zh-CN"/>
              </w:rPr>
              <w:t>法定代表人证明书及授权委托书</w:t>
            </w:r>
          </w:p>
        </w:tc>
        <w:tc>
          <w:tcPr>
            <w:tcW w:w="3574" w:type="dxa"/>
            <w:tcBorders>
              <w:top w:val="single" w:color="auto" w:sz="4" w:space="0"/>
              <w:left w:val="single" w:color="auto" w:sz="4" w:space="0"/>
              <w:bottom w:val="single" w:color="auto" w:sz="4" w:space="0"/>
              <w:right w:val="single" w:color="auto" w:sz="4" w:space="0"/>
            </w:tcBorders>
          </w:tcPr>
          <w:p w14:paraId="4C9D6D1D">
            <w:pPr>
              <w:autoSpaceDE w:val="0"/>
              <w:autoSpaceDN w:val="0"/>
              <w:adjustRightInd w:val="0"/>
              <w:rPr>
                <w:rFonts w:ascii="宋体" w:hAnsi="宋体" w:cs="宋体"/>
                <w:b/>
                <w:bCs/>
                <w:sz w:val="24"/>
                <w:szCs w:val="24"/>
                <w:highlight w:val="none"/>
                <w:lang w:val="zh-CN"/>
              </w:rPr>
            </w:pPr>
          </w:p>
        </w:tc>
      </w:tr>
      <w:tr w14:paraId="67E2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09957356">
            <w:pPr>
              <w:autoSpaceDE w:val="0"/>
              <w:autoSpaceDN w:val="0"/>
              <w:adjustRightInd w:val="0"/>
              <w:jc w:val="center"/>
              <w:rPr>
                <w:rFonts w:ascii="宋体" w:hAnsi="宋体" w:cs="宋体"/>
                <w:b/>
                <w:bCs/>
                <w:sz w:val="24"/>
                <w:szCs w:val="24"/>
                <w:highlight w:val="none"/>
                <w:lang w:val="zh-CN"/>
              </w:rPr>
            </w:pPr>
            <w:r>
              <w:rPr>
                <w:rFonts w:hint="eastAsia" w:ascii="宋体" w:hAnsi="宋体" w:cs="宋体"/>
                <w:b/>
                <w:sz w:val="24"/>
                <w:szCs w:val="24"/>
                <w:highlight w:val="none"/>
                <w:lang w:val="zh-CN"/>
              </w:rPr>
              <w:t>投标总报价（元）</w:t>
            </w:r>
          </w:p>
        </w:tc>
        <w:tc>
          <w:tcPr>
            <w:tcW w:w="3574" w:type="dxa"/>
            <w:tcBorders>
              <w:top w:val="single" w:color="auto" w:sz="4" w:space="0"/>
              <w:left w:val="single" w:color="auto" w:sz="4" w:space="0"/>
              <w:bottom w:val="single" w:color="auto" w:sz="4" w:space="0"/>
              <w:right w:val="single" w:color="auto" w:sz="4" w:space="0"/>
            </w:tcBorders>
            <w:vAlign w:val="center"/>
          </w:tcPr>
          <w:p w14:paraId="45765686">
            <w:pPr>
              <w:autoSpaceDE w:val="0"/>
              <w:autoSpaceDN w:val="0"/>
              <w:adjustRightInd w:val="0"/>
              <w:rPr>
                <w:rFonts w:ascii="宋体" w:hAnsi="宋体" w:cs="宋体"/>
                <w:b/>
                <w:bCs/>
                <w:sz w:val="24"/>
                <w:szCs w:val="24"/>
                <w:highlight w:val="none"/>
                <w:lang w:val="zh-CN"/>
              </w:rPr>
            </w:pPr>
          </w:p>
        </w:tc>
      </w:tr>
      <w:tr w14:paraId="4C5B1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6CD544D6">
            <w:pPr>
              <w:autoSpaceDE w:val="0"/>
              <w:autoSpaceDN w:val="0"/>
              <w:adjustRightInd w:val="0"/>
              <w:jc w:val="center"/>
              <w:rPr>
                <w:rFonts w:ascii="宋体" w:hAnsi="宋体" w:cs="宋体"/>
                <w:b/>
                <w:bCs/>
                <w:sz w:val="24"/>
                <w:szCs w:val="24"/>
                <w:highlight w:val="none"/>
                <w:lang w:val="zh-CN"/>
              </w:rPr>
            </w:pPr>
            <w:r>
              <w:rPr>
                <w:rFonts w:hint="eastAsia" w:ascii="宋体" w:hAnsi="宋体" w:cs="宋体"/>
                <w:b/>
                <w:sz w:val="24"/>
                <w:szCs w:val="24"/>
                <w:highlight w:val="none"/>
                <w:lang w:val="zh-CN"/>
              </w:rPr>
              <w:t>其中：</w:t>
            </w:r>
            <w:r>
              <w:rPr>
                <w:rFonts w:hint="eastAsia" w:ascii="宋体" w:hAnsi="宋体" w:cs="宋体"/>
                <w:b/>
                <w:bCs/>
                <w:sz w:val="24"/>
                <w:szCs w:val="24"/>
                <w:highlight w:val="none"/>
                <w:lang w:val="zh-CN"/>
              </w:rPr>
              <w:t>人工费</w:t>
            </w:r>
            <w:r>
              <w:rPr>
                <w:rFonts w:hint="eastAsia" w:ascii="宋体" w:hAnsi="宋体" w:cs="宋体"/>
                <w:b/>
                <w:sz w:val="24"/>
                <w:szCs w:val="24"/>
                <w:highlight w:val="none"/>
                <w:lang w:val="zh-CN"/>
              </w:rPr>
              <w:t>（元）</w:t>
            </w:r>
          </w:p>
        </w:tc>
        <w:tc>
          <w:tcPr>
            <w:tcW w:w="3574" w:type="dxa"/>
            <w:tcBorders>
              <w:top w:val="single" w:color="auto" w:sz="4" w:space="0"/>
              <w:left w:val="single" w:color="auto" w:sz="4" w:space="0"/>
              <w:bottom w:val="single" w:color="auto" w:sz="4" w:space="0"/>
              <w:right w:val="single" w:color="auto" w:sz="4" w:space="0"/>
            </w:tcBorders>
            <w:vAlign w:val="center"/>
          </w:tcPr>
          <w:p w14:paraId="4CBEBCBA">
            <w:pPr>
              <w:autoSpaceDE w:val="0"/>
              <w:autoSpaceDN w:val="0"/>
              <w:adjustRightInd w:val="0"/>
              <w:rPr>
                <w:rFonts w:ascii="宋体" w:hAnsi="宋体" w:cs="宋体"/>
                <w:b/>
                <w:bCs/>
                <w:sz w:val="24"/>
                <w:szCs w:val="24"/>
                <w:highlight w:val="none"/>
                <w:lang w:val="zh-CN"/>
              </w:rPr>
            </w:pPr>
          </w:p>
        </w:tc>
      </w:tr>
      <w:tr w14:paraId="41B0C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5D7AC154">
            <w:pPr>
              <w:widowControl/>
              <w:jc w:val="center"/>
              <w:rPr>
                <w:rFonts w:ascii="宋体" w:hAnsi="宋体" w:cs="宋体"/>
                <w:b/>
                <w:bCs/>
                <w:sz w:val="24"/>
                <w:szCs w:val="24"/>
                <w:highlight w:val="none"/>
                <w:lang w:val="zh-CN"/>
              </w:rPr>
            </w:pPr>
            <w:r>
              <w:rPr>
                <w:rFonts w:hint="eastAsia" w:ascii="宋体" w:hAnsi="宋体" w:cs="宋体"/>
                <w:b/>
                <w:bCs/>
                <w:sz w:val="24"/>
                <w:szCs w:val="24"/>
                <w:highlight w:val="none"/>
                <w:lang w:val="zh-CN"/>
              </w:rPr>
              <w:t>其中：</w:t>
            </w:r>
            <w:r>
              <w:rPr>
                <w:rFonts w:hint="eastAsia" w:ascii="宋体" w:hAnsi="宋体" w:cs="宋体"/>
                <w:b/>
                <w:sz w:val="24"/>
                <w:szCs w:val="24"/>
                <w:highlight w:val="none"/>
                <w:lang w:val="zh-CN"/>
              </w:rPr>
              <w:t>绿色施工安全防护措施费（元）</w:t>
            </w:r>
          </w:p>
        </w:tc>
        <w:tc>
          <w:tcPr>
            <w:tcW w:w="3574" w:type="dxa"/>
            <w:tcBorders>
              <w:top w:val="single" w:color="auto" w:sz="4" w:space="0"/>
              <w:left w:val="single" w:color="auto" w:sz="4" w:space="0"/>
              <w:bottom w:val="single" w:color="auto" w:sz="4" w:space="0"/>
              <w:right w:val="single" w:color="auto" w:sz="4" w:space="0"/>
            </w:tcBorders>
            <w:vAlign w:val="center"/>
          </w:tcPr>
          <w:p w14:paraId="4957A063">
            <w:pPr>
              <w:autoSpaceDE w:val="0"/>
              <w:autoSpaceDN w:val="0"/>
              <w:adjustRightInd w:val="0"/>
              <w:rPr>
                <w:rFonts w:ascii="宋体" w:hAnsi="宋体" w:cs="宋体"/>
                <w:b/>
                <w:bCs/>
                <w:sz w:val="24"/>
                <w:szCs w:val="24"/>
                <w:highlight w:val="none"/>
                <w:lang w:val="zh-CN"/>
              </w:rPr>
            </w:pPr>
          </w:p>
        </w:tc>
      </w:tr>
      <w:tr w14:paraId="7D6D6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3C423D9C">
            <w:pPr>
              <w:widowControl/>
              <w:jc w:val="center"/>
              <w:rPr>
                <w:rFonts w:hint="eastAsia" w:ascii="宋体" w:hAnsi="宋体" w:cs="宋体"/>
                <w:b/>
                <w:bCs/>
                <w:sz w:val="24"/>
                <w:szCs w:val="24"/>
                <w:highlight w:val="none"/>
                <w:lang w:val="zh-CN"/>
              </w:rPr>
            </w:pPr>
            <w:r>
              <w:rPr>
                <w:rFonts w:hint="eastAsia" w:ascii="宋体" w:hAnsi="宋体" w:cs="宋体"/>
                <w:b/>
                <w:bCs/>
                <w:sz w:val="24"/>
                <w:szCs w:val="24"/>
                <w:highlight w:val="none"/>
                <w:lang w:val="zh-CN"/>
              </w:rPr>
              <w:t>项目负责人</w:t>
            </w:r>
          </w:p>
        </w:tc>
        <w:tc>
          <w:tcPr>
            <w:tcW w:w="3574" w:type="dxa"/>
            <w:tcBorders>
              <w:top w:val="single" w:color="auto" w:sz="4" w:space="0"/>
              <w:left w:val="single" w:color="auto" w:sz="4" w:space="0"/>
              <w:bottom w:val="single" w:color="auto" w:sz="4" w:space="0"/>
              <w:right w:val="single" w:color="auto" w:sz="4" w:space="0"/>
            </w:tcBorders>
            <w:vAlign w:val="center"/>
          </w:tcPr>
          <w:p w14:paraId="5392398B">
            <w:pPr>
              <w:autoSpaceDE w:val="0"/>
              <w:autoSpaceDN w:val="0"/>
              <w:adjustRightInd w:val="0"/>
              <w:rPr>
                <w:rFonts w:ascii="宋体" w:hAnsi="宋体" w:cs="宋体"/>
                <w:b/>
                <w:bCs/>
                <w:sz w:val="24"/>
                <w:szCs w:val="24"/>
                <w:highlight w:val="none"/>
                <w:lang w:val="zh-CN"/>
              </w:rPr>
            </w:pPr>
          </w:p>
        </w:tc>
      </w:tr>
      <w:tr w14:paraId="1A168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4F444413">
            <w:pPr>
              <w:widowControl/>
              <w:jc w:val="center"/>
              <w:rPr>
                <w:rFonts w:hint="eastAsia" w:ascii="宋体" w:hAnsi="宋体" w:cs="宋体"/>
                <w:b/>
                <w:bCs/>
                <w:sz w:val="24"/>
                <w:szCs w:val="24"/>
                <w:highlight w:val="none"/>
                <w:lang w:val="zh-CN"/>
              </w:rPr>
            </w:pPr>
            <w:r>
              <w:rPr>
                <w:rFonts w:hint="eastAsia" w:ascii="宋体" w:hAnsi="宋体" w:cs="宋体"/>
                <w:b/>
                <w:bCs/>
                <w:sz w:val="24"/>
                <w:szCs w:val="24"/>
                <w:highlight w:val="none"/>
                <w:lang w:val="zh-CN"/>
              </w:rPr>
              <w:t>项目负责人证书编号</w:t>
            </w:r>
          </w:p>
        </w:tc>
        <w:tc>
          <w:tcPr>
            <w:tcW w:w="3574" w:type="dxa"/>
            <w:tcBorders>
              <w:top w:val="single" w:color="auto" w:sz="4" w:space="0"/>
              <w:left w:val="single" w:color="auto" w:sz="4" w:space="0"/>
              <w:bottom w:val="single" w:color="auto" w:sz="4" w:space="0"/>
              <w:right w:val="single" w:color="auto" w:sz="4" w:space="0"/>
            </w:tcBorders>
            <w:vAlign w:val="center"/>
          </w:tcPr>
          <w:p w14:paraId="079909DF">
            <w:pPr>
              <w:autoSpaceDE w:val="0"/>
              <w:autoSpaceDN w:val="0"/>
              <w:adjustRightInd w:val="0"/>
              <w:rPr>
                <w:rFonts w:ascii="宋体" w:hAnsi="宋体" w:cs="宋体"/>
                <w:b/>
                <w:bCs/>
                <w:sz w:val="24"/>
                <w:szCs w:val="24"/>
                <w:highlight w:val="none"/>
                <w:lang w:val="zh-CN"/>
              </w:rPr>
            </w:pPr>
          </w:p>
        </w:tc>
      </w:tr>
      <w:tr w14:paraId="675EF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1191E385">
            <w:pPr>
              <w:widowControl/>
              <w:jc w:val="center"/>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专职安全员</w:t>
            </w:r>
          </w:p>
        </w:tc>
        <w:tc>
          <w:tcPr>
            <w:tcW w:w="3574" w:type="dxa"/>
            <w:tcBorders>
              <w:top w:val="single" w:color="auto" w:sz="4" w:space="0"/>
              <w:left w:val="single" w:color="auto" w:sz="4" w:space="0"/>
              <w:bottom w:val="single" w:color="auto" w:sz="4" w:space="0"/>
              <w:right w:val="single" w:color="auto" w:sz="4" w:space="0"/>
            </w:tcBorders>
            <w:vAlign w:val="center"/>
          </w:tcPr>
          <w:p w14:paraId="5237FBC9">
            <w:pPr>
              <w:autoSpaceDE w:val="0"/>
              <w:autoSpaceDN w:val="0"/>
              <w:adjustRightInd w:val="0"/>
              <w:rPr>
                <w:rFonts w:ascii="宋体" w:hAnsi="宋体" w:cs="宋体"/>
                <w:b/>
                <w:bCs/>
                <w:sz w:val="24"/>
                <w:szCs w:val="24"/>
                <w:highlight w:val="none"/>
                <w:lang w:val="zh-CN"/>
              </w:rPr>
            </w:pPr>
          </w:p>
        </w:tc>
      </w:tr>
      <w:tr w14:paraId="2F240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36B0C88D">
            <w:pPr>
              <w:jc w:val="center"/>
              <w:rPr>
                <w:rFonts w:ascii="宋体" w:hAnsi="宋体" w:cs="宋体"/>
                <w:b/>
                <w:sz w:val="24"/>
                <w:szCs w:val="24"/>
                <w:highlight w:val="none"/>
                <w:lang w:val="zh-CN"/>
              </w:rPr>
            </w:pPr>
            <w:r>
              <w:rPr>
                <w:rFonts w:hint="eastAsia" w:ascii="宋体" w:hAnsi="宋体" w:cs="宋体"/>
                <w:b/>
                <w:sz w:val="24"/>
                <w:szCs w:val="24"/>
                <w:highlight w:val="none"/>
                <w:lang w:val="zh-CN"/>
              </w:rPr>
              <w:t>投标总工期</w:t>
            </w:r>
          </w:p>
        </w:tc>
        <w:tc>
          <w:tcPr>
            <w:tcW w:w="3574" w:type="dxa"/>
            <w:tcBorders>
              <w:top w:val="single" w:color="auto" w:sz="4" w:space="0"/>
              <w:left w:val="single" w:color="auto" w:sz="4" w:space="0"/>
              <w:bottom w:val="single" w:color="auto" w:sz="4" w:space="0"/>
              <w:right w:val="single" w:color="auto" w:sz="4" w:space="0"/>
            </w:tcBorders>
          </w:tcPr>
          <w:p w14:paraId="370AA9E2">
            <w:pPr>
              <w:autoSpaceDE w:val="0"/>
              <w:autoSpaceDN w:val="0"/>
              <w:adjustRightInd w:val="0"/>
              <w:rPr>
                <w:rFonts w:ascii="宋体" w:hAnsi="宋体" w:cs="宋体"/>
                <w:b/>
                <w:bCs/>
                <w:sz w:val="24"/>
                <w:szCs w:val="24"/>
                <w:highlight w:val="none"/>
                <w:lang w:val="zh-CN"/>
              </w:rPr>
            </w:pPr>
          </w:p>
        </w:tc>
      </w:tr>
      <w:tr w14:paraId="1CCB6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1389087D">
            <w:pPr>
              <w:jc w:val="center"/>
              <w:rPr>
                <w:rFonts w:ascii="宋体" w:hAnsi="宋体"/>
                <w:b/>
                <w:sz w:val="24"/>
                <w:szCs w:val="24"/>
                <w:highlight w:val="none"/>
              </w:rPr>
            </w:pPr>
            <w:r>
              <w:rPr>
                <w:rFonts w:hint="eastAsia" w:ascii="宋体" w:hAnsi="宋体" w:cs="宋体"/>
                <w:b/>
                <w:sz w:val="24"/>
                <w:szCs w:val="24"/>
                <w:highlight w:val="none"/>
                <w:lang w:val="zh-CN"/>
              </w:rPr>
              <w:t>工程质量标准</w:t>
            </w:r>
          </w:p>
        </w:tc>
        <w:tc>
          <w:tcPr>
            <w:tcW w:w="3574" w:type="dxa"/>
            <w:tcBorders>
              <w:top w:val="single" w:color="auto" w:sz="4" w:space="0"/>
              <w:left w:val="single" w:color="auto" w:sz="4" w:space="0"/>
              <w:bottom w:val="single" w:color="auto" w:sz="4" w:space="0"/>
              <w:right w:val="single" w:color="auto" w:sz="4" w:space="0"/>
            </w:tcBorders>
          </w:tcPr>
          <w:p w14:paraId="0B176D5E">
            <w:pPr>
              <w:autoSpaceDE w:val="0"/>
              <w:autoSpaceDN w:val="0"/>
              <w:adjustRightInd w:val="0"/>
              <w:rPr>
                <w:rFonts w:ascii="宋体" w:hAnsi="宋体" w:cs="宋体"/>
                <w:b/>
                <w:bCs/>
                <w:sz w:val="24"/>
                <w:szCs w:val="24"/>
                <w:highlight w:val="none"/>
                <w:lang w:val="zh-CN"/>
              </w:rPr>
            </w:pPr>
          </w:p>
        </w:tc>
      </w:tr>
      <w:tr w14:paraId="6CB3F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432E734E">
            <w:pPr>
              <w:autoSpaceDE w:val="0"/>
              <w:autoSpaceDN w:val="0"/>
              <w:adjustRightInd w:val="0"/>
              <w:jc w:val="center"/>
              <w:rPr>
                <w:rFonts w:ascii="宋体" w:hAnsi="宋体" w:cs="宋体"/>
                <w:b/>
                <w:bCs/>
                <w:sz w:val="24"/>
                <w:szCs w:val="24"/>
                <w:highlight w:val="none"/>
                <w:lang w:val="zh-CN"/>
              </w:rPr>
            </w:pPr>
            <w:r>
              <w:rPr>
                <w:rFonts w:hint="eastAsia" w:ascii="宋体" w:hAnsi="宋体" w:cs="宋体"/>
                <w:b/>
                <w:sz w:val="24"/>
                <w:szCs w:val="24"/>
                <w:highlight w:val="none"/>
                <w:lang w:val="zh-CN"/>
              </w:rPr>
              <w:t>保修期限</w:t>
            </w:r>
          </w:p>
        </w:tc>
        <w:tc>
          <w:tcPr>
            <w:tcW w:w="3574" w:type="dxa"/>
            <w:tcBorders>
              <w:top w:val="single" w:color="auto" w:sz="4" w:space="0"/>
              <w:left w:val="single" w:color="auto" w:sz="4" w:space="0"/>
              <w:bottom w:val="single" w:color="auto" w:sz="4" w:space="0"/>
              <w:right w:val="single" w:color="auto" w:sz="4" w:space="0"/>
            </w:tcBorders>
            <w:vAlign w:val="center"/>
          </w:tcPr>
          <w:p w14:paraId="680A42DD">
            <w:pPr>
              <w:autoSpaceDE w:val="0"/>
              <w:autoSpaceDN w:val="0"/>
              <w:adjustRightInd w:val="0"/>
              <w:rPr>
                <w:rFonts w:ascii="宋体" w:hAnsi="宋体" w:cs="宋体"/>
                <w:b/>
                <w:bCs/>
                <w:sz w:val="24"/>
                <w:szCs w:val="24"/>
                <w:highlight w:val="none"/>
                <w:lang w:val="zh-CN"/>
              </w:rPr>
            </w:pPr>
          </w:p>
        </w:tc>
      </w:tr>
    </w:tbl>
    <w:p w14:paraId="4EE68117">
      <w:pPr>
        <w:ind w:firstLine="4160" w:firstLineChars="1300"/>
        <w:jc w:val="left"/>
        <w:rPr>
          <w:rFonts w:ascii="仿宋_GB2312" w:hAnsi="仿宋_GB2312" w:eastAsia="仿宋_GB2312" w:cs="仿宋_GB2312"/>
          <w:sz w:val="32"/>
          <w:szCs w:val="32"/>
          <w:highlight w:val="none"/>
        </w:rPr>
      </w:pPr>
    </w:p>
    <w:p w14:paraId="2ED4C79A">
      <w:pPr>
        <w:widowControl/>
        <w:jc w:val="left"/>
        <w:rPr>
          <w:rFonts w:ascii="仿宋_GB2312" w:eastAsia="仿宋_GB2312" w:cs="Courier New"/>
          <w:sz w:val="32"/>
          <w:szCs w:val="32"/>
          <w:highlight w:val="none"/>
        </w:rPr>
        <w:sectPr>
          <w:headerReference r:id="rId12" w:type="default"/>
          <w:footerReference r:id="rId13" w:type="default"/>
          <w:pgSz w:w="11906" w:h="16838"/>
          <w:pgMar w:top="1440" w:right="1800" w:bottom="1440" w:left="1800" w:header="851" w:footer="992" w:gutter="0"/>
          <w:cols w:space="720" w:num="1"/>
          <w:docGrid w:type="lines" w:linePitch="312" w:charSpace="0"/>
        </w:sectPr>
      </w:pPr>
    </w:p>
    <w:bookmarkEnd w:id="51"/>
    <w:p w14:paraId="398EBFB3">
      <w:pPr>
        <w:topLinePunct/>
        <w:adjustRightInd w:val="0"/>
        <w:snapToGrid w:val="0"/>
        <w:spacing w:line="360" w:lineRule="auto"/>
        <w:ind w:firstLine="1855" w:firstLineChars="600"/>
        <w:rPr>
          <w:rFonts w:ascii="宋体" w:hAnsi="宋体" w:cs="宋体"/>
          <w:snapToGrid w:val="0"/>
          <w:spacing w:val="4"/>
          <w:kern w:val="0"/>
          <w:sz w:val="24"/>
          <w:szCs w:val="20"/>
          <w:highlight w:val="none"/>
        </w:rPr>
      </w:pPr>
      <w:bookmarkStart w:id="60" w:name="_Toc532475801"/>
      <w:bookmarkStart w:id="61" w:name="_Toc532475368"/>
      <w:bookmarkStart w:id="62" w:name="_Toc510963900"/>
      <w:bookmarkStart w:id="63" w:name="_Toc19004595"/>
      <w:r>
        <w:rPr>
          <w:rFonts w:hint="eastAsia" w:ascii="宋体" w:hAnsi="宋体" w:cs="宋体"/>
          <w:b/>
          <w:spacing w:val="4"/>
          <w:kern w:val="0"/>
          <w:sz w:val="30"/>
          <w:szCs w:val="30"/>
          <w:highlight w:val="none"/>
        </w:rPr>
        <w:t>二、经济标投标文件格式</w:t>
      </w:r>
      <w:bookmarkEnd w:id="60"/>
      <w:bookmarkEnd w:id="61"/>
      <w:bookmarkEnd w:id="62"/>
      <w:bookmarkEnd w:id="63"/>
    </w:p>
    <w:p w14:paraId="345D1078">
      <w:pPr>
        <w:topLinePunct/>
        <w:adjustRightInd w:val="0"/>
        <w:snapToGrid w:val="0"/>
        <w:spacing w:line="360" w:lineRule="auto"/>
        <w:jc w:val="left"/>
        <w:outlineLvl w:val="2"/>
        <w:rPr>
          <w:rFonts w:ascii="宋体" w:hAnsi="宋体" w:cs="宋体"/>
          <w:b/>
          <w:snapToGrid w:val="0"/>
          <w:spacing w:val="4"/>
          <w:kern w:val="0"/>
          <w:sz w:val="24"/>
          <w:szCs w:val="20"/>
          <w:highlight w:val="none"/>
        </w:rPr>
      </w:pPr>
      <w:bookmarkStart w:id="64" w:name="_Toc19004596"/>
      <w:bookmarkStart w:id="65" w:name="_Toc532475369"/>
      <w:bookmarkStart w:id="66" w:name="_Toc532475802"/>
      <w:bookmarkStart w:id="67" w:name="_Toc510963901"/>
      <w:r>
        <w:rPr>
          <w:color w:val="000000"/>
          <w:highlight w:val="none"/>
        </w:rPr>
        <w:t>格式</w:t>
      </w:r>
      <w:r>
        <w:rPr>
          <w:rFonts w:hint="eastAsia"/>
          <w:color w:val="000000"/>
          <w:highlight w:val="none"/>
        </w:rPr>
        <w:t>六</w:t>
      </w:r>
      <w:r>
        <w:rPr>
          <w:color w:val="000000"/>
          <w:highlight w:val="none"/>
        </w:rPr>
        <w:t>：</w:t>
      </w:r>
      <w:r>
        <w:rPr>
          <w:rFonts w:hint="eastAsia" w:ascii="宋体" w:hAnsi="宋体" w:cs="宋体"/>
          <w:b/>
          <w:snapToGrid w:val="0"/>
          <w:spacing w:val="4"/>
          <w:kern w:val="0"/>
          <w:sz w:val="24"/>
          <w:szCs w:val="20"/>
          <w:highlight w:val="none"/>
        </w:rPr>
        <w:t>：经济标封面</w:t>
      </w:r>
      <w:bookmarkEnd w:id="64"/>
      <w:bookmarkEnd w:id="65"/>
      <w:bookmarkEnd w:id="66"/>
      <w:bookmarkEnd w:id="67"/>
    </w:p>
    <w:p w14:paraId="714D8848">
      <w:pPr>
        <w:topLinePunct/>
        <w:adjustRightInd w:val="0"/>
        <w:snapToGrid w:val="0"/>
        <w:spacing w:line="360" w:lineRule="auto"/>
        <w:ind w:firstLine="496" w:firstLineChars="200"/>
        <w:rPr>
          <w:rFonts w:ascii="宋体" w:hAnsi="宋体" w:cs="宋体"/>
          <w:snapToGrid w:val="0"/>
          <w:spacing w:val="4"/>
          <w:kern w:val="0"/>
          <w:sz w:val="24"/>
          <w:szCs w:val="20"/>
          <w:highlight w:val="none"/>
        </w:rPr>
      </w:pPr>
    </w:p>
    <w:p w14:paraId="4672374E">
      <w:pPr>
        <w:topLinePunct/>
        <w:adjustRightInd w:val="0"/>
        <w:snapToGrid w:val="0"/>
        <w:spacing w:line="360" w:lineRule="auto"/>
        <w:ind w:firstLine="496" w:firstLineChars="200"/>
        <w:rPr>
          <w:rFonts w:ascii="宋体" w:hAnsi="宋体" w:cs="宋体"/>
          <w:snapToGrid w:val="0"/>
          <w:spacing w:val="4"/>
          <w:kern w:val="0"/>
          <w:sz w:val="24"/>
          <w:szCs w:val="20"/>
          <w:highlight w:val="none"/>
        </w:rPr>
      </w:pPr>
    </w:p>
    <w:p w14:paraId="26C07CA3">
      <w:pPr>
        <w:pStyle w:val="192"/>
        <w:rPr>
          <w:rFonts w:eastAsia="宋体" w:cs="宋体"/>
          <w:b w:val="0"/>
          <w:highlight w:val="none"/>
          <w:u w:val="single"/>
        </w:rPr>
      </w:pPr>
      <w:r>
        <w:rPr>
          <w:rFonts w:hint="eastAsia" w:eastAsia="宋体" w:cs="宋体"/>
          <w:b w:val="0"/>
          <w:highlight w:val="none"/>
          <w:u w:val="single"/>
        </w:rPr>
        <w:t xml:space="preserve">[工程名称] </w:t>
      </w:r>
    </w:p>
    <w:p w14:paraId="417A2FC3">
      <w:pPr>
        <w:topLinePunct/>
        <w:adjustRightInd w:val="0"/>
        <w:snapToGrid w:val="0"/>
        <w:spacing w:line="360" w:lineRule="auto"/>
        <w:ind w:firstLine="496" w:firstLineChars="200"/>
        <w:rPr>
          <w:rFonts w:ascii="宋体" w:hAnsi="宋体" w:cs="宋体"/>
          <w:snapToGrid w:val="0"/>
          <w:spacing w:val="4"/>
          <w:kern w:val="0"/>
          <w:sz w:val="24"/>
          <w:szCs w:val="20"/>
          <w:highlight w:val="none"/>
        </w:rPr>
      </w:pPr>
    </w:p>
    <w:p w14:paraId="07872EAD">
      <w:pPr>
        <w:topLinePunct/>
        <w:adjustRightInd w:val="0"/>
        <w:snapToGrid w:val="0"/>
        <w:spacing w:line="360" w:lineRule="auto"/>
        <w:ind w:firstLine="496" w:firstLineChars="200"/>
        <w:rPr>
          <w:rFonts w:ascii="宋体" w:hAnsi="宋体" w:cs="宋体"/>
          <w:snapToGrid w:val="0"/>
          <w:spacing w:val="4"/>
          <w:kern w:val="0"/>
          <w:sz w:val="24"/>
          <w:szCs w:val="20"/>
          <w:highlight w:val="none"/>
        </w:rPr>
      </w:pPr>
    </w:p>
    <w:p w14:paraId="6816465D">
      <w:pPr>
        <w:topLinePunct/>
        <w:adjustRightInd w:val="0"/>
        <w:snapToGrid w:val="0"/>
        <w:spacing w:line="360" w:lineRule="auto"/>
        <w:ind w:firstLine="496" w:firstLineChars="200"/>
        <w:rPr>
          <w:rFonts w:ascii="宋体" w:hAnsi="宋体" w:cs="宋体"/>
          <w:snapToGrid w:val="0"/>
          <w:spacing w:val="4"/>
          <w:kern w:val="0"/>
          <w:sz w:val="24"/>
          <w:szCs w:val="20"/>
          <w:highlight w:val="none"/>
        </w:rPr>
      </w:pPr>
    </w:p>
    <w:p w14:paraId="39963B5F">
      <w:pPr>
        <w:topLinePunct/>
        <w:adjustRightInd w:val="0"/>
        <w:snapToGrid w:val="0"/>
        <w:spacing w:line="360" w:lineRule="auto"/>
        <w:ind w:firstLine="496" w:firstLineChars="200"/>
        <w:rPr>
          <w:rFonts w:ascii="宋体" w:hAnsi="宋体" w:cs="宋体"/>
          <w:snapToGrid w:val="0"/>
          <w:spacing w:val="4"/>
          <w:kern w:val="0"/>
          <w:sz w:val="24"/>
          <w:szCs w:val="20"/>
          <w:highlight w:val="none"/>
        </w:rPr>
      </w:pPr>
    </w:p>
    <w:p w14:paraId="53708054">
      <w:pPr>
        <w:pStyle w:val="297"/>
        <w:rPr>
          <w:rFonts w:eastAsia="宋体" w:cs="宋体"/>
          <w:b w:val="0"/>
          <w:highlight w:val="none"/>
        </w:rPr>
      </w:pPr>
      <w:r>
        <w:rPr>
          <w:rFonts w:hint="eastAsia" w:eastAsia="宋体" w:cs="宋体"/>
          <w:b w:val="0"/>
          <w:highlight w:val="none"/>
        </w:rPr>
        <w:t>投标文件</w:t>
      </w:r>
    </w:p>
    <w:p w14:paraId="1DF80809">
      <w:pPr>
        <w:pStyle w:val="192"/>
        <w:rPr>
          <w:rFonts w:eastAsia="宋体" w:cs="宋体"/>
          <w:b w:val="0"/>
          <w:highlight w:val="none"/>
        </w:rPr>
      </w:pPr>
      <w:r>
        <w:rPr>
          <w:rFonts w:hint="eastAsia" w:eastAsia="宋体" w:cs="宋体"/>
          <w:b w:val="0"/>
          <w:highlight w:val="none"/>
        </w:rPr>
        <w:t>经济投标文件</w:t>
      </w:r>
    </w:p>
    <w:p w14:paraId="4F58FBDD">
      <w:pPr>
        <w:topLinePunct/>
        <w:adjustRightInd w:val="0"/>
        <w:snapToGrid w:val="0"/>
        <w:spacing w:line="360" w:lineRule="auto"/>
        <w:ind w:firstLine="496" w:firstLineChars="200"/>
        <w:rPr>
          <w:rFonts w:ascii="宋体" w:hAnsi="宋体" w:cs="宋体"/>
          <w:snapToGrid w:val="0"/>
          <w:spacing w:val="4"/>
          <w:kern w:val="0"/>
          <w:sz w:val="24"/>
          <w:szCs w:val="20"/>
          <w:highlight w:val="none"/>
        </w:rPr>
      </w:pPr>
    </w:p>
    <w:p w14:paraId="23C328C6">
      <w:pPr>
        <w:topLinePunct/>
        <w:adjustRightInd w:val="0"/>
        <w:snapToGrid w:val="0"/>
        <w:spacing w:line="360" w:lineRule="auto"/>
        <w:ind w:firstLine="496" w:firstLineChars="200"/>
        <w:rPr>
          <w:rFonts w:ascii="宋体" w:hAnsi="宋体" w:cs="宋体"/>
          <w:snapToGrid w:val="0"/>
          <w:spacing w:val="4"/>
          <w:kern w:val="0"/>
          <w:sz w:val="24"/>
          <w:szCs w:val="20"/>
          <w:highlight w:val="none"/>
        </w:rPr>
      </w:pPr>
    </w:p>
    <w:p w14:paraId="11000574">
      <w:pPr>
        <w:topLinePunct/>
        <w:adjustRightInd w:val="0"/>
        <w:snapToGrid w:val="0"/>
        <w:spacing w:line="360" w:lineRule="auto"/>
        <w:ind w:firstLine="496" w:firstLineChars="200"/>
        <w:rPr>
          <w:rFonts w:ascii="宋体" w:hAnsi="宋体" w:cs="宋体"/>
          <w:snapToGrid w:val="0"/>
          <w:spacing w:val="4"/>
          <w:kern w:val="0"/>
          <w:sz w:val="24"/>
          <w:szCs w:val="20"/>
          <w:highlight w:val="none"/>
        </w:rPr>
      </w:pPr>
    </w:p>
    <w:p w14:paraId="48DDFE98">
      <w:pPr>
        <w:topLinePunct/>
        <w:adjustRightInd w:val="0"/>
        <w:snapToGrid w:val="0"/>
        <w:spacing w:line="360" w:lineRule="auto"/>
        <w:ind w:firstLine="496" w:firstLineChars="200"/>
        <w:rPr>
          <w:rFonts w:ascii="宋体" w:hAnsi="宋体" w:cs="宋体"/>
          <w:snapToGrid w:val="0"/>
          <w:spacing w:val="4"/>
          <w:kern w:val="0"/>
          <w:sz w:val="24"/>
          <w:szCs w:val="20"/>
          <w:highlight w:val="none"/>
        </w:rPr>
      </w:pPr>
    </w:p>
    <w:p w14:paraId="077CE3B1">
      <w:pPr>
        <w:topLinePunct/>
        <w:adjustRightInd w:val="0"/>
        <w:snapToGrid w:val="0"/>
        <w:spacing w:line="360" w:lineRule="auto"/>
        <w:ind w:firstLine="496" w:firstLineChars="200"/>
        <w:rPr>
          <w:rFonts w:ascii="宋体" w:hAnsi="宋体" w:cs="宋体"/>
          <w:snapToGrid w:val="0"/>
          <w:spacing w:val="4"/>
          <w:kern w:val="0"/>
          <w:sz w:val="24"/>
          <w:szCs w:val="20"/>
          <w:highlight w:val="none"/>
        </w:rPr>
      </w:pPr>
    </w:p>
    <w:p w14:paraId="5D37A1F0">
      <w:pPr>
        <w:topLinePunct/>
        <w:adjustRightInd w:val="0"/>
        <w:snapToGrid w:val="0"/>
        <w:spacing w:line="360" w:lineRule="auto"/>
        <w:ind w:firstLine="496" w:firstLineChars="200"/>
        <w:rPr>
          <w:rFonts w:ascii="宋体" w:hAnsi="宋体" w:cs="宋体"/>
          <w:snapToGrid w:val="0"/>
          <w:spacing w:val="4"/>
          <w:kern w:val="0"/>
          <w:sz w:val="24"/>
          <w:szCs w:val="20"/>
          <w:highlight w:val="none"/>
        </w:rPr>
      </w:pPr>
    </w:p>
    <w:p w14:paraId="3A4C6D92">
      <w:pPr>
        <w:pStyle w:val="300"/>
        <w:ind w:firstLine="616"/>
        <w:rPr>
          <w:rFonts w:eastAsia="宋体" w:cs="宋体"/>
          <w:highlight w:val="none"/>
        </w:rPr>
      </w:pPr>
      <w:r>
        <w:rPr>
          <w:rFonts w:hint="eastAsia" w:eastAsia="宋体" w:cs="宋体"/>
          <w:highlight w:val="none"/>
        </w:rPr>
        <w:t>投标人：</w:t>
      </w:r>
      <w:r>
        <w:rPr>
          <w:rFonts w:hint="eastAsia" w:eastAsia="宋体" w:cs="宋体"/>
          <w:highlight w:val="none"/>
          <w:u w:val="single"/>
        </w:rPr>
        <w:t xml:space="preserve">      （填写投标人单位名称）       （盖章）</w:t>
      </w:r>
    </w:p>
    <w:p w14:paraId="21145DC5">
      <w:pPr>
        <w:pStyle w:val="300"/>
        <w:ind w:firstLine="616"/>
        <w:rPr>
          <w:rFonts w:eastAsia="宋体" w:cs="宋体"/>
          <w:highlight w:val="none"/>
        </w:rPr>
      </w:pPr>
    </w:p>
    <w:p w14:paraId="255E1F57">
      <w:pPr>
        <w:pStyle w:val="300"/>
        <w:ind w:firstLine="616"/>
        <w:rPr>
          <w:rFonts w:eastAsia="宋体" w:cs="宋体"/>
          <w:highlight w:val="none"/>
        </w:rPr>
      </w:pPr>
      <w:r>
        <w:rPr>
          <w:rFonts w:hint="eastAsia" w:eastAsia="宋体" w:cs="宋体"/>
          <w:highlight w:val="none"/>
        </w:rPr>
        <w:t>法定代表人或</w:t>
      </w:r>
    </w:p>
    <w:p w14:paraId="26E51F1A">
      <w:pPr>
        <w:pStyle w:val="300"/>
        <w:ind w:firstLine="616"/>
        <w:rPr>
          <w:rFonts w:eastAsia="宋体" w:cs="宋体"/>
          <w:highlight w:val="none"/>
        </w:rPr>
      </w:pPr>
      <w:r>
        <w:rPr>
          <w:rFonts w:hint="eastAsia" w:eastAsia="宋体" w:cs="宋体"/>
          <w:highlight w:val="none"/>
        </w:rPr>
        <w:t>其委托代理人：</w:t>
      </w:r>
      <w:r>
        <w:rPr>
          <w:rFonts w:hint="eastAsia" w:eastAsia="宋体" w:cs="宋体"/>
          <w:highlight w:val="none"/>
          <w:u w:val="single"/>
        </w:rPr>
        <w:t xml:space="preserve">                     （签字或盖章）</w:t>
      </w:r>
    </w:p>
    <w:p w14:paraId="3EE701C3">
      <w:pPr>
        <w:pStyle w:val="300"/>
        <w:ind w:firstLine="616"/>
        <w:rPr>
          <w:rFonts w:eastAsia="宋体" w:cs="宋体"/>
          <w:highlight w:val="none"/>
        </w:rPr>
      </w:pPr>
      <w:r>
        <w:rPr>
          <w:rFonts w:hint="eastAsia" w:eastAsia="宋体" w:cs="宋体"/>
          <w:highlight w:val="none"/>
        </w:rPr>
        <w:t>日  期：</w:t>
      </w:r>
    </w:p>
    <w:p w14:paraId="3F3B5D19">
      <w:pPr>
        <w:topLinePunct/>
        <w:adjustRightInd w:val="0"/>
        <w:snapToGrid w:val="0"/>
        <w:spacing w:line="360" w:lineRule="auto"/>
        <w:ind w:firstLine="420" w:firstLineChars="200"/>
        <w:rPr>
          <w:rFonts w:ascii="宋体" w:hAnsi="宋体" w:cs="宋体"/>
          <w:snapToGrid w:val="0"/>
          <w:spacing w:val="4"/>
          <w:kern w:val="0"/>
          <w:sz w:val="24"/>
          <w:szCs w:val="20"/>
          <w:highlight w:val="none"/>
        </w:rPr>
      </w:pPr>
      <w:r>
        <w:rPr>
          <w:rFonts w:hint="eastAsia" w:ascii="宋体" w:hAnsi="宋体" w:cs="宋体"/>
          <w:highlight w:val="none"/>
        </w:rPr>
        <w:br w:type="page"/>
      </w:r>
    </w:p>
    <w:p w14:paraId="636F57F4">
      <w:pPr>
        <w:rPr>
          <w:rFonts w:ascii="宋体" w:hAnsi="宋体" w:cs="宋体"/>
          <w:b/>
          <w:snapToGrid w:val="0"/>
          <w:spacing w:val="4"/>
          <w:kern w:val="0"/>
          <w:sz w:val="24"/>
          <w:szCs w:val="20"/>
          <w:highlight w:val="none"/>
        </w:rPr>
      </w:pPr>
      <w:bookmarkStart w:id="68" w:name="_Toc510963904"/>
      <w:bookmarkStart w:id="69" w:name="_Toc19004598"/>
      <w:bookmarkStart w:id="70" w:name="_Toc532475372"/>
      <w:bookmarkStart w:id="71" w:name="_Toc532475805"/>
      <w:r>
        <w:rPr>
          <w:rFonts w:hint="eastAsia" w:ascii="宋体" w:hAnsi="宋体" w:cs="宋体"/>
          <w:b/>
          <w:snapToGrid w:val="0"/>
          <w:spacing w:val="4"/>
          <w:kern w:val="0"/>
          <w:sz w:val="24"/>
          <w:szCs w:val="20"/>
          <w:highlight w:val="none"/>
        </w:rPr>
        <w:t>格式七：参与编制经济标投标文件人员名单</w:t>
      </w:r>
      <w:bookmarkEnd w:id="68"/>
      <w:bookmarkEnd w:id="69"/>
      <w:bookmarkEnd w:id="70"/>
      <w:bookmarkEnd w:id="71"/>
    </w:p>
    <w:p w14:paraId="418E1D9B">
      <w:pPr>
        <w:tabs>
          <w:tab w:val="left" w:pos="720"/>
        </w:tabs>
        <w:snapToGrid w:val="0"/>
        <w:spacing w:line="360" w:lineRule="auto"/>
        <w:jc w:val="center"/>
        <w:rPr>
          <w:rFonts w:ascii="宋体" w:hAnsi="宋体" w:cs="宋体"/>
          <w:sz w:val="24"/>
          <w:highlight w:val="none"/>
        </w:rPr>
      </w:pPr>
    </w:p>
    <w:p w14:paraId="0412A7B7">
      <w:pPr>
        <w:topLinePunct/>
        <w:adjustRightInd w:val="0"/>
        <w:snapToGrid w:val="0"/>
        <w:spacing w:line="360" w:lineRule="auto"/>
        <w:ind w:firstLine="617"/>
        <w:jc w:val="center"/>
        <w:rPr>
          <w:rFonts w:ascii="宋体" w:hAnsi="宋体" w:cs="宋体"/>
          <w:b/>
          <w:snapToGrid w:val="0"/>
          <w:spacing w:val="4"/>
          <w:kern w:val="0"/>
          <w:sz w:val="36"/>
          <w:szCs w:val="36"/>
          <w:highlight w:val="none"/>
        </w:rPr>
      </w:pPr>
      <w:r>
        <w:rPr>
          <w:rFonts w:hint="eastAsia" w:ascii="宋体" w:hAnsi="宋体" w:cs="宋体"/>
          <w:b/>
          <w:snapToGrid w:val="0"/>
          <w:spacing w:val="4"/>
          <w:kern w:val="0"/>
          <w:sz w:val="36"/>
          <w:szCs w:val="36"/>
          <w:highlight w:val="none"/>
        </w:rPr>
        <w:t>参与编制经济标投标文件人员名单</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382"/>
        <w:gridCol w:w="2341"/>
        <w:gridCol w:w="2245"/>
        <w:gridCol w:w="2304"/>
      </w:tblGrid>
      <w:tr w14:paraId="00995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464" w:type="dxa"/>
            <w:gridSpan w:val="5"/>
            <w:vAlign w:val="center"/>
          </w:tcPr>
          <w:p w14:paraId="5AB8DA3E">
            <w:pPr>
              <w:tabs>
                <w:tab w:val="left" w:pos="720"/>
              </w:tabs>
              <w:snapToGrid w:val="0"/>
              <w:jc w:val="center"/>
              <w:rPr>
                <w:rFonts w:ascii="宋体" w:hAnsi="宋体" w:cs="宋体"/>
                <w:sz w:val="24"/>
                <w:highlight w:val="none"/>
              </w:rPr>
            </w:pPr>
            <w:r>
              <w:rPr>
                <w:rFonts w:hint="eastAsia" w:ascii="宋体" w:hAnsi="宋体" w:cs="宋体"/>
                <w:sz w:val="24"/>
                <w:highlight w:val="none"/>
              </w:rPr>
              <w:t>投标单位名称</w:t>
            </w:r>
          </w:p>
        </w:tc>
      </w:tr>
      <w:tr w14:paraId="4B1D8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92" w:type="dxa"/>
            <w:vAlign w:val="center"/>
          </w:tcPr>
          <w:p w14:paraId="14AA29EF">
            <w:pPr>
              <w:tabs>
                <w:tab w:val="left" w:pos="720"/>
              </w:tabs>
              <w:snapToGrid w:val="0"/>
              <w:jc w:val="center"/>
              <w:rPr>
                <w:rFonts w:ascii="宋体" w:hAnsi="宋体" w:cs="宋体"/>
                <w:sz w:val="24"/>
                <w:highlight w:val="none"/>
              </w:rPr>
            </w:pPr>
            <w:r>
              <w:rPr>
                <w:rFonts w:hint="eastAsia" w:ascii="宋体" w:hAnsi="宋体" w:cs="宋体"/>
                <w:sz w:val="24"/>
                <w:highlight w:val="none"/>
              </w:rPr>
              <w:t>姓名</w:t>
            </w:r>
          </w:p>
        </w:tc>
        <w:tc>
          <w:tcPr>
            <w:tcW w:w="1382" w:type="dxa"/>
            <w:vAlign w:val="center"/>
          </w:tcPr>
          <w:p w14:paraId="5F1783C0">
            <w:pPr>
              <w:tabs>
                <w:tab w:val="left" w:pos="720"/>
              </w:tabs>
              <w:snapToGrid w:val="0"/>
              <w:jc w:val="center"/>
              <w:rPr>
                <w:rFonts w:ascii="宋体" w:hAnsi="宋体" w:cs="宋体"/>
                <w:sz w:val="24"/>
                <w:highlight w:val="none"/>
              </w:rPr>
            </w:pPr>
            <w:r>
              <w:rPr>
                <w:rFonts w:hint="eastAsia" w:ascii="宋体" w:hAnsi="宋体" w:cs="宋体"/>
                <w:sz w:val="24"/>
                <w:highlight w:val="none"/>
              </w:rPr>
              <w:t>职务</w:t>
            </w:r>
          </w:p>
        </w:tc>
        <w:tc>
          <w:tcPr>
            <w:tcW w:w="2341" w:type="dxa"/>
            <w:vAlign w:val="center"/>
          </w:tcPr>
          <w:p w14:paraId="24263E7F">
            <w:pPr>
              <w:tabs>
                <w:tab w:val="left" w:pos="720"/>
              </w:tabs>
              <w:snapToGrid w:val="0"/>
              <w:jc w:val="center"/>
              <w:rPr>
                <w:rFonts w:ascii="宋体" w:hAnsi="宋体" w:cs="宋体"/>
                <w:sz w:val="24"/>
                <w:highlight w:val="none"/>
              </w:rPr>
            </w:pPr>
            <w:r>
              <w:rPr>
                <w:rFonts w:hint="eastAsia" w:ascii="宋体" w:hAnsi="宋体" w:cs="宋体"/>
                <w:sz w:val="24"/>
                <w:highlight w:val="none"/>
              </w:rPr>
              <w:t>所承担工作</w:t>
            </w:r>
          </w:p>
        </w:tc>
        <w:tc>
          <w:tcPr>
            <w:tcW w:w="2245" w:type="dxa"/>
            <w:vAlign w:val="center"/>
          </w:tcPr>
          <w:p w14:paraId="6A3852EB">
            <w:pPr>
              <w:tabs>
                <w:tab w:val="left" w:pos="720"/>
              </w:tabs>
              <w:snapToGrid w:val="0"/>
              <w:jc w:val="center"/>
              <w:rPr>
                <w:rFonts w:ascii="宋体" w:hAnsi="宋体" w:cs="宋体"/>
                <w:sz w:val="24"/>
                <w:highlight w:val="none"/>
              </w:rPr>
            </w:pPr>
            <w:r>
              <w:rPr>
                <w:rFonts w:hint="eastAsia" w:ascii="宋体" w:hAnsi="宋体" w:cs="宋体"/>
                <w:sz w:val="24"/>
                <w:highlight w:val="none"/>
              </w:rPr>
              <w:t>身份证号码</w:t>
            </w:r>
          </w:p>
        </w:tc>
        <w:tc>
          <w:tcPr>
            <w:tcW w:w="2304" w:type="dxa"/>
            <w:vAlign w:val="center"/>
          </w:tcPr>
          <w:p w14:paraId="0DD1F7D6">
            <w:pPr>
              <w:tabs>
                <w:tab w:val="left" w:pos="720"/>
              </w:tabs>
              <w:snapToGrid w:val="0"/>
              <w:jc w:val="center"/>
              <w:rPr>
                <w:rFonts w:ascii="宋体" w:hAnsi="宋体" w:cs="宋体"/>
                <w:sz w:val="24"/>
                <w:highlight w:val="none"/>
              </w:rPr>
            </w:pPr>
            <w:r>
              <w:rPr>
                <w:rFonts w:hint="eastAsia" w:ascii="宋体" w:hAnsi="宋体" w:cs="宋体"/>
                <w:sz w:val="24"/>
                <w:highlight w:val="none"/>
              </w:rPr>
              <w:t>本人签名栏</w:t>
            </w:r>
          </w:p>
        </w:tc>
      </w:tr>
      <w:tr w14:paraId="0130D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92" w:type="dxa"/>
            <w:vAlign w:val="center"/>
          </w:tcPr>
          <w:p w14:paraId="46CC8A81">
            <w:pPr>
              <w:tabs>
                <w:tab w:val="left" w:pos="720"/>
              </w:tabs>
              <w:snapToGrid w:val="0"/>
              <w:spacing w:line="360" w:lineRule="auto"/>
              <w:jc w:val="center"/>
              <w:rPr>
                <w:rFonts w:ascii="宋体" w:hAnsi="宋体" w:cs="宋体"/>
                <w:sz w:val="24"/>
                <w:highlight w:val="none"/>
              </w:rPr>
            </w:pPr>
          </w:p>
        </w:tc>
        <w:tc>
          <w:tcPr>
            <w:tcW w:w="1382" w:type="dxa"/>
            <w:vAlign w:val="center"/>
          </w:tcPr>
          <w:p w14:paraId="2FEA611D">
            <w:pPr>
              <w:tabs>
                <w:tab w:val="left" w:pos="720"/>
              </w:tabs>
              <w:snapToGrid w:val="0"/>
              <w:spacing w:line="360" w:lineRule="auto"/>
              <w:jc w:val="center"/>
              <w:rPr>
                <w:rFonts w:ascii="宋体" w:hAnsi="宋体" w:cs="宋体"/>
                <w:sz w:val="24"/>
                <w:highlight w:val="none"/>
              </w:rPr>
            </w:pPr>
          </w:p>
        </w:tc>
        <w:tc>
          <w:tcPr>
            <w:tcW w:w="2341" w:type="dxa"/>
            <w:vAlign w:val="center"/>
          </w:tcPr>
          <w:p w14:paraId="4D9C5EBD">
            <w:pPr>
              <w:tabs>
                <w:tab w:val="left" w:pos="720"/>
              </w:tabs>
              <w:snapToGrid w:val="0"/>
              <w:spacing w:line="360" w:lineRule="auto"/>
              <w:jc w:val="center"/>
              <w:rPr>
                <w:rFonts w:ascii="宋体" w:hAnsi="宋体" w:cs="宋体"/>
                <w:sz w:val="24"/>
                <w:highlight w:val="none"/>
              </w:rPr>
            </w:pPr>
          </w:p>
        </w:tc>
        <w:tc>
          <w:tcPr>
            <w:tcW w:w="2245" w:type="dxa"/>
            <w:vAlign w:val="center"/>
          </w:tcPr>
          <w:p w14:paraId="02EB6443">
            <w:pPr>
              <w:tabs>
                <w:tab w:val="left" w:pos="720"/>
              </w:tabs>
              <w:snapToGrid w:val="0"/>
              <w:spacing w:line="360" w:lineRule="auto"/>
              <w:jc w:val="center"/>
              <w:rPr>
                <w:rFonts w:ascii="宋体" w:hAnsi="宋体" w:cs="宋体"/>
                <w:sz w:val="24"/>
                <w:highlight w:val="none"/>
              </w:rPr>
            </w:pPr>
          </w:p>
        </w:tc>
        <w:tc>
          <w:tcPr>
            <w:tcW w:w="2304" w:type="dxa"/>
            <w:vAlign w:val="center"/>
          </w:tcPr>
          <w:p w14:paraId="1B720B86">
            <w:pPr>
              <w:tabs>
                <w:tab w:val="left" w:pos="720"/>
              </w:tabs>
              <w:snapToGrid w:val="0"/>
              <w:spacing w:line="360" w:lineRule="auto"/>
              <w:jc w:val="center"/>
              <w:rPr>
                <w:rFonts w:ascii="宋体" w:hAnsi="宋体" w:cs="宋体"/>
                <w:sz w:val="24"/>
                <w:highlight w:val="none"/>
              </w:rPr>
            </w:pPr>
          </w:p>
        </w:tc>
      </w:tr>
      <w:tr w14:paraId="59649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vAlign w:val="center"/>
          </w:tcPr>
          <w:p w14:paraId="4A602F29">
            <w:pPr>
              <w:tabs>
                <w:tab w:val="left" w:pos="720"/>
              </w:tabs>
              <w:snapToGrid w:val="0"/>
              <w:spacing w:line="360" w:lineRule="auto"/>
              <w:jc w:val="center"/>
              <w:rPr>
                <w:rFonts w:ascii="宋体" w:hAnsi="宋体" w:cs="宋体"/>
                <w:sz w:val="24"/>
                <w:highlight w:val="none"/>
              </w:rPr>
            </w:pPr>
          </w:p>
        </w:tc>
        <w:tc>
          <w:tcPr>
            <w:tcW w:w="1382" w:type="dxa"/>
            <w:vAlign w:val="center"/>
          </w:tcPr>
          <w:p w14:paraId="66FE03F2">
            <w:pPr>
              <w:tabs>
                <w:tab w:val="left" w:pos="720"/>
              </w:tabs>
              <w:snapToGrid w:val="0"/>
              <w:spacing w:line="360" w:lineRule="auto"/>
              <w:jc w:val="center"/>
              <w:rPr>
                <w:rFonts w:ascii="宋体" w:hAnsi="宋体" w:cs="宋体"/>
                <w:sz w:val="24"/>
                <w:highlight w:val="none"/>
              </w:rPr>
            </w:pPr>
          </w:p>
        </w:tc>
        <w:tc>
          <w:tcPr>
            <w:tcW w:w="2341" w:type="dxa"/>
            <w:vAlign w:val="center"/>
          </w:tcPr>
          <w:p w14:paraId="39EA4E3B">
            <w:pPr>
              <w:tabs>
                <w:tab w:val="left" w:pos="720"/>
              </w:tabs>
              <w:snapToGrid w:val="0"/>
              <w:spacing w:line="360" w:lineRule="auto"/>
              <w:jc w:val="center"/>
              <w:rPr>
                <w:rFonts w:ascii="宋体" w:hAnsi="宋体" w:cs="宋体"/>
                <w:sz w:val="24"/>
                <w:highlight w:val="none"/>
              </w:rPr>
            </w:pPr>
          </w:p>
        </w:tc>
        <w:tc>
          <w:tcPr>
            <w:tcW w:w="2245" w:type="dxa"/>
            <w:vAlign w:val="center"/>
          </w:tcPr>
          <w:p w14:paraId="6CC7F5D0">
            <w:pPr>
              <w:tabs>
                <w:tab w:val="left" w:pos="720"/>
              </w:tabs>
              <w:snapToGrid w:val="0"/>
              <w:spacing w:line="360" w:lineRule="auto"/>
              <w:jc w:val="center"/>
              <w:rPr>
                <w:rFonts w:ascii="宋体" w:hAnsi="宋体" w:cs="宋体"/>
                <w:sz w:val="24"/>
                <w:highlight w:val="none"/>
              </w:rPr>
            </w:pPr>
          </w:p>
        </w:tc>
        <w:tc>
          <w:tcPr>
            <w:tcW w:w="2304" w:type="dxa"/>
            <w:vAlign w:val="center"/>
          </w:tcPr>
          <w:p w14:paraId="4E2E183C">
            <w:pPr>
              <w:tabs>
                <w:tab w:val="left" w:pos="720"/>
              </w:tabs>
              <w:snapToGrid w:val="0"/>
              <w:spacing w:line="360" w:lineRule="auto"/>
              <w:jc w:val="center"/>
              <w:rPr>
                <w:rFonts w:ascii="宋体" w:hAnsi="宋体" w:cs="宋体"/>
                <w:sz w:val="24"/>
                <w:highlight w:val="none"/>
              </w:rPr>
            </w:pPr>
          </w:p>
        </w:tc>
      </w:tr>
      <w:tr w14:paraId="1A8F6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vAlign w:val="center"/>
          </w:tcPr>
          <w:p w14:paraId="0203F099">
            <w:pPr>
              <w:tabs>
                <w:tab w:val="left" w:pos="720"/>
              </w:tabs>
              <w:snapToGrid w:val="0"/>
              <w:spacing w:line="360" w:lineRule="auto"/>
              <w:jc w:val="center"/>
              <w:rPr>
                <w:rFonts w:ascii="宋体" w:hAnsi="宋体" w:cs="宋体"/>
                <w:sz w:val="24"/>
                <w:highlight w:val="none"/>
              </w:rPr>
            </w:pPr>
          </w:p>
        </w:tc>
        <w:tc>
          <w:tcPr>
            <w:tcW w:w="1382" w:type="dxa"/>
            <w:vAlign w:val="center"/>
          </w:tcPr>
          <w:p w14:paraId="6C31CDC2">
            <w:pPr>
              <w:tabs>
                <w:tab w:val="left" w:pos="720"/>
              </w:tabs>
              <w:snapToGrid w:val="0"/>
              <w:spacing w:line="360" w:lineRule="auto"/>
              <w:jc w:val="center"/>
              <w:rPr>
                <w:rFonts w:ascii="宋体" w:hAnsi="宋体" w:cs="宋体"/>
                <w:sz w:val="24"/>
                <w:highlight w:val="none"/>
              </w:rPr>
            </w:pPr>
          </w:p>
        </w:tc>
        <w:tc>
          <w:tcPr>
            <w:tcW w:w="2341" w:type="dxa"/>
            <w:vAlign w:val="center"/>
          </w:tcPr>
          <w:p w14:paraId="4DAF83D0">
            <w:pPr>
              <w:tabs>
                <w:tab w:val="left" w:pos="720"/>
              </w:tabs>
              <w:snapToGrid w:val="0"/>
              <w:spacing w:line="360" w:lineRule="auto"/>
              <w:jc w:val="center"/>
              <w:rPr>
                <w:rFonts w:ascii="宋体" w:hAnsi="宋体" w:cs="宋体"/>
                <w:sz w:val="24"/>
                <w:highlight w:val="none"/>
              </w:rPr>
            </w:pPr>
          </w:p>
        </w:tc>
        <w:tc>
          <w:tcPr>
            <w:tcW w:w="2245" w:type="dxa"/>
            <w:vAlign w:val="center"/>
          </w:tcPr>
          <w:p w14:paraId="6160A88A">
            <w:pPr>
              <w:tabs>
                <w:tab w:val="left" w:pos="720"/>
              </w:tabs>
              <w:snapToGrid w:val="0"/>
              <w:spacing w:line="360" w:lineRule="auto"/>
              <w:jc w:val="center"/>
              <w:rPr>
                <w:rFonts w:ascii="宋体" w:hAnsi="宋体" w:cs="宋体"/>
                <w:sz w:val="24"/>
                <w:highlight w:val="none"/>
              </w:rPr>
            </w:pPr>
          </w:p>
        </w:tc>
        <w:tc>
          <w:tcPr>
            <w:tcW w:w="2304" w:type="dxa"/>
            <w:vAlign w:val="center"/>
          </w:tcPr>
          <w:p w14:paraId="542E9823">
            <w:pPr>
              <w:tabs>
                <w:tab w:val="left" w:pos="720"/>
              </w:tabs>
              <w:snapToGrid w:val="0"/>
              <w:spacing w:line="360" w:lineRule="auto"/>
              <w:jc w:val="center"/>
              <w:rPr>
                <w:rFonts w:ascii="宋体" w:hAnsi="宋体" w:cs="宋体"/>
                <w:sz w:val="24"/>
                <w:highlight w:val="none"/>
              </w:rPr>
            </w:pPr>
          </w:p>
        </w:tc>
      </w:tr>
      <w:tr w14:paraId="735C7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vAlign w:val="center"/>
          </w:tcPr>
          <w:p w14:paraId="0A708277">
            <w:pPr>
              <w:tabs>
                <w:tab w:val="left" w:pos="720"/>
              </w:tabs>
              <w:snapToGrid w:val="0"/>
              <w:spacing w:line="360" w:lineRule="auto"/>
              <w:jc w:val="center"/>
              <w:rPr>
                <w:rFonts w:ascii="宋体" w:hAnsi="宋体" w:cs="宋体"/>
                <w:sz w:val="24"/>
                <w:highlight w:val="none"/>
              </w:rPr>
            </w:pPr>
          </w:p>
        </w:tc>
        <w:tc>
          <w:tcPr>
            <w:tcW w:w="1382" w:type="dxa"/>
            <w:vAlign w:val="center"/>
          </w:tcPr>
          <w:p w14:paraId="1949B991">
            <w:pPr>
              <w:tabs>
                <w:tab w:val="left" w:pos="720"/>
              </w:tabs>
              <w:snapToGrid w:val="0"/>
              <w:spacing w:line="360" w:lineRule="auto"/>
              <w:jc w:val="center"/>
              <w:rPr>
                <w:rFonts w:ascii="宋体" w:hAnsi="宋体" w:cs="宋体"/>
                <w:sz w:val="24"/>
                <w:highlight w:val="none"/>
              </w:rPr>
            </w:pPr>
          </w:p>
        </w:tc>
        <w:tc>
          <w:tcPr>
            <w:tcW w:w="2341" w:type="dxa"/>
            <w:vAlign w:val="center"/>
          </w:tcPr>
          <w:p w14:paraId="3C60BB34">
            <w:pPr>
              <w:tabs>
                <w:tab w:val="left" w:pos="720"/>
              </w:tabs>
              <w:snapToGrid w:val="0"/>
              <w:spacing w:line="360" w:lineRule="auto"/>
              <w:jc w:val="center"/>
              <w:rPr>
                <w:rFonts w:ascii="宋体" w:hAnsi="宋体" w:cs="宋体"/>
                <w:sz w:val="24"/>
                <w:highlight w:val="none"/>
              </w:rPr>
            </w:pPr>
          </w:p>
        </w:tc>
        <w:tc>
          <w:tcPr>
            <w:tcW w:w="2245" w:type="dxa"/>
            <w:vAlign w:val="center"/>
          </w:tcPr>
          <w:p w14:paraId="65FA9753">
            <w:pPr>
              <w:tabs>
                <w:tab w:val="left" w:pos="720"/>
              </w:tabs>
              <w:snapToGrid w:val="0"/>
              <w:spacing w:line="360" w:lineRule="auto"/>
              <w:jc w:val="center"/>
              <w:rPr>
                <w:rFonts w:ascii="宋体" w:hAnsi="宋体" w:cs="宋体"/>
                <w:sz w:val="24"/>
                <w:highlight w:val="none"/>
              </w:rPr>
            </w:pPr>
          </w:p>
        </w:tc>
        <w:tc>
          <w:tcPr>
            <w:tcW w:w="2304" w:type="dxa"/>
            <w:vAlign w:val="center"/>
          </w:tcPr>
          <w:p w14:paraId="598C3866">
            <w:pPr>
              <w:tabs>
                <w:tab w:val="left" w:pos="720"/>
              </w:tabs>
              <w:snapToGrid w:val="0"/>
              <w:spacing w:line="360" w:lineRule="auto"/>
              <w:jc w:val="center"/>
              <w:rPr>
                <w:rFonts w:ascii="宋体" w:hAnsi="宋体" w:cs="宋体"/>
                <w:sz w:val="24"/>
                <w:highlight w:val="none"/>
              </w:rPr>
            </w:pPr>
          </w:p>
        </w:tc>
      </w:tr>
      <w:tr w14:paraId="0FB58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vAlign w:val="center"/>
          </w:tcPr>
          <w:p w14:paraId="3CEC3FFC">
            <w:pPr>
              <w:tabs>
                <w:tab w:val="left" w:pos="720"/>
              </w:tabs>
              <w:snapToGrid w:val="0"/>
              <w:spacing w:line="360" w:lineRule="auto"/>
              <w:jc w:val="center"/>
              <w:rPr>
                <w:rFonts w:ascii="宋体" w:hAnsi="宋体" w:cs="宋体"/>
                <w:sz w:val="24"/>
                <w:highlight w:val="none"/>
              </w:rPr>
            </w:pPr>
          </w:p>
        </w:tc>
        <w:tc>
          <w:tcPr>
            <w:tcW w:w="1382" w:type="dxa"/>
            <w:vAlign w:val="center"/>
          </w:tcPr>
          <w:p w14:paraId="4E5F8914">
            <w:pPr>
              <w:tabs>
                <w:tab w:val="left" w:pos="720"/>
              </w:tabs>
              <w:snapToGrid w:val="0"/>
              <w:spacing w:line="360" w:lineRule="auto"/>
              <w:jc w:val="center"/>
              <w:rPr>
                <w:rFonts w:ascii="宋体" w:hAnsi="宋体" w:cs="宋体"/>
                <w:sz w:val="24"/>
                <w:highlight w:val="none"/>
              </w:rPr>
            </w:pPr>
          </w:p>
        </w:tc>
        <w:tc>
          <w:tcPr>
            <w:tcW w:w="2341" w:type="dxa"/>
            <w:vAlign w:val="center"/>
          </w:tcPr>
          <w:p w14:paraId="421A98A3">
            <w:pPr>
              <w:tabs>
                <w:tab w:val="left" w:pos="720"/>
              </w:tabs>
              <w:snapToGrid w:val="0"/>
              <w:spacing w:line="360" w:lineRule="auto"/>
              <w:jc w:val="center"/>
              <w:rPr>
                <w:rFonts w:ascii="宋体" w:hAnsi="宋体" w:cs="宋体"/>
                <w:sz w:val="24"/>
                <w:highlight w:val="none"/>
              </w:rPr>
            </w:pPr>
          </w:p>
        </w:tc>
        <w:tc>
          <w:tcPr>
            <w:tcW w:w="2245" w:type="dxa"/>
            <w:vAlign w:val="center"/>
          </w:tcPr>
          <w:p w14:paraId="115E6CED">
            <w:pPr>
              <w:tabs>
                <w:tab w:val="left" w:pos="720"/>
              </w:tabs>
              <w:snapToGrid w:val="0"/>
              <w:spacing w:line="360" w:lineRule="auto"/>
              <w:jc w:val="center"/>
              <w:rPr>
                <w:rFonts w:ascii="宋体" w:hAnsi="宋体" w:cs="宋体"/>
                <w:sz w:val="24"/>
                <w:highlight w:val="none"/>
              </w:rPr>
            </w:pPr>
          </w:p>
        </w:tc>
        <w:tc>
          <w:tcPr>
            <w:tcW w:w="2304" w:type="dxa"/>
            <w:vAlign w:val="center"/>
          </w:tcPr>
          <w:p w14:paraId="6E856D0D">
            <w:pPr>
              <w:tabs>
                <w:tab w:val="left" w:pos="720"/>
              </w:tabs>
              <w:snapToGrid w:val="0"/>
              <w:spacing w:line="360" w:lineRule="auto"/>
              <w:jc w:val="center"/>
              <w:rPr>
                <w:rFonts w:ascii="宋体" w:hAnsi="宋体" w:cs="宋体"/>
                <w:sz w:val="24"/>
                <w:highlight w:val="none"/>
              </w:rPr>
            </w:pPr>
          </w:p>
        </w:tc>
      </w:tr>
      <w:tr w14:paraId="341F8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vAlign w:val="center"/>
          </w:tcPr>
          <w:p w14:paraId="42AED5E1">
            <w:pPr>
              <w:tabs>
                <w:tab w:val="left" w:pos="720"/>
              </w:tabs>
              <w:snapToGrid w:val="0"/>
              <w:spacing w:line="360" w:lineRule="auto"/>
              <w:jc w:val="center"/>
              <w:rPr>
                <w:rFonts w:ascii="宋体" w:hAnsi="宋体" w:cs="宋体"/>
                <w:sz w:val="24"/>
                <w:highlight w:val="none"/>
              </w:rPr>
            </w:pPr>
          </w:p>
        </w:tc>
        <w:tc>
          <w:tcPr>
            <w:tcW w:w="1382" w:type="dxa"/>
            <w:vAlign w:val="center"/>
          </w:tcPr>
          <w:p w14:paraId="484FF3B3">
            <w:pPr>
              <w:tabs>
                <w:tab w:val="left" w:pos="720"/>
              </w:tabs>
              <w:snapToGrid w:val="0"/>
              <w:spacing w:line="360" w:lineRule="auto"/>
              <w:jc w:val="center"/>
              <w:rPr>
                <w:rFonts w:ascii="宋体" w:hAnsi="宋体" w:cs="宋体"/>
                <w:sz w:val="24"/>
                <w:highlight w:val="none"/>
              </w:rPr>
            </w:pPr>
          </w:p>
        </w:tc>
        <w:tc>
          <w:tcPr>
            <w:tcW w:w="2341" w:type="dxa"/>
            <w:vAlign w:val="center"/>
          </w:tcPr>
          <w:p w14:paraId="3E45077F">
            <w:pPr>
              <w:tabs>
                <w:tab w:val="left" w:pos="720"/>
              </w:tabs>
              <w:snapToGrid w:val="0"/>
              <w:spacing w:line="360" w:lineRule="auto"/>
              <w:jc w:val="center"/>
              <w:rPr>
                <w:rFonts w:ascii="宋体" w:hAnsi="宋体" w:cs="宋体"/>
                <w:sz w:val="24"/>
                <w:highlight w:val="none"/>
              </w:rPr>
            </w:pPr>
          </w:p>
        </w:tc>
        <w:tc>
          <w:tcPr>
            <w:tcW w:w="2245" w:type="dxa"/>
            <w:vAlign w:val="center"/>
          </w:tcPr>
          <w:p w14:paraId="793D7B6F">
            <w:pPr>
              <w:tabs>
                <w:tab w:val="left" w:pos="720"/>
              </w:tabs>
              <w:snapToGrid w:val="0"/>
              <w:spacing w:line="360" w:lineRule="auto"/>
              <w:jc w:val="center"/>
              <w:rPr>
                <w:rFonts w:ascii="宋体" w:hAnsi="宋体" w:cs="宋体"/>
                <w:sz w:val="24"/>
                <w:highlight w:val="none"/>
              </w:rPr>
            </w:pPr>
          </w:p>
        </w:tc>
        <w:tc>
          <w:tcPr>
            <w:tcW w:w="2304" w:type="dxa"/>
            <w:vAlign w:val="center"/>
          </w:tcPr>
          <w:p w14:paraId="46B54B88">
            <w:pPr>
              <w:tabs>
                <w:tab w:val="left" w:pos="720"/>
              </w:tabs>
              <w:snapToGrid w:val="0"/>
              <w:spacing w:line="360" w:lineRule="auto"/>
              <w:jc w:val="center"/>
              <w:rPr>
                <w:rFonts w:ascii="宋体" w:hAnsi="宋体" w:cs="宋体"/>
                <w:sz w:val="24"/>
                <w:highlight w:val="none"/>
              </w:rPr>
            </w:pPr>
          </w:p>
        </w:tc>
      </w:tr>
      <w:tr w14:paraId="03A73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92" w:type="dxa"/>
            <w:vAlign w:val="center"/>
          </w:tcPr>
          <w:p w14:paraId="381D037D">
            <w:pPr>
              <w:tabs>
                <w:tab w:val="left" w:pos="720"/>
              </w:tabs>
              <w:snapToGrid w:val="0"/>
              <w:spacing w:line="360" w:lineRule="auto"/>
              <w:jc w:val="center"/>
              <w:rPr>
                <w:rFonts w:ascii="宋体" w:hAnsi="宋体" w:cs="宋体"/>
                <w:sz w:val="24"/>
                <w:highlight w:val="none"/>
              </w:rPr>
            </w:pPr>
          </w:p>
        </w:tc>
        <w:tc>
          <w:tcPr>
            <w:tcW w:w="1382" w:type="dxa"/>
            <w:vAlign w:val="center"/>
          </w:tcPr>
          <w:p w14:paraId="4C1BA4E8">
            <w:pPr>
              <w:tabs>
                <w:tab w:val="left" w:pos="720"/>
              </w:tabs>
              <w:snapToGrid w:val="0"/>
              <w:spacing w:line="360" w:lineRule="auto"/>
              <w:jc w:val="center"/>
              <w:rPr>
                <w:rFonts w:ascii="宋体" w:hAnsi="宋体" w:cs="宋体"/>
                <w:sz w:val="24"/>
                <w:highlight w:val="none"/>
              </w:rPr>
            </w:pPr>
          </w:p>
        </w:tc>
        <w:tc>
          <w:tcPr>
            <w:tcW w:w="2341" w:type="dxa"/>
            <w:vAlign w:val="center"/>
          </w:tcPr>
          <w:p w14:paraId="5B923198">
            <w:pPr>
              <w:tabs>
                <w:tab w:val="left" w:pos="720"/>
              </w:tabs>
              <w:snapToGrid w:val="0"/>
              <w:spacing w:line="360" w:lineRule="auto"/>
              <w:jc w:val="center"/>
              <w:rPr>
                <w:rFonts w:ascii="宋体" w:hAnsi="宋体" w:cs="宋体"/>
                <w:sz w:val="24"/>
                <w:highlight w:val="none"/>
              </w:rPr>
            </w:pPr>
          </w:p>
        </w:tc>
        <w:tc>
          <w:tcPr>
            <w:tcW w:w="2245" w:type="dxa"/>
            <w:vAlign w:val="center"/>
          </w:tcPr>
          <w:p w14:paraId="128581D8">
            <w:pPr>
              <w:tabs>
                <w:tab w:val="left" w:pos="720"/>
              </w:tabs>
              <w:snapToGrid w:val="0"/>
              <w:spacing w:line="360" w:lineRule="auto"/>
              <w:jc w:val="center"/>
              <w:rPr>
                <w:rFonts w:ascii="宋体" w:hAnsi="宋体" w:cs="宋体"/>
                <w:sz w:val="24"/>
                <w:highlight w:val="none"/>
              </w:rPr>
            </w:pPr>
          </w:p>
        </w:tc>
        <w:tc>
          <w:tcPr>
            <w:tcW w:w="2304" w:type="dxa"/>
            <w:vAlign w:val="center"/>
          </w:tcPr>
          <w:p w14:paraId="26D2E4FB">
            <w:pPr>
              <w:tabs>
                <w:tab w:val="left" w:pos="720"/>
              </w:tabs>
              <w:snapToGrid w:val="0"/>
              <w:spacing w:line="360" w:lineRule="auto"/>
              <w:jc w:val="center"/>
              <w:rPr>
                <w:rFonts w:ascii="宋体" w:hAnsi="宋体" w:cs="宋体"/>
                <w:sz w:val="24"/>
                <w:highlight w:val="none"/>
              </w:rPr>
            </w:pPr>
          </w:p>
        </w:tc>
      </w:tr>
      <w:tr w14:paraId="39627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92" w:type="dxa"/>
            <w:vAlign w:val="center"/>
          </w:tcPr>
          <w:p w14:paraId="41D3CF6C">
            <w:pPr>
              <w:tabs>
                <w:tab w:val="left" w:pos="720"/>
              </w:tabs>
              <w:snapToGrid w:val="0"/>
              <w:spacing w:line="360" w:lineRule="auto"/>
              <w:jc w:val="center"/>
              <w:rPr>
                <w:rFonts w:ascii="宋体" w:hAnsi="宋体" w:cs="宋体"/>
                <w:sz w:val="24"/>
                <w:highlight w:val="none"/>
              </w:rPr>
            </w:pPr>
          </w:p>
        </w:tc>
        <w:tc>
          <w:tcPr>
            <w:tcW w:w="1382" w:type="dxa"/>
            <w:vAlign w:val="center"/>
          </w:tcPr>
          <w:p w14:paraId="75C94B5B">
            <w:pPr>
              <w:tabs>
                <w:tab w:val="left" w:pos="720"/>
              </w:tabs>
              <w:snapToGrid w:val="0"/>
              <w:spacing w:line="360" w:lineRule="auto"/>
              <w:jc w:val="center"/>
              <w:rPr>
                <w:rFonts w:ascii="宋体" w:hAnsi="宋体" w:cs="宋体"/>
                <w:sz w:val="24"/>
                <w:highlight w:val="none"/>
              </w:rPr>
            </w:pPr>
          </w:p>
        </w:tc>
        <w:tc>
          <w:tcPr>
            <w:tcW w:w="2341" w:type="dxa"/>
            <w:vAlign w:val="center"/>
          </w:tcPr>
          <w:p w14:paraId="465CDC31">
            <w:pPr>
              <w:tabs>
                <w:tab w:val="left" w:pos="720"/>
              </w:tabs>
              <w:snapToGrid w:val="0"/>
              <w:spacing w:line="360" w:lineRule="auto"/>
              <w:jc w:val="center"/>
              <w:rPr>
                <w:rFonts w:ascii="宋体" w:hAnsi="宋体" w:cs="宋体"/>
                <w:sz w:val="24"/>
                <w:highlight w:val="none"/>
              </w:rPr>
            </w:pPr>
          </w:p>
        </w:tc>
        <w:tc>
          <w:tcPr>
            <w:tcW w:w="2245" w:type="dxa"/>
            <w:vAlign w:val="center"/>
          </w:tcPr>
          <w:p w14:paraId="737820A2">
            <w:pPr>
              <w:tabs>
                <w:tab w:val="left" w:pos="720"/>
              </w:tabs>
              <w:snapToGrid w:val="0"/>
              <w:spacing w:line="360" w:lineRule="auto"/>
              <w:jc w:val="center"/>
              <w:rPr>
                <w:rFonts w:ascii="宋体" w:hAnsi="宋体" w:cs="宋体"/>
                <w:sz w:val="24"/>
                <w:highlight w:val="none"/>
              </w:rPr>
            </w:pPr>
          </w:p>
        </w:tc>
        <w:tc>
          <w:tcPr>
            <w:tcW w:w="2304" w:type="dxa"/>
            <w:vAlign w:val="center"/>
          </w:tcPr>
          <w:p w14:paraId="6288E913">
            <w:pPr>
              <w:tabs>
                <w:tab w:val="left" w:pos="720"/>
              </w:tabs>
              <w:snapToGrid w:val="0"/>
              <w:spacing w:line="360" w:lineRule="auto"/>
              <w:jc w:val="center"/>
              <w:rPr>
                <w:rFonts w:ascii="宋体" w:hAnsi="宋体" w:cs="宋体"/>
                <w:sz w:val="24"/>
                <w:highlight w:val="none"/>
              </w:rPr>
            </w:pPr>
          </w:p>
        </w:tc>
      </w:tr>
    </w:tbl>
    <w:p w14:paraId="10CC37A9">
      <w:pPr>
        <w:tabs>
          <w:tab w:val="left" w:pos="720"/>
        </w:tabs>
        <w:snapToGrid w:val="0"/>
        <w:spacing w:line="360" w:lineRule="auto"/>
        <w:rPr>
          <w:rFonts w:ascii="宋体" w:hAnsi="宋体" w:cs="宋体"/>
          <w:sz w:val="24"/>
          <w:highlight w:val="none"/>
        </w:rPr>
      </w:pPr>
    </w:p>
    <w:p w14:paraId="057FF822">
      <w:pPr>
        <w:autoSpaceDE w:val="0"/>
        <w:autoSpaceDN w:val="0"/>
        <w:adjustRightInd w:val="0"/>
        <w:spacing w:line="360" w:lineRule="auto"/>
        <w:ind w:firstLine="368"/>
        <w:rPr>
          <w:rFonts w:ascii="宋体" w:hAnsi="宋体" w:cs="宋体"/>
          <w:szCs w:val="21"/>
          <w:highlight w:val="none"/>
        </w:rPr>
      </w:pPr>
      <w:r>
        <w:rPr>
          <w:rFonts w:hint="eastAsia" w:ascii="宋体" w:hAnsi="宋体" w:cs="宋体"/>
          <w:highlight w:val="none"/>
        </w:rPr>
        <w:t>注：参与编制经济标书所有人员名单应包括如编制各种专业工程量清单投标报价、负责清样校对、负责打印及复印等所有人员在内的人员名单。</w:t>
      </w:r>
    </w:p>
    <w:p w14:paraId="195EEA80">
      <w:pPr>
        <w:autoSpaceDE w:val="0"/>
        <w:autoSpaceDN w:val="0"/>
        <w:adjustRightInd w:val="0"/>
        <w:rPr>
          <w:rFonts w:ascii="宋体" w:hAnsi="宋体" w:cs="宋体"/>
          <w:sz w:val="24"/>
          <w:highlight w:val="none"/>
        </w:rPr>
      </w:pPr>
      <w:r>
        <w:rPr>
          <w:rFonts w:hint="eastAsia" w:ascii="宋体" w:hAnsi="宋体" w:cs="宋体"/>
          <w:sz w:val="24"/>
          <w:highlight w:val="none"/>
        </w:rPr>
        <w:br w:type="page"/>
      </w:r>
    </w:p>
    <w:p w14:paraId="6956E22D">
      <w:pPr>
        <w:topLinePunct/>
        <w:adjustRightInd w:val="0"/>
        <w:snapToGrid w:val="0"/>
        <w:spacing w:line="360" w:lineRule="auto"/>
        <w:jc w:val="left"/>
        <w:outlineLvl w:val="2"/>
        <w:rPr>
          <w:rFonts w:ascii="宋体" w:hAnsi="宋体" w:cs="宋体"/>
          <w:b/>
          <w:snapToGrid w:val="0"/>
          <w:spacing w:val="4"/>
          <w:kern w:val="0"/>
          <w:sz w:val="24"/>
          <w:szCs w:val="20"/>
          <w:highlight w:val="none"/>
        </w:rPr>
      </w:pPr>
      <w:bookmarkStart w:id="72" w:name="_Toc19004599"/>
      <w:r>
        <w:rPr>
          <w:rFonts w:hint="eastAsia" w:ascii="宋体" w:hAnsi="宋体" w:cs="宋体"/>
          <w:b/>
          <w:snapToGrid w:val="0"/>
          <w:spacing w:val="4"/>
          <w:kern w:val="0"/>
          <w:sz w:val="24"/>
          <w:szCs w:val="20"/>
          <w:highlight w:val="none"/>
        </w:rPr>
        <w:t>格式八：对投标文件编制的承诺</w:t>
      </w:r>
      <w:bookmarkEnd w:id="72"/>
    </w:p>
    <w:p w14:paraId="452FC299">
      <w:pPr>
        <w:spacing w:after="120"/>
        <w:jc w:val="center"/>
        <w:rPr>
          <w:rFonts w:ascii="宋体" w:hAnsi="宋体" w:cs="宋体"/>
          <w:kern w:val="0"/>
          <w:sz w:val="32"/>
          <w:szCs w:val="32"/>
          <w:highlight w:val="none"/>
        </w:rPr>
      </w:pPr>
      <w:r>
        <w:rPr>
          <w:rFonts w:hint="eastAsia" w:ascii="宋体" w:hAnsi="宋体" w:cs="宋体"/>
          <w:b/>
          <w:kern w:val="0"/>
          <w:sz w:val="32"/>
          <w:szCs w:val="32"/>
          <w:highlight w:val="none"/>
        </w:rPr>
        <w:t>对投标文件编制的承诺</w:t>
      </w:r>
    </w:p>
    <w:p w14:paraId="544930C9">
      <w:pPr>
        <w:spacing w:after="120"/>
        <w:ind w:left="-2" w:leftChars="-1" w:firstLine="540" w:firstLineChars="225"/>
        <w:rPr>
          <w:rFonts w:ascii="宋体" w:hAnsi="宋体" w:cs="宋体"/>
          <w:kern w:val="0"/>
          <w:sz w:val="24"/>
          <w:szCs w:val="24"/>
          <w:highlight w:val="none"/>
        </w:rPr>
      </w:pPr>
      <w:r>
        <w:rPr>
          <w:rFonts w:hint="eastAsia" w:ascii="宋体" w:hAnsi="宋体" w:cs="宋体"/>
          <w:kern w:val="0"/>
          <w:sz w:val="24"/>
          <w:szCs w:val="24"/>
          <w:highlight w:val="none"/>
        </w:rPr>
        <w:t>本公司授权</w:t>
      </w:r>
      <w:r>
        <w:rPr>
          <w:rFonts w:hint="eastAsia" w:ascii="宋体" w:hAnsi="宋体" w:cs="宋体"/>
          <w:kern w:val="0"/>
          <w:sz w:val="24"/>
          <w:szCs w:val="24"/>
          <w:highlight w:val="none"/>
          <w:u w:val="single"/>
        </w:rPr>
        <w:t xml:space="preserve">         （身份证号：               ）</w:t>
      </w:r>
      <w:r>
        <w:rPr>
          <w:rFonts w:hint="eastAsia" w:ascii="宋体" w:hAnsi="宋体" w:cs="宋体"/>
          <w:kern w:val="0"/>
          <w:sz w:val="24"/>
          <w:szCs w:val="24"/>
          <w:highlight w:val="none"/>
        </w:rPr>
        <w:t>负责对投标文件的编制及内进行解释、说明，并承诺以下事项：</w:t>
      </w:r>
    </w:p>
    <w:p w14:paraId="16E17A9F">
      <w:pPr>
        <w:spacing w:after="120"/>
        <w:ind w:left="-2" w:leftChars="-1" w:firstLine="540" w:firstLineChars="225"/>
        <w:rPr>
          <w:rFonts w:ascii="宋体" w:hAnsi="宋体" w:cs="宋体"/>
          <w:kern w:val="0"/>
          <w:sz w:val="24"/>
          <w:szCs w:val="24"/>
          <w:highlight w:val="none"/>
        </w:rPr>
      </w:pPr>
      <w:r>
        <w:rPr>
          <w:rFonts w:hint="eastAsia" w:ascii="宋体" w:hAnsi="宋体" w:cs="宋体"/>
          <w:kern w:val="0"/>
          <w:sz w:val="24"/>
          <w:szCs w:val="24"/>
          <w:highlight w:val="none"/>
        </w:rPr>
        <w:t>1.被授权人清楚投标文件编制的具体情况，包括技术方案文件、工程量清单、以及投标文件的加密打包的理解；</w:t>
      </w:r>
    </w:p>
    <w:p w14:paraId="6329D2F1">
      <w:pPr>
        <w:spacing w:after="120"/>
        <w:ind w:left="-2" w:leftChars="-1" w:firstLine="540" w:firstLineChars="225"/>
        <w:rPr>
          <w:rFonts w:ascii="宋体" w:hAnsi="宋体" w:cs="宋体"/>
          <w:kern w:val="0"/>
          <w:sz w:val="24"/>
          <w:szCs w:val="24"/>
          <w:highlight w:val="none"/>
        </w:rPr>
      </w:pPr>
      <w:r>
        <w:rPr>
          <w:rFonts w:hint="eastAsia" w:ascii="宋体" w:hAnsi="宋体" w:cs="宋体"/>
          <w:kern w:val="0"/>
          <w:sz w:val="24"/>
          <w:szCs w:val="24"/>
          <w:highlight w:val="none"/>
        </w:rPr>
        <w:t>2.在本项目开标至评标结束前，努力确保被授权人在项目评标所在地附近；</w:t>
      </w:r>
    </w:p>
    <w:p w14:paraId="568E55B2">
      <w:pPr>
        <w:spacing w:after="120"/>
        <w:ind w:left="-2" w:leftChars="-1" w:firstLine="540" w:firstLineChars="225"/>
        <w:rPr>
          <w:rFonts w:ascii="宋体" w:hAnsi="宋体" w:cs="宋体"/>
          <w:kern w:val="0"/>
          <w:sz w:val="24"/>
          <w:szCs w:val="24"/>
          <w:highlight w:val="none"/>
        </w:rPr>
      </w:pPr>
      <w:r>
        <w:rPr>
          <w:rFonts w:hint="eastAsia" w:ascii="宋体" w:hAnsi="宋体" w:cs="宋体"/>
          <w:kern w:val="0"/>
          <w:sz w:val="24"/>
          <w:szCs w:val="24"/>
          <w:highlight w:val="none"/>
        </w:rPr>
        <w:t>3.从评标委员会要求澄清起二小时内，被授权人应如实地书面澄清。</w:t>
      </w:r>
    </w:p>
    <w:p w14:paraId="2D7A67F4">
      <w:pPr>
        <w:spacing w:after="120"/>
        <w:ind w:left="-2" w:leftChars="-1" w:firstLine="540" w:firstLineChars="225"/>
        <w:rPr>
          <w:rFonts w:ascii="宋体" w:hAnsi="宋体" w:cs="宋体"/>
          <w:kern w:val="0"/>
          <w:sz w:val="24"/>
          <w:szCs w:val="24"/>
          <w:highlight w:val="none"/>
        </w:rPr>
      </w:pPr>
      <w:r>
        <w:rPr>
          <w:rFonts w:hint="eastAsia" w:ascii="宋体" w:hAnsi="宋体" w:cs="宋体"/>
          <w:kern w:val="0"/>
          <w:sz w:val="24"/>
          <w:szCs w:val="24"/>
          <w:highlight w:val="none"/>
        </w:rPr>
        <w:t xml:space="preserve">如由于未遵守上述承诺内容之一导致无法进行澄清的，我公司认可和接受评标委员会作出的评审结论。                                 </w:t>
      </w:r>
    </w:p>
    <w:p w14:paraId="4BF2D0C2">
      <w:pPr>
        <w:spacing w:after="120"/>
        <w:ind w:firstLine="360" w:firstLineChars="150"/>
        <w:rPr>
          <w:rFonts w:ascii="宋体" w:hAnsi="宋体" w:cs="宋体"/>
          <w:kern w:val="0"/>
          <w:sz w:val="24"/>
          <w:szCs w:val="24"/>
          <w:highlight w:val="none"/>
        </w:rPr>
      </w:pPr>
    </w:p>
    <w:p w14:paraId="3D3F8981">
      <w:pPr>
        <w:spacing w:after="120"/>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附件：《投标文件编制情况》</w:t>
      </w:r>
    </w:p>
    <w:p w14:paraId="498AEA56">
      <w:pPr>
        <w:ind w:right="90" w:firstLine="3240" w:firstLineChars="1350"/>
        <w:rPr>
          <w:rFonts w:ascii="宋体" w:hAnsi="宋体" w:cs="宋体"/>
          <w:sz w:val="24"/>
          <w:szCs w:val="24"/>
          <w:highlight w:val="none"/>
          <w:u w:val="single"/>
        </w:rPr>
      </w:pPr>
      <w:r>
        <w:rPr>
          <w:rFonts w:hint="eastAsia" w:ascii="宋体" w:hAnsi="宋体" w:cs="宋体"/>
          <w:sz w:val="24"/>
          <w:szCs w:val="24"/>
          <w:highlight w:val="none"/>
        </w:rPr>
        <w:t xml:space="preserve"> 投标人名称（盖法人公章）：</w:t>
      </w:r>
    </w:p>
    <w:p w14:paraId="714CC23A">
      <w:pPr>
        <w:ind w:firstLine="2160" w:firstLineChars="900"/>
        <w:rPr>
          <w:rFonts w:ascii="宋体" w:hAnsi="宋体" w:cs="宋体"/>
          <w:sz w:val="24"/>
          <w:szCs w:val="24"/>
          <w:highlight w:val="none"/>
          <w:u w:val="single"/>
        </w:rPr>
      </w:pPr>
      <w:r>
        <w:rPr>
          <w:rFonts w:hint="eastAsia" w:ascii="宋体" w:hAnsi="宋体" w:cs="宋体"/>
          <w:sz w:val="24"/>
          <w:szCs w:val="24"/>
          <w:highlight w:val="none"/>
        </w:rPr>
        <w:t>法定代表人或被授权人（签字或盖章）：</w:t>
      </w:r>
    </w:p>
    <w:p w14:paraId="28C414DF">
      <w:pPr>
        <w:ind w:firstLine="4440" w:firstLineChars="1850"/>
        <w:jc w:val="center"/>
        <w:rPr>
          <w:rFonts w:ascii="宋体" w:hAnsi="宋体" w:cs="宋体"/>
          <w:sz w:val="24"/>
          <w:szCs w:val="24"/>
          <w:highlight w:val="none"/>
        </w:rPr>
      </w:pPr>
      <w:r>
        <w:rPr>
          <w:rFonts w:hint="eastAsia" w:ascii="宋体" w:hAnsi="宋体" w:cs="宋体"/>
          <w:sz w:val="24"/>
          <w:szCs w:val="24"/>
          <w:highlight w:val="none"/>
        </w:rPr>
        <w:t xml:space="preserve"> 日期：      年   月   日 </w:t>
      </w:r>
    </w:p>
    <w:p w14:paraId="056174C6">
      <w:pPr>
        <w:spacing w:after="120"/>
        <w:rPr>
          <w:rFonts w:ascii="宋体" w:hAnsi="宋体" w:cs="宋体"/>
          <w:b/>
          <w:kern w:val="0"/>
          <w:sz w:val="32"/>
          <w:szCs w:val="32"/>
          <w:highlight w:val="none"/>
        </w:rPr>
      </w:pPr>
    </w:p>
    <w:p w14:paraId="06C98788">
      <w:pPr>
        <w:spacing w:after="120"/>
        <w:ind w:firstLine="643" w:firstLineChars="200"/>
        <w:jc w:val="center"/>
        <w:rPr>
          <w:rFonts w:ascii="宋体" w:hAnsi="宋体" w:cs="宋体"/>
          <w:kern w:val="0"/>
          <w:sz w:val="18"/>
          <w:szCs w:val="18"/>
          <w:highlight w:val="none"/>
        </w:rPr>
      </w:pPr>
      <w:r>
        <w:rPr>
          <w:rFonts w:hint="eastAsia" w:ascii="宋体" w:hAnsi="宋体" w:cs="宋体"/>
          <w:b/>
          <w:kern w:val="0"/>
          <w:sz w:val="32"/>
          <w:szCs w:val="32"/>
          <w:highlight w:val="none"/>
        </w:rPr>
        <w:t>投标文件编制情况</w:t>
      </w:r>
    </w:p>
    <w:p w14:paraId="7C611756">
      <w:pPr>
        <w:spacing w:after="120"/>
        <w:ind w:firstLine="480" w:firstLineChars="200"/>
        <w:rPr>
          <w:rFonts w:ascii="宋体" w:hAnsi="宋体" w:cs="宋体"/>
          <w:kern w:val="0"/>
          <w:sz w:val="24"/>
          <w:szCs w:val="24"/>
          <w:highlight w:val="none"/>
          <w:u w:val="single"/>
        </w:rPr>
      </w:pPr>
      <w:r>
        <w:rPr>
          <w:rFonts w:hint="eastAsia" w:ascii="宋体" w:hAnsi="宋体" w:cs="宋体"/>
          <w:kern w:val="0"/>
          <w:sz w:val="24"/>
          <w:szCs w:val="24"/>
          <w:highlight w:val="none"/>
        </w:rPr>
        <w:t>1.投标文件报价编制方式: □自行编制的，编制的负责人：</w:t>
      </w:r>
      <w:r>
        <w:rPr>
          <w:rFonts w:hint="eastAsia" w:ascii="宋体" w:hAnsi="宋体" w:cs="宋体"/>
          <w:kern w:val="0"/>
          <w:sz w:val="24"/>
          <w:szCs w:val="24"/>
          <w:highlight w:val="none"/>
          <w:u w:val="single"/>
        </w:rPr>
        <w:t xml:space="preserve"> （盖造价工程师执业专用章或全国建设工程造价员章，执业单位应与投标人一致） </w:t>
      </w:r>
      <w:r>
        <w:rPr>
          <w:rFonts w:hint="eastAsia" w:ascii="宋体" w:hAnsi="宋体" w:cs="宋体"/>
          <w:kern w:val="0"/>
          <w:sz w:val="24"/>
          <w:szCs w:val="24"/>
          <w:highlight w:val="none"/>
        </w:rPr>
        <w:t>。□委托编制的，受委托单位，编制的负责人：</w:t>
      </w:r>
      <w:r>
        <w:rPr>
          <w:rFonts w:hint="eastAsia" w:ascii="宋体" w:hAnsi="宋体" w:cs="宋体"/>
          <w:kern w:val="0"/>
          <w:sz w:val="24"/>
          <w:szCs w:val="24"/>
          <w:highlight w:val="none"/>
          <w:u w:val="single"/>
        </w:rPr>
        <w:t xml:space="preserve"> （盖造价工程师执业专用章或全国建设工程造价员章，执业单位应与受委托单位一致） </w:t>
      </w:r>
      <w:r>
        <w:rPr>
          <w:rFonts w:hint="eastAsia" w:ascii="宋体" w:hAnsi="宋体" w:cs="宋体"/>
          <w:kern w:val="0"/>
          <w:sz w:val="24"/>
          <w:szCs w:val="24"/>
          <w:highlight w:val="none"/>
        </w:rPr>
        <w:t>。</w:t>
      </w:r>
    </w:p>
    <w:p w14:paraId="33C94185">
      <w:pPr>
        <w:spacing w:after="120"/>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2.投标文件加密打包的电脑情况</w:t>
      </w:r>
    </w:p>
    <w:tbl>
      <w:tblPr>
        <w:tblStyle w:val="51"/>
        <w:tblW w:w="0" w:type="auto"/>
        <w:tblInd w:w="0" w:type="dxa"/>
        <w:tblLayout w:type="fixed"/>
        <w:tblCellMar>
          <w:top w:w="0" w:type="dxa"/>
          <w:left w:w="108" w:type="dxa"/>
          <w:bottom w:w="0" w:type="dxa"/>
          <w:right w:w="108" w:type="dxa"/>
        </w:tblCellMar>
      </w:tblPr>
      <w:tblGrid>
        <w:gridCol w:w="8500"/>
      </w:tblGrid>
      <w:tr w14:paraId="146333B6">
        <w:tblPrEx>
          <w:tblCellMar>
            <w:top w:w="0" w:type="dxa"/>
            <w:left w:w="108" w:type="dxa"/>
            <w:bottom w:w="0" w:type="dxa"/>
            <w:right w:w="108" w:type="dxa"/>
          </w:tblCellMar>
        </w:tblPrEx>
        <w:trPr>
          <w:trHeight w:val="927" w:hRule="atLeast"/>
        </w:trPr>
        <w:tc>
          <w:tcPr>
            <w:tcW w:w="8500" w:type="dxa"/>
          </w:tcPr>
          <w:p w14:paraId="4AE347C8">
            <w:pPr>
              <w:spacing w:after="120"/>
              <w:rPr>
                <w:rFonts w:ascii="宋体" w:hAnsi="宋体" w:cs="宋体"/>
                <w:sz w:val="24"/>
                <w:szCs w:val="24"/>
                <w:highlight w:val="none"/>
              </w:rPr>
            </w:pPr>
            <w:r>
              <w:rPr>
                <w:rFonts w:hint="eastAsia" w:ascii="宋体" w:hAnsi="宋体" w:cs="宋体"/>
                <w:sz w:val="24"/>
                <w:szCs w:val="24"/>
                <w:highlight w:val="none"/>
              </w:rPr>
              <w:t>投标文件加密打包的电脑     自有    □      外包    □     其他    □</w:t>
            </w:r>
          </w:p>
          <w:p w14:paraId="0C45B3E7">
            <w:pPr>
              <w:spacing w:after="120"/>
              <w:rPr>
                <w:rFonts w:ascii="宋体" w:hAnsi="宋体" w:cs="宋体"/>
                <w:sz w:val="24"/>
                <w:szCs w:val="24"/>
                <w:highlight w:val="none"/>
              </w:rPr>
            </w:pPr>
            <w:r>
              <w:rPr>
                <w:rFonts w:hint="eastAsia" w:ascii="宋体" w:hAnsi="宋体" w:cs="宋体"/>
                <w:sz w:val="24"/>
                <w:szCs w:val="24"/>
                <w:highlight w:val="none"/>
              </w:rPr>
              <w:t>电脑类型</w:t>
            </w:r>
          </w:p>
          <w:p w14:paraId="69135C23">
            <w:pPr>
              <w:spacing w:after="120"/>
              <w:rPr>
                <w:rFonts w:ascii="宋体" w:hAnsi="宋体" w:cs="宋体"/>
                <w:sz w:val="24"/>
                <w:szCs w:val="24"/>
                <w:highlight w:val="none"/>
              </w:rPr>
            </w:pPr>
            <w:r>
              <w:rPr>
                <w:rFonts w:hint="eastAsia" w:ascii="宋体" w:hAnsi="宋体" w:cs="宋体"/>
                <w:sz w:val="24"/>
                <w:szCs w:val="24"/>
                <w:highlight w:val="none"/>
              </w:rPr>
              <w:t>电脑所属单位</w:t>
            </w:r>
          </w:p>
          <w:p w14:paraId="26C2A5E6">
            <w:pPr>
              <w:spacing w:after="120"/>
              <w:rPr>
                <w:rFonts w:ascii="宋体" w:hAnsi="宋体" w:cs="宋体"/>
                <w:sz w:val="24"/>
                <w:szCs w:val="24"/>
                <w:highlight w:val="none"/>
              </w:rPr>
            </w:pPr>
            <w:r>
              <w:rPr>
                <w:rFonts w:hint="eastAsia" w:ascii="宋体" w:hAnsi="宋体" w:cs="宋体"/>
                <w:sz w:val="24"/>
                <w:szCs w:val="24"/>
                <w:highlight w:val="none"/>
              </w:rPr>
              <w:t>电脑所在地址    （如××市××区(县) ××街（路）××号××大厦××房）</w:t>
            </w:r>
          </w:p>
        </w:tc>
      </w:tr>
    </w:tbl>
    <w:p w14:paraId="3CC387B6">
      <w:pPr>
        <w:pStyle w:val="33"/>
        <w:ind w:left="840" w:hanging="420"/>
        <w:rPr>
          <w:rFonts w:ascii="宋体" w:hAnsi="宋体" w:cs="宋体"/>
          <w:highlight w:val="none"/>
        </w:rPr>
      </w:pPr>
    </w:p>
    <w:p w14:paraId="343A2C9B">
      <w:pPr>
        <w:rPr>
          <w:rFonts w:ascii="宋体" w:hAnsi="宋体" w:cs="宋体"/>
          <w:highlight w:val="none"/>
        </w:rPr>
      </w:pPr>
      <w:r>
        <w:rPr>
          <w:rFonts w:hint="eastAsia" w:ascii="宋体" w:hAnsi="宋体" w:cs="宋体"/>
          <w:highlight w:val="none"/>
        </w:rPr>
        <w:br w:type="page"/>
      </w:r>
    </w:p>
    <w:p w14:paraId="36CE07D5">
      <w:pPr>
        <w:pStyle w:val="2"/>
        <w:jc w:val="both"/>
        <w:rPr>
          <w:rFonts w:ascii="宋体" w:hAnsi="宋体" w:cs="宋体"/>
          <w:highlight w:val="none"/>
        </w:rPr>
      </w:pPr>
      <w:r>
        <w:rPr>
          <w:rFonts w:hint="eastAsia" w:ascii="宋体" w:hAnsi="宋体" w:cs="宋体"/>
          <w:highlight w:val="none"/>
        </w:rPr>
        <w:t>第五章  技术条件（工程建设标准）</w:t>
      </w:r>
      <w:bookmarkStart w:id="73" w:name="_Toc2272569"/>
    </w:p>
    <w:p w14:paraId="1A425AEA">
      <w:pPr>
        <w:pStyle w:val="2"/>
        <w:jc w:val="both"/>
        <w:rPr>
          <w:rFonts w:hint="eastAsia" w:ascii="宋体" w:hAnsi="宋体" w:cs="宋体"/>
          <w:highlight w:val="none"/>
        </w:rPr>
      </w:pPr>
      <w:r>
        <w:rPr>
          <w:rFonts w:hint="eastAsia" w:ascii="宋体" w:hAnsi="宋体" w:cs="宋体"/>
          <w:highlight w:val="none"/>
          <w:lang w:val="en-US" w:eastAsia="zh-CN"/>
        </w:rPr>
        <w:t>一、《</w:t>
      </w:r>
      <w:r>
        <w:rPr>
          <w:rFonts w:hint="eastAsia" w:ascii="宋体" w:hAnsi="宋体" w:cs="宋体"/>
          <w:highlight w:val="none"/>
        </w:rPr>
        <w:t>凯得雪松智汇中心智能化工程主要设备技术参数</w:t>
      </w:r>
      <w:r>
        <w:rPr>
          <w:rFonts w:hint="eastAsia" w:ascii="宋体" w:hAnsi="宋体" w:cs="宋体"/>
          <w:highlight w:val="none"/>
          <w:lang w:val="en-US" w:eastAsia="zh-CN"/>
        </w:rPr>
        <w:t>》（另册）</w:t>
      </w:r>
    </w:p>
    <w:p w14:paraId="6C8BB376">
      <w:pPr>
        <w:pStyle w:val="2"/>
        <w:jc w:val="both"/>
        <w:rPr>
          <w:rFonts w:hint="default" w:ascii="宋体" w:hAnsi="宋体" w:cs="宋体"/>
          <w:highlight w:val="none"/>
          <w:lang w:val="en-US" w:eastAsia="zh-CN"/>
        </w:rPr>
      </w:pPr>
      <w:r>
        <w:rPr>
          <w:rFonts w:hint="eastAsia" w:ascii="宋体" w:hAnsi="宋体" w:cs="宋体"/>
          <w:highlight w:val="none"/>
          <w:lang w:val="en-US" w:eastAsia="zh-CN"/>
        </w:rPr>
        <w:t>二、《主要材料推荐品牌表（智能化）西》（另册）</w:t>
      </w:r>
    </w:p>
    <w:p w14:paraId="418DAEBB">
      <w:pPr>
        <w:pStyle w:val="2"/>
        <w:rPr>
          <w:rFonts w:hint="eastAsia" w:ascii="宋体" w:hAnsi="宋体" w:cs="宋体"/>
          <w:highlight w:val="none"/>
          <w:lang w:val="en-US" w:eastAsia="zh-CN"/>
        </w:rPr>
      </w:pPr>
      <w:r>
        <w:rPr>
          <w:rFonts w:hint="eastAsia" w:ascii="宋体" w:hAnsi="宋体" w:cs="宋体"/>
          <w:highlight w:val="none"/>
          <w:lang w:val="en-US" w:eastAsia="zh-CN"/>
        </w:rPr>
        <w:t>三、施工现场建筑垃圾源头减量的具体要求和建筑垃圾综合利用产品的使用要求：</w:t>
      </w:r>
    </w:p>
    <w:p w14:paraId="6FC86699">
      <w:pPr>
        <w:pStyle w:val="2"/>
        <w:rPr>
          <w:rFonts w:hint="eastAsia" w:ascii="宋体" w:hAnsi="宋体" w:cs="宋体"/>
          <w:highlight w:val="none"/>
          <w:lang w:val="en-US" w:eastAsia="zh-CN"/>
        </w:rPr>
      </w:pPr>
      <w:r>
        <w:rPr>
          <w:rFonts w:hint="eastAsia" w:ascii="宋体" w:hAnsi="宋体" w:cs="宋体"/>
          <w:highlight w:val="none"/>
          <w:lang w:val="en-US" w:eastAsia="zh-CN"/>
        </w:rPr>
        <w:t>3.1工程施工单位应当编制建筑垃圾处理方案，采取污染防治措施，并在开工前报工程所在地县级人民政府建筑垃圾主管部门备案。建筑垃圾处理方案内容有调整的，应当及时报告接受备案的部门。建筑垃圾处理方案应当包括下列内容：（1）工程概况和施工单位基本信息；（2）建筑垃圾</w:t>
      </w:r>
      <w:bookmarkStart w:id="76" w:name="_GoBack"/>
      <w:bookmarkEnd w:id="76"/>
      <w:r>
        <w:rPr>
          <w:rFonts w:hint="eastAsia" w:ascii="宋体" w:hAnsi="宋体" w:cs="宋体"/>
          <w:highlight w:val="none"/>
          <w:lang w:val="en-US" w:eastAsia="zh-CN"/>
        </w:rPr>
        <w:t>产生量与种类；（3）建筑垃圾源头减量、分类收集、综合利用、污染防治的措施和目标；（4）需要外运的建筑垃圾种类、数量与运输的时间、路线、方式和运输单位；（5）建筑垃圾回填、消纳、综合利用场所名称；（6）法律、法规规定的其他内容。</w:t>
      </w:r>
    </w:p>
    <w:p w14:paraId="707E4A1B">
      <w:pPr>
        <w:pStyle w:val="2"/>
        <w:rPr>
          <w:rFonts w:hint="eastAsia" w:ascii="宋体" w:hAnsi="宋体" w:cs="宋体"/>
          <w:highlight w:val="none"/>
          <w:lang w:val="en-US" w:eastAsia="zh-CN"/>
        </w:rPr>
      </w:pPr>
      <w:r>
        <w:rPr>
          <w:rFonts w:hint="eastAsia" w:ascii="宋体" w:hAnsi="宋体" w:cs="宋体"/>
          <w:highlight w:val="none"/>
          <w:lang w:val="en-US" w:eastAsia="zh-CN"/>
        </w:rPr>
        <w:t>3.2建筑垃圾应当按照国家有关规定进行分类，实行分类收集、分类贮存、分类运输、分类处置。</w:t>
      </w:r>
    </w:p>
    <w:p w14:paraId="7F60B23D">
      <w:pPr>
        <w:pStyle w:val="2"/>
        <w:rPr>
          <w:rFonts w:ascii="宋体" w:hAnsi="宋体" w:cs="宋体"/>
          <w:highlight w:val="none"/>
        </w:rPr>
      </w:pPr>
      <w:r>
        <w:rPr>
          <w:rFonts w:hint="eastAsia" w:ascii="宋体" w:hAnsi="宋体" w:cs="宋体"/>
          <w:highlight w:val="none"/>
          <w:lang w:val="en-US" w:eastAsia="zh-CN"/>
        </w:rPr>
        <w:t>3.3施工单位应开展建筑垃圾分类和合法装载，并及时向工程所在地县级人民政府建筑垃圾主管部门报送建筑垃圾处理方案。施工单位应当建立建筑垃圾管理台账，分类收集、贮存和及时清运施工过程中产生的建筑垃圾，采取有效措施防止混合已分类的建筑垃圾。工程施工单位应当将建筑垃圾的产生量与种类、清运时间、最终去向等信息在施工现场公示，接受社会监督。</w:t>
      </w:r>
      <w:r>
        <w:rPr>
          <w:highlight w:val="none"/>
        </w:rPr>
        <w:br w:type="page"/>
      </w:r>
      <w:r>
        <w:rPr>
          <w:rFonts w:hint="eastAsia" w:ascii="宋体" w:hAnsi="宋体" w:cs="宋体"/>
          <w:highlight w:val="none"/>
        </w:rPr>
        <w:t>第六章  图纸及勘察资料</w:t>
      </w:r>
      <w:bookmarkEnd w:id="73"/>
    </w:p>
    <w:p w14:paraId="3BA2D46F">
      <w:pPr>
        <w:jc w:val="center"/>
        <w:rPr>
          <w:rFonts w:ascii="宋体" w:hAnsi="宋体" w:cs="宋体"/>
          <w:b/>
          <w:sz w:val="24"/>
          <w:szCs w:val="24"/>
          <w:highlight w:val="none"/>
        </w:rPr>
      </w:pPr>
      <w:r>
        <w:rPr>
          <w:rFonts w:hint="eastAsia" w:ascii="宋体" w:hAnsi="宋体" w:cs="宋体"/>
          <w:sz w:val="24"/>
          <w:szCs w:val="24"/>
          <w:highlight w:val="none"/>
        </w:rPr>
        <w:t>另册。</w:t>
      </w:r>
    </w:p>
    <w:p w14:paraId="70BC6CFB">
      <w:pPr>
        <w:pStyle w:val="2"/>
        <w:rPr>
          <w:rFonts w:ascii="宋体" w:hAnsi="宋体" w:cs="宋体"/>
          <w:highlight w:val="none"/>
        </w:rPr>
      </w:pPr>
      <w:r>
        <w:rPr>
          <w:rFonts w:hint="eastAsia" w:ascii="宋体" w:hAnsi="宋体" w:cs="宋体"/>
          <w:sz w:val="24"/>
          <w:szCs w:val="24"/>
          <w:highlight w:val="none"/>
        </w:rPr>
        <w:br w:type="page"/>
      </w:r>
      <w:bookmarkStart w:id="74" w:name="_Toc2272570"/>
      <w:r>
        <w:rPr>
          <w:rFonts w:hint="eastAsia" w:ascii="宋体" w:hAnsi="宋体" w:cs="宋体"/>
          <w:highlight w:val="none"/>
        </w:rPr>
        <w:t>第七章  工程量清单</w:t>
      </w:r>
      <w:bookmarkEnd w:id="74"/>
    </w:p>
    <w:p w14:paraId="07ADBE0A">
      <w:pPr>
        <w:jc w:val="center"/>
        <w:rPr>
          <w:rFonts w:ascii="宋体" w:hAnsi="宋体" w:cs="宋体"/>
          <w:szCs w:val="21"/>
          <w:highlight w:val="none"/>
        </w:rPr>
      </w:pPr>
      <w:r>
        <w:rPr>
          <w:rFonts w:hint="eastAsia" w:ascii="宋体" w:hAnsi="宋体" w:cs="宋体"/>
          <w:szCs w:val="21"/>
          <w:highlight w:val="none"/>
        </w:rPr>
        <w:t>另册。</w:t>
      </w:r>
    </w:p>
    <w:p w14:paraId="2F604BFE">
      <w:pPr>
        <w:pStyle w:val="2"/>
        <w:rPr>
          <w:rFonts w:ascii="宋体" w:hAnsi="宋体" w:cs="宋体"/>
          <w:highlight w:val="none"/>
        </w:rPr>
      </w:pPr>
      <w:r>
        <w:rPr>
          <w:rFonts w:hint="eastAsia" w:ascii="宋体" w:hAnsi="宋体" w:cs="宋体"/>
          <w:sz w:val="24"/>
          <w:szCs w:val="24"/>
          <w:highlight w:val="none"/>
        </w:rPr>
        <w:br w:type="page"/>
      </w:r>
      <w:bookmarkStart w:id="75" w:name="_Toc2272571"/>
      <w:r>
        <w:rPr>
          <w:rFonts w:hint="eastAsia" w:ascii="宋体" w:hAnsi="宋体" w:cs="宋体"/>
          <w:highlight w:val="none"/>
        </w:rPr>
        <w:t>第八章  最高投标限价</w:t>
      </w:r>
      <w:bookmarkEnd w:id="75"/>
    </w:p>
    <w:p w14:paraId="1C501842">
      <w:pPr>
        <w:autoSpaceDE w:val="0"/>
        <w:autoSpaceDN w:val="0"/>
        <w:adjustRightInd w:val="0"/>
        <w:jc w:val="center"/>
        <w:rPr>
          <w:highlight w:val="none"/>
        </w:rPr>
      </w:pPr>
      <w:r>
        <w:rPr>
          <w:rFonts w:hint="eastAsia" w:ascii="宋体" w:hAnsi="宋体" w:cs="宋体"/>
          <w:szCs w:val="21"/>
          <w:highlight w:val="none"/>
        </w:rPr>
        <w:t>另册</w:t>
      </w:r>
    </w:p>
    <w:sectPr>
      <w:footerReference r:id="rId14" w:type="default"/>
      <w:pgSz w:w="11906" w:h="16838"/>
      <w:pgMar w:top="720" w:right="890" w:bottom="720" w:left="89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MingLiU">
    <w:altName w:val="PMingLiU-ExtB"/>
    <w:panose1 w:val="02010609000101010101"/>
    <w:charset w:val="88"/>
    <w:family w:val="modern"/>
    <w:pitch w:val="default"/>
    <w:sig w:usb0="00000000" w:usb1="00000000" w:usb2="00000010" w:usb3="00000000" w:csb0="00100000" w:csb1="00000000"/>
  </w:font>
  <w:font w:name="Tahoma">
    <w:panose1 w:val="020B0604030504040204"/>
    <w:charset w:val="00"/>
    <w:family w:val="swiss"/>
    <w:pitch w:val="default"/>
    <w:sig w:usb0="E1002EFF" w:usb1="C000605B" w:usb2="00000029" w:usb3="00000000" w:csb0="200101FF" w:csb1="20280000"/>
  </w:font>
  <w:font w:name="Helvetica Neue">
    <w:altName w:val="Segoe UI"/>
    <w:panose1 w:val="00000000000000000000"/>
    <w:charset w:val="00"/>
    <w:family w:val="auto"/>
    <w:pitch w:val="default"/>
    <w:sig w:usb0="00000000" w:usb1="00000000" w:usb2="00000010" w:usb3="00000000" w:csb0="00000000"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DejaVu Sans">
    <w:altName w:val="Courier New"/>
    <w:panose1 w:val="00000000000000000000"/>
    <w:charset w:val="00"/>
    <w:family w:val="roman"/>
    <w:pitch w:val="default"/>
    <w:sig w:usb0="00000000" w:usb1="00000000" w:usb2="00000008" w:usb3="00000000" w:csb0="000001FF" w:csb1="00000000"/>
  </w:font>
  <w:font w:name="Calisto MT">
    <w:altName w:val="Segoe Print"/>
    <w:panose1 w:val="02040603050505030304"/>
    <w:charset w:val="00"/>
    <w:family w:val="roman"/>
    <w:pitch w:val="default"/>
    <w:sig w:usb0="00000000"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auto"/>
    <w:pitch w:val="default"/>
    <w:sig w:usb0="00000000" w:usb1="00000000" w:usb2="00000010" w:usb3="00000000" w:csb0="00100000" w:csb1="00000000"/>
  </w:font>
  <w:font w:name="新宋体">
    <w:panose1 w:val="02010609030101010101"/>
    <w:charset w:val="86"/>
    <w:family w:val="modern"/>
    <w:pitch w:val="default"/>
    <w:sig w:usb0="00000203" w:usb1="288F0000" w:usb2="0000000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B2B0A">
    <w:pPr>
      <w:pStyle w:val="3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09550" cy="168910"/>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09550" cy="168910"/>
                      </a:xfrm>
                      <a:prstGeom prst="rect">
                        <a:avLst/>
                      </a:prstGeom>
                      <a:noFill/>
                      <a:ln>
                        <a:noFill/>
                      </a:ln>
                      <a:effectLst/>
                    </wps:spPr>
                    <wps:txbx>
                      <w:txbxContent>
                        <w:p w14:paraId="322B81FF">
                          <w:pPr>
                            <w:pStyle w:val="33"/>
                            <w:jc w:val="center"/>
                          </w:pPr>
                          <w:r>
                            <w:fldChar w:fldCharType="begin"/>
                          </w:r>
                          <w:r>
                            <w:instrText xml:space="preserve">PAGE   \* MERGEFORMAT</w:instrText>
                          </w:r>
                          <w:r>
                            <w:fldChar w:fldCharType="separate"/>
                          </w:r>
                          <w:r>
                            <w:rPr>
                              <w:lang w:val="zh-CN"/>
                            </w:rPr>
                            <w:t>2</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pt;height:13.3pt;width:16.5pt;mso-position-horizontal:center;mso-position-horizontal-relative:margin;z-index:251661312;mso-width-relative:page;mso-height-relative:page;" filled="f" stroked="f" coordsize="21600,21600" o:gfxdata="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i1P9s0wAAAAMBAAAPAAAAAAAAAAEAIAAA&#10;ACIAAABkcnMvZG93bnJldi54bWxQSwECFAAUAAAACACHTuJA7cSo5xECAAASBAAADgAAAAAAAAAB&#10;ACAAAAAiAQAAZHJzL2Uyb0RvYy54bWxQSwUGAAAAAAYABgBZAQAApQUAAAAA&#10;">
              <v:fill on="f" focussize="0,0"/>
              <v:stroke on="f"/>
              <v:imagedata o:title=""/>
              <o:lock v:ext="edit" aspectratio="f"/>
              <v:textbox inset="0mm,0mm,0mm,0mm">
                <w:txbxContent>
                  <w:p w14:paraId="322B81FF">
                    <w:pPr>
                      <w:pStyle w:val="33"/>
                      <w:jc w:val="center"/>
                    </w:pPr>
                    <w:r>
                      <w:fldChar w:fldCharType="begin"/>
                    </w:r>
                    <w:r>
                      <w:instrText xml:space="preserve">PAGE   \* MERGEFORMAT</w:instrText>
                    </w:r>
                    <w:r>
                      <w:fldChar w:fldCharType="separate"/>
                    </w:r>
                    <w:r>
                      <w:rPr>
                        <w:lang w:val="zh-CN"/>
                      </w:rPr>
                      <w:t>2</w:t>
                    </w:r>
                    <w:r>
                      <w:fldChar w:fldCharType="end"/>
                    </w:r>
                  </w:p>
                </w:txbxContent>
              </v:textbox>
            </v:shape>
          </w:pict>
        </mc:Fallback>
      </mc:AlternateContent>
    </w:r>
  </w:p>
  <w:p w14:paraId="3A6EDB8D">
    <w:pPr>
      <w:pStyle w:val="3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24F16">
    <w:pPr>
      <w:pStyle w:val="3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6205" cy="139700"/>
              <wp:effectExtent l="0" t="0" r="0" b="0"/>
              <wp:wrapNone/>
              <wp:docPr id="6"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4CB89F8E">
                          <w:pPr>
                            <w:pStyle w:val="33"/>
                          </w:pPr>
                          <w:r>
                            <w:fldChar w:fldCharType="begin"/>
                          </w:r>
                          <w:r>
                            <w:instrText xml:space="preserve"> PAGE  \* MERGEFORMAT </w:instrText>
                          </w:r>
                          <w:r>
                            <w:fldChar w:fldCharType="separate"/>
                          </w:r>
                          <w:r>
                            <w:t>48</w:t>
                          </w:r>
                          <w:r>
                            <w:fldChar w:fldCharType="end"/>
                          </w:r>
                        </w:p>
                      </w:txbxContent>
                    </wps:txbx>
                    <wps:bodyPr rot="0" vert="horz" wrap="none" lIns="0" tIns="0" rIns="0" bIns="0" anchor="t" anchorCtr="0" upright="1">
                      <a:spAutoFit/>
                    </wps:bodyPr>
                  </wps:wsp>
                </a:graphicData>
              </a:graphic>
            </wp:anchor>
          </w:drawing>
        </mc:Choice>
        <mc:Fallback>
          <w:pict>
            <v:shape id="文本框 8" o:spid="_x0000_s1026" o:spt="202" type="#_x0000_t202" style="position:absolute;left:0pt;margin-top:0pt;height:11pt;width:9.15pt;mso-position-horizontal:center;mso-position-horizontal-relative:margin;mso-wrap-style:none;z-index:251662336;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KHIy+wPAgAAEAQAAA4AAAAAAAAAAQAgAAAA&#10;HwEAAGRycy9lMm9Eb2MueG1sUEsFBgAAAAAGAAYAWQEAAKAFAAAAAA==&#10;">
              <v:fill on="f" focussize="0,0"/>
              <v:stroke on="f"/>
              <v:imagedata o:title=""/>
              <o:lock v:ext="edit" aspectratio="f"/>
              <v:textbox inset="0mm,0mm,0mm,0mm" style="mso-fit-shape-to-text:t;">
                <w:txbxContent>
                  <w:p w14:paraId="4CB89F8E">
                    <w:pPr>
                      <w:pStyle w:val="33"/>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3ABC8">
    <w:pPr>
      <w:pStyle w:val="33"/>
      <w:ind w:right="360" w:firstLine="36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262890"/>
              <wp:effectExtent l="0" t="0" r="0" b="0"/>
              <wp:wrapNone/>
              <wp:docPr id="43" name="文本框 43"/>
              <wp:cNvGraphicFramePr/>
              <a:graphic xmlns:a="http://schemas.openxmlformats.org/drawingml/2006/main">
                <a:graphicData uri="http://schemas.microsoft.com/office/word/2010/wordprocessingShape">
                  <wps:wsp>
                    <wps:cNvSpPr txBox="1">
                      <a:spLocks noChangeArrowheads="1"/>
                    </wps:cNvSpPr>
                    <wps:spPr bwMode="auto">
                      <a:xfrm>
                        <a:off x="0" y="0"/>
                        <a:ext cx="114935" cy="262890"/>
                      </a:xfrm>
                      <a:prstGeom prst="rect">
                        <a:avLst/>
                      </a:prstGeom>
                      <a:noFill/>
                      <a:ln>
                        <a:noFill/>
                      </a:ln>
                      <a:effectLst/>
                    </wps:spPr>
                    <wps:txbx>
                      <w:txbxContent>
                        <w:p w14:paraId="5708E2C7">
                          <w:pPr>
                            <w:pStyle w:val="33"/>
                            <w:jc w:val="center"/>
                            <w:rPr>
                              <w:rStyle w:val="56"/>
                            </w:rPr>
                          </w:pPr>
                          <w:r>
                            <w:fldChar w:fldCharType="begin"/>
                          </w:r>
                          <w:r>
                            <w:rPr>
                              <w:rStyle w:val="56"/>
                            </w:rPr>
                            <w:instrText xml:space="preserve">PAGE  </w:instrText>
                          </w:r>
                          <w:r>
                            <w:fldChar w:fldCharType="separate"/>
                          </w:r>
                          <w:r>
                            <w:rPr>
                              <w:rStyle w:val="56"/>
                            </w:rPr>
                            <w:t>52</w:t>
                          </w:r>
                          <w:r>
                            <w:fldChar w:fldCharType="end"/>
                          </w:r>
                        </w:p>
                        <w:p w14:paraId="0AF0DF03">
                          <w:pPr>
                            <w:pStyle w:val="33"/>
                            <w:ind w:left="-4410" w:leftChars="-2100" w:right="-4439" w:rightChars="-2114"/>
                            <w:rPr>
                              <w:rStyle w:val="56"/>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0.7pt;width:9.05pt;mso-position-horizontal:center;mso-position-horizontal-relative:margin;mso-wrap-style:none;z-index:251663360;mso-width-relative:page;mso-height-relative:page;" filled="f" stroked="f" coordsize="21600,21600" o:gfxdata="UEsDBAoAAAAAAIdO4kAAAAAAAAAAAAAAAAAEAAAAZHJzL1BLAwQUAAAACACHTuJAal1yed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qXXJ50AAAAAMBAAAPAAAAAAAAAAEAIAAAACIA&#10;AABkcnMvZG93bnJldi54bWxQSwECFAAUAAAACACHTuJAGkP+AxECAAASBAAADgAAAAAAAAABACAA&#10;AAAfAQAAZHJzL2Uyb0RvYy54bWxQSwUGAAAAAAYABgBZAQAAogUAAAAA&#10;">
              <v:fill on="f" focussize="0,0"/>
              <v:stroke on="f"/>
              <v:imagedata o:title=""/>
              <o:lock v:ext="edit" aspectratio="f"/>
              <v:textbox inset="0mm,0mm,0mm,0mm" style="mso-fit-shape-to-text:t;">
                <w:txbxContent>
                  <w:p w14:paraId="5708E2C7">
                    <w:pPr>
                      <w:pStyle w:val="33"/>
                      <w:jc w:val="center"/>
                      <w:rPr>
                        <w:rStyle w:val="56"/>
                      </w:rPr>
                    </w:pPr>
                    <w:r>
                      <w:fldChar w:fldCharType="begin"/>
                    </w:r>
                    <w:r>
                      <w:rPr>
                        <w:rStyle w:val="56"/>
                      </w:rPr>
                      <w:instrText xml:space="preserve">PAGE  </w:instrText>
                    </w:r>
                    <w:r>
                      <w:fldChar w:fldCharType="separate"/>
                    </w:r>
                    <w:r>
                      <w:rPr>
                        <w:rStyle w:val="56"/>
                      </w:rPr>
                      <w:t>52</w:t>
                    </w:r>
                    <w:r>
                      <w:fldChar w:fldCharType="end"/>
                    </w:r>
                  </w:p>
                  <w:p w14:paraId="0AF0DF03">
                    <w:pPr>
                      <w:pStyle w:val="33"/>
                      <w:ind w:left="-4410" w:leftChars="-2100" w:right="-4439" w:rightChars="-2114"/>
                      <w:rPr>
                        <w:rStyle w:val="56"/>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9A2B6">
    <w:pPr>
      <w:pStyle w:val="33"/>
      <w:framePr w:wrap="around" w:vAnchor="text" w:hAnchor="margin" w:xAlign="outside" w:y="1"/>
      <w:rPr>
        <w:rStyle w:val="56"/>
      </w:rPr>
    </w:pPr>
    <w:r>
      <w:fldChar w:fldCharType="begin"/>
    </w:r>
    <w:r>
      <w:rPr>
        <w:rStyle w:val="56"/>
      </w:rPr>
      <w:instrText xml:space="preserve">PAGE  </w:instrText>
    </w:r>
    <w:r>
      <w:fldChar w:fldCharType="separate"/>
    </w:r>
    <w:r>
      <w:rPr>
        <w:rStyle w:val="56"/>
        <w:rFonts w:hint="eastAsia"/>
      </w:rPr>
      <w:t>一</w:t>
    </w:r>
    <w:r>
      <w:rPr>
        <w:rStyle w:val="56"/>
      </w:rPr>
      <w:t>–2</w:t>
    </w:r>
    <w:r>
      <w:fldChar w:fldCharType="end"/>
    </w:r>
  </w:p>
  <w:p w14:paraId="0163EFFF">
    <w:pPr>
      <w:pStyle w:val="33"/>
      <w:ind w:right="360" w:firstLine="360"/>
      <w:jc w:val="center"/>
    </w:pPr>
    <w:r>
      <w:rPr>
        <w:sz w:val="2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6EBDB">
    <w:pPr>
      <w:pStyle w:val="33"/>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33" name="文本框 3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4FFE8F2F">
                          <w:pPr>
                            <w:pStyle w:val="33"/>
                            <w:jc w:val="center"/>
                          </w:pPr>
                          <w:r>
                            <w:fldChar w:fldCharType="begin"/>
                          </w:r>
                          <w:r>
                            <w:rPr>
                              <w:rStyle w:val="56"/>
                            </w:rPr>
                            <w:instrText xml:space="preserve"> PAGE </w:instrText>
                          </w:r>
                          <w:r>
                            <w:fldChar w:fldCharType="separate"/>
                          </w:r>
                          <w:r>
                            <w:rPr>
                              <w:rStyle w:val="56"/>
                            </w:rPr>
                            <w:t>51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PlfknQAAAAAwEAAA8AAAAAAAAAAQAgAAAAIgAA&#10;AGRycy9kb3ducmV2LnhtbFBLAQIUABQAAAAIAIdO4kBdYtnqEAIAABIEAAAOAAAAAAAAAAEAIAAA&#10;AB8BAABkcnMvZTJvRG9jLnhtbFBLBQYAAAAABgAGAFkBAAChBQAAAAA=&#10;">
              <v:fill on="f" focussize="0,0"/>
              <v:stroke on="f"/>
              <v:imagedata o:title=""/>
              <o:lock v:ext="edit" aspectratio="f"/>
              <v:textbox inset="0mm,0mm,0mm,0mm" style="mso-fit-shape-to-text:t;">
                <w:txbxContent>
                  <w:p w14:paraId="4FFE8F2F">
                    <w:pPr>
                      <w:pStyle w:val="33"/>
                      <w:jc w:val="center"/>
                    </w:pPr>
                    <w:r>
                      <w:fldChar w:fldCharType="begin"/>
                    </w:r>
                    <w:r>
                      <w:rPr>
                        <w:rStyle w:val="56"/>
                      </w:rPr>
                      <w:instrText xml:space="preserve"> PAGE </w:instrText>
                    </w:r>
                    <w:r>
                      <w:fldChar w:fldCharType="separate"/>
                    </w:r>
                    <w:r>
                      <w:rPr>
                        <w:rStyle w:val="56"/>
                      </w:rPr>
                      <w:t>51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0A67A">
    <w:pPr>
      <w:pStyle w:val="3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2"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2FD68B45">
                          <w:pPr>
                            <w:pStyle w:val="33"/>
                            <w:jc w:val="center"/>
                          </w:pPr>
                          <w:r>
                            <w:fldChar w:fldCharType="begin"/>
                          </w:r>
                          <w:r>
                            <w:instrText xml:space="preserve"> PAGE   \* MERGEFORMAT </w:instrText>
                          </w:r>
                          <w:r>
                            <w:fldChar w:fldCharType="separate"/>
                          </w:r>
                          <w:r>
                            <w:t>64</w:t>
                          </w:r>
                          <w:r>
                            <w:fldChar w:fldCharType="end"/>
                          </w:r>
                        </w:p>
                      </w:txbxContent>
                    </wps:txbx>
                    <wps:bodyPr rot="0" vert="horz" wrap="none" lIns="0" tIns="0" rIns="0" bIns="0" anchor="t" anchorCtr="0" upright="1">
                      <a:spAutoFit/>
                    </wps:bodyPr>
                  </wps:wsp>
                </a:graphicData>
              </a:graphic>
            </wp:anchor>
          </w:drawing>
        </mc:Choice>
        <mc:Fallback>
          <w:pict>
            <v:shape id="文本框 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&#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LpYU0AAAAAMBAAAPAAAAAAAAAAEAIAAAACIAAABk&#10;cnMvZG93bnJldi54bWxQSwECFAAUAAAACACHTuJAM0lXwQ4CAAAQBAAADgAAAAAAAAABACAAAAAf&#10;AQAAZHJzL2Uyb0RvYy54bWxQSwUGAAAAAAYABgBZAQAAnwUAAAAA&#10;">
              <v:fill on="f" focussize="0,0"/>
              <v:stroke on="f"/>
              <v:imagedata o:title=""/>
              <o:lock v:ext="edit" aspectratio="f"/>
              <v:textbox inset="0mm,0mm,0mm,0mm" style="mso-fit-shape-to-text:t;">
                <w:txbxContent>
                  <w:p w14:paraId="2FD68B45">
                    <w:pPr>
                      <w:pStyle w:val="33"/>
                      <w:jc w:val="center"/>
                    </w:pPr>
                    <w:r>
                      <w:fldChar w:fldCharType="begin"/>
                    </w:r>
                    <w:r>
                      <w:instrText xml:space="preserve"> PAGE   \* MERGEFORMAT </w:instrText>
                    </w:r>
                    <w:r>
                      <w:fldChar w:fldCharType="separate"/>
                    </w:r>
                    <w:r>
                      <w:t>64</w:t>
                    </w:r>
                    <w:r>
                      <w:fldChar w:fldCharType="end"/>
                    </w:r>
                  </w:p>
                </w:txbxContent>
              </v:textbox>
            </v:shape>
          </w:pict>
        </mc:Fallback>
      </mc:AlternateContent>
    </w:r>
  </w:p>
  <w:p w14:paraId="375F59FB">
    <w:pPr>
      <w:pStyle w:val="3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E726E">
    <w:pPr>
      <w:pStyle w:val="3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35255" cy="162560"/>
              <wp:effectExtent l="0" t="0" r="0" b="0"/>
              <wp:wrapNone/>
              <wp:docPr id="1"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35255" cy="162560"/>
                      </a:xfrm>
                      <a:prstGeom prst="rect">
                        <a:avLst/>
                      </a:prstGeom>
                      <a:noFill/>
                      <a:ln>
                        <a:noFill/>
                      </a:ln>
                      <a:effectLst/>
                    </wps:spPr>
                    <wps:txbx>
                      <w:txbxContent>
                        <w:p w14:paraId="0C750CF7">
                          <w:pPr>
                            <w:pStyle w:val="33"/>
                          </w:pPr>
                          <w:r>
                            <w:rPr>
                              <w:sz w:val="21"/>
                              <w:szCs w:val="21"/>
                            </w:rPr>
                            <w:fldChar w:fldCharType="begin"/>
                          </w:r>
                          <w:r>
                            <w:rPr>
                              <w:sz w:val="21"/>
                              <w:szCs w:val="21"/>
                            </w:rPr>
                            <w:instrText xml:space="preserve"> PAGE  \* MERGEFORMAT </w:instrText>
                          </w:r>
                          <w:r>
                            <w:rPr>
                              <w:sz w:val="21"/>
                              <w:szCs w:val="21"/>
                            </w:rPr>
                            <w:fldChar w:fldCharType="separate"/>
                          </w:r>
                          <w:r>
                            <w:rPr>
                              <w:sz w:val="21"/>
                              <w:szCs w:val="21"/>
                            </w:rPr>
                            <w:t>69</w:t>
                          </w:r>
                          <w:r>
                            <w:rPr>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2.8pt;width:10.65pt;mso-position-horizontal:center;mso-position-horizontal-relative:margin;mso-wrap-style:none;z-index:251660288;mso-width-relative:page;mso-height-relative:page;" filled="f" stroked="f" coordsize="21600,21600" o:gfxdata="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RzB0QAAAAMBAAAPAAAAAAAAAAEAIAAAACIAAABk&#10;cnMvZG93bnJldi54bWxQSwECFAAUAAAACACHTuJA/8OxuQ0CAAAQBAAADgAAAAAAAAABACAAAAAg&#10;AQAAZHJzL2Uyb0RvYy54bWxQSwUGAAAAAAYABgBZAQAAnwUAAAAA&#10;">
              <v:fill on="f" focussize="0,0"/>
              <v:stroke on="f"/>
              <v:imagedata o:title=""/>
              <o:lock v:ext="edit" aspectratio="f"/>
              <v:textbox inset="0mm,0mm,0mm,0mm" style="mso-fit-shape-to-text:t;">
                <w:txbxContent>
                  <w:p w14:paraId="0C750CF7">
                    <w:pPr>
                      <w:pStyle w:val="33"/>
                    </w:pPr>
                    <w:r>
                      <w:rPr>
                        <w:sz w:val="21"/>
                        <w:szCs w:val="21"/>
                      </w:rPr>
                      <w:fldChar w:fldCharType="begin"/>
                    </w:r>
                    <w:r>
                      <w:rPr>
                        <w:sz w:val="21"/>
                        <w:szCs w:val="21"/>
                      </w:rPr>
                      <w:instrText xml:space="preserve"> PAGE  \* MERGEFORMAT </w:instrText>
                    </w:r>
                    <w:r>
                      <w:rPr>
                        <w:sz w:val="21"/>
                        <w:szCs w:val="21"/>
                      </w:rPr>
                      <w:fldChar w:fldCharType="separate"/>
                    </w:r>
                    <w:r>
                      <w:rPr>
                        <w:sz w:val="21"/>
                        <w:szCs w:val="21"/>
                      </w:rPr>
                      <w:t>69</w:t>
                    </w:r>
                    <w:r>
                      <w:rPr>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EE070">
    <w:pPr>
      <w:pStyle w:val="27"/>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11C0E">
    <w:pPr>
      <w:pStyle w:val="27"/>
      <w:jc w:val="right"/>
      <w:rPr>
        <w:i/>
        <w:iCs/>
      </w:rPr>
    </w:pPr>
    <w:r>
      <w:rPr>
        <w:rFonts w:hint="eastAsia"/>
        <w:i/>
        <w:iCs/>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FBABA">
    <w:pPr>
      <w:pStyle w:val="27"/>
      <w:pBdr>
        <w:bottom w:val="none" w:color="auto" w:sz="0" w:space="0"/>
      </w:pBdr>
      <w:jc w:val="right"/>
      <w:rPr>
        <w:i/>
        <w:i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F8BFD">
    <w:pPr>
      <w:pStyle w:val="2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127AB">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A3A95B"/>
    <w:multiLevelType w:val="singleLevel"/>
    <w:tmpl w:val="BDA3A95B"/>
    <w:lvl w:ilvl="0" w:tentative="0">
      <w:start w:val="2"/>
      <w:numFmt w:val="decimal"/>
      <w:suff w:val="nothing"/>
      <w:lvlText w:val="%1、"/>
      <w:lvlJc w:val="left"/>
    </w:lvl>
  </w:abstractNum>
  <w:abstractNum w:abstractNumId="1">
    <w:nsid w:val="00000004"/>
    <w:multiLevelType w:val="multilevel"/>
    <w:tmpl w:val="0000000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10"/>
    <w:multiLevelType w:val="multilevel"/>
    <w:tmpl w:val="00000010"/>
    <w:lvl w:ilvl="0" w:tentative="0">
      <w:start w:val="1"/>
      <w:numFmt w:val="decimal"/>
      <w:lvlText w:val="（%1）"/>
      <w:lvlJc w:val="left"/>
      <w:pPr>
        <w:ind w:left="1080" w:hanging="720"/>
      </w:pPr>
      <w:rPr>
        <w:rFonts w:hint="default"/>
        <w:color w:val="00000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0MDM3YTkzYzliYWFlZTFiZDczYmM5Zjk3N2ZlZjcifQ=="/>
  </w:docVars>
  <w:rsids>
    <w:rsidRoot w:val="00AE1EA8"/>
    <w:rsid w:val="003305E6"/>
    <w:rsid w:val="00510920"/>
    <w:rsid w:val="00AE1EA8"/>
    <w:rsid w:val="00D247A2"/>
    <w:rsid w:val="171A65D5"/>
    <w:rsid w:val="1A290BA0"/>
    <w:rsid w:val="36783D35"/>
    <w:rsid w:val="50454C9E"/>
    <w:rsid w:val="565B2F56"/>
    <w:rsid w:val="61BD20E1"/>
    <w:rsid w:val="64060D42"/>
    <w:rsid w:val="79275C82"/>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63"/>
    <w:qFormat/>
    <w:uiPriority w:val="0"/>
    <w:pPr>
      <w:keepNext/>
      <w:keepLines/>
      <w:spacing w:after="120" w:line="360" w:lineRule="auto"/>
      <w:jc w:val="left"/>
      <w:outlineLvl w:val="0"/>
    </w:pPr>
    <w:rPr>
      <w:rFonts w:ascii="Arial" w:hAnsi="Arial"/>
      <w:b/>
      <w:kern w:val="44"/>
      <w:sz w:val="28"/>
      <w:szCs w:val="28"/>
    </w:rPr>
  </w:style>
  <w:style w:type="paragraph" w:styleId="3">
    <w:name w:val="heading 2"/>
    <w:basedOn w:val="1"/>
    <w:next w:val="1"/>
    <w:link w:val="64"/>
    <w:qFormat/>
    <w:uiPriority w:val="0"/>
    <w:pPr>
      <w:keepNext/>
      <w:keepLines/>
      <w:spacing w:before="120" w:after="120" w:line="415" w:lineRule="auto"/>
      <w:ind w:left="454"/>
      <w:jc w:val="center"/>
      <w:outlineLvl w:val="1"/>
    </w:pPr>
    <w:rPr>
      <w:rFonts w:ascii="Arial" w:hAnsi="Arial"/>
      <w:b/>
      <w:color w:val="000000"/>
      <w:kern w:val="0"/>
      <w:sz w:val="24"/>
      <w:szCs w:val="24"/>
    </w:rPr>
  </w:style>
  <w:style w:type="paragraph" w:styleId="4">
    <w:name w:val="heading 3"/>
    <w:basedOn w:val="1"/>
    <w:next w:val="1"/>
    <w:link w:val="65"/>
    <w:qFormat/>
    <w:uiPriority w:val="0"/>
    <w:pPr>
      <w:widowControl/>
      <w:spacing w:before="100" w:beforeAutospacing="1" w:after="100" w:afterAutospacing="1"/>
      <w:jc w:val="left"/>
      <w:outlineLvl w:val="2"/>
    </w:pPr>
    <w:rPr>
      <w:rFonts w:ascii="宋体" w:hAnsi="宋体"/>
      <w:kern w:val="0"/>
      <w:sz w:val="27"/>
      <w:szCs w:val="27"/>
    </w:rPr>
  </w:style>
  <w:style w:type="paragraph" w:styleId="5">
    <w:name w:val="heading 4"/>
    <w:basedOn w:val="4"/>
    <w:next w:val="6"/>
    <w:link w:val="66"/>
    <w:qFormat/>
    <w:uiPriority w:val="0"/>
    <w:pPr>
      <w:keepNext/>
      <w:keepLines/>
      <w:widowControl w:val="0"/>
      <w:spacing w:beforeLines="50" w:beforeAutospacing="0" w:afterLines="50" w:afterAutospacing="0" w:line="360" w:lineRule="auto"/>
      <w:ind w:left="284" w:hanging="284"/>
      <w:outlineLvl w:val="3"/>
    </w:pPr>
    <w:rPr>
      <w:rFonts w:ascii="Arial" w:hAnsi="Arial"/>
      <w:color w:val="000000"/>
      <w:sz w:val="20"/>
      <w:szCs w:val="21"/>
    </w:rPr>
  </w:style>
  <w:style w:type="paragraph" w:styleId="7">
    <w:name w:val="heading 5"/>
    <w:basedOn w:val="5"/>
    <w:next w:val="6"/>
    <w:link w:val="67"/>
    <w:qFormat/>
    <w:uiPriority w:val="0"/>
    <w:pPr>
      <w:spacing w:line="240" w:lineRule="exact"/>
      <w:outlineLvl w:val="4"/>
    </w:pPr>
  </w:style>
  <w:style w:type="paragraph" w:styleId="8">
    <w:name w:val="heading 6"/>
    <w:basedOn w:val="1"/>
    <w:next w:val="1"/>
    <w:link w:val="68"/>
    <w:qFormat/>
    <w:uiPriority w:val="0"/>
    <w:pPr>
      <w:keepNext/>
      <w:keepLines/>
      <w:spacing w:before="240" w:after="64" w:line="320" w:lineRule="auto"/>
      <w:outlineLvl w:val="5"/>
    </w:pPr>
    <w:rPr>
      <w:rFonts w:ascii="Arial" w:hAnsi="Arial" w:eastAsia="黑体"/>
      <w:b/>
      <w:bCs/>
      <w:kern w:val="0"/>
      <w:sz w:val="24"/>
      <w:szCs w:val="24"/>
    </w:rPr>
  </w:style>
  <w:style w:type="paragraph" w:styleId="9">
    <w:name w:val="heading 7"/>
    <w:basedOn w:val="1"/>
    <w:next w:val="6"/>
    <w:link w:val="69"/>
    <w:qFormat/>
    <w:uiPriority w:val="0"/>
    <w:pPr>
      <w:keepNext/>
      <w:keepLines/>
      <w:spacing w:before="240" w:after="64" w:line="320" w:lineRule="auto"/>
      <w:outlineLvl w:val="6"/>
    </w:pPr>
    <w:rPr>
      <w:rFonts w:ascii="Times New Roman" w:hAnsi="Times New Roman"/>
      <w:b/>
      <w:kern w:val="0"/>
      <w:sz w:val="24"/>
      <w:szCs w:val="20"/>
    </w:rPr>
  </w:style>
  <w:style w:type="paragraph" w:styleId="10">
    <w:name w:val="heading 8"/>
    <w:basedOn w:val="1"/>
    <w:next w:val="6"/>
    <w:link w:val="70"/>
    <w:qFormat/>
    <w:uiPriority w:val="0"/>
    <w:pPr>
      <w:keepNext/>
      <w:keepLines/>
      <w:spacing w:before="240" w:after="64" w:line="320" w:lineRule="auto"/>
      <w:outlineLvl w:val="7"/>
    </w:pPr>
    <w:rPr>
      <w:rFonts w:ascii="Arial" w:hAnsi="Arial" w:eastAsia="黑体"/>
      <w:kern w:val="0"/>
      <w:sz w:val="24"/>
      <w:szCs w:val="20"/>
    </w:rPr>
  </w:style>
  <w:style w:type="paragraph" w:styleId="11">
    <w:name w:val="heading 9"/>
    <w:basedOn w:val="1"/>
    <w:next w:val="6"/>
    <w:link w:val="71"/>
    <w:qFormat/>
    <w:uiPriority w:val="0"/>
    <w:pPr>
      <w:keepNext/>
      <w:keepLines/>
      <w:spacing w:before="240" w:after="64" w:line="320" w:lineRule="auto"/>
      <w:outlineLvl w:val="8"/>
    </w:pPr>
    <w:rPr>
      <w:rFonts w:ascii="Arial" w:hAnsi="Arial" w:eastAsia="黑体"/>
      <w:kern w:val="0"/>
      <w:sz w:val="20"/>
      <w:szCs w:val="20"/>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62"/>
    <w:qFormat/>
    <w:uiPriority w:val="0"/>
    <w:pPr>
      <w:ind w:firstLine="420"/>
    </w:pPr>
    <w:rPr>
      <w:rFonts w:ascii="Times New Roman" w:hAnsi="Times New Roman"/>
      <w:szCs w:val="20"/>
    </w:rPr>
  </w:style>
  <w:style w:type="paragraph" w:styleId="12">
    <w:name w:val="toc 7"/>
    <w:basedOn w:val="1"/>
    <w:next w:val="1"/>
    <w:qFormat/>
    <w:uiPriority w:val="39"/>
    <w:pPr>
      <w:ind w:left="2520" w:leftChars="1200"/>
    </w:pPr>
  </w:style>
  <w:style w:type="paragraph" w:styleId="13">
    <w:name w:val="caption"/>
    <w:basedOn w:val="1"/>
    <w:next w:val="1"/>
    <w:qFormat/>
    <w:uiPriority w:val="0"/>
    <w:rPr>
      <w:rFonts w:ascii="Cambria" w:hAnsi="Cambria" w:eastAsia="黑体"/>
      <w:sz w:val="20"/>
      <w:szCs w:val="20"/>
    </w:rPr>
  </w:style>
  <w:style w:type="paragraph" w:styleId="14">
    <w:name w:val="List Bullet"/>
    <w:basedOn w:val="1"/>
    <w:qFormat/>
    <w:uiPriority w:val="0"/>
    <w:pPr>
      <w:tabs>
        <w:tab w:val="left" w:pos="360"/>
      </w:tabs>
      <w:ind w:left="360" w:hanging="360"/>
    </w:pPr>
    <w:rPr>
      <w:rFonts w:ascii="Times New Roman" w:hAnsi="Times New Roman" w:eastAsia="等线"/>
      <w:szCs w:val="24"/>
    </w:rPr>
  </w:style>
  <w:style w:type="paragraph" w:styleId="15">
    <w:name w:val="Document Map"/>
    <w:basedOn w:val="1"/>
    <w:link w:val="72"/>
    <w:qFormat/>
    <w:uiPriority w:val="0"/>
    <w:pPr>
      <w:shd w:val="clear" w:color="auto" w:fill="000080"/>
    </w:pPr>
    <w:rPr>
      <w:rFonts w:ascii="Times New Roman" w:hAnsi="Times New Roman"/>
      <w:kern w:val="0"/>
      <w:sz w:val="20"/>
      <w:szCs w:val="20"/>
    </w:rPr>
  </w:style>
  <w:style w:type="paragraph" w:styleId="16">
    <w:name w:val="annotation text"/>
    <w:basedOn w:val="1"/>
    <w:link w:val="73"/>
    <w:qFormat/>
    <w:uiPriority w:val="0"/>
    <w:pPr>
      <w:spacing w:line="360" w:lineRule="auto"/>
      <w:ind w:firstLine="523" w:firstLineChars="218"/>
      <w:jc w:val="left"/>
    </w:pPr>
    <w:rPr>
      <w:rFonts w:ascii="宋体" w:hAnsi="宋体"/>
      <w:kern w:val="0"/>
      <w:sz w:val="24"/>
      <w:szCs w:val="24"/>
    </w:rPr>
  </w:style>
  <w:style w:type="paragraph" w:styleId="17">
    <w:name w:val="Body Text 3"/>
    <w:basedOn w:val="1"/>
    <w:link w:val="74"/>
    <w:qFormat/>
    <w:uiPriority w:val="0"/>
    <w:rPr>
      <w:rFonts w:ascii="宋体" w:hAnsi="宋体" w:eastAsia="等线"/>
      <w:sz w:val="24"/>
      <w:szCs w:val="20"/>
    </w:rPr>
  </w:style>
  <w:style w:type="paragraph" w:styleId="18">
    <w:name w:val="Body Text"/>
    <w:basedOn w:val="1"/>
    <w:link w:val="75"/>
    <w:qFormat/>
    <w:uiPriority w:val="0"/>
    <w:pPr>
      <w:spacing w:after="120"/>
    </w:pPr>
    <w:rPr>
      <w:rFonts w:ascii="Times New Roman" w:hAnsi="Times New Roman"/>
      <w:kern w:val="0"/>
      <w:sz w:val="20"/>
      <w:szCs w:val="20"/>
    </w:rPr>
  </w:style>
  <w:style w:type="paragraph" w:styleId="19">
    <w:name w:val="Body Text Indent"/>
    <w:basedOn w:val="1"/>
    <w:link w:val="76"/>
    <w:qFormat/>
    <w:uiPriority w:val="0"/>
    <w:pPr>
      <w:ind w:firstLine="570"/>
    </w:pPr>
    <w:rPr>
      <w:rFonts w:ascii="Times New Roman" w:hAnsi="Times New Roman"/>
      <w:kern w:val="0"/>
      <w:sz w:val="28"/>
      <w:szCs w:val="20"/>
    </w:rPr>
  </w:style>
  <w:style w:type="paragraph" w:styleId="20">
    <w:name w:val="List 2"/>
    <w:basedOn w:val="1"/>
    <w:qFormat/>
    <w:uiPriority w:val="0"/>
    <w:pPr>
      <w:ind w:left="200" w:leftChars="200" w:hanging="200" w:hangingChars="200"/>
    </w:pPr>
    <w:rPr>
      <w:rFonts w:ascii="Times New Roman" w:hAnsi="Times New Roman" w:eastAsia="楷体_GB2312"/>
      <w:szCs w:val="20"/>
    </w:rPr>
  </w:style>
  <w:style w:type="paragraph" w:styleId="21">
    <w:name w:val="List Bullet 2"/>
    <w:basedOn w:val="14"/>
    <w:qFormat/>
    <w:uiPriority w:val="0"/>
    <w:pPr>
      <w:widowControl/>
      <w:tabs>
        <w:tab w:val="left" w:pos="432"/>
        <w:tab w:val="clear" w:pos="360"/>
      </w:tabs>
      <w:spacing w:after="220" w:line="220" w:lineRule="atLeast"/>
      <w:ind w:left="2160" w:right="720" w:hanging="432"/>
      <w:jc w:val="left"/>
    </w:pPr>
    <w:rPr>
      <w:kern w:val="0"/>
      <w:szCs w:val="20"/>
    </w:rPr>
  </w:style>
  <w:style w:type="paragraph" w:styleId="22">
    <w:name w:val="index 4"/>
    <w:basedOn w:val="1"/>
    <w:next w:val="1"/>
    <w:qFormat/>
    <w:uiPriority w:val="0"/>
    <w:pPr>
      <w:ind w:left="600" w:leftChars="600"/>
    </w:pPr>
    <w:rPr>
      <w:rFonts w:ascii="Times New Roman" w:hAnsi="Times New Roman"/>
      <w:szCs w:val="24"/>
    </w:rPr>
  </w:style>
  <w:style w:type="paragraph" w:styleId="23">
    <w:name w:val="toc 5"/>
    <w:basedOn w:val="1"/>
    <w:next w:val="1"/>
    <w:qFormat/>
    <w:uiPriority w:val="39"/>
    <w:pPr>
      <w:tabs>
        <w:tab w:val="right" w:leader="dot" w:pos="8296"/>
      </w:tabs>
      <w:ind w:left="1050" w:leftChars="500"/>
    </w:pPr>
  </w:style>
  <w:style w:type="paragraph" w:styleId="24">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25">
    <w:name w:val="Plain Text"/>
    <w:basedOn w:val="1"/>
    <w:next w:val="26"/>
    <w:link w:val="77"/>
    <w:qFormat/>
    <w:uiPriority w:val="99"/>
    <w:rPr>
      <w:rFonts w:ascii="宋体" w:hAnsi="Courier New"/>
      <w:kern w:val="0"/>
      <w:sz w:val="20"/>
      <w:szCs w:val="20"/>
    </w:rPr>
  </w:style>
  <w:style w:type="paragraph" w:customStyle="1" w:styleId="26">
    <w:name w:val="Default"/>
    <w:next w:val="27"/>
    <w:qFormat/>
    <w:uiPriority w:val="0"/>
    <w:pPr>
      <w:widowControl w:val="0"/>
      <w:autoSpaceDE w:val="0"/>
      <w:autoSpaceDN w:val="0"/>
      <w:adjustRightInd w:val="0"/>
    </w:pPr>
    <w:rPr>
      <w:rFonts w:ascii="宋体" w:hAnsi="等线" w:eastAsia="等线" w:cs="宋体"/>
      <w:color w:val="000000"/>
      <w:sz w:val="24"/>
      <w:szCs w:val="24"/>
      <w:lang w:val="en-US" w:eastAsia="zh-CN" w:bidi="ar-SA"/>
    </w:rPr>
  </w:style>
  <w:style w:type="paragraph" w:styleId="27">
    <w:name w:val="header"/>
    <w:basedOn w:val="1"/>
    <w:link w:val="83"/>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8"/>
    <w:basedOn w:val="1"/>
    <w:next w:val="1"/>
    <w:qFormat/>
    <w:uiPriority w:val="39"/>
    <w:pPr>
      <w:ind w:left="2940" w:leftChars="1400"/>
    </w:pPr>
  </w:style>
  <w:style w:type="paragraph" w:styleId="29">
    <w:name w:val="Date"/>
    <w:basedOn w:val="1"/>
    <w:next w:val="1"/>
    <w:link w:val="78"/>
    <w:qFormat/>
    <w:uiPriority w:val="0"/>
    <w:rPr>
      <w:rFonts w:ascii="Times New Roman" w:hAnsi="Times New Roman"/>
      <w:kern w:val="0"/>
      <w:sz w:val="20"/>
      <w:szCs w:val="20"/>
    </w:rPr>
  </w:style>
  <w:style w:type="paragraph" w:styleId="30">
    <w:name w:val="Body Text Indent 2"/>
    <w:basedOn w:val="1"/>
    <w:link w:val="79"/>
    <w:qFormat/>
    <w:uiPriority w:val="0"/>
    <w:pPr>
      <w:spacing w:line="400" w:lineRule="exact"/>
      <w:ind w:left="425"/>
    </w:pPr>
    <w:rPr>
      <w:rFonts w:ascii="Times New Roman" w:hAnsi="Times New Roman"/>
      <w:color w:val="000000"/>
      <w:kern w:val="0"/>
      <w:sz w:val="24"/>
      <w:szCs w:val="20"/>
    </w:rPr>
  </w:style>
  <w:style w:type="paragraph" w:styleId="31">
    <w:name w:val="endnote text"/>
    <w:basedOn w:val="1"/>
    <w:link w:val="80"/>
    <w:qFormat/>
    <w:uiPriority w:val="0"/>
    <w:pPr>
      <w:snapToGrid w:val="0"/>
      <w:jc w:val="left"/>
    </w:pPr>
    <w:rPr>
      <w:rFonts w:ascii="Times New Roman" w:hAnsi="Times New Roman"/>
      <w:kern w:val="0"/>
      <w:sz w:val="20"/>
      <w:szCs w:val="20"/>
    </w:rPr>
  </w:style>
  <w:style w:type="paragraph" w:styleId="32">
    <w:name w:val="Balloon Text"/>
    <w:basedOn w:val="1"/>
    <w:link w:val="81"/>
    <w:qFormat/>
    <w:uiPriority w:val="0"/>
    <w:rPr>
      <w:rFonts w:ascii="Times New Roman" w:hAnsi="Times New Roman"/>
      <w:kern w:val="0"/>
      <w:sz w:val="18"/>
      <w:szCs w:val="18"/>
    </w:rPr>
  </w:style>
  <w:style w:type="paragraph" w:styleId="33">
    <w:name w:val="footer"/>
    <w:basedOn w:val="1"/>
    <w:link w:val="82"/>
    <w:unhideWhenUsed/>
    <w:qFormat/>
    <w:uiPriority w:val="0"/>
    <w:pPr>
      <w:tabs>
        <w:tab w:val="center" w:pos="4153"/>
        <w:tab w:val="right" w:pos="8306"/>
      </w:tabs>
      <w:snapToGrid w:val="0"/>
      <w:jc w:val="left"/>
    </w:pPr>
    <w:rPr>
      <w:kern w:val="0"/>
      <w:sz w:val="18"/>
      <w:szCs w:val="18"/>
    </w:rPr>
  </w:style>
  <w:style w:type="paragraph" w:styleId="34">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35">
    <w:name w:val="toc 4"/>
    <w:basedOn w:val="1"/>
    <w:next w:val="1"/>
    <w:qFormat/>
    <w:uiPriority w:val="39"/>
    <w:pPr>
      <w:tabs>
        <w:tab w:val="left" w:pos="1890"/>
        <w:tab w:val="right" w:leader="dot" w:pos="8296"/>
      </w:tabs>
      <w:ind w:left="630" w:leftChars="300"/>
    </w:pPr>
  </w:style>
  <w:style w:type="paragraph" w:styleId="36">
    <w:name w:val="Subtitle"/>
    <w:basedOn w:val="1"/>
    <w:next w:val="1"/>
    <w:link w:val="84"/>
    <w:qFormat/>
    <w:uiPriority w:val="0"/>
    <w:pPr>
      <w:spacing w:before="240" w:after="60" w:line="312" w:lineRule="auto"/>
      <w:jc w:val="center"/>
      <w:outlineLvl w:val="1"/>
    </w:pPr>
    <w:rPr>
      <w:rFonts w:ascii="Cambria" w:hAnsi="Cambria"/>
      <w:b/>
      <w:bCs/>
      <w:kern w:val="28"/>
      <w:sz w:val="32"/>
      <w:szCs w:val="32"/>
    </w:rPr>
  </w:style>
  <w:style w:type="paragraph" w:styleId="37">
    <w:name w:val="List"/>
    <w:basedOn w:val="18"/>
    <w:qFormat/>
    <w:uiPriority w:val="0"/>
    <w:pPr>
      <w:suppressAutoHyphens/>
      <w:spacing w:after="0"/>
    </w:pPr>
    <w:rPr>
      <w:rFonts w:hAnsi="Calibri" w:eastAsia="黑体"/>
      <w:sz w:val="24"/>
      <w:lang w:eastAsia="ar-SA"/>
    </w:rPr>
  </w:style>
  <w:style w:type="paragraph" w:styleId="38">
    <w:name w:val="footnote text"/>
    <w:basedOn w:val="1"/>
    <w:link w:val="85"/>
    <w:qFormat/>
    <w:uiPriority w:val="0"/>
    <w:pPr>
      <w:snapToGrid w:val="0"/>
      <w:spacing w:line="360" w:lineRule="auto"/>
      <w:ind w:firstLine="523" w:firstLineChars="218"/>
      <w:jc w:val="left"/>
    </w:pPr>
    <w:rPr>
      <w:rFonts w:ascii="宋体" w:hAnsi="宋体"/>
      <w:kern w:val="0"/>
      <w:sz w:val="18"/>
      <w:szCs w:val="18"/>
    </w:rPr>
  </w:style>
  <w:style w:type="paragraph" w:styleId="39">
    <w:name w:val="toc 6"/>
    <w:basedOn w:val="1"/>
    <w:next w:val="1"/>
    <w:qFormat/>
    <w:uiPriority w:val="39"/>
    <w:pPr>
      <w:ind w:left="2100" w:leftChars="1000"/>
    </w:pPr>
  </w:style>
  <w:style w:type="paragraph" w:styleId="40">
    <w:name w:val="Body Text Indent 3"/>
    <w:basedOn w:val="1"/>
    <w:link w:val="86"/>
    <w:qFormat/>
    <w:uiPriority w:val="0"/>
    <w:pPr>
      <w:tabs>
        <w:tab w:val="left" w:pos="0"/>
      </w:tabs>
      <w:spacing w:line="400" w:lineRule="exact"/>
      <w:ind w:left="563" w:leftChars="228" w:hanging="84" w:hangingChars="35"/>
    </w:pPr>
    <w:rPr>
      <w:rFonts w:ascii="Times New Roman" w:hAnsi="Times New Roman"/>
      <w:color w:val="000000"/>
      <w:kern w:val="0"/>
      <w:sz w:val="24"/>
      <w:szCs w:val="20"/>
    </w:rPr>
  </w:style>
  <w:style w:type="paragraph" w:styleId="41">
    <w:name w:val="table of figures"/>
    <w:basedOn w:val="1"/>
    <w:next w:val="1"/>
    <w:qFormat/>
    <w:uiPriority w:val="0"/>
    <w:pPr>
      <w:ind w:left="200" w:leftChars="200" w:hanging="200" w:hangingChars="200"/>
    </w:pPr>
    <w:rPr>
      <w:rFonts w:ascii="Times New Roman" w:hAnsi="Times New Roman" w:eastAsia="等线"/>
    </w:rPr>
  </w:style>
  <w:style w:type="paragraph" w:styleId="42">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43">
    <w:name w:val="toc 9"/>
    <w:basedOn w:val="1"/>
    <w:next w:val="1"/>
    <w:qFormat/>
    <w:uiPriority w:val="39"/>
    <w:pPr>
      <w:ind w:left="3360" w:leftChars="1600"/>
    </w:pPr>
  </w:style>
  <w:style w:type="paragraph" w:styleId="44">
    <w:name w:val="Body Text 2"/>
    <w:basedOn w:val="1"/>
    <w:link w:val="87"/>
    <w:qFormat/>
    <w:uiPriority w:val="0"/>
    <w:rPr>
      <w:rFonts w:ascii="宋体" w:hAnsi="宋体"/>
      <w:kern w:val="0"/>
      <w:sz w:val="20"/>
      <w:szCs w:val="24"/>
      <w:u w:val="single"/>
    </w:rPr>
  </w:style>
  <w:style w:type="paragraph" w:styleId="45">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6">
    <w:name w:val="index 1"/>
    <w:basedOn w:val="1"/>
    <w:next w:val="1"/>
    <w:qFormat/>
    <w:uiPriority w:val="0"/>
    <w:rPr>
      <w:rFonts w:ascii="Times New Roman" w:hAnsi="Times New Roman" w:eastAsia="仿宋_GB2312"/>
      <w:sz w:val="28"/>
      <w:szCs w:val="20"/>
    </w:rPr>
  </w:style>
  <w:style w:type="paragraph" w:styleId="47">
    <w:name w:val="Title"/>
    <w:basedOn w:val="1"/>
    <w:link w:val="88"/>
    <w:qFormat/>
    <w:uiPriority w:val="0"/>
    <w:pPr>
      <w:spacing w:before="120" w:after="60"/>
      <w:jc w:val="center"/>
    </w:pPr>
    <w:rPr>
      <w:rFonts w:ascii="Arial" w:hAnsi="Arial"/>
      <w:b/>
      <w:kern w:val="0"/>
      <w:sz w:val="44"/>
      <w:szCs w:val="20"/>
    </w:rPr>
  </w:style>
  <w:style w:type="paragraph" w:styleId="48">
    <w:name w:val="annotation subject"/>
    <w:basedOn w:val="16"/>
    <w:next w:val="16"/>
    <w:link w:val="89"/>
    <w:qFormat/>
    <w:uiPriority w:val="0"/>
    <w:rPr>
      <w:b/>
      <w:bCs/>
    </w:rPr>
  </w:style>
  <w:style w:type="paragraph" w:styleId="49">
    <w:name w:val="Body Text First Indent"/>
    <w:basedOn w:val="18"/>
    <w:link w:val="90"/>
    <w:qFormat/>
    <w:uiPriority w:val="0"/>
    <w:pPr>
      <w:ind w:firstLine="420"/>
    </w:pPr>
  </w:style>
  <w:style w:type="paragraph" w:styleId="50">
    <w:name w:val="Body Text First Indent 2"/>
    <w:basedOn w:val="19"/>
    <w:link w:val="363"/>
    <w:unhideWhenUsed/>
    <w:qFormat/>
    <w:uiPriority w:val="99"/>
    <w:pPr>
      <w:spacing w:after="120"/>
      <w:ind w:left="420" w:leftChars="200" w:firstLine="420" w:firstLineChars="200"/>
    </w:pPr>
    <w:rPr>
      <w:rFonts w:ascii="Calibri" w:hAnsi="Calibri"/>
      <w:kern w:val="2"/>
      <w:sz w:val="21"/>
      <w:szCs w:val="22"/>
    </w:r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rPr>
      <w:b/>
    </w:rPr>
  </w:style>
  <w:style w:type="character" w:styleId="55">
    <w:name w:val="endnote reference"/>
    <w:qFormat/>
    <w:uiPriority w:val="0"/>
    <w:rPr>
      <w:vertAlign w:val="superscript"/>
    </w:rPr>
  </w:style>
  <w:style w:type="character" w:styleId="56">
    <w:name w:val="page number"/>
    <w:qFormat/>
    <w:uiPriority w:val="0"/>
    <w:rPr>
      <w:rFonts w:cs="Times New Roman"/>
    </w:rPr>
  </w:style>
  <w:style w:type="character" w:styleId="57">
    <w:name w:val="FollowedHyperlink"/>
    <w:unhideWhenUsed/>
    <w:qFormat/>
    <w:uiPriority w:val="99"/>
    <w:rPr>
      <w:color w:val="954F72"/>
      <w:u w:val="single"/>
    </w:rPr>
  </w:style>
  <w:style w:type="character" w:styleId="58">
    <w:name w:val="Emphasis"/>
    <w:qFormat/>
    <w:uiPriority w:val="0"/>
    <w:rPr>
      <w:i/>
      <w:iCs/>
    </w:rPr>
  </w:style>
  <w:style w:type="character" w:styleId="59">
    <w:name w:val="Hyperlink"/>
    <w:qFormat/>
    <w:uiPriority w:val="99"/>
    <w:rPr>
      <w:color w:val="0000FF"/>
      <w:u w:val="single"/>
    </w:rPr>
  </w:style>
  <w:style w:type="character" w:styleId="60">
    <w:name w:val="annotation reference"/>
    <w:basedOn w:val="53"/>
    <w:qFormat/>
    <w:uiPriority w:val="0"/>
    <w:rPr>
      <w:sz w:val="21"/>
      <w:szCs w:val="21"/>
    </w:rPr>
  </w:style>
  <w:style w:type="character" w:styleId="61">
    <w:name w:val="footnote reference"/>
    <w:qFormat/>
    <w:uiPriority w:val="0"/>
    <w:rPr>
      <w:vertAlign w:val="superscript"/>
    </w:rPr>
  </w:style>
  <w:style w:type="character" w:customStyle="1" w:styleId="62">
    <w:name w:val="正文缩进 字符"/>
    <w:link w:val="6"/>
    <w:qFormat/>
    <w:uiPriority w:val="0"/>
    <w:rPr>
      <w:rFonts w:ascii="Times New Roman" w:hAnsi="Times New Roman"/>
      <w:kern w:val="2"/>
      <w:sz w:val="21"/>
    </w:rPr>
  </w:style>
  <w:style w:type="character" w:customStyle="1" w:styleId="63">
    <w:name w:val="标题 1 字符2"/>
    <w:link w:val="2"/>
    <w:qFormat/>
    <w:uiPriority w:val="0"/>
    <w:rPr>
      <w:rFonts w:ascii="Arial" w:hAnsi="Arial" w:eastAsia="宋体" w:cs="Times New Roman"/>
      <w:b/>
      <w:kern w:val="44"/>
      <w:sz w:val="28"/>
      <w:szCs w:val="28"/>
    </w:rPr>
  </w:style>
  <w:style w:type="character" w:customStyle="1" w:styleId="64">
    <w:name w:val="标题 2 字符1"/>
    <w:link w:val="3"/>
    <w:qFormat/>
    <w:uiPriority w:val="0"/>
    <w:rPr>
      <w:rFonts w:ascii="Arial" w:hAnsi="Arial" w:eastAsia="宋体" w:cs="Times New Roman"/>
      <w:b/>
      <w:color w:val="000000"/>
      <w:sz w:val="24"/>
      <w:szCs w:val="24"/>
    </w:rPr>
  </w:style>
  <w:style w:type="character" w:customStyle="1" w:styleId="65">
    <w:name w:val="标题 3 字符2"/>
    <w:link w:val="4"/>
    <w:qFormat/>
    <w:uiPriority w:val="0"/>
    <w:rPr>
      <w:rFonts w:ascii="宋体" w:hAnsi="宋体" w:eastAsia="宋体" w:cs="宋体"/>
      <w:kern w:val="0"/>
      <w:sz w:val="27"/>
      <w:szCs w:val="27"/>
    </w:rPr>
  </w:style>
  <w:style w:type="character" w:customStyle="1" w:styleId="66">
    <w:name w:val="标题 4 字符1"/>
    <w:link w:val="5"/>
    <w:qFormat/>
    <w:uiPriority w:val="0"/>
    <w:rPr>
      <w:rFonts w:ascii="Arial" w:hAnsi="Arial"/>
      <w:color w:val="000000"/>
      <w:szCs w:val="21"/>
    </w:rPr>
  </w:style>
  <w:style w:type="character" w:customStyle="1" w:styleId="67">
    <w:name w:val="标题 5 字符1"/>
    <w:link w:val="7"/>
    <w:qFormat/>
    <w:uiPriority w:val="0"/>
    <w:rPr>
      <w:rFonts w:ascii="Arial" w:hAnsi="Arial" w:eastAsia="宋体" w:cs="Times New Roman"/>
      <w:color w:val="000000"/>
      <w:szCs w:val="21"/>
    </w:rPr>
  </w:style>
  <w:style w:type="character" w:customStyle="1" w:styleId="68">
    <w:name w:val="标题 6 字符1"/>
    <w:link w:val="8"/>
    <w:qFormat/>
    <w:uiPriority w:val="0"/>
    <w:rPr>
      <w:rFonts w:ascii="Arial" w:hAnsi="Arial" w:eastAsia="黑体"/>
      <w:b/>
      <w:bCs/>
      <w:sz w:val="24"/>
      <w:szCs w:val="24"/>
    </w:rPr>
  </w:style>
  <w:style w:type="character" w:customStyle="1" w:styleId="69">
    <w:name w:val="标题 7 字符1"/>
    <w:link w:val="9"/>
    <w:qFormat/>
    <w:uiPriority w:val="0"/>
    <w:rPr>
      <w:rFonts w:ascii="Times New Roman" w:hAnsi="Times New Roman"/>
      <w:b/>
      <w:sz w:val="24"/>
    </w:rPr>
  </w:style>
  <w:style w:type="character" w:customStyle="1" w:styleId="70">
    <w:name w:val="标题 8 字符1"/>
    <w:link w:val="10"/>
    <w:qFormat/>
    <w:uiPriority w:val="0"/>
    <w:rPr>
      <w:rFonts w:ascii="Arial" w:hAnsi="Arial" w:eastAsia="黑体"/>
      <w:sz w:val="24"/>
    </w:rPr>
  </w:style>
  <w:style w:type="character" w:customStyle="1" w:styleId="71">
    <w:name w:val="标题 9 字符1"/>
    <w:link w:val="11"/>
    <w:qFormat/>
    <w:uiPriority w:val="0"/>
    <w:rPr>
      <w:rFonts w:ascii="Arial" w:hAnsi="Arial" w:eastAsia="黑体"/>
    </w:rPr>
  </w:style>
  <w:style w:type="character" w:customStyle="1" w:styleId="72">
    <w:name w:val="文档结构图 字符1"/>
    <w:link w:val="15"/>
    <w:qFormat/>
    <w:uiPriority w:val="0"/>
    <w:rPr>
      <w:rFonts w:ascii="Times New Roman" w:hAnsi="Times New Roman" w:eastAsia="宋体" w:cs="Times New Roman"/>
      <w:szCs w:val="20"/>
      <w:shd w:val="clear" w:color="auto" w:fill="000080"/>
    </w:rPr>
  </w:style>
  <w:style w:type="character" w:customStyle="1" w:styleId="73">
    <w:name w:val="批注文字 字符2"/>
    <w:link w:val="16"/>
    <w:qFormat/>
    <w:uiPriority w:val="0"/>
    <w:rPr>
      <w:rFonts w:ascii="宋体" w:hAnsi="宋体" w:eastAsia="宋体" w:cs="Times New Roman"/>
      <w:sz w:val="24"/>
      <w:szCs w:val="24"/>
    </w:rPr>
  </w:style>
  <w:style w:type="character" w:customStyle="1" w:styleId="74">
    <w:name w:val="正文文本 3 字符"/>
    <w:link w:val="17"/>
    <w:qFormat/>
    <w:uiPriority w:val="0"/>
    <w:rPr>
      <w:rFonts w:ascii="宋体" w:hAnsi="宋体" w:eastAsia="等线"/>
      <w:kern w:val="2"/>
      <w:sz w:val="24"/>
    </w:rPr>
  </w:style>
  <w:style w:type="character" w:customStyle="1" w:styleId="75">
    <w:name w:val="正文文本 字符1"/>
    <w:link w:val="18"/>
    <w:qFormat/>
    <w:uiPriority w:val="0"/>
    <w:rPr>
      <w:rFonts w:ascii="Times New Roman" w:hAnsi="Times New Roman" w:eastAsia="宋体" w:cs="Times New Roman"/>
      <w:szCs w:val="20"/>
    </w:rPr>
  </w:style>
  <w:style w:type="character" w:customStyle="1" w:styleId="76">
    <w:name w:val="正文文本缩进 字符1"/>
    <w:link w:val="19"/>
    <w:qFormat/>
    <w:uiPriority w:val="0"/>
    <w:rPr>
      <w:rFonts w:ascii="Times New Roman" w:hAnsi="Times New Roman" w:eastAsia="宋体" w:cs="Times New Roman"/>
      <w:sz w:val="28"/>
      <w:szCs w:val="20"/>
    </w:rPr>
  </w:style>
  <w:style w:type="character" w:customStyle="1" w:styleId="77">
    <w:name w:val="纯文本 字符1"/>
    <w:link w:val="25"/>
    <w:qFormat/>
    <w:uiPriority w:val="99"/>
    <w:rPr>
      <w:rFonts w:ascii="宋体" w:hAnsi="Courier New" w:eastAsia="宋体" w:cs="Times New Roman"/>
      <w:szCs w:val="20"/>
    </w:rPr>
  </w:style>
  <w:style w:type="character" w:customStyle="1" w:styleId="78">
    <w:name w:val="日期 字符1"/>
    <w:link w:val="29"/>
    <w:qFormat/>
    <w:uiPriority w:val="0"/>
    <w:rPr>
      <w:rFonts w:ascii="Times New Roman" w:hAnsi="Times New Roman" w:eastAsia="宋体" w:cs="Times New Roman"/>
      <w:szCs w:val="20"/>
    </w:rPr>
  </w:style>
  <w:style w:type="character" w:customStyle="1" w:styleId="79">
    <w:name w:val="正文文本缩进 2 字符1"/>
    <w:link w:val="30"/>
    <w:qFormat/>
    <w:uiPriority w:val="0"/>
    <w:rPr>
      <w:rFonts w:ascii="Times New Roman" w:hAnsi="Times New Roman" w:eastAsia="宋体" w:cs="Times New Roman"/>
      <w:color w:val="000000"/>
      <w:sz w:val="24"/>
      <w:szCs w:val="20"/>
    </w:rPr>
  </w:style>
  <w:style w:type="character" w:customStyle="1" w:styleId="80">
    <w:name w:val="尾注文本 字符1"/>
    <w:link w:val="31"/>
    <w:qFormat/>
    <w:uiPriority w:val="0"/>
    <w:rPr>
      <w:rFonts w:ascii="Times New Roman" w:hAnsi="Times New Roman" w:eastAsia="宋体" w:cs="Times New Roman"/>
      <w:szCs w:val="20"/>
    </w:rPr>
  </w:style>
  <w:style w:type="character" w:customStyle="1" w:styleId="81">
    <w:name w:val="批注框文本 字符1"/>
    <w:link w:val="32"/>
    <w:qFormat/>
    <w:uiPriority w:val="0"/>
    <w:rPr>
      <w:rFonts w:ascii="Times New Roman" w:hAnsi="Times New Roman" w:eastAsia="宋体" w:cs="Times New Roman"/>
      <w:sz w:val="18"/>
      <w:szCs w:val="18"/>
    </w:rPr>
  </w:style>
  <w:style w:type="character" w:customStyle="1" w:styleId="82">
    <w:name w:val="页脚 字符1"/>
    <w:link w:val="33"/>
    <w:qFormat/>
    <w:uiPriority w:val="0"/>
    <w:rPr>
      <w:rFonts w:ascii="Calibri" w:hAnsi="Calibri" w:eastAsia="宋体" w:cs="Times New Roman"/>
      <w:sz w:val="18"/>
      <w:szCs w:val="18"/>
    </w:rPr>
  </w:style>
  <w:style w:type="character" w:customStyle="1" w:styleId="83">
    <w:name w:val="页眉 字符1"/>
    <w:link w:val="27"/>
    <w:qFormat/>
    <w:uiPriority w:val="0"/>
    <w:rPr>
      <w:rFonts w:ascii="Calibri" w:hAnsi="Calibri" w:eastAsia="宋体" w:cs="Times New Roman"/>
      <w:sz w:val="18"/>
      <w:szCs w:val="18"/>
    </w:rPr>
  </w:style>
  <w:style w:type="character" w:customStyle="1" w:styleId="84">
    <w:name w:val="副标题 字符"/>
    <w:link w:val="36"/>
    <w:qFormat/>
    <w:uiPriority w:val="0"/>
    <w:rPr>
      <w:rFonts w:ascii="Cambria" w:hAnsi="Cambria" w:eastAsia="宋体"/>
      <w:b/>
      <w:bCs/>
      <w:kern w:val="28"/>
      <w:sz w:val="32"/>
      <w:szCs w:val="32"/>
    </w:rPr>
  </w:style>
  <w:style w:type="character" w:customStyle="1" w:styleId="85">
    <w:name w:val="脚注文本 字符1"/>
    <w:link w:val="38"/>
    <w:qFormat/>
    <w:uiPriority w:val="0"/>
    <w:rPr>
      <w:rFonts w:ascii="宋体" w:hAnsi="宋体" w:eastAsia="宋体" w:cs="Times New Roman"/>
      <w:sz w:val="18"/>
      <w:szCs w:val="18"/>
    </w:rPr>
  </w:style>
  <w:style w:type="character" w:customStyle="1" w:styleId="86">
    <w:name w:val="正文文本缩进 3 字符1"/>
    <w:link w:val="40"/>
    <w:qFormat/>
    <w:uiPriority w:val="0"/>
    <w:rPr>
      <w:rFonts w:ascii="Times New Roman" w:hAnsi="Times New Roman" w:eastAsia="宋体" w:cs="Times New Roman"/>
      <w:color w:val="000000"/>
      <w:sz w:val="24"/>
      <w:szCs w:val="20"/>
    </w:rPr>
  </w:style>
  <w:style w:type="character" w:customStyle="1" w:styleId="87">
    <w:name w:val="正文文本 2 字符1"/>
    <w:link w:val="44"/>
    <w:qFormat/>
    <w:uiPriority w:val="0"/>
    <w:rPr>
      <w:rFonts w:ascii="宋体" w:hAnsi="宋体" w:eastAsia="宋体" w:cs="Times New Roman"/>
      <w:szCs w:val="24"/>
      <w:u w:val="single"/>
    </w:rPr>
  </w:style>
  <w:style w:type="character" w:customStyle="1" w:styleId="88">
    <w:name w:val="标题 字符1"/>
    <w:link w:val="47"/>
    <w:qFormat/>
    <w:uiPriority w:val="0"/>
    <w:rPr>
      <w:rFonts w:ascii="Arial" w:hAnsi="Arial" w:eastAsia="宋体" w:cs="Times New Roman"/>
      <w:b/>
      <w:sz w:val="44"/>
      <w:szCs w:val="20"/>
    </w:rPr>
  </w:style>
  <w:style w:type="character" w:customStyle="1" w:styleId="89">
    <w:name w:val="批注主题 字符1"/>
    <w:link w:val="48"/>
    <w:qFormat/>
    <w:uiPriority w:val="0"/>
    <w:rPr>
      <w:rFonts w:ascii="宋体" w:hAnsi="宋体" w:eastAsia="宋体" w:cs="Times New Roman"/>
      <w:b/>
      <w:bCs/>
      <w:sz w:val="24"/>
      <w:szCs w:val="24"/>
    </w:rPr>
  </w:style>
  <w:style w:type="character" w:customStyle="1" w:styleId="90">
    <w:name w:val="正文首行缩进 字符1"/>
    <w:link w:val="49"/>
    <w:qFormat/>
    <w:uiPriority w:val="0"/>
  </w:style>
  <w:style w:type="character" w:customStyle="1" w:styleId="91">
    <w:name w:val="批注主题 字符"/>
    <w:semiHidden/>
    <w:qFormat/>
    <w:uiPriority w:val="99"/>
    <w:rPr>
      <w:rFonts w:ascii="Calibri" w:hAnsi="Calibri" w:eastAsia="宋体" w:cs="Times New Roman"/>
      <w:b/>
      <w:bCs/>
    </w:rPr>
  </w:style>
  <w:style w:type="character" w:customStyle="1" w:styleId="92">
    <w:name w:val="标提1 Char Char"/>
    <w:link w:val="93"/>
    <w:qFormat/>
    <w:uiPriority w:val="0"/>
    <w:rPr>
      <w:rFonts w:ascii="黑体" w:hAnsi="黑体" w:eastAsia="黑体"/>
      <w:b/>
      <w:kern w:val="44"/>
      <w:sz w:val="24"/>
      <w:szCs w:val="24"/>
    </w:rPr>
  </w:style>
  <w:style w:type="paragraph" w:customStyle="1" w:styleId="93">
    <w:name w:val="标提1"/>
    <w:basedOn w:val="2"/>
    <w:next w:val="1"/>
    <w:link w:val="92"/>
    <w:qFormat/>
    <w:uiPriority w:val="0"/>
    <w:pPr>
      <w:spacing w:after="0" w:line="240" w:lineRule="auto"/>
      <w:jc w:val="both"/>
    </w:pPr>
    <w:rPr>
      <w:rFonts w:ascii="黑体" w:hAnsi="黑体" w:eastAsia="黑体"/>
      <w:sz w:val="24"/>
      <w:szCs w:val="24"/>
    </w:rPr>
  </w:style>
  <w:style w:type="character" w:customStyle="1" w:styleId="94">
    <w:name w:val="font11"/>
    <w:qFormat/>
    <w:uiPriority w:val="0"/>
    <w:rPr>
      <w:rFonts w:hint="eastAsia" w:ascii="宋体" w:hAnsi="宋体" w:eastAsia="宋体"/>
      <w:color w:val="000000"/>
      <w:sz w:val="24"/>
      <w:szCs w:val="24"/>
      <w:u w:val="single"/>
    </w:rPr>
  </w:style>
  <w:style w:type="character" w:customStyle="1" w:styleId="95">
    <w:name w:val="标题 3 Char Char"/>
    <w:qFormat/>
    <w:uiPriority w:val="0"/>
    <w:rPr>
      <w:rFonts w:ascii="宋体" w:hAnsi="宋体" w:eastAsia="宋体"/>
      <w:b/>
      <w:bCs/>
      <w:color w:val="FF0000"/>
      <w:kern w:val="2"/>
      <w:sz w:val="24"/>
      <w:szCs w:val="24"/>
      <w:lang w:val="zh-CN" w:eastAsia="zh-CN" w:bidi="ar-SA"/>
    </w:rPr>
  </w:style>
  <w:style w:type="character" w:customStyle="1" w:styleId="96">
    <w:name w:val="font5"/>
    <w:qFormat/>
    <w:uiPriority w:val="0"/>
  </w:style>
  <w:style w:type="character" w:customStyle="1" w:styleId="97">
    <w:name w:val="正文缩进2格 Char Char"/>
    <w:link w:val="98"/>
    <w:qFormat/>
    <w:uiPriority w:val="0"/>
    <w:rPr>
      <w:rFonts w:ascii="仿宋_GB2312" w:hAnsi="宋体" w:eastAsia="仿宋_GB2312"/>
      <w:sz w:val="31"/>
      <w:szCs w:val="31"/>
    </w:rPr>
  </w:style>
  <w:style w:type="paragraph" w:customStyle="1" w:styleId="98">
    <w:name w:val="正文缩进2格"/>
    <w:basedOn w:val="1"/>
    <w:link w:val="97"/>
    <w:qFormat/>
    <w:uiPriority w:val="0"/>
    <w:pPr>
      <w:widowControl/>
      <w:spacing w:line="600" w:lineRule="exact"/>
      <w:ind w:firstLine="639" w:firstLineChars="206"/>
      <w:jc w:val="left"/>
    </w:pPr>
    <w:rPr>
      <w:rFonts w:ascii="仿宋_GB2312" w:hAnsi="宋体" w:eastAsia="仿宋_GB2312"/>
      <w:kern w:val="0"/>
      <w:sz w:val="31"/>
      <w:szCs w:val="31"/>
    </w:rPr>
  </w:style>
  <w:style w:type="character" w:customStyle="1" w:styleId="99">
    <w:name w:val="批注主题 Char1"/>
    <w:qFormat/>
    <w:uiPriority w:val="0"/>
    <w:rPr>
      <w:b/>
      <w:bCs/>
      <w:kern w:val="2"/>
      <w:sz w:val="21"/>
      <w:szCs w:val="22"/>
    </w:rPr>
  </w:style>
  <w:style w:type="character" w:customStyle="1" w:styleId="100">
    <w:name w:val="页脚 字符"/>
    <w:qFormat/>
    <w:uiPriority w:val="99"/>
    <w:rPr>
      <w:rFonts w:ascii="Calibri" w:hAnsi="Calibri" w:eastAsia="宋体" w:cs="Times New Roman"/>
      <w:sz w:val="18"/>
      <w:szCs w:val="18"/>
    </w:rPr>
  </w:style>
  <w:style w:type="character" w:customStyle="1" w:styleId="101">
    <w:name w:val="hover42"/>
    <w:qFormat/>
    <w:uiPriority w:val="0"/>
  </w:style>
  <w:style w:type="character" w:customStyle="1" w:styleId="102">
    <w:name w:val="正文文本 字符"/>
    <w:semiHidden/>
    <w:qFormat/>
    <w:uiPriority w:val="99"/>
    <w:rPr>
      <w:rFonts w:ascii="Calibri" w:hAnsi="Calibri" w:eastAsia="宋体" w:cs="Times New Roman"/>
    </w:rPr>
  </w:style>
  <w:style w:type="character" w:customStyle="1" w:styleId="103">
    <w:name w:val="文档结构图 字符"/>
    <w:semiHidden/>
    <w:qFormat/>
    <w:uiPriority w:val="99"/>
    <w:rPr>
      <w:rFonts w:ascii="Microsoft YaHei UI" w:hAnsi="Calibri" w:eastAsia="Microsoft YaHei UI" w:cs="Times New Roman"/>
      <w:sz w:val="18"/>
      <w:szCs w:val="18"/>
    </w:rPr>
  </w:style>
  <w:style w:type="character" w:customStyle="1" w:styleId="104">
    <w:name w:val="正文文本 2 字符"/>
    <w:semiHidden/>
    <w:qFormat/>
    <w:uiPriority w:val="99"/>
    <w:rPr>
      <w:rFonts w:ascii="Calibri" w:hAnsi="Calibri" w:eastAsia="宋体" w:cs="Times New Roman"/>
    </w:rPr>
  </w:style>
  <w:style w:type="character" w:customStyle="1" w:styleId="105">
    <w:name w:val="textcontents"/>
    <w:qFormat/>
    <w:uiPriority w:val="0"/>
    <w:rPr>
      <w:rFonts w:cs="Times New Roman"/>
    </w:rPr>
  </w:style>
  <w:style w:type="character" w:customStyle="1" w:styleId="106">
    <w:name w:val="标题 1 字符"/>
    <w:qFormat/>
    <w:uiPriority w:val="9"/>
    <w:rPr>
      <w:rFonts w:ascii="Calibri" w:hAnsi="Calibri" w:eastAsia="宋体" w:cs="Times New Roman"/>
      <w:b/>
      <w:bCs/>
      <w:kern w:val="44"/>
      <w:sz w:val="44"/>
      <w:szCs w:val="44"/>
    </w:rPr>
  </w:style>
  <w:style w:type="character" w:customStyle="1" w:styleId="107">
    <w:name w:val="标题 2 字符"/>
    <w:semiHidden/>
    <w:qFormat/>
    <w:uiPriority w:val="9"/>
    <w:rPr>
      <w:rFonts w:ascii="等线 Light" w:hAnsi="等线 Light" w:eastAsia="等线 Light" w:cs="Times New Roman"/>
      <w:b/>
      <w:bCs/>
      <w:sz w:val="32"/>
      <w:szCs w:val="32"/>
    </w:rPr>
  </w:style>
  <w:style w:type="character" w:customStyle="1" w:styleId="108">
    <w:name w:val="批注框文本 字符"/>
    <w:semiHidden/>
    <w:qFormat/>
    <w:uiPriority w:val="99"/>
    <w:rPr>
      <w:rFonts w:ascii="Calibri" w:hAnsi="Calibri" w:eastAsia="宋体" w:cs="Times New Roman"/>
      <w:sz w:val="18"/>
      <w:szCs w:val="18"/>
    </w:rPr>
  </w:style>
  <w:style w:type="character" w:customStyle="1" w:styleId="109">
    <w:name w:val="日期 Char2"/>
    <w:qFormat/>
    <w:uiPriority w:val="0"/>
    <w:rPr>
      <w:rFonts w:ascii="仿宋_GB2312" w:hAnsi="Times New Roman" w:eastAsia="仿宋_GB2312"/>
      <w:kern w:val="2"/>
      <w:sz w:val="21"/>
    </w:rPr>
  </w:style>
  <w:style w:type="character" w:customStyle="1" w:styleId="110">
    <w:name w:val="正文文本缩进 3 字符"/>
    <w:semiHidden/>
    <w:qFormat/>
    <w:uiPriority w:val="99"/>
    <w:rPr>
      <w:rFonts w:ascii="Calibri" w:hAnsi="Calibri" w:eastAsia="宋体" w:cs="Times New Roman"/>
      <w:sz w:val="16"/>
      <w:szCs w:val="16"/>
    </w:rPr>
  </w:style>
  <w:style w:type="character" w:customStyle="1" w:styleId="111">
    <w:name w:val="明显参考1"/>
    <w:qFormat/>
    <w:uiPriority w:val="0"/>
    <w:rPr>
      <w:b/>
      <w:bCs/>
      <w:smallCaps/>
      <w:color w:val="C0504D"/>
      <w:spacing w:val="5"/>
      <w:u w:val="single"/>
    </w:rPr>
  </w:style>
  <w:style w:type="character" w:customStyle="1" w:styleId="112">
    <w:name w:val="批注主题 Char2"/>
    <w:qFormat/>
    <w:uiPriority w:val="0"/>
    <w:rPr>
      <w:rFonts w:ascii="仿宋_GB2312" w:hAnsi="Times New Roman" w:eastAsia="仿宋_GB2312"/>
      <w:b/>
      <w:bCs/>
      <w:kern w:val="2"/>
      <w:sz w:val="21"/>
    </w:rPr>
  </w:style>
  <w:style w:type="character" w:customStyle="1" w:styleId="113">
    <w:name w:val="times"/>
    <w:qFormat/>
    <w:uiPriority w:val="0"/>
    <w:rPr>
      <w:color w:val="3399FF"/>
      <w:bdr w:val="single" w:color="D1EDF8" w:sz="6" w:space="0"/>
      <w:shd w:val="clear" w:color="auto" w:fill="EAF9FF"/>
    </w:rPr>
  </w:style>
  <w:style w:type="character" w:customStyle="1" w:styleId="114">
    <w:name w:val="NormalCharacter"/>
    <w:qFormat/>
    <w:uiPriority w:val="0"/>
  </w:style>
  <w:style w:type="character" w:customStyle="1" w:styleId="115">
    <w:name w:val="UserStyle_235"/>
    <w:link w:val="116"/>
    <w:qFormat/>
    <w:uiPriority w:val="0"/>
    <w:rPr>
      <w:kern w:val="2"/>
      <w:sz w:val="16"/>
      <w:szCs w:val="16"/>
    </w:rPr>
  </w:style>
  <w:style w:type="paragraph" w:customStyle="1" w:styleId="116">
    <w:name w:val="BodyText3"/>
    <w:basedOn w:val="1"/>
    <w:link w:val="115"/>
    <w:qFormat/>
    <w:uiPriority w:val="0"/>
    <w:pPr>
      <w:widowControl/>
      <w:textAlignment w:val="baseline"/>
    </w:pPr>
    <w:rPr>
      <w:sz w:val="16"/>
      <w:szCs w:val="16"/>
    </w:rPr>
  </w:style>
  <w:style w:type="character" w:customStyle="1" w:styleId="117">
    <w:name w:val="批注文字 Char Char"/>
    <w:qFormat/>
    <w:uiPriority w:val="0"/>
    <w:rPr>
      <w:rFonts w:ascii="宋体" w:hAnsi="Times New Roman" w:eastAsia="宋体" w:cs="Times New Roman"/>
      <w:sz w:val="28"/>
      <w:szCs w:val="20"/>
    </w:rPr>
  </w:style>
  <w:style w:type="character" w:customStyle="1" w:styleId="118">
    <w:name w:val="正文文本缩进 2 字符"/>
    <w:semiHidden/>
    <w:qFormat/>
    <w:uiPriority w:val="99"/>
    <w:rPr>
      <w:rFonts w:ascii="Calibri" w:hAnsi="Calibri" w:eastAsia="宋体" w:cs="Times New Roman"/>
    </w:rPr>
  </w:style>
  <w:style w:type="character" w:customStyle="1" w:styleId="119">
    <w:name w:val="脚注文本 字符"/>
    <w:semiHidden/>
    <w:qFormat/>
    <w:uiPriority w:val="99"/>
    <w:rPr>
      <w:rFonts w:ascii="Calibri" w:hAnsi="Calibri" w:eastAsia="宋体" w:cs="Times New Roman"/>
      <w:sz w:val="18"/>
      <w:szCs w:val="18"/>
    </w:rPr>
  </w:style>
  <w:style w:type="character" w:customStyle="1" w:styleId="120">
    <w:name w:val="批注文字 Char1"/>
    <w:qFormat/>
    <w:uiPriority w:val="0"/>
    <w:rPr>
      <w:rFonts w:ascii="仿宋_GB2312" w:hAnsi="Times New Roman" w:eastAsia="仿宋_GB2312"/>
      <w:kern w:val="2"/>
      <w:sz w:val="21"/>
    </w:rPr>
  </w:style>
  <w:style w:type="character" w:customStyle="1" w:styleId="121">
    <w:name w:val="无间隔 字符"/>
    <w:link w:val="122"/>
    <w:qFormat/>
    <w:uiPriority w:val="0"/>
    <w:rPr>
      <w:kern w:val="2"/>
      <w:sz w:val="21"/>
      <w:szCs w:val="22"/>
      <w:lang w:bidi="ar-SA"/>
    </w:rPr>
  </w:style>
  <w:style w:type="paragraph" w:customStyle="1" w:styleId="122">
    <w:name w:val="无间隔1"/>
    <w:link w:val="12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3">
    <w:name w:val="批注文字 字符1"/>
    <w:qFormat/>
    <w:uiPriority w:val="0"/>
    <w:rPr>
      <w:rFonts w:ascii="宋体" w:hAnsi="宋体" w:eastAsia="宋体" w:cs="Times New Roman"/>
      <w:sz w:val="24"/>
      <w:szCs w:val="24"/>
    </w:rPr>
  </w:style>
  <w:style w:type="character" w:customStyle="1" w:styleId="124">
    <w:name w:val="hover"/>
    <w:qFormat/>
    <w:uiPriority w:val="0"/>
  </w:style>
  <w:style w:type="character" w:customStyle="1" w:styleId="125">
    <w:name w:val="日期 字符"/>
    <w:semiHidden/>
    <w:qFormat/>
    <w:uiPriority w:val="99"/>
    <w:rPr>
      <w:rFonts w:ascii="Calibri" w:hAnsi="Calibri" w:eastAsia="宋体" w:cs="Times New Roman"/>
    </w:rPr>
  </w:style>
  <w:style w:type="character" w:customStyle="1" w:styleId="126">
    <w:name w:val="明显强调1"/>
    <w:qFormat/>
    <w:uiPriority w:val="0"/>
    <w:rPr>
      <w:b/>
      <w:bCs/>
      <w:i/>
      <w:iCs/>
      <w:color w:val="4F81BD"/>
    </w:rPr>
  </w:style>
  <w:style w:type="character" w:customStyle="1" w:styleId="127">
    <w:name w:val="标题 4 字符"/>
    <w:semiHidden/>
    <w:qFormat/>
    <w:uiPriority w:val="9"/>
    <w:rPr>
      <w:rFonts w:ascii="等线 Light" w:hAnsi="等线 Light" w:eastAsia="等线 Light" w:cs="Times New Roman"/>
      <w:b/>
      <w:bCs/>
      <w:sz w:val="28"/>
      <w:szCs w:val="28"/>
    </w:rPr>
  </w:style>
  <w:style w:type="character" w:customStyle="1" w:styleId="128">
    <w:name w:val="标题 3 字符"/>
    <w:semiHidden/>
    <w:qFormat/>
    <w:uiPriority w:val="9"/>
    <w:rPr>
      <w:rFonts w:ascii="Calibri" w:hAnsi="Calibri" w:eastAsia="宋体" w:cs="Times New Roman"/>
      <w:b/>
      <w:bCs/>
      <w:sz w:val="32"/>
      <w:szCs w:val="32"/>
    </w:rPr>
  </w:style>
  <w:style w:type="character" w:customStyle="1" w:styleId="129">
    <w:name w:val="正文文本缩进 字符"/>
    <w:semiHidden/>
    <w:qFormat/>
    <w:uiPriority w:val="99"/>
    <w:rPr>
      <w:rFonts w:ascii="Calibri" w:hAnsi="Calibri" w:eastAsia="宋体" w:cs="Times New Roman"/>
    </w:rPr>
  </w:style>
  <w:style w:type="character" w:customStyle="1" w:styleId="130">
    <w:name w:val="明显引用 字符"/>
    <w:link w:val="131"/>
    <w:qFormat/>
    <w:uiPriority w:val="0"/>
    <w:rPr>
      <w:b/>
      <w:bCs/>
      <w:i/>
      <w:iCs/>
      <w:color w:val="4F81BD"/>
      <w:kern w:val="2"/>
      <w:sz w:val="21"/>
      <w:szCs w:val="22"/>
    </w:rPr>
  </w:style>
  <w:style w:type="paragraph" w:customStyle="1" w:styleId="131">
    <w:name w:val="明显引用1"/>
    <w:basedOn w:val="1"/>
    <w:next w:val="1"/>
    <w:link w:val="130"/>
    <w:qFormat/>
    <w:uiPriority w:val="0"/>
    <w:pPr>
      <w:pBdr>
        <w:bottom w:val="single" w:color="4F81BD" w:sz="4" w:space="4"/>
      </w:pBdr>
      <w:spacing w:before="200" w:after="280"/>
      <w:ind w:left="936" w:right="936"/>
    </w:pPr>
    <w:rPr>
      <w:b/>
      <w:bCs/>
      <w:i/>
      <w:iCs/>
      <w:color w:val="4F81BD"/>
    </w:rPr>
  </w:style>
  <w:style w:type="character" w:customStyle="1" w:styleId="132">
    <w:name w:val="!我的正文 Ctr+Q Char Char"/>
    <w:link w:val="133"/>
    <w:qFormat/>
    <w:uiPriority w:val="0"/>
    <w:rPr>
      <w:rFonts w:ascii="Arial" w:hAnsi="Arial"/>
      <w:kern w:val="2"/>
      <w:sz w:val="24"/>
      <w:szCs w:val="21"/>
    </w:rPr>
  </w:style>
  <w:style w:type="paragraph" w:customStyle="1" w:styleId="133">
    <w:name w:val="!我的正文 Ctr+Q"/>
    <w:basedOn w:val="1"/>
    <w:link w:val="132"/>
    <w:qFormat/>
    <w:uiPriority w:val="0"/>
    <w:pPr>
      <w:adjustRightInd w:val="0"/>
      <w:snapToGrid w:val="0"/>
      <w:spacing w:line="360" w:lineRule="auto"/>
      <w:ind w:firstLine="480" w:firstLineChars="200"/>
    </w:pPr>
    <w:rPr>
      <w:rFonts w:ascii="Arial" w:hAnsi="Arial"/>
      <w:sz w:val="24"/>
      <w:szCs w:val="21"/>
    </w:rPr>
  </w:style>
  <w:style w:type="character" w:customStyle="1" w:styleId="134">
    <w:name w:val="引用 字符"/>
    <w:link w:val="135"/>
    <w:qFormat/>
    <w:uiPriority w:val="0"/>
    <w:rPr>
      <w:i/>
      <w:iCs/>
      <w:color w:val="000000"/>
      <w:kern w:val="2"/>
      <w:sz w:val="21"/>
      <w:szCs w:val="22"/>
    </w:rPr>
  </w:style>
  <w:style w:type="paragraph" w:customStyle="1" w:styleId="135">
    <w:name w:val="引用1"/>
    <w:basedOn w:val="1"/>
    <w:next w:val="1"/>
    <w:link w:val="134"/>
    <w:qFormat/>
    <w:uiPriority w:val="0"/>
    <w:rPr>
      <w:i/>
      <w:iCs/>
      <w:color w:val="000000"/>
    </w:rPr>
  </w:style>
  <w:style w:type="character" w:customStyle="1" w:styleId="136">
    <w:name w:val="批注文字 字符"/>
    <w:semiHidden/>
    <w:qFormat/>
    <w:uiPriority w:val="99"/>
    <w:rPr>
      <w:rFonts w:ascii="Calibri" w:hAnsi="Calibri" w:eastAsia="宋体" w:cs="Times New Roman"/>
    </w:rPr>
  </w:style>
  <w:style w:type="character" w:customStyle="1" w:styleId="137">
    <w:name w:val="副标题 Char1"/>
    <w:qFormat/>
    <w:uiPriority w:val="0"/>
    <w:rPr>
      <w:rFonts w:ascii="Cambria" w:hAnsi="Cambria" w:eastAsia="宋体" w:cs="Times New Roman"/>
      <w:b/>
      <w:bCs/>
      <w:kern w:val="28"/>
      <w:sz w:val="32"/>
      <w:szCs w:val="32"/>
    </w:rPr>
  </w:style>
  <w:style w:type="character" w:customStyle="1" w:styleId="138">
    <w:name w:val="font51"/>
    <w:basedOn w:val="53"/>
    <w:qFormat/>
    <w:uiPriority w:val="0"/>
    <w:rPr>
      <w:b/>
      <w:bCs/>
      <w:sz w:val="26"/>
      <w:szCs w:val="26"/>
    </w:rPr>
  </w:style>
  <w:style w:type="character" w:customStyle="1" w:styleId="139">
    <w:name w:val="正文文本 (3)_"/>
    <w:link w:val="140"/>
    <w:qFormat/>
    <w:uiPriority w:val="0"/>
    <w:rPr>
      <w:rFonts w:ascii="Arial Unicode MS" w:hAnsi="Arial Unicode MS" w:eastAsia="Arial Unicode MS"/>
      <w:spacing w:val="10"/>
      <w:sz w:val="17"/>
      <w:szCs w:val="17"/>
      <w:shd w:val="clear" w:color="auto" w:fill="FFFFFF"/>
    </w:rPr>
  </w:style>
  <w:style w:type="paragraph" w:customStyle="1" w:styleId="140">
    <w:name w:val="正文文本 (3)"/>
    <w:basedOn w:val="1"/>
    <w:link w:val="139"/>
    <w:qFormat/>
    <w:uiPriority w:val="0"/>
    <w:pPr>
      <w:shd w:val="clear" w:color="auto" w:fill="FFFFFF"/>
      <w:spacing w:after="60" w:line="0" w:lineRule="atLeast"/>
      <w:ind w:hanging="940"/>
      <w:jc w:val="left"/>
    </w:pPr>
    <w:rPr>
      <w:rFonts w:ascii="Arial Unicode MS" w:hAnsi="Arial Unicode MS" w:eastAsia="Arial Unicode MS"/>
      <w:spacing w:val="10"/>
      <w:kern w:val="0"/>
      <w:sz w:val="17"/>
      <w:szCs w:val="17"/>
      <w:shd w:val="clear" w:color="auto" w:fill="FFFFFF"/>
    </w:rPr>
  </w:style>
  <w:style w:type="character" w:customStyle="1" w:styleId="141">
    <w:name w:val="标题 Char1"/>
    <w:qFormat/>
    <w:uiPriority w:val="0"/>
    <w:rPr>
      <w:rFonts w:ascii="Cambria" w:hAnsi="Cambria" w:eastAsia="宋体" w:cs="Times New Roman"/>
      <w:b/>
      <w:bCs/>
      <w:kern w:val="2"/>
      <w:sz w:val="32"/>
      <w:szCs w:val="32"/>
    </w:rPr>
  </w:style>
  <w:style w:type="character" w:customStyle="1" w:styleId="142">
    <w:name w:val="书籍标题1"/>
    <w:qFormat/>
    <w:uiPriority w:val="0"/>
    <w:rPr>
      <w:b/>
      <w:bCs/>
      <w:smallCaps/>
      <w:spacing w:val="5"/>
    </w:rPr>
  </w:style>
  <w:style w:type="character" w:customStyle="1" w:styleId="143">
    <w:name w:val="列出段落 Char Char"/>
    <w:link w:val="144"/>
    <w:qFormat/>
    <w:uiPriority w:val="0"/>
    <w:rPr>
      <w:kern w:val="2"/>
      <w:sz w:val="21"/>
    </w:rPr>
  </w:style>
  <w:style w:type="paragraph" w:customStyle="1" w:styleId="144">
    <w:name w:val="列出段落1"/>
    <w:basedOn w:val="1"/>
    <w:link w:val="143"/>
    <w:qFormat/>
    <w:uiPriority w:val="0"/>
    <w:pPr>
      <w:ind w:firstLine="420" w:firstLineChars="200"/>
    </w:pPr>
    <w:rPr>
      <w:szCs w:val="20"/>
    </w:rPr>
  </w:style>
  <w:style w:type="character" w:customStyle="1" w:styleId="145">
    <w:name w:val="正文文本_"/>
    <w:link w:val="146"/>
    <w:qFormat/>
    <w:uiPriority w:val="0"/>
    <w:rPr>
      <w:rFonts w:ascii="MingLiU" w:hAnsi="MingLiU" w:eastAsia="MingLiU"/>
      <w:spacing w:val="20"/>
      <w:shd w:val="clear" w:color="auto" w:fill="FFFFFF"/>
    </w:rPr>
  </w:style>
  <w:style w:type="paragraph" w:customStyle="1" w:styleId="146">
    <w:name w:val="正文文本1"/>
    <w:basedOn w:val="1"/>
    <w:link w:val="145"/>
    <w:qFormat/>
    <w:uiPriority w:val="0"/>
    <w:pPr>
      <w:shd w:val="clear" w:color="auto" w:fill="FFFFFF"/>
      <w:spacing w:before="300" w:line="0" w:lineRule="atLeast"/>
      <w:ind w:hanging="580"/>
      <w:jc w:val="left"/>
    </w:pPr>
    <w:rPr>
      <w:rFonts w:ascii="MingLiU" w:hAnsi="MingLiU" w:eastAsia="MingLiU"/>
      <w:spacing w:val="20"/>
      <w:kern w:val="0"/>
      <w:sz w:val="20"/>
      <w:szCs w:val="20"/>
      <w:shd w:val="clear" w:color="auto" w:fill="FFFFFF"/>
    </w:rPr>
  </w:style>
  <w:style w:type="character" w:customStyle="1" w:styleId="147">
    <w:name w:val="标题 9 字符"/>
    <w:semiHidden/>
    <w:qFormat/>
    <w:uiPriority w:val="9"/>
    <w:rPr>
      <w:rFonts w:ascii="等线 Light" w:hAnsi="等线 Light" w:eastAsia="等线 Light" w:cs="Times New Roman"/>
      <w:szCs w:val="21"/>
    </w:rPr>
  </w:style>
  <w:style w:type="character" w:customStyle="1" w:styleId="148">
    <w:name w:val="Char Char4"/>
    <w:link w:val="149"/>
    <w:qFormat/>
    <w:uiPriority w:val="0"/>
    <w:rPr>
      <w:rFonts w:ascii="Tahoma" w:hAnsi="Tahoma"/>
      <w:kern w:val="2"/>
      <w:sz w:val="24"/>
    </w:rPr>
  </w:style>
  <w:style w:type="paragraph" w:customStyle="1" w:styleId="149">
    <w:name w:val="Char"/>
    <w:basedOn w:val="1"/>
    <w:link w:val="148"/>
    <w:qFormat/>
    <w:uiPriority w:val="0"/>
    <w:rPr>
      <w:rFonts w:ascii="Tahoma" w:hAnsi="Tahoma"/>
      <w:sz w:val="24"/>
      <w:szCs w:val="20"/>
    </w:rPr>
  </w:style>
  <w:style w:type="character" w:customStyle="1" w:styleId="150">
    <w:name w:val="标题6 Char Char"/>
    <w:link w:val="151"/>
    <w:qFormat/>
    <w:uiPriority w:val="0"/>
    <w:rPr>
      <w:rFonts w:ascii="宋体" w:hAnsi="宋体" w:eastAsia="黑体"/>
      <w:kern w:val="2"/>
      <w:sz w:val="32"/>
      <w:szCs w:val="32"/>
    </w:rPr>
  </w:style>
  <w:style w:type="paragraph" w:customStyle="1" w:styleId="151">
    <w:name w:val="标题6"/>
    <w:basedOn w:val="1"/>
    <w:link w:val="150"/>
    <w:qFormat/>
    <w:uiPriority w:val="0"/>
    <w:pPr>
      <w:keepNext/>
      <w:keepLines/>
      <w:spacing w:line="400" w:lineRule="exact"/>
      <w:jc w:val="center"/>
      <w:outlineLvl w:val="2"/>
    </w:pPr>
    <w:rPr>
      <w:rFonts w:ascii="宋体" w:hAnsi="宋体" w:eastAsia="黑体"/>
      <w:sz w:val="32"/>
      <w:szCs w:val="32"/>
    </w:rPr>
  </w:style>
  <w:style w:type="character" w:customStyle="1" w:styleId="152">
    <w:name w:val="文档结构图 Char2"/>
    <w:qFormat/>
    <w:uiPriority w:val="0"/>
    <w:rPr>
      <w:rFonts w:ascii="宋体" w:hAnsi="Times New Roman" w:eastAsia="宋体"/>
      <w:kern w:val="2"/>
      <w:sz w:val="18"/>
      <w:szCs w:val="18"/>
    </w:rPr>
  </w:style>
  <w:style w:type="character" w:customStyle="1" w:styleId="153">
    <w:name w:val="明显引用 Char1"/>
    <w:qFormat/>
    <w:uiPriority w:val="99"/>
    <w:rPr>
      <w:b/>
      <w:bCs/>
      <w:i/>
      <w:iCs/>
      <w:color w:val="4F81BD"/>
      <w:kern w:val="2"/>
      <w:sz w:val="21"/>
      <w:szCs w:val="22"/>
    </w:rPr>
  </w:style>
  <w:style w:type="character" w:customStyle="1" w:styleId="154">
    <w:name w:val="不明显参考1"/>
    <w:qFormat/>
    <w:uiPriority w:val="0"/>
    <w:rPr>
      <w:smallCaps/>
      <w:color w:val="C0504D"/>
      <w:u w:val="single"/>
    </w:rPr>
  </w:style>
  <w:style w:type="character" w:customStyle="1" w:styleId="155">
    <w:name w:val="尾注文本 字符"/>
    <w:semiHidden/>
    <w:qFormat/>
    <w:uiPriority w:val="99"/>
    <w:rPr>
      <w:rFonts w:ascii="Calibri" w:hAnsi="Calibri" w:eastAsia="宋体" w:cs="Times New Roman"/>
    </w:rPr>
  </w:style>
  <w:style w:type="character" w:customStyle="1" w:styleId="156">
    <w:name w:val="标题 5 字符"/>
    <w:semiHidden/>
    <w:qFormat/>
    <w:uiPriority w:val="9"/>
    <w:rPr>
      <w:rFonts w:ascii="Calibri" w:hAnsi="Calibri" w:eastAsia="宋体" w:cs="Times New Roman"/>
      <w:b/>
      <w:bCs/>
      <w:sz w:val="28"/>
      <w:szCs w:val="28"/>
    </w:rPr>
  </w:style>
  <w:style w:type="character" w:customStyle="1" w:styleId="157">
    <w:name w:val="样式 标题 3h3section:3Level 3 HeadH3level_3PIM 33rd level3H... Char Char"/>
    <w:link w:val="158"/>
    <w:qFormat/>
    <w:uiPriority w:val="0"/>
    <w:rPr>
      <w:rFonts w:ascii="Arial" w:hAnsi="Arial"/>
      <w:b/>
      <w:kern w:val="2"/>
      <w:sz w:val="24"/>
      <w:szCs w:val="28"/>
    </w:rPr>
  </w:style>
  <w:style w:type="paragraph" w:customStyle="1" w:styleId="158">
    <w:name w:val="样式 标题 3h3section:3Level 3 HeadH3level_3PIM 33rd level3H..."/>
    <w:basedOn w:val="4"/>
    <w:link w:val="157"/>
    <w:qFormat/>
    <w:uiPriority w:val="0"/>
    <w:pPr>
      <w:keepNext/>
      <w:tabs>
        <w:tab w:val="left" w:pos="1680"/>
        <w:tab w:val="left" w:pos="2310"/>
      </w:tabs>
      <w:adjustRightInd w:val="0"/>
      <w:spacing w:before="240" w:beforeAutospacing="0" w:after="60" w:afterAutospacing="0" w:line="416" w:lineRule="atLeast"/>
      <w:ind w:left="2310" w:hanging="420"/>
    </w:pPr>
    <w:rPr>
      <w:rFonts w:ascii="Arial" w:hAnsi="Arial"/>
      <w:b/>
      <w:kern w:val="2"/>
      <w:sz w:val="24"/>
      <w:szCs w:val="28"/>
    </w:rPr>
  </w:style>
  <w:style w:type="character" w:customStyle="1" w:styleId="159">
    <w:name w:val="页眉 字符"/>
    <w:semiHidden/>
    <w:qFormat/>
    <w:uiPriority w:val="99"/>
    <w:rPr>
      <w:rFonts w:ascii="Calibri" w:hAnsi="Calibri" w:eastAsia="宋体" w:cs="Times New Roman"/>
      <w:sz w:val="18"/>
      <w:szCs w:val="18"/>
    </w:rPr>
  </w:style>
  <w:style w:type="character" w:customStyle="1" w:styleId="160">
    <w:name w:val="标题 7 字符"/>
    <w:semiHidden/>
    <w:qFormat/>
    <w:uiPriority w:val="9"/>
    <w:rPr>
      <w:rFonts w:ascii="Calibri" w:hAnsi="Calibri" w:eastAsia="宋体" w:cs="Times New Roman"/>
      <w:b/>
      <w:bCs/>
      <w:sz w:val="24"/>
      <w:szCs w:val="24"/>
    </w:rPr>
  </w:style>
  <w:style w:type="character" w:customStyle="1" w:styleId="161">
    <w:name w:val="标题 8 字符"/>
    <w:semiHidden/>
    <w:qFormat/>
    <w:uiPriority w:val="9"/>
    <w:rPr>
      <w:rFonts w:ascii="等线 Light" w:hAnsi="等线 Light" w:eastAsia="等线 Light" w:cs="Times New Roman"/>
      <w:sz w:val="24"/>
      <w:szCs w:val="24"/>
    </w:rPr>
  </w:style>
  <w:style w:type="character" w:customStyle="1" w:styleId="162">
    <w:name w:val="文一 Char Char"/>
    <w:link w:val="163"/>
    <w:qFormat/>
    <w:uiPriority w:val="0"/>
    <w:rPr>
      <w:spacing w:val="4"/>
      <w:sz w:val="24"/>
      <w:szCs w:val="24"/>
    </w:rPr>
  </w:style>
  <w:style w:type="paragraph" w:customStyle="1" w:styleId="163">
    <w:name w:val="文一"/>
    <w:basedOn w:val="1"/>
    <w:link w:val="162"/>
    <w:qFormat/>
    <w:uiPriority w:val="0"/>
    <w:pPr>
      <w:topLinePunct/>
      <w:adjustRightInd w:val="0"/>
      <w:snapToGrid w:val="0"/>
      <w:spacing w:line="360" w:lineRule="auto"/>
      <w:ind w:firstLine="200" w:firstLineChars="200"/>
    </w:pPr>
    <w:rPr>
      <w:spacing w:val="4"/>
      <w:kern w:val="0"/>
      <w:sz w:val="24"/>
      <w:szCs w:val="24"/>
    </w:rPr>
  </w:style>
  <w:style w:type="character" w:customStyle="1" w:styleId="164">
    <w:name w:val="引用 Char1"/>
    <w:qFormat/>
    <w:uiPriority w:val="99"/>
    <w:rPr>
      <w:i/>
      <w:iCs/>
      <w:color w:val="000000"/>
      <w:kern w:val="2"/>
      <w:sz w:val="21"/>
      <w:szCs w:val="22"/>
    </w:rPr>
  </w:style>
  <w:style w:type="character" w:customStyle="1" w:styleId="165">
    <w:name w:val="正文文本 Char1"/>
    <w:qFormat/>
    <w:uiPriority w:val="0"/>
    <w:rPr>
      <w:kern w:val="2"/>
      <w:sz w:val="21"/>
      <w:szCs w:val="22"/>
    </w:rPr>
  </w:style>
  <w:style w:type="character" w:customStyle="1" w:styleId="166">
    <w:name w:val="样式 Char Char"/>
    <w:link w:val="167"/>
    <w:qFormat/>
    <w:uiPriority w:val="0"/>
    <w:rPr>
      <w:rFonts w:ascii="Arial" w:hAnsi="Arial" w:eastAsia="黑体"/>
      <w:bCs/>
      <w:kern w:val="2"/>
      <w:sz w:val="24"/>
      <w:szCs w:val="32"/>
    </w:rPr>
  </w:style>
  <w:style w:type="paragraph" w:customStyle="1" w:styleId="167">
    <w:name w:val="样式"/>
    <w:basedOn w:val="168"/>
    <w:link w:val="166"/>
    <w:qFormat/>
    <w:uiPriority w:val="0"/>
    <w:pPr>
      <w:keepNext w:val="0"/>
      <w:keepLines w:val="0"/>
      <w:widowControl/>
      <w:tabs>
        <w:tab w:val="left" w:pos="2730"/>
      </w:tabs>
      <w:spacing w:before="240" w:after="60" w:line="240" w:lineRule="auto"/>
      <w:jc w:val="center"/>
      <w:outlineLvl w:val="9"/>
    </w:pPr>
    <w:rPr>
      <w:rFonts w:eastAsia="黑体"/>
      <w:b w:val="0"/>
      <w:kern w:val="2"/>
    </w:rPr>
  </w:style>
  <w:style w:type="paragraph" w:customStyle="1" w:styleId="168">
    <w:name w:val="标题5"/>
    <w:basedOn w:val="4"/>
    <w:link w:val="169"/>
    <w:qFormat/>
    <w:uiPriority w:val="0"/>
    <w:pPr>
      <w:keepNext/>
      <w:keepLines/>
      <w:widowControl w:val="0"/>
      <w:spacing w:before="260" w:beforeAutospacing="0" w:after="260" w:afterAutospacing="0" w:line="413" w:lineRule="auto"/>
      <w:jc w:val="both"/>
    </w:pPr>
    <w:rPr>
      <w:rFonts w:ascii="Arial" w:hAnsi="Arial"/>
      <w:b/>
      <w:bCs/>
      <w:sz w:val="24"/>
      <w:szCs w:val="32"/>
    </w:rPr>
  </w:style>
  <w:style w:type="character" w:customStyle="1" w:styleId="169">
    <w:name w:val="标题5 Char Char"/>
    <w:link w:val="168"/>
    <w:qFormat/>
    <w:uiPriority w:val="0"/>
    <w:rPr>
      <w:rFonts w:ascii="Arial" w:hAnsi="Arial"/>
      <w:b/>
      <w:bCs/>
      <w:sz w:val="24"/>
      <w:szCs w:val="32"/>
    </w:rPr>
  </w:style>
  <w:style w:type="character" w:customStyle="1" w:styleId="170">
    <w:name w:val="批注框文本 Char1"/>
    <w:qFormat/>
    <w:uiPriority w:val="0"/>
    <w:rPr>
      <w:kern w:val="2"/>
      <w:sz w:val="18"/>
      <w:szCs w:val="18"/>
    </w:rPr>
  </w:style>
  <w:style w:type="character" w:customStyle="1" w:styleId="171">
    <w:name w:val="页码1"/>
    <w:qFormat/>
    <w:uiPriority w:val="0"/>
  </w:style>
  <w:style w:type="character" w:customStyle="1" w:styleId="172">
    <w:name w:val="不明显强调1"/>
    <w:qFormat/>
    <w:uiPriority w:val="0"/>
    <w:rPr>
      <w:i/>
      <w:iCs/>
      <w:color w:val="808080"/>
    </w:rPr>
  </w:style>
  <w:style w:type="character" w:customStyle="1" w:styleId="173">
    <w:name w:val="标题 6 字符"/>
    <w:semiHidden/>
    <w:qFormat/>
    <w:uiPriority w:val="9"/>
    <w:rPr>
      <w:rFonts w:ascii="等线 Light" w:hAnsi="等线 Light" w:eastAsia="等线 Light" w:cs="Times New Roman"/>
      <w:b/>
      <w:bCs/>
      <w:sz w:val="24"/>
      <w:szCs w:val="24"/>
    </w:rPr>
  </w:style>
  <w:style w:type="character" w:customStyle="1" w:styleId="174">
    <w:name w:val="日期 Char1"/>
    <w:qFormat/>
    <w:uiPriority w:val="0"/>
    <w:rPr>
      <w:kern w:val="2"/>
      <w:sz w:val="21"/>
      <w:szCs w:val="22"/>
    </w:rPr>
  </w:style>
  <w:style w:type="character" w:customStyle="1" w:styleId="175">
    <w:name w:val="纯文本 字符"/>
    <w:semiHidden/>
    <w:qFormat/>
    <w:uiPriority w:val="99"/>
    <w:rPr>
      <w:rFonts w:ascii="等线" w:hAnsi="Courier New" w:cs="Courier New"/>
    </w:rPr>
  </w:style>
  <w:style w:type="character" w:customStyle="1" w:styleId="176">
    <w:name w:val="times1"/>
    <w:qFormat/>
    <w:uiPriority w:val="0"/>
    <w:rPr>
      <w:color w:val="CDCDCD"/>
      <w:bdr w:val="single" w:color="CDCDCD" w:sz="6" w:space="0"/>
      <w:shd w:val="clear" w:color="auto" w:fill="EFEFEF"/>
    </w:rPr>
  </w:style>
  <w:style w:type="character" w:customStyle="1" w:styleId="177">
    <w:name w:val="标题4 Char Char"/>
    <w:link w:val="178"/>
    <w:qFormat/>
    <w:uiPriority w:val="0"/>
    <w:rPr>
      <w:rFonts w:ascii="Arial" w:hAnsi="Arial"/>
      <w:b/>
      <w:bCs/>
      <w:sz w:val="24"/>
      <w:szCs w:val="32"/>
    </w:rPr>
  </w:style>
  <w:style w:type="paragraph" w:customStyle="1" w:styleId="178">
    <w:name w:val="标题4"/>
    <w:basedOn w:val="3"/>
    <w:next w:val="22"/>
    <w:link w:val="177"/>
    <w:qFormat/>
    <w:uiPriority w:val="0"/>
    <w:pPr>
      <w:spacing w:before="260" w:after="260" w:line="413" w:lineRule="auto"/>
      <w:jc w:val="both"/>
    </w:pPr>
    <w:rPr>
      <w:bCs/>
      <w:color w:val="auto"/>
      <w:szCs w:val="32"/>
    </w:rPr>
  </w:style>
  <w:style w:type="character" w:customStyle="1" w:styleId="179">
    <w:name w:val="正文首行缩进 字符"/>
    <w:semiHidden/>
    <w:qFormat/>
    <w:uiPriority w:val="99"/>
  </w:style>
  <w:style w:type="character" w:customStyle="1" w:styleId="180">
    <w:name w:val="标题 字符"/>
    <w:qFormat/>
    <w:uiPriority w:val="10"/>
    <w:rPr>
      <w:rFonts w:ascii="等线 Light" w:hAnsi="等线 Light" w:eastAsia="等线 Light" w:cs="Times New Roman"/>
      <w:b/>
      <w:bCs/>
      <w:sz w:val="32"/>
      <w:szCs w:val="32"/>
    </w:rPr>
  </w:style>
  <w:style w:type="character" w:customStyle="1" w:styleId="181">
    <w:name w:val="文档结构图 Char1"/>
    <w:qFormat/>
    <w:uiPriority w:val="0"/>
    <w:rPr>
      <w:rFonts w:ascii="宋体"/>
      <w:kern w:val="2"/>
      <w:sz w:val="18"/>
      <w:szCs w:val="18"/>
    </w:rPr>
  </w:style>
  <w:style w:type="paragraph" w:customStyle="1" w:styleId="182">
    <w:name w:val="正文 New New New New New New New New New New New New New New New New New New New New New New New New New New New New"/>
    <w:basedOn w:val="1"/>
    <w:unhideWhenUsed/>
    <w:qFormat/>
    <w:uiPriority w:val="0"/>
    <w:rPr>
      <w:rFonts w:ascii="Times New Roman" w:hAnsi="Times New Roman"/>
      <w:szCs w:val="20"/>
    </w:rPr>
  </w:style>
  <w:style w:type="paragraph" w:customStyle="1" w:styleId="183">
    <w:name w:val="目录 1_0"/>
    <w:basedOn w:val="184"/>
    <w:next w:val="184"/>
    <w:qFormat/>
    <w:uiPriority w:val="0"/>
    <w:pPr>
      <w:tabs>
        <w:tab w:val="right" w:leader="dot" w:pos="8493"/>
      </w:tabs>
      <w:adjustRightInd w:val="0"/>
      <w:spacing w:line="360" w:lineRule="auto"/>
      <w:jc w:val="left"/>
    </w:pPr>
    <w:rPr>
      <w:rFonts w:ascii="宋体" w:hAnsi="宋体"/>
      <w:b/>
      <w:caps/>
      <w:kern w:val="0"/>
      <w:sz w:val="24"/>
      <w:szCs w:val="32"/>
    </w:rPr>
  </w:style>
  <w:style w:type="paragraph" w:customStyle="1" w:styleId="184">
    <w:name w:val="正文_0"/>
    <w:qFormat/>
    <w:uiPriority w:val="0"/>
    <w:pPr>
      <w:widowControl w:val="0"/>
      <w:jc w:val="both"/>
    </w:pPr>
    <w:rPr>
      <w:rFonts w:ascii="等线" w:hAnsi="等线" w:eastAsia="楷体_GB2312" w:cs="Times New Roman"/>
      <w:kern w:val="2"/>
      <w:sz w:val="21"/>
      <w:lang w:val="en-US" w:eastAsia="zh-CN" w:bidi="ar-SA"/>
    </w:rPr>
  </w:style>
  <w:style w:type="paragraph" w:customStyle="1" w:styleId="185">
    <w:name w:val="_Style 25"/>
    <w:basedOn w:val="1"/>
    <w:next w:val="1"/>
    <w:qFormat/>
    <w:uiPriority w:val="0"/>
  </w:style>
  <w:style w:type="paragraph" w:customStyle="1" w:styleId="186">
    <w:name w:val="标签"/>
    <w:basedOn w:val="1"/>
    <w:qFormat/>
    <w:uiPriority w:val="0"/>
    <w:pPr>
      <w:suppressLineNumbers/>
      <w:suppressAutoHyphens/>
      <w:spacing w:before="120" w:after="120"/>
    </w:pPr>
    <w:rPr>
      <w:rFonts w:ascii="Times New Roman" w:hAnsi="Times New Roman" w:eastAsia="等线"/>
      <w:i/>
      <w:iCs/>
      <w:sz w:val="24"/>
      <w:szCs w:val="24"/>
      <w:lang w:eastAsia="ar-SA"/>
    </w:rPr>
  </w:style>
  <w:style w:type="paragraph" w:customStyle="1" w:styleId="187">
    <w:name w:val="TOC 标题1"/>
    <w:basedOn w:val="2"/>
    <w:next w:val="1"/>
    <w:qFormat/>
    <w:uiPriority w:val="39"/>
    <w:pPr>
      <w:widowControl/>
      <w:spacing w:before="480" w:after="0" w:line="276" w:lineRule="auto"/>
      <w:outlineLvl w:val="9"/>
    </w:pPr>
    <w:rPr>
      <w:rFonts w:ascii="Cambria" w:hAnsi="Cambria"/>
      <w:color w:val="365F91"/>
      <w:kern w:val="0"/>
    </w:rPr>
  </w:style>
  <w:style w:type="paragraph" w:customStyle="1" w:styleId="188">
    <w:name w:val="Char Char Char Char"/>
    <w:basedOn w:val="1"/>
    <w:qFormat/>
    <w:uiPriority w:val="0"/>
    <w:rPr>
      <w:rFonts w:ascii="Times New Roman" w:hAnsi="Times New Roman"/>
      <w:sz w:val="30"/>
      <w:szCs w:val="24"/>
    </w:rPr>
  </w:style>
  <w:style w:type="paragraph" w:customStyle="1" w:styleId="189">
    <w:name w:val="页脚 New New New New New New New New New New New New New New New New New New New New"/>
    <w:basedOn w:val="1"/>
    <w:qFormat/>
    <w:uiPriority w:val="0"/>
    <w:pPr>
      <w:tabs>
        <w:tab w:val="center" w:pos="4153"/>
        <w:tab w:val="right" w:pos="8306"/>
      </w:tabs>
      <w:snapToGrid w:val="0"/>
      <w:jc w:val="left"/>
    </w:pPr>
    <w:rPr>
      <w:rFonts w:ascii="Times New Roman" w:hAnsi="Times New Roman"/>
      <w:sz w:val="18"/>
      <w:szCs w:val="18"/>
    </w:rPr>
  </w:style>
  <w:style w:type="paragraph" w:customStyle="1" w:styleId="190">
    <w:name w:val="p1"/>
    <w:basedOn w:val="1"/>
    <w:qFormat/>
    <w:uiPriority w:val="0"/>
    <w:pPr>
      <w:spacing w:line="380" w:lineRule="atLeast"/>
      <w:jc w:val="left"/>
    </w:pPr>
    <w:rPr>
      <w:rFonts w:ascii="Helvetica Neue" w:hAnsi="Helvetica Neue" w:eastAsia="Helvetica Neue"/>
      <w:color w:val="000000"/>
      <w:kern w:val="0"/>
      <w:sz w:val="26"/>
      <w:szCs w:val="26"/>
    </w:rPr>
  </w:style>
  <w:style w:type="paragraph" w:customStyle="1" w:styleId="191">
    <w:name w:val="正文 New New New New New New New New New New New New New New New New New"/>
    <w:qFormat/>
    <w:uiPriority w:val="0"/>
    <w:pPr>
      <w:widowControl w:val="0"/>
      <w:jc w:val="both"/>
    </w:pPr>
    <w:rPr>
      <w:rFonts w:ascii="等线" w:hAnsi="等线" w:eastAsia="等线" w:cs="Times New Roman"/>
      <w:kern w:val="2"/>
      <w:sz w:val="21"/>
      <w:szCs w:val="24"/>
      <w:lang w:val="en-US" w:eastAsia="zh-CN" w:bidi="ar-SA"/>
    </w:rPr>
  </w:style>
  <w:style w:type="paragraph" w:customStyle="1" w:styleId="192">
    <w:name w:val="封二"/>
    <w:basedOn w:val="163"/>
    <w:next w:val="163"/>
    <w:qFormat/>
    <w:uiPriority w:val="0"/>
    <w:pPr>
      <w:ind w:firstLine="0" w:firstLineChars="0"/>
      <w:jc w:val="center"/>
    </w:pPr>
    <w:rPr>
      <w:rFonts w:ascii="宋体" w:hAnsi="宋体" w:eastAsia="黑体"/>
      <w:b/>
      <w:kern w:val="2"/>
      <w:sz w:val="36"/>
      <w:szCs w:val="36"/>
    </w:rPr>
  </w:style>
  <w:style w:type="paragraph" w:customStyle="1" w:styleId="193">
    <w:name w:val="正文 New New New New New New New New New New New New New New New New New New New New New New New New New New New New New New New"/>
    <w:qFormat/>
    <w:uiPriority w:val="0"/>
    <w:pPr>
      <w:widowControl w:val="0"/>
      <w:jc w:val="both"/>
    </w:pPr>
    <w:rPr>
      <w:rFonts w:ascii="等线" w:hAnsi="等线" w:eastAsia="等线" w:cs="Times New Roman"/>
      <w:kern w:val="2"/>
      <w:sz w:val="21"/>
      <w:lang w:val="en-US" w:eastAsia="zh-CN" w:bidi="ar-SA"/>
    </w:rPr>
  </w:style>
  <w:style w:type="paragraph" w:customStyle="1" w:styleId="194">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eastAsia="等线"/>
      <w:kern w:val="0"/>
      <w:sz w:val="18"/>
      <w:szCs w:val="20"/>
    </w:rPr>
  </w:style>
  <w:style w:type="paragraph" w:customStyle="1" w:styleId="195">
    <w:name w:val="内容目录 10"/>
    <w:basedOn w:val="196"/>
    <w:qFormat/>
    <w:uiPriority w:val="0"/>
    <w:pPr>
      <w:tabs>
        <w:tab w:val="right" w:leader="dot" w:pos="9637"/>
      </w:tabs>
      <w:ind w:left="2547"/>
    </w:pPr>
  </w:style>
  <w:style w:type="paragraph" w:customStyle="1" w:styleId="196">
    <w:name w:val="目录"/>
    <w:basedOn w:val="1"/>
    <w:qFormat/>
    <w:uiPriority w:val="0"/>
    <w:pPr>
      <w:suppressLineNumbers/>
      <w:suppressAutoHyphens/>
    </w:pPr>
    <w:rPr>
      <w:rFonts w:ascii="Times New Roman" w:hAnsi="Times New Roman" w:eastAsia="等线"/>
      <w:szCs w:val="20"/>
      <w:lang w:eastAsia="ar-SA"/>
    </w:rPr>
  </w:style>
  <w:style w:type="paragraph" w:customStyle="1" w:styleId="197">
    <w:name w:val="纯文本1"/>
    <w:basedOn w:val="1"/>
    <w:qFormat/>
    <w:uiPriority w:val="0"/>
    <w:pPr>
      <w:suppressAutoHyphens/>
    </w:pPr>
    <w:rPr>
      <w:rFonts w:ascii="宋体" w:hAnsi="宋体" w:eastAsia="等线"/>
      <w:szCs w:val="20"/>
      <w:lang w:eastAsia="ar-SA"/>
    </w:rPr>
  </w:style>
  <w:style w:type="paragraph" w:customStyle="1" w:styleId="198">
    <w:name w:val="正文缩进 New"/>
    <w:basedOn w:val="199"/>
    <w:unhideWhenUsed/>
    <w:qFormat/>
    <w:uiPriority w:val="0"/>
    <w:pPr>
      <w:ind w:firstLine="420"/>
    </w:pPr>
    <w:rPr>
      <w:rFonts w:hint="default" w:ascii="Times New Roman" w:hAnsi="Times New Roman" w:eastAsia="宋体"/>
      <w:kern w:val="2"/>
    </w:rPr>
  </w:style>
  <w:style w:type="paragraph" w:customStyle="1" w:styleId="199">
    <w:name w:val="正文 New New New New New New New New New New New New New New New New New New New"/>
    <w:unhideWhenUsed/>
    <w:qFormat/>
    <w:uiPriority w:val="0"/>
    <w:pPr>
      <w:widowControl w:val="0"/>
      <w:jc w:val="both"/>
    </w:pPr>
    <w:rPr>
      <w:rFonts w:hint="eastAsia" w:ascii="仿宋_GB2312" w:hAnsi="仿宋_GB2312" w:eastAsia="仿宋_GB2312" w:cs="Times New Roman"/>
      <w:snapToGrid w:val="0"/>
      <w:sz w:val="21"/>
      <w:lang w:val="en-US" w:eastAsia="zh-CN" w:bidi="ar-SA"/>
    </w:rPr>
  </w:style>
  <w:style w:type="paragraph" w:customStyle="1" w:styleId="200">
    <w:name w:val="Char Char Char Char1"/>
    <w:basedOn w:val="1"/>
    <w:qFormat/>
    <w:uiPriority w:val="0"/>
    <w:pPr>
      <w:widowControl/>
      <w:spacing w:after="160" w:line="240" w:lineRule="exact"/>
      <w:jc w:val="left"/>
    </w:pPr>
    <w:rPr>
      <w:rFonts w:ascii="Times New Roman" w:hAnsi="Times New Roman" w:eastAsia="等线"/>
      <w:szCs w:val="20"/>
    </w:rPr>
  </w:style>
  <w:style w:type="paragraph" w:customStyle="1" w:styleId="201">
    <w:name w:val="正文 New New New New"/>
    <w:qFormat/>
    <w:uiPriority w:val="0"/>
    <w:pPr>
      <w:widowControl w:val="0"/>
      <w:jc w:val="both"/>
    </w:pPr>
    <w:rPr>
      <w:rFonts w:ascii="等线" w:hAnsi="等线" w:eastAsia="楷体_GB2312" w:cs="Times New Roman"/>
      <w:kern w:val="2"/>
      <w:sz w:val="21"/>
      <w:lang w:val="en-US" w:eastAsia="zh-CN" w:bidi="ar-SA"/>
    </w:rPr>
  </w:style>
  <w:style w:type="paragraph" w:customStyle="1" w:styleId="202">
    <w:name w:val="目录文字"/>
    <w:basedOn w:val="1"/>
    <w:qFormat/>
    <w:uiPriority w:val="0"/>
    <w:pPr>
      <w:widowControl/>
      <w:spacing w:line="480" w:lineRule="auto"/>
      <w:jc w:val="left"/>
    </w:pPr>
    <w:rPr>
      <w:rFonts w:ascii="宋体" w:hAnsi="宋体" w:eastAsia="等线"/>
      <w:kern w:val="0"/>
      <w:sz w:val="24"/>
      <w:szCs w:val="20"/>
    </w:rPr>
  </w:style>
  <w:style w:type="paragraph" w:customStyle="1" w:styleId="203">
    <w:name w:val="正文文本 New"/>
    <w:basedOn w:val="204"/>
    <w:qFormat/>
    <w:uiPriority w:val="0"/>
    <w:pPr>
      <w:spacing w:after="120"/>
    </w:pPr>
    <w:rPr>
      <w:rFonts w:eastAsia="宋体"/>
      <w:kern w:val="2"/>
      <w:sz w:val="30"/>
      <w:szCs w:val="24"/>
    </w:rPr>
  </w:style>
  <w:style w:type="paragraph" w:customStyle="1" w:styleId="204">
    <w:name w:val="正文 New New"/>
    <w:qFormat/>
    <w:uiPriority w:val="0"/>
    <w:pPr>
      <w:widowControl w:val="0"/>
      <w:jc w:val="both"/>
    </w:pPr>
    <w:rPr>
      <w:rFonts w:ascii="等线" w:hAnsi="等线" w:eastAsia="楷体_GB2312" w:cs="Times New Roman"/>
      <w:lang w:val="en-US" w:eastAsia="zh-CN" w:bidi="ar-SA"/>
    </w:rPr>
  </w:style>
  <w:style w:type="paragraph" w:customStyle="1" w:styleId="205">
    <w:name w:val="列出段落2"/>
    <w:basedOn w:val="1"/>
    <w:qFormat/>
    <w:uiPriority w:val="34"/>
    <w:pPr>
      <w:ind w:firstLine="420" w:firstLineChars="200"/>
    </w:pPr>
    <w:rPr>
      <w:rFonts w:ascii="Times New Roman" w:hAnsi="Times New Roman"/>
      <w:szCs w:val="20"/>
    </w:rPr>
  </w:style>
  <w:style w:type="paragraph" w:customStyle="1" w:styleId="206">
    <w:name w:val="msonormalcxspmiddle"/>
    <w:basedOn w:val="1"/>
    <w:qFormat/>
    <w:uiPriority w:val="0"/>
    <w:pPr>
      <w:widowControl/>
      <w:spacing w:before="100" w:beforeAutospacing="1" w:after="100" w:afterAutospacing="1"/>
      <w:jc w:val="left"/>
    </w:pPr>
    <w:rPr>
      <w:rFonts w:ascii="宋体" w:hAnsi="宋体" w:eastAsia="等线" w:cs="宋体"/>
      <w:kern w:val="0"/>
      <w:sz w:val="24"/>
      <w:szCs w:val="24"/>
    </w:rPr>
  </w:style>
  <w:style w:type="paragraph" w:customStyle="1" w:styleId="207">
    <w:name w:val="样式 正文缩进正文（首行缩进两字）特点ALT+Z表正文正文非缩进四号段1Normal Indent Char2..."/>
    <w:basedOn w:val="3"/>
    <w:next w:val="4"/>
    <w:qFormat/>
    <w:uiPriority w:val="0"/>
    <w:pPr>
      <w:tabs>
        <w:tab w:val="left" w:pos="840"/>
      </w:tabs>
      <w:spacing w:before="240" w:line="400" w:lineRule="exact"/>
      <w:ind w:left="840" w:hanging="420"/>
    </w:pPr>
    <w:rPr>
      <w:rFonts w:hint="eastAsia" w:ascii="宋体" w:hAnsi="宋体" w:eastAsia="黑体"/>
      <w:b w:val="0"/>
      <w:color w:val="auto"/>
      <w:szCs w:val="20"/>
    </w:rPr>
  </w:style>
  <w:style w:type="paragraph" w:customStyle="1" w:styleId="208">
    <w:name w:val="Char1"/>
    <w:basedOn w:val="1"/>
    <w:qFormat/>
    <w:uiPriority w:val="0"/>
    <w:pPr>
      <w:ind w:left="567" w:hanging="279"/>
    </w:pPr>
    <w:rPr>
      <w:rFonts w:ascii="Times New Roman" w:hAnsi="Times New Roman"/>
      <w:sz w:val="24"/>
      <w:szCs w:val="24"/>
    </w:rPr>
  </w:style>
  <w:style w:type="paragraph" w:customStyle="1" w:styleId="209">
    <w:name w:val="Char2"/>
    <w:basedOn w:val="1"/>
    <w:qFormat/>
    <w:uiPriority w:val="0"/>
    <w:pPr>
      <w:tabs>
        <w:tab w:val="left" w:pos="1500"/>
      </w:tabs>
      <w:ind w:left="567" w:hanging="279"/>
    </w:pPr>
    <w:rPr>
      <w:rFonts w:ascii="Times New Roman" w:hAnsi="Times New Roman" w:eastAsia="等线"/>
      <w:sz w:val="24"/>
      <w:szCs w:val="24"/>
    </w:rPr>
  </w:style>
  <w:style w:type="paragraph" w:customStyle="1" w:styleId="210">
    <w:name w:val="表格文字"/>
    <w:basedOn w:val="1"/>
    <w:qFormat/>
    <w:uiPriority w:val="0"/>
    <w:pPr>
      <w:adjustRightInd w:val="0"/>
      <w:spacing w:line="420" w:lineRule="atLeast"/>
      <w:jc w:val="left"/>
    </w:pPr>
    <w:rPr>
      <w:rFonts w:ascii="Times New Roman" w:hAnsi="Times New Roman" w:eastAsia="等线"/>
      <w:kern w:val="0"/>
      <w:szCs w:val="20"/>
    </w:rPr>
  </w:style>
  <w:style w:type="paragraph" w:customStyle="1" w:styleId="211">
    <w:name w:val="正文 New New New New New New New New New New New New New New New New New New New New New"/>
    <w:unhideWhenUsed/>
    <w:qFormat/>
    <w:uiPriority w:val="0"/>
    <w:pPr>
      <w:widowControl w:val="0"/>
      <w:jc w:val="both"/>
    </w:pPr>
    <w:rPr>
      <w:rFonts w:ascii="Calibri" w:hAnsi="Calibri" w:eastAsia="宋体" w:cs="Times New Roman"/>
      <w:kern w:val="2"/>
      <w:sz w:val="21"/>
      <w:lang w:val="en-US" w:eastAsia="zh-CN" w:bidi="ar-SA"/>
    </w:rPr>
  </w:style>
  <w:style w:type="paragraph" w:customStyle="1" w:styleId="212">
    <w:name w:val="Char5 Char Char Char Char Char Char Char Char Char Char Char Char Char Char Char Char Char Char Char Char1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3">
    <w:name w:val="公文抬头"/>
    <w:basedOn w:val="6"/>
    <w:qFormat/>
    <w:uiPriority w:val="0"/>
    <w:pPr>
      <w:ind w:firstLine="0"/>
    </w:pPr>
    <w:rPr>
      <w:rFonts w:ascii="仿宋_GB2312" w:eastAsia="仿宋_GB2312"/>
      <w:sz w:val="30"/>
      <w:szCs w:val="24"/>
    </w:rPr>
  </w:style>
  <w:style w:type="paragraph" w:customStyle="1" w:styleId="214">
    <w:name w:val="页脚 New New"/>
    <w:basedOn w:val="215"/>
    <w:qFormat/>
    <w:uiPriority w:val="0"/>
    <w:pPr>
      <w:tabs>
        <w:tab w:val="center" w:pos="4153"/>
        <w:tab w:val="right" w:pos="8306"/>
      </w:tabs>
      <w:snapToGrid w:val="0"/>
      <w:jc w:val="left"/>
    </w:pPr>
    <w:rPr>
      <w:sz w:val="18"/>
    </w:rPr>
  </w:style>
  <w:style w:type="paragraph" w:customStyle="1" w:styleId="215">
    <w:name w:val="正文 New New New New New New New New New New New New"/>
    <w:qFormat/>
    <w:uiPriority w:val="0"/>
    <w:pPr>
      <w:widowControl w:val="0"/>
      <w:jc w:val="both"/>
    </w:pPr>
    <w:rPr>
      <w:rFonts w:ascii="等线" w:hAnsi="等线" w:eastAsia="等线" w:cs="Times New Roman"/>
      <w:kern w:val="2"/>
      <w:sz w:val="21"/>
      <w:lang w:val="en-US" w:eastAsia="zh-CN" w:bidi="ar-SA"/>
    </w:rPr>
  </w:style>
  <w:style w:type="paragraph" w:customStyle="1" w:styleId="216">
    <w:name w:val="表格"/>
    <w:basedOn w:val="1"/>
    <w:qFormat/>
    <w:uiPriority w:val="0"/>
    <w:pPr>
      <w:jc w:val="center"/>
    </w:pPr>
    <w:rPr>
      <w:rFonts w:ascii="华文细黑" w:hAnsi="华文细黑" w:eastAsia="等线"/>
      <w:kern w:val="0"/>
      <w:szCs w:val="20"/>
    </w:rPr>
  </w:style>
  <w:style w:type="paragraph" w:customStyle="1" w:styleId="217">
    <w:name w:val="正文缩进_0"/>
    <w:basedOn w:val="184"/>
    <w:qFormat/>
    <w:uiPriority w:val="0"/>
    <w:pPr>
      <w:ind w:firstLine="420"/>
    </w:pPr>
  </w:style>
  <w:style w:type="paragraph" w:customStyle="1" w:styleId="218">
    <w:name w:val="Char Char Char1 Char"/>
    <w:basedOn w:val="1"/>
    <w:qFormat/>
    <w:uiPriority w:val="0"/>
    <w:rPr>
      <w:rFonts w:ascii="宋体" w:hAnsi="Times New Roman" w:eastAsia="等线"/>
      <w:kern w:val="0"/>
      <w:sz w:val="34"/>
      <w:szCs w:val="20"/>
    </w:rPr>
  </w:style>
  <w:style w:type="paragraph" w:customStyle="1" w:styleId="219">
    <w:name w:val="页脚 New New New New New New New New New New New"/>
    <w:basedOn w:val="1"/>
    <w:qFormat/>
    <w:uiPriority w:val="0"/>
    <w:pPr>
      <w:tabs>
        <w:tab w:val="center" w:pos="4153"/>
        <w:tab w:val="right" w:pos="8306"/>
      </w:tabs>
      <w:snapToGrid w:val="0"/>
      <w:jc w:val="left"/>
    </w:pPr>
    <w:rPr>
      <w:rFonts w:ascii="Times New Roman" w:hAnsi="Times New Roman"/>
      <w:sz w:val="18"/>
      <w:szCs w:val="18"/>
    </w:rPr>
  </w:style>
  <w:style w:type="paragraph" w:customStyle="1" w:styleId="220">
    <w:name w:val="正文 New New New New New New New New New New"/>
    <w:qFormat/>
    <w:uiPriority w:val="0"/>
    <w:pPr>
      <w:widowControl w:val="0"/>
      <w:jc w:val="both"/>
    </w:pPr>
    <w:rPr>
      <w:rFonts w:ascii="等线" w:hAnsi="等线" w:eastAsia="等线" w:cs="Times New Roman"/>
      <w:kern w:val="2"/>
      <w:sz w:val="21"/>
      <w:lang w:val="en-US" w:eastAsia="zh-CN" w:bidi="ar-SA"/>
    </w:rPr>
  </w:style>
  <w:style w:type="paragraph" w:customStyle="1" w:styleId="221">
    <w:name w:val="标题1"/>
    <w:basedOn w:val="1"/>
    <w:next w:val="18"/>
    <w:qFormat/>
    <w:uiPriority w:val="0"/>
    <w:pPr>
      <w:keepNext/>
      <w:suppressAutoHyphens/>
      <w:spacing w:before="240" w:after="120"/>
    </w:pPr>
    <w:rPr>
      <w:rFonts w:ascii="DejaVu Sans" w:hAnsi="DejaVu Sans" w:eastAsia="DejaVu Sans" w:cs="DejaVu Sans"/>
      <w:sz w:val="28"/>
      <w:szCs w:val="28"/>
      <w:lang w:eastAsia="ar-SA"/>
    </w:rPr>
  </w:style>
  <w:style w:type="paragraph" w:customStyle="1" w:styleId="222">
    <w:name w:val="方框图"/>
    <w:basedOn w:val="1"/>
    <w:qFormat/>
    <w:uiPriority w:val="0"/>
    <w:pPr>
      <w:jc w:val="center"/>
    </w:pPr>
    <w:rPr>
      <w:rFonts w:ascii="Times New Roman" w:hAnsi="Times New Roman" w:eastAsia="等线"/>
      <w:bCs/>
      <w:szCs w:val="24"/>
    </w:rPr>
  </w:style>
  <w:style w:type="paragraph" w:customStyle="1" w:styleId="223">
    <w:name w:val="Char13 Char Char Char Char Char"/>
    <w:basedOn w:val="1"/>
    <w:qFormat/>
    <w:uiPriority w:val="0"/>
    <w:pPr>
      <w:ind w:left="567" w:hanging="279"/>
    </w:pPr>
    <w:rPr>
      <w:rFonts w:ascii="Times New Roman" w:hAnsi="Times New Roman" w:eastAsia="等线"/>
      <w:kern w:val="0"/>
      <w:sz w:val="20"/>
      <w:szCs w:val="20"/>
    </w:rPr>
  </w:style>
  <w:style w:type="paragraph" w:customStyle="1" w:styleId="224">
    <w:name w:val="标题 2 New"/>
    <w:basedOn w:val="199"/>
    <w:next w:val="199"/>
    <w:unhideWhenUsed/>
    <w:qFormat/>
    <w:uiPriority w:val="0"/>
    <w:pPr>
      <w:keepNext/>
      <w:keepLines/>
      <w:spacing w:before="260" w:after="260" w:line="416" w:lineRule="auto"/>
      <w:outlineLvl w:val="1"/>
    </w:pPr>
    <w:rPr>
      <w:rFonts w:hint="default" w:ascii="Arial" w:hAnsi="Arial"/>
      <w:b/>
      <w:sz w:val="32"/>
    </w:rPr>
  </w:style>
  <w:style w:type="paragraph" w:customStyle="1" w:styleId="225">
    <w:name w:val="正文文本缩进1"/>
    <w:basedOn w:val="1"/>
    <w:qFormat/>
    <w:uiPriority w:val="0"/>
    <w:pPr>
      <w:ind w:firstLine="480"/>
    </w:pPr>
    <w:rPr>
      <w:rFonts w:ascii="Times New Roman" w:hAnsi="Times New Roman" w:eastAsia="等线"/>
      <w:sz w:val="24"/>
      <w:szCs w:val="20"/>
    </w:rPr>
  </w:style>
  <w:style w:type="paragraph" w:customStyle="1" w:styleId="226">
    <w:name w:val="List Paragraph1"/>
    <w:basedOn w:val="1"/>
    <w:qFormat/>
    <w:uiPriority w:val="0"/>
    <w:pPr>
      <w:ind w:firstLine="420" w:firstLineChars="200"/>
    </w:pPr>
    <w:rPr>
      <w:rFonts w:ascii="Times New Roman" w:hAnsi="宋体"/>
      <w:szCs w:val="24"/>
    </w:rPr>
  </w:style>
  <w:style w:type="paragraph" w:customStyle="1" w:styleId="227">
    <w:name w:val="页脚 New New New New New"/>
    <w:basedOn w:val="1"/>
    <w:qFormat/>
    <w:uiPriority w:val="0"/>
    <w:pPr>
      <w:tabs>
        <w:tab w:val="center" w:pos="4153"/>
        <w:tab w:val="right" w:pos="8306"/>
      </w:tabs>
      <w:snapToGrid w:val="0"/>
      <w:jc w:val="left"/>
    </w:pPr>
    <w:rPr>
      <w:rFonts w:ascii="Times New Roman" w:hAnsi="Times New Roman"/>
      <w:sz w:val="18"/>
      <w:szCs w:val="18"/>
    </w:rPr>
  </w:style>
  <w:style w:type="paragraph" w:customStyle="1" w:styleId="228">
    <w:name w:val="正文 New New New New New New New New New New New New New New New"/>
    <w:qFormat/>
    <w:uiPriority w:val="0"/>
    <w:pPr>
      <w:widowControl w:val="0"/>
      <w:jc w:val="both"/>
    </w:pPr>
    <w:rPr>
      <w:rFonts w:ascii="等线" w:hAnsi="等线" w:eastAsia="等线" w:cs="Times New Roman"/>
      <w:kern w:val="2"/>
      <w:sz w:val="21"/>
      <w:szCs w:val="24"/>
      <w:lang w:val="en-US" w:eastAsia="zh-CN" w:bidi="ar-SA"/>
    </w:rPr>
  </w:style>
  <w:style w:type="paragraph" w:customStyle="1" w:styleId="229">
    <w:name w:val="公文标题"/>
    <w:basedOn w:val="4"/>
    <w:qFormat/>
    <w:uiPriority w:val="0"/>
    <w:pPr>
      <w:keepNext/>
      <w:keepLines/>
      <w:widowControl w:val="0"/>
      <w:spacing w:before="0" w:beforeAutospacing="0" w:after="0" w:afterAutospacing="0"/>
      <w:ind w:left="1469" w:right="1542"/>
    </w:pPr>
    <w:rPr>
      <w:rFonts w:hAnsi="Times New Roman"/>
      <w:b/>
      <w:kern w:val="2"/>
      <w:sz w:val="44"/>
      <w:szCs w:val="21"/>
    </w:rPr>
  </w:style>
  <w:style w:type="paragraph" w:customStyle="1" w:styleId="230">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31">
    <w:name w:val="Char Char Char Char Char Char Char Char Char Char Char Char Char"/>
    <w:basedOn w:val="15"/>
    <w:qFormat/>
    <w:uiPriority w:val="0"/>
    <w:rPr>
      <w:rFonts w:ascii="Tahoma" w:hAnsi="Tahoma" w:eastAsia="等线"/>
      <w:sz w:val="24"/>
      <w:szCs w:val="24"/>
      <w:shd w:val="clear" w:color="auto" w:fill="000080"/>
    </w:rPr>
  </w:style>
  <w:style w:type="paragraph" w:customStyle="1" w:styleId="232">
    <w:name w:val="Char2 Char Char Char"/>
    <w:basedOn w:val="1"/>
    <w:qFormat/>
    <w:uiPriority w:val="0"/>
    <w:pPr>
      <w:tabs>
        <w:tab w:val="left" w:pos="1350"/>
      </w:tabs>
      <w:ind w:left="1350" w:hanging="720"/>
    </w:pPr>
    <w:rPr>
      <w:rFonts w:ascii="Times New Roman" w:hAnsi="Times New Roman" w:eastAsia="等线"/>
      <w:sz w:val="24"/>
      <w:szCs w:val="24"/>
    </w:rPr>
  </w:style>
  <w:style w:type="paragraph" w:customStyle="1" w:styleId="233">
    <w:name w:val="Char1 Char Char Char Char Char Char1 Char Char Char"/>
    <w:basedOn w:val="1"/>
    <w:qFormat/>
    <w:uiPriority w:val="0"/>
    <w:rPr>
      <w:rFonts w:ascii="Times New Roman" w:hAnsi="Times New Roman" w:eastAsia="等线"/>
      <w:sz w:val="30"/>
      <w:szCs w:val="24"/>
    </w:rPr>
  </w:style>
  <w:style w:type="paragraph" w:customStyle="1" w:styleId="234">
    <w:name w:val="BodyText1I"/>
    <w:basedOn w:val="1"/>
    <w:qFormat/>
    <w:uiPriority w:val="0"/>
    <w:pPr>
      <w:widowControl/>
      <w:spacing w:after="120"/>
      <w:ind w:firstLine="420"/>
    </w:pPr>
    <w:rPr>
      <w:rFonts w:ascii="Times New Roman" w:hAnsi="Times New Roman"/>
    </w:rPr>
  </w:style>
  <w:style w:type="paragraph" w:customStyle="1" w:styleId="235">
    <w:name w:val="BodyText"/>
    <w:basedOn w:val="1"/>
    <w:qFormat/>
    <w:uiPriority w:val="0"/>
    <w:pPr>
      <w:spacing w:after="120"/>
    </w:pPr>
    <w:rPr>
      <w:rFonts w:ascii="Times New Roman" w:hAnsi="Times New Roman"/>
      <w:kern w:val="0"/>
      <w:sz w:val="20"/>
      <w:szCs w:val="20"/>
    </w:rPr>
  </w:style>
  <w:style w:type="paragraph" w:customStyle="1" w:styleId="236">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kern w:val="0"/>
      <w:sz w:val="24"/>
      <w:szCs w:val="24"/>
    </w:rPr>
  </w:style>
  <w:style w:type="paragraph" w:customStyle="1" w:styleId="237">
    <w:name w:val="正文 New New New New New New"/>
    <w:qFormat/>
    <w:uiPriority w:val="0"/>
    <w:pPr>
      <w:widowControl w:val="0"/>
      <w:jc w:val="both"/>
    </w:pPr>
    <w:rPr>
      <w:rFonts w:ascii="等线" w:hAnsi="等线" w:eastAsia="楷体_GB2312" w:cs="Times New Roman"/>
      <w:kern w:val="2"/>
      <w:sz w:val="21"/>
      <w:lang w:val="en-US" w:eastAsia="zh-CN" w:bidi="ar-SA"/>
    </w:rPr>
  </w:style>
  <w:style w:type="paragraph" w:customStyle="1" w:styleId="238">
    <w:name w:val="msoquote"/>
    <w:basedOn w:val="1"/>
    <w:next w:val="1"/>
    <w:qFormat/>
    <w:uiPriority w:val="0"/>
    <w:pPr>
      <w:widowControl/>
      <w:jc w:val="left"/>
    </w:pPr>
    <w:rPr>
      <w:rFonts w:ascii="Times New Roman" w:hAnsi="Times New Roman" w:eastAsia="等线"/>
      <w:i/>
      <w:kern w:val="0"/>
      <w:sz w:val="24"/>
    </w:rPr>
  </w:style>
  <w:style w:type="paragraph" w:customStyle="1" w:styleId="239">
    <w:name w:val="Char Char Char1 Char1"/>
    <w:basedOn w:val="15"/>
    <w:qFormat/>
    <w:uiPriority w:val="0"/>
    <w:rPr>
      <w:rFonts w:ascii="Tahoma" w:hAnsi="Tahoma"/>
      <w:sz w:val="24"/>
      <w:szCs w:val="24"/>
    </w:rPr>
  </w:style>
  <w:style w:type="paragraph" w:customStyle="1" w:styleId="240">
    <w:name w:val="样式 正文缩进正文（首行缩进两字）特点ALT+Z表正文正文非缩进四号段1Normal Indent Char2...1"/>
    <w:basedOn w:val="3"/>
    <w:qFormat/>
    <w:uiPriority w:val="0"/>
    <w:pPr>
      <w:tabs>
        <w:tab w:val="left" w:pos="1260"/>
      </w:tabs>
      <w:spacing w:before="1320" w:after="240" w:line="300" w:lineRule="auto"/>
      <w:ind w:left="1260" w:hanging="420"/>
    </w:pPr>
    <w:rPr>
      <w:rFonts w:hint="eastAsia" w:ascii="黑体" w:hAnsi="黑体" w:eastAsia="黑体"/>
      <w:b w:val="0"/>
      <w:color w:val="auto"/>
      <w:szCs w:val="20"/>
    </w:rPr>
  </w:style>
  <w:style w:type="paragraph" w:customStyle="1" w:styleId="241">
    <w:name w:val="1"/>
    <w:basedOn w:val="1"/>
    <w:next w:val="1"/>
    <w:qFormat/>
    <w:uiPriority w:val="0"/>
    <w:rPr>
      <w:rFonts w:ascii="Times New Roman" w:hAnsi="Times New Roman" w:eastAsia="等线"/>
    </w:rPr>
  </w:style>
  <w:style w:type="paragraph" w:customStyle="1" w:styleId="242">
    <w:name w:val="页脚 New New New New New New New New"/>
    <w:basedOn w:val="1"/>
    <w:qFormat/>
    <w:uiPriority w:val="0"/>
    <w:pPr>
      <w:tabs>
        <w:tab w:val="center" w:pos="4153"/>
        <w:tab w:val="right" w:pos="8306"/>
      </w:tabs>
      <w:snapToGrid w:val="0"/>
      <w:jc w:val="left"/>
    </w:pPr>
    <w:rPr>
      <w:rFonts w:ascii="Times New Roman" w:hAnsi="Times New Roman"/>
      <w:sz w:val="18"/>
      <w:szCs w:val="18"/>
    </w:rPr>
  </w:style>
  <w:style w:type="paragraph" w:customStyle="1" w:styleId="243">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4">
    <w:name w:val="ÕýÎÄ"/>
    <w:qFormat/>
    <w:uiPriority w:val="0"/>
    <w:pPr>
      <w:widowControl w:val="0"/>
      <w:overflowPunct w:val="0"/>
      <w:autoSpaceDE w:val="0"/>
      <w:autoSpaceDN w:val="0"/>
      <w:adjustRightInd w:val="0"/>
      <w:spacing w:line="357" w:lineRule="atLeast"/>
      <w:jc w:val="both"/>
    </w:pPr>
    <w:rPr>
      <w:rFonts w:ascii="等线" w:hAnsi="等线" w:eastAsia="等线" w:cs="Times New Roman"/>
      <w:color w:val="000000"/>
      <w:sz w:val="21"/>
      <w:lang w:val="en-US" w:eastAsia="zh-CN" w:bidi="ar-SA"/>
    </w:rPr>
  </w:style>
  <w:style w:type="paragraph" w:customStyle="1" w:styleId="245">
    <w:name w:val="页脚 New New New New New New New New New New New New New New"/>
    <w:basedOn w:val="1"/>
    <w:qFormat/>
    <w:uiPriority w:val="0"/>
    <w:pPr>
      <w:tabs>
        <w:tab w:val="center" w:pos="4153"/>
        <w:tab w:val="right" w:pos="8306"/>
      </w:tabs>
      <w:snapToGrid w:val="0"/>
      <w:jc w:val="left"/>
    </w:pPr>
    <w:rPr>
      <w:rFonts w:ascii="Times New Roman" w:hAnsi="Times New Roman"/>
      <w:sz w:val="18"/>
      <w:szCs w:val="18"/>
    </w:rPr>
  </w:style>
  <w:style w:type="paragraph" w:customStyle="1" w:styleId="246">
    <w:name w:val="正文 New New New New New New New New New New New New New New New New New New New New New New New New New New New"/>
    <w:basedOn w:val="1"/>
    <w:unhideWhenUsed/>
    <w:qFormat/>
    <w:uiPriority w:val="0"/>
    <w:rPr>
      <w:rFonts w:ascii="Times New Roman" w:hAnsi="Times New Roman"/>
      <w:szCs w:val="20"/>
    </w:rPr>
  </w:style>
  <w:style w:type="paragraph" w:customStyle="1" w:styleId="247">
    <w:name w:val="6'"/>
    <w:basedOn w:val="1"/>
    <w:qFormat/>
    <w:uiPriority w:val="0"/>
    <w:pPr>
      <w:autoSpaceDE w:val="0"/>
      <w:autoSpaceDN w:val="0"/>
      <w:adjustRightInd w:val="0"/>
      <w:snapToGrid w:val="0"/>
      <w:spacing w:line="320" w:lineRule="exact"/>
      <w:jc w:val="center"/>
    </w:pPr>
    <w:rPr>
      <w:rFonts w:ascii="Times New Roman" w:hAnsi="Times New Roman" w:eastAsia="等线"/>
      <w:spacing w:val="20"/>
      <w:kern w:val="28"/>
      <w:szCs w:val="20"/>
    </w:rPr>
  </w:style>
  <w:style w:type="paragraph" w:customStyle="1" w:styleId="248">
    <w:name w:val="正文 New New New New New New New"/>
    <w:qFormat/>
    <w:uiPriority w:val="0"/>
    <w:pPr>
      <w:widowControl w:val="0"/>
      <w:jc w:val="both"/>
    </w:pPr>
    <w:rPr>
      <w:rFonts w:ascii="等线" w:hAnsi="等线" w:eastAsia="等线" w:cs="Times New Roman"/>
      <w:kern w:val="2"/>
      <w:sz w:val="21"/>
      <w:szCs w:val="24"/>
      <w:lang w:val="en-US" w:eastAsia="zh-CN" w:bidi="ar-SA"/>
    </w:rPr>
  </w:style>
  <w:style w:type="paragraph" w:customStyle="1" w:styleId="249">
    <w:name w:val="纯文本 New"/>
    <w:basedOn w:val="204"/>
    <w:qFormat/>
    <w:uiPriority w:val="0"/>
    <w:rPr>
      <w:rFonts w:ascii="宋体" w:hAnsi="Courier New" w:eastAsia="宋体"/>
      <w:kern w:val="2"/>
      <w:sz w:val="24"/>
    </w:rPr>
  </w:style>
  <w:style w:type="paragraph" w:customStyle="1" w:styleId="250">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251">
    <w:name w:val="样式3"/>
    <w:basedOn w:val="4"/>
    <w:qFormat/>
    <w:uiPriority w:val="0"/>
    <w:pPr>
      <w:keepNext/>
      <w:keepLines/>
      <w:widowControl w:val="0"/>
      <w:spacing w:before="260" w:beforeAutospacing="0" w:after="260" w:afterAutospacing="0" w:line="412" w:lineRule="auto"/>
      <w:jc w:val="both"/>
    </w:pPr>
    <w:rPr>
      <w:rFonts w:ascii="Calibri" w:hAnsi="Calibri" w:eastAsia="Arial"/>
      <w:bCs/>
      <w:color w:val="FF0000"/>
      <w:kern w:val="2"/>
      <w:sz w:val="32"/>
      <w:szCs w:val="22"/>
      <w:lang w:val="zh-CN"/>
    </w:rPr>
  </w:style>
  <w:style w:type="paragraph" w:customStyle="1" w:styleId="252">
    <w:name w:val="样式 标题 2 + Times New Roman 四号 非加粗 段前: 5 磅 段后: 0 磅 行距: 固定值 20..."/>
    <w:basedOn w:val="3"/>
    <w:qFormat/>
    <w:uiPriority w:val="0"/>
    <w:pPr>
      <w:spacing w:before="100" w:after="0" w:line="400" w:lineRule="exact"/>
      <w:jc w:val="both"/>
    </w:pPr>
    <w:rPr>
      <w:rFonts w:ascii="Times New Roman" w:hAnsi="Times New Roman" w:eastAsia="黑体" w:cs="宋体"/>
      <w:b w:val="0"/>
      <w:color w:val="auto"/>
      <w:sz w:val="28"/>
      <w:szCs w:val="20"/>
    </w:rPr>
  </w:style>
  <w:style w:type="paragraph" w:customStyle="1" w:styleId="253">
    <w:name w:val="普通(网站)1"/>
    <w:basedOn w:val="1"/>
    <w:qFormat/>
    <w:uiPriority w:val="0"/>
    <w:pPr>
      <w:widowControl/>
      <w:suppressAutoHyphens/>
      <w:spacing w:before="284" w:after="280" w:line="360" w:lineRule="auto"/>
      <w:jc w:val="left"/>
    </w:pPr>
    <w:rPr>
      <w:rFonts w:ascii="宋体" w:hAnsi="宋体" w:eastAsia="等线"/>
      <w:sz w:val="24"/>
      <w:szCs w:val="20"/>
      <w:lang w:eastAsia="ar-SA"/>
    </w:rPr>
  </w:style>
  <w:style w:type="paragraph" w:customStyle="1" w:styleId="254">
    <w:name w:val="页脚 New New New"/>
    <w:basedOn w:val="255"/>
    <w:qFormat/>
    <w:uiPriority w:val="0"/>
    <w:pPr>
      <w:tabs>
        <w:tab w:val="center" w:pos="4153"/>
        <w:tab w:val="right" w:pos="8306"/>
      </w:tabs>
      <w:snapToGrid w:val="0"/>
      <w:jc w:val="left"/>
    </w:pPr>
    <w:rPr>
      <w:sz w:val="18"/>
      <w:szCs w:val="18"/>
    </w:rPr>
  </w:style>
  <w:style w:type="paragraph" w:customStyle="1" w:styleId="255">
    <w:name w:val="正文 New New New New New New New New New New New New New New New New New New New New New New New New New New New New New New"/>
    <w:qFormat/>
    <w:uiPriority w:val="0"/>
    <w:pPr>
      <w:widowControl w:val="0"/>
      <w:jc w:val="both"/>
    </w:pPr>
    <w:rPr>
      <w:rFonts w:ascii="等线" w:hAnsi="等线" w:eastAsia="等线" w:cs="Times New Roman"/>
      <w:kern w:val="2"/>
      <w:sz w:val="21"/>
      <w:szCs w:val="22"/>
      <w:lang w:val="en-US" w:eastAsia="zh-CN" w:bidi="ar-SA"/>
    </w:rPr>
  </w:style>
  <w:style w:type="paragraph" w:customStyle="1" w:styleId="256">
    <w:name w:val="正文 New New New New New"/>
    <w:qFormat/>
    <w:uiPriority w:val="0"/>
    <w:pPr>
      <w:widowControl w:val="0"/>
      <w:jc w:val="both"/>
    </w:pPr>
    <w:rPr>
      <w:rFonts w:ascii="等线" w:hAnsi="等线" w:eastAsia="楷体_GB2312" w:cs="Times New Roman"/>
      <w:kern w:val="2"/>
      <w:sz w:val="21"/>
      <w:lang w:val="en-US" w:eastAsia="zh-CN" w:bidi="ar-SA"/>
    </w:rPr>
  </w:style>
  <w:style w:type="paragraph" w:customStyle="1" w:styleId="257">
    <w:name w:val="章节三"/>
    <w:basedOn w:val="163"/>
    <w:next w:val="163"/>
    <w:qFormat/>
    <w:uiPriority w:val="0"/>
    <w:pPr>
      <w:spacing w:beforeLines="50" w:line="240" w:lineRule="auto"/>
      <w:ind w:firstLine="0" w:firstLineChars="0"/>
      <w:jc w:val="left"/>
      <w:outlineLvl w:val="2"/>
    </w:pPr>
    <w:rPr>
      <w:rFonts w:ascii="黑体" w:hAnsi="宋体" w:eastAsia="黑体"/>
      <w:b/>
      <w:kern w:val="2"/>
    </w:rPr>
  </w:style>
  <w:style w:type="paragraph" w:customStyle="1" w:styleId="258">
    <w:name w:val="页脚 New New New New New New New New New New New New New New New New New New New"/>
    <w:basedOn w:val="1"/>
    <w:qFormat/>
    <w:uiPriority w:val="0"/>
    <w:pPr>
      <w:tabs>
        <w:tab w:val="center" w:pos="4153"/>
        <w:tab w:val="right" w:pos="8306"/>
      </w:tabs>
      <w:snapToGrid w:val="0"/>
      <w:jc w:val="left"/>
    </w:pPr>
    <w:rPr>
      <w:rFonts w:ascii="Times New Roman" w:hAnsi="Times New Roman"/>
      <w:sz w:val="18"/>
      <w:szCs w:val="18"/>
    </w:rPr>
  </w:style>
  <w:style w:type="paragraph" w:customStyle="1" w:styleId="259">
    <w:name w:val="页脚 New New New New New New"/>
    <w:basedOn w:val="1"/>
    <w:qFormat/>
    <w:uiPriority w:val="0"/>
    <w:pPr>
      <w:tabs>
        <w:tab w:val="center" w:pos="4153"/>
        <w:tab w:val="right" w:pos="8306"/>
      </w:tabs>
      <w:snapToGrid w:val="0"/>
      <w:jc w:val="left"/>
    </w:pPr>
    <w:rPr>
      <w:rFonts w:ascii="Times New Roman" w:hAnsi="Times New Roman"/>
      <w:sz w:val="18"/>
      <w:szCs w:val="18"/>
    </w:rPr>
  </w:style>
  <w:style w:type="paragraph" w:customStyle="1" w:styleId="260">
    <w:name w:val="Char4 Char Char Char"/>
    <w:basedOn w:val="1"/>
    <w:qFormat/>
    <w:uiPriority w:val="0"/>
    <w:pPr>
      <w:ind w:left="567" w:hanging="279"/>
    </w:pPr>
    <w:rPr>
      <w:rFonts w:ascii="Times New Roman" w:hAnsi="Times New Roman" w:eastAsia="等线"/>
      <w:sz w:val="24"/>
      <w:szCs w:val="24"/>
    </w:rPr>
  </w:style>
  <w:style w:type="paragraph" w:customStyle="1" w:styleId="261">
    <w:name w:val="正文 New New New New New New New New New New New New New New New New New New New New New New"/>
    <w:qFormat/>
    <w:uiPriority w:val="0"/>
    <w:pPr>
      <w:widowControl w:val="0"/>
      <w:jc w:val="both"/>
    </w:pPr>
    <w:rPr>
      <w:rFonts w:ascii="等线" w:hAnsi="等线" w:eastAsia="等线" w:cs="Times New Roman"/>
      <w:kern w:val="2"/>
      <w:sz w:val="21"/>
      <w:lang w:val="en-US" w:eastAsia="zh-CN" w:bidi="ar-SA"/>
    </w:rPr>
  </w:style>
  <w:style w:type="paragraph" w:customStyle="1" w:styleId="262">
    <w:name w:val="页脚 New New New New New New New"/>
    <w:basedOn w:val="1"/>
    <w:qFormat/>
    <w:uiPriority w:val="0"/>
    <w:pPr>
      <w:tabs>
        <w:tab w:val="center" w:pos="4153"/>
        <w:tab w:val="right" w:pos="8306"/>
      </w:tabs>
      <w:snapToGrid w:val="0"/>
      <w:jc w:val="left"/>
    </w:pPr>
    <w:rPr>
      <w:rFonts w:ascii="Times New Roman" w:hAnsi="Times New Roman"/>
      <w:sz w:val="18"/>
      <w:szCs w:val="18"/>
    </w:rPr>
  </w:style>
  <w:style w:type="paragraph" w:customStyle="1" w:styleId="263">
    <w:name w:val="正文 New New New New New New New New New New New New New New New New New New New New New New New New New New New New New"/>
    <w:qFormat/>
    <w:uiPriority w:val="0"/>
    <w:pPr>
      <w:widowControl w:val="0"/>
      <w:jc w:val="both"/>
    </w:pPr>
    <w:rPr>
      <w:rFonts w:ascii="等线" w:hAnsi="等线" w:eastAsia="等线" w:cs="Times New Roman"/>
      <w:kern w:val="2"/>
      <w:sz w:val="21"/>
      <w:lang w:val="en-US" w:eastAsia="zh-CN" w:bidi="ar-SA"/>
    </w:rPr>
  </w:style>
  <w:style w:type="paragraph" w:customStyle="1" w:styleId="264">
    <w:name w:val="正文文本缩进 21"/>
    <w:basedOn w:val="1"/>
    <w:qFormat/>
    <w:uiPriority w:val="0"/>
    <w:pPr>
      <w:suppressAutoHyphens/>
      <w:spacing w:after="120" w:line="480" w:lineRule="auto"/>
      <w:ind w:left="420"/>
    </w:pPr>
    <w:rPr>
      <w:rFonts w:ascii="Times New Roman" w:hAnsi="Times New Roman" w:eastAsia="等线"/>
      <w:szCs w:val="20"/>
      <w:lang w:eastAsia="ar-SA"/>
    </w:rPr>
  </w:style>
  <w:style w:type="paragraph" w:customStyle="1" w:styleId="265">
    <w:name w:val="样式 标题 3 + (中文) 黑体 小四 非加粗 段前: 7.8 磅 段后: 0 磅 行距: 固定值 20 磅"/>
    <w:basedOn w:val="4"/>
    <w:qFormat/>
    <w:uiPriority w:val="0"/>
    <w:pPr>
      <w:keepNext/>
      <w:keepLines/>
      <w:widowControl w:val="0"/>
      <w:spacing w:before="0" w:beforeAutospacing="0" w:after="0" w:afterAutospacing="0" w:line="400" w:lineRule="exact"/>
      <w:jc w:val="both"/>
    </w:pPr>
    <w:rPr>
      <w:rFonts w:ascii="Times New Roman" w:hAnsi="Times New Roman" w:eastAsia="黑体" w:cs="宋体"/>
      <w:kern w:val="2"/>
      <w:sz w:val="24"/>
      <w:szCs w:val="20"/>
    </w:rPr>
  </w:style>
  <w:style w:type="paragraph" w:customStyle="1" w:styleId="266">
    <w:name w:val="文二"/>
    <w:basedOn w:val="1"/>
    <w:qFormat/>
    <w:uiPriority w:val="0"/>
    <w:pPr>
      <w:jc w:val="left"/>
    </w:pPr>
    <w:rPr>
      <w:rFonts w:ascii="宋体" w:hAnsi="宋体"/>
      <w:szCs w:val="21"/>
    </w:rPr>
  </w:style>
  <w:style w:type="paragraph" w:customStyle="1" w:styleId="267">
    <w:name w:val="Normal_0"/>
    <w:qFormat/>
    <w:uiPriority w:val="0"/>
    <w:rPr>
      <w:rFonts w:ascii="等线" w:hAnsi="等线" w:eastAsia="Times New Roman" w:cs="Times New Roman"/>
      <w:sz w:val="24"/>
      <w:szCs w:val="24"/>
      <w:lang w:val="en-US" w:eastAsia="zh-CN" w:bidi="ar-SA"/>
    </w:rPr>
  </w:style>
  <w:style w:type="paragraph" w:customStyle="1" w:styleId="268">
    <w:name w:val="页脚 New New New New New New New New New New New New New New New New New New New New New"/>
    <w:basedOn w:val="1"/>
    <w:qFormat/>
    <w:uiPriority w:val="0"/>
    <w:pPr>
      <w:tabs>
        <w:tab w:val="center" w:pos="4153"/>
        <w:tab w:val="right" w:pos="8306"/>
      </w:tabs>
      <w:snapToGrid w:val="0"/>
      <w:jc w:val="left"/>
    </w:pPr>
    <w:rPr>
      <w:rFonts w:ascii="Times New Roman" w:hAnsi="Times New Roman"/>
      <w:sz w:val="18"/>
      <w:szCs w:val="18"/>
    </w:rPr>
  </w:style>
  <w:style w:type="paragraph" w:customStyle="1" w:styleId="269">
    <w:name w:val="Char1 Char Char Char Char Char Char1"/>
    <w:basedOn w:val="1"/>
    <w:qFormat/>
    <w:uiPriority w:val="0"/>
    <w:rPr>
      <w:rFonts w:ascii="Times New Roman" w:hAnsi="Times New Roman" w:eastAsia="等线"/>
      <w:szCs w:val="20"/>
    </w:rPr>
  </w:style>
  <w:style w:type="paragraph" w:customStyle="1" w:styleId="270">
    <w:name w:val="表格内容"/>
    <w:basedOn w:val="1"/>
    <w:qFormat/>
    <w:uiPriority w:val="0"/>
    <w:pPr>
      <w:suppressLineNumbers/>
      <w:suppressAutoHyphens/>
    </w:pPr>
    <w:rPr>
      <w:rFonts w:ascii="Times New Roman" w:hAnsi="Times New Roman" w:eastAsia="等线"/>
      <w:szCs w:val="20"/>
      <w:lang w:eastAsia="ar-SA"/>
    </w:rPr>
  </w:style>
  <w:style w:type="paragraph" w:customStyle="1" w:styleId="271">
    <w:name w:val="TOC 标题11"/>
    <w:basedOn w:val="2"/>
    <w:next w:val="1"/>
    <w:qFormat/>
    <w:uiPriority w:val="0"/>
    <w:pPr>
      <w:spacing w:before="340" w:after="330" w:line="576" w:lineRule="auto"/>
      <w:jc w:val="both"/>
      <w:outlineLvl w:val="9"/>
    </w:pPr>
    <w:rPr>
      <w:rFonts w:ascii="Calibri" w:hAnsi="Calibri"/>
      <w:bCs/>
      <w:sz w:val="44"/>
      <w:szCs w:val="44"/>
    </w:rPr>
  </w:style>
  <w:style w:type="paragraph" w:customStyle="1" w:styleId="272">
    <w:name w:val="标题 3_0"/>
    <w:basedOn w:val="184"/>
    <w:next w:val="217"/>
    <w:qFormat/>
    <w:uiPriority w:val="0"/>
    <w:pPr>
      <w:keepNext/>
      <w:keepLines/>
      <w:spacing w:line="360" w:lineRule="auto"/>
      <w:jc w:val="center"/>
      <w:outlineLvl w:val="2"/>
    </w:pPr>
    <w:rPr>
      <w:rFonts w:ascii="仿宋_GB2312" w:hAnsi="宋体" w:eastAsia="仿宋_GB2312" w:cs="宋体"/>
      <w:b/>
      <w:sz w:val="30"/>
      <w:szCs w:val="30"/>
    </w:rPr>
  </w:style>
  <w:style w:type="paragraph" w:customStyle="1" w:styleId="273">
    <w:name w:val="样式4"/>
    <w:basedOn w:val="4"/>
    <w:qFormat/>
    <w:uiPriority w:val="0"/>
    <w:pPr>
      <w:keepNext/>
      <w:keepLines/>
      <w:widowControl w:val="0"/>
      <w:spacing w:before="260" w:beforeAutospacing="0" w:after="260" w:afterAutospacing="0" w:line="412" w:lineRule="auto"/>
      <w:jc w:val="both"/>
    </w:pPr>
    <w:rPr>
      <w:rFonts w:ascii="Calibri" w:hAnsi="Calibri" w:eastAsia="Arial"/>
      <w:bCs/>
      <w:color w:val="FF0000"/>
      <w:kern w:val="2"/>
      <w:sz w:val="32"/>
      <w:szCs w:val="22"/>
      <w:lang w:val="zh-CN"/>
    </w:rPr>
  </w:style>
  <w:style w:type="paragraph" w:customStyle="1" w:styleId="274">
    <w:name w:val="正文 New New New"/>
    <w:qFormat/>
    <w:uiPriority w:val="0"/>
    <w:pPr>
      <w:widowControl w:val="0"/>
      <w:jc w:val="both"/>
    </w:pPr>
    <w:rPr>
      <w:rFonts w:ascii="等线" w:hAnsi="等线" w:eastAsia="楷体_GB2312" w:cs="Times New Roman"/>
      <w:kern w:val="2"/>
      <w:sz w:val="21"/>
      <w:lang w:val="en-US" w:eastAsia="zh-CN" w:bidi="ar-SA"/>
    </w:rPr>
  </w:style>
  <w:style w:type="paragraph" w:customStyle="1" w:styleId="275">
    <w:name w:val="样式 正文缩进正文（首行缩进两字）特点ALT+Z表正文正文非缩进四号段1Normal Indent Char2...2"/>
    <w:basedOn w:val="4"/>
    <w:qFormat/>
    <w:uiPriority w:val="0"/>
    <w:pPr>
      <w:keepNext/>
      <w:keepLines/>
      <w:widowControl w:val="0"/>
      <w:tabs>
        <w:tab w:val="left" w:pos="1680"/>
      </w:tabs>
      <w:spacing w:before="360" w:beforeAutospacing="0" w:after="120" w:afterAutospacing="0" w:line="360" w:lineRule="auto"/>
      <w:ind w:left="1680" w:hanging="420"/>
      <w:jc w:val="center"/>
    </w:pPr>
    <w:rPr>
      <w:rFonts w:eastAsia="等线"/>
      <w:color w:val="FF0000"/>
      <w:kern w:val="2"/>
      <w:sz w:val="28"/>
      <w:szCs w:val="20"/>
      <w:lang w:val="zh-CN"/>
    </w:rPr>
  </w:style>
  <w:style w:type="paragraph" w:customStyle="1" w:styleId="276">
    <w:name w:val="正文_1"/>
    <w:qFormat/>
    <w:uiPriority w:val="0"/>
    <w:pPr>
      <w:widowControl w:val="0"/>
      <w:jc w:val="both"/>
    </w:pPr>
    <w:rPr>
      <w:rFonts w:ascii="等线" w:hAnsi="等线" w:eastAsia="楷体_GB2312" w:cs="Times New Roman"/>
      <w:kern w:val="2"/>
      <w:sz w:val="21"/>
      <w:lang w:val="en-US" w:eastAsia="zh-CN" w:bidi="ar-SA"/>
    </w:rPr>
  </w:style>
  <w:style w:type="paragraph" w:customStyle="1" w:styleId="277">
    <w:name w:val="章节二"/>
    <w:basedOn w:val="163"/>
    <w:next w:val="163"/>
    <w:qFormat/>
    <w:uiPriority w:val="0"/>
    <w:pPr>
      <w:spacing w:beforeLines="50" w:line="240" w:lineRule="auto"/>
      <w:ind w:firstLine="0" w:firstLineChars="0"/>
      <w:jc w:val="center"/>
      <w:outlineLvl w:val="1"/>
    </w:pPr>
    <w:rPr>
      <w:rFonts w:ascii="宋体" w:hAnsi="宋体" w:eastAsia="黑体"/>
      <w:b/>
      <w:kern w:val="2"/>
      <w:sz w:val="30"/>
      <w:szCs w:val="30"/>
    </w:rPr>
  </w:style>
  <w:style w:type="paragraph" w:customStyle="1" w:styleId="278">
    <w:name w:val="正文文本缩进 22"/>
    <w:basedOn w:val="1"/>
    <w:qFormat/>
    <w:uiPriority w:val="0"/>
    <w:pPr>
      <w:spacing w:line="420" w:lineRule="exact"/>
      <w:ind w:firstLine="480"/>
    </w:pPr>
    <w:rPr>
      <w:rFonts w:ascii="Times New Roman" w:hAnsi="Times New Roman" w:eastAsia="等线"/>
      <w:b/>
      <w:sz w:val="24"/>
      <w:szCs w:val="20"/>
    </w:rPr>
  </w:style>
  <w:style w:type="paragraph" w:customStyle="1" w:styleId="279">
    <w:name w:val="正文1"/>
    <w:qFormat/>
    <w:uiPriority w:val="0"/>
    <w:rPr>
      <w:rFonts w:ascii="等线" w:hAnsi="等线" w:eastAsia="Times New Roman" w:cs="Times New Roman"/>
      <w:sz w:val="24"/>
      <w:szCs w:val="24"/>
      <w:lang w:val="en-US" w:eastAsia="zh-CN" w:bidi="ar-SA"/>
    </w:rPr>
  </w:style>
  <w:style w:type="paragraph" w:customStyle="1" w:styleId="280">
    <w:name w:val="正文 New New New New New New New New New New New New New New New New"/>
    <w:qFormat/>
    <w:uiPriority w:val="0"/>
    <w:pPr>
      <w:widowControl w:val="0"/>
      <w:jc w:val="both"/>
    </w:pPr>
    <w:rPr>
      <w:rFonts w:ascii="等线" w:hAnsi="等线" w:eastAsia="等线" w:cs="Times New Roman"/>
      <w:kern w:val="2"/>
      <w:sz w:val="21"/>
      <w:szCs w:val="22"/>
      <w:lang w:val="en-US" w:eastAsia="zh-CN" w:bidi="ar-SA"/>
    </w:rPr>
  </w:style>
  <w:style w:type="paragraph" w:customStyle="1" w:styleId="281">
    <w:name w:val="Normal_3"/>
    <w:qFormat/>
    <w:uiPriority w:val="0"/>
    <w:rPr>
      <w:rFonts w:ascii="等线" w:hAnsi="等线" w:eastAsia="Times New Roman" w:cs="Times New Roman"/>
      <w:sz w:val="24"/>
      <w:szCs w:val="24"/>
      <w:lang w:val="en-US" w:eastAsia="zh-CN" w:bidi="ar-SA"/>
    </w:rPr>
  </w:style>
  <w:style w:type="paragraph" w:customStyle="1" w:styleId="282">
    <w:name w:val="访问过的超链接1"/>
    <w:basedOn w:val="1"/>
    <w:qFormat/>
    <w:uiPriority w:val="0"/>
    <w:rPr>
      <w:rFonts w:ascii="仿宋_GB2312" w:hAnsi="Times New Roman" w:eastAsia="等线"/>
      <w:szCs w:val="32"/>
    </w:rPr>
  </w:style>
  <w:style w:type="paragraph" w:customStyle="1" w:styleId="283">
    <w:name w:val="正文文本 21"/>
    <w:basedOn w:val="1"/>
    <w:qFormat/>
    <w:uiPriority w:val="0"/>
    <w:pPr>
      <w:suppressAutoHyphens/>
    </w:pPr>
    <w:rPr>
      <w:rFonts w:ascii="Times New Roman" w:hAnsi="Times New Roman" w:eastAsia="楷体_GB2312"/>
      <w:b/>
      <w:szCs w:val="20"/>
      <w:lang w:eastAsia="ar-SA"/>
    </w:rPr>
  </w:style>
  <w:style w:type="paragraph" w:customStyle="1" w:styleId="284">
    <w:name w:val="文档结构图1"/>
    <w:basedOn w:val="1"/>
    <w:qFormat/>
    <w:uiPriority w:val="0"/>
    <w:pPr>
      <w:shd w:val="clear" w:color="auto" w:fill="000080"/>
      <w:suppressAutoHyphens/>
    </w:pPr>
    <w:rPr>
      <w:rFonts w:ascii="Times New Roman" w:hAnsi="Times New Roman" w:eastAsia="等线"/>
      <w:szCs w:val="20"/>
      <w:lang w:eastAsia="ar-SA"/>
    </w:rPr>
  </w:style>
  <w:style w:type="paragraph" w:customStyle="1" w:styleId="285">
    <w:name w:val="正文文本缩进 New New"/>
    <w:basedOn w:val="1"/>
    <w:qFormat/>
    <w:uiPriority w:val="0"/>
    <w:pPr>
      <w:spacing w:after="120"/>
      <w:ind w:left="420" w:leftChars="200"/>
    </w:pPr>
    <w:rPr>
      <w:rFonts w:ascii="Times New Roman" w:hAnsi="等线" w:eastAsia="楷体_GB2312"/>
      <w:szCs w:val="20"/>
    </w:rPr>
  </w:style>
  <w:style w:type="paragraph" w:customStyle="1" w:styleId="286">
    <w:name w:val="列表项目符号 21"/>
    <w:basedOn w:val="287"/>
    <w:qFormat/>
    <w:uiPriority w:val="0"/>
    <w:pPr>
      <w:widowControl/>
      <w:tabs>
        <w:tab w:val="left" w:pos="360"/>
      </w:tabs>
      <w:spacing w:after="220" w:line="220" w:lineRule="atLeast"/>
      <w:ind w:left="360" w:right="720"/>
      <w:jc w:val="left"/>
    </w:pPr>
  </w:style>
  <w:style w:type="paragraph" w:customStyle="1" w:styleId="287">
    <w:name w:val="列表项目符号1"/>
    <w:basedOn w:val="1"/>
    <w:qFormat/>
    <w:uiPriority w:val="0"/>
    <w:pPr>
      <w:tabs>
        <w:tab w:val="left" w:pos="360"/>
      </w:tabs>
      <w:suppressAutoHyphens/>
    </w:pPr>
    <w:rPr>
      <w:rFonts w:ascii="Times New Roman" w:hAnsi="Times New Roman" w:eastAsia="等线"/>
      <w:szCs w:val="20"/>
      <w:lang w:eastAsia="ar-SA"/>
    </w:rPr>
  </w:style>
  <w:style w:type="paragraph" w:customStyle="1" w:styleId="288">
    <w:name w:val="Normal_1"/>
    <w:qFormat/>
    <w:uiPriority w:val="0"/>
    <w:rPr>
      <w:rFonts w:ascii="等线" w:hAnsi="等线" w:eastAsia="Times New Roman" w:cs="Times New Roman"/>
      <w:sz w:val="24"/>
      <w:szCs w:val="24"/>
      <w:lang w:val="en-US" w:eastAsia="zh-CN" w:bidi="ar-SA"/>
    </w:rPr>
  </w:style>
  <w:style w:type="paragraph" w:customStyle="1" w:styleId="289">
    <w:name w:val="Normal_2"/>
    <w:qFormat/>
    <w:uiPriority w:val="0"/>
    <w:rPr>
      <w:rFonts w:ascii="等线" w:hAnsi="等线" w:eastAsia="Times New Roman" w:cs="Times New Roman"/>
      <w:sz w:val="24"/>
      <w:szCs w:val="24"/>
      <w:lang w:val="en-US" w:eastAsia="zh-CN" w:bidi="ar-SA"/>
    </w:rPr>
  </w:style>
  <w:style w:type="paragraph" w:customStyle="1" w:styleId="290">
    <w:name w:val="正文文本缩进 31"/>
    <w:basedOn w:val="1"/>
    <w:qFormat/>
    <w:uiPriority w:val="0"/>
    <w:pPr>
      <w:suppressAutoHyphens/>
      <w:spacing w:after="120"/>
      <w:ind w:left="420"/>
    </w:pPr>
    <w:rPr>
      <w:rFonts w:ascii="Times New Roman" w:hAnsi="Times New Roman" w:eastAsia="等线"/>
      <w:sz w:val="16"/>
      <w:szCs w:val="20"/>
      <w:lang w:eastAsia="ar-SA"/>
    </w:rPr>
  </w:style>
  <w:style w:type="paragraph" w:customStyle="1" w:styleId="291">
    <w:name w:val="页脚 New New New New New New New New New New New New"/>
    <w:basedOn w:val="1"/>
    <w:qFormat/>
    <w:uiPriority w:val="0"/>
    <w:pPr>
      <w:tabs>
        <w:tab w:val="center" w:pos="4153"/>
        <w:tab w:val="right" w:pos="8306"/>
      </w:tabs>
      <w:snapToGrid w:val="0"/>
      <w:jc w:val="left"/>
    </w:pPr>
    <w:rPr>
      <w:rFonts w:ascii="Times New Roman" w:hAnsi="Times New Roman"/>
      <w:sz w:val="18"/>
      <w:szCs w:val="18"/>
    </w:rPr>
  </w:style>
  <w:style w:type="paragraph" w:customStyle="1" w:styleId="292">
    <w:name w:val="样式8"/>
    <w:basedOn w:val="1"/>
    <w:qFormat/>
    <w:uiPriority w:val="0"/>
    <w:pPr>
      <w:keepNext/>
      <w:keepLines/>
      <w:widowControl/>
      <w:spacing w:before="260" w:after="260"/>
      <w:jc w:val="center"/>
      <w:outlineLvl w:val="1"/>
    </w:pPr>
    <w:rPr>
      <w:rFonts w:ascii="Arial" w:hAnsi="Arial" w:eastAsia="黑体"/>
      <w:b/>
      <w:bCs/>
      <w:kern w:val="0"/>
      <w:sz w:val="72"/>
      <w:szCs w:val="32"/>
    </w:rPr>
  </w:style>
  <w:style w:type="paragraph" w:customStyle="1" w:styleId="293">
    <w:name w:val="正文 New New New New New New New New New New New New New"/>
    <w:qFormat/>
    <w:uiPriority w:val="0"/>
    <w:pPr>
      <w:widowControl w:val="0"/>
      <w:jc w:val="both"/>
    </w:pPr>
    <w:rPr>
      <w:rFonts w:ascii="仿宋_GB2312" w:hAnsi="仿宋_GB2312" w:eastAsia="等线" w:cs="宋体"/>
      <w:snapToGrid w:val="0"/>
      <w:sz w:val="21"/>
      <w:szCs w:val="32"/>
      <w:lang w:val="en-US" w:eastAsia="zh-CN" w:bidi="ar-SA"/>
    </w:rPr>
  </w:style>
  <w:style w:type="paragraph" w:customStyle="1" w:styleId="294">
    <w:name w:val="修订1"/>
    <w:qFormat/>
    <w:uiPriority w:val="0"/>
    <w:rPr>
      <w:rFonts w:ascii="Calibri" w:hAnsi="Calibri" w:eastAsia="宋体" w:cs="Times New Roman"/>
      <w:kern w:val="2"/>
      <w:sz w:val="21"/>
      <w:lang w:val="en-US" w:eastAsia="zh-CN" w:bidi="ar-SA"/>
    </w:rPr>
  </w:style>
  <w:style w:type="paragraph" w:customStyle="1" w:styleId="295">
    <w:name w:val="正文 New New New New New New New New"/>
    <w:qFormat/>
    <w:uiPriority w:val="0"/>
    <w:pPr>
      <w:widowControl w:val="0"/>
      <w:jc w:val="both"/>
    </w:pPr>
    <w:rPr>
      <w:rFonts w:ascii="等线" w:hAnsi="等线" w:eastAsia="楷体_GB2312" w:cs="Times New Roman"/>
      <w:kern w:val="2"/>
      <w:sz w:val="21"/>
      <w:lang w:val="en-US" w:eastAsia="zh-CN" w:bidi="ar-SA"/>
    </w:rPr>
  </w:style>
  <w:style w:type="paragraph" w:customStyle="1" w:styleId="296">
    <w:name w:val="font0"/>
    <w:basedOn w:val="1"/>
    <w:qFormat/>
    <w:uiPriority w:val="0"/>
    <w:pPr>
      <w:widowControl/>
      <w:spacing w:before="100" w:beforeAutospacing="1" w:after="100" w:afterAutospacing="1"/>
      <w:jc w:val="left"/>
    </w:pPr>
    <w:rPr>
      <w:rFonts w:ascii="宋体" w:hAnsi="宋体" w:eastAsia="等线"/>
      <w:kern w:val="0"/>
      <w:sz w:val="24"/>
      <w:szCs w:val="24"/>
    </w:rPr>
  </w:style>
  <w:style w:type="paragraph" w:customStyle="1" w:styleId="297">
    <w:name w:val="封一"/>
    <w:basedOn w:val="163"/>
    <w:next w:val="163"/>
    <w:qFormat/>
    <w:uiPriority w:val="0"/>
    <w:pPr>
      <w:ind w:firstLine="0" w:firstLineChars="0"/>
      <w:jc w:val="center"/>
    </w:pPr>
    <w:rPr>
      <w:rFonts w:ascii="宋体" w:hAnsi="宋体" w:eastAsia="黑体"/>
      <w:b/>
      <w:kern w:val="2"/>
      <w:sz w:val="84"/>
      <w:szCs w:val="84"/>
    </w:rPr>
  </w:style>
  <w:style w:type="paragraph" w:customStyle="1" w:styleId="298">
    <w:name w:val="默认段落字体 Para Char"/>
    <w:basedOn w:val="1"/>
    <w:qFormat/>
    <w:uiPriority w:val="0"/>
    <w:pPr>
      <w:spacing w:line="360" w:lineRule="auto"/>
      <w:jc w:val="left"/>
    </w:pPr>
    <w:rPr>
      <w:rFonts w:ascii="Times New Roman" w:hAnsi="Times New Roman" w:eastAsia="仿宋_GB2312"/>
      <w:b/>
      <w:sz w:val="32"/>
      <w:szCs w:val="24"/>
    </w:rPr>
  </w:style>
  <w:style w:type="paragraph" w:customStyle="1" w:styleId="299">
    <w:name w:val="正文 New New New New New New New New New New New New New New New New New New New New New New New"/>
    <w:unhideWhenUsed/>
    <w:qFormat/>
    <w:uiPriority w:val="0"/>
    <w:pPr>
      <w:widowControl w:val="0"/>
      <w:jc w:val="both"/>
    </w:pPr>
    <w:rPr>
      <w:rFonts w:ascii="Calibri" w:hAnsi="Calibri" w:eastAsia="宋体" w:cs="Times New Roman"/>
      <w:kern w:val="2"/>
      <w:sz w:val="21"/>
      <w:lang w:val="en-US" w:eastAsia="zh-CN" w:bidi="ar-SA"/>
    </w:rPr>
  </w:style>
  <w:style w:type="paragraph" w:customStyle="1" w:styleId="300">
    <w:name w:val="封四"/>
    <w:basedOn w:val="163"/>
    <w:next w:val="163"/>
    <w:qFormat/>
    <w:uiPriority w:val="0"/>
    <w:pPr>
      <w:jc w:val="left"/>
    </w:pPr>
    <w:rPr>
      <w:rFonts w:ascii="宋体" w:hAnsi="宋体" w:eastAsia="等线"/>
      <w:kern w:val="2"/>
      <w:sz w:val="30"/>
      <w:szCs w:val="30"/>
    </w:rPr>
  </w:style>
  <w:style w:type="paragraph" w:customStyle="1" w:styleId="301">
    <w:name w:val="普通(网站)2"/>
    <w:basedOn w:val="1"/>
    <w:qFormat/>
    <w:uiPriority w:val="0"/>
    <w:pPr>
      <w:widowControl/>
      <w:spacing w:line="500" w:lineRule="exact"/>
      <w:ind w:firstLine="510"/>
    </w:pPr>
    <w:rPr>
      <w:rFonts w:ascii="仿宋_GB2312" w:hAnsi="宋体" w:eastAsia="仿宋_GB2312"/>
      <w:color w:val="000000"/>
      <w:spacing w:val="-10"/>
      <w:kern w:val="0"/>
      <w:szCs w:val="20"/>
    </w:rPr>
  </w:style>
  <w:style w:type="paragraph" w:customStyle="1" w:styleId="302">
    <w:name w:val="正文 New New New New New New New New New New New"/>
    <w:qFormat/>
    <w:uiPriority w:val="0"/>
    <w:pPr>
      <w:widowControl w:val="0"/>
      <w:jc w:val="both"/>
    </w:pPr>
    <w:rPr>
      <w:rFonts w:ascii="等线" w:hAnsi="等线" w:eastAsia="等线" w:cs="Times New Roman"/>
      <w:kern w:val="2"/>
      <w:sz w:val="30"/>
      <w:szCs w:val="24"/>
      <w:lang w:val="en-US" w:eastAsia="zh-CN" w:bidi="ar-SA"/>
    </w:rPr>
  </w:style>
  <w:style w:type="paragraph" w:customStyle="1" w:styleId="303">
    <w:name w:val="Char1 Char Char Char Char Char Char11"/>
    <w:basedOn w:val="304"/>
    <w:qFormat/>
    <w:uiPriority w:val="0"/>
    <w:rPr>
      <w:rFonts w:ascii="等线" w:hAnsi="等线" w:eastAsia="等线"/>
      <w:szCs w:val="24"/>
    </w:rPr>
  </w:style>
  <w:style w:type="paragraph" w:customStyle="1" w:styleId="304">
    <w:name w:val="正文 New"/>
    <w:unhideWhenUsed/>
    <w:qFormat/>
    <w:uiPriority w:val="0"/>
    <w:pPr>
      <w:widowControl w:val="0"/>
      <w:jc w:val="both"/>
    </w:pPr>
    <w:rPr>
      <w:rFonts w:ascii="Calibri" w:hAnsi="Calibri" w:eastAsia="宋体" w:cs="Times New Roman"/>
      <w:kern w:val="2"/>
      <w:sz w:val="30"/>
      <w:lang w:val="en-US" w:eastAsia="zh-CN" w:bidi="ar-SA"/>
    </w:rPr>
  </w:style>
  <w:style w:type="paragraph" w:customStyle="1" w:styleId="305">
    <w:name w:val="页脚 New New New New New New New New New"/>
    <w:basedOn w:val="1"/>
    <w:qFormat/>
    <w:uiPriority w:val="0"/>
    <w:pPr>
      <w:tabs>
        <w:tab w:val="center" w:pos="4153"/>
        <w:tab w:val="right" w:pos="8306"/>
      </w:tabs>
      <w:snapToGrid w:val="0"/>
      <w:jc w:val="left"/>
    </w:pPr>
    <w:rPr>
      <w:rFonts w:ascii="Times New Roman" w:hAnsi="Times New Roman"/>
      <w:sz w:val="18"/>
      <w:szCs w:val="18"/>
    </w:rPr>
  </w:style>
  <w:style w:type="paragraph" w:customStyle="1" w:styleId="306">
    <w:name w:val="样式 标题 1 + 宋体 居中 段前: 48 磅 段后: 12 磅 行距: 1.5 倍行距"/>
    <w:basedOn w:val="2"/>
    <w:qFormat/>
    <w:uiPriority w:val="0"/>
    <w:pPr>
      <w:snapToGrid w:val="0"/>
      <w:spacing w:before="1560" w:after="240"/>
      <w:jc w:val="center"/>
    </w:pPr>
    <w:rPr>
      <w:rFonts w:hint="eastAsia" w:ascii="宋体" w:hAnsi="宋体" w:eastAsia="仿宋_GB2312"/>
      <w:b w:val="0"/>
      <w:kern w:val="2"/>
      <w:sz w:val="36"/>
      <w:szCs w:val="20"/>
    </w:rPr>
  </w:style>
  <w:style w:type="paragraph" w:customStyle="1" w:styleId="307">
    <w:name w:val="页眉 New New"/>
    <w:basedOn w:val="215"/>
    <w:qFormat/>
    <w:uiPriority w:val="0"/>
    <w:pPr>
      <w:pBdr>
        <w:bottom w:val="single" w:color="auto" w:sz="6" w:space="1"/>
      </w:pBdr>
      <w:tabs>
        <w:tab w:val="center" w:pos="4153"/>
        <w:tab w:val="right" w:pos="8306"/>
      </w:tabs>
      <w:snapToGrid w:val="0"/>
      <w:jc w:val="center"/>
    </w:pPr>
    <w:rPr>
      <w:sz w:val="18"/>
    </w:rPr>
  </w:style>
  <w:style w:type="paragraph" w:customStyle="1" w:styleId="308">
    <w:name w:val="正文 New New New New New New New New New New New New New New New New New New New New New New New New New New"/>
    <w:qFormat/>
    <w:uiPriority w:val="0"/>
    <w:pPr>
      <w:widowControl w:val="0"/>
      <w:jc w:val="both"/>
    </w:pPr>
    <w:rPr>
      <w:rFonts w:ascii="等线" w:hAnsi="等线" w:eastAsia="楷体_GB2312" w:cs="Times New Roman"/>
      <w:kern w:val="2"/>
      <w:sz w:val="21"/>
      <w:lang w:val="en-US" w:eastAsia="zh-CN" w:bidi="ar-SA"/>
    </w:rPr>
  </w:style>
  <w:style w:type="paragraph" w:customStyle="1" w:styleId="309">
    <w:name w:val="页脚 New New New New New New New New New New New New New New New New New New New New New New"/>
    <w:basedOn w:val="1"/>
    <w:qFormat/>
    <w:uiPriority w:val="0"/>
    <w:pPr>
      <w:tabs>
        <w:tab w:val="center" w:pos="4153"/>
        <w:tab w:val="right" w:pos="8306"/>
      </w:tabs>
      <w:snapToGrid w:val="0"/>
      <w:jc w:val="left"/>
    </w:pPr>
    <w:rPr>
      <w:rFonts w:ascii="Times New Roman" w:hAnsi="Times New Roman"/>
      <w:sz w:val="18"/>
      <w:szCs w:val="18"/>
    </w:rPr>
  </w:style>
  <w:style w:type="paragraph" w:customStyle="1" w:styleId="310">
    <w:name w:val="正文 New New New New New New New New New New New New New New New New New New New New"/>
    <w:qFormat/>
    <w:uiPriority w:val="0"/>
    <w:pPr>
      <w:widowControl w:val="0"/>
      <w:jc w:val="both"/>
    </w:pPr>
    <w:rPr>
      <w:rFonts w:ascii="等线" w:hAnsi="等线" w:eastAsia="等线" w:cs="Times New Roman"/>
      <w:kern w:val="2"/>
      <w:sz w:val="21"/>
      <w:szCs w:val="24"/>
      <w:lang w:val="en-US" w:eastAsia="zh-CN" w:bidi="ar-SA"/>
    </w:rPr>
  </w:style>
  <w:style w:type="paragraph" w:customStyle="1" w:styleId="311">
    <w:name w:val="样式1"/>
    <w:basedOn w:val="4"/>
    <w:qFormat/>
    <w:uiPriority w:val="0"/>
    <w:pPr>
      <w:keepNext/>
      <w:keepLines/>
      <w:widowControl w:val="0"/>
      <w:spacing w:before="260" w:beforeAutospacing="0" w:after="260" w:afterAutospacing="0" w:line="412" w:lineRule="auto"/>
      <w:jc w:val="both"/>
    </w:pPr>
    <w:rPr>
      <w:rFonts w:ascii="Calibri" w:hAnsi="Calibri" w:eastAsia="Arial"/>
      <w:bCs/>
      <w:color w:val="FF0000"/>
      <w:kern w:val="2"/>
      <w:sz w:val="32"/>
      <w:szCs w:val="22"/>
      <w:lang w:val="zh-CN"/>
    </w:rPr>
  </w:style>
  <w:style w:type="paragraph" w:customStyle="1" w:styleId="312">
    <w:name w:val="空半行"/>
    <w:basedOn w:val="1"/>
    <w:qFormat/>
    <w:uiPriority w:val="0"/>
    <w:pPr>
      <w:adjustRightInd w:val="0"/>
      <w:spacing w:line="120" w:lineRule="exact"/>
      <w:textAlignment w:val="baseline"/>
    </w:pPr>
    <w:rPr>
      <w:rFonts w:ascii="Times New Roman" w:hAnsi="Times New Roman" w:eastAsia="仿宋_GB2312"/>
      <w:color w:val="FFFFFF"/>
      <w:kern w:val="0"/>
      <w:sz w:val="30"/>
      <w:szCs w:val="20"/>
    </w:rPr>
  </w:style>
  <w:style w:type="paragraph" w:customStyle="1" w:styleId="313">
    <w:name w:val="_Style 72"/>
    <w:next w:val="1"/>
    <w:qFormat/>
    <w:uiPriority w:val="0"/>
    <w:pPr>
      <w:widowControl w:val="0"/>
      <w:jc w:val="both"/>
    </w:pPr>
    <w:rPr>
      <w:rFonts w:ascii="等线" w:hAnsi="等线" w:eastAsia="等线" w:cs="Times New Roman"/>
      <w:kern w:val="2"/>
      <w:sz w:val="21"/>
      <w:szCs w:val="22"/>
      <w:lang w:val="en-US" w:eastAsia="zh-CN" w:bidi="ar-SA"/>
    </w:rPr>
  </w:style>
  <w:style w:type="paragraph" w:customStyle="1" w:styleId="314">
    <w:name w:val="cjk"/>
    <w:basedOn w:val="1"/>
    <w:qFormat/>
    <w:uiPriority w:val="0"/>
    <w:pPr>
      <w:widowControl/>
      <w:spacing w:before="284" w:after="100" w:afterAutospacing="1" w:line="360" w:lineRule="auto"/>
      <w:jc w:val="left"/>
    </w:pPr>
    <w:rPr>
      <w:rFonts w:ascii="宋体" w:hAnsi="宋体" w:eastAsia="等线"/>
      <w:kern w:val="0"/>
      <w:sz w:val="22"/>
    </w:rPr>
  </w:style>
  <w:style w:type="paragraph" w:customStyle="1" w:styleId="315">
    <w:name w:val="flNote"/>
    <w:basedOn w:val="1"/>
    <w:qFormat/>
    <w:uiPriority w:val="0"/>
    <w:pPr>
      <w:adjustRightInd w:val="0"/>
      <w:spacing w:before="320" w:after="160" w:line="360" w:lineRule="atLeast"/>
      <w:jc w:val="center"/>
      <w:textAlignment w:val="baseline"/>
    </w:pPr>
    <w:rPr>
      <w:rFonts w:ascii="Arial" w:hAnsi="Times New Roman" w:eastAsia="黑体"/>
      <w:kern w:val="0"/>
      <w:sz w:val="30"/>
      <w:szCs w:val="20"/>
    </w:rPr>
  </w:style>
  <w:style w:type="paragraph" w:customStyle="1" w:styleId="316">
    <w:name w:val="正文 New New New New New New New New New"/>
    <w:qFormat/>
    <w:uiPriority w:val="0"/>
    <w:pPr>
      <w:widowControl w:val="0"/>
      <w:jc w:val="both"/>
    </w:pPr>
    <w:rPr>
      <w:rFonts w:ascii="等线" w:hAnsi="等线" w:eastAsia="等线" w:cs="Times New Roman"/>
      <w:kern w:val="2"/>
      <w:sz w:val="21"/>
      <w:szCs w:val="24"/>
      <w:lang w:val="en-US" w:eastAsia="zh-CN" w:bidi="ar-SA"/>
    </w:rPr>
  </w:style>
  <w:style w:type="paragraph" w:customStyle="1" w:styleId="317">
    <w:name w:val="页脚 New New New New New New New New New New New New New New New New"/>
    <w:basedOn w:val="1"/>
    <w:qFormat/>
    <w:uiPriority w:val="0"/>
    <w:pPr>
      <w:tabs>
        <w:tab w:val="center" w:pos="4153"/>
        <w:tab w:val="right" w:pos="8306"/>
      </w:tabs>
      <w:snapToGrid w:val="0"/>
      <w:jc w:val="left"/>
    </w:pPr>
    <w:rPr>
      <w:rFonts w:ascii="Times New Roman" w:hAnsi="Times New Roman"/>
      <w:sz w:val="18"/>
      <w:szCs w:val="18"/>
    </w:rPr>
  </w:style>
  <w:style w:type="paragraph" w:customStyle="1" w:styleId="318">
    <w:name w:val="表格标题"/>
    <w:basedOn w:val="270"/>
    <w:qFormat/>
    <w:uiPriority w:val="0"/>
    <w:pPr>
      <w:jc w:val="center"/>
    </w:pPr>
    <w:rPr>
      <w:b/>
      <w:bCs/>
    </w:rPr>
  </w:style>
  <w:style w:type="paragraph" w:customStyle="1" w:styleId="319">
    <w:name w:val="页脚 New New New New"/>
    <w:basedOn w:val="1"/>
    <w:qFormat/>
    <w:uiPriority w:val="0"/>
    <w:pPr>
      <w:tabs>
        <w:tab w:val="center" w:pos="4153"/>
        <w:tab w:val="right" w:pos="8306"/>
      </w:tabs>
      <w:snapToGrid w:val="0"/>
      <w:jc w:val="left"/>
    </w:pPr>
    <w:rPr>
      <w:rFonts w:ascii="Times New Roman" w:hAnsi="Times New Roman"/>
      <w:sz w:val="18"/>
      <w:szCs w:val="18"/>
    </w:rPr>
  </w:style>
  <w:style w:type="paragraph" w:customStyle="1" w:styleId="320">
    <w:name w:val="正文首行缩进 New"/>
    <w:basedOn w:val="18"/>
    <w:qFormat/>
    <w:uiPriority w:val="0"/>
    <w:pPr>
      <w:ind w:firstLine="420"/>
    </w:pPr>
  </w:style>
  <w:style w:type="paragraph" w:customStyle="1" w:styleId="321">
    <w:name w:val="正文缩进1"/>
    <w:basedOn w:val="1"/>
    <w:qFormat/>
    <w:uiPriority w:val="0"/>
    <w:pPr>
      <w:ind w:firstLine="420" w:firstLineChars="200"/>
    </w:pPr>
    <w:rPr>
      <w:rFonts w:ascii="Times New Roman" w:hAnsi="Times New Roman" w:eastAsia="等线"/>
      <w:sz w:val="30"/>
      <w:szCs w:val="24"/>
    </w:rPr>
  </w:style>
  <w:style w:type="paragraph" w:customStyle="1" w:styleId="322">
    <w:name w:val="正文 New New New New New New New New New New New New New New New New New New"/>
    <w:qFormat/>
    <w:uiPriority w:val="0"/>
    <w:pPr>
      <w:widowControl w:val="0"/>
      <w:jc w:val="both"/>
    </w:pPr>
    <w:rPr>
      <w:rFonts w:ascii="等线" w:hAnsi="等线" w:eastAsia="等线" w:cs="Times New Roman"/>
      <w:kern w:val="2"/>
      <w:sz w:val="21"/>
      <w:lang w:val="en-US" w:eastAsia="zh-CN" w:bidi="ar-SA"/>
    </w:rPr>
  </w:style>
  <w:style w:type="paragraph" w:customStyle="1" w:styleId="323">
    <w:name w:val="正题"/>
    <w:basedOn w:val="163"/>
    <w:next w:val="163"/>
    <w:qFormat/>
    <w:uiPriority w:val="0"/>
    <w:pPr>
      <w:ind w:firstLine="0" w:firstLineChars="0"/>
      <w:jc w:val="center"/>
    </w:pPr>
    <w:rPr>
      <w:rFonts w:eastAsia="黑体"/>
      <w:b/>
      <w:sz w:val="36"/>
      <w:szCs w:val="36"/>
    </w:rPr>
  </w:style>
  <w:style w:type="paragraph" w:customStyle="1" w:styleId="324">
    <w:name w:val="页脚 New New New New New New New New New New New New New New New"/>
    <w:basedOn w:val="1"/>
    <w:qFormat/>
    <w:uiPriority w:val="0"/>
    <w:pPr>
      <w:tabs>
        <w:tab w:val="center" w:pos="4153"/>
        <w:tab w:val="right" w:pos="8306"/>
      </w:tabs>
      <w:snapToGrid w:val="0"/>
      <w:jc w:val="left"/>
    </w:pPr>
    <w:rPr>
      <w:rFonts w:ascii="Times New Roman" w:hAnsi="Times New Roman"/>
      <w:sz w:val="18"/>
      <w:szCs w:val="18"/>
    </w:rPr>
  </w:style>
  <w:style w:type="paragraph" w:customStyle="1" w:styleId="325">
    <w:name w:val="尾注文本 New"/>
    <w:basedOn w:val="274"/>
    <w:qFormat/>
    <w:uiPriority w:val="0"/>
    <w:pPr>
      <w:snapToGrid w:val="0"/>
      <w:jc w:val="left"/>
    </w:pPr>
    <w:rPr>
      <w:rFonts w:ascii="宋体" w:hAnsi="宋体" w:eastAsia="宋体"/>
      <w:szCs w:val="24"/>
    </w:rPr>
  </w:style>
  <w:style w:type="paragraph" w:customStyle="1" w:styleId="326">
    <w:name w:val="msotocheading"/>
    <w:basedOn w:val="2"/>
    <w:next w:val="1"/>
    <w:qFormat/>
    <w:uiPriority w:val="0"/>
    <w:pPr>
      <w:widowControl/>
      <w:spacing w:before="480" w:after="0" w:line="276" w:lineRule="auto"/>
      <w:outlineLvl w:val="9"/>
    </w:pPr>
    <w:rPr>
      <w:rFonts w:hint="eastAsia" w:ascii="Cambria" w:hAnsi="Cambria" w:eastAsia="仿宋_GB2312"/>
      <w:color w:val="365F91"/>
      <w:kern w:val="0"/>
      <w:sz w:val="44"/>
      <w:szCs w:val="44"/>
    </w:rPr>
  </w:style>
  <w:style w:type="paragraph" w:customStyle="1" w:styleId="327">
    <w:name w:val="表头"/>
    <w:basedOn w:val="1"/>
    <w:qFormat/>
    <w:uiPriority w:val="0"/>
    <w:pPr>
      <w:spacing w:line="360" w:lineRule="auto"/>
      <w:jc w:val="center"/>
    </w:pPr>
    <w:rPr>
      <w:rFonts w:ascii="黑体" w:hAnsi="Times New Roman" w:eastAsia="黑体"/>
      <w:kern w:val="0"/>
      <w:sz w:val="24"/>
      <w:szCs w:val="20"/>
    </w:rPr>
  </w:style>
  <w:style w:type="paragraph" w:customStyle="1" w:styleId="328">
    <w:name w:val="批注文字1"/>
    <w:basedOn w:val="1"/>
    <w:qFormat/>
    <w:uiPriority w:val="0"/>
    <w:pPr>
      <w:suppressAutoHyphens/>
      <w:jc w:val="left"/>
    </w:pPr>
    <w:rPr>
      <w:rFonts w:ascii="Times New Roman" w:hAnsi="Times New Roman" w:eastAsia="等线"/>
      <w:szCs w:val="20"/>
      <w:lang w:eastAsia="ar-SA"/>
    </w:rPr>
  </w:style>
  <w:style w:type="paragraph" w:customStyle="1" w:styleId="329">
    <w:name w:val="正文 New New New New New New New New New New New New New New New New New New New New New New New New"/>
    <w:qFormat/>
    <w:uiPriority w:val="0"/>
    <w:pPr>
      <w:widowControl w:val="0"/>
      <w:jc w:val="both"/>
    </w:pPr>
    <w:rPr>
      <w:rFonts w:ascii="等线" w:hAnsi="等线" w:eastAsia="楷体_GB2312" w:cs="Times New Roman"/>
      <w:kern w:val="2"/>
      <w:sz w:val="21"/>
      <w:lang w:val="en-US" w:eastAsia="zh-CN" w:bidi="ar-SA"/>
    </w:rPr>
  </w:style>
  <w:style w:type="paragraph" w:customStyle="1" w:styleId="330">
    <w:name w:val="页脚 New New New New New New New New New New"/>
    <w:basedOn w:val="1"/>
    <w:qFormat/>
    <w:uiPriority w:val="0"/>
    <w:pPr>
      <w:tabs>
        <w:tab w:val="center" w:pos="4153"/>
        <w:tab w:val="right" w:pos="8306"/>
      </w:tabs>
      <w:snapToGrid w:val="0"/>
      <w:jc w:val="left"/>
    </w:pPr>
    <w:rPr>
      <w:rFonts w:ascii="Times New Roman" w:hAnsi="Times New Roman"/>
      <w:sz w:val="18"/>
      <w:szCs w:val="18"/>
    </w:rPr>
  </w:style>
  <w:style w:type="paragraph" w:customStyle="1" w:styleId="331">
    <w:name w:val="页眉 New"/>
    <w:basedOn w:val="220"/>
    <w:qFormat/>
    <w:uiPriority w:val="0"/>
    <w:pPr>
      <w:pBdr>
        <w:bottom w:val="single" w:color="auto" w:sz="6" w:space="1"/>
      </w:pBdr>
      <w:tabs>
        <w:tab w:val="center" w:pos="4153"/>
        <w:tab w:val="right" w:pos="8306"/>
      </w:tabs>
      <w:snapToGrid w:val="0"/>
      <w:jc w:val="center"/>
    </w:pPr>
    <w:rPr>
      <w:sz w:val="18"/>
    </w:rPr>
  </w:style>
  <w:style w:type="paragraph" w:customStyle="1" w:styleId="332">
    <w:name w:val="日期1"/>
    <w:basedOn w:val="1"/>
    <w:next w:val="1"/>
    <w:qFormat/>
    <w:uiPriority w:val="0"/>
    <w:pPr>
      <w:suppressAutoHyphens/>
      <w:ind w:left="100"/>
    </w:pPr>
    <w:rPr>
      <w:rFonts w:ascii="Times New Roman" w:hAnsi="Times New Roman" w:eastAsia="等线"/>
      <w:szCs w:val="20"/>
      <w:lang w:eastAsia="ar-SA"/>
    </w:rPr>
  </w:style>
  <w:style w:type="paragraph" w:customStyle="1" w:styleId="333">
    <w:name w:val="页脚 New New New New New New New New New New New New New"/>
    <w:basedOn w:val="1"/>
    <w:qFormat/>
    <w:uiPriority w:val="0"/>
    <w:pPr>
      <w:tabs>
        <w:tab w:val="center" w:pos="4153"/>
        <w:tab w:val="right" w:pos="8306"/>
      </w:tabs>
      <w:snapToGrid w:val="0"/>
      <w:jc w:val="left"/>
    </w:pPr>
    <w:rPr>
      <w:rFonts w:ascii="Times New Roman" w:hAnsi="Times New Roman"/>
      <w:sz w:val="18"/>
      <w:szCs w:val="18"/>
    </w:rPr>
  </w:style>
  <w:style w:type="paragraph" w:customStyle="1" w:styleId="334">
    <w:name w:val="msolistparagraph"/>
    <w:basedOn w:val="1"/>
    <w:qFormat/>
    <w:uiPriority w:val="0"/>
    <w:pPr>
      <w:ind w:firstLine="420" w:firstLineChars="200"/>
    </w:pPr>
    <w:rPr>
      <w:rFonts w:ascii="Times New Roman" w:hAnsi="Times New Roman" w:eastAsia="等线"/>
    </w:rPr>
  </w:style>
  <w:style w:type="paragraph" w:customStyle="1" w:styleId="335">
    <w:name w:val="_Style 251"/>
    <w:basedOn w:val="1"/>
    <w:next w:val="1"/>
    <w:qFormat/>
    <w:uiPriority w:val="0"/>
    <w:rPr>
      <w:rFonts w:ascii="Times New Roman" w:hAnsi="Times New Roman" w:eastAsia="等线"/>
    </w:rPr>
  </w:style>
  <w:style w:type="paragraph" w:customStyle="1" w:styleId="336">
    <w:name w:val="2"/>
    <w:next w:val="282"/>
    <w:qFormat/>
    <w:uiPriority w:val="0"/>
    <w:pPr>
      <w:widowControl w:val="0"/>
      <w:jc w:val="both"/>
    </w:pPr>
    <w:rPr>
      <w:rFonts w:ascii="仿宋_GB2312" w:hAnsi="等线" w:eastAsia="等线" w:cs="Times New Roman"/>
      <w:kern w:val="2"/>
      <w:sz w:val="21"/>
      <w:szCs w:val="32"/>
      <w:lang w:val="en-US" w:eastAsia="zh-CN" w:bidi="ar-SA"/>
    </w:rPr>
  </w:style>
  <w:style w:type="paragraph" w:customStyle="1" w:styleId="337">
    <w:name w:val="文档结构图2"/>
    <w:basedOn w:val="1"/>
    <w:qFormat/>
    <w:uiPriority w:val="0"/>
    <w:pPr>
      <w:shd w:val="clear" w:color="auto" w:fill="000080"/>
    </w:pPr>
    <w:rPr>
      <w:rFonts w:ascii="Times New Roman" w:hAnsi="Times New Roman" w:eastAsia="等线"/>
      <w:sz w:val="30"/>
      <w:szCs w:val="24"/>
    </w:rPr>
  </w:style>
  <w:style w:type="paragraph" w:customStyle="1" w:styleId="338">
    <w:name w:val="文提"/>
    <w:basedOn w:val="163"/>
    <w:qFormat/>
    <w:uiPriority w:val="0"/>
    <w:pPr>
      <w:ind w:firstLine="0" w:firstLineChars="0"/>
    </w:pPr>
    <w:rPr>
      <w:rFonts w:ascii="宋体" w:hAnsi="宋体" w:eastAsia="黑体" w:cs="宋体"/>
      <w:b/>
      <w:kern w:val="2"/>
    </w:rPr>
  </w:style>
  <w:style w:type="paragraph" w:customStyle="1" w:styleId="339">
    <w:name w:val="正文 New New New New New New New New New New New New New New"/>
    <w:qFormat/>
    <w:uiPriority w:val="0"/>
    <w:pPr>
      <w:widowControl w:val="0"/>
      <w:jc w:val="both"/>
    </w:pPr>
    <w:rPr>
      <w:rFonts w:ascii="等线" w:hAnsi="等线" w:eastAsia="楷体_GB2312" w:cs="Times New Roman"/>
      <w:kern w:val="2"/>
      <w:sz w:val="21"/>
      <w:lang w:val="en-US" w:eastAsia="zh-CN" w:bidi="ar-SA"/>
    </w:rPr>
  </w:style>
  <w:style w:type="paragraph" w:customStyle="1" w:styleId="340">
    <w:name w:val="发文落款"/>
    <w:basedOn w:val="230"/>
    <w:qFormat/>
    <w:uiPriority w:val="0"/>
    <w:pPr>
      <w:ind w:left="4094" w:right="607" w:firstLine="0"/>
      <w:jc w:val="center"/>
    </w:pPr>
  </w:style>
  <w:style w:type="paragraph" w:customStyle="1" w:styleId="341">
    <w:name w:val="样式 正文缩进正文（首行缩进两字）特点ALT+Z表正文正文非缩进四号段1Normal Indent Char2...4"/>
    <w:basedOn w:val="19"/>
    <w:qFormat/>
    <w:uiPriority w:val="0"/>
    <w:pPr>
      <w:tabs>
        <w:tab w:val="left" w:pos="510"/>
        <w:tab w:val="left" w:pos="2520"/>
      </w:tabs>
      <w:spacing w:line="300" w:lineRule="auto"/>
      <w:ind w:left="2520" w:hanging="420"/>
    </w:pPr>
    <w:rPr>
      <w:rFonts w:ascii="Calibri" w:hAnsi="宋体" w:eastAsia="等线"/>
      <w:sz w:val="24"/>
      <w:szCs w:val="22"/>
    </w:rPr>
  </w:style>
  <w:style w:type="paragraph" w:customStyle="1" w:styleId="342">
    <w:name w:val="页脚 New New New New New New New New New New New New New New New New New"/>
    <w:basedOn w:val="1"/>
    <w:qFormat/>
    <w:uiPriority w:val="0"/>
    <w:pPr>
      <w:tabs>
        <w:tab w:val="center" w:pos="4153"/>
        <w:tab w:val="right" w:pos="8306"/>
      </w:tabs>
      <w:snapToGrid w:val="0"/>
      <w:jc w:val="left"/>
    </w:pPr>
    <w:rPr>
      <w:rFonts w:ascii="Times New Roman" w:hAnsi="Times New Roman"/>
      <w:sz w:val="18"/>
      <w:szCs w:val="18"/>
    </w:rPr>
  </w:style>
  <w:style w:type="paragraph" w:customStyle="1" w:styleId="343">
    <w:name w:val="正文文本缩进 32"/>
    <w:basedOn w:val="1"/>
    <w:qFormat/>
    <w:uiPriority w:val="0"/>
    <w:pPr>
      <w:snapToGrid w:val="0"/>
      <w:spacing w:line="360" w:lineRule="auto"/>
      <w:ind w:left="20" w:firstLine="529" w:firstLineChars="189"/>
    </w:pPr>
    <w:rPr>
      <w:rFonts w:ascii="仿宋_GB2312" w:hAnsi="Times New Roman" w:eastAsia="仿宋_GB2312"/>
      <w:sz w:val="28"/>
      <w:szCs w:val="24"/>
    </w:rPr>
  </w:style>
  <w:style w:type="paragraph" w:customStyle="1" w:styleId="344">
    <w:name w:val="Address"/>
    <w:basedOn w:val="1"/>
    <w:next w:val="1"/>
    <w:qFormat/>
    <w:uiPriority w:val="0"/>
    <w:pPr>
      <w:widowControl/>
      <w:autoSpaceDE w:val="0"/>
      <w:autoSpaceDN w:val="0"/>
      <w:adjustRightInd w:val="0"/>
      <w:jc w:val="left"/>
    </w:pPr>
    <w:rPr>
      <w:rFonts w:ascii="Times New Roman" w:hAnsi="Times New Roman" w:eastAsia="等线"/>
      <w:i/>
      <w:kern w:val="0"/>
      <w:sz w:val="24"/>
      <w:szCs w:val="20"/>
    </w:rPr>
  </w:style>
  <w:style w:type="paragraph" w:customStyle="1" w:styleId="345">
    <w:name w:val="页脚 New New New New New New New New New New New New New New New New New New"/>
    <w:basedOn w:val="1"/>
    <w:qFormat/>
    <w:uiPriority w:val="0"/>
    <w:pPr>
      <w:tabs>
        <w:tab w:val="center" w:pos="4153"/>
        <w:tab w:val="right" w:pos="8306"/>
      </w:tabs>
      <w:snapToGrid w:val="0"/>
      <w:jc w:val="left"/>
    </w:pPr>
    <w:rPr>
      <w:rFonts w:ascii="Times New Roman" w:hAnsi="Times New Roman"/>
      <w:sz w:val="18"/>
      <w:szCs w:val="18"/>
    </w:rPr>
  </w:style>
  <w:style w:type="paragraph" w:customStyle="1" w:styleId="346">
    <w:name w:val="修订11"/>
    <w:qFormat/>
    <w:uiPriority w:val="0"/>
    <w:rPr>
      <w:rFonts w:ascii="Times New Roman" w:hAnsi="Times New Roman" w:eastAsia="宋体" w:cs="Times New Roman"/>
      <w:kern w:val="2"/>
      <w:sz w:val="21"/>
      <w:szCs w:val="24"/>
      <w:lang w:val="en-US" w:eastAsia="zh-CN" w:bidi="ar-SA"/>
    </w:rPr>
  </w:style>
  <w:style w:type="paragraph" w:customStyle="1" w:styleId="347">
    <w:name w:val="xl4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kern w:val="0"/>
      <w:sz w:val="24"/>
      <w:szCs w:val="20"/>
    </w:rPr>
  </w:style>
  <w:style w:type="paragraph" w:customStyle="1" w:styleId="348">
    <w:name w:val="样式 标题 1 + 黑体 三号 非加粗 居中 段前: 6 磅 段后: 6 磅 行距: 固定值 20 磅"/>
    <w:basedOn w:val="2"/>
    <w:qFormat/>
    <w:uiPriority w:val="0"/>
    <w:pPr>
      <w:spacing w:line="400" w:lineRule="exact"/>
      <w:jc w:val="center"/>
    </w:pPr>
    <w:rPr>
      <w:rFonts w:hint="eastAsia" w:ascii="黑体" w:hAnsi="黑体" w:eastAsia="黑体"/>
      <w:b w:val="0"/>
      <w:sz w:val="32"/>
      <w:szCs w:val="20"/>
    </w:rPr>
  </w:style>
  <w:style w:type="paragraph" w:customStyle="1" w:styleId="349">
    <w:name w:val="样式2"/>
    <w:basedOn w:val="4"/>
    <w:qFormat/>
    <w:uiPriority w:val="0"/>
    <w:pPr>
      <w:keepNext/>
      <w:keepLines/>
      <w:widowControl w:val="0"/>
      <w:spacing w:before="260" w:beforeAutospacing="0" w:after="260" w:afterAutospacing="0" w:line="412" w:lineRule="auto"/>
      <w:jc w:val="both"/>
    </w:pPr>
    <w:rPr>
      <w:rFonts w:ascii="Calibri" w:hAnsi="Calibri" w:eastAsia="等线"/>
      <w:bCs/>
      <w:color w:val="FF0000"/>
      <w:kern w:val="2"/>
      <w:sz w:val="32"/>
      <w:szCs w:val="22"/>
      <w:lang w:val="zh-CN"/>
    </w:rPr>
  </w:style>
  <w:style w:type="paragraph" w:customStyle="1" w:styleId="350">
    <w:name w:val="msonospacing"/>
    <w:qFormat/>
    <w:uiPriority w:val="0"/>
    <w:rPr>
      <w:rFonts w:ascii="等线" w:hAnsi="等线" w:eastAsia="Times New Roman" w:cs="Times New Roman"/>
      <w:kern w:val="2"/>
      <w:sz w:val="22"/>
      <w:lang w:val="en-US" w:eastAsia="zh-CN" w:bidi="ar-SA"/>
    </w:rPr>
  </w:style>
  <w:style w:type="paragraph" w:customStyle="1" w:styleId="351">
    <w:name w:val="正文首行缩进1"/>
    <w:basedOn w:val="18"/>
    <w:qFormat/>
    <w:uiPriority w:val="0"/>
    <w:pPr>
      <w:ind w:firstLine="420" w:firstLineChars="100"/>
    </w:pPr>
    <w:rPr>
      <w:rFonts w:hAnsi="Calibri" w:eastAsia="等线"/>
      <w:sz w:val="30"/>
      <w:szCs w:val="24"/>
    </w:rPr>
  </w:style>
  <w:style w:type="paragraph" w:customStyle="1" w:styleId="352">
    <w:name w:val="正文 New New New New New New New New New New New New New New New New New New New New New New New New New"/>
    <w:qFormat/>
    <w:uiPriority w:val="0"/>
    <w:pPr>
      <w:widowControl w:val="0"/>
      <w:jc w:val="both"/>
    </w:pPr>
    <w:rPr>
      <w:rFonts w:ascii="等线" w:hAnsi="等线" w:eastAsia="楷体_GB2312" w:cs="Times New Roman"/>
      <w:kern w:val="2"/>
      <w:sz w:val="21"/>
      <w:lang w:val="en-US" w:eastAsia="zh-CN" w:bidi="ar-SA"/>
    </w:rPr>
  </w:style>
  <w:style w:type="paragraph" w:customStyle="1" w:styleId="353">
    <w:name w:val="179"/>
    <w:basedOn w:val="1"/>
    <w:qFormat/>
    <w:uiPriority w:val="0"/>
    <w:pPr>
      <w:widowControl/>
      <w:ind w:firstLine="420" w:firstLineChars="200"/>
    </w:pPr>
    <w:rPr>
      <w:rFonts w:ascii="Times New Roman" w:hAnsi="Times New Roman"/>
      <w:szCs w:val="20"/>
    </w:rPr>
  </w:style>
  <w:style w:type="paragraph" w:customStyle="1" w:styleId="354">
    <w:name w:val="页脚 New"/>
    <w:basedOn w:val="220"/>
    <w:qFormat/>
    <w:uiPriority w:val="0"/>
    <w:pPr>
      <w:tabs>
        <w:tab w:val="center" w:pos="4153"/>
        <w:tab w:val="right" w:pos="8306"/>
      </w:tabs>
      <w:snapToGrid w:val="0"/>
      <w:jc w:val="left"/>
    </w:pPr>
    <w:rPr>
      <w:sz w:val="18"/>
    </w:rPr>
  </w:style>
  <w:style w:type="paragraph" w:customStyle="1" w:styleId="355">
    <w:name w:val="Char5 Char Char"/>
    <w:basedOn w:val="1"/>
    <w:qFormat/>
    <w:uiPriority w:val="0"/>
    <w:pPr>
      <w:ind w:left="567" w:hanging="279"/>
    </w:pPr>
    <w:rPr>
      <w:rFonts w:ascii="Times New Roman" w:hAnsi="Times New Roman" w:eastAsia="等线"/>
      <w:sz w:val="24"/>
      <w:szCs w:val="24"/>
    </w:rPr>
  </w:style>
  <w:style w:type="paragraph" w:customStyle="1" w:styleId="356">
    <w:name w:val="纯文本2"/>
    <w:basedOn w:val="1"/>
    <w:qFormat/>
    <w:uiPriority w:val="0"/>
    <w:rPr>
      <w:rFonts w:ascii="宋体" w:hAnsi="Courier New" w:eastAsia="等线"/>
      <w:sz w:val="24"/>
      <w:szCs w:val="20"/>
    </w:rPr>
  </w:style>
  <w:style w:type="paragraph" w:customStyle="1" w:styleId="357">
    <w:name w:val="msointensequote"/>
    <w:basedOn w:val="1"/>
    <w:next w:val="1"/>
    <w:qFormat/>
    <w:uiPriority w:val="0"/>
    <w:pPr>
      <w:widowControl/>
      <w:ind w:left="720" w:right="720"/>
      <w:jc w:val="left"/>
    </w:pPr>
    <w:rPr>
      <w:rFonts w:ascii="Times New Roman" w:hAnsi="Times New Roman" w:eastAsia="等线"/>
      <w:b/>
      <w:i/>
      <w:kern w:val="0"/>
      <w:sz w:val="24"/>
    </w:rPr>
  </w:style>
  <w:style w:type="paragraph" w:customStyle="1" w:styleId="358">
    <w:name w:val="Char14"/>
    <w:basedOn w:val="15"/>
    <w:qFormat/>
    <w:uiPriority w:val="0"/>
    <w:rPr>
      <w:rFonts w:ascii="Tahoma" w:hAnsi="Tahoma" w:eastAsia="等线"/>
      <w:sz w:val="24"/>
      <w:szCs w:val="24"/>
      <w:shd w:val="clear" w:color="auto" w:fill="000080"/>
    </w:rPr>
  </w:style>
  <w:style w:type="paragraph" w:customStyle="1" w:styleId="359">
    <w:name w:val="Char Char Char Char Char Char1 Char"/>
    <w:basedOn w:val="1"/>
    <w:qFormat/>
    <w:uiPriority w:val="0"/>
    <w:pPr>
      <w:widowControl/>
      <w:spacing w:after="160" w:line="240" w:lineRule="exact"/>
      <w:jc w:val="left"/>
    </w:pPr>
    <w:rPr>
      <w:rFonts w:ascii="Verdana" w:hAnsi="Verdana" w:eastAsia="仿宋_GB2312"/>
      <w:kern w:val="0"/>
      <w:sz w:val="24"/>
      <w:szCs w:val="32"/>
      <w:lang w:eastAsia="en-US"/>
    </w:rPr>
  </w:style>
  <w:style w:type="paragraph" w:customStyle="1" w:styleId="360">
    <w:name w:val="正文 New New New New New New New New New New New New New New New New New New New New New New New New New New New New New New New New"/>
    <w:qFormat/>
    <w:uiPriority w:val="0"/>
    <w:pPr>
      <w:widowControl w:val="0"/>
      <w:jc w:val="both"/>
    </w:pPr>
    <w:rPr>
      <w:rFonts w:ascii="等线" w:hAnsi="等线" w:eastAsia="等线" w:cs="Times New Roman"/>
      <w:kern w:val="2"/>
      <w:sz w:val="21"/>
      <w:lang w:val="en-US" w:eastAsia="zh-CN" w:bidi="ar-SA"/>
    </w:rPr>
  </w:style>
  <w:style w:type="character" w:customStyle="1" w:styleId="361">
    <w:name w:val="标题 1 字符1"/>
    <w:qFormat/>
    <w:uiPriority w:val="0"/>
    <w:rPr>
      <w:rFonts w:ascii="宋体" w:hAnsi="宋体" w:eastAsia="宋体" w:cs="宋体"/>
      <w:b/>
      <w:kern w:val="44"/>
      <w:sz w:val="28"/>
      <w:szCs w:val="28"/>
    </w:rPr>
  </w:style>
  <w:style w:type="character" w:customStyle="1" w:styleId="362">
    <w:name w:val="标题 3 字符1"/>
    <w:qFormat/>
    <w:uiPriority w:val="0"/>
    <w:rPr>
      <w:rFonts w:ascii="宋体" w:hAnsi="宋体" w:eastAsia="宋体" w:cs="Times New Roman"/>
      <w:kern w:val="0"/>
      <w:sz w:val="27"/>
      <w:szCs w:val="27"/>
    </w:rPr>
  </w:style>
  <w:style w:type="character" w:customStyle="1" w:styleId="363">
    <w:name w:val="正文首行缩进 2 字符"/>
    <w:basedOn w:val="76"/>
    <w:link w:val="50"/>
    <w:qFormat/>
    <w:uiPriority w:val="99"/>
    <w:rPr>
      <w:rFonts w:ascii="Times New Roman" w:hAnsi="Times New Roman" w:eastAsia="宋体" w:cs="Times New Roman"/>
      <w:kern w:val="2"/>
      <w:sz w:val="21"/>
      <w:szCs w:val="22"/>
    </w:rPr>
  </w:style>
  <w:style w:type="paragraph" w:customStyle="1" w:styleId="364">
    <w:name w:val="_Style 5"/>
    <w:basedOn w:val="1"/>
    <w:next w:val="205"/>
    <w:qFormat/>
    <w:uiPriority w:val="34"/>
    <w:pPr>
      <w:ind w:firstLine="420" w:firstLineChars="200"/>
    </w:pPr>
  </w:style>
  <w:style w:type="paragraph" w:customStyle="1" w:styleId="365">
    <w:name w:val="Body text|3"/>
    <w:basedOn w:val="1"/>
    <w:qFormat/>
    <w:uiPriority w:val="0"/>
    <w:rPr>
      <w:rFonts w:ascii="宋体" w:hAnsi="宋体" w:cs="宋体"/>
      <w:sz w:val="20"/>
      <w:szCs w:val="20"/>
      <w:lang w:val="zh-TW" w:eastAsia="zh-TW" w:bidi="zh-TW"/>
    </w:rPr>
  </w:style>
  <w:style w:type="paragraph" w:customStyle="1" w:styleId="366">
    <w:name w:val="修订2"/>
    <w:hidden/>
    <w:unhideWhenUsed/>
    <w:qFormat/>
    <w:uiPriority w:val="99"/>
    <w:rPr>
      <w:rFonts w:ascii="Calibri" w:hAnsi="Calibri" w:eastAsia="宋体" w:cs="Times New Roman"/>
      <w:kern w:val="2"/>
      <w:sz w:val="21"/>
      <w:szCs w:val="22"/>
      <w:lang w:val="en-US" w:eastAsia="zh-CN" w:bidi="ar-SA"/>
    </w:rPr>
  </w:style>
  <w:style w:type="paragraph" w:customStyle="1" w:styleId="367">
    <w:name w:val="样式st 首行缩进:  2 字符"/>
    <w:basedOn w:val="1"/>
    <w:qFormat/>
    <w:uiPriority w:val="0"/>
    <w:pPr>
      <w:spacing w:line="360" w:lineRule="auto"/>
      <w:ind w:firstLine="480" w:firstLineChars="200"/>
    </w:pPr>
    <w:rPr>
      <w:rFonts w:ascii="Times New Roman" w:hAnsi="Times New Roman" w:cs="宋体"/>
      <w:sz w:val="24"/>
      <w:szCs w:val="20"/>
    </w:rPr>
  </w:style>
  <w:style w:type="character" w:customStyle="1" w:styleId="368">
    <w:name w:val="font81"/>
    <w:basedOn w:val="53"/>
    <w:qFormat/>
    <w:uiPriority w:val="0"/>
    <w:rPr>
      <w:rFonts w:hint="default" w:ascii="Times New Roman" w:hAnsi="Times New Roman" w:cs="Times New Roman"/>
      <w:color w:val="000000"/>
      <w:sz w:val="24"/>
      <w:szCs w:val="24"/>
      <w:u w:val="none"/>
    </w:rPr>
  </w:style>
  <w:style w:type="character" w:customStyle="1" w:styleId="369">
    <w:name w:val="font31"/>
    <w:basedOn w:val="53"/>
    <w:qFormat/>
    <w:uiPriority w:val="0"/>
    <w:rPr>
      <w:rFonts w:hint="eastAsia" w:ascii="宋体" w:hAnsi="宋体" w:eastAsia="宋体" w:cs="宋体"/>
      <w:color w:val="000000"/>
      <w:sz w:val="21"/>
      <w:szCs w:val="21"/>
      <w:u w:val="none"/>
    </w:rPr>
  </w:style>
  <w:style w:type="character" w:customStyle="1" w:styleId="370">
    <w:name w:val="font41"/>
    <w:basedOn w:val="53"/>
    <w:qFormat/>
    <w:uiPriority w:val="0"/>
    <w:rPr>
      <w:rFonts w:hint="default" w:ascii="Times New Roman" w:hAnsi="Times New Roman" w:cs="Times New Roman"/>
      <w:color w:val="000000"/>
      <w:sz w:val="21"/>
      <w:szCs w:val="21"/>
      <w:u w:val="none"/>
    </w:rPr>
  </w:style>
  <w:style w:type="character" w:customStyle="1" w:styleId="371">
    <w:name w:val="Font Style78"/>
    <w:qFormat/>
    <w:uiPriority w:val="99"/>
    <w:rPr>
      <w:rFonts w:ascii="宋体" w:eastAsia="宋体" w:cs="宋体"/>
      <w:b/>
      <w:bCs/>
      <w:sz w:val="22"/>
      <w:szCs w:val="22"/>
    </w:rPr>
  </w:style>
  <w:style w:type="paragraph" w:customStyle="1" w:styleId="372">
    <w:name w:val="Table Paragraph"/>
    <w:basedOn w:val="1"/>
    <w:qFormat/>
    <w:uiPriority w:val="1"/>
    <w:rPr>
      <w:rFonts w:ascii="宋体" w:hAnsi="宋体" w:cs="宋体"/>
    </w:rPr>
  </w:style>
  <w:style w:type="table" w:customStyle="1" w:styleId="373">
    <w:name w:val="Table Normal"/>
    <w:unhideWhenUsed/>
    <w:qFormat/>
    <w:uiPriority w:val="2"/>
    <w:rPr>
      <w:rFonts w:asciiTheme="minorHAnsi" w:hAnsiTheme="minorHAnsi" w:eastAsiaTheme="minorEastAsia" w:cstheme="minorBidi"/>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74</Pages>
  <Words>70745</Words>
  <Characters>80020</Characters>
  <Lines>683</Lines>
  <Paragraphs>192</Paragraphs>
  <TotalTime>1</TotalTime>
  <ScaleCrop>false</ScaleCrop>
  <LinksUpToDate>false</LinksUpToDate>
  <CharactersWithSpaces>84997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2024-08-27T00:33:00Z</dcterms:created>
  <dc:creator>管理员</dc:creator>
  <cp:lastModifiedBy>-咕小婷</cp:lastModifiedBy>
  <cp:lastPrinted>2021-12-29T19:36:00Z</cp:lastPrinted>
  <dcterms:modified xsi:type="dcterms:W3CDTF">2024-10-15T08:49:09Z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000247E3B91C40258A6D2F06D377F07B_13</vt:lpwstr>
  </property>
</Properties>
</file>