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6A3A6">
      <w:pPr>
        <w:wordWrap w:val="0"/>
        <w:spacing w:line="360" w:lineRule="auto"/>
        <w:jc w:val="center"/>
        <w:rPr>
          <w:rFonts w:hint="eastAsia" w:ascii="宋体" w:hAnsi="宋体"/>
          <w:b/>
          <w:color w:val="auto"/>
          <w:sz w:val="40"/>
          <w:szCs w:val="40"/>
          <w:highlight w:val="none"/>
        </w:rPr>
      </w:pPr>
      <w:r>
        <w:rPr>
          <w:rFonts w:hint="eastAsia"/>
          <w:b/>
          <w:color w:val="auto"/>
          <w:sz w:val="40"/>
          <w:szCs w:val="40"/>
          <w:highlight w:val="none"/>
        </w:rPr>
        <w:t>人类细胞谱系大科学研究设施项目建安工程（一阶段）监理服务</w:t>
      </w:r>
    </w:p>
    <w:p w14:paraId="108C967A">
      <w:pPr>
        <w:wordWrap w:val="0"/>
        <w:spacing w:line="360" w:lineRule="auto"/>
        <w:jc w:val="center"/>
        <w:rPr>
          <w:rFonts w:hint="eastAsia" w:ascii="宋体" w:hAnsi="宋体"/>
          <w:color w:val="auto"/>
          <w:sz w:val="28"/>
          <w:szCs w:val="28"/>
          <w:highlight w:val="none"/>
        </w:rPr>
      </w:pPr>
    </w:p>
    <w:p w14:paraId="5162E2F9">
      <w:pPr>
        <w:wordWrap w:val="0"/>
        <w:spacing w:line="360" w:lineRule="auto"/>
        <w:jc w:val="center"/>
        <w:rPr>
          <w:rFonts w:hint="eastAsia" w:ascii="宋体" w:hAnsi="宋体"/>
          <w:color w:val="auto"/>
          <w:sz w:val="28"/>
          <w:szCs w:val="28"/>
          <w:highlight w:val="none"/>
        </w:rPr>
      </w:pPr>
    </w:p>
    <w:p w14:paraId="7BC89F90">
      <w:pPr>
        <w:wordWrap w:val="0"/>
        <w:spacing w:line="360" w:lineRule="auto"/>
        <w:jc w:val="center"/>
        <w:rPr>
          <w:rFonts w:hint="eastAsia" w:ascii="宋体" w:hAnsi="宋体"/>
          <w:color w:val="auto"/>
          <w:sz w:val="28"/>
          <w:szCs w:val="28"/>
          <w:highlight w:val="none"/>
        </w:rPr>
      </w:pPr>
    </w:p>
    <w:p w14:paraId="1FAF329E">
      <w:pPr>
        <w:wordWrap w:val="0"/>
        <w:spacing w:line="360" w:lineRule="auto"/>
        <w:jc w:val="center"/>
        <w:rPr>
          <w:rFonts w:hint="eastAsia" w:ascii="宋体" w:hAnsi="宋体"/>
          <w:color w:val="auto"/>
          <w:sz w:val="28"/>
          <w:szCs w:val="28"/>
          <w:highlight w:val="none"/>
        </w:rPr>
      </w:pPr>
    </w:p>
    <w:p w14:paraId="68D7C88E">
      <w:pPr>
        <w:wordWrap w:val="0"/>
        <w:spacing w:line="360" w:lineRule="auto"/>
        <w:jc w:val="center"/>
        <w:rPr>
          <w:rFonts w:hint="eastAsia" w:ascii="宋体" w:hAnsi="宋体"/>
          <w:color w:val="auto"/>
          <w:sz w:val="28"/>
          <w:szCs w:val="28"/>
          <w:highlight w:val="none"/>
        </w:rPr>
      </w:pPr>
    </w:p>
    <w:p w14:paraId="5477D5C6">
      <w:pPr>
        <w:wordWrap w:val="0"/>
        <w:spacing w:line="360" w:lineRule="auto"/>
        <w:jc w:val="center"/>
        <w:rPr>
          <w:rFonts w:hint="eastAsia" w:ascii="宋体" w:hAnsi="宋体"/>
          <w:color w:val="auto"/>
          <w:sz w:val="28"/>
          <w:szCs w:val="28"/>
          <w:highlight w:val="none"/>
        </w:rPr>
      </w:pPr>
    </w:p>
    <w:p w14:paraId="65DF8FAA">
      <w:pPr>
        <w:wordWrap w:val="0"/>
        <w:spacing w:line="360" w:lineRule="auto"/>
        <w:jc w:val="center"/>
        <w:rPr>
          <w:rFonts w:hint="eastAsia" w:ascii="宋体" w:hAnsi="宋体"/>
          <w:color w:val="auto"/>
          <w:sz w:val="28"/>
          <w:szCs w:val="28"/>
          <w:highlight w:val="none"/>
        </w:rPr>
      </w:pPr>
    </w:p>
    <w:p w14:paraId="7E8003EB">
      <w:pPr>
        <w:wordWrap w:val="0"/>
        <w:spacing w:line="360" w:lineRule="auto"/>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招标公告</w:t>
      </w:r>
    </w:p>
    <w:p w14:paraId="23B6498D">
      <w:pPr>
        <w:wordWrap w:val="0"/>
        <w:spacing w:line="360" w:lineRule="auto"/>
        <w:jc w:val="center"/>
        <w:rPr>
          <w:rFonts w:hint="eastAsia" w:ascii="宋体" w:hAnsi="宋体"/>
          <w:color w:val="auto"/>
          <w:sz w:val="28"/>
          <w:szCs w:val="28"/>
          <w:highlight w:val="none"/>
        </w:rPr>
      </w:pPr>
    </w:p>
    <w:p w14:paraId="5AF3DBFD">
      <w:pPr>
        <w:wordWrap w:val="0"/>
        <w:spacing w:line="360" w:lineRule="auto"/>
        <w:jc w:val="center"/>
        <w:rPr>
          <w:rFonts w:hint="eastAsia" w:ascii="宋体" w:hAnsi="宋体"/>
          <w:color w:val="auto"/>
          <w:sz w:val="28"/>
          <w:szCs w:val="28"/>
          <w:highlight w:val="none"/>
        </w:rPr>
      </w:pPr>
    </w:p>
    <w:p w14:paraId="3AD4D457">
      <w:pPr>
        <w:wordWrap w:val="0"/>
        <w:spacing w:line="360" w:lineRule="auto"/>
        <w:jc w:val="center"/>
        <w:rPr>
          <w:rFonts w:hint="eastAsia" w:ascii="宋体" w:hAnsi="宋体"/>
          <w:color w:val="auto"/>
          <w:sz w:val="28"/>
          <w:szCs w:val="28"/>
          <w:highlight w:val="none"/>
        </w:rPr>
      </w:pPr>
    </w:p>
    <w:p w14:paraId="5C4F4BC5">
      <w:pPr>
        <w:wordWrap w:val="0"/>
        <w:spacing w:line="360" w:lineRule="auto"/>
        <w:jc w:val="center"/>
        <w:rPr>
          <w:rFonts w:hint="eastAsia" w:ascii="宋体" w:hAnsi="宋体"/>
          <w:color w:val="auto"/>
          <w:sz w:val="28"/>
          <w:szCs w:val="28"/>
          <w:highlight w:val="none"/>
        </w:rPr>
      </w:pPr>
    </w:p>
    <w:p w14:paraId="58F956AF">
      <w:pPr>
        <w:wordWrap w:val="0"/>
        <w:spacing w:line="360" w:lineRule="auto"/>
        <w:jc w:val="center"/>
        <w:rPr>
          <w:rFonts w:hint="eastAsia" w:ascii="宋体" w:hAnsi="宋体"/>
          <w:color w:val="auto"/>
          <w:sz w:val="28"/>
          <w:szCs w:val="28"/>
          <w:highlight w:val="none"/>
        </w:rPr>
      </w:pPr>
    </w:p>
    <w:p w14:paraId="18A64414">
      <w:pPr>
        <w:wordWrap w:val="0"/>
        <w:spacing w:line="360" w:lineRule="auto"/>
        <w:jc w:val="center"/>
        <w:rPr>
          <w:rFonts w:hint="eastAsia" w:ascii="宋体" w:hAnsi="宋体"/>
          <w:color w:val="auto"/>
          <w:sz w:val="28"/>
          <w:szCs w:val="28"/>
          <w:highlight w:val="none"/>
        </w:rPr>
      </w:pPr>
    </w:p>
    <w:p w14:paraId="45C74340">
      <w:pPr>
        <w:wordWrap w:val="0"/>
        <w:spacing w:line="360" w:lineRule="auto"/>
        <w:jc w:val="center"/>
        <w:rPr>
          <w:rFonts w:hint="eastAsia" w:ascii="宋体" w:hAnsi="宋体"/>
          <w:color w:val="auto"/>
          <w:sz w:val="28"/>
          <w:szCs w:val="28"/>
          <w:highlight w:val="none"/>
        </w:rPr>
      </w:pPr>
    </w:p>
    <w:p w14:paraId="4210AC28">
      <w:pPr>
        <w:wordWrap w:val="0"/>
        <w:spacing w:line="360" w:lineRule="auto"/>
        <w:ind w:firstLine="1687" w:firstLineChars="525"/>
        <w:rPr>
          <w:rFonts w:hint="eastAsia" w:ascii="宋体" w:hAnsi="宋体" w:cs="宋体"/>
          <w:b/>
          <w:bCs/>
          <w:color w:val="auto"/>
          <w:sz w:val="32"/>
          <w:szCs w:val="36"/>
          <w:highlight w:val="none"/>
        </w:rPr>
      </w:pPr>
      <w:r>
        <w:rPr>
          <w:rFonts w:hint="eastAsia" w:ascii="宋体" w:hAnsi="宋体" w:cs="宋体"/>
          <w:b/>
          <w:bCs/>
          <w:color w:val="auto"/>
          <w:sz w:val="32"/>
          <w:szCs w:val="36"/>
          <w:highlight w:val="none"/>
        </w:rPr>
        <w:t>招   标   人：中国科学院广州生物医药与健康研究院</w:t>
      </w:r>
    </w:p>
    <w:p w14:paraId="08B9D414">
      <w:pPr>
        <w:wordWrap w:val="0"/>
        <w:spacing w:line="360" w:lineRule="auto"/>
        <w:ind w:firstLine="1687" w:firstLineChars="525"/>
        <w:rPr>
          <w:rFonts w:hint="eastAsia" w:ascii="宋体" w:hAnsi="宋体" w:cs="宋体"/>
          <w:b/>
          <w:bCs/>
          <w:color w:val="auto"/>
          <w:sz w:val="32"/>
          <w:szCs w:val="36"/>
          <w:highlight w:val="none"/>
        </w:rPr>
      </w:pPr>
      <w:r>
        <w:rPr>
          <w:rFonts w:hint="eastAsia" w:ascii="宋体" w:hAnsi="宋体" w:cs="宋体"/>
          <w:b/>
          <w:bCs/>
          <w:color w:val="auto"/>
          <w:sz w:val="32"/>
          <w:szCs w:val="36"/>
          <w:highlight w:val="none"/>
        </w:rPr>
        <w:t>招标代理机构：广东粤能工程管理有限公司</w:t>
      </w:r>
    </w:p>
    <w:p w14:paraId="475B0C03">
      <w:pPr>
        <w:wordWrap w:val="0"/>
        <w:spacing w:line="360" w:lineRule="auto"/>
        <w:ind w:firstLine="1687" w:firstLineChars="525"/>
        <w:rPr>
          <w:rFonts w:hint="eastAsia" w:ascii="宋体" w:hAnsi="宋体" w:cs="宋体"/>
          <w:b/>
          <w:bCs/>
          <w:color w:val="auto"/>
          <w:sz w:val="32"/>
          <w:szCs w:val="36"/>
          <w:highlight w:val="none"/>
        </w:rPr>
      </w:pPr>
      <w:r>
        <w:rPr>
          <w:rFonts w:hint="eastAsia" w:ascii="宋体" w:hAnsi="宋体" w:cs="宋体"/>
          <w:b/>
          <w:bCs/>
          <w:color w:val="auto"/>
          <w:sz w:val="32"/>
          <w:szCs w:val="36"/>
          <w:highlight w:val="none"/>
        </w:rPr>
        <w:t>日        期：2024年10月</w:t>
      </w:r>
    </w:p>
    <w:p w14:paraId="2803CAB3">
      <w:pPr>
        <w:wordWrap w:val="0"/>
        <w:spacing w:line="360" w:lineRule="auto"/>
        <w:rPr>
          <w:rFonts w:eastAsia="Times New Roman"/>
          <w:color w:val="auto"/>
          <w:sz w:val="24"/>
          <w:highlight w:val="none"/>
        </w:rPr>
      </w:pPr>
    </w:p>
    <w:p w14:paraId="57C0E35F">
      <w:pPr>
        <w:pStyle w:val="2"/>
        <w:wordWrap w:val="0"/>
        <w:spacing w:after="0" w:line="360" w:lineRule="auto"/>
        <w:rPr>
          <w:color w:val="auto"/>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1"/>
          <w:cols w:space="720" w:num="1"/>
          <w:titlePg/>
          <w:docGrid w:type="lines" w:linePitch="312" w:charSpace="0"/>
        </w:sectPr>
      </w:pPr>
    </w:p>
    <w:p w14:paraId="0AB033AD">
      <w:pPr>
        <w:widowControl/>
        <w:wordWrap w:val="0"/>
        <w:spacing w:line="360" w:lineRule="auto"/>
        <w:jc w:val="center"/>
        <w:rPr>
          <w:b/>
          <w:color w:val="auto"/>
          <w:sz w:val="32"/>
          <w:szCs w:val="32"/>
          <w:highlight w:val="none"/>
        </w:rPr>
      </w:pPr>
      <w:r>
        <w:rPr>
          <w:rFonts w:hint="eastAsia"/>
          <w:b/>
          <w:color w:val="auto"/>
          <w:sz w:val="32"/>
          <w:szCs w:val="32"/>
          <w:highlight w:val="none"/>
        </w:rPr>
        <w:t>人类细胞谱系大科学研究设施项目建安工程（一阶段）监理服务</w:t>
      </w:r>
    </w:p>
    <w:p w14:paraId="6923CA9A">
      <w:pPr>
        <w:widowControl/>
        <w:wordWrap w:val="0"/>
        <w:spacing w:line="360" w:lineRule="auto"/>
        <w:jc w:val="center"/>
        <w:rPr>
          <w:rFonts w:hint="eastAsia" w:ascii="宋体" w:hAnsi="宋体"/>
          <w:b/>
          <w:color w:val="auto"/>
          <w:kern w:val="44"/>
          <w:sz w:val="32"/>
          <w:szCs w:val="32"/>
          <w:highlight w:val="none"/>
        </w:rPr>
      </w:pPr>
      <w:r>
        <w:rPr>
          <w:rFonts w:hint="eastAsia" w:ascii="宋体" w:hAnsi="宋体"/>
          <w:b/>
          <w:color w:val="auto"/>
          <w:kern w:val="44"/>
          <w:sz w:val="32"/>
          <w:szCs w:val="32"/>
          <w:highlight w:val="none"/>
        </w:rPr>
        <w:t>招标公告</w:t>
      </w:r>
    </w:p>
    <w:p w14:paraId="238FE29B">
      <w:pPr>
        <w:pStyle w:val="3"/>
        <w:wordWrap w:val="0"/>
        <w:spacing w:line="360" w:lineRule="auto"/>
        <w:rPr>
          <w:color w:val="auto"/>
          <w:sz w:val="28"/>
          <w:szCs w:val="28"/>
          <w:highlight w:val="none"/>
        </w:rPr>
      </w:pPr>
      <w:bookmarkStart w:id="0" w:name="_Toc529196504"/>
      <w:bookmarkStart w:id="1" w:name="_Toc535938695"/>
      <w:bookmarkStart w:id="2" w:name="_Toc511557025"/>
      <w:bookmarkStart w:id="3" w:name="_Toc529196507"/>
      <w:bookmarkStart w:id="4" w:name="_Toc511557028"/>
      <w:r>
        <w:rPr>
          <w:rFonts w:hint="eastAsia"/>
          <w:color w:val="auto"/>
          <w:sz w:val="28"/>
          <w:szCs w:val="28"/>
          <w:highlight w:val="none"/>
        </w:rPr>
        <w:t>1.招标条件</w:t>
      </w:r>
      <w:bookmarkEnd w:id="0"/>
      <w:bookmarkEnd w:id="1"/>
      <w:bookmarkEnd w:id="2"/>
    </w:p>
    <w:p w14:paraId="3E3EC026">
      <w:pPr>
        <w:tabs>
          <w:tab w:val="left" w:pos="7513"/>
        </w:tabs>
        <w:wordWrap w:val="0"/>
        <w:spacing w:line="360" w:lineRule="auto"/>
        <w:ind w:firstLine="420" w:firstLineChars="200"/>
        <w:rPr>
          <w:rFonts w:hint="eastAsia" w:ascii="宋体" w:hAnsi="宋体" w:cs="宋体"/>
          <w:color w:val="auto"/>
          <w:szCs w:val="21"/>
          <w:highlight w:val="none"/>
        </w:rPr>
      </w:pPr>
      <w:bookmarkStart w:id="5" w:name="_Toc511557026"/>
      <w:r>
        <w:rPr>
          <w:rFonts w:hint="eastAsia" w:ascii="宋体" w:hAnsi="宋体"/>
          <w:color w:val="auto"/>
          <w:szCs w:val="21"/>
          <w:highlight w:val="none"/>
        </w:rPr>
        <w:t>本招标项目</w:t>
      </w:r>
      <w:r>
        <w:rPr>
          <w:rFonts w:hint="eastAsia" w:ascii="宋体" w:hAnsi="宋体"/>
          <w:color w:val="auto"/>
          <w:szCs w:val="21"/>
          <w:highlight w:val="none"/>
          <w:u w:val="single"/>
        </w:rPr>
        <w:t>人类细胞谱系大科学研究设施项目</w:t>
      </w:r>
      <w:r>
        <w:rPr>
          <w:rFonts w:hint="eastAsia" w:ascii="宋体" w:hAnsi="宋体"/>
          <w:color w:val="auto"/>
          <w:szCs w:val="21"/>
          <w:highlight w:val="none"/>
        </w:rPr>
        <w:t>已由</w:t>
      </w:r>
      <w:r>
        <w:rPr>
          <w:rFonts w:hint="eastAsia" w:ascii="宋体" w:hAnsi="宋体" w:cs="宋体"/>
          <w:color w:val="auto"/>
          <w:szCs w:val="21"/>
          <w:highlight w:val="none"/>
          <w:u w:val="single"/>
        </w:rPr>
        <w:t>国家发展和改革委员会以发改高技〔2023〕943号（全国投资项目在线审批监管平台项目代码：2304-000000-04-05-673334、广东省投资项目代码：</w:t>
      </w:r>
      <w:bookmarkStart w:id="6" w:name="OLE_LINK1"/>
      <w:r>
        <w:rPr>
          <w:rFonts w:hint="eastAsia" w:ascii="宋体" w:hAnsi="宋体" w:cs="宋体"/>
          <w:color w:val="auto"/>
          <w:szCs w:val="21"/>
          <w:highlight w:val="none"/>
          <w:u w:val="single"/>
        </w:rPr>
        <w:t>2110-440000-04-01-376257</w:t>
      </w:r>
      <w:bookmarkEnd w:id="6"/>
      <w:r>
        <w:rPr>
          <w:rFonts w:hint="eastAsia" w:ascii="宋体" w:hAnsi="宋体" w:cs="宋体"/>
          <w:color w:val="auto"/>
          <w:szCs w:val="21"/>
          <w:highlight w:val="none"/>
          <w:u w:val="single"/>
        </w:rPr>
        <w:t>）</w:t>
      </w:r>
      <w:r>
        <w:rPr>
          <w:rFonts w:hint="eastAsia" w:ascii="宋体" w:hAnsi="宋体"/>
          <w:color w:val="auto"/>
          <w:szCs w:val="21"/>
          <w:highlight w:val="none"/>
        </w:rPr>
        <w:t>批准建设，项目业主为</w:t>
      </w:r>
      <w:r>
        <w:rPr>
          <w:rFonts w:hint="eastAsia" w:ascii="宋体" w:hAnsi="宋体"/>
          <w:color w:val="auto"/>
          <w:szCs w:val="21"/>
          <w:highlight w:val="none"/>
          <w:u w:val="single"/>
        </w:rPr>
        <w:t>中国科学院广州生物医药与健康研究院</w:t>
      </w:r>
      <w:r>
        <w:rPr>
          <w:rFonts w:hint="eastAsia" w:ascii="宋体" w:hAnsi="宋体"/>
          <w:color w:val="auto"/>
          <w:szCs w:val="21"/>
          <w:highlight w:val="none"/>
        </w:rPr>
        <w:t>，建设资金来自</w:t>
      </w:r>
      <w:r>
        <w:rPr>
          <w:rFonts w:hint="eastAsia" w:ascii="宋体" w:hAnsi="宋体" w:cs="宋体"/>
          <w:color w:val="auto"/>
          <w:szCs w:val="21"/>
          <w:highlight w:val="none"/>
          <w:u w:val="single"/>
        </w:rPr>
        <w:t>财政资金</w:t>
      </w:r>
      <w:r>
        <w:rPr>
          <w:rFonts w:hint="eastAsia" w:ascii="宋体" w:hAnsi="宋体"/>
          <w:color w:val="auto"/>
          <w:szCs w:val="21"/>
          <w:highlight w:val="none"/>
        </w:rPr>
        <w:t>，出资比例为</w:t>
      </w:r>
      <w:r>
        <w:rPr>
          <w:rFonts w:hint="eastAsia" w:ascii="宋体" w:hAnsi="宋体"/>
          <w:color w:val="auto"/>
          <w:szCs w:val="21"/>
          <w:highlight w:val="none"/>
          <w:u w:val="single"/>
        </w:rPr>
        <w:t>100%</w:t>
      </w:r>
      <w:r>
        <w:rPr>
          <w:rFonts w:hint="eastAsia" w:ascii="宋体" w:hAnsi="宋体"/>
          <w:color w:val="auto"/>
          <w:szCs w:val="21"/>
          <w:highlight w:val="none"/>
        </w:rPr>
        <w:t>。招标人为</w:t>
      </w:r>
      <w:r>
        <w:rPr>
          <w:rFonts w:hint="eastAsia" w:ascii="宋体" w:hAnsi="宋体"/>
          <w:color w:val="auto"/>
          <w:szCs w:val="21"/>
          <w:highlight w:val="none"/>
          <w:u w:val="single"/>
        </w:rPr>
        <w:t>中国科学院广州生物医药与健康研究院</w:t>
      </w:r>
      <w:r>
        <w:rPr>
          <w:rFonts w:hint="eastAsia" w:ascii="宋体" w:hAnsi="宋体"/>
          <w:color w:val="auto"/>
          <w:szCs w:val="21"/>
          <w:highlight w:val="none"/>
        </w:rPr>
        <w:t>，</w:t>
      </w:r>
      <w:r>
        <w:rPr>
          <w:rFonts w:hint="eastAsia" w:ascii="宋体" w:hAnsi="宋体" w:cs="宋体"/>
          <w:color w:val="auto"/>
          <w:szCs w:val="21"/>
          <w:highlight w:val="none"/>
        </w:rPr>
        <w:t>项目已具备招标条件，现对该项目的监理进行公开招标。</w:t>
      </w:r>
    </w:p>
    <w:p w14:paraId="281F08BB">
      <w:pPr>
        <w:pStyle w:val="3"/>
        <w:wordWrap w:val="0"/>
        <w:spacing w:line="360" w:lineRule="auto"/>
        <w:rPr>
          <w:color w:val="auto"/>
          <w:sz w:val="28"/>
          <w:szCs w:val="28"/>
          <w:highlight w:val="none"/>
        </w:rPr>
      </w:pPr>
      <w:bookmarkStart w:id="7" w:name="_Toc535938696"/>
      <w:bookmarkStart w:id="8" w:name="_Toc529196505"/>
      <w:r>
        <w:rPr>
          <w:rFonts w:hint="eastAsia"/>
          <w:color w:val="auto"/>
          <w:sz w:val="28"/>
          <w:szCs w:val="28"/>
          <w:highlight w:val="none"/>
        </w:rPr>
        <w:t>2.项目概况与招标范围</w:t>
      </w:r>
      <w:bookmarkEnd w:id="5"/>
      <w:bookmarkEnd w:id="7"/>
      <w:bookmarkEnd w:id="8"/>
    </w:p>
    <w:p w14:paraId="7D468ACD">
      <w:pPr>
        <w:tabs>
          <w:tab w:val="left" w:pos="7513"/>
        </w:tabs>
        <w:wordWrap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2.1招标项目概况</w:t>
      </w:r>
    </w:p>
    <w:p w14:paraId="301B0D80">
      <w:pPr>
        <w:tabs>
          <w:tab w:val="left" w:pos="7513"/>
        </w:tabs>
        <w:wordWrap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2.1.1招标项目名称：</w:t>
      </w:r>
      <w:r>
        <w:rPr>
          <w:rFonts w:hint="eastAsia" w:ascii="宋体" w:hAnsi="宋体" w:cs="宋体"/>
          <w:color w:val="auto"/>
          <w:szCs w:val="21"/>
          <w:highlight w:val="none"/>
          <w:u w:val="single"/>
        </w:rPr>
        <w:t>人类细胞谱系大科学研究设施项目建安工程（一阶段）监理服务</w:t>
      </w:r>
    </w:p>
    <w:p w14:paraId="7D2FD28A">
      <w:pPr>
        <w:tabs>
          <w:tab w:val="left" w:pos="7513"/>
        </w:tabs>
        <w:wordWrap w:val="0"/>
        <w:spacing w:line="360" w:lineRule="auto"/>
        <w:ind w:firstLine="420" w:firstLineChars="200"/>
        <w:jc w:val="left"/>
        <w:rPr>
          <w:rFonts w:hint="eastAsia" w:ascii="宋体" w:hAnsi="宋体" w:cs="宋体"/>
          <w:bCs/>
          <w:color w:val="auto"/>
          <w:szCs w:val="21"/>
          <w:highlight w:val="none"/>
          <w:u w:val="single"/>
        </w:rPr>
      </w:pPr>
      <w:r>
        <w:rPr>
          <w:rFonts w:hint="eastAsia" w:ascii="宋体" w:hAnsi="宋体" w:cs="宋体"/>
          <w:color w:val="auto"/>
          <w:szCs w:val="21"/>
          <w:highlight w:val="none"/>
        </w:rPr>
        <w:t>2.1.2</w:t>
      </w:r>
      <w:r>
        <w:rPr>
          <w:rFonts w:hint="eastAsia" w:ascii="宋体" w:hAnsi="宋体"/>
          <w:bCs/>
          <w:color w:val="auto"/>
          <w:szCs w:val="21"/>
          <w:highlight w:val="none"/>
        </w:rPr>
        <w:t>工程建设规模</w:t>
      </w:r>
      <w:r>
        <w:rPr>
          <w:rFonts w:hint="eastAsia" w:ascii="宋体" w:hAnsi="宋体" w:cs="宋体"/>
          <w:color w:val="auto"/>
          <w:szCs w:val="21"/>
          <w:highlight w:val="none"/>
        </w:rPr>
        <w:t>：</w:t>
      </w:r>
      <w:r>
        <w:rPr>
          <w:rFonts w:hint="eastAsia" w:ascii="宋体" w:hAnsi="宋体" w:cs="宋体"/>
          <w:color w:val="auto"/>
          <w:szCs w:val="21"/>
          <w:highlight w:val="none"/>
          <w:u w:val="single"/>
        </w:rPr>
        <w:t>本期工程用地总用地面积30618.30平方米。本项目主要建筑单体为设施楼、污水处理站。设施楼地上6层，地下1层；新增建筑面积56650平方米，其中：地上45650平方米，地下11000平方米。</w:t>
      </w:r>
    </w:p>
    <w:p w14:paraId="04129379">
      <w:pPr>
        <w:tabs>
          <w:tab w:val="left" w:pos="7513"/>
        </w:tabs>
        <w:wordWrap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2.1.3工程建设地点：</w:t>
      </w:r>
      <w:r>
        <w:rPr>
          <w:rFonts w:hint="eastAsia" w:ascii="宋体" w:hAnsi="宋体" w:cs="宋体"/>
          <w:color w:val="auto"/>
          <w:szCs w:val="21"/>
          <w:highlight w:val="none"/>
          <w:u w:val="single"/>
        </w:rPr>
        <w:t>广州生物岛螺旋二路以北，螺旋一路以南，星岛环北路以东</w:t>
      </w:r>
    </w:p>
    <w:p w14:paraId="48AD2DEC">
      <w:pPr>
        <w:tabs>
          <w:tab w:val="left" w:pos="7513"/>
        </w:tabs>
        <w:wordWrap w:val="0"/>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2.1.4工程估算/建筑安装工程费：</w:t>
      </w:r>
      <w:r>
        <w:rPr>
          <w:rFonts w:hint="eastAsia" w:ascii="宋体" w:hAnsi="宋体"/>
          <w:color w:val="auto"/>
          <w:szCs w:val="21"/>
          <w:highlight w:val="none"/>
          <w:u w:val="single"/>
        </w:rPr>
        <w:t>项目总投资暂定为227328万元，估算建安工程费46000万元。</w:t>
      </w:r>
      <w:r>
        <w:rPr>
          <w:rFonts w:hint="eastAsia" w:ascii="宋体" w:hAnsi="宋体" w:cs="宋体"/>
          <w:color w:val="auto"/>
          <w:szCs w:val="21"/>
          <w:highlight w:val="none"/>
          <w:u w:val="single"/>
        </w:rPr>
        <w:t>人类细胞谱系大科学研究设施项目</w:t>
      </w:r>
      <w:r>
        <w:rPr>
          <w:rFonts w:hint="eastAsia" w:ascii="宋体" w:hAnsi="宋体"/>
          <w:color w:val="auto"/>
          <w:szCs w:val="21"/>
          <w:highlight w:val="none"/>
          <w:u w:val="single"/>
        </w:rPr>
        <w:t>根据设计界面及投资情况分为土建及装修两阶段实施，其中一阶段为土建部分（含室外园林、外立面），</w:t>
      </w:r>
      <w:r>
        <w:rPr>
          <w:rFonts w:hint="eastAsia" w:ascii="宋体" w:hAnsi="宋体"/>
          <w:color w:val="auto"/>
          <w:szCs w:val="21"/>
          <w:highlight w:val="none"/>
          <w:u w:val="single"/>
          <w:lang w:val="en-US" w:eastAsia="zh-CN"/>
        </w:rPr>
        <w:t>建安</w:t>
      </w:r>
      <w:r>
        <w:rPr>
          <w:rFonts w:hint="eastAsia" w:ascii="宋体" w:hAnsi="宋体"/>
          <w:color w:val="auto"/>
          <w:szCs w:val="21"/>
          <w:highlight w:val="none"/>
          <w:u w:val="single"/>
        </w:rPr>
        <w:t>工程费</w:t>
      </w:r>
      <w:r>
        <w:rPr>
          <w:rFonts w:hint="eastAsia" w:ascii="宋体" w:hAnsi="宋体"/>
          <w:color w:val="auto"/>
          <w:szCs w:val="21"/>
          <w:highlight w:val="none"/>
          <w:u w:val="single"/>
          <w:lang w:val="en-US" w:eastAsia="zh-CN"/>
        </w:rPr>
        <w:t>暂定为</w:t>
      </w:r>
      <w:r>
        <w:rPr>
          <w:rFonts w:hint="eastAsia" w:ascii="宋体" w:hAnsi="宋体"/>
          <w:color w:val="auto"/>
          <w:szCs w:val="21"/>
          <w:highlight w:val="none"/>
          <w:u w:val="single"/>
        </w:rPr>
        <w:t>1</w:t>
      </w:r>
      <w:r>
        <w:rPr>
          <w:rFonts w:hint="eastAsia" w:ascii="宋体" w:hAnsi="宋体"/>
          <w:color w:val="auto"/>
          <w:szCs w:val="21"/>
          <w:highlight w:val="none"/>
          <w:u w:val="single"/>
          <w:lang w:val="en-US" w:eastAsia="zh-CN"/>
        </w:rPr>
        <w:t>8</w:t>
      </w:r>
      <w:r>
        <w:rPr>
          <w:rFonts w:hint="eastAsia" w:ascii="宋体" w:hAnsi="宋体"/>
          <w:color w:val="auto"/>
          <w:szCs w:val="21"/>
          <w:highlight w:val="none"/>
          <w:u w:val="single"/>
        </w:rPr>
        <w:t>000万元</w:t>
      </w:r>
      <w:r>
        <w:rPr>
          <w:rFonts w:hint="eastAsia" w:ascii="宋体" w:hAnsi="宋体"/>
          <w:color w:val="auto"/>
          <w:szCs w:val="21"/>
          <w:highlight w:val="none"/>
          <w:u w:val="single"/>
        </w:rPr>
        <w:t>；二阶段为装修部分（含水暖电机电专业以及洁净工艺专业），</w:t>
      </w:r>
      <w:r>
        <w:rPr>
          <w:rFonts w:hint="eastAsia" w:ascii="宋体" w:hAnsi="宋体"/>
          <w:color w:val="auto"/>
          <w:szCs w:val="21"/>
          <w:highlight w:val="none"/>
          <w:u w:val="single"/>
          <w:lang w:val="en-US" w:eastAsia="zh-CN"/>
        </w:rPr>
        <w:t>建安</w:t>
      </w:r>
      <w:r>
        <w:rPr>
          <w:rFonts w:hint="eastAsia" w:ascii="宋体" w:hAnsi="宋体"/>
          <w:color w:val="auto"/>
          <w:szCs w:val="21"/>
          <w:highlight w:val="none"/>
          <w:u w:val="single"/>
        </w:rPr>
        <w:t>工程费</w:t>
      </w:r>
      <w:r>
        <w:rPr>
          <w:rFonts w:hint="eastAsia" w:ascii="宋体" w:hAnsi="宋体"/>
          <w:color w:val="auto"/>
          <w:szCs w:val="21"/>
          <w:highlight w:val="none"/>
          <w:u w:val="single"/>
          <w:lang w:val="en-US" w:eastAsia="zh-CN"/>
        </w:rPr>
        <w:t>暂定为</w:t>
      </w:r>
      <w:r>
        <w:rPr>
          <w:rFonts w:hint="eastAsia" w:ascii="宋体" w:hAnsi="宋体"/>
          <w:color w:val="auto"/>
          <w:szCs w:val="21"/>
          <w:highlight w:val="none"/>
          <w:u w:val="single"/>
        </w:rPr>
        <w:t>2</w:t>
      </w:r>
      <w:r>
        <w:rPr>
          <w:rFonts w:hint="eastAsia" w:ascii="宋体" w:hAnsi="宋体"/>
          <w:color w:val="auto"/>
          <w:szCs w:val="21"/>
          <w:highlight w:val="none"/>
          <w:u w:val="single"/>
          <w:lang w:val="en-US" w:eastAsia="zh-CN"/>
        </w:rPr>
        <w:t>8</w:t>
      </w:r>
      <w:r>
        <w:rPr>
          <w:rFonts w:hint="eastAsia" w:ascii="宋体" w:hAnsi="宋体"/>
          <w:color w:val="auto"/>
          <w:szCs w:val="21"/>
          <w:highlight w:val="none"/>
          <w:u w:val="single"/>
        </w:rPr>
        <w:t>000万元</w:t>
      </w:r>
      <w:r>
        <w:rPr>
          <w:rFonts w:hint="eastAsia" w:ascii="宋体" w:hAnsi="宋体"/>
          <w:color w:val="auto"/>
          <w:szCs w:val="21"/>
          <w:highlight w:val="none"/>
          <w:u w:val="single"/>
        </w:rPr>
        <w:t>。</w:t>
      </w:r>
    </w:p>
    <w:p w14:paraId="35E24358">
      <w:pPr>
        <w:tabs>
          <w:tab w:val="left" w:pos="7513"/>
        </w:tabs>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2.2招标范围</w:t>
      </w:r>
    </w:p>
    <w:p w14:paraId="31CA3ACB">
      <w:pPr>
        <w:tabs>
          <w:tab w:val="left" w:pos="7513"/>
        </w:tabs>
        <w:wordWrap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w:t>
      </w:r>
      <w:r>
        <w:rPr>
          <w:rFonts w:hint="eastAsia" w:ascii="宋体" w:hAnsi="宋体"/>
          <w:bCs/>
          <w:color w:val="auto"/>
          <w:szCs w:val="21"/>
          <w:highlight w:val="none"/>
        </w:rPr>
        <w:t>标段划分：</w:t>
      </w:r>
      <w:r>
        <w:rPr>
          <w:rFonts w:hint="eastAsia" w:ascii="宋体" w:hAnsi="宋体"/>
          <w:color w:val="auto"/>
          <w:szCs w:val="21"/>
          <w:highlight w:val="none"/>
          <w:u w:val="single"/>
        </w:rPr>
        <w:t>本项目设1个标段。</w:t>
      </w:r>
    </w:p>
    <w:p w14:paraId="49CAEDEC">
      <w:pPr>
        <w:wordWrap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2.2.2招标范围</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监理内容（包括但不限于）：负责本项目建设范围内所有建设内容的施工监理服务，具体以一阶段施工合同要求为准，包括但不限于本工程施工（含管线迁改（若需））及保修阶段的全过程监理，包括勘察现场监督协助做好开工前准备工作；负责安全、质量、进度（月报、周报）、投资控制及合同管理（包括审核工程预（结）算、工程进度款、合同支付、合同价款调整、工程（签证）变更审核；设备、材料进场检查；组织协调、安全文明施工监督管理、组织各类验收；组织、审核竣工资料；施工准备阶段、施工阶段、竣工结算阶段及保修阶段的质量、投资、进度控制；监督、管理建设工程合同的履行，协调建设单位和工程建设有关各方的工作关系，以及配合项目移交等监理工作。具体包括不限于本阶段施工合同约定的承包范围，已业主实际要求为准，监理人需严格服从。（具体服务内容及要求详见本项目监理合同附录A）。</w:t>
      </w:r>
    </w:p>
    <w:p w14:paraId="776002DB">
      <w:pPr>
        <w:wordWrap w:val="0"/>
        <w:spacing w:line="360" w:lineRule="auto"/>
        <w:ind w:firstLine="420" w:firstLineChars="200"/>
        <w:rPr>
          <w:rFonts w:hint="eastAsia" w:ascii="宋体" w:hAnsi="宋体"/>
          <w:color w:val="auto"/>
          <w:szCs w:val="21"/>
          <w:highlight w:val="none"/>
          <w:u w:val="single"/>
        </w:rPr>
      </w:pPr>
      <w:r>
        <w:rPr>
          <w:rFonts w:hint="eastAsia" w:ascii="宋体" w:hAnsi="宋体" w:cs="宋体"/>
          <w:color w:val="auto"/>
          <w:szCs w:val="21"/>
          <w:highlight w:val="none"/>
        </w:rPr>
        <w:t>2.2.3监理服务期限：</w:t>
      </w:r>
      <w:r>
        <w:rPr>
          <w:rFonts w:hint="eastAsia" w:ascii="宋体" w:hAnsi="宋体"/>
          <w:color w:val="auto"/>
          <w:szCs w:val="21"/>
          <w:highlight w:val="none"/>
          <w:u w:val="single"/>
        </w:rPr>
        <w:t>监理服务期自监理人收到中标通知书或参加由委托人组织的第一次进场动员会之日起算，至本项目工程保修期满。监理服务期包括项目的前期阶段（如需）、施工准备阶段、施工阶段、工程收尾阶段和质量保修阶段，监理人须实行全过程监理服务。</w:t>
      </w:r>
    </w:p>
    <w:p w14:paraId="393DC927">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2.3最高投标限价:</w:t>
      </w:r>
      <w:r>
        <w:rPr>
          <w:rFonts w:hint="eastAsia" w:ascii="宋体" w:hAnsi="宋体" w:cs="宋体"/>
          <w:color w:val="auto"/>
          <w:szCs w:val="21"/>
          <w:highlight w:val="none"/>
          <w:u w:val="single"/>
        </w:rPr>
        <w:t>286.752万元</w:t>
      </w:r>
      <w:r>
        <w:rPr>
          <w:rFonts w:hint="eastAsia" w:ascii="宋体" w:hAnsi="宋体" w:cs="宋体"/>
          <w:color w:val="auto"/>
          <w:szCs w:val="21"/>
          <w:highlight w:val="none"/>
        </w:rPr>
        <w:t>。</w:t>
      </w:r>
    </w:p>
    <w:p w14:paraId="60E89971">
      <w:pPr>
        <w:pStyle w:val="3"/>
        <w:wordWrap w:val="0"/>
        <w:spacing w:line="360" w:lineRule="auto"/>
        <w:rPr>
          <w:color w:val="auto"/>
          <w:sz w:val="28"/>
          <w:szCs w:val="28"/>
          <w:highlight w:val="none"/>
        </w:rPr>
      </w:pPr>
      <w:bookmarkStart w:id="9" w:name="_Toc535938697"/>
      <w:bookmarkStart w:id="10" w:name="_Toc529196506"/>
      <w:bookmarkStart w:id="11" w:name="_Toc511557027"/>
      <w:r>
        <w:rPr>
          <w:rFonts w:hint="eastAsia"/>
          <w:color w:val="auto"/>
          <w:sz w:val="28"/>
          <w:szCs w:val="28"/>
          <w:highlight w:val="none"/>
        </w:rPr>
        <w:t>3.投标人资格要求</w:t>
      </w:r>
      <w:bookmarkEnd w:id="9"/>
      <w:bookmarkEnd w:id="10"/>
      <w:bookmarkEnd w:id="11"/>
    </w:p>
    <w:p w14:paraId="133157F5">
      <w:pPr>
        <w:wordWrap w:val="0"/>
        <w:spacing w:line="360" w:lineRule="auto"/>
        <w:ind w:firstLine="420" w:firstLineChars="200"/>
        <w:rPr>
          <w:rFonts w:hint="eastAsia" w:ascii="宋体" w:hAnsi="宋体" w:cs="宋体"/>
          <w:color w:val="auto"/>
          <w:szCs w:val="21"/>
          <w:highlight w:val="none"/>
          <w:u w:val="single"/>
        </w:rPr>
      </w:pPr>
      <w:bookmarkStart w:id="12" w:name="_Toc535938699"/>
      <w:r>
        <w:rPr>
          <w:rFonts w:hint="eastAsia" w:ascii="宋体" w:hAnsi="宋体" w:cs="宋体"/>
          <w:color w:val="auto"/>
          <w:szCs w:val="21"/>
          <w:highlight w:val="none"/>
        </w:rPr>
        <w:t>3.1投标人须具备建设行政主管部门颁发的</w:t>
      </w:r>
      <w:r>
        <w:rPr>
          <w:rFonts w:hint="eastAsia" w:ascii="宋体" w:hAnsi="宋体" w:cs="宋体"/>
          <w:b/>
          <w:bCs/>
          <w:color w:val="auto"/>
          <w:szCs w:val="21"/>
          <w:highlight w:val="none"/>
          <w:u w:val="single"/>
        </w:rPr>
        <w:t>工程监理综合资质或房屋建筑工程监理甲级资质</w:t>
      </w:r>
      <w:r>
        <w:rPr>
          <w:rFonts w:hint="eastAsia" w:ascii="宋体" w:hAnsi="宋体" w:cs="宋体"/>
          <w:color w:val="auto"/>
          <w:szCs w:val="21"/>
          <w:highlight w:val="none"/>
        </w:rPr>
        <w:t>；</w:t>
      </w:r>
      <w:r>
        <w:rPr>
          <w:rFonts w:hint="eastAsia" w:ascii="宋体" w:hAnsi="宋体" w:cs="宋体"/>
          <w:color w:val="auto"/>
          <w:szCs w:val="21"/>
          <w:highlight w:val="none"/>
          <w:u w:val="single"/>
        </w:rPr>
        <w:t>香港企业参加投标的，须在广东省住房和城乡建设主管部门备案且备案的业务范围满足本项目</w:t>
      </w:r>
      <w:r>
        <w:rPr>
          <w:rFonts w:hint="eastAsia" w:ascii="宋体" w:hAnsi="宋体" w:cs="宋体"/>
          <w:color w:val="auto"/>
          <w:kern w:val="0"/>
          <w:szCs w:val="21"/>
          <w:highlight w:val="none"/>
          <w:u w:val="single"/>
        </w:rPr>
        <w:t>招标文件</w:t>
      </w:r>
      <w:r>
        <w:rPr>
          <w:rFonts w:hint="eastAsia" w:ascii="宋体" w:hAnsi="宋体" w:cs="宋体"/>
          <w:color w:val="auto"/>
          <w:szCs w:val="21"/>
          <w:highlight w:val="none"/>
          <w:u w:val="single"/>
        </w:rPr>
        <w:t>要求。</w:t>
      </w:r>
    </w:p>
    <w:p w14:paraId="11591754">
      <w:pPr>
        <w:wordWrap w:val="0"/>
        <w:spacing w:line="360" w:lineRule="auto"/>
        <w:ind w:firstLine="422" w:firstLineChars="20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注：①香港企业备案的业务范围依据《广东省住房和城乡建设厅关于印发香港工程建设咨询企业和专业人士在粤港澳大湾区内地城市开业执业试点管理暂行办法的通知》（粤建规范〔2020〕1号规定，详见链接：http://zfcxjst.gd.gov.cn/xxgk/wjtz/content/post_3137220.html）确定。</w:t>
      </w:r>
    </w:p>
    <w:p w14:paraId="62DD5C5A">
      <w:pPr>
        <w:wordWrap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②工程监理企业资质证书有效期按《住房和城乡建设部办公厅关于建设工程企业资质统一延续有关事项的通知》（建办市函[2021]510号）、《广东省住房和城乡建设厅关于建设工程企业资质有效期延期的通知》（粤建许函〔2021〕849号）、《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等相关规定执行</w:t>
      </w:r>
      <w:r>
        <w:rPr>
          <w:rFonts w:hint="eastAsia" w:ascii="宋体" w:hAnsi="宋体" w:cs="宋体"/>
          <w:b/>
          <w:color w:val="auto"/>
          <w:szCs w:val="21"/>
          <w:highlight w:val="none"/>
          <w:lang w:bidi="ar"/>
        </w:rPr>
        <w:t>。</w:t>
      </w:r>
    </w:p>
    <w:p w14:paraId="222EC5E0">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3.2本次招标</w:t>
      </w:r>
      <w:r>
        <w:rPr>
          <w:rFonts w:hint="eastAsia" w:ascii="宋体" w:hAnsi="宋体" w:cs="宋体"/>
          <w:color w:val="auto"/>
          <w:szCs w:val="21"/>
          <w:highlight w:val="none"/>
          <w:u w:val="single"/>
        </w:rPr>
        <w:t xml:space="preserve"> 不接受 </w:t>
      </w:r>
      <w:r>
        <w:rPr>
          <w:rFonts w:hint="eastAsia" w:ascii="宋体" w:hAnsi="宋体" w:cs="宋体"/>
          <w:color w:val="auto"/>
          <w:szCs w:val="21"/>
          <w:highlight w:val="none"/>
        </w:rPr>
        <w:t>联合体投标。</w:t>
      </w:r>
    </w:p>
    <w:p w14:paraId="5CEBCBA0">
      <w:pPr>
        <w:wordWrap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3.3拟派项目总监理工程师须具有建设部2006年4月1日后颁发的中华人民共和国</w:t>
      </w:r>
      <w:r>
        <w:rPr>
          <w:rFonts w:hint="eastAsia" w:ascii="宋体" w:hAnsi="宋体" w:cs="宋体"/>
          <w:color w:val="auto"/>
          <w:szCs w:val="21"/>
          <w:highlight w:val="none"/>
          <w:u w:val="single"/>
        </w:rPr>
        <w:t>注册监理工程师注册执业证书</w:t>
      </w:r>
      <w:r>
        <w:rPr>
          <w:rFonts w:hint="eastAsia" w:ascii="宋体" w:hAnsi="宋体" w:cs="宋体"/>
          <w:color w:val="auto"/>
          <w:szCs w:val="21"/>
          <w:highlight w:val="none"/>
        </w:rPr>
        <w:t>，且其注册证书专业为</w:t>
      </w:r>
      <w:r>
        <w:rPr>
          <w:rFonts w:hint="eastAsia" w:ascii="宋体" w:hAnsi="宋体" w:cs="宋体"/>
          <w:color w:val="auto"/>
          <w:szCs w:val="21"/>
          <w:highlight w:val="none"/>
          <w:u w:val="single"/>
        </w:rPr>
        <w:t>房屋建筑工程</w:t>
      </w:r>
      <w:r>
        <w:rPr>
          <w:rFonts w:hint="eastAsia" w:ascii="宋体" w:hAnsi="宋体" w:cs="宋体"/>
          <w:color w:val="auto"/>
          <w:szCs w:val="21"/>
          <w:highlight w:val="none"/>
        </w:rPr>
        <w:t>，注册执业单位为本公司</w:t>
      </w:r>
      <w:r>
        <w:rPr>
          <w:rFonts w:hint="eastAsia" w:ascii="宋体" w:hAnsi="宋体" w:cs="宋体"/>
          <w:color w:val="auto"/>
          <w:szCs w:val="21"/>
          <w:highlight w:val="none"/>
          <w:u w:val="single"/>
        </w:rPr>
        <w:t>（注册企业以注册监理工程师注册执业证书上的注册单位为准,拟派总监理工程师注册执业专业以注册执业证书上的注册专业为准）</w:t>
      </w:r>
      <w:r>
        <w:rPr>
          <w:rFonts w:hint="eastAsia" w:ascii="宋体" w:hAnsi="宋体" w:cs="宋体"/>
          <w:color w:val="auto"/>
          <w:szCs w:val="21"/>
          <w:highlight w:val="none"/>
        </w:rPr>
        <w:t>，并具备</w:t>
      </w:r>
      <w:r>
        <w:rPr>
          <w:rFonts w:hint="eastAsia" w:ascii="宋体" w:hAnsi="宋体" w:cs="宋体"/>
          <w:color w:val="auto"/>
          <w:szCs w:val="21"/>
          <w:highlight w:val="none"/>
          <w:u w:val="single"/>
        </w:rPr>
        <w:t>本科或以上学历</w:t>
      </w:r>
      <w:r>
        <w:rPr>
          <w:rFonts w:hint="eastAsia" w:ascii="宋体" w:hAnsi="宋体" w:cs="宋体"/>
          <w:color w:val="auto"/>
          <w:kern w:val="0"/>
          <w:szCs w:val="21"/>
          <w:highlight w:val="none"/>
        </w:rPr>
        <w:t>；</w:t>
      </w:r>
      <w:r>
        <w:rPr>
          <w:rFonts w:hint="eastAsia" w:ascii="宋体" w:hAnsi="宋体" w:cs="宋体"/>
          <w:color w:val="auto"/>
          <w:szCs w:val="21"/>
          <w:highlight w:val="none"/>
          <w:u w:val="single"/>
        </w:rPr>
        <w:t>或在广东省住房和城乡建设主管部门备案且备案的资格满足本项目总监理工程师的资格要求的香港专业人士。</w:t>
      </w:r>
    </w:p>
    <w:p w14:paraId="05C7B9DF">
      <w:pPr>
        <w:wordWrap w:val="0"/>
        <w:spacing w:line="360" w:lineRule="auto"/>
        <w:ind w:firstLine="422" w:firstLineChars="20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注：香港专业人士的备案业务范围依据《广东省住房和城乡建设厅关于印发香港工程建设咨询企业和专业人士在粤港澳大湾区内地城市开业执业试点管理暂行办法的通知》（粤建规范〔2020〕1号）规定，详见链接http://zfcxjst.gd.gov.cn/xxgk/wjtz/content/post_3137220.html确定]。</w:t>
      </w:r>
    </w:p>
    <w:p w14:paraId="5F84FE12">
      <w:pPr>
        <w:wordWrap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3.4投标人自2021年1月1日至今完成过单</w:t>
      </w:r>
      <w:r>
        <w:rPr>
          <w:rFonts w:hint="eastAsia" w:ascii="宋体" w:hAnsi="宋体" w:cs="宋体"/>
          <w:color w:val="auto"/>
          <w:szCs w:val="21"/>
          <w:highlight w:val="none"/>
          <w:u w:val="single"/>
          <w:lang w:val="en-US" w:eastAsia="zh-CN"/>
        </w:rPr>
        <w:t>项</w:t>
      </w:r>
      <w:r>
        <w:rPr>
          <w:rFonts w:hint="eastAsia" w:ascii="宋体" w:hAnsi="宋体" w:cs="宋体"/>
          <w:color w:val="auto"/>
          <w:szCs w:val="21"/>
          <w:highlight w:val="none"/>
          <w:u w:val="single"/>
        </w:rPr>
        <w:t>质量合格的类似工程监理业绩（类似工程是指建筑面积≥3.5万平方米或工程造价≥10000万元的房屋建筑工程监理项目）。需同时提供中标通知书或免招标的相关证明、施工监理合同、竣工验收报告或竣工验收证明。业绩时间以竣工验收报告或竣工验收证明出具时间为准（竣工验收报告或竣工验收证明材料至少包含建设单位、设计单位、施工单位、监理单位四方主体盖章，否则不予以认可）。</w:t>
      </w:r>
    </w:p>
    <w:p w14:paraId="2FF8CABE">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3.5其他要求： </w:t>
      </w:r>
    </w:p>
    <w:p w14:paraId="5B60BF3D">
      <w:pPr>
        <w:wordWrap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①投标人参加投标的意思表达清楚，投标人代表被授权有效。</w:t>
      </w:r>
    </w:p>
    <w:p w14:paraId="4F35BC0C">
      <w:pPr>
        <w:wordWrap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②投标人均具有独立法人资格，持有有效的工商行政（或市场监管）管理部门核发的法人营业执照，按国家法律经营。香港企业提供在香港进行商业登记的证明文书。</w:t>
      </w:r>
    </w:p>
    <w:p w14:paraId="4D68CFAC">
      <w:pPr>
        <w:wordWrap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③投标人已按规定格式签名盖章《投标人声明》（详见附件一）。</w:t>
      </w:r>
    </w:p>
    <w:p w14:paraId="4628E67D">
      <w:pPr>
        <w:wordWrap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szCs w:val="21"/>
          <w:highlight w:val="none"/>
          <w:u w:val="single"/>
        </w:rPr>
        <w:t>④</w:t>
      </w:r>
      <w:r>
        <w:rPr>
          <w:rFonts w:hint="eastAsia" w:ascii="宋体" w:hAnsi="宋体" w:cs="宋体"/>
          <w:color w:val="auto"/>
          <w:kern w:val="0"/>
          <w:szCs w:val="21"/>
          <w:highlight w:val="none"/>
          <w:u w:val="single"/>
        </w:rPr>
        <w:t>资格审查</w:t>
      </w:r>
      <w:r>
        <w:rPr>
          <w:rFonts w:hint="eastAsia" w:ascii="宋体" w:hAnsi="宋体" w:cs="宋体"/>
          <w:color w:val="auto"/>
          <w:szCs w:val="21"/>
          <w:highlight w:val="none"/>
          <w:u w:val="single"/>
        </w:rPr>
        <w:t>前，投标人须在广州市住建行业信用管理平台建立了企业信用档案及拟担任本工程总监理工程师须是本企业信用档案中的在册人员</w:t>
      </w:r>
      <w:r>
        <w:rPr>
          <w:rFonts w:hint="eastAsia" w:ascii="宋体" w:hAnsi="宋体" w:cs="宋体"/>
          <w:color w:val="auto"/>
          <w:kern w:val="0"/>
          <w:szCs w:val="21"/>
          <w:highlight w:val="none"/>
          <w:u w:val="single"/>
        </w:rPr>
        <w:t>。企业信用档案取自投标截止时间投标人在信用管理平台的信息，投标人无需提交相关资料，若招标人延长递交投标文件截止时间的，信用档案信息的评审时点也相应延长。注：（信用档案办理详见《广州市住建行业信用管理平台监理企业信息录入指引》</w:t>
      </w:r>
      <w:r>
        <w:rPr>
          <w:color w:val="auto"/>
          <w:highlight w:val="none"/>
        </w:rPr>
        <w:fldChar w:fldCharType="begin"/>
      </w:r>
      <w:r>
        <w:rPr>
          <w:color w:val="auto"/>
          <w:highlight w:val="none"/>
        </w:rPr>
        <w:instrText xml:space="preserve"> HYPERLINK "http://zfcj.gz.gov.cn/zwgk/zsdwxxgkzl/gzsjzyglfwzx/bszy/content/post_8073953.html" </w:instrText>
      </w:r>
      <w:r>
        <w:rPr>
          <w:color w:val="auto"/>
          <w:highlight w:val="none"/>
        </w:rPr>
        <w:fldChar w:fldCharType="separate"/>
      </w:r>
      <w:r>
        <w:rPr>
          <w:rStyle w:val="19"/>
          <w:rFonts w:hint="eastAsia" w:ascii="宋体" w:hAnsi="宋体" w:cs="宋体"/>
          <w:color w:val="auto"/>
          <w:kern w:val="0"/>
          <w:szCs w:val="21"/>
          <w:highlight w:val="none"/>
        </w:rPr>
        <w:t>http://zfcj.gz.gov.cn/zwgk/zsdwxxgkzl/gzsjzyglfwzx/bszy/content/post_8073953.html</w:t>
      </w:r>
      <w:r>
        <w:rPr>
          <w:rStyle w:val="19"/>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u w:val="single"/>
        </w:rPr>
        <w:t>）。</w:t>
      </w:r>
    </w:p>
    <w:p w14:paraId="7AEA1E26">
      <w:pPr>
        <w:wordWrap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⑤投标人未被列入拖欠农民工工资失信联合惩戒对象名单（本项评审投标人无需提供资料，按资格评审时广州交易集团有限公司（广州公共资源交易中心）交易系统比对的结果进行评审）。</w:t>
      </w:r>
    </w:p>
    <w:p w14:paraId="00D06EE5">
      <w:pPr>
        <w:wordWrap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⑥投标人未出现以下情形：与其它投标人的单位负责人为同一人或者存在控股、管理关系的（按投标人提供的《投标人声明》第六条内容进行评审）。如不同投标人出现单位负责人为同一人或者存在控股、管理关系的情形，则相关投标均无效。</w:t>
      </w:r>
    </w:p>
    <w:p w14:paraId="3F14CA15">
      <w:pPr>
        <w:wordWrap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kern w:val="0"/>
          <w:szCs w:val="21"/>
          <w:highlight w:val="none"/>
          <w:u w:val="single"/>
        </w:rPr>
        <w:t>注：未在招标公告第3条单列的投标人资格要求条件，不作为资审不合格的依据。</w:t>
      </w:r>
    </w:p>
    <w:p w14:paraId="1185AB02">
      <w:pPr>
        <w:pStyle w:val="3"/>
        <w:wordWrap w:val="0"/>
        <w:spacing w:line="360" w:lineRule="auto"/>
        <w:rPr>
          <w:color w:val="auto"/>
          <w:sz w:val="28"/>
          <w:szCs w:val="28"/>
          <w:highlight w:val="none"/>
        </w:rPr>
      </w:pPr>
      <w:r>
        <w:rPr>
          <w:rFonts w:hint="eastAsia"/>
          <w:color w:val="auto"/>
          <w:sz w:val="28"/>
          <w:szCs w:val="28"/>
          <w:highlight w:val="none"/>
        </w:rPr>
        <w:t>4.招标文件的获取</w:t>
      </w:r>
    </w:p>
    <w:p w14:paraId="73CC04C9">
      <w:pPr>
        <w:wordWrap w:val="0"/>
        <w:spacing w:line="360" w:lineRule="auto"/>
        <w:ind w:left="239" w:leftChars="114" w:firstLine="281" w:firstLineChars="134"/>
        <w:rPr>
          <w:rFonts w:ascii="宋体" w:cs="宋体"/>
          <w:color w:val="auto"/>
          <w:szCs w:val="21"/>
          <w:highlight w:val="none"/>
        </w:rPr>
      </w:pPr>
      <w:bookmarkStart w:id="13" w:name="_Toc3471142"/>
      <w:bookmarkStart w:id="14" w:name="_Toc514099628"/>
      <w:r>
        <w:rPr>
          <w:rFonts w:hint="eastAsia" w:ascii="宋体" w:cs="宋体"/>
          <w:color w:val="auto"/>
          <w:szCs w:val="21"/>
          <w:highlight w:val="none"/>
        </w:rPr>
        <w:t>4.1凡有意参加投标者，请于</w:t>
      </w:r>
      <w:r>
        <w:rPr>
          <w:rFonts w:hint="eastAsia" w:ascii="宋体" w:cs="宋体"/>
          <w:color w:val="auto"/>
          <w:szCs w:val="21"/>
          <w:highlight w:val="none"/>
          <w:u w:val="single"/>
        </w:rPr>
        <w:t>2024</w:t>
      </w:r>
      <w:r>
        <w:rPr>
          <w:rFonts w:hint="eastAsia" w:ascii="宋体" w:cs="宋体"/>
          <w:color w:val="auto"/>
          <w:szCs w:val="21"/>
          <w:highlight w:val="none"/>
        </w:rPr>
        <w:t>年</w:t>
      </w:r>
      <w:r>
        <w:rPr>
          <w:rFonts w:hint="eastAsia" w:ascii="宋体" w:cs="宋体"/>
          <w:color w:val="auto"/>
          <w:szCs w:val="21"/>
          <w:highlight w:val="none"/>
          <w:u w:val="single"/>
        </w:rPr>
        <w:t xml:space="preserve">  </w:t>
      </w:r>
      <w:r>
        <w:rPr>
          <w:rFonts w:hint="eastAsia" w:ascii="宋体" w:cs="宋体"/>
          <w:color w:val="auto"/>
          <w:szCs w:val="21"/>
          <w:highlight w:val="none"/>
        </w:rPr>
        <w:t>月</w:t>
      </w:r>
      <w:r>
        <w:rPr>
          <w:rFonts w:hint="eastAsia" w:ascii="宋体" w:cs="宋体"/>
          <w:color w:val="auto"/>
          <w:szCs w:val="21"/>
          <w:highlight w:val="none"/>
          <w:u w:val="single"/>
        </w:rPr>
        <w:t xml:space="preserve">  </w:t>
      </w:r>
      <w:r>
        <w:rPr>
          <w:rFonts w:hint="eastAsia" w:ascii="宋体" w:cs="宋体"/>
          <w:color w:val="auto"/>
          <w:szCs w:val="21"/>
          <w:highlight w:val="none"/>
        </w:rPr>
        <w:t>日</w:t>
      </w:r>
      <w:r>
        <w:rPr>
          <w:rFonts w:hint="eastAsia" w:ascii="宋体" w:cs="宋体"/>
          <w:color w:val="auto"/>
          <w:szCs w:val="21"/>
          <w:highlight w:val="none"/>
          <w:u w:val="single"/>
        </w:rPr>
        <w:t xml:space="preserve">  </w:t>
      </w:r>
      <w:r>
        <w:rPr>
          <w:rFonts w:hint="eastAsia" w:ascii="宋体" w:cs="宋体"/>
          <w:color w:val="auto"/>
          <w:szCs w:val="21"/>
          <w:highlight w:val="none"/>
        </w:rPr>
        <w:t>时</w:t>
      </w:r>
      <w:r>
        <w:rPr>
          <w:rFonts w:hint="eastAsia" w:ascii="宋体" w:cs="宋体"/>
          <w:color w:val="auto"/>
          <w:szCs w:val="21"/>
          <w:highlight w:val="none"/>
          <w:u w:val="single"/>
        </w:rPr>
        <w:t xml:space="preserve">  </w:t>
      </w:r>
      <w:r>
        <w:rPr>
          <w:rFonts w:hint="eastAsia" w:ascii="宋体" w:cs="宋体"/>
          <w:color w:val="auto"/>
          <w:szCs w:val="21"/>
          <w:highlight w:val="none"/>
        </w:rPr>
        <w:t>分至</w:t>
      </w:r>
      <w:r>
        <w:rPr>
          <w:rFonts w:hint="eastAsia" w:ascii="宋体" w:cs="宋体"/>
          <w:color w:val="auto"/>
          <w:szCs w:val="21"/>
          <w:highlight w:val="none"/>
          <w:u w:val="single"/>
        </w:rPr>
        <w:t>2024</w:t>
      </w:r>
      <w:r>
        <w:rPr>
          <w:rFonts w:hint="eastAsia" w:ascii="宋体" w:cs="宋体"/>
          <w:color w:val="auto"/>
          <w:szCs w:val="21"/>
          <w:highlight w:val="none"/>
        </w:rPr>
        <w:t>年</w:t>
      </w:r>
      <w:r>
        <w:rPr>
          <w:rFonts w:hint="eastAsia" w:ascii="宋体" w:cs="宋体"/>
          <w:color w:val="auto"/>
          <w:szCs w:val="21"/>
          <w:highlight w:val="none"/>
          <w:u w:val="single"/>
        </w:rPr>
        <w:t xml:space="preserve">  </w:t>
      </w:r>
      <w:r>
        <w:rPr>
          <w:rFonts w:hint="eastAsia" w:ascii="宋体" w:cs="宋体"/>
          <w:color w:val="auto"/>
          <w:szCs w:val="21"/>
          <w:highlight w:val="none"/>
        </w:rPr>
        <w:t>月</w:t>
      </w:r>
      <w:r>
        <w:rPr>
          <w:rFonts w:hint="eastAsia" w:ascii="宋体" w:cs="宋体"/>
          <w:color w:val="auto"/>
          <w:szCs w:val="21"/>
          <w:highlight w:val="none"/>
          <w:u w:val="single"/>
        </w:rPr>
        <w:t xml:space="preserve">  </w:t>
      </w:r>
      <w:r>
        <w:rPr>
          <w:rFonts w:hint="eastAsia" w:ascii="宋体" w:cs="宋体"/>
          <w:color w:val="auto"/>
          <w:szCs w:val="21"/>
          <w:highlight w:val="none"/>
        </w:rPr>
        <w:t>日</w:t>
      </w:r>
      <w:r>
        <w:rPr>
          <w:rFonts w:hint="eastAsia" w:ascii="宋体" w:cs="宋体"/>
          <w:color w:val="auto"/>
          <w:szCs w:val="21"/>
          <w:highlight w:val="none"/>
          <w:u w:val="single"/>
        </w:rPr>
        <w:t xml:space="preserve">  </w:t>
      </w:r>
      <w:r>
        <w:rPr>
          <w:rFonts w:hint="eastAsia" w:ascii="宋体" w:cs="宋体"/>
          <w:color w:val="auto"/>
          <w:szCs w:val="21"/>
          <w:highlight w:val="none"/>
        </w:rPr>
        <w:t>时</w:t>
      </w:r>
      <w:r>
        <w:rPr>
          <w:rFonts w:hint="eastAsia" w:ascii="宋体" w:cs="宋体"/>
          <w:color w:val="auto"/>
          <w:szCs w:val="21"/>
          <w:highlight w:val="none"/>
          <w:u w:val="single"/>
        </w:rPr>
        <w:t xml:space="preserve">  </w:t>
      </w:r>
      <w:r>
        <w:rPr>
          <w:rFonts w:hint="eastAsia" w:ascii="宋体" w:cs="宋体"/>
          <w:color w:val="auto"/>
          <w:szCs w:val="21"/>
          <w:highlight w:val="none"/>
        </w:rPr>
        <w:t>分(北京时间，下同)，登录</w:t>
      </w:r>
      <w:r>
        <w:rPr>
          <w:rFonts w:hint="eastAsia" w:ascii="宋体" w:hAnsi="宋体"/>
          <w:color w:val="auto"/>
          <w:szCs w:val="21"/>
          <w:highlight w:val="none"/>
          <w:u w:val="single"/>
        </w:rPr>
        <w:t>广州交易集团有限公司（广州公共资源交易中心）</w:t>
      </w:r>
      <w:r>
        <w:rPr>
          <w:rFonts w:ascii="宋体" w:hAnsi="宋体"/>
          <w:color w:val="auto"/>
          <w:szCs w:val="21"/>
          <w:highlight w:val="none"/>
          <w:u w:val="single"/>
        </w:rPr>
        <w:t>网</w:t>
      </w:r>
      <w:r>
        <w:rPr>
          <w:rFonts w:hint="eastAsia" w:ascii="宋体" w:hAnsi="宋体"/>
          <w:color w:val="auto"/>
          <w:szCs w:val="21"/>
          <w:highlight w:val="none"/>
          <w:u w:val="single"/>
        </w:rPr>
        <w:t>站</w:t>
      </w:r>
      <w:r>
        <w:rPr>
          <w:rFonts w:ascii="宋体" w:hAnsi="宋体"/>
          <w:color w:val="auto"/>
          <w:szCs w:val="21"/>
          <w:highlight w:val="none"/>
          <w:u w:val="single"/>
        </w:rPr>
        <w:t>（网址：http://www.gzggzy.cn）</w:t>
      </w:r>
      <w:r>
        <w:rPr>
          <w:rFonts w:hint="eastAsia" w:ascii="宋体" w:hAnsi="宋体"/>
          <w:color w:val="auto"/>
          <w:szCs w:val="21"/>
          <w:highlight w:val="none"/>
        </w:rPr>
        <w:t>下载电子招标文件。</w:t>
      </w:r>
    </w:p>
    <w:p w14:paraId="01CAB990">
      <w:pPr>
        <w:wordWrap w:val="0"/>
        <w:spacing w:line="360" w:lineRule="auto"/>
        <w:ind w:firstLine="493" w:firstLineChars="235"/>
        <w:rPr>
          <w:rFonts w:ascii="宋体" w:cs="宋体"/>
          <w:color w:val="auto"/>
          <w:szCs w:val="21"/>
          <w:highlight w:val="none"/>
        </w:rPr>
      </w:pPr>
      <w:bookmarkStart w:id="15" w:name="_Toc511557030"/>
      <w:r>
        <w:rPr>
          <w:rFonts w:hint="eastAsia" w:ascii="宋体" w:cs="宋体"/>
          <w:color w:val="auto"/>
          <w:szCs w:val="21"/>
          <w:highlight w:val="none"/>
        </w:rPr>
        <w:t>4.2发布招标公告时间（含本日）</w:t>
      </w:r>
      <w:r>
        <w:rPr>
          <w:rFonts w:hint="eastAsia" w:ascii="宋体" w:cs="宋体"/>
          <w:color w:val="auto"/>
          <w:szCs w:val="21"/>
          <w:highlight w:val="none"/>
          <w:u w:val="single"/>
        </w:rPr>
        <w:t>2024</w:t>
      </w:r>
      <w:r>
        <w:rPr>
          <w:rFonts w:hint="eastAsia" w:ascii="宋体" w:cs="宋体"/>
          <w:color w:val="auto"/>
          <w:szCs w:val="21"/>
          <w:highlight w:val="none"/>
        </w:rPr>
        <w:t>年</w:t>
      </w:r>
      <w:r>
        <w:rPr>
          <w:rFonts w:hint="eastAsia" w:ascii="宋体" w:cs="宋体"/>
          <w:color w:val="auto"/>
          <w:szCs w:val="21"/>
          <w:highlight w:val="none"/>
          <w:u w:val="single"/>
        </w:rPr>
        <w:t xml:space="preserve">  </w:t>
      </w:r>
      <w:r>
        <w:rPr>
          <w:rFonts w:hint="eastAsia" w:ascii="宋体" w:cs="宋体"/>
          <w:color w:val="auto"/>
          <w:szCs w:val="21"/>
          <w:highlight w:val="none"/>
        </w:rPr>
        <w:t>月</w:t>
      </w:r>
      <w:r>
        <w:rPr>
          <w:rFonts w:hint="eastAsia" w:ascii="宋体" w:cs="宋体"/>
          <w:color w:val="auto"/>
          <w:szCs w:val="21"/>
          <w:highlight w:val="none"/>
          <w:u w:val="single"/>
        </w:rPr>
        <w:t xml:space="preserve">  </w:t>
      </w:r>
      <w:r>
        <w:rPr>
          <w:rFonts w:hint="eastAsia" w:ascii="宋体" w:cs="宋体"/>
          <w:color w:val="auto"/>
          <w:szCs w:val="21"/>
          <w:highlight w:val="none"/>
        </w:rPr>
        <w:t>日</w:t>
      </w:r>
      <w:r>
        <w:rPr>
          <w:rFonts w:hint="eastAsia" w:ascii="宋体" w:cs="宋体"/>
          <w:color w:val="auto"/>
          <w:szCs w:val="21"/>
          <w:highlight w:val="none"/>
          <w:u w:val="single"/>
        </w:rPr>
        <w:t xml:space="preserve">  </w:t>
      </w:r>
      <w:r>
        <w:rPr>
          <w:rFonts w:hint="eastAsia" w:ascii="宋体" w:cs="宋体"/>
          <w:color w:val="auto"/>
          <w:szCs w:val="21"/>
          <w:highlight w:val="none"/>
        </w:rPr>
        <w:t>时</w:t>
      </w:r>
      <w:r>
        <w:rPr>
          <w:rFonts w:hint="eastAsia" w:ascii="宋体" w:cs="宋体"/>
          <w:color w:val="auto"/>
          <w:szCs w:val="21"/>
          <w:highlight w:val="none"/>
          <w:u w:val="single"/>
        </w:rPr>
        <w:t xml:space="preserve">  </w:t>
      </w:r>
      <w:r>
        <w:rPr>
          <w:rFonts w:hint="eastAsia" w:ascii="宋体" w:cs="宋体"/>
          <w:color w:val="auto"/>
          <w:szCs w:val="21"/>
          <w:highlight w:val="none"/>
        </w:rPr>
        <w:t>分至</w:t>
      </w:r>
      <w:r>
        <w:rPr>
          <w:rFonts w:hint="eastAsia" w:ascii="宋体" w:cs="宋体"/>
          <w:color w:val="auto"/>
          <w:szCs w:val="21"/>
          <w:highlight w:val="none"/>
          <w:u w:val="single"/>
        </w:rPr>
        <w:t>2024</w:t>
      </w:r>
      <w:r>
        <w:rPr>
          <w:rFonts w:hint="eastAsia" w:ascii="宋体" w:cs="宋体"/>
          <w:color w:val="auto"/>
          <w:szCs w:val="21"/>
          <w:highlight w:val="none"/>
        </w:rPr>
        <w:t>年</w:t>
      </w:r>
      <w:r>
        <w:rPr>
          <w:rFonts w:hint="eastAsia" w:ascii="宋体" w:cs="宋体"/>
          <w:color w:val="auto"/>
          <w:szCs w:val="21"/>
          <w:highlight w:val="none"/>
          <w:u w:val="single"/>
        </w:rPr>
        <w:t xml:space="preserve">  </w:t>
      </w:r>
      <w:r>
        <w:rPr>
          <w:rFonts w:hint="eastAsia" w:ascii="宋体" w:cs="宋体"/>
          <w:color w:val="auto"/>
          <w:szCs w:val="21"/>
          <w:highlight w:val="none"/>
        </w:rPr>
        <w:t>月</w:t>
      </w:r>
      <w:r>
        <w:rPr>
          <w:rFonts w:hint="eastAsia" w:ascii="宋体" w:cs="宋体"/>
          <w:color w:val="auto"/>
          <w:szCs w:val="21"/>
          <w:highlight w:val="none"/>
          <w:u w:val="single"/>
        </w:rPr>
        <w:t xml:space="preserve">  </w:t>
      </w:r>
      <w:r>
        <w:rPr>
          <w:rFonts w:hint="eastAsia" w:ascii="宋体" w:cs="宋体"/>
          <w:color w:val="auto"/>
          <w:szCs w:val="21"/>
          <w:highlight w:val="none"/>
        </w:rPr>
        <w:t>日</w:t>
      </w:r>
      <w:r>
        <w:rPr>
          <w:rFonts w:hint="eastAsia" w:ascii="宋体" w:cs="宋体"/>
          <w:color w:val="auto"/>
          <w:szCs w:val="21"/>
          <w:highlight w:val="none"/>
          <w:u w:val="single"/>
        </w:rPr>
        <w:t xml:space="preserve">  </w:t>
      </w:r>
      <w:r>
        <w:rPr>
          <w:rFonts w:hint="eastAsia" w:ascii="宋体" w:cs="宋体"/>
          <w:color w:val="auto"/>
          <w:szCs w:val="21"/>
          <w:highlight w:val="none"/>
        </w:rPr>
        <w:t>时</w:t>
      </w:r>
      <w:r>
        <w:rPr>
          <w:rFonts w:hint="eastAsia" w:ascii="宋体" w:cs="宋体"/>
          <w:color w:val="auto"/>
          <w:szCs w:val="21"/>
          <w:highlight w:val="none"/>
          <w:u w:val="single"/>
        </w:rPr>
        <w:t xml:space="preserve">  </w:t>
      </w:r>
      <w:r>
        <w:rPr>
          <w:rFonts w:hint="eastAsia" w:ascii="宋体" w:cs="宋体"/>
          <w:color w:val="auto"/>
          <w:szCs w:val="21"/>
          <w:highlight w:val="none"/>
        </w:rPr>
        <w:t>分。</w:t>
      </w:r>
    </w:p>
    <w:p w14:paraId="7F68FBE7">
      <w:pPr>
        <w:wordWrap w:val="0"/>
        <w:spacing w:line="360" w:lineRule="auto"/>
        <w:ind w:firstLine="422" w:firstLineChars="200"/>
        <w:rPr>
          <w:rFonts w:hint="eastAsia" w:ascii="宋体" w:hAnsi="宋体" w:cs="楷体"/>
          <w:b/>
          <w:bCs/>
          <w:color w:val="auto"/>
          <w:szCs w:val="21"/>
          <w:highlight w:val="none"/>
          <w:u w:val="single"/>
        </w:rPr>
      </w:pPr>
      <w:r>
        <w:rPr>
          <w:rFonts w:hint="eastAsia" w:ascii="宋体" w:hAnsi="宋体" w:cs="楷体"/>
          <w:b/>
          <w:bCs/>
          <w:color w:val="auto"/>
          <w:szCs w:val="21"/>
          <w:highlight w:val="none"/>
          <w:u w:val="single"/>
        </w:rPr>
        <w:t>注：发布招标公告的时间为招标公告发出之日起至递交投标文件截止时间止。</w:t>
      </w:r>
    </w:p>
    <w:bookmarkEnd w:id="13"/>
    <w:bookmarkEnd w:id="14"/>
    <w:bookmarkEnd w:id="15"/>
    <w:p w14:paraId="65550A96">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 xml:space="preserve">4.3 </w:t>
      </w:r>
      <w:r>
        <w:rPr>
          <w:rFonts w:hint="eastAsia" w:ascii="宋体" w:hAnsi="宋体" w:cs="宋体"/>
          <w:color w:val="auto"/>
          <w:kern w:val="0"/>
          <w:szCs w:val="21"/>
          <w:highlight w:val="none"/>
        </w:rPr>
        <w:t>本项目设立投标登记环节，采取</w:t>
      </w:r>
      <w:r>
        <w:rPr>
          <w:rFonts w:hint="eastAsia" w:ascii="宋体" w:hAnsi="宋体" w:cs="宋体"/>
          <w:color w:val="auto"/>
          <w:szCs w:val="21"/>
          <w:highlight w:val="none"/>
        </w:rPr>
        <w:t>广州交易集团有限公司（广州公共资源交易中心）</w:t>
      </w:r>
      <w:r>
        <w:rPr>
          <w:rFonts w:hint="eastAsia" w:ascii="宋体" w:hAnsi="宋体" w:cs="宋体"/>
          <w:color w:val="auto"/>
          <w:kern w:val="0"/>
          <w:szCs w:val="21"/>
          <w:highlight w:val="none"/>
          <w:u w:val="single"/>
        </w:rPr>
        <w:t>网上投标登记</w:t>
      </w:r>
      <w:r>
        <w:rPr>
          <w:rFonts w:hint="eastAsia" w:ascii="宋体" w:hAnsi="宋体" w:cs="宋体"/>
          <w:color w:val="auto"/>
          <w:kern w:val="0"/>
          <w:szCs w:val="21"/>
          <w:highlight w:val="none"/>
        </w:rPr>
        <w:t>方式进行投标登记，不接受现场投标登记（参加投标登记之前，投标人应查询本企业在</w:t>
      </w:r>
      <w:r>
        <w:rPr>
          <w:rFonts w:hint="eastAsia" w:ascii="宋体" w:hAnsi="宋体" w:cs="宋体"/>
          <w:color w:val="auto"/>
          <w:szCs w:val="21"/>
          <w:highlight w:val="none"/>
        </w:rPr>
        <w:t>广州交易集团有限公司（广州公共资源交易中心）</w:t>
      </w:r>
      <w:r>
        <w:rPr>
          <w:rFonts w:hint="eastAsia" w:ascii="宋体" w:hAnsi="宋体" w:cs="宋体"/>
          <w:color w:val="auto"/>
          <w:kern w:val="0"/>
          <w:szCs w:val="21"/>
          <w:highlight w:val="none"/>
        </w:rPr>
        <w:t>的信息登记的状态，确保一切信息都是真实的、在有效期内的，以免出现相关信息不能被使用。上述情况有可能导致投标信息无法录入</w:t>
      </w:r>
      <w:r>
        <w:rPr>
          <w:rFonts w:hint="eastAsia" w:ascii="宋体" w:hAnsi="宋体" w:cs="宋体"/>
          <w:color w:val="auto"/>
          <w:szCs w:val="21"/>
          <w:highlight w:val="none"/>
        </w:rPr>
        <w:t>广州交易集团有限公司（广州公共资源交易中心）</w:t>
      </w:r>
      <w:r>
        <w:rPr>
          <w:rFonts w:hint="eastAsia" w:ascii="宋体" w:hAnsi="宋体" w:cs="宋体"/>
          <w:color w:val="auto"/>
          <w:kern w:val="0"/>
          <w:szCs w:val="21"/>
          <w:highlight w:val="none"/>
        </w:rPr>
        <w:t>信息系统。如出现上述情况，投标人有可能失去投标机会，因其可能所引起的一切后果由投标人承担。电子招投标操作流程详见</w:t>
      </w:r>
      <w:r>
        <w:rPr>
          <w:rFonts w:hint="eastAsia" w:ascii="宋体" w:hAnsi="宋体" w:cs="宋体"/>
          <w:color w:val="auto"/>
          <w:szCs w:val="21"/>
          <w:highlight w:val="none"/>
        </w:rPr>
        <w:t>广州交易集团有限公司（广州公共资源交易中心）</w:t>
      </w:r>
      <w:r>
        <w:rPr>
          <w:rFonts w:hint="eastAsia" w:ascii="宋体" w:hAnsi="宋体" w:cs="宋体"/>
          <w:color w:val="auto"/>
          <w:kern w:val="0"/>
          <w:szCs w:val="21"/>
          <w:highlight w:val="none"/>
        </w:rPr>
        <w:t>网站发布的最新版操作指引）。</w:t>
      </w:r>
    </w:p>
    <w:p w14:paraId="6602A6DC">
      <w:pPr>
        <w:wordWrap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4.3.1投标登记时间：</w:t>
      </w:r>
      <w:r>
        <w:rPr>
          <w:rFonts w:hint="eastAsia" w:ascii="宋体" w:hAnsi="宋体" w:cs="宋体"/>
          <w:color w:val="auto"/>
          <w:kern w:val="0"/>
          <w:szCs w:val="21"/>
          <w:highlight w:val="none"/>
          <w:u w:val="single"/>
        </w:rPr>
        <w:t>2024</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分至</w:t>
      </w:r>
      <w:r>
        <w:rPr>
          <w:rFonts w:hint="eastAsia" w:ascii="宋体" w:hAnsi="宋体" w:cs="宋体"/>
          <w:color w:val="auto"/>
          <w:kern w:val="0"/>
          <w:szCs w:val="21"/>
          <w:highlight w:val="none"/>
          <w:u w:val="single"/>
        </w:rPr>
        <w:t>2024</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cs="宋体"/>
          <w:color w:val="auto"/>
          <w:szCs w:val="21"/>
          <w:highlight w:val="none"/>
          <w:u w:val="single"/>
        </w:rPr>
        <w:t xml:space="preserve">  </w:t>
      </w:r>
      <w:r>
        <w:rPr>
          <w:rFonts w:hint="eastAsia" w:ascii="宋体" w:cs="宋体"/>
          <w:color w:val="auto"/>
          <w:szCs w:val="21"/>
          <w:highlight w:val="none"/>
        </w:rPr>
        <w:t>时</w:t>
      </w:r>
      <w:r>
        <w:rPr>
          <w:rFonts w:hint="eastAsia" w:ascii="宋体" w:cs="宋体"/>
          <w:color w:val="auto"/>
          <w:szCs w:val="21"/>
          <w:highlight w:val="none"/>
          <w:u w:val="single"/>
        </w:rPr>
        <w:t xml:space="preserve">  </w:t>
      </w:r>
      <w:r>
        <w:rPr>
          <w:rFonts w:hint="eastAsia" w:ascii="宋体" w:cs="宋体"/>
          <w:color w:val="auto"/>
          <w:szCs w:val="21"/>
          <w:highlight w:val="none"/>
        </w:rPr>
        <w:t>分</w:t>
      </w:r>
      <w:r>
        <w:rPr>
          <w:rFonts w:hint="eastAsia" w:ascii="宋体" w:hAnsi="宋体" w:cs="宋体"/>
          <w:color w:val="auto"/>
          <w:szCs w:val="21"/>
          <w:highlight w:val="none"/>
        </w:rPr>
        <w:t>。</w:t>
      </w:r>
    </w:p>
    <w:p w14:paraId="26D2F633">
      <w:pPr>
        <w:wordWrap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4.3.2在选择参与投标的项目（即投标登记）时，投标人应按要求在交易系统中填写《监理项目管理团队人员信息表》（格式见本招标公告附件二），表中的项目管理团队人员信息作为投标文件的一部分，将由交易系统提取后供各相关单位在中标人履约时进行比对、查核。</w:t>
      </w:r>
    </w:p>
    <w:p w14:paraId="0416C483">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 本项目采用资格后审方式。</w:t>
      </w:r>
    </w:p>
    <w:p w14:paraId="425F308F">
      <w:pPr>
        <w:pStyle w:val="3"/>
        <w:wordWrap w:val="0"/>
        <w:spacing w:line="360" w:lineRule="auto"/>
        <w:rPr>
          <w:color w:val="auto"/>
          <w:sz w:val="28"/>
          <w:szCs w:val="28"/>
          <w:highlight w:val="none"/>
        </w:rPr>
      </w:pPr>
      <w:r>
        <w:rPr>
          <w:rFonts w:hint="eastAsia"/>
          <w:color w:val="auto"/>
          <w:sz w:val="28"/>
          <w:szCs w:val="28"/>
          <w:highlight w:val="none"/>
        </w:rPr>
        <w:t>5.投标文件的递交</w:t>
      </w:r>
      <w:bookmarkEnd w:id="12"/>
    </w:p>
    <w:p w14:paraId="1DF80141">
      <w:pPr>
        <w:pStyle w:val="21"/>
        <w:wordWrap w:val="0"/>
        <w:ind w:firstLine="420" w:firstLineChars="200"/>
        <w:rPr>
          <w:rFonts w:hint="eastAsia" w:ascii="宋体" w:hAnsi="宋体" w:eastAsia="宋体" w:cs="宋体"/>
          <w:color w:val="auto"/>
          <w:kern w:val="2"/>
          <w:sz w:val="21"/>
          <w:szCs w:val="21"/>
          <w:highlight w:val="none"/>
        </w:rPr>
      </w:pPr>
      <w:bookmarkStart w:id="16" w:name="_Toc535938700"/>
      <w:r>
        <w:rPr>
          <w:rFonts w:ascii="宋体" w:hAnsi="宋体" w:eastAsia="宋体" w:cs="宋体"/>
          <w:color w:val="auto"/>
          <w:kern w:val="2"/>
          <w:sz w:val="21"/>
          <w:szCs w:val="21"/>
          <w:highlight w:val="none"/>
        </w:rPr>
        <w:t>5.1 投标文件递交的截止时间（投标截止时间，下同）为</w:t>
      </w:r>
      <w:r>
        <w:rPr>
          <w:rFonts w:ascii="宋体" w:hAnsi="宋体" w:eastAsia="宋体" w:cs="宋体"/>
          <w:color w:val="auto"/>
          <w:kern w:val="2"/>
          <w:sz w:val="21"/>
          <w:szCs w:val="21"/>
          <w:highlight w:val="none"/>
          <w:u w:val="single"/>
        </w:rPr>
        <w:t>202</w:t>
      </w:r>
      <w:r>
        <w:rPr>
          <w:rFonts w:hint="eastAsia" w:ascii="宋体" w:hAnsi="宋体" w:eastAsia="宋体" w:cs="宋体"/>
          <w:color w:val="auto"/>
          <w:kern w:val="2"/>
          <w:sz w:val="21"/>
          <w:szCs w:val="21"/>
          <w:highlight w:val="none"/>
          <w:u w:val="single"/>
        </w:rPr>
        <w:t>4</w:t>
      </w:r>
      <w:r>
        <w:rPr>
          <w:rFonts w:ascii="宋体" w:hAnsi="宋体" w:eastAsia="宋体" w:cs="宋体"/>
          <w:color w:val="auto"/>
          <w:kern w:val="2"/>
          <w:sz w:val="21"/>
          <w:szCs w:val="21"/>
          <w:highlight w:val="none"/>
        </w:rPr>
        <w:t>年</w:t>
      </w:r>
      <w:r>
        <w:rPr>
          <w:rFonts w:ascii="宋体" w:hAnsi="宋体" w:eastAsia="宋体" w:cs="宋体"/>
          <w:color w:val="auto"/>
          <w:kern w:val="2"/>
          <w:sz w:val="21"/>
          <w:szCs w:val="21"/>
          <w:highlight w:val="none"/>
          <w:u w:val="single"/>
        </w:rPr>
        <w:t xml:space="preserve">  </w:t>
      </w:r>
      <w:r>
        <w:rPr>
          <w:rFonts w:ascii="宋体" w:hAnsi="宋体" w:eastAsia="宋体" w:cs="宋体"/>
          <w:color w:val="auto"/>
          <w:kern w:val="2"/>
          <w:sz w:val="21"/>
          <w:szCs w:val="21"/>
          <w:highlight w:val="none"/>
        </w:rPr>
        <w:t>月</w:t>
      </w:r>
      <w:r>
        <w:rPr>
          <w:rFonts w:ascii="宋体" w:hAnsi="宋体" w:eastAsia="宋体" w:cs="宋体"/>
          <w:color w:val="auto"/>
          <w:kern w:val="2"/>
          <w:sz w:val="21"/>
          <w:szCs w:val="21"/>
          <w:highlight w:val="none"/>
          <w:u w:val="single"/>
        </w:rPr>
        <w:t xml:space="preserve">  </w:t>
      </w:r>
      <w:r>
        <w:rPr>
          <w:rFonts w:ascii="宋体" w:hAnsi="宋体" w:eastAsia="宋体" w:cs="宋体"/>
          <w:color w:val="auto"/>
          <w:kern w:val="2"/>
          <w:sz w:val="21"/>
          <w:szCs w:val="21"/>
          <w:highlight w:val="none"/>
        </w:rPr>
        <w:t>日</w:t>
      </w:r>
      <w:r>
        <w:rPr>
          <w:rFonts w:ascii="宋体" w:hAnsi="宋体" w:eastAsia="宋体" w:cs="宋体"/>
          <w:color w:val="auto"/>
          <w:kern w:val="2"/>
          <w:sz w:val="21"/>
          <w:szCs w:val="21"/>
          <w:highlight w:val="none"/>
          <w:u w:val="single"/>
        </w:rPr>
        <w:t xml:space="preserve">  </w:t>
      </w:r>
      <w:r>
        <w:rPr>
          <w:rFonts w:ascii="宋体" w:hAnsi="宋体" w:eastAsia="宋体" w:cs="宋体"/>
          <w:color w:val="auto"/>
          <w:kern w:val="2"/>
          <w:sz w:val="21"/>
          <w:szCs w:val="21"/>
          <w:highlight w:val="none"/>
        </w:rPr>
        <w:t>时</w:t>
      </w:r>
      <w:r>
        <w:rPr>
          <w:rFonts w:ascii="宋体" w:hAnsi="宋体" w:eastAsia="宋体" w:cs="宋体"/>
          <w:color w:val="auto"/>
          <w:kern w:val="2"/>
          <w:sz w:val="21"/>
          <w:szCs w:val="21"/>
          <w:highlight w:val="none"/>
          <w:u w:val="single"/>
        </w:rPr>
        <w:t xml:space="preserve">  </w:t>
      </w:r>
      <w:r>
        <w:rPr>
          <w:rFonts w:ascii="宋体" w:hAnsi="宋体" w:eastAsia="宋体" w:cs="宋体"/>
          <w:color w:val="auto"/>
          <w:kern w:val="2"/>
          <w:sz w:val="21"/>
          <w:szCs w:val="21"/>
          <w:highlight w:val="none"/>
        </w:rPr>
        <w:t>分，投标人应在截止时间前通过</w:t>
      </w:r>
      <w:r>
        <w:rPr>
          <w:rFonts w:ascii="宋体" w:hAnsi="宋体" w:eastAsia="宋体" w:cs="宋体"/>
          <w:color w:val="auto"/>
          <w:kern w:val="2"/>
          <w:sz w:val="21"/>
          <w:szCs w:val="21"/>
          <w:highlight w:val="none"/>
          <w:u w:val="single"/>
        </w:rPr>
        <w:t>广州交易集团有限公司（广州公共资源交易中心）数字交易平台（网址：http://www.gzggzy.cn）</w:t>
      </w:r>
      <w:r>
        <w:rPr>
          <w:rFonts w:ascii="宋体" w:hAnsi="宋体" w:eastAsia="宋体" w:cs="宋体"/>
          <w:color w:val="auto"/>
          <w:kern w:val="2"/>
          <w:sz w:val="21"/>
          <w:szCs w:val="21"/>
          <w:highlight w:val="none"/>
        </w:rPr>
        <w:t>递交电子投标文件。</w:t>
      </w:r>
    </w:p>
    <w:p w14:paraId="2C6BF833">
      <w:pPr>
        <w:pStyle w:val="21"/>
        <w:wordWrap w:val="0"/>
        <w:ind w:firstLine="420" w:firstLineChars="200"/>
        <w:rPr>
          <w:rFonts w:hint="eastAsia" w:ascii="宋体" w:hAnsi="宋体" w:eastAsia="宋体" w:cs="宋体"/>
          <w:color w:val="auto"/>
          <w:kern w:val="2"/>
          <w:sz w:val="21"/>
          <w:szCs w:val="21"/>
          <w:highlight w:val="none"/>
        </w:rPr>
      </w:pPr>
      <w:r>
        <w:rPr>
          <w:rFonts w:ascii="宋体" w:hAnsi="宋体" w:eastAsia="宋体" w:cs="宋体"/>
          <w:color w:val="auto"/>
          <w:kern w:val="2"/>
          <w:sz w:val="21"/>
          <w:szCs w:val="21"/>
          <w:highlight w:val="none"/>
        </w:rPr>
        <w:t>5.2 递交备用投标文件电子光盘时间为：</w:t>
      </w:r>
      <w:r>
        <w:rPr>
          <w:rFonts w:ascii="宋体" w:hAnsi="宋体" w:eastAsia="宋体" w:cs="宋体"/>
          <w:color w:val="auto"/>
          <w:kern w:val="2"/>
          <w:sz w:val="21"/>
          <w:szCs w:val="21"/>
          <w:highlight w:val="none"/>
          <w:u w:val="single"/>
        </w:rPr>
        <w:t>202</w:t>
      </w:r>
      <w:r>
        <w:rPr>
          <w:rFonts w:hint="eastAsia" w:ascii="宋体" w:hAnsi="宋体" w:eastAsia="宋体" w:cs="宋体"/>
          <w:color w:val="auto"/>
          <w:kern w:val="2"/>
          <w:sz w:val="21"/>
          <w:szCs w:val="21"/>
          <w:highlight w:val="none"/>
          <w:u w:val="single"/>
        </w:rPr>
        <w:t>4</w:t>
      </w:r>
      <w:r>
        <w:rPr>
          <w:rFonts w:ascii="宋体" w:hAnsi="宋体" w:eastAsia="宋体" w:cs="宋体"/>
          <w:color w:val="auto"/>
          <w:kern w:val="2"/>
          <w:sz w:val="21"/>
          <w:szCs w:val="21"/>
          <w:highlight w:val="none"/>
        </w:rPr>
        <w:t>年</w:t>
      </w:r>
      <w:r>
        <w:rPr>
          <w:rFonts w:ascii="宋体" w:hAnsi="宋体" w:eastAsia="宋体" w:cs="宋体"/>
          <w:color w:val="auto"/>
          <w:kern w:val="2"/>
          <w:sz w:val="21"/>
          <w:szCs w:val="21"/>
          <w:highlight w:val="none"/>
          <w:u w:val="single"/>
        </w:rPr>
        <w:t xml:space="preserve">  </w:t>
      </w:r>
      <w:r>
        <w:rPr>
          <w:rFonts w:ascii="宋体" w:hAnsi="宋体" w:eastAsia="宋体" w:cs="宋体"/>
          <w:color w:val="auto"/>
          <w:kern w:val="2"/>
          <w:sz w:val="21"/>
          <w:szCs w:val="21"/>
          <w:highlight w:val="none"/>
        </w:rPr>
        <w:t>月</w:t>
      </w:r>
      <w:r>
        <w:rPr>
          <w:rFonts w:ascii="宋体" w:hAnsi="宋体" w:eastAsia="宋体" w:cs="宋体"/>
          <w:color w:val="auto"/>
          <w:kern w:val="2"/>
          <w:sz w:val="21"/>
          <w:szCs w:val="21"/>
          <w:highlight w:val="none"/>
          <w:u w:val="single"/>
        </w:rPr>
        <w:t xml:space="preserve">  </w:t>
      </w:r>
      <w:r>
        <w:rPr>
          <w:rFonts w:ascii="宋体" w:hAnsi="宋体" w:eastAsia="宋体" w:cs="宋体"/>
          <w:color w:val="auto"/>
          <w:kern w:val="2"/>
          <w:sz w:val="21"/>
          <w:szCs w:val="21"/>
          <w:highlight w:val="none"/>
        </w:rPr>
        <w:t>日</w:t>
      </w:r>
      <w:r>
        <w:rPr>
          <w:rFonts w:ascii="宋体" w:hAnsi="宋体" w:eastAsia="宋体" w:cs="宋体"/>
          <w:color w:val="auto"/>
          <w:kern w:val="2"/>
          <w:sz w:val="21"/>
          <w:szCs w:val="21"/>
          <w:highlight w:val="none"/>
          <w:u w:val="single"/>
        </w:rPr>
        <w:t xml:space="preserve">  </w:t>
      </w:r>
      <w:r>
        <w:rPr>
          <w:rFonts w:ascii="宋体" w:hAnsi="宋体" w:eastAsia="宋体" w:cs="宋体"/>
          <w:color w:val="auto"/>
          <w:kern w:val="2"/>
          <w:sz w:val="21"/>
          <w:szCs w:val="21"/>
          <w:highlight w:val="none"/>
        </w:rPr>
        <w:t>时</w:t>
      </w:r>
      <w:r>
        <w:rPr>
          <w:rFonts w:ascii="宋体" w:hAnsi="宋体" w:eastAsia="宋体" w:cs="宋体"/>
          <w:color w:val="auto"/>
          <w:kern w:val="2"/>
          <w:sz w:val="21"/>
          <w:szCs w:val="21"/>
          <w:highlight w:val="none"/>
          <w:u w:val="single"/>
        </w:rPr>
        <w:t xml:space="preserve">  </w:t>
      </w:r>
      <w:r>
        <w:rPr>
          <w:rFonts w:ascii="宋体" w:hAnsi="宋体" w:eastAsia="宋体" w:cs="宋体"/>
          <w:color w:val="auto"/>
          <w:kern w:val="2"/>
          <w:sz w:val="21"/>
          <w:szCs w:val="21"/>
          <w:highlight w:val="none"/>
        </w:rPr>
        <w:t>分至</w:t>
      </w:r>
      <w:r>
        <w:rPr>
          <w:rFonts w:ascii="宋体" w:hAnsi="宋体" w:eastAsia="宋体" w:cs="宋体"/>
          <w:color w:val="auto"/>
          <w:kern w:val="2"/>
          <w:sz w:val="21"/>
          <w:szCs w:val="21"/>
          <w:highlight w:val="none"/>
          <w:u w:val="single"/>
        </w:rPr>
        <w:t>202</w:t>
      </w:r>
      <w:r>
        <w:rPr>
          <w:rFonts w:hint="eastAsia" w:ascii="宋体" w:hAnsi="宋体" w:eastAsia="宋体" w:cs="宋体"/>
          <w:color w:val="auto"/>
          <w:kern w:val="2"/>
          <w:sz w:val="21"/>
          <w:szCs w:val="21"/>
          <w:highlight w:val="none"/>
          <w:u w:val="single"/>
        </w:rPr>
        <w:t>4</w:t>
      </w:r>
      <w:r>
        <w:rPr>
          <w:rFonts w:ascii="宋体" w:hAnsi="宋体" w:eastAsia="宋体" w:cs="宋体"/>
          <w:color w:val="auto"/>
          <w:kern w:val="2"/>
          <w:sz w:val="21"/>
          <w:szCs w:val="21"/>
          <w:highlight w:val="none"/>
        </w:rPr>
        <w:t>年</w:t>
      </w:r>
      <w:r>
        <w:rPr>
          <w:rFonts w:ascii="宋体" w:hAnsi="宋体" w:eastAsia="宋体" w:cs="宋体"/>
          <w:color w:val="auto"/>
          <w:kern w:val="2"/>
          <w:sz w:val="21"/>
          <w:szCs w:val="21"/>
          <w:highlight w:val="none"/>
          <w:u w:val="single"/>
        </w:rPr>
        <w:t xml:space="preserve">  </w:t>
      </w:r>
      <w:r>
        <w:rPr>
          <w:rFonts w:ascii="宋体" w:hAnsi="宋体" w:eastAsia="宋体" w:cs="宋体"/>
          <w:color w:val="auto"/>
          <w:kern w:val="2"/>
          <w:sz w:val="21"/>
          <w:szCs w:val="21"/>
          <w:highlight w:val="none"/>
        </w:rPr>
        <w:t>月</w:t>
      </w:r>
      <w:r>
        <w:rPr>
          <w:rFonts w:ascii="宋体" w:hAnsi="宋体" w:eastAsia="宋体" w:cs="宋体"/>
          <w:color w:val="auto"/>
          <w:kern w:val="2"/>
          <w:sz w:val="21"/>
          <w:szCs w:val="21"/>
          <w:highlight w:val="none"/>
          <w:u w:val="single"/>
        </w:rPr>
        <w:t xml:space="preserve">  </w:t>
      </w:r>
      <w:r>
        <w:rPr>
          <w:rFonts w:ascii="宋体" w:hAnsi="宋体" w:eastAsia="宋体" w:cs="宋体"/>
          <w:color w:val="auto"/>
          <w:kern w:val="2"/>
          <w:sz w:val="21"/>
          <w:szCs w:val="21"/>
          <w:highlight w:val="none"/>
        </w:rPr>
        <w:t>日</w:t>
      </w:r>
      <w:r>
        <w:rPr>
          <w:rFonts w:ascii="宋体" w:hAnsi="宋体" w:eastAsia="宋体" w:cs="宋体"/>
          <w:color w:val="auto"/>
          <w:kern w:val="2"/>
          <w:sz w:val="21"/>
          <w:szCs w:val="21"/>
          <w:highlight w:val="none"/>
          <w:u w:val="single"/>
        </w:rPr>
        <w:t xml:space="preserve">  </w:t>
      </w:r>
      <w:r>
        <w:rPr>
          <w:rFonts w:ascii="宋体" w:hAnsi="宋体" w:eastAsia="宋体" w:cs="宋体"/>
          <w:color w:val="auto"/>
          <w:kern w:val="2"/>
          <w:sz w:val="21"/>
          <w:szCs w:val="21"/>
          <w:highlight w:val="none"/>
        </w:rPr>
        <w:t>时</w:t>
      </w:r>
      <w:r>
        <w:rPr>
          <w:rFonts w:ascii="宋体" w:hAnsi="宋体" w:eastAsia="宋体" w:cs="宋体"/>
          <w:color w:val="auto"/>
          <w:kern w:val="2"/>
          <w:sz w:val="21"/>
          <w:szCs w:val="21"/>
          <w:highlight w:val="none"/>
          <w:u w:val="single"/>
        </w:rPr>
        <w:t xml:space="preserve">  </w:t>
      </w:r>
      <w:r>
        <w:rPr>
          <w:rFonts w:ascii="宋体" w:hAnsi="宋体" w:eastAsia="宋体" w:cs="宋体"/>
          <w:color w:val="auto"/>
          <w:kern w:val="2"/>
          <w:sz w:val="21"/>
          <w:szCs w:val="21"/>
          <w:highlight w:val="none"/>
        </w:rPr>
        <w:t>分；地点：</w:t>
      </w:r>
      <w:r>
        <w:rPr>
          <w:rFonts w:ascii="宋体" w:hAnsi="宋体" w:eastAsia="宋体" w:cs="宋体"/>
          <w:color w:val="auto"/>
          <w:kern w:val="2"/>
          <w:sz w:val="21"/>
          <w:szCs w:val="21"/>
          <w:highlight w:val="none"/>
          <w:u w:val="single"/>
        </w:rPr>
        <w:t>广州交易集团有限公司（广州公共资源交易中心）第  开标室</w:t>
      </w:r>
      <w:r>
        <w:rPr>
          <w:rFonts w:ascii="宋体" w:hAnsi="宋体" w:eastAsia="宋体" w:cs="宋体"/>
          <w:color w:val="auto"/>
          <w:kern w:val="2"/>
          <w:sz w:val="21"/>
          <w:szCs w:val="21"/>
          <w:highlight w:val="none"/>
        </w:rPr>
        <w:t>。</w:t>
      </w:r>
      <w:r>
        <w:rPr>
          <w:rFonts w:hint="eastAsia" w:ascii="宋体" w:hAnsi="宋体" w:eastAsia="宋体" w:cs="宋体"/>
          <w:b/>
          <w:bCs/>
          <w:color w:val="auto"/>
          <w:kern w:val="2"/>
          <w:sz w:val="21"/>
          <w:szCs w:val="21"/>
          <w:highlight w:val="none"/>
          <w:u w:val="single"/>
        </w:rPr>
        <w:t>凭法定代表人证明书原件、法定代表人授权委托证明书原件（非法定代表人办理手续时提供）、本人身份证原件递交。</w:t>
      </w:r>
      <w:r>
        <w:rPr>
          <w:rFonts w:ascii="宋体" w:hAnsi="宋体" w:eastAsia="宋体" w:cs="宋体"/>
          <w:color w:val="auto"/>
          <w:kern w:val="2"/>
          <w:sz w:val="21"/>
          <w:szCs w:val="21"/>
          <w:highlight w:val="none"/>
        </w:rPr>
        <w:t>电子光盘需按规定封装。投标人在将数据刻录到光盘之后，投标前自行检查文件是否可以读取）。</w:t>
      </w:r>
    </w:p>
    <w:p w14:paraId="5BB4A013">
      <w:pPr>
        <w:widowControl/>
        <w:shd w:val="clear" w:color="auto" w:fill="FFFFFF"/>
        <w:wordWrap w:val="0"/>
        <w:spacing w:line="360" w:lineRule="auto"/>
        <w:ind w:firstLine="470" w:firstLineChars="224"/>
        <w:jc w:val="left"/>
        <w:rPr>
          <w:rFonts w:hint="eastAsia" w:ascii="宋体" w:hAnsi="宋体" w:cs="宋体"/>
          <w:color w:val="auto"/>
          <w:szCs w:val="21"/>
          <w:highlight w:val="none"/>
        </w:rPr>
      </w:pPr>
      <w:r>
        <w:rPr>
          <w:rFonts w:ascii="宋体" w:hAnsi="宋体" w:cs="宋体"/>
          <w:color w:val="auto"/>
          <w:szCs w:val="21"/>
          <w:highlight w:val="none"/>
        </w:rPr>
        <w:t>5.3 逾期送达的投标文件，电子招标投标交易平台将予以拒收。</w:t>
      </w:r>
      <w:r>
        <w:rPr>
          <w:rFonts w:ascii="宋体" w:hAnsi="宋体"/>
          <w:color w:val="auto"/>
          <w:szCs w:val="21"/>
          <w:highlight w:val="none"/>
        </w:rPr>
        <w:t>逾期未上传成功的电子投标文件，招标人拒绝接收。逾期或未在指定地点递交投标文件光盘的,招标人拒绝接收其投标文件光盘。</w:t>
      </w:r>
    </w:p>
    <w:p w14:paraId="3316FBD6">
      <w:pPr>
        <w:pStyle w:val="21"/>
        <w:wordWrap w:val="0"/>
        <w:ind w:firstLine="420" w:firstLineChars="200"/>
        <w:rPr>
          <w:rFonts w:hint="eastAsia" w:ascii="宋体" w:hAnsi="宋体" w:eastAsia="宋体" w:cs="宋体"/>
          <w:color w:val="auto"/>
          <w:kern w:val="2"/>
          <w:sz w:val="21"/>
          <w:szCs w:val="21"/>
          <w:highlight w:val="none"/>
        </w:rPr>
      </w:pPr>
      <w:r>
        <w:rPr>
          <w:rFonts w:ascii="宋体" w:hAnsi="宋体" w:eastAsia="宋体" w:cs="宋体"/>
          <w:color w:val="auto"/>
          <w:kern w:val="2"/>
          <w:sz w:val="21"/>
          <w:szCs w:val="21"/>
          <w:highlight w:val="none"/>
        </w:rPr>
        <w:t>5.4 开标时间：</w:t>
      </w:r>
      <w:r>
        <w:rPr>
          <w:rFonts w:ascii="宋体" w:hAnsi="宋体" w:eastAsia="宋体" w:cs="宋体"/>
          <w:color w:val="auto"/>
          <w:kern w:val="2"/>
          <w:sz w:val="21"/>
          <w:szCs w:val="21"/>
          <w:highlight w:val="none"/>
          <w:u w:val="single"/>
        </w:rPr>
        <w:t>202</w:t>
      </w:r>
      <w:r>
        <w:rPr>
          <w:rFonts w:hint="eastAsia" w:ascii="宋体" w:hAnsi="宋体" w:eastAsia="宋体" w:cs="宋体"/>
          <w:color w:val="auto"/>
          <w:kern w:val="2"/>
          <w:sz w:val="21"/>
          <w:szCs w:val="21"/>
          <w:highlight w:val="none"/>
          <w:u w:val="single"/>
        </w:rPr>
        <w:t>4</w:t>
      </w:r>
      <w:r>
        <w:rPr>
          <w:rFonts w:ascii="宋体" w:hAnsi="宋体" w:eastAsia="宋体" w:cs="宋体"/>
          <w:color w:val="auto"/>
          <w:kern w:val="2"/>
          <w:sz w:val="21"/>
          <w:szCs w:val="21"/>
          <w:highlight w:val="none"/>
        </w:rPr>
        <w:t>年</w:t>
      </w:r>
      <w:r>
        <w:rPr>
          <w:rFonts w:ascii="宋体" w:hAnsi="宋体" w:eastAsia="宋体" w:cs="宋体"/>
          <w:color w:val="auto"/>
          <w:kern w:val="2"/>
          <w:sz w:val="21"/>
          <w:szCs w:val="21"/>
          <w:highlight w:val="none"/>
          <w:u w:val="single"/>
        </w:rPr>
        <w:t xml:space="preserve">  </w:t>
      </w:r>
      <w:r>
        <w:rPr>
          <w:rFonts w:ascii="宋体" w:hAnsi="宋体" w:eastAsia="宋体" w:cs="宋体"/>
          <w:color w:val="auto"/>
          <w:kern w:val="2"/>
          <w:sz w:val="21"/>
          <w:szCs w:val="21"/>
          <w:highlight w:val="none"/>
        </w:rPr>
        <w:t>月</w:t>
      </w:r>
      <w:r>
        <w:rPr>
          <w:rFonts w:ascii="宋体" w:hAnsi="宋体" w:eastAsia="宋体" w:cs="宋体"/>
          <w:color w:val="auto"/>
          <w:kern w:val="2"/>
          <w:sz w:val="21"/>
          <w:szCs w:val="21"/>
          <w:highlight w:val="none"/>
          <w:u w:val="single"/>
        </w:rPr>
        <w:t xml:space="preserve">  </w:t>
      </w:r>
      <w:r>
        <w:rPr>
          <w:rFonts w:ascii="宋体" w:hAnsi="宋体" w:eastAsia="宋体" w:cs="宋体"/>
          <w:color w:val="auto"/>
          <w:kern w:val="2"/>
          <w:sz w:val="21"/>
          <w:szCs w:val="21"/>
          <w:highlight w:val="none"/>
        </w:rPr>
        <w:t>日</w:t>
      </w:r>
      <w:r>
        <w:rPr>
          <w:rFonts w:ascii="宋体" w:hAnsi="宋体" w:eastAsia="宋体" w:cs="宋体"/>
          <w:color w:val="auto"/>
          <w:kern w:val="2"/>
          <w:sz w:val="21"/>
          <w:szCs w:val="21"/>
          <w:highlight w:val="none"/>
          <w:u w:val="single"/>
        </w:rPr>
        <w:t xml:space="preserve">  </w:t>
      </w:r>
      <w:r>
        <w:rPr>
          <w:rFonts w:ascii="宋体" w:hAnsi="宋体" w:eastAsia="宋体" w:cs="宋体"/>
          <w:color w:val="auto"/>
          <w:kern w:val="2"/>
          <w:sz w:val="21"/>
          <w:szCs w:val="21"/>
          <w:highlight w:val="none"/>
        </w:rPr>
        <w:t>时</w:t>
      </w:r>
      <w:r>
        <w:rPr>
          <w:rFonts w:ascii="宋体" w:hAnsi="宋体" w:eastAsia="宋体" w:cs="宋体"/>
          <w:color w:val="auto"/>
          <w:kern w:val="2"/>
          <w:sz w:val="21"/>
          <w:szCs w:val="21"/>
          <w:highlight w:val="none"/>
          <w:u w:val="single"/>
        </w:rPr>
        <w:t xml:space="preserve">  </w:t>
      </w:r>
      <w:r>
        <w:rPr>
          <w:rFonts w:ascii="宋体" w:hAnsi="宋体" w:eastAsia="宋体" w:cs="宋体"/>
          <w:color w:val="auto"/>
          <w:kern w:val="2"/>
          <w:sz w:val="21"/>
          <w:szCs w:val="21"/>
          <w:highlight w:val="none"/>
        </w:rPr>
        <w:t>分。地点：</w:t>
      </w:r>
      <w:r>
        <w:rPr>
          <w:rFonts w:ascii="宋体" w:hAnsi="宋体" w:eastAsia="宋体" w:cs="宋体"/>
          <w:color w:val="auto"/>
          <w:kern w:val="2"/>
          <w:sz w:val="21"/>
          <w:szCs w:val="21"/>
          <w:highlight w:val="none"/>
          <w:u w:val="single"/>
        </w:rPr>
        <w:t>广州交易集团有限公司（广州公共资源交易中心）第  开标室</w:t>
      </w:r>
      <w:r>
        <w:rPr>
          <w:rFonts w:ascii="宋体" w:hAnsi="宋体" w:eastAsia="宋体" w:cs="宋体"/>
          <w:color w:val="auto"/>
          <w:kern w:val="2"/>
          <w:sz w:val="21"/>
          <w:szCs w:val="21"/>
          <w:highlight w:val="none"/>
        </w:rPr>
        <w:t>。</w:t>
      </w:r>
    </w:p>
    <w:p w14:paraId="6A964C00">
      <w:pPr>
        <w:pStyle w:val="21"/>
        <w:wordWrap w:val="0"/>
        <w:ind w:firstLine="420" w:firstLineChars="200"/>
        <w:rPr>
          <w:rFonts w:hint="eastAsia" w:ascii="宋体" w:hAnsi="宋体" w:cs="宋体"/>
          <w:color w:val="auto"/>
          <w:sz w:val="21"/>
          <w:szCs w:val="21"/>
          <w:highlight w:val="none"/>
        </w:rPr>
      </w:pPr>
      <w:r>
        <w:rPr>
          <w:rFonts w:ascii="宋体" w:hAnsi="宋体" w:eastAsia="宋体" w:cs="宋体"/>
          <w:color w:val="auto"/>
          <w:kern w:val="2"/>
          <w:sz w:val="21"/>
          <w:szCs w:val="21"/>
          <w:highlight w:val="none"/>
        </w:rPr>
        <w:t>5.5 递交投标文件截止时间及开标时间是否有变化，请密切留意</w:t>
      </w:r>
      <w:r>
        <w:rPr>
          <w:rFonts w:ascii="宋体" w:hAnsi="宋体" w:eastAsia="宋体" w:cs="宋体"/>
          <w:color w:val="auto"/>
          <w:kern w:val="2"/>
          <w:sz w:val="21"/>
          <w:szCs w:val="21"/>
          <w:highlight w:val="none"/>
          <w:u w:val="single"/>
        </w:rPr>
        <w:t>广州交易集团有限公司（广州公共资源交易中心）</w:t>
      </w:r>
      <w:r>
        <w:rPr>
          <w:rFonts w:ascii="宋体" w:hAnsi="宋体" w:eastAsia="宋体" w:cs="宋体"/>
          <w:color w:val="auto"/>
          <w:kern w:val="2"/>
          <w:sz w:val="21"/>
          <w:szCs w:val="21"/>
          <w:highlight w:val="none"/>
        </w:rPr>
        <w:t>网站中的相关信息。递交投标文件截止时间后，投标文件评审时间因故推迟的，相关资审信息仍以原递交投标文件截止时间的信息为准。本项目各项投标活动具体可通过</w:t>
      </w:r>
      <w:r>
        <w:rPr>
          <w:rFonts w:ascii="宋体" w:hAnsi="宋体" w:eastAsia="宋体" w:cs="宋体"/>
          <w:color w:val="auto"/>
          <w:kern w:val="2"/>
          <w:sz w:val="21"/>
          <w:szCs w:val="21"/>
          <w:highlight w:val="none"/>
          <w:u w:val="single"/>
        </w:rPr>
        <w:t>广州交易集团有限公司（广州公共资源交易中心）</w:t>
      </w:r>
      <w:r>
        <w:rPr>
          <w:rFonts w:ascii="宋体" w:hAnsi="宋体" w:eastAsia="宋体" w:cs="宋体"/>
          <w:color w:val="auto"/>
          <w:kern w:val="2"/>
          <w:sz w:val="21"/>
          <w:szCs w:val="21"/>
          <w:highlight w:val="none"/>
        </w:rPr>
        <w:t>网站查询具体的时间和场地安排。</w:t>
      </w:r>
    </w:p>
    <w:p w14:paraId="0D4766E2">
      <w:pPr>
        <w:pStyle w:val="3"/>
        <w:wordWrap w:val="0"/>
        <w:spacing w:line="360" w:lineRule="auto"/>
        <w:rPr>
          <w:color w:val="auto"/>
          <w:sz w:val="28"/>
          <w:szCs w:val="28"/>
          <w:highlight w:val="none"/>
        </w:rPr>
      </w:pPr>
      <w:r>
        <w:rPr>
          <w:rFonts w:hint="eastAsia"/>
          <w:color w:val="auto"/>
          <w:sz w:val="28"/>
          <w:szCs w:val="28"/>
          <w:highlight w:val="none"/>
        </w:rPr>
        <w:t>6.</w:t>
      </w:r>
      <w:bookmarkEnd w:id="16"/>
      <w:bookmarkStart w:id="17" w:name="_Toc535938701"/>
      <w:r>
        <w:rPr>
          <w:rFonts w:hint="eastAsia"/>
          <w:color w:val="auto"/>
          <w:sz w:val="28"/>
          <w:szCs w:val="28"/>
          <w:highlight w:val="none"/>
        </w:rPr>
        <w:t>发布公告的媒介</w:t>
      </w:r>
      <w:bookmarkEnd w:id="17"/>
    </w:p>
    <w:p w14:paraId="1251A221">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次招标公告同时在广州交易集团有限公司（广州公共资源交易中心）网站（网址：http://www.gzggzy.cn/）、广东省招标投标监管网（网址：http://zbtb.gd.gov.cn/）和中国招标投标公共服务平台（网址：http：//www.cebpubservice.com/）等媒体上发布，本公告的修改、补充，在广州交易集团有限公司（广州公共资源交易中心）网站上发布。本公告在各媒体发布的文本如有不同之处，以在广州交易集团有限公司（广州公共资源交易中心）网站发布的文本为准。</w:t>
      </w:r>
    </w:p>
    <w:p w14:paraId="59D4ED7C">
      <w:pPr>
        <w:pStyle w:val="3"/>
        <w:wordWrap w:val="0"/>
        <w:spacing w:line="360" w:lineRule="auto"/>
        <w:rPr>
          <w:color w:val="auto"/>
          <w:sz w:val="28"/>
          <w:szCs w:val="28"/>
          <w:highlight w:val="none"/>
        </w:rPr>
      </w:pPr>
      <w:bookmarkStart w:id="18" w:name="_Toc27811"/>
      <w:r>
        <w:rPr>
          <w:rFonts w:hint="eastAsia"/>
          <w:color w:val="auto"/>
          <w:sz w:val="28"/>
          <w:szCs w:val="28"/>
          <w:highlight w:val="none"/>
        </w:rPr>
        <w:t>7.异议受理</w:t>
      </w:r>
      <w:bookmarkEnd w:id="18"/>
    </w:p>
    <w:p w14:paraId="11715B92">
      <w:pPr>
        <w:wordWrap w:val="0"/>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潜在投标人或利害关系人对本招标公告及招标文件有异议的，应当在投标截止时间10日前向招标人书面提出。</w:t>
      </w:r>
    </w:p>
    <w:p w14:paraId="24C0FCD0">
      <w:pPr>
        <w:wordWrap w:val="0"/>
        <w:spacing w:line="360" w:lineRule="auto"/>
        <w:ind w:firstLine="420" w:firstLineChars="200"/>
        <w:contextualSpacing/>
        <w:rPr>
          <w:rFonts w:hint="eastAsia" w:ascii="宋体" w:hAnsi="宋体" w:cs="宋体"/>
          <w:color w:val="auto"/>
          <w:szCs w:val="21"/>
          <w:highlight w:val="none"/>
          <w:u w:val="single"/>
        </w:rPr>
      </w:pPr>
      <w:r>
        <w:rPr>
          <w:rFonts w:hint="eastAsia" w:ascii="宋体" w:hAnsi="宋体" w:cs="宋体"/>
          <w:color w:val="auto"/>
          <w:szCs w:val="21"/>
          <w:highlight w:val="none"/>
        </w:rPr>
        <w:t>异议受理部门：</w:t>
      </w:r>
      <w:r>
        <w:rPr>
          <w:rFonts w:hint="eastAsia" w:ascii="宋体" w:hAnsi="宋体" w:cs="宋体"/>
          <w:color w:val="auto"/>
          <w:szCs w:val="21"/>
          <w:highlight w:val="none"/>
          <w:u w:val="single"/>
        </w:rPr>
        <w:t>中国科学院广州生物医药与健康研究院</w:t>
      </w:r>
    </w:p>
    <w:p w14:paraId="0AFFD7F9">
      <w:pPr>
        <w:wordWrap w:val="0"/>
        <w:spacing w:line="360" w:lineRule="auto"/>
        <w:ind w:firstLine="420" w:firstLineChars="200"/>
        <w:contextualSpacing/>
        <w:rPr>
          <w:rFonts w:hint="eastAsia"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全老师</w:t>
      </w:r>
    </w:p>
    <w:p w14:paraId="17902D1D">
      <w:pPr>
        <w:wordWrap w:val="0"/>
        <w:spacing w:line="360" w:lineRule="auto"/>
        <w:ind w:firstLine="420" w:firstLineChars="200"/>
        <w:contextualSpacing/>
        <w:rPr>
          <w:rFonts w:hint="eastAsia" w:ascii="宋体" w:hAnsi="宋体" w:cs="宋体"/>
          <w:color w:val="auto"/>
          <w:szCs w:val="21"/>
          <w:highlight w:val="none"/>
          <w:u w:val="singl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020-32015239</w:t>
      </w:r>
    </w:p>
    <w:p w14:paraId="0718BA69">
      <w:pPr>
        <w:wordWrap w:val="0"/>
        <w:spacing w:line="360" w:lineRule="auto"/>
        <w:ind w:firstLine="420" w:firstLineChars="200"/>
        <w:contextualSpacing/>
        <w:rPr>
          <w:rFonts w:hint="eastAsia" w:ascii="宋体" w:hAnsi="宋体" w:cs="宋体"/>
          <w:color w:val="auto"/>
          <w:szCs w:val="21"/>
          <w:highlight w:val="none"/>
          <w:u w:val="singl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广州科学城开源大道190号</w:t>
      </w:r>
    </w:p>
    <w:p w14:paraId="44FA1D1B">
      <w:pPr>
        <w:wordWrap w:val="0"/>
        <w:spacing w:line="360" w:lineRule="auto"/>
        <w:ind w:firstLine="420" w:firstLineChars="200"/>
        <w:contextualSpacing/>
        <w:rPr>
          <w:rFonts w:hint="eastAsia" w:ascii="宋体" w:hAnsi="宋体" w:cs="宋体"/>
          <w:color w:val="auto"/>
          <w:szCs w:val="21"/>
          <w:highlight w:val="none"/>
          <w:u w:val="single"/>
        </w:rPr>
      </w:pPr>
      <w:r>
        <w:rPr>
          <w:rFonts w:hint="eastAsia" w:ascii="宋体" w:hAnsi="宋体" w:cs="宋体"/>
          <w:color w:val="auto"/>
          <w:szCs w:val="21"/>
          <w:highlight w:val="none"/>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bookmarkEnd w:id="3"/>
    <w:bookmarkEnd w:id="4"/>
    <w:p w14:paraId="053F646E">
      <w:pPr>
        <w:pStyle w:val="3"/>
        <w:wordWrap w:val="0"/>
        <w:spacing w:line="360" w:lineRule="auto"/>
        <w:rPr>
          <w:color w:val="auto"/>
          <w:sz w:val="28"/>
          <w:szCs w:val="28"/>
          <w:highlight w:val="none"/>
        </w:rPr>
      </w:pPr>
      <w:bookmarkStart w:id="34" w:name="_GoBack"/>
      <w:bookmarkEnd w:id="34"/>
      <w:bookmarkStart w:id="19" w:name="_Toc516170523"/>
      <w:bookmarkStart w:id="20" w:name="_Toc529196510"/>
      <w:bookmarkStart w:id="21" w:name="_Toc535938702"/>
      <w:bookmarkStart w:id="22" w:name="_Toc511557031"/>
      <w:bookmarkStart w:id="23" w:name="_Toc144974482"/>
      <w:bookmarkStart w:id="24" w:name="_Toc369531499"/>
      <w:bookmarkStart w:id="25" w:name="_Toc384308189"/>
      <w:bookmarkStart w:id="26" w:name="_Toc247527537"/>
      <w:bookmarkStart w:id="27" w:name="_Toc352691457"/>
      <w:bookmarkStart w:id="28" w:name="_Toc2312"/>
      <w:bookmarkStart w:id="29" w:name="_Toc247513936"/>
      <w:bookmarkStart w:id="30" w:name="_Toc361508564"/>
      <w:bookmarkStart w:id="31" w:name="_Toc152042290"/>
      <w:bookmarkStart w:id="32" w:name="_Toc152045514"/>
      <w:bookmarkStart w:id="33" w:name="_Toc300834931"/>
      <w:r>
        <w:rPr>
          <w:rFonts w:hint="eastAsia"/>
          <w:color w:val="auto"/>
          <w:sz w:val="28"/>
          <w:szCs w:val="28"/>
          <w:highlight w:val="none"/>
        </w:rPr>
        <w:t>8.联系方式</w:t>
      </w:r>
      <w:bookmarkEnd w:id="19"/>
      <w:bookmarkEnd w:id="20"/>
      <w:bookmarkEnd w:id="21"/>
      <w:bookmarkEnd w:id="22"/>
    </w:p>
    <w:bookmarkEnd w:id="23"/>
    <w:bookmarkEnd w:id="24"/>
    <w:bookmarkEnd w:id="25"/>
    <w:bookmarkEnd w:id="26"/>
    <w:bookmarkEnd w:id="27"/>
    <w:bookmarkEnd w:id="28"/>
    <w:bookmarkEnd w:id="29"/>
    <w:bookmarkEnd w:id="30"/>
    <w:bookmarkEnd w:id="31"/>
    <w:bookmarkEnd w:id="32"/>
    <w:bookmarkEnd w:id="33"/>
    <w:p w14:paraId="24204408">
      <w:pPr>
        <w:tabs>
          <w:tab w:val="left" w:pos="4120"/>
        </w:tabs>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招标人：</w:t>
      </w:r>
      <w:r>
        <w:rPr>
          <w:rFonts w:hint="eastAsia" w:ascii="宋体" w:hAnsi="宋体" w:cs="宋体"/>
          <w:color w:val="auto"/>
          <w:szCs w:val="21"/>
          <w:highlight w:val="none"/>
          <w:u w:val="single"/>
        </w:rPr>
        <w:t>中国科学院广州生物医药与健康研究院</w:t>
      </w:r>
    </w:p>
    <w:p w14:paraId="698DF8A7">
      <w:pPr>
        <w:tabs>
          <w:tab w:val="left" w:pos="4120"/>
        </w:tabs>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邮政编码、地址：</w:t>
      </w:r>
      <w:r>
        <w:rPr>
          <w:rFonts w:hint="eastAsia" w:ascii="宋体" w:hAnsi="宋体" w:cs="宋体"/>
          <w:color w:val="auto"/>
          <w:szCs w:val="21"/>
          <w:highlight w:val="none"/>
          <w:u w:val="single"/>
        </w:rPr>
        <w:t>510000、广州科学城开源大道190号</w:t>
      </w:r>
    </w:p>
    <w:p w14:paraId="346BC74F">
      <w:pPr>
        <w:tabs>
          <w:tab w:val="left" w:pos="4120"/>
        </w:tabs>
        <w:wordWrap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联系人、电话（手机）号码：</w:t>
      </w:r>
      <w:r>
        <w:rPr>
          <w:rFonts w:hint="eastAsia" w:ascii="宋体" w:hAnsi="宋体" w:cs="宋体"/>
          <w:bCs/>
          <w:color w:val="auto"/>
          <w:szCs w:val="21"/>
          <w:highlight w:val="none"/>
          <w:u w:val="single"/>
        </w:rPr>
        <w:t>全老师、</w:t>
      </w:r>
      <w:r>
        <w:rPr>
          <w:rFonts w:hint="eastAsia" w:ascii="宋体" w:hAnsi="宋体" w:cs="宋体"/>
          <w:color w:val="auto"/>
          <w:szCs w:val="21"/>
          <w:highlight w:val="none"/>
          <w:u w:val="single"/>
        </w:rPr>
        <w:t>020-32015239</w:t>
      </w:r>
    </w:p>
    <w:p w14:paraId="0C91A5EA">
      <w:pPr>
        <w:tabs>
          <w:tab w:val="left" w:pos="4120"/>
        </w:tabs>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传真号码：</w:t>
      </w:r>
      <w:r>
        <w:rPr>
          <w:rFonts w:hint="eastAsia" w:ascii="宋体" w:hAnsi="宋体" w:cs="宋体"/>
          <w:bCs/>
          <w:color w:val="auto"/>
          <w:szCs w:val="21"/>
          <w:highlight w:val="none"/>
          <w:u w:val="single"/>
        </w:rPr>
        <w:t xml:space="preserve"> / </w:t>
      </w:r>
    </w:p>
    <w:p w14:paraId="452541B0">
      <w:pPr>
        <w:tabs>
          <w:tab w:val="left" w:pos="4120"/>
        </w:tabs>
        <w:wordWrap w:val="0"/>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电子邮箱：</w:t>
      </w:r>
      <w:r>
        <w:rPr>
          <w:rFonts w:hint="eastAsia" w:ascii="宋体" w:hAnsi="宋体" w:cs="宋体"/>
          <w:bCs/>
          <w:color w:val="auto"/>
          <w:szCs w:val="21"/>
          <w:highlight w:val="none"/>
          <w:u w:val="single"/>
        </w:rPr>
        <w:t xml:space="preserve"> / </w:t>
      </w:r>
    </w:p>
    <w:p w14:paraId="0C640AE0">
      <w:pPr>
        <w:tabs>
          <w:tab w:val="left" w:pos="4120"/>
        </w:tabs>
        <w:wordWrap w:val="0"/>
        <w:spacing w:line="360" w:lineRule="auto"/>
        <w:ind w:firstLine="420" w:firstLineChars="200"/>
        <w:rPr>
          <w:rFonts w:hint="eastAsia" w:ascii="宋体" w:hAnsi="宋体" w:cs="宋体"/>
          <w:bCs/>
          <w:color w:val="auto"/>
          <w:szCs w:val="21"/>
          <w:highlight w:val="none"/>
          <w:u w:val="single"/>
        </w:rPr>
      </w:pPr>
    </w:p>
    <w:p w14:paraId="6D1CB403">
      <w:pPr>
        <w:tabs>
          <w:tab w:val="left" w:pos="4120"/>
        </w:tabs>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招标代理机构：</w:t>
      </w:r>
      <w:r>
        <w:rPr>
          <w:rFonts w:hint="eastAsia" w:ascii="宋体" w:hAnsi="宋体" w:cs="宋体"/>
          <w:bCs/>
          <w:color w:val="auto"/>
          <w:szCs w:val="21"/>
          <w:highlight w:val="none"/>
          <w:u w:val="single"/>
        </w:rPr>
        <w:t>广东粤能工程管理有限公司</w:t>
      </w:r>
    </w:p>
    <w:p w14:paraId="0392EFC3">
      <w:pPr>
        <w:tabs>
          <w:tab w:val="left" w:pos="4120"/>
        </w:tabs>
        <w:wordWrap w:val="0"/>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邮政编码、地址：</w:t>
      </w:r>
      <w:r>
        <w:rPr>
          <w:rFonts w:hint="eastAsia" w:ascii="宋体" w:hAnsi="宋体" w:cs="宋体"/>
          <w:color w:val="auto"/>
          <w:szCs w:val="21"/>
          <w:highlight w:val="none"/>
          <w:u w:val="single"/>
        </w:rPr>
        <w:t>510000、广州市天河区华观路明旭街1号万科智慧商业广场B1-2栋4楼402室</w:t>
      </w:r>
    </w:p>
    <w:p w14:paraId="54685CE0">
      <w:pPr>
        <w:tabs>
          <w:tab w:val="left" w:pos="4120"/>
        </w:tabs>
        <w:wordWrap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联系人、电话（手机）号码：</w:t>
      </w:r>
      <w:r>
        <w:rPr>
          <w:rFonts w:hint="eastAsia" w:ascii="宋体" w:hAnsi="宋体" w:cs="宋体"/>
          <w:bCs/>
          <w:color w:val="auto"/>
          <w:szCs w:val="21"/>
          <w:highlight w:val="none"/>
          <w:u w:val="single"/>
        </w:rPr>
        <w:t>古工、020-38730932-8006</w:t>
      </w:r>
    </w:p>
    <w:p w14:paraId="58596286">
      <w:pPr>
        <w:tabs>
          <w:tab w:val="left" w:pos="4120"/>
        </w:tabs>
        <w:wordWrap w:val="0"/>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传真号码：</w:t>
      </w:r>
      <w:r>
        <w:rPr>
          <w:rFonts w:hint="eastAsia" w:ascii="宋体" w:hAnsi="宋体" w:cs="宋体"/>
          <w:bCs/>
          <w:color w:val="auto"/>
          <w:szCs w:val="21"/>
          <w:highlight w:val="none"/>
          <w:u w:val="single"/>
        </w:rPr>
        <w:t>020-38731486</w:t>
      </w:r>
    </w:p>
    <w:p w14:paraId="7E474307">
      <w:pPr>
        <w:tabs>
          <w:tab w:val="left" w:pos="4120"/>
        </w:tabs>
        <w:wordWrap w:val="0"/>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电子邮箱：</w:t>
      </w:r>
      <w:r>
        <w:rPr>
          <w:rFonts w:hint="eastAsia" w:ascii="宋体" w:hAnsi="宋体" w:cs="宋体"/>
          <w:bCs/>
          <w:color w:val="auto"/>
          <w:szCs w:val="21"/>
          <w:highlight w:val="none"/>
          <w:u w:val="single"/>
        </w:rPr>
        <w:t>gdynjlzb@126.com</w:t>
      </w:r>
    </w:p>
    <w:p w14:paraId="7CAA47AB">
      <w:pPr>
        <w:tabs>
          <w:tab w:val="left" w:pos="4120"/>
        </w:tabs>
        <w:wordWrap w:val="0"/>
        <w:spacing w:line="360" w:lineRule="auto"/>
        <w:ind w:firstLine="420" w:firstLineChars="200"/>
        <w:rPr>
          <w:rFonts w:hint="eastAsia" w:ascii="宋体" w:hAnsi="宋体" w:cs="宋体"/>
          <w:bCs/>
          <w:color w:val="auto"/>
          <w:szCs w:val="21"/>
          <w:highlight w:val="none"/>
        </w:rPr>
      </w:pPr>
    </w:p>
    <w:p w14:paraId="5A7C90E1">
      <w:pPr>
        <w:tabs>
          <w:tab w:val="left" w:pos="4120"/>
        </w:tabs>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交易服务机构：</w:t>
      </w:r>
      <w:r>
        <w:rPr>
          <w:rFonts w:hint="eastAsia" w:ascii="宋体" w:hAnsi="宋体" w:cs="宋体"/>
          <w:color w:val="auto"/>
          <w:szCs w:val="21"/>
          <w:highlight w:val="none"/>
          <w:u w:val="single"/>
        </w:rPr>
        <w:t>广州交易集团有限公司（广州公共资源交易中心）</w:t>
      </w:r>
    </w:p>
    <w:p w14:paraId="20457909">
      <w:pPr>
        <w:tabs>
          <w:tab w:val="left" w:pos="4120"/>
        </w:tabs>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邮政编码、地址：</w:t>
      </w:r>
      <w:r>
        <w:rPr>
          <w:rFonts w:hint="eastAsia" w:ascii="宋体" w:hAnsi="宋体" w:cs="宋体"/>
          <w:bCs/>
          <w:color w:val="auto"/>
          <w:szCs w:val="21"/>
          <w:highlight w:val="none"/>
          <w:u w:val="single"/>
        </w:rPr>
        <w:t>510635、广州市天河区天润路333号</w:t>
      </w:r>
    </w:p>
    <w:p w14:paraId="56466F15">
      <w:pPr>
        <w:tabs>
          <w:tab w:val="left" w:pos="4120"/>
        </w:tabs>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电话（手机）号码：</w:t>
      </w:r>
      <w:r>
        <w:rPr>
          <w:rFonts w:hint="eastAsia" w:ascii="宋体" w:hAnsi="宋体" w:cs="宋体"/>
          <w:bCs/>
          <w:color w:val="auto"/>
          <w:szCs w:val="21"/>
          <w:highlight w:val="none"/>
          <w:u w:val="single"/>
        </w:rPr>
        <w:t>020-28866000</w:t>
      </w:r>
    </w:p>
    <w:p w14:paraId="7693DBD3">
      <w:pPr>
        <w:tabs>
          <w:tab w:val="left" w:pos="4120"/>
        </w:tabs>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传真号码：</w:t>
      </w:r>
      <w:r>
        <w:rPr>
          <w:rFonts w:hint="eastAsia" w:ascii="宋体" w:hAnsi="宋体" w:cs="宋体"/>
          <w:bCs/>
          <w:color w:val="auto"/>
          <w:szCs w:val="21"/>
          <w:highlight w:val="none"/>
          <w:u w:val="single"/>
        </w:rPr>
        <w:t xml:space="preserve"> / </w:t>
      </w:r>
    </w:p>
    <w:p w14:paraId="5DA93F08">
      <w:pPr>
        <w:tabs>
          <w:tab w:val="left" w:pos="4120"/>
        </w:tabs>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网址：</w:t>
      </w:r>
      <w:r>
        <w:rPr>
          <w:rFonts w:hint="eastAsia" w:ascii="宋体" w:hAnsi="宋体" w:cs="宋体"/>
          <w:bCs/>
          <w:color w:val="auto"/>
          <w:szCs w:val="21"/>
          <w:highlight w:val="none"/>
          <w:u w:val="single"/>
        </w:rPr>
        <w:t>http://www.gzggzy.cn</w:t>
      </w:r>
    </w:p>
    <w:p w14:paraId="13FE1FCC">
      <w:pPr>
        <w:tabs>
          <w:tab w:val="left" w:pos="4120"/>
        </w:tabs>
        <w:wordWrap w:val="0"/>
        <w:spacing w:line="360" w:lineRule="auto"/>
        <w:ind w:firstLine="420" w:firstLineChars="200"/>
        <w:rPr>
          <w:rFonts w:hint="eastAsia" w:ascii="宋体" w:hAnsi="宋体" w:cs="宋体"/>
          <w:bCs/>
          <w:color w:val="auto"/>
          <w:szCs w:val="21"/>
          <w:highlight w:val="none"/>
        </w:rPr>
      </w:pPr>
    </w:p>
    <w:p w14:paraId="7AA95945">
      <w:pPr>
        <w:tabs>
          <w:tab w:val="left" w:pos="4120"/>
        </w:tabs>
        <w:wordWrap w:val="0"/>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招标监督机构：</w:t>
      </w:r>
      <w:r>
        <w:rPr>
          <w:rFonts w:hint="eastAsia" w:ascii="宋体" w:hAnsi="宋体" w:cs="宋体"/>
          <w:bCs/>
          <w:color w:val="auto"/>
          <w:szCs w:val="21"/>
          <w:highlight w:val="none"/>
          <w:u w:val="single"/>
        </w:rPr>
        <w:t>广州市建设工程招标管理办公室</w:t>
      </w:r>
    </w:p>
    <w:p w14:paraId="54CE38D4">
      <w:pPr>
        <w:tabs>
          <w:tab w:val="left" w:pos="4120"/>
        </w:tabs>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邮政编码、地址：</w:t>
      </w:r>
      <w:r>
        <w:rPr>
          <w:rFonts w:hint="eastAsia" w:ascii="宋体" w:hAnsi="宋体" w:cs="宋体"/>
          <w:bCs/>
          <w:color w:val="auto"/>
          <w:szCs w:val="21"/>
          <w:highlight w:val="none"/>
          <w:u w:val="single"/>
        </w:rPr>
        <w:t>510635</w:t>
      </w:r>
      <w:r>
        <w:rPr>
          <w:rFonts w:hint="eastAsia" w:ascii="宋体" w:hAnsi="宋体" w:cs="宋体"/>
          <w:color w:val="auto"/>
          <w:szCs w:val="21"/>
          <w:highlight w:val="none"/>
          <w:u w:val="single"/>
        </w:rPr>
        <w:t>、广州市天河区天润路333号</w:t>
      </w:r>
    </w:p>
    <w:p w14:paraId="671272A7">
      <w:pPr>
        <w:tabs>
          <w:tab w:val="left" w:pos="4120"/>
        </w:tabs>
        <w:wordWrap w:val="0"/>
        <w:spacing w:line="360" w:lineRule="auto"/>
        <w:ind w:firstLine="420" w:firstLineChars="200"/>
        <w:rPr>
          <w:rFonts w:hint="default" w:ascii="宋体" w:hAnsi="宋体" w:eastAsia="宋体" w:cs="宋体"/>
          <w:color w:val="auto"/>
          <w:szCs w:val="21"/>
          <w:highlight w:val="none"/>
          <w:u w:val="single"/>
          <w:lang w:val="en-US" w:eastAsia="zh-CN"/>
        </w:rPr>
      </w:pPr>
      <w:r>
        <w:rPr>
          <w:rFonts w:hint="eastAsia" w:ascii="宋体" w:hAnsi="宋体" w:cs="宋体"/>
          <w:bCs/>
          <w:color w:val="auto"/>
          <w:szCs w:val="21"/>
          <w:highlight w:val="none"/>
        </w:rPr>
        <w:t>电话（手机）号码：</w:t>
      </w:r>
      <w:r>
        <w:rPr>
          <w:rFonts w:hint="eastAsia" w:ascii="宋体" w:hAnsi="宋体" w:cs="宋体"/>
          <w:color w:val="auto"/>
          <w:szCs w:val="21"/>
          <w:highlight w:val="none"/>
          <w:u w:val="single"/>
        </w:rPr>
        <w:t>020-28866</w:t>
      </w:r>
      <w:r>
        <w:rPr>
          <w:rFonts w:hint="eastAsia" w:ascii="宋体" w:hAnsi="宋体" w:cs="宋体"/>
          <w:color w:val="auto"/>
          <w:szCs w:val="21"/>
          <w:highlight w:val="none"/>
          <w:u w:val="single"/>
          <w:lang w:val="en-US" w:eastAsia="zh-CN"/>
        </w:rPr>
        <w:t>220</w:t>
      </w:r>
    </w:p>
    <w:p w14:paraId="560C07E1">
      <w:pPr>
        <w:tabs>
          <w:tab w:val="left" w:pos="4120"/>
        </w:tabs>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传真号码：</w:t>
      </w:r>
      <w:r>
        <w:rPr>
          <w:rFonts w:hint="eastAsia" w:ascii="宋体" w:hAnsi="宋体" w:cs="宋体"/>
          <w:bCs/>
          <w:color w:val="auto"/>
          <w:szCs w:val="21"/>
          <w:highlight w:val="none"/>
          <w:u w:val="single"/>
        </w:rPr>
        <w:t xml:space="preserve"> / </w:t>
      </w:r>
    </w:p>
    <w:p w14:paraId="7D3711EC">
      <w:pPr>
        <w:tabs>
          <w:tab w:val="left" w:pos="4120"/>
        </w:tabs>
        <w:wordWrap w:val="0"/>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网址：</w:t>
      </w:r>
      <w:r>
        <w:rPr>
          <w:rFonts w:hint="eastAsia" w:ascii="宋体" w:hAnsi="宋体" w:cs="宋体"/>
          <w:bCs/>
          <w:color w:val="auto"/>
          <w:szCs w:val="21"/>
          <w:highlight w:val="none"/>
          <w:u w:val="single"/>
        </w:rPr>
        <w:t xml:space="preserve"> / </w:t>
      </w:r>
    </w:p>
    <w:p w14:paraId="280900EC">
      <w:pPr>
        <w:wordWrap w:val="0"/>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br w:type="page"/>
      </w:r>
    </w:p>
    <w:p w14:paraId="0DDABFE1">
      <w:pPr>
        <w:widowControl/>
        <w:wordWrap w:val="0"/>
        <w:spacing w:line="360" w:lineRule="auto"/>
        <w:jc w:val="left"/>
        <w:outlineLvl w:val="1"/>
        <w:rPr>
          <w:rFonts w:hint="eastAsia" w:ascii="宋体" w:hAnsi="宋体"/>
          <w:color w:val="auto"/>
          <w:szCs w:val="21"/>
          <w:highlight w:val="none"/>
        </w:rPr>
      </w:pPr>
      <w:r>
        <w:rPr>
          <w:rFonts w:hint="eastAsia" w:ascii="宋体" w:hAnsi="宋体" w:cs="宋体"/>
          <w:b/>
          <w:color w:val="auto"/>
          <w:kern w:val="0"/>
          <w:szCs w:val="21"/>
          <w:highlight w:val="none"/>
        </w:rPr>
        <w:t>附件一：</w:t>
      </w:r>
    </w:p>
    <w:p w14:paraId="1A679DFA">
      <w:pPr>
        <w:pStyle w:val="3"/>
        <w:wordWrap w:val="0"/>
        <w:spacing w:line="360" w:lineRule="auto"/>
        <w:jc w:val="center"/>
        <w:rPr>
          <w:color w:val="auto"/>
          <w:sz w:val="28"/>
          <w:szCs w:val="28"/>
          <w:highlight w:val="none"/>
        </w:rPr>
      </w:pPr>
      <w:r>
        <w:rPr>
          <w:rFonts w:hint="eastAsia"/>
          <w:color w:val="auto"/>
          <w:sz w:val="28"/>
          <w:szCs w:val="28"/>
          <w:highlight w:val="none"/>
        </w:rPr>
        <w:t>投标人声明</w:t>
      </w:r>
    </w:p>
    <w:p w14:paraId="1F2DAACD">
      <w:pPr>
        <w:wordWrap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广州市住房和城乡建设局、本招标项目招标人及招标监管机构：</w:t>
      </w:r>
    </w:p>
    <w:p w14:paraId="0BE6C099">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本公司就参加</w:t>
      </w:r>
      <w:r>
        <w:rPr>
          <w:rFonts w:hint="eastAsia" w:ascii="宋体" w:hAnsi="宋体" w:cs="宋体"/>
          <w:color w:val="auto"/>
          <w:kern w:val="0"/>
          <w:szCs w:val="21"/>
          <w:highlight w:val="none"/>
          <w:u w:val="single"/>
        </w:rPr>
        <w:t>    （项目名称）     </w:t>
      </w:r>
      <w:r>
        <w:rPr>
          <w:rFonts w:hint="eastAsia" w:ascii="宋体" w:hAnsi="宋体" w:cs="宋体"/>
          <w:color w:val="auto"/>
          <w:kern w:val="0"/>
          <w:szCs w:val="21"/>
          <w:highlight w:val="none"/>
        </w:rPr>
        <w:t>项目投标工作，作出郑重声明：</w:t>
      </w:r>
    </w:p>
    <w:p w14:paraId="1A4BAE25">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一、本公司保证投标</w:t>
      </w:r>
      <w:r>
        <w:rPr>
          <w:rFonts w:hint="eastAsia" w:ascii="宋体" w:hAnsi="宋体" w:cs="宋体"/>
          <w:color w:val="auto"/>
          <w:kern w:val="0"/>
          <w:szCs w:val="21"/>
          <w:highlight w:val="none"/>
          <w:u w:val="single"/>
        </w:rPr>
        <w:t>登记</w:t>
      </w:r>
      <w:r>
        <w:rPr>
          <w:rFonts w:hint="eastAsia" w:ascii="宋体" w:hAnsi="宋体" w:cs="宋体"/>
          <w:color w:val="auto"/>
          <w:kern w:val="0"/>
          <w:szCs w:val="21"/>
          <w:highlight w:val="none"/>
        </w:rPr>
        <w:t>材料及其后提供的一切材料都是真实的。如我司成为本项目中标候选人，我司同意并授权招标人将我司投标文件商务部分的人员、业绩、奖项等资料进行公开。</w:t>
      </w:r>
    </w:p>
    <w:p w14:paraId="6CEAE874">
      <w:pPr>
        <w:wordWrap w:val="0"/>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w:t>
      </w:r>
    </w:p>
    <w:p w14:paraId="6EAC7181">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三、本公司不存在招标文件第二章投标人须知第1.4.3项所规定的任何一种情形。</w:t>
      </w:r>
    </w:p>
    <w:p w14:paraId="73BA496A">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四、本公司及其有隶属关系的机构，没有参加本项目招标文件的编写工作；本公司与本次招标的招标代理机构没有隶属关系或其他利害关系。</w:t>
      </w:r>
    </w:p>
    <w:p w14:paraId="17379698">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五、本公司承诺，中标后严格执行安全生产相关管理规定。</w:t>
      </w:r>
    </w:p>
    <w:p w14:paraId="1DB19EE2">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六、与本公司单位负责人为同一人或者与本公司存在控股、管理关系的其他单位包括：</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。（注：本条由投标人如实填写，如有，应列出全部满足招标公告资质要求的相关单位的名称；如无，则填写“无”。）</w:t>
      </w:r>
    </w:p>
    <w:p w14:paraId="5E822021">
      <w:pPr>
        <w:wordWrap w:val="0"/>
        <w:spacing w:line="360" w:lineRule="auto"/>
        <w:ind w:firstLine="422" w:firstLineChars="200"/>
        <w:rPr>
          <w:rFonts w:hint="eastAsia" w:ascii="宋体" w:hAnsi="宋体" w:cs="宋体"/>
          <w:color w:val="auto"/>
          <w:kern w:val="0"/>
          <w:szCs w:val="21"/>
          <w:highlight w:val="none"/>
        </w:rPr>
      </w:pPr>
      <w:r>
        <w:rPr>
          <w:rFonts w:hint="eastAsia" w:ascii="宋体" w:hAnsi="宋体" w:cs="宋体"/>
          <w:b/>
          <w:color w:val="auto"/>
          <w:kern w:val="0"/>
          <w:szCs w:val="21"/>
          <w:highlight w:val="none"/>
        </w:rPr>
        <w:t>本公司违反上述承诺，或本声明陈述与事实不符，经查实，本公司愿意接受公开通报，愿意按照《广州市建筑市场信用管理办法》（穗建规字﹝2019﹞16号）的规定被记录为失信信息，</w:t>
      </w:r>
      <w:r>
        <w:rPr>
          <w:rFonts w:hint="eastAsia" w:ascii="宋体" w:hAnsi="宋体" w:cs="宋体"/>
          <w:color w:val="auto"/>
          <w:kern w:val="0"/>
          <w:szCs w:val="21"/>
          <w:highlight w:val="none"/>
        </w:rPr>
        <w:t>承担由此带来的一切后果，并自愿停止参加广州市行政辖区内的招标投标活动三个月。</w:t>
      </w:r>
    </w:p>
    <w:p w14:paraId="7F7970BC">
      <w:pPr>
        <w:widowControl/>
        <w:shd w:val="clear" w:color="auto" w:fill="FFFFFF"/>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特此声明。</w:t>
      </w:r>
    </w:p>
    <w:p w14:paraId="137EBED8">
      <w:pPr>
        <w:wordWrap w:val="0"/>
        <w:snapToGrid w:val="0"/>
        <w:spacing w:line="360" w:lineRule="auto"/>
        <w:ind w:firstLine="4042" w:firstLineChars="1925"/>
        <w:rPr>
          <w:rFonts w:hint="eastAsia" w:ascii="宋体" w:hAnsi="宋体" w:cs="宋体"/>
          <w:color w:val="auto"/>
          <w:kern w:val="0"/>
          <w:szCs w:val="21"/>
          <w:highlight w:val="none"/>
        </w:rPr>
      </w:pPr>
      <w:r>
        <w:rPr>
          <w:rFonts w:hint="eastAsia" w:ascii="宋体" w:hAnsi="宋体" w:cs="宋体"/>
          <w:color w:val="auto"/>
          <w:kern w:val="0"/>
          <w:szCs w:val="21"/>
          <w:highlight w:val="none"/>
        </w:rPr>
        <w:t>声明企业：            (企业公章)</w:t>
      </w:r>
    </w:p>
    <w:p w14:paraId="32084ECB">
      <w:pPr>
        <w:wordWrap w:val="0"/>
        <w:snapToGrid w:val="0"/>
        <w:spacing w:line="360" w:lineRule="auto"/>
        <w:ind w:firstLine="4042" w:firstLineChars="1925"/>
        <w:rPr>
          <w:rFonts w:hint="eastAsia" w:ascii="宋体" w:hAnsi="宋体" w:cs="宋体"/>
          <w:color w:val="auto"/>
          <w:kern w:val="0"/>
          <w:szCs w:val="21"/>
          <w:highlight w:val="none"/>
        </w:rPr>
      </w:pPr>
      <w:r>
        <w:rPr>
          <w:rFonts w:hint="eastAsia" w:ascii="宋体" w:hAnsi="宋体" w:cs="宋体"/>
          <w:color w:val="auto"/>
          <w:kern w:val="0"/>
          <w:szCs w:val="21"/>
          <w:highlight w:val="none"/>
        </w:rPr>
        <w:t>总监理工程师：         （签字）</w:t>
      </w:r>
    </w:p>
    <w:p w14:paraId="08326442">
      <w:pPr>
        <w:wordWrap w:val="0"/>
        <w:snapToGrid w:val="0"/>
        <w:spacing w:line="360" w:lineRule="auto"/>
        <w:ind w:firstLine="4042" w:firstLineChars="1925"/>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法定代表人签字：</w:t>
      </w:r>
    </w:p>
    <w:p w14:paraId="3F1BB70A">
      <w:pPr>
        <w:wordWrap w:val="0"/>
        <w:spacing w:line="360" w:lineRule="auto"/>
        <w:ind w:firstLine="4601" w:firstLineChars="2191"/>
        <w:rPr>
          <w:rFonts w:hint="eastAsia" w:ascii="仿宋_GB2312" w:hAnsi="宋体" w:eastAsia="仿宋_GB2312" w:cs="宋体"/>
          <w:color w:val="auto"/>
          <w:kern w:val="0"/>
          <w:szCs w:val="21"/>
          <w:highlight w:val="none"/>
        </w:rPr>
      </w:pPr>
      <w:r>
        <w:rPr>
          <w:rFonts w:hint="eastAsia" w:ascii="宋体" w:hAnsi="宋体" w:cs="宋体"/>
          <w:color w:val="auto"/>
          <w:kern w:val="0"/>
          <w:szCs w:val="21"/>
          <w:highlight w:val="none"/>
        </w:rPr>
        <w:t>年   月   日</w:t>
      </w:r>
    </w:p>
    <w:p w14:paraId="29E3B3A5">
      <w:pPr>
        <w:widowControl/>
        <w:wordWrap w:val="0"/>
        <w:spacing w:line="360" w:lineRule="auto"/>
        <w:jc w:val="left"/>
        <w:outlineLvl w:val="1"/>
        <w:rPr>
          <w:rFonts w:hint="eastAsia" w:ascii="宋体" w:hAnsi="宋体"/>
          <w:color w:val="auto"/>
          <w:szCs w:val="21"/>
          <w:highlight w:val="none"/>
        </w:rPr>
      </w:pPr>
      <w:r>
        <w:rPr>
          <w:rFonts w:ascii="宋体" w:hAnsi="宋体" w:cs="宋体"/>
          <w:b/>
          <w:bCs/>
          <w:color w:val="auto"/>
          <w:kern w:val="0"/>
          <w:sz w:val="28"/>
          <w:szCs w:val="28"/>
          <w:highlight w:val="none"/>
        </w:rPr>
        <w:br w:type="page"/>
      </w:r>
      <w:r>
        <w:rPr>
          <w:rFonts w:hint="eastAsia" w:ascii="宋体" w:hAnsi="宋体" w:cs="宋体"/>
          <w:b/>
          <w:color w:val="auto"/>
          <w:kern w:val="0"/>
          <w:szCs w:val="21"/>
          <w:highlight w:val="none"/>
        </w:rPr>
        <w:t>附件二：</w:t>
      </w:r>
    </w:p>
    <w:p w14:paraId="68E0A0A1">
      <w:pPr>
        <w:pStyle w:val="3"/>
        <w:wordWrap w:val="0"/>
        <w:spacing w:line="360" w:lineRule="auto"/>
        <w:jc w:val="center"/>
        <w:rPr>
          <w:color w:val="auto"/>
          <w:sz w:val="28"/>
          <w:szCs w:val="28"/>
          <w:highlight w:val="none"/>
        </w:rPr>
      </w:pPr>
      <w:r>
        <w:rPr>
          <w:rFonts w:hint="eastAsia"/>
          <w:color w:val="auto"/>
          <w:sz w:val="28"/>
          <w:szCs w:val="28"/>
          <w:highlight w:val="none"/>
        </w:rPr>
        <w:t>监理项目管理团队人员信息表</w:t>
      </w:r>
    </w:p>
    <w:tbl>
      <w:tblPr>
        <w:tblStyle w:val="1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397"/>
        <w:gridCol w:w="3278"/>
        <w:gridCol w:w="995"/>
        <w:gridCol w:w="3442"/>
      </w:tblGrid>
      <w:tr w14:paraId="5D26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22" w:type="pct"/>
            <w:tcBorders>
              <w:top w:val="single" w:color="auto" w:sz="4" w:space="0"/>
              <w:left w:val="single" w:color="auto" w:sz="4" w:space="0"/>
              <w:bottom w:val="single" w:color="auto" w:sz="4" w:space="0"/>
              <w:right w:val="single" w:color="auto" w:sz="4" w:space="0"/>
            </w:tcBorders>
            <w:vAlign w:val="center"/>
          </w:tcPr>
          <w:p w14:paraId="4684CA69">
            <w:pPr>
              <w:wordWrap w:val="0"/>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702" w:type="pct"/>
            <w:tcBorders>
              <w:top w:val="single" w:color="auto" w:sz="4" w:space="0"/>
              <w:left w:val="single" w:color="auto" w:sz="4" w:space="0"/>
              <w:bottom w:val="single" w:color="auto" w:sz="4" w:space="0"/>
              <w:right w:val="single" w:color="auto" w:sz="4" w:space="0"/>
            </w:tcBorders>
            <w:vAlign w:val="center"/>
          </w:tcPr>
          <w:p w14:paraId="206C0F7C">
            <w:pPr>
              <w:wordWrap w:val="0"/>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姓名</w:t>
            </w:r>
          </w:p>
        </w:tc>
        <w:tc>
          <w:tcPr>
            <w:tcW w:w="1647" w:type="pct"/>
            <w:tcBorders>
              <w:top w:val="single" w:color="auto" w:sz="4" w:space="0"/>
              <w:left w:val="single" w:color="auto" w:sz="4" w:space="0"/>
              <w:bottom w:val="single" w:color="auto" w:sz="4" w:space="0"/>
              <w:right w:val="single" w:color="auto" w:sz="4" w:space="0"/>
            </w:tcBorders>
            <w:vAlign w:val="center"/>
          </w:tcPr>
          <w:p w14:paraId="39C73025">
            <w:pPr>
              <w:wordWrap w:val="0"/>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岗位</w:t>
            </w:r>
          </w:p>
        </w:tc>
        <w:tc>
          <w:tcPr>
            <w:tcW w:w="500" w:type="pct"/>
            <w:tcBorders>
              <w:top w:val="single" w:color="auto" w:sz="4" w:space="0"/>
              <w:left w:val="single" w:color="auto" w:sz="4" w:space="0"/>
              <w:bottom w:val="single" w:color="auto" w:sz="4" w:space="0"/>
              <w:right w:val="single" w:color="auto" w:sz="4" w:space="0"/>
            </w:tcBorders>
            <w:vAlign w:val="center"/>
          </w:tcPr>
          <w:p w14:paraId="5289E5FC">
            <w:pPr>
              <w:wordWrap w:val="0"/>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职称</w:t>
            </w:r>
          </w:p>
        </w:tc>
        <w:tc>
          <w:tcPr>
            <w:tcW w:w="1726" w:type="pct"/>
            <w:tcBorders>
              <w:top w:val="single" w:color="auto" w:sz="4" w:space="0"/>
              <w:left w:val="single" w:color="auto" w:sz="4" w:space="0"/>
              <w:bottom w:val="single" w:color="auto" w:sz="4" w:space="0"/>
              <w:right w:val="single" w:color="auto" w:sz="4" w:space="0"/>
            </w:tcBorders>
            <w:vAlign w:val="center"/>
          </w:tcPr>
          <w:p w14:paraId="39BE48CC">
            <w:pPr>
              <w:wordWrap w:val="0"/>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职称证书或资格证书编号</w:t>
            </w:r>
          </w:p>
        </w:tc>
      </w:tr>
      <w:tr w14:paraId="798D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2" w:type="pct"/>
            <w:tcBorders>
              <w:top w:val="single" w:color="auto" w:sz="4" w:space="0"/>
              <w:left w:val="single" w:color="auto" w:sz="4" w:space="0"/>
              <w:bottom w:val="single" w:color="auto" w:sz="4" w:space="0"/>
              <w:right w:val="single" w:color="auto" w:sz="4" w:space="0"/>
            </w:tcBorders>
            <w:vAlign w:val="center"/>
          </w:tcPr>
          <w:p w14:paraId="22A110E6">
            <w:pPr>
              <w:pStyle w:val="22"/>
              <w:numPr>
                <w:ilvl w:val="0"/>
                <w:numId w:val="1"/>
              </w:numPr>
              <w:wordWrap w:val="0"/>
              <w:ind w:firstLineChars="0"/>
              <w:jc w:val="center"/>
              <w:rPr>
                <w:rFonts w:hint="eastAsia" w:ascii="宋体" w:hAnsi="宋体" w:cs="宋体"/>
                <w:color w:val="auto"/>
                <w:szCs w:val="21"/>
                <w:highlight w:val="none"/>
              </w:rPr>
            </w:pPr>
          </w:p>
        </w:tc>
        <w:tc>
          <w:tcPr>
            <w:tcW w:w="702" w:type="pct"/>
            <w:tcBorders>
              <w:top w:val="single" w:color="auto" w:sz="4" w:space="0"/>
              <w:left w:val="single" w:color="auto" w:sz="4" w:space="0"/>
              <w:bottom w:val="single" w:color="auto" w:sz="4" w:space="0"/>
              <w:right w:val="single" w:color="auto" w:sz="4" w:space="0"/>
            </w:tcBorders>
            <w:vAlign w:val="center"/>
          </w:tcPr>
          <w:p w14:paraId="236405E4">
            <w:pPr>
              <w:wordWrap w:val="0"/>
              <w:jc w:val="center"/>
              <w:rPr>
                <w:rFonts w:hint="eastAsia" w:ascii="宋体" w:hAnsi="宋体" w:cs="宋体"/>
                <w:color w:val="auto"/>
                <w:szCs w:val="21"/>
                <w:highlight w:val="none"/>
              </w:rPr>
            </w:pPr>
          </w:p>
        </w:tc>
        <w:tc>
          <w:tcPr>
            <w:tcW w:w="1647" w:type="pct"/>
            <w:tcBorders>
              <w:top w:val="single" w:color="auto" w:sz="4" w:space="0"/>
              <w:left w:val="single" w:color="auto" w:sz="4" w:space="0"/>
              <w:bottom w:val="single" w:color="auto" w:sz="4" w:space="0"/>
              <w:right w:val="single" w:color="auto" w:sz="4" w:space="0"/>
            </w:tcBorders>
            <w:vAlign w:val="center"/>
          </w:tcPr>
          <w:p w14:paraId="7505C359">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项目总协调人</w:t>
            </w:r>
          </w:p>
        </w:tc>
        <w:tc>
          <w:tcPr>
            <w:tcW w:w="500" w:type="pct"/>
            <w:tcBorders>
              <w:top w:val="single" w:color="auto" w:sz="4" w:space="0"/>
              <w:left w:val="single" w:color="auto" w:sz="4" w:space="0"/>
              <w:bottom w:val="single" w:color="auto" w:sz="4" w:space="0"/>
              <w:right w:val="single" w:color="auto" w:sz="4" w:space="0"/>
            </w:tcBorders>
            <w:vAlign w:val="center"/>
          </w:tcPr>
          <w:p w14:paraId="0F85DADC">
            <w:pPr>
              <w:wordWrap w:val="0"/>
              <w:jc w:val="center"/>
              <w:rPr>
                <w:rFonts w:hint="eastAsia" w:ascii="宋体" w:hAnsi="宋体" w:cs="宋体"/>
                <w:color w:val="auto"/>
                <w:szCs w:val="21"/>
                <w:highlight w:val="none"/>
              </w:rPr>
            </w:pPr>
          </w:p>
        </w:tc>
        <w:tc>
          <w:tcPr>
            <w:tcW w:w="1726" w:type="pct"/>
            <w:tcBorders>
              <w:top w:val="single" w:color="auto" w:sz="4" w:space="0"/>
              <w:left w:val="single" w:color="auto" w:sz="4" w:space="0"/>
              <w:bottom w:val="single" w:color="auto" w:sz="4" w:space="0"/>
              <w:right w:val="single" w:color="auto" w:sz="4" w:space="0"/>
            </w:tcBorders>
            <w:vAlign w:val="center"/>
          </w:tcPr>
          <w:p w14:paraId="52854776">
            <w:pPr>
              <w:wordWrap w:val="0"/>
              <w:jc w:val="center"/>
              <w:rPr>
                <w:rFonts w:hint="eastAsia" w:ascii="宋体" w:hAnsi="宋体" w:cs="宋体"/>
                <w:color w:val="auto"/>
                <w:szCs w:val="21"/>
                <w:highlight w:val="none"/>
              </w:rPr>
            </w:pPr>
          </w:p>
        </w:tc>
      </w:tr>
      <w:tr w14:paraId="7F4B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2" w:type="pct"/>
            <w:tcBorders>
              <w:top w:val="single" w:color="auto" w:sz="4" w:space="0"/>
              <w:left w:val="single" w:color="auto" w:sz="4" w:space="0"/>
              <w:bottom w:val="single" w:color="auto" w:sz="4" w:space="0"/>
              <w:right w:val="single" w:color="auto" w:sz="4" w:space="0"/>
            </w:tcBorders>
            <w:vAlign w:val="center"/>
          </w:tcPr>
          <w:p w14:paraId="0121F633">
            <w:pPr>
              <w:pStyle w:val="22"/>
              <w:numPr>
                <w:ilvl w:val="0"/>
                <w:numId w:val="1"/>
              </w:numPr>
              <w:wordWrap w:val="0"/>
              <w:ind w:firstLineChars="0"/>
              <w:jc w:val="center"/>
              <w:rPr>
                <w:rFonts w:hint="eastAsia" w:ascii="宋体" w:hAnsi="宋体" w:cs="宋体"/>
                <w:color w:val="auto"/>
                <w:szCs w:val="21"/>
                <w:highlight w:val="none"/>
              </w:rPr>
            </w:pPr>
          </w:p>
        </w:tc>
        <w:tc>
          <w:tcPr>
            <w:tcW w:w="702" w:type="pct"/>
            <w:tcBorders>
              <w:top w:val="single" w:color="auto" w:sz="4" w:space="0"/>
              <w:left w:val="single" w:color="auto" w:sz="4" w:space="0"/>
              <w:bottom w:val="single" w:color="auto" w:sz="4" w:space="0"/>
              <w:right w:val="single" w:color="auto" w:sz="4" w:space="0"/>
            </w:tcBorders>
            <w:vAlign w:val="center"/>
          </w:tcPr>
          <w:p w14:paraId="46D346E5">
            <w:pPr>
              <w:wordWrap w:val="0"/>
              <w:jc w:val="center"/>
              <w:rPr>
                <w:rFonts w:hint="eastAsia" w:ascii="宋体" w:hAnsi="宋体" w:cs="宋体"/>
                <w:color w:val="auto"/>
                <w:szCs w:val="21"/>
                <w:highlight w:val="none"/>
              </w:rPr>
            </w:pPr>
          </w:p>
        </w:tc>
        <w:tc>
          <w:tcPr>
            <w:tcW w:w="1647" w:type="pct"/>
            <w:tcBorders>
              <w:top w:val="single" w:color="auto" w:sz="4" w:space="0"/>
              <w:left w:val="single" w:color="auto" w:sz="4" w:space="0"/>
              <w:bottom w:val="single" w:color="auto" w:sz="4" w:space="0"/>
              <w:right w:val="single" w:color="auto" w:sz="4" w:space="0"/>
            </w:tcBorders>
            <w:vAlign w:val="center"/>
          </w:tcPr>
          <w:p w14:paraId="6A77E71F">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土建监理工程师</w:t>
            </w:r>
          </w:p>
        </w:tc>
        <w:tc>
          <w:tcPr>
            <w:tcW w:w="500" w:type="pct"/>
            <w:tcBorders>
              <w:top w:val="single" w:color="auto" w:sz="4" w:space="0"/>
              <w:left w:val="single" w:color="auto" w:sz="4" w:space="0"/>
              <w:bottom w:val="single" w:color="auto" w:sz="4" w:space="0"/>
              <w:right w:val="single" w:color="auto" w:sz="4" w:space="0"/>
            </w:tcBorders>
            <w:vAlign w:val="center"/>
          </w:tcPr>
          <w:p w14:paraId="7D4A4229">
            <w:pPr>
              <w:wordWrap w:val="0"/>
              <w:jc w:val="center"/>
              <w:rPr>
                <w:rFonts w:hint="eastAsia" w:ascii="宋体" w:hAnsi="宋体" w:cs="宋体"/>
                <w:color w:val="auto"/>
                <w:szCs w:val="21"/>
                <w:highlight w:val="none"/>
              </w:rPr>
            </w:pPr>
          </w:p>
        </w:tc>
        <w:tc>
          <w:tcPr>
            <w:tcW w:w="1726" w:type="pct"/>
            <w:tcBorders>
              <w:top w:val="single" w:color="auto" w:sz="4" w:space="0"/>
              <w:left w:val="single" w:color="auto" w:sz="4" w:space="0"/>
              <w:bottom w:val="single" w:color="auto" w:sz="4" w:space="0"/>
              <w:right w:val="single" w:color="auto" w:sz="4" w:space="0"/>
            </w:tcBorders>
            <w:vAlign w:val="center"/>
          </w:tcPr>
          <w:p w14:paraId="28B0B363">
            <w:pPr>
              <w:wordWrap w:val="0"/>
              <w:jc w:val="center"/>
              <w:rPr>
                <w:rFonts w:hint="eastAsia" w:ascii="宋体" w:hAnsi="宋体" w:cs="宋体"/>
                <w:color w:val="auto"/>
                <w:szCs w:val="21"/>
                <w:highlight w:val="none"/>
              </w:rPr>
            </w:pPr>
          </w:p>
        </w:tc>
      </w:tr>
      <w:tr w14:paraId="60CF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2" w:type="pct"/>
            <w:tcBorders>
              <w:top w:val="single" w:color="auto" w:sz="4" w:space="0"/>
              <w:left w:val="single" w:color="auto" w:sz="4" w:space="0"/>
              <w:bottom w:val="single" w:color="auto" w:sz="4" w:space="0"/>
              <w:right w:val="single" w:color="auto" w:sz="4" w:space="0"/>
            </w:tcBorders>
            <w:vAlign w:val="center"/>
          </w:tcPr>
          <w:p w14:paraId="039E19F2">
            <w:pPr>
              <w:pStyle w:val="22"/>
              <w:numPr>
                <w:ilvl w:val="0"/>
                <w:numId w:val="1"/>
              </w:numPr>
              <w:wordWrap w:val="0"/>
              <w:ind w:firstLineChars="0"/>
              <w:jc w:val="center"/>
              <w:rPr>
                <w:rFonts w:hint="eastAsia" w:ascii="宋体" w:hAnsi="宋体" w:cs="宋体"/>
                <w:color w:val="auto"/>
                <w:szCs w:val="21"/>
                <w:highlight w:val="none"/>
              </w:rPr>
            </w:pPr>
          </w:p>
        </w:tc>
        <w:tc>
          <w:tcPr>
            <w:tcW w:w="702" w:type="pct"/>
            <w:tcBorders>
              <w:top w:val="single" w:color="auto" w:sz="4" w:space="0"/>
              <w:left w:val="single" w:color="auto" w:sz="4" w:space="0"/>
              <w:bottom w:val="single" w:color="auto" w:sz="4" w:space="0"/>
              <w:right w:val="single" w:color="auto" w:sz="4" w:space="0"/>
            </w:tcBorders>
            <w:vAlign w:val="center"/>
          </w:tcPr>
          <w:p w14:paraId="4F5839EF">
            <w:pPr>
              <w:wordWrap w:val="0"/>
              <w:jc w:val="center"/>
              <w:rPr>
                <w:rFonts w:hint="eastAsia" w:ascii="宋体" w:hAnsi="宋体" w:cs="宋体"/>
                <w:color w:val="auto"/>
                <w:szCs w:val="21"/>
                <w:highlight w:val="none"/>
              </w:rPr>
            </w:pPr>
          </w:p>
        </w:tc>
        <w:tc>
          <w:tcPr>
            <w:tcW w:w="1647" w:type="pct"/>
            <w:tcBorders>
              <w:top w:val="single" w:color="auto" w:sz="4" w:space="0"/>
              <w:left w:val="single" w:color="auto" w:sz="4" w:space="0"/>
              <w:bottom w:val="single" w:color="auto" w:sz="4" w:space="0"/>
              <w:right w:val="single" w:color="auto" w:sz="4" w:space="0"/>
            </w:tcBorders>
            <w:vAlign w:val="center"/>
          </w:tcPr>
          <w:p w14:paraId="20D36B5B">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土建监理工程师</w:t>
            </w:r>
          </w:p>
        </w:tc>
        <w:tc>
          <w:tcPr>
            <w:tcW w:w="500" w:type="pct"/>
            <w:tcBorders>
              <w:top w:val="single" w:color="auto" w:sz="4" w:space="0"/>
              <w:left w:val="single" w:color="auto" w:sz="4" w:space="0"/>
              <w:bottom w:val="single" w:color="auto" w:sz="4" w:space="0"/>
              <w:right w:val="single" w:color="auto" w:sz="4" w:space="0"/>
            </w:tcBorders>
            <w:vAlign w:val="center"/>
          </w:tcPr>
          <w:p w14:paraId="1C4F62F9">
            <w:pPr>
              <w:wordWrap w:val="0"/>
              <w:jc w:val="center"/>
              <w:rPr>
                <w:rFonts w:hint="eastAsia" w:ascii="宋体" w:hAnsi="宋体" w:cs="宋体"/>
                <w:color w:val="auto"/>
                <w:szCs w:val="21"/>
                <w:highlight w:val="none"/>
              </w:rPr>
            </w:pPr>
          </w:p>
        </w:tc>
        <w:tc>
          <w:tcPr>
            <w:tcW w:w="1726" w:type="pct"/>
            <w:tcBorders>
              <w:top w:val="single" w:color="auto" w:sz="4" w:space="0"/>
              <w:left w:val="single" w:color="auto" w:sz="4" w:space="0"/>
              <w:bottom w:val="single" w:color="auto" w:sz="4" w:space="0"/>
              <w:right w:val="single" w:color="auto" w:sz="4" w:space="0"/>
            </w:tcBorders>
            <w:vAlign w:val="center"/>
          </w:tcPr>
          <w:p w14:paraId="6E6A84DC">
            <w:pPr>
              <w:wordWrap w:val="0"/>
              <w:jc w:val="center"/>
              <w:rPr>
                <w:rFonts w:hint="eastAsia" w:ascii="宋体" w:hAnsi="宋体" w:cs="宋体"/>
                <w:color w:val="auto"/>
                <w:szCs w:val="21"/>
                <w:highlight w:val="none"/>
              </w:rPr>
            </w:pPr>
          </w:p>
        </w:tc>
      </w:tr>
      <w:tr w14:paraId="58A1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2" w:type="pct"/>
            <w:tcBorders>
              <w:top w:val="single" w:color="auto" w:sz="4" w:space="0"/>
              <w:left w:val="single" w:color="auto" w:sz="4" w:space="0"/>
              <w:bottom w:val="single" w:color="auto" w:sz="4" w:space="0"/>
              <w:right w:val="single" w:color="auto" w:sz="4" w:space="0"/>
            </w:tcBorders>
            <w:vAlign w:val="center"/>
          </w:tcPr>
          <w:p w14:paraId="1DF7CC03">
            <w:pPr>
              <w:pStyle w:val="22"/>
              <w:numPr>
                <w:ilvl w:val="0"/>
                <w:numId w:val="1"/>
              </w:numPr>
              <w:wordWrap w:val="0"/>
              <w:ind w:firstLineChars="0"/>
              <w:jc w:val="center"/>
              <w:rPr>
                <w:rFonts w:hint="eastAsia" w:ascii="宋体" w:hAnsi="宋体" w:cs="宋体"/>
                <w:color w:val="auto"/>
                <w:szCs w:val="21"/>
                <w:highlight w:val="none"/>
              </w:rPr>
            </w:pPr>
          </w:p>
        </w:tc>
        <w:tc>
          <w:tcPr>
            <w:tcW w:w="702" w:type="pct"/>
            <w:tcBorders>
              <w:top w:val="single" w:color="auto" w:sz="4" w:space="0"/>
              <w:left w:val="single" w:color="auto" w:sz="4" w:space="0"/>
              <w:bottom w:val="single" w:color="auto" w:sz="4" w:space="0"/>
              <w:right w:val="single" w:color="auto" w:sz="4" w:space="0"/>
            </w:tcBorders>
            <w:vAlign w:val="center"/>
          </w:tcPr>
          <w:p w14:paraId="10E3CADB">
            <w:pPr>
              <w:wordWrap w:val="0"/>
              <w:jc w:val="center"/>
              <w:rPr>
                <w:rFonts w:hint="eastAsia" w:ascii="宋体" w:hAnsi="宋体" w:cs="宋体"/>
                <w:color w:val="auto"/>
                <w:szCs w:val="21"/>
                <w:highlight w:val="none"/>
              </w:rPr>
            </w:pPr>
          </w:p>
        </w:tc>
        <w:tc>
          <w:tcPr>
            <w:tcW w:w="1647" w:type="pct"/>
            <w:tcBorders>
              <w:top w:val="single" w:color="auto" w:sz="4" w:space="0"/>
              <w:left w:val="single" w:color="auto" w:sz="4" w:space="0"/>
              <w:bottom w:val="single" w:color="auto" w:sz="4" w:space="0"/>
              <w:right w:val="single" w:color="auto" w:sz="4" w:space="0"/>
            </w:tcBorders>
            <w:vAlign w:val="center"/>
          </w:tcPr>
          <w:p w14:paraId="16CCBD40">
            <w:pPr>
              <w:wordWrap w:val="0"/>
              <w:jc w:val="center"/>
              <w:rPr>
                <w:rFonts w:hint="eastAsia" w:ascii="宋体" w:hAnsi="宋体" w:cs="宋体"/>
                <w:color w:val="auto"/>
                <w:szCs w:val="21"/>
                <w:highlight w:val="none"/>
              </w:rPr>
            </w:pPr>
            <w:r>
              <w:rPr>
                <w:rFonts w:hint="eastAsia" w:ascii="宋体" w:hAnsi="宋体" w:cs="宋体"/>
                <w:bCs/>
                <w:color w:val="auto"/>
                <w:kern w:val="44"/>
                <w:szCs w:val="21"/>
                <w:highlight w:val="none"/>
                <w:lang w:bidi="ar"/>
              </w:rPr>
              <w:t>机电专业工程师</w:t>
            </w:r>
          </w:p>
        </w:tc>
        <w:tc>
          <w:tcPr>
            <w:tcW w:w="500" w:type="pct"/>
            <w:tcBorders>
              <w:top w:val="single" w:color="auto" w:sz="4" w:space="0"/>
              <w:left w:val="single" w:color="auto" w:sz="4" w:space="0"/>
              <w:bottom w:val="single" w:color="auto" w:sz="4" w:space="0"/>
              <w:right w:val="single" w:color="auto" w:sz="4" w:space="0"/>
            </w:tcBorders>
            <w:vAlign w:val="center"/>
          </w:tcPr>
          <w:p w14:paraId="64FE7D5C">
            <w:pPr>
              <w:wordWrap w:val="0"/>
              <w:jc w:val="center"/>
              <w:rPr>
                <w:rFonts w:hint="eastAsia" w:ascii="宋体" w:hAnsi="宋体" w:cs="宋体"/>
                <w:color w:val="auto"/>
                <w:szCs w:val="21"/>
                <w:highlight w:val="none"/>
              </w:rPr>
            </w:pPr>
          </w:p>
        </w:tc>
        <w:tc>
          <w:tcPr>
            <w:tcW w:w="1726" w:type="pct"/>
            <w:tcBorders>
              <w:top w:val="single" w:color="auto" w:sz="4" w:space="0"/>
              <w:left w:val="single" w:color="auto" w:sz="4" w:space="0"/>
              <w:bottom w:val="single" w:color="auto" w:sz="4" w:space="0"/>
              <w:right w:val="single" w:color="auto" w:sz="4" w:space="0"/>
            </w:tcBorders>
            <w:vAlign w:val="center"/>
          </w:tcPr>
          <w:p w14:paraId="62D7F416">
            <w:pPr>
              <w:wordWrap w:val="0"/>
              <w:jc w:val="center"/>
              <w:rPr>
                <w:rFonts w:hint="eastAsia" w:ascii="宋体" w:hAnsi="宋体" w:cs="宋体"/>
                <w:color w:val="auto"/>
                <w:szCs w:val="21"/>
                <w:highlight w:val="none"/>
              </w:rPr>
            </w:pPr>
          </w:p>
        </w:tc>
      </w:tr>
      <w:tr w14:paraId="4DD2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2" w:type="pct"/>
            <w:tcBorders>
              <w:top w:val="single" w:color="auto" w:sz="4" w:space="0"/>
              <w:left w:val="single" w:color="auto" w:sz="4" w:space="0"/>
              <w:bottom w:val="single" w:color="auto" w:sz="4" w:space="0"/>
              <w:right w:val="single" w:color="auto" w:sz="4" w:space="0"/>
            </w:tcBorders>
            <w:vAlign w:val="center"/>
          </w:tcPr>
          <w:p w14:paraId="0774D2D4">
            <w:pPr>
              <w:pStyle w:val="22"/>
              <w:numPr>
                <w:ilvl w:val="0"/>
                <w:numId w:val="1"/>
              </w:numPr>
              <w:wordWrap w:val="0"/>
              <w:ind w:firstLineChars="0"/>
              <w:jc w:val="center"/>
              <w:rPr>
                <w:rFonts w:hint="eastAsia" w:ascii="宋体" w:hAnsi="宋体" w:cs="宋体"/>
                <w:color w:val="auto"/>
                <w:szCs w:val="21"/>
                <w:highlight w:val="none"/>
              </w:rPr>
            </w:pPr>
          </w:p>
        </w:tc>
        <w:tc>
          <w:tcPr>
            <w:tcW w:w="702" w:type="pct"/>
            <w:tcBorders>
              <w:top w:val="single" w:color="auto" w:sz="4" w:space="0"/>
              <w:left w:val="single" w:color="auto" w:sz="4" w:space="0"/>
              <w:bottom w:val="single" w:color="auto" w:sz="4" w:space="0"/>
              <w:right w:val="single" w:color="auto" w:sz="4" w:space="0"/>
            </w:tcBorders>
            <w:vAlign w:val="center"/>
          </w:tcPr>
          <w:p w14:paraId="6793D8AF">
            <w:pPr>
              <w:wordWrap w:val="0"/>
              <w:jc w:val="center"/>
              <w:rPr>
                <w:rFonts w:hint="eastAsia" w:ascii="宋体" w:hAnsi="宋体" w:cs="宋体"/>
                <w:color w:val="auto"/>
                <w:szCs w:val="21"/>
                <w:highlight w:val="none"/>
              </w:rPr>
            </w:pPr>
          </w:p>
        </w:tc>
        <w:tc>
          <w:tcPr>
            <w:tcW w:w="1647" w:type="pct"/>
            <w:tcBorders>
              <w:top w:val="single" w:color="auto" w:sz="4" w:space="0"/>
              <w:left w:val="single" w:color="auto" w:sz="4" w:space="0"/>
              <w:bottom w:val="single" w:color="auto" w:sz="4" w:space="0"/>
              <w:right w:val="single" w:color="auto" w:sz="4" w:space="0"/>
            </w:tcBorders>
            <w:vAlign w:val="center"/>
          </w:tcPr>
          <w:p w14:paraId="448E5D4C">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造价工程师</w:t>
            </w:r>
          </w:p>
        </w:tc>
        <w:tc>
          <w:tcPr>
            <w:tcW w:w="500" w:type="pct"/>
            <w:tcBorders>
              <w:top w:val="single" w:color="auto" w:sz="4" w:space="0"/>
              <w:left w:val="single" w:color="auto" w:sz="4" w:space="0"/>
              <w:bottom w:val="single" w:color="auto" w:sz="4" w:space="0"/>
              <w:right w:val="single" w:color="auto" w:sz="4" w:space="0"/>
            </w:tcBorders>
            <w:vAlign w:val="center"/>
          </w:tcPr>
          <w:p w14:paraId="7B51E877">
            <w:pPr>
              <w:wordWrap w:val="0"/>
              <w:jc w:val="center"/>
              <w:rPr>
                <w:rFonts w:hint="eastAsia" w:ascii="宋体" w:hAnsi="宋体" w:cs="宋体"/>
                <w:color w:val="auto"/>
                <w:szCs w:val="21"/>
                <w:highlight w:val="none"/>
              </w:rPr>
            </w:pPr>
          </w:p>
        </w:tc>
        <w:tc>
          <w:tcPr>
            <w:tcW w:w="1726" w:type="pct"/>
            <w:tcBorders>
              <w:top w:val="single" w:color="auto" w:sz="4" w:space="0"/>
              <w:left w:val="single" w:color="auto" w:sz="4" w:space="0"/>
              <w:bottom w:val="single" w:color="auto" w:sz="4" w:space="0"/>
              <w:right w:val="single" w:color="auto" w:sz="4" w:space="0"/>
            </w:tcBorders>
            <w:vAlign w:val="center"/>
          </w:tcPr>
          <w:p w14:paraId="0A2D6953">
            <w:pPr>
              <w:wordWrap w:val="0"/>
              <w:jc w:val="center"/>
              <w:rPr>
                <w:rFonts w:hint="eastAsia" w:ascii="宋体" w:hAnsi="宋体" w:cs="宋体"/>
                <w:color w:val="auto"/>
                <w:szCs w:val="21"/>
                <w:highlight w:val="none"/>
              </w:rPr>
            </w:pPr>
          </w:p>
        </w:tc>
      </w:tr>
      <w:tr w14:paraId="707F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2" w:type="pct"/>
            <w:tcBorders>
              <w:top w:val="single" w:color="auto" w:sz="4" w:space="0"/>
              <w:left w:val="single" w:color="auto" w:sz="4" w:space="0"/>
              <w:bottom w:val="single" w:color="auto" w:sz="4" w:space="0"/>
              <w:right w:val="single" w:color="auto" w:sz="4" w:space="0"/>
            </w:tcBorders>
            <w:vAlign w:val="center"/>
          </w:tcPr>
          <w:p w14:paraId="5F985F42">
            <w:pPr>
              <w:pStyle w:val="22"/>
              <w:numPr>
                <w:ilvl w:val="0"/>
                <w:numId w:val="1"/>
              </w:numPr>
              <w:wordWrap w:val="0"/>
              <w:ind w:firstLineChars="0"/>
              <w:jc w:val="center"/>
              <w:rPr>
                <w:rFonts w:hint="eastAsia" w:ascii="宋体" w:hAnsi="宋体" w:cs="宋体"/>
                <w:color w:val="auto"/>
                <w:szCs w:val="21"/>
                <w:highlight w:val="none"/>
              </w:rPr>
            </w:pPr>
          </w:p>
        </w:tc>
        <w:tc>
          <w:tcPr>
            <w:tcW w:w="702" w:type="pct"/>
            <w:tcBorders>
              <w:top w:val="single" w:color="auto" w:sz="4" w:space="0"/>
              <w:left w:val="single" w:color="auto" w:sz="4" w:space="0"/>
              <w:bottom w:val="single" w:color="auto" w:sz="4" w:space="0"/>
              <w:right w:val="single" w:color="auto" w:sz="4" w:space="0"/>
            </w:tcBorders>
            <w:vAlign w:val="center"/>
          </w:tcPr>
          <w:p w14:paraId="22376809">
            <w:pPr>
              <w:wordWrap w:val="0"/>
              <w:jc w:val="center"/>
              <w:rPr>
                <w:rFonts w:hint="eastAsia" w:ascii="宋体" w:hAnsi="宋体" w:cs="宋体"/>
                <w:color w:val="auto"/>
                <w:szCs w:val="21"/>
                <w:highlight w:val="none"/>
              </w:rPr>
            </w:pPr>
          </w:p>
        </w:tc>
        <w:tc>
          <w:tcPr>
            <w:tcW w:w="1647" w:type="pct"/>
            <w:tcBorders>
              <w:top w:val="single" w:color="auto" w:sz="4" w:space="0"/>
              <w:left w:val="single" w:color="auto" w:sz="4" w:space="0"/>
              <w:bottom w:val="single" w:color="auto" w:sz="4" w:space="0"/>
              <w:right w:val="single" w:color="auto" w:sz="4" w:space="0"/>
            </w:tcBorders>
            <w:vAlign w:val="center"/>
          </w:tcPr>
          <w:p w14:paraId="07F756C6">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见证检测监理工程师</w:t>
            </w:r>
          </w:p>
        </w:tc>
        <w:tc>
          <w:tcPr>
            <w:tcW w:w="500" w:type="pct"/>
            <w:tcBorders>
              <w:top w:val="single" w:color="auto" w:sz="4" w:space="0"/>
              <w:left w:val="single" w:color="auto" w:sz="4" w:space="0"/>
              <w:bottom w:val="single" w:color="auto" w:sz="4" w:space="0"/>
              <w:right w:val="single" w:color="auto" w:sz="4" w:space="0"/>
            </w:tcBorders>
            <w:vAlign w:val="center"/>
          </w:tcPr>
          <w:p w14:paraId="45E87762">
            <w:pPr>
              <w:wordWrap w:val="0"/>
              <w:jc w:val="center"/>
              <w:rPr>
                <w:rFonts w:hint="eastAsia" w:ascii="宋体" w:hAnsi="宋体" w:cs="宋体"/>
                <w:color w:val="auto"/>
                <w:szCs w:val="21"/>
                <w:highlight w:val="none"/>
              </w:rPr>
            </w:pPr>
          </w:p>
        </w:tc>
        <w:tc>
          <w:tcPr>
            <w:tcW w:w="1726" w:type="pct"/>
            <w:tcBorders>
              <w:top w:val="single" w:color="auto" w:sz="4" w:space="0"/>
              <w:left w:val="single" w:color="auto" w:sz="4" w:space="0"/>
              <w:bottom w:val="single" w:color="auto" w:sz="4" w:space="0"/>
              <w:right w:val="single" w:color="auto" w:sz="4" w:space="0"/>
            </w:tcBorders>
            <w:vAlign w:val="center"/>
          </w:tcPr>
          <w:p w14:paraId="07595A7D">
            <w:pPr>
              <w:wordWrap w:val="0"/>
              <w:jc w:val="center"/>
              <w:rPr>
                <w:rFonts w:hint="eastAsia" w:ascii="宋体" w:hAnsi="宋体" w:cs="宋体"/>
                <w:color w:val="auto"/>
                <w:szCs w:val="21"/>
                <w:highlight w:val="none"/>
              </w:rPr>
            </w:pPr>
          </w:p>
        </w:tc>
      </w:tr>
      <w:tr w14:paraId="42D1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2" w:type="pct"/>
            <w:tcBorders>
              <w:top w:val="single" w:color="auto" w:sz="4" w:space="0"/>
              <w:left w:val="single" w:color="auto" w:sz="4" w:space="0"/>
              <w:bottom w:val="single" w:color="auto" w:sz="4" w:space="0"/>
              <w:right w:val="single" w:color="auto" w:sz="4" w:space="0"/>
            </w:tcBorders>
            <w:vAlign w:val="center"/>
          </w:tcPr>
          <w:p w14:paraId="5B928B73">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702" w:type="pct"/>
            <w:tcBorders>
              <w:top w:val="single" w:color="auto" w:sz="4" w:space="0"/>
              <w:left w:val="single" w:color="auto" w:sz="4" w:space="0"/>
              <w:bottom w:val="single" w:color="auto" w:sz="4" w:space="0"/>
              <w:right w:val="single" w:color="auto" w:sz="4" w:space="0"/>
            </w:tcBorders>
            <w:vAlign w:val="center"/>
          </w:tcPr>
          <w:p w14:paraId="49B61220">
            <w:pPr>
              <w:wordWrap w:val="0"/>
              <w:jc w:val="center"/>
              <w:rPr>
                <w:rFonts w:hint="eastAsia" w:ascii="宋体" w:hAnsi="宋体" w:cs="宋体"/>
                <w:color w:val="auto"/>
                <w:szCs w:val="21"/>
                <w:highlight w:val="none"/>
              </w:rPr>
            </w:pPr>
          </w:p>
        </w:tc>
        <w:tc>
          <w:tcPr>
            <w:tcW w:w="1647" w:type="pct"/>
            <w:tcBorders>
              <w:top w:val="single" w:color="auto" w:sz="4" w:space="0"/>
              <w:left w:val="single" w:color="auto" w:sz="4" w:space="0"/>
              <w:bottom w:val="single" w:color="auto" w:sz="4" w:space="0"/>
              <w:right w:val="single" w:color="auto" w:sz="4" w:space="0"/>
            </w:tcBorders>
            <w:vAlign w:val="center"/>
          </w:tcPr>
          <w:p w14:paraId="2A167F39">
            <w:pPr>
              <w:wordWrap w:val="0"/>
              <w:jc w:val="center"/>
              <w:rPr>
                <w:rFonts w:hint="eastAsia" w:ascii="宋体" w:hAnsi="宋体" w:cs="宋体"/>
                <w:bCs/>
                <w:color w:val="auto"/>
                <w:kern w:val="44"/>
                <w:szCs w:val="21"/>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33CE562A">
            <w:pPr>
              <w:wordWrap w:val="0"/>
              <w:jc w:val="center"/>
              <w:rPr>
                <w:rFonts w:hint="eastAsia" w:ascii="宋体" w:hAnsi="宋体" w:cs="宋体"/>
                <w:color w:val="auto"/>
                <w:szCs w:val="21"/>
                <w:highlight w:val="none"/>
              </w:rPr>
            </w:pPr>
          </w:p>
        </w:tc>
        <w:tc>
          <w:tcPr>
            <w:tcW w:w="1726" w:type="pct"/>
            <w:tcBorders>
              <w:top w:val="single" w:color="auto" w:sz="4" w:space="0"/>
              <w:left w:val="single" w:color="auto" w:sz="4" w:space="0"/>
              <w:bottom w:val="single" w:color="auto" w:sz="4" w:space="0"/>
              <w:right w:val="single" w:color="auto" w:sz="4" w:space="0"/>
            </w:tcBorders>
            <w:vAlign w:val="center"/>
          </w:tcPr>
          <w:p w14:paraId="5C6F283F">
            <w:pPr>
              <w:wordWrap w:val="0"/>
              <w:jc w:val="center"/>
              <w:rPr>
                <w:rFonts w:hint="eastAsia" w:ascii="宋体" w:hAnsi="宋体" w:cs="宋体"/>
                <w:color w:val="auto"/>
                <w:szCs w:val="21"/>
                <w:highlight w:val="none"/>
              </w:rPr>
            </w:pPr>
          </w:p>
        </w:tc>
      </w:tr>
      <w:tr w14:paraId="67EC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074205DC">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备注：</w:t>
            </w:r>
          </w:p>
          <w:p w14:paraId="69101AC5">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1、“岗位”要求（总监理工程师除外）由招标人根据项目管理需要在本表备注中明确提出，如：拟派驻施工现场的项目总协调人、专业监理工程师、</w:t>
            </w:r>
            <w:r>
              <w:rPr>
                <w:rFonts w:hint="eastAsia" w:ascii="宋体" w:hAnsi="宋体" w:cs="宋体"/>
                <w:color w:val="auto"/>
                <w:szCs w:val="21"/>
                <w:highlight w:val="none"/>
                <w:lang w:val="en-US" w:eastAsia="zh-CN"/>
              </w:rPr>
              <w:t>造价工程师、</w:t>
            </w:r>
            <w:r>
              <w:rPr>
                <w:rFonts w:hint="eastAsia" w:ascii="宋体" w:hAnsi="宋体" w:cs="宋体"/>
                <w:color w:val="auto"/>
                <w:szCs w:val="21"/>
                <w:highlight w:val="none"/>
              </w:rPr>
              <w:t>见证检测监理工程师等。以上项目管理团队人员信息将由交易系统提取后供各相关单位在履约时比对、查核。</w:t>
            </w:r>
          </w:p>
          <w:p w14:paraId="01D85AD2">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5E5890C7">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3436ECB6">
      <w:pPr>
        <w:wordWrap w:val="0"/>
        <w:spacing w:line="360" w:lineRule="auto"/>
        <w:rPr>
          <w:color w:val="auto"/>
          <w:highlight w:val="none"/>
        </w:rPr>
      </w:pPr>
    </w:p>
    <w:sectPr>
      <w:headerReference r:id="rId7" w:type="default"/>
      <w:footerReference r:id="rId8"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Calisto MT">
    <w:altName w:val="Cambria"/>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774EF">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D8401">
                          <w:pPr>
                            <w:pStyle w:val="10"/>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7ED8401">
                    <w:pPr>
                      <w:pStyle w:val="10"/>
                    </w:pPr>
                    <w:r>
                      <w:fldChar w:fldCharType="begin"/>
                    </w:r>
                    <w:r>
                      <w:instrText xml:space="preserve"> PAGE  \* MERGEFORMAT </w:instrText>
                    </w:r>
                    <w:r>
                      <w:fldChar w:fldCharType="separate"/>
                    </w:r>
                    <w:r>
                      <w:t>0</w:t>
                    </w:r>
                    <w:r>
                      <w:fldChar w:fldCharType="end"/>
                    </w:r>
                  </w:p>
                </w:txbxContent>
              </v:textbox>
            </v:shape>
          </w:pict>
        </mc:Fallback>
      </mc:AlternateContent>
    </w:r>
  </w:p>
  <w:p w14:paraId="6B0EABDC">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0AACE">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3B760">
                          <w:pPr>
                            <w:pStyle w:val="10"/>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2D3B760">
                    <w:pPr>
                      <w:pStyle w:val="10"/>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C8ECA">
    <w:pPr>
      <w:pStyle w:val="1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D77A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76D77A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F9708">
    <w:pPr>
      <w:pStyle w:val="12"/>
      <w:ind w:left="420"/>
      <w:jc w:val="right"/>
      <w:rPr>
        <w:b/>
        <w:bCs/>
        <w:sz w:val="24"/>
        <w:szCs w:val="24"/>
      </w:rPr>
    </w:pPr>
  </w:p>
  <w:p w14:paraId="736FB4AB">
    <w:pPr>
      <w:pStyle w:val="12"/>
      <w:ind w:left="420"/>
      <w:jc w:val="right"/>
      <w:rPr>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E3178">
    <w:pPr>
      <w:pBdr>
        <w:bottom w:val="none" w:color="auto" w:sz="0" w:space="1"/>
      </w:pBdr>
      <w:tabs>
        <w:tab w:val="center" w:pos="4153"/>
        <w:tab w:val="right" w:pos="8306"/>
      </w:tabs>
      <w:snapToGrid w:val="0"/>
      <w:jc w:val="center"/>
      <w:rPr>
        <w:kern w:val="0"/>
        <w:sz w:val="18"/>
        <w:szCs w:val="18"/>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5B9B7">
    <w:pPr>
      <w:pStyle w:val="12"/>
      <w:ind w:left="420"/>
      <w:jc w:val="right"/>
      <w:rPr>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D40331"/>
    <w:multiLevelType w:val="multilevel"/>
    <w:tmpl w:val="54D4033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oNotDisplayPageBoundaries w:val="1"/>
  <w:embedSystem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MDM3YTkzYzliYWFlZTFiZDczYmM5Zjk3N2ZlZjcifQ=="/>
  </w:docVars>
  <w:rsids>
    <w:rsidRoot w:val="1B6137CD"/>
    <w:rsid w:val="00431E79"/>
    <w:rsid w:val="006C5D1A"/>
    <w:rsid w:val="007C306E"/>
    <w:rsid w:val="00BC0C41"/>
    <w:rsid w:val="01AF10CA"/>
    <w:rsid w:val="02021BB7"/>
    <w:rsid w:val="049727D9"/>
    <w:rsid w:val="04B65AC7"/>
    <w:rsid w:val="06003DC6"/>
    <w:rsid w:val="060F7427"/>
    <w:rsid w:val="064029FC"/>
    <w:rsid w:val="0A1F4DE9"/>
    <w:rsid w:val="0A574BB4"/>
    <w:rsid w:val="0AB17097"/>
    <w:rsid w:val="0B5C3E34"/>
    <w:rsid w:val="0BC546F2"/>
    <w:rsid w:val="0C8F6A0D"/>
    <w:rsid w:val="0DDF71AC"/>
    <w:rsid w:val="0F8D1E93"/>
    <w:rsid w:val="0FB741DE"/>
    <w:rsid w:val="11E36164"/>
    <w:rsid w:val="131739C1"/>
    <w:rsid w:val="135B6927"/>
    <w:rsid w:val="13D92D9C"/>
    <w:rsid w:val="14A01EC9"/>
    <w:rsid w:val="152155D8"/>
    <w:rsid w:val="177BBC3F"/>
    <w:rsid w:val="187C046F"/>
    <w:rsid w:val="19630A84"/>
    <w:rsid w:val="19806D38"/>
    <w:rsid w:val="19835866"/>
    <w:rsid w:val="1A6E6B74"/>
    <w:rsid w:val="1B6137CD"/>
    <w:rsid w:val="1C0C5203"/>
    <w:rsid w:val="1D1A544D"/>
    <w:rsid w:val="1D6F92F7"/>
    <w:rsid w:val="1EB407E2"/>
    <w:rsid w:val="1F2B7436"/>
    <w:rsid w:val="1F7F0D77"/>
    <w:rsid w:val="1FB06B81"/>
    <w:rsid w:val="224D0523"/>
    <w:rsid w:val="22706F45"/>
    <w:rsid w:val="22E01EF8"/>
    <w:rsid w:val="23037668"/>
    <w:rsid w:val="23614286"/>
    <w:rsid w:val="23680A25"/>
    <w:rsid w:val="237A543E"/>
    <w:rsid w:val="23AB25C5"/>
    <w:rsid w:val="24DF6C29"/>
    <w:rsid w:val="26FF89DE"/>
    <w:rsid w:val="27A33911"/>
    <w:rsid w:val="27F52B40"/>
    <w:rsid w:val="286833C0"/>
    <w:rsid w:val="28D27378"/>
    <w:rsid w:val="29261B19"/>
    <w:rsid w:val="29A4303C"/>
    <w:rsid w:val="29EB0475"/>
    <w:rsid w:val="2B9237EC"/>
    <w:rsid w:val="2DB1226E"/>
    <w:rsid w:val="2F220BC4"/>
    <w:rsid w:val="2FD6122A"/>
    <w:rsid w:val="307E3DBB"/>
    <w:rsid w:val="30EF1212"/>
    <w:rsid w:val="32D643F8"/>
    <w:rsid w:val="343C7B86"/>
    <w:rsid w:val="349710D9"/>
    <w:rsid w:val="35136287"/>
    <w:rsid w:val="365C2A91"/>
    <w:rsid w:val="366D6646"/>
    <w:rsid w:val="37DA17C9"/>
    <w:rsid w:val="37DDE6FB"/>
    <w:rsid w:val="38303CA0"/>
    <w:rsid w:val="38425E77"/>
    <w:rsid w:val="38FC3AC3"/>
    <w:rsid w:val="39A72314"/>
    <w:rsid w:val="3A040A3F"/>
    <w:rsid w:val="3A1D4C24"/>
    <w:rsid w:val="3A4F37E0"/>
    <w:rsid w:val="3A713B4A"/>
    <w:rsid w:val="3AC23405"/>
    <w:rsid w:val="3AFD3706"/>
    <w:rsid w:val="3BE80809"/>
    <w:rsid w:val="3CFB7D31"/>
    <w:rsid w:val="3DA5560F"/>
    <w:rsid w:val="3DC65BE7"/>
    <w:rsid w:val="3E270E34"/>
    <w:rsid w:val="3E66679D"/>
    <w:rsid w:val="3F826D26"/>
    <w:rsid w:val="3FDA7BF4"/>
    <w:rsid w:val="421C6B06"/>
    <w:rsid w:val="42DB3257"/>
    <w:rsid w:val="437FC46B"/>
    <w:rsid w:val="44A75A96"/>
    <w:rsid w:val="45361F02"/>
    <w:rsid w:val="46181C2D"/>
    <w:rsid w:val="46AB56B9"/>
    <w:rsid w:val="47D1014A"/>
    <w:rsid w:val="4959390F"/>
    <w:rsid w:val="49877D6A"/>
    <w:rsid w:val="49F650E8"/>
    <w:rsid w:val="4A252913"/>
    <w:rsid w:val="4A6D691E"/>
    <w:rsid w:val="4AB15D0D"/>
    <w:rsid w:val="4C1B2975"/>
    <w:rsid w:val="4E402B66"/>
    <w:rsid w:val="4E581E19"/>
    <w:rsid w:val="4EA967FC"/>
    <w:rsid w:val="4F6534D8"/>
    <w:rsid w:val="4F6603AB"/>
    <w:rsid w:val="4F7FA685"/>
    <w:rsid w:val="500F1083"/>
    <w:rsid w:val="50BF2B46"/>
    <w:rsid w:val="51CD4879"/>
    <w:rsid w:val="544B4013"/>
    <w:rsid w:val="55E57C2D"/>
    <w:rsid w:val="563015D4"/>
    <w:rsid w:val="56B165B1"/>
    <w:rsid w:val="577D0541"/>
    <w:rsid w:val="57B40D6A"/>
    <w:rsid w:val="57FE3478"/>
    <w:rsid w:val="58D319E6"/>
    <w:rsid w:val="59B92E3F"/>
    <w:rsid w:val="59CF7B57"/>
    <w:rsid w:val="5A7C4543"/>
    <w:rsid w:val="5B032E90"/>
    <w:rsid w:val="5B4C1057"/>
    <w:rsid w:val="5BBE8DDE"/>
    <w:rsid w:val="5CE72FF7"/>
    <w:rsid w:val="5D890602"/>
    <w:rsid w:val="5DB74CEC"/>
    <w:rsid w:val="5E6F6A14"/>
    <w:rsid w:val="5EFD016B"/>
    <w:rsid w:val="5F2818AA"/>
    <w:rsid w:val="5F5C2745"/>
    <w:rsid w:val="5F9B216E"/>
    <w:rsid w:val="5FE18957"/>
    <w:rsid w:val="5FE60FEE"/>
    <w:rsid w:val="5FF602F4"/>
    <w:rsid w:val="5FF7F9A6"/>
    <w:rsid w:val="62354022"/>
    <w:rsid w:val="63F57AF7"/>
    <w:rsid w:val="63FE62A2"/>
    <w:rsid w:val="64184044"/>
    <w:rsid w:val="645770DE"/>
    <w:rsid w:val="64B81C00"/>
    <w:rsid w:val="653C0F22"/>
    <w:rsid w:val="656D31F8"/>
    <w:rsid w:val="657131AE"/>
    <w:rsid w:val="68DA4C11"/>
    <w:rsid w:val="69D81E8D"/>
    <w:rsid w:val="6B603686"/>
    <w:rsid w:val="6BF36DFB"/>
    <w:rsid w:val="6D185C4C"/>
    <w:rsid w:val="6D97577B"/>
    <w:rsid w:val="6DA006E6"/>
    <w:rsid w:val="6E9AB327"/>
    <w:rsid w:val="6EF47546"/>
    <w:rsid w:val="6F4D1EFB"/>
    <w:rsid w:val="716F3D1F"/>
    <w:rsid w:val="720915A6"/>
    <w:rsid w:val="72496F7C"/>
    <w:rsid w:val="73EFAC57"/>
    <w:rsid w:val="759727BC"/>
    <w:rsid w:val="77039CC3"/>
    <w:rsid w:val="77DFC0EA"/>
    <w:rsid w:val="77FFB314"/>
    <w:rsid w:val="781F2477"/>
    <w:rsid w:val="7B51165F"/>
    <w:rsid w:val="7BB976E4"/>
    <w:rsid w:val="7BBF9DF9"/>
    <w:rsid w:val="7BFF0790"/>
    <w:rsid w:val="7BFFD513"/>
    <w:rsid w:val="7DBFB6C6"/>
    <w:rsid w:val="7DFF9AB6"/>
    <w:rsid w:val="7E0230E5"/>
    <w:rsid w:val="7E255515"/>
    <w:rsid w:val="7E6A0648"/>
    <w:rsid w:val="7E7E6AD6"/>
    <w:rsid w:val="7EAE37FE"/>
    <w:rsid w:val="7EF70372"/>
    <w:rsid w:val="7EFF6F6E"/>
    <w:rsid w:val="7F3F7DCA"/>
    <w:rsid w:val="7FA54156"/>
    <w:rsid w:val="7FA7FC89"/>
    <w:rsid w:val="7FBE7090"/>
    <w:rsid w:val="7FE887EE"/>
    <w:rsid w:val="7FF87B56"/>
    <w:rsid w:val="7FFE09AD"/>
    <w:rsid w:val="95CF3808"/>
    <w:rsid w:val="9D3595EF"/>
    <w:rsid w:val="9FB76C6E"/>
    <w:rsid w:val="AE75D1CC"/>
    <w:rsid w:val="B3FBC7FC"/>
    <w:rsid w:val="B3FFA876"/>
    <w:rsid w:val="B9FE92AF"/>
    <w:rsid w:val="BAFD4C31"/>
    <w:rsid w:val="BEA784F0"/>
    <w:rsid w:val="BF638AD9"/>
    <w:rsid w:val="BFDE014D"/>
    <w:rsid w:val="BFFA59C6"/>
    <w:rsid w:val="CBEF6688"/>
    <w:rsid w:val="CF757847"/>
    <w:rsid w:val="CFCD3A69"/>
    <w:rsid w:val="D4EFA336"/>
    <w:rsid w:val="DD6BBC17"/>
    <w:rsid w:val="DDBBD447"/>
    <w:rsid w:val="DF5F2CCB"/>
    <w:rsid w:val="DF7FEE49"/>
    <w:rsid w:val="E7E9AA54"/>
    <w:rsid w:val="EBFD52A8"/>
    <w:rsid w:val="EE5F5E8A"/>
    <w:rsid w:val="EF77F262"/>
    <w:rsid w:val="EFFA1FE1"/>
    <w:rsid w:val="F1FE35E6"/>
    <w:rsid w:val="F4E95CBF"/>
    <w:rsid w:val="F69773D4"/>
    <w:rsid w:val="F71E7E7F"/>
    <w:rsid w:val="F76F8176"/>
    <w:rsid w:val="FB732381"/>
    <w:rsid w:val="FB7F8B3A"/>
    <w:rsid w:val="FBFE37A1"/>
    <w:rsid w:val="FC2EFE05"/>
    <w:rsid w:val="FDBB3008"/>
    <w:rsid w:val="FDF7EE55"/>
    <w:rsid w:val="FF5DAB8E"/>
    <w:rsid w:val="FFBD69E0"/>
    <w:rsid w:val="FFC893DD"/>
    <w:rsid w:val="FFCE2B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semiHidden/>
    <w:unhideWhenUsed/>
    <w:qFormat/>
    <w:uiPriority w:val="0"/>
    <w:pPr>
      <w:jc w:val="left"/>
      <w:outlineLvl w:val="1"/>
    </w:pPr>
    <w:rPr>
      <w:rFonts w:ascii="Arial" w:hAnsi="Arial" w:eastAsia="黑体"/>
      <w:b/>
      <w:bCs/>
      <w:color w:val="000000"/>
      <w:kern w:val="0"/>
      <w:sz w:val="36"/>
      <w:szCs w:val="32"/>
    </w:rPr>
  </w:style>
  <w:style w:type="paragraph" w:styleId="4">
    <w:name w:val="heading 3"/>
    <w:basedOn w:val="1"/>
    <w:next w:val="1"/>
    <w:semiHidden/>
    <w:unhideWhenUsed/>
    <w:qFormat/>
    <w:uiPriority w:val="0"/>
    <w:pPr>
      <w:spacing w:line="360" w:lineRule="auto"/>
      <w:ind w:left="118"/>
      <w:jc w:val="center"/>
      <w:outlineLvl w:val="2"/>
    </w:pPr>
    <w:rPr>
      <w:rFonts w:ascii="Times New Roman" w:hAnsi="Times New Roman" w:eastAsia="黑体"/>
      <w:b/>
      <w:bCs/>
      <w:color w:val="800000"/>
      <w:kern w:val="0"/>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kern w:val="0"/>
      <w:sz w:val="20"/>
      <w:szCs w:val="20"/>
    </w:rPr>
  </w:style>
  <w:style w:type="paragraph" w:styleId="5">
    <w:name w:val="Normal Indent"/>
    <w:basedOn w:val="1"/>
    <w:unhideWhenUsed/>
    <w:qFormat/>
    <w:uiPriority w:val="0"/>
    <w:pPr>
      <w:ind w:firstLine="420" w:firstLineChars="200"/>
    </w:pPr>
    <w:rPr>
      <w:rFonts w:cs="Calibri"/>
      <w:sz w:val="24"/>
      <w:szCs w:val="20"/>
      <w:lang w:bidi="he-IL"/>
    </w:rPr>
  </w:style>
  <w:style w:type="paragraph" w:styleId="6">
    <w:name w:val="annotation text"/>
    <w:basedOn w:val="1"/>
    <w:qFormat/>
    <w:uiPriority w:val="0"/>
    <w:pPr>
      <w:jc w:val="left"/>
    </w:pPr>
  </w:style>
  <w:style w:type="paragraph" w:styleId="7">
    <w:name w:val="Body Text 3"/>
    <w:basedOn w:val="1"/>
    <w:unhideWhenUsed/>
    <w:qFormat/>
    <w:uiPriority w:val="0"/>
    <w:rPr>
      <w:rFonts w:ascii="宋体"/>
      <w:kern w:val="0"/>
      <w:sz w:val="24"/>
      <w:szCs w:val="20"/>
    </w:rPr>
  </w:style>
  <w:style w:type="paragraph" w:styleId="8">
    <w:name w:val="Body Text Indent"/>
    <w:basedOn w:val="1"/>
    <w:next w:val="9"/>
    <w:qFormat/>
    <w:uiPriority w:val="0"/>
    <w:pPr>
      <w:ind w:firstLine="560" w:firstLineChars="200"/>
    </w:pPr>
    <w:rPr>
      <w:rFonts w:ascii="Times New Roman" w:hAnsi="Times New Roman"/>
      <w:kern w:val="0"/>
      <w:sz w:val="28"/>
      <w:szCs w:val="24"/>
    </w:rPr>
  </w:style>
  <w:style w:type="paragraph" w:styleId="9">
    <w:name w:val="envelope return"/>
    <w:basedOn w:val="1"/>
    <w:qFormat/>
    <w:uiPriority w:val="0"/>
    <w:pPr>
      <w:snapToGrid w:val="0"/>
    </w:pPr>
    <w:rPr>
      <w:rFonts w:ascii="Arial" w:hAnsi="Arial"/>
      <w:szCs w:val="24"/>
    </w:rPr>
  </w:style>
  <w:style w:type="paragraph" w:styleId="10">
    <w:name w:val="footer"/>
    <w:basedOn w:val="1"/>
    <w:qFormat/>
    <w:uiPriority w:val="0"/>
    <w:pPr>
      <w:tabs>
        <w:tab w:val="center" w:pos="4153"/>
        <w:tab w:val="right" w:pos="8306"/>
      </w:tabs>
      <w:snapToGrid w:val="0"/>
      <w:jc w:val="left"/>
    </w:pPr>
    <w:rPr>
      <w:kern w:val="0"/>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Body Text Indent 3"/>
    <w:basedOn w:val="1"/>
    <w:qFormat/>
    <w:uiPriority w:val="0"/>
    <w:pPr>
      <w:spacing w:after="120"/>
      <w:ind w:left="200" w:leftChars="200"/>
    </w:pPr>
    <w:rPr>
      <w:kern w:val="0"/>
      <w:sz w:val="16"/>
      <w:szCs w:val="16"/>
    </w:rPr>
  </w:style>
  <w:style w:type="paragraph" w:styleId="13">
    <w:name w:val="toc 2"/>
    <w:basedOn w:val="1"/>
    <w:next w:val="1"/>
    <w:qFormat/>
    <w:uiPriority w:val="0"/>
    <w:pPr>
      <w:tabs>
        <w:tab w:val="right" w:leader="dot" w:pos="9060"/>
      </w:tabs>
      <w:snapToGrid w:val="0"/>
      <w:spacing w:line="360" w:lineRule="auto"/>
      <w:ind w:left="420" w:leftChars="200"/>
      <w:jc w:val="left"/>
    </w:pPr>
    <w:rPr>
      <w:rFonts w:ascii="Times New Roman" w:hAnsi="Times New Roman"/>
      <w:sz w:val="24"/>
      <w:szCs w:val="24"/>
    </w:rPr>
  </w:style>
  <w:style w:type="paragraph" w:styleId="14">
    <w:name w:val="Normal (Web)"/>
    <w:basedOn w:val="1"/>
    <w:qFormat/>
    <w:uiPriority w:val="0"/>
    <w:pPr>
      <w:jc w:val="left"/>
    </w:pPr>
    <w:rPr>
      <w:rFonts w:ascii="微软雅黑" w:hAnsi="微软雅黑" w:eastAsia="微软雅黑"/>
      <w:kern w:val="0"/>
      <w:sz w:val="20"/>
      <w:szCs w:val="20"/>
    </w:rPr>
  </w:style>
  <w:style w:type="paragraph" w:styleId="15">
    <w:name w:val="Body Text First Indent"/>
    <w:unhideWhenUsed/>
    <w:qFormat/>
    <w:uiPriority w:val="0"/>
    <w:pPr>
      <w:widowControl w:val="0"/>
      <w:spacing w:after="120"/>
      <w:ind w:firstLine="420" w:firstLineChars="100"/>
      <w:jc w:val="both"/>
    </w:pPr>
    <w:rPr>
      <w:rFonts w:ascii="Calibri" w:hAnsi="Calibri" w:eastAsia="宋体" w:cs="Times New Roman"/>
      <w:kern w:val="2"/>
      <w:sz w:val="21"/>
      <w:szCs w:val="21"/>
      <w:lang w:val="en-US" w:eastAsia="zh-CN" w:bidi="ar-SA"/>
    </w:rPr>
  </w:style>
  <w:style w:type="paragraph" w:styleId="16">
    <w:name w:val="Body Text First Indent 2"/>
    <w:basedOn w:val="8"/>
    <w:qFormat/>
    <w:uiPriority w:val="0"/>
    <w:pPr>
      <w:spacing w:line="420" w:lineRule="exact"/>
      <w:ind w:firstLine="420"/>
      <w:jc w:val="left"/>
    </w:pPr>
    <w:rPr>
      <w:rFonts w:ascii="宋体" w:hAnsi="宋体"/>
      <w:color w:val="000000"/>
      <w:sz w:val="24"/>
      <w:szCs w:val="18"/>
    </w:rPr>
  </w:style>
  <w:style w:type="character" w:styleId="19">
    <w:name w:val="Hyperlink"/>
    <w:qFormat/>
    <w:uiPriority w:val="0"/>
    <w:rPr>
      <w:rFonts w:hint="default" w:ascii="Calibri" w:hAnsi="Calibri" w:eastAsia="宋体" w:cs="Calibri"/>
      <w:color w:val="0000FF"/>
      <w:u w:val="single"/>
    </w:rPr>
  </w:style>
  <w:style w:type="character" w:styleId="20">
    <w:name w:val="annotation reference"/>
    <w:basedOn w:val="18"/>
    <w:qFormat/>
    <w:uiPriority w:val="0"/>
    <w:rPr>
      <w:sz w:val="21"/>
      <w:szCs w:val="21"/>
    </w:rPr>
  </w:style>
  <w:style w:type="paragraph" w:customStyle="1" w:styleId="2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2">
    <w:name w:val="列表段落1"/>
    <w:basedOn w:val="1"/>
    <w:qFormat/>
    <w:uiPriority w:val="0"/>
    <w:pPr>
      <w:ind w:firstLine="420" w:firstLineChars="200"/>
    </w:pPr>
    <w:rPr>
      <w:rFonts w:ascii="Times New Roman" w:hAnsi="Times New Roman"/>
    </w:rPr>
  </w:style>
  <w:style w:type="paragraph" w:customStyle="1" w:styleId="23">
    <w:name w:val="列出段落1"/>
    <w:basedOn w:val="1"/>
    <w:qFormat/>
    <w:uiPriority w:val="0"/>
    <w:pPr>
      <w:ind w:firstLine="420" w:firstLineChars="200"/>
    </w:pPr>
    <w:rPr>
      <w:rFonts w:cs="Calibri"/>
      <w:szCs w:val="21"/>
    </w:rPr>
  </w:style>
  <w:style w:type="paragraph" w:customStyle="1" w:styleId="24">
    <w:name w:val="表格文字"/>
    <w:basedOn w:val="1"/>
    <w:qFormat/>
    <w:uiPriority w:val="0"/>
    <w:pPr>
      <w:adjustRightInd w:val="0"/>
      <w:spacing w:line="420" w:lineRule="atLeast"/>
      <w:jc w:val="left"/>
    </w:pPr>
    <w:rPr>
      <w:rFonts w:ascii="Times New Roman" w:hAnsi="Times New Roman" w:cs="Calibri"/>
      <w:kern w:val="0"/>
      <w:szCs w:val="20"/>
    </w:rPr>
  </w:style>
  <w:style w:type="paragraph" w:customStyle="1" w:styleId="25">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b/>
      <w:snapToGrid w:val="0"/>
      <w:spacing w:val="4"/>
      <w:kern w:val="0"/>
      <w:sz w:val="30"/>
      <w:szCs w:val="30"/>
    </w:rPr>
  </w:style>
  <w:style w:type="paragraph" w:customStyle="1" w:styleId="26">
    <w:name w:val="正题"/>
    <w:basedOn w:val="27"/>
    <w:next w:val="27"/>
    <w:qFormat/>
    <w:uiPriority w:val="0"/>
    <w:pPr>
      <w:ind w:firstLine="0" w:firstLineChars="0"/>
      <w:jc w:val="center"/>
    </w:pPr>
    <w:rPr>
      <w:rFonts w:ascii="Calibri" w:hAnsi="Calibri" w:eastAsia="黑体"/>
      <w:b/>
      <w:sz w:val="36"/>
      <w:szCs w:val="36"/>
    </w:rPr>
  </w:style>
  <w:style w:type="paragraph" w:customStyle="1" w:styleId="27">
    <w:name w:val="文一"/>
    <w:basedOn w:val="1"/>
    <w:qFormat/>
    <w:uiPriority w:val="0"/>
    <w:pPr>
      <w:topLinePunct/>
      <w:adjustRightInd w:val="0"/>
      <w:snapToGrid w:val="0"/>
      <w:spacing w:line="360" w:lineRule="auto"/>
      <w:ind w:firstLine="200" w:firstLineChars="200"/>
    </w:pPr>
    <w:rPr>
      <w:rFonts w:ascii="Times New Roman" w:hAnsi="Times New Roman"/>
      <w:spacing w:val="4"/>
      <w:kern w:val="0"/>
      <w:sz w:val="24"/>
      <w:szCs w:val="24"/>
    </w:rPr>
  </w:style>
  <w:style w:type="paragraph" w:customStyle="1" w:styleId="28">
    <w:name w:val="章节三"/>
    <w:basedOn w:val="27"/>
    <w:next w:val="27"/>
    <w:qFormat/>
    <w:uiPriority w:val="0"/>
    <w:pPr>
      <w:spacing w:beforeLines="50" w:afterLines="50" w:line="240" w:lineRule="auto"/>
      <w:ind w:firstLine="0" w:firstLineChars="0"/>
      <w:jc w:val="left"/>
      <w:outlineLvl w:val="2"/>
    </w:pPr>
    <w:rPr>
      <w:rFonts w:ascii="黑体" w:hAnsi="宋体" w:eastAsia="黑体"/>
      <w:b/>
    </w:rPr>
  </w:style>
  <w:style w:type="paragraph" w:customStyle="1" w:styleId="29">
    <w:name w:val="样式 宋体 行距: 1.5 倍行距"/>
    <w:basedOn w:val="1"/>
    <w:qFormat/>
    <w:uiPriority w:val="99"/>
    <w:pPr>
      <w:jc w:val="center"/>
    </w:pPr>
    <w:rPr>
      <w:b/>
      <w:bCs/>
    </w:rPr>
  </w:style>
  <w:style w:type="paragraph" w:customStyle="1" w:styleId="30">
    <w:name w:val="文二"/>
    <w:basedOn w:val="1"/>
    <w:qFormat/>
    <w:uiPriority w:val="0"/>
    <w:rPr>
      <w:rFonts w:ascii="宋体" w:hAnsi="宋体" w:cs="Calibri"/>
      <w:szCs w:val="21"/>
    </w:rPr>
  </w:style>
  <w:style w:type="paragraph" w:customStyle="1" w:styleId="31">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5781</Words>
  <Characters>6513</Characters>
  <Lines>48</Lines>
  <Paragraphs>13</Paragraphs>
  <TotalTime>0</TotalTime>
  <ScaleCrop>false</ScaleCrop>
  <LinksUpToDate>false</LinksUpToDate>
  <CharactersWithSpaces>6677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2024-02-26T10:17:00Z</dcterms:created>
  <dc:creator>07</dc:creator>
  <cp:lastModifiedBy>-咕小婷</cp:lastModifiedBy>
  <cp:lastPrinted>2024-09-30T03:07:00Z</cp:lastPrinted>
  <dcterms:modified xsi:type="dcterms:W3CDTF">2024-10-09T05:22:09Z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C51DFF2BB38D451C9DA86010E6E022F5_13</vt:lpwstr>
  </property>
</Properties>
</file>